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7E3" w:rsidRPr="000523FC" w:rsidRDefault="00705EC5" w:rsidP="000523FC">
      <w:pPr>
        <w:pStyle w:val="Heading10"/>
        <w:spacing w:before="0"/>
        <w:jc w:val="left"/>
        <w:rPr>
          <w:rFonts w:asciiTheme="minorHAnsi" w:hAnsiTheme="minorHAnsi"/>
          <w:color w:val="872C8E"/>
          <w:sz w:val="30"/>
          <w:szCs w:val="30"/>
        </w:rPr>
      </w:pPr>
      <w:r>
        <w:rPr>
          <w:rFonts w:asciiTheme="minorHAnsi" w:hAnsiTheme="minorHAnsi"/>
          <w:color w:val="872C8E"/>
          <w:sz w:val="30"/>
          <w:szCs w:val="30"/>
        </w:rPr>
        <w:t>T</w:t>
      </w:r>
      <w:r w:rsidR="001328A3" w:rsidRPr="000523FC">
        <w:rPr>
          <w:rFonts w:asciiTheme="minorHAnsi" w:hAnsiTheme="minorHAnsi"/>
          <w:color w:val="872C8E"/>
          <w:sz w:val="30"/>
          <w:szCs w:val="30"/>
        </w:rPr>
        <w:t xml:space="preserve">he </w:t>
      </w:r>
      <w:r>
        <w:rPr>
          <w:rFonts w:asciiTheme="minorHAnsi" w:hAnsiTheme="minorHAnsi"/>
          <w:color w:val="872C8E"/>
          <w:sz w:val="30"/>
          <w:szCs w:val="30"/>
        </w:rPr>
        <w:t xml:space="preserve">Commissioner for Better Regulation and </w:t>
      </w:r>
      <w:r w:rsidR="00A516EF" w:rsidRPr="000523FC">
        <w:rPr>
          <w:rFonts w:asciiTheme="minorHAnsi" w:hAnsiTheme="minorHAnsi"/>
          <w:color w:val="872C8E"/>
          <w:sz w:val="30"/>
          <w:szCs w:val="30"/>
        </w:rPr>
        <w:t>Competitive Neutrality</w:t>
      </w:r>
    </w:p>
    <w:p w:rsidR="00095BE3" w:rsidRPr="000523FC" w:rsidRDefault="006E470F" w:rsidP="000523FC">
      <w:pPr>
        <w:pStyle w:val="Heading20"/>
        <w:spacing w:before="0"/>
        <w:rPr>
          <w:rFonts w:asciiTheme="minorHAnsi" w:hAnsiTheme="minorHAnsi"/>
          <w:color w:val="0063A4"/>
          <w:sz w:val="24"/>
        </w:rPr>
      </w:pPr>
      <w:r w:rsidRPr="000523FC">
        <w:rPr>
          <w:rFonts w:asciiTheme="minorHAnsi" w:hAnsiTheme="minorHAnsi"/>
          <w:color w:val="0063A4"/>
          <w:sz w:val="24"/>
        </w:rPr>
        <w:t>Introduction</w:t>
      </w:r>
    </w:p>
    <w:p w:rsidR="00747CE6" w:rsidRDefault="00D637DF" w:rsidP="000523FC">
      <w:pPr>
        <w:spacing w:before="0" w:after="240"/>
        <w:rPr>
          <w:rFonts w:asciiTheme="minorHAnsi" w:hAnsiTheme="minorHAnsi" w:cs="Arial"/>
          <w:sz w:val="22"/>
          <w:szCs w:val="22"/>
        </w:rPr>
      </w:pPr>
      <w:r w:rsidRPr="000523FC">
        <w:rPr>
          <w:rFonts w:asciiTheme="minorHAnsi" w:hAnsiTheme="minorHAnsi" w:cs="Arial"/>
          <w:sz w:val="22"/>
          <w:szCs w:val="22"/>
        </w:rPr>
        <w:t xml:space="preserve">The objective of competitive neutrality (CN) policy is </w:t>
      </w:r>
      <w:r w:rsidR="00747CE6">
        <w:rPr>
          <w:rFonts w:asciiTheme="minorHAnsi" w:hAnsiTheme="minorHAnsi" w:cs="Arial"/>
          <w:sz w:val="22"/>
          <w:szCs w:val="22"/>
        </w:rPr>
        <w:t>to promote fair and equitable competition between government and private businesses.</w:t>
      </w:r>
    </w:p>
    <w:p w:rsidR="00D637DF" w:rsidRPr="000523FC" w:rsidRDefault="00705EC5" w:rsidP="000523FC">
      <w:pPr>
        <w:spacing w:before="0" w:after="24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C</w:t>
      </w:r>
      <w:r w:rsidR="00D637DF" w:rsidRPr="000523FC">
        <w:rPr>
          <w:rFonts w:asciiTheme="minorHAnsi" w:hAnsiTheme="minorHAnsi" w:cs="Arial"/>
          <w:sz w:val="22"/>
          <w:szCs w:val="22"/>
        </w:rPr>
        <w:t xml:space="preserve">lause 3(1) of the intergovernmental </w:t>
      </w:r>
      <w:r w:rsidR="00D637DF" w:rsidRPr="000523FC">
        <w:rPr>
          <w:rFonts w:asciiTheme="minorHAnsi" w:hAnsiTheme="minorHAnsi" w:cs="Arial"/>
          <w:i/>
          <w:iCs/>
          <w:sz w:val="22"/>
          <w:szCs w:val="22"/>
        </w:rPr>
        <w:t>Competition Principles Agreement</w:t>
      </w:r>
      <w:r w:rsidR="00D637DF" w:rsidRPr="000523FC">
        <w:rPr>
          <w:rFonts w:asciiTheme="minorHAnsi" w:hAnsiTheme="minorHAnsi" w:cs="Arial"/>
          <w:sz w:val="22"/>
          <w:szCs w:val="22"/>
        </w:rPr>
        <w:t xml:space="preserve">, to which Victoria is a party, </w:t>
      </w:r>
      <w:r w:rsidR="00747CE6">
        <w:rPr>
          <w:rFonts w:asciiTheme="minorHAnsi" w:hAnsiTheme="minorHAnsi" w:cs="Arial"/>
          <w:sz w:val="22"/>
          <w:szCs w:val="22"/>
        </w:rPr>
        <w:t xml:space="preserve">describes the purpose of CN </w:t>
      </w:r>
      <w:r w:rsidR="00D637DF" w:rsidRPr="000523FC">
        <w:rPr>
          <w:rFonts w:asciiTheme="minorHAnsi" w:hAnsiTheme="minorHAnsi" w:cs="Arial"/>
          <w:sz w:val="22"/>
          <w:szCs w:val="22"/>
        </w:rPr>
        <w:t>as:</w:t>
      </w:r>
    </w:p>
    <w:p w:rsidR="00D637DF" w:rsidRPr="000523FC" w:rsidRDefault="00D637DF" w:rsidP="000523FC">
      <w:pPr>
        <w:spacing w:before="0" w:after="240"/>
        <w:ind w:left="567" w:right="474"/>
        <w:rPr>
          <w:rFonts w:asciiTheme="minorHAnsi" w:hAnsiTheme="minorHAnsi" w:cs="Arial"/>
          <w:sz w:val="22"/>
          <w:szCs w:val="22"/>
        </w:rPr>
      </w:pPr>
      <w:r w:rsidRPr="000523FC">
        <w:rPr>
          <w:rFonts w:asciiTheme="minorHAnsi" w:hAnsiTheme="minorHAnsi" w:cs="Arial"/>
          <w:sz w:val="22"/>
          <w:szCs w:val="22"/>
        </w:rPr>
        <w:t xml:space="preserve">… </w:t>
      </w:r>
      <w:proofErr w:type="gramStart"/>
      <w:r w:rsidRPr="000523FC">
        <w:rPr>
          <w:rFonts w:asciiTheme="minorHAnsi" w:hAnsiTheme="minorHAnsi" w:cs="Arial"/>
          <w:sz w:val="22"/>
          <w:szCs w:val="22"/>
        </w:rPr>
        <w:t>the</w:t>
      </w:r>
      <w:proofErr w:type="gramEnd"/>
      <w:r w:rsidRPr="000523FC">
        <w:rPr>
          <w:rFonts w:asciiTheme="minorHAnsi" w:hAnsiTheme="minorHAnsi" w:cs="Arial"/>
          <w:sz w:val="22"/>
          <w:szCs w:val="22"/>
        </w:rPr>
        <w:t xml:space="preserve"> elimination of resource allocation distortions arising out of the public ownership of entities engaged in significant business activities: Government business should not enjoy any net competitive advantage simply as a result of their public sector ownership. These principles only apply to the business activities of publicly owned entities, not to the non</w:t>
      </w:r>
      <w:r w:rsidR="00764CF3" w:rsidRPr="000523FC">
        <w:rPr>
          <w:rFonts w:asciiTheme="minorHAnsi" w:hAnsiTheme="minorHAnsi" w:cs="Arial"/>
          <w:sz w:val="22"/>
          <w:szCs w:val="22"/>
        </w:rPr>
        <w:t>-</w:t>
      </w:r>
      <w:r w:rsidRPr="000523FC">
        <w:rPr>
          <w:rFonts w:asciiTheme="minorHAnsi" w:hAnsiTheme="minorHAnsi" w:cs="Arial"/>
          <w:sz w:val="22"/>
          <w:szCs w:val="22"/>
        </w:rPr>
        <w:t>business, non-profit activities of these entities.</w:t>
      </w:r>
    </w:p>
    <w:p w:rsidR="00D713ED" w:rsidRPr="000523FC" w:rsidRDefault="00D713ED" w:rsidP="000523FC">
      <w:pPr>
        <w:spacing w:before="0" w:after="240"/>
        <w:rPr>
          <w:rFonts w:asciiTheme="minorHAnsi" w:hAnsiTheme="minorHAnsi" w:cs="Arial"/>
          <w:sz w:val="22"/>
          <w:szCs w:val="22"/>
        </w:rPr>
      </w:pPr>
      <w:r w:rsidRPr="000523FC">
        <w:rPr>
          <w:rFonts w:asciiTheme="minorHAnsi" w:hAnsiTheme="minorHAnsi" w:cs="Arial"/>
          <w:sz w:val="22"/>
          <w:szCs w:val="22"/>
        </w:rPr>
        <w:t>Th</w:t>
      </w:r>
      <w:r w:rsidR="007B6324" w:rsidRPr="000523FC">
        <w:rPr>
          <w:rFonts w:asciiTheme="minorHAnsi" w:hAnsiTheme="minorHAnsi" w:cs="Arial"/>
          <w:sz w:val="22"/>
          <w:szCs w:val="22"/>
        </w:rPr>
        <w:t xml:space="preserve">e aim of this </w:t>
      </w:r>
      <w:r w:rsidRPr="000523FC">
        <w:rPr>
          <w:rFonts w:asciiTheme="minorHAnsi" w:hAnsiTheme="minorHAnsi" w:cs="Arial"/>
          <w:sz w:val="22"/>
          <w:szCs w:val="22"/>
        </w:rPr>
        <w:t xml:space="preserve">document </w:t>
      </w:r>
      <w:r w:rsidR="007B6324" w:rsidRPr="000523FC">
        <w:rPr>
          <w:rFonts w:asciiTheme="minorHAnsi" w:hAnsiTheme="minorHAnsi" w:cs="Arial"/>
          <w:sz w:val="22"/>
          <w:szCs w:val="22"/>
        </w:rPr>
        <w:t xml:space="preserve">is to </w:t>
      </w:r>
      <w:r w:rsidR="004E370E" w:rsidRPr="000523FC">
        <w:rPr>
          <w:rFonts w:asciiTheme="minorHAnsi" w:hAnsiTheme="minorHAnsi" w:cs="Arial"/>
          <w:sz w:val="22"/>
          <w:szCs w:val="22"/>
        </w:rPr>
        <w:t>provide clarity about</w:t>
      </w:r>
      <w:r w:rsidRPr="000523FC">
        <w:rPr>
          <w:rFonts w:asciiTheme="minorHAnsi" w:hAnsiTheme="minorHAnsi" w:cs="Arial"/>
          <w:sz w:val="22"/>
          <w:szCs w:val="22"/>
        </w:rPr>
        <w:t xml:space="preserve"> how</w:t>
      </w:r>
      <w:r w:rsidR="0094221C" w:rsidRPr="000523FC">
        <w:rPr>
          <w:rFonts w:asciiTheme="minorHAnsi" w:hAnsiTheme="minorHAnsi" w:cs="Arial"/>
          <w:sz w:val="22"/>
          <w:szCs w:val="22"/>
        </w:rPr>
        <w:t xml:space="preserve"> </w:t>
      </w:r>
      <w:r w:rsidRPr="000523FC">
        <w:rPr>
          <w:rFonts w:asciiTheme="minorHAnsi" w:hAnsiTheme="minorHAnsi" w:cs="Arial"/>
          <w:sz w:val="22"/>
          <w:szCs w:val="22"/>
        </w:rPr>
        <w:t xml:space="preserve">the </w:t>
      </w:r>
      <w:r w:rsidR="00222252">
        <w:rPr>
          <w:rFonts w:asciiTheme="minorHAnsi" w:hAnsiTheme="minorHAnsi" w:cs="Arial"/>
          <w:sz w:val="22"/>
          <w:szCs w:val="22"/>
        </w:rPr>
        <w:t xml:space="preserve">Commissioner </w:t>
      </w:r>
      <w:r w:rsidR="006B5FF1">
        <w:rPr>
          <w:rFonts w:asciiTheme="minorHAnsi" w:hAnsiTheme="minorHAnsi" w:cs="Arial"/>
          <w:sz w:val="22"/>
          <w:szCs w:val="22"/>
        </w:rPr>
        <w:t xml:space="preserve">— </w:t>
      </w:r>
      <w:r w:rsidR="00222252">
        <w:rPr>
          <w:rFonts w:asciiTheme="minorHAnsi" w:hAnsiTheme="minorHAnsi" w:cs="Arial"/>
          <w:sz w:val="22"/>
          <w:szCs w:val="22"/>
        </w:rPr>
        <w:t xml:space="preserve">supported by the Office of the Commissioner for Better Regulation (OCBR) </w:t>
      </w:r>
      <w:r w:rsidR="006B5FF1">
        <w:rPr>
          <w:rFonts w:asciiTheme="minorHAnsi" w:hAnsiTheme="minorHAnsi" w:cs="Arial"/>
          <w:sz w:val="22"/>
          <w:szCs w:val="22"/>
        </w:rPr>
        <w:t>—</w:t>
      </w:r>
      <w:r w:rsidR="00222252">
        <w:rPr>
          <w:rFonts w:asciiTheme="minorHAnsi" w:hAnsiTheme="minorHAnsi" w:cs="Arial"/>
          <w:sz w:val="22"/>
          <w:szCs w:val="22"/>
        </w:rPr>
        <w:t xml:space="preserve"> </w:t>
      </w:r>
      <w:r w:rsidRPr="000523FC">
        <w:rPr>
          <w:rFonts w:asciiTheme="minorHAnsi" w:hAnsiTheme="minorHAnsi" w:cs="Arial"/>
          <w:sz w:val="22"/>
          <w:szCs w:val="22"/>
        </w:rPr>
        <w:t xml:space="preserve">implements </w:t>
      </w:r>
      <w:r w:rsidR="00222252">
        <w:rPr>
          <w:rFonts w:asciiTheme="minorHAnsi" w:hAnsiTheme="minorHAnsi" w:cs="Arial"/>
          <w:sz w:val="22"/>
          <w:szCs w:val="22"/>
        </w:rPr>
        <w:t>the</w:t>
      </w:r>
      <w:r w:rsidRPr="000523FC">
        <w:rPr>
          <w:rFonts w:asciiTheme="minorHAnsi" w:hAnsiTheme="minorHAnsi" w:cs="Arial"/>
          <w:sz w:val="22"/>
          <w:szCs w:val="22"/>
        </w:rPr>
        <w:t xml:space="preserve"> CN function.</w:t>
      </w:r>
    </w:p>
    <w:p w:rsidR="00EF257C" w:rsidRPr="000523FC" w:rsidRDefault="0025032D" w:rsidP="000523FC">
      <w:pPr>
        <w:pStyle w:val="Heading20"/>
        <w:spacing w:before="0"/>
        <w:rPr>
          <w:rFonts w:asciiTheme="minorHAnsi" w:hAnsiTheme="minorHAnsi"/>
          <w:color w:val="0063A4"/>
          <w:sz w:val="24"/>
        </w:rPr>
      </w:pPr>
      <w:r w:rsidRPr="000523FC">
        <w:rPr>
          <w:rFonts w:asciiTheme="minorHAnsi" w:hAnsiTheme="minorHAnsi"/>
          <w:color w:val="0063A4"/>
          <w:sz w:val="24"/>
        </w:rPr>
        <w:t>The overarching framework</w:t>
      </w:r>
    </w:p>
    <w:p w:rsidR="00D637DF" w:rsidRPr="000523FC" w:rsidRDefault="00D637DF" w:rsidP="000523FC">
      <w:pPr>
        <w:spacing w:before="0" w:after="240"/>
        <w:rPr>
          <w:rFonts w:asciiTheme="minorHAnsi" w:hAnsiTheme="minorHAnsi" w:cs="Arial"/>
          <w:sz w:val="22"/>
          <w:szCs w:val="22"/>
        </w:rPr>
      </w:pPr>
      <w:r w:rsidRPr="000523FC">
        <w:rPr>
          <w:rFonts w:asciiTheme="minorHAnsi" w:hAnsiTheme="minorHAnsi" w:cs="Arial"/>
          <w:sz w:val="22"/>
          <w:szCs w:val="22"/>
        </w:rPr>
        <w:t xml:space="preserve">The </w:t>
      </w:r>
      <w:r w:rsidR="00222252">
        <w:rPr>
          <w:rFonts w:asciiTheme="minorHAnsi" w:hAnsiTheme="minorHAnsi" w:cs="Arial"/>
          <w:sz w:val="22"/>
          <w:szCs w:val="22"/>
        </w:rPr>
        <w:t>instrument of appointment for the Commissioner</w:t>
      </w:r>
      <w:r w:rsidRPr="000523FC">
        <w:rPr>
          <w:rFonts w:asciiTheme="minorHAnsi" w:hAnsiTheme="minorHAnsi" w:cs="Arial"/>
          <w:sz w:val="22"/>
          <w:szCs w:val="22"/>
        </w:rPr>
        <w:t xml:space="preserve"> states</w:t>
      </w:r>
      <w:r w:rsidR="00523F2E">
        <w:rPr>
          <w:rFonts w:asciiTheme="minorHAnsi" w:hAnsiTheme="minorHAnsi" w:cs="Arial"/>
          <w:sz w:val="22"/>
          <w:szCs w:val="22"/>
        </w:rPr>
        <w:t xml:space="preserve"> that</w:t>
      </w:r>
      <w:r w:rsidRPr="000523FC">
        <w:rPr>
          <w:rFonts w:asciiTheme="minorHAnsi" w:hAnsiTheme="minorHAnsi" w:cs="Arial"/>
          <w:sz w:val="22"/>
          <w:szCs w:val="22"/>
        </w:rPr>
        <w:t>:</w:t>
      </w:r>
    </w:p>
    <w:p w:rsidR="00222252" w:rsidRDefault="00222252" w:rsidP="000523FC">
      <w:pPr>
        <w:spacing w:before="0" w:after="240"/>
        <w:ind w:left="567" w:right="474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The Commissioner for Better Regulation (Commissioner) will be responsible for:</w:t>
      </w:r>
    </w:p>
    <w:p w:rsidR="00222252" w:rsidRDefault="00F603C0" w:rsidP="00523F2E">
      <w:pPr>
        <w:spacing w:before="0" w:after="240"/>
        <w:ind w:left="720" w:right="474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1</w:t>
      </w:r>
      <w:r w:rsidR="00222252">
        <w:rPr>
          <w:rFonts w:asciiTheme="minorHAnsi" w:hAnsiTheme="minorHAnsi" w:cs="Arial"/>
          <w:sz w:val="22"/>
          <w:szCs w:val="22"/>
        </w:rPr>
        <w:t xml:space="preserve">(g) providing education so as to ensure compliance with the competitive </w:t>
      </w:r>
      <w:proofErr w:type="gramStart"/>
      <w:r w:rsidR="00222252">
        <w:rPr>
          <w:rFonts w:asciiTheme="minorHAnsi" w:hAnsiTheme="minorHAnsi" w:cs="Arial"/>
          <w:sz w:val="22"/>
          <w:szCs w:val="22"/>
        </w:rPr>
        <w:t>neutrality</w:t>
      </w:r>
      <w:proofErr w:type="gramEnd"/>
      <w:r w:rsidR="00222252">
        <w:rPr>
          <w:rFonts w:asciiTheme="minorHAnsi" w:hAnsiTheme="minorHAnsi" w:cs="Arial"/>
          <w:sz w:val="22"/>
          <w:szCs w:val="22"/>
        </w:rPr>
        <w:t xml:space="preserve"> policy of the Victorian Government</w:t>
      </w:r>
    </w:p>
    <w:p w:rsidR="00222252" w:rsidRDefault="00222252" w:rsidP="00523F2E">
      <w:pPr>
        <w:spacing w:before="0" w:after="240"/>
        <w:ind w:left="720" w:right="474"/>
        <w:rPr>
          <w:rFonts w:asciiTheme="minorHAnsi" w:hAnsiTheme="minorHAnsi" w:cs="Arial"/>
          <w:sz w:val="22"/>
          <w:szCs w:val="22"/>
        </w:rPr>
      </w:pPr>
      <w:proofErr w:type="gramStart"/>
      <w:r>
        <w:rPr>
          <w:rFonts w:asciiTheme="minorHAnsi" w:hAnsiTheme="minorHAnsi" w:cs="Arial"/>
          <w:sz w:val="22"/>
          <w:szCs w:val="22"/>
        </w:rPr>
        <w:t>1(h) investigating competitive neutrality complaints</w:t>
      </w:r>
      <w:r w:rsidR="006B5FF1">
        <w:rPr>
          <w:rFonts w:asciiTheme="minorHAnsi" w:hAnsiTheme="minorHAnsi" w:cs="Arial"/>
          <w:sz w:val="22"/>
          <w:szCs w:val="22"/>
        </w:rPr>
        <w:t>.</w:t>
      </w:r>
      <w:proofErr w:type="gramEnd"/>
    </w:p>
    <w:p w:rsidR="009E774F" w:rsidRPr="000523FC" w:rsidRDefault="00D27D3B" w:rsidP="00B60FBF">
      <w:pPr>
        <w:spacing w:before="0" w:after="240"/>
        <w:ind w:right="474"/>
        <w:rPr>
          <w:rFonts w:asciiTheme="minorHAnsi" w:hAnsiTheme="minorHAnsi" w:cs="Arial"/>
          <w:iCs/>
          <w:sz w:val="22"/>
          <w:szCs w:val="22"/>
        </w:rPr>
      </w:pPr>
      <w:r w:rsidRPr="000523FC">
        <w:rPr>
          <w:rFonts w:asciiTheme="minorHAnsi" w:hAnsiTheme="minorHAnsi" w:cs="Arial"/>
          <w:iCs/>
          <w:sz w:val="22"/>
          <w:szCs w:val="22"/>
        </w:rPr>
        <w:t>Victoria’s</w:t>
      </w:r>
      <w:r w:rsidR="009E774F" w:rsidRPr="000523FC">
        <w:rPr>
          <w:rFonts w:asciiTheme="minorHAnsi" w:hAnsiTheme="minorHAnsi" w:cs="Arial"/>
          <w:iCs/>
          <w:sz w:val="22"/>
          <w:szCs w:val="22"/>
        </w:rPr>
        <w:t xml:space="preserve"> </w:t>
      </w:r>
      <w:r w:rsidR="00A26905" w:rsidRPr="000523FC">
        <w:rPr>
          <w:rFonts w:asciiTheme="minorHAnsi" w:hAnsiTheme="minorHAnsi" w:cs="Arial"/>
          <w:iCs/>
          <w:sz w:val="22"/>
          <w:szCs w:val="22"/>
        </w:rPr>
        <w:t xml:space="preserve">current </w:t>
      </w:r>
      <w:r w:rsidR="000C50A3" w:rsidRPr="000523FC">
        <w:rPr>
          <w:rFonts w:asciiTheme="minorHAnsi" w:hAnsiTheme="minorHAnsi" w:cs="Arial"/>
          <w:iCs/>
          <w:sz w:val="22"/>
          <w:szCs w:val="22"/>
        </w:rPr>
        <w:t>CN</w:t>
      </w:r>
      <w:r w:rsidR="009E774F" w:rsidRPr="000523FC">
        <w:rPr>
          <w:rFonts w:asciiTheme="minorHAnsi" w:hAnsiTheme="minorHAnsi" w:cs="Arial"/>
          <w:iCs/>
          <w:sz w:val="22"/>
          <w:szCs w:val="22"/>
        </w:rPr>
        <w:t xml:space="preserve"> policy</w:t>
      </w:r>
      <w:r w:rsidR="00A26905" w:rsidRPr="000523FC">
        <w:rPr>
          <w:rFonts w:asciiTheme="minorHAnsi" w:hAnsiTheme="minorHAnsi" w:cs="Arial"/>
          <w:iCs/>
          <w:sz w:val="22"/>
          <w:szCs w:val="22"/>
        </w:rPr>
        <w:t xml:space="preserve">, </w:t>
      </w:r>
      <w:r w:rsidR="00734B6B" w:rsidRPr="000523FC">
        <w:rPr>
          <w:rFonts w:asciiTheme="minorHAnsi" w:hAnsiTheme="minorHAnsi" w:cs="Arial"/>
          <w:iCs/>
          <w:sz w:val="22"/>
          <w:szCs w:val="22"/>
        </w:rPr>
        <w:t>and</w:t>
      </w:r>
      <w:r w:rsidR="00A26905" w:rsidRPr="000523FC">
        <w:rPr>
          <w:rFonts w:asciiTheme="minorHAnsi" w:hAnsiTheme="minorHAnsi" w:cs="Arial"/>
          <w:iCs/>
          <w:sz w:val="22"/>
          <w:szCs w:val="22"/>
        </w:rPr>
        <w:t xml:space="preserve"> the way in which it is to be applied,</w:t>
      </w:r>
      <w:r w:rsidR="009E774F" w:rsidRPr="000523FC">
        <w:rPr>
          <w:rFonts w:asciiTheme="minorHAnsi" w:hAnsiTheme="minorHAnsi" w:cs="Arial"/>
          <w:iCs/>
          <w:sz w:val="22"/>
          <w:szCs w:val="22"/>
        </w:rPr>
        <w:t xml:space="preserve"> </w:t>
      </w:r>
      <w:r w:rsidR="00A26905" w:rsidRPr="000523FC">
        <w:rPr>
          <w:rFonts w:asciiTheme="minorHAnsi" w:hAnsiTheme="minorHAnsi" w:cs="Arial"/>
          <w:iCs/>
          <w:sz w:val="22"/>
          <w:szCs w:val="22"/>
        </w:rPr>
        <w:t xml:space="preserve">is </w:t>
      </w:r>
      <w:r w:rsidR="00734B6B" w:rsidRPr="000523FC">
        <w:rPr>
          <w:rFonts w:asciiTheme="minorHAnsi" w:hAnsiTheme="minorHAnsi" w:cs="Arial"/>
          <w:iCs/>
          <w:sz w:val="22"/>
          <w:szCs w:val="22"/>
        </w:rPr>
        <w:t xml:space="preserve">detailed </w:t>
      </w:r>
      <w:r w:rsidR="00A26905" w:rsidRPr="000523FC">
        <w:rPr>
          <w:rFonts w:asciiTheme="minorHAnsi" w:hAnsiTheme="minorHAnsi" w:cs="Arial"/>
          <w:iCs/>
          <w:sz w:val="22"/>
          <w:szCs w:val="22"/>
        </w:rPr>
        <w:t xml:space="preserve">in </w:t>
      </w:r>
      <w:r w:rsidR="009E774F" w:rsidRPr="000523FC">
        <w:rPr>
          <w:rFonts w:asciiTheme="minorHAnsi" w:hAnsiTheme="minorHAnsi" w:cs="Arial"/>
          <w:iCs/>
          <w:sz w:val="22"/>
          <w:szCs w:val="22"/>
        </w:rPr>
        <w:t>the following documents:</w:t>
      </w:r>
    </w:p>
    <w:p w:rsidR="009E774F" w:rsidRPr="000523FC" w:rsidRDefault="009E774F" w:rsidP="00627AA0">
      <w:pPr>
        <w:pStyle w:val="Bullet"/>
        <w:tabs>
          <w:tab w:val="clear" w:pos="360"/>
        </w:tabs>
        <w:spacing w:before="0"/>
        <w:ind w:left="567" w:hanging="567"/>
        <w:rPr>
          <w:rFonts w:asciiTheme="minorHAnsi" w:hAnsiTheme="minorHAnsi"/>
          <w:i/>
          <w:sz w:val="22"/>
          <w:szCs w:val="22"/>
        </w:rPr>
      </w:pPr>
      <w:r w:rsidRPr="000523FC">
        <w:rPr>
          <w:rFonts w:asciiTheme="minorHAnsi" w:hAnsiTheme="minorHAnsi"/>
          <w:i/>
          <w:sz w:val="22"/>
          <w:szCs w:val="22"/>
        </w:rPr>
        <w:t xml:space="preserve">Competitive Neutrality Policy </w:t>
      </w:r>
      <w:r w:rsidR="00D6756D" w:rsidRPr="000523FC">
        <w:rPr>
          <w:rFonts w:asciiTheme="minorHAnsi" w:hAnsiTheme="minorHAnsi"/>
          <w:i/>
          <w:sz w:val="22"/>
          <w:szCs w:val="22"/>
        </w:rPr>
        <w:t>(</w:t>
      </w:r>
      <w:r w:rsidR="0012141F" w:rsidRPr="000523FC">
        <w:rPr>
          <w:rFonts w:asciiTheme="minorHAnsi" w:hAnsiTheme="minorHAnsi"/>
          <w:sz w:val="22"/>
          <w:szCs w:val="22"/>
        </w:rPr>
        <w:t>DTF</w:t>
      </w:r>
      <w:r w:rsidR="0014071E" w:rsidRPr="000523FC">
        <w:rPr>
          <w:rFonts w:asciiTheme="minorHAnsi" w:hAnsiTheme="minorHAnsi"/>
          <w:sz w:val="22"/>
          <w:szCs w:val="22"/>
        </w:rPr>
        <w:t> </w:t>
      </w:r>
      <w:r w:rsidRPr="000523FC">
        <w:rPr>
          <w:rFonts w:asciiTheme="minorHAnsi" w:hAnsiTheme="minorHAnsi"/>
          <w:sz w:val="22"/>
          <w:szCs w:val="22"/>
        </w:rPr>
        <w:t>20</w:t>
      </w:r>
      <w:r w:rsidR="006B048F" w:rsidRPr="000523FC">
        <w:rPr>
          <w:rFonts w:asciiTheme="minorHAnsi" w:hAnsiTheme="minorHAnsi"/>
          <w:sz w:val="22"/>
          <w:szCs w:val="22"/>
        </w:rPr>
        <w:t>12</w:t>
      </w:r>
      <w:r w:rsidR="00D6756D" w:rsidRPr="000523FC">
        <w:rPr>
          <w:rFonts w:asciiTheme="minorHAnsi" w:hAnsiTheme="minorHAnsi"/>
          <w:sz w:val="22"/>
          <w:szCs w:val="22"/>
        </w:rPr>
        <w:t>)</w:t>
      </w:r>
      <w:r w:rsidR="006B5FF1" w:rsidRPr="006B5FF1">
        <w:rPr>
          <w:rStyle w:val="FootnoteReference"/>
          <w:rFonts w:asciiTheme="minorHAnsi" w:hAnsiTheme="minorHAnsi"/>
          <w:sz w:val="22"/>
          <w:szCs w:val="22"/>
        </w:rPr>
        <w:t xml:space="preserve"> </w:t>
      </w:r>
      <w:r w:rsidR="006B5FF1" w:rsidRPr="00F603C0">
        <w:rPr>
          <w:rStyle w:val="FootnoteReference"/>
          <w:rFonts w:asciiTheme="minorHAnsi" w:hAnsiTheme="minorHAnsi"/>
          <w:sz w:val="22"/>
          <w:szCs w:val="22"/>
        </w:rPr>
        <w:footnoteReference w:id="1"/>
      </w:r>
    </w:p>
    <w:p w:rsidR="00483B32" w:rsidRPr="000523FC" w:rsidRDefault="009E774F" w:rsidP="00F031B3">
      <w:pPr>
        <w:pStyle w:val="Bullet"/>
        <w:tabs>
          <w:tab w:val="clear" w:pos="360"/>
        </w:tabs>
        <w:spacing w:before="0"/>
        <w:ind w:left="567" w:hanging="567"/>
        <w:rPr>
          <w:rFonts w:asciiTheme="minorHAnsi" w:hAnsiTheme="minorHAnsi"/>
          <w:sz w:val="22"/>
          <w:szCs w:val="22"/>
        </w:rPr>
      </w:pPr>
      <w:r w:rsidRPr="000523FC">
        <w:rPr>
          <w:rFonts w:asciiTheme="minorHAnsi" w:hAnsiTheme="minorHAnsi"/>
          <w:i/>
          <w:sz w:val="22"/>
          <w:szCs w:val="22"/>
        </w:rPr>
        <w:t xml:space="preserve">Competitive Neutrality Guide to Implementation </w:t>
      </w:r>
      <w:r w:rsidR="00D6756D" w:rsidRPr="000523FC">
        <w:rPr>
          <w:rFonts w:asciiTheme="minorHAnsi" w:hAnsiTheme="minorHAnsi"/>
          <w:i/>
          <w:sz w:val="22"/>
          <w:szCs w:val="22"/>
        </w:rPr>
        <w:t>(</w:t>
      </w:r>
      <w:r w:rsidR="0012141F" w:rsidRPr="000523FC">
        <w:rPr>
          <w:rFonts w:asciiTheme="minorHAnsi" w:hAnsiTheme="minorHAnsi"/>
          <w:sz w:val="22"/>
          <w:szCs w:val="22"/>
        </w:rPr>
        <w:t>DTF</w:t>
      </w:r>
      <w:r w:rsidR="0014071E" w:rsidRPr="000523FC">
        <w:rPr>
          <w:rFonts w:asciiTheme="minorHAnsi" w:hAnsiTheme="minorHAnsi"/>
          <w:sz w:val="22"/>
          <w:szCs w:val="22"/>
        </w:rPr>
        <w:t> </w:t>
      </w:r>
      <w:r w:rsidRPr="000523FC">
        <w:rPr>
          <w:rFonts w:asciiTheme="minorHAnsi" w:hAnsiTheme="minorHAnsi"/>
          <w:sz w:val="22"/>
          <w:szCs w:val="22"/>
        </w:rPr>
        <w:t>2000</w:t>
      </w:r>
      <w:r w:rsidR="00D6756D" w:rsidRPr="000523FC">
        <w:rPr>
          <w:rFonts w:asciiTheme="minorHAnsi" w:hAnsiTheme="minorHAnsi"/>
          <w:sz w:val="22"/>
          <w:szCs w:val="22"/>
        </w:rPr>
        <w:t>)</w:t>
      </w:r>
      <w:r w:rsidR="00483B32" w:rsidRPr="000523FC">
        <w:rPr>
          <w:rFonts w:asciiTheme="minorHAnsi" w:hAnsiTheme="minorHAnsi"/>
          <w:sz w:val="22"/>
          <w:szCs w:val="22"/>
        </w:rPr>
        <w:t>.</w:t>
      </w:r>
    </w:p>
    <w:p w:rsidR="009E774F" w:rsidRPr="000523FC" w:rsidRDefault="0012141F" w:rsidP="00F031B3">
      <w:pPr>
        <w:pStyle w:val="Bullet"/>
        <w:tabs>
          <w:tab w:val="clear" w:pos="360"/>
        </w:tabs>
        <w:spacing w:before="0"/>
        <w:ind w:left="567" w:hanging="567"/>
        <w:rPr>
          <w:rFonts w:asciiTheme="minorHAnsi" w:hAnsiTheme="minorHAnsi"/>
          <w:sz w:val="22"/>
          <w:szCs w:val="22"/>
        </w:rPr>
      </w:pPr>
      <w:r w:rsidRPr="000523FC">
        <w:rPr>
          <w:rFonts w:asciiTheme="minorHAnsi" w:hAnsiTheme="minorHAnsi"/>
          <w:bCs/>
          <w:i/>
          <w:iCs/>
          <w:sz w:val="22"/>
          <w:szCs w:val="22"/>
        </w:rPr>
        <w:t>Amendment to Competitive Neutrality Policy Application of CN Policy to Council owned Aquatic and Leisure Centres</w:t>
      </w:r>
      <w:r w:rsidRPr="000523FC" w:rsidDel="0012141F">
        <w:rPr>
          <w:rFonts w:asciiTheme="minorHAnsi" w:hAnsiTheme="minorHAnsi"/>
          <w:i/>
          <w:sz w:val="22"/>
          <w:szCs w:val="22"/>
        </w:rPr>
        <w:t xml:space="preserve"> </w:t>
      </w:r>
      <w:r w:rsidR="009E774F" w:rsidRPr="000523FC">
        <w:rPr>
          <w:rFonts w:asciiTheme="minorHAnsi" w:hAnsiTheme="minorHAnsi"/>
          <w:sz w:val="22"/>
          <w:szCs w:val="22"/>
        </w:rPr>
        <w:t>(</w:t>
      </w:r>
      <w:r w:rsidRPr="000523FC">
        <w:rPr>
          <w:rFonts w:asciiTheme="minorHAnsi" w:hAnsiTheme="minorHAnsi"/>
          <w:sz w:val="22"/>
          <w:szCs w:val="22"/>
        </w:rPr>
        <w:t>DTF</w:t>
      </w:r>
      <w:r w:rsidR="0014071E" w:rsidRPr="000523FC">
        <w:rPr>
          <w:rFonts w:asciiTheme="minorHAnsi" w:hAnsiTheme="minorHAnsi"/>
          <w:sz w:val="22"/>
          <w:szCs w:val="22"/>
        </w:rPr>
        <w:t> </w:t>
      </w:r>
      <w:r w:rsidR="009E774F" w:rsidRPr="000523FC">
        <w:rPr>
          <w:rFonts w:asciiTheme="minorHAnsi" w:hAnsiTheme="minorHAnsi"/>
          <w:sz w:val="22"/>
          <w:szCs w:val="22"/>
        </w:rPr>
        <w:t>2003)</w:t>
      </w:r>
    </w:p>
    <w:p w:rsidR="001037CA" w:rsidRDefault="001037CA" w:rsidP="005B6BA5">
      <w:pPr>
        <w:spacing w:before="0" w:after="240"/>
        <w:ind w:right="474"/>
        <w:rPr>
          <w:rFonts w:asciiTheme="minorHAnsi" w:hAnsiTheme="minorHAnsi" w:cs="Arial"/>
          <w:color w:val="000000"/>
          <w:sz w:val="22"/>
          <w:szCs w:val="22"/>
        </w:rPr>
      </w:pPr>
      <w:r w:rsidRPr="000523FC">
        <w:rPr>
          <w:rFonts w:asciiTheme="minorHAnsi" w:hAnsiTheme="minorHAnsi" w:cs="Arial"/>
          <w:color w:val="000000"/>
          <w:sz w:val="22"/>
          <w:szCs w:val="22"/>
        </w:rPr>
        <w:t>The Commission</w:t>
      </w:r>
      <w:r w:rsidR="00222252">
        <w:rPr>
          <w:rFonts w:asciiTheme="minorHAnsi" w:hAnsiTheme="minorHAnsi" w:cs="Arial"/>
          <w:color w:val="000000"/>
          <w:sz w:val="22"/>
          <w:szCs w:val="22"/>
        </w:rPr>
        <w:t>er</w:t>
      </w:r>
      <w:r w:rsidR="006C4C1A" w:rsidRPr="000523FC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705EC5">
        <w:rPr>
          <w:rFonts w:asciiTheme="minorHAnsi" w:hAnsiTheme="minorHAnsi" w:cs="Arial"/>
          <w:color w:val="000000"/>
          <w:sz w:val="22"/>
          <w:szCs w:val="22"/>
        </w:rPr>
        <w:t xml:space="preserve">is responsible for achieving </w:t>
      </w:r>
      <w:r w:rsidRPr="000523FC">
        <w:rPr>
          <w:rFonts w:asciiTheme="minorHAnsi" w:hAnsiTheme="minorHAnsi" w:cs="Arial"/>
          <w:color w:val="000000"/>
          <w:sz w:val="22"/>
          <w:szCs w:val="22"/>
        </w:rPr>
        <w:t xml:space="preserve">awareness </w:t>
      </w:r>
      <w:r w:rsidR="00705EC5">
        <w:rPr>
          <w:rFonts w:asciiTheme="minorHAnsi" w:hAnsiTheme="minorHAnsi" w:cs="Arial"/>
          <w:color w:val="000000"/>
          <w:sz w:val="22"/>
          <w:szCs w:val="22"/>
        </w:rPr>
        <w:t>of</w:t>
      </w:r>
      <w:r w:rsidR="00123F0B">
        <w:rPr>
          <w:rFonts w:asciiTheme="minorHAnsi" w:hAnsiTheme="minorHAnsi" w:cs="Arial"/>
          <w:color w:val="000000"/>
          <w:sz w:val="22"/>
          <w:szCs w:val="22"/>
        </w:rPr>
        <w:t>,</w:t>
      </w:r>
      <w:r w:rsidR="00705EC5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0523FC">
        <w:rPr>
          <w:rFonts w:asciiTheme="minorHAnsi" w:hAnsiTheme="minorHAnsi" w:cs="Arial"/>
          <w:color w:val="000000"/>
          <w:sz w:val="22"/>
          <w:szCs w:val="22"/>
        </w:rPr>
        <w:t>and compliance with</w:t>
      </w:r>
      <w:r w:rsidR="00123F0B">
        <w:rPr>
          <w:rFonts w:asciiTheme="minorHAnsi" w:hAnsiTheme="minorHAnsi" w:cs="Arial"/>
          <w:color w:val="000000"/>
          <w:sz w:val="22"/>
          <w:szCs w:val="22"/>
        </w:rPr>
        <w:t>,</w:t>
      </w:r>
      <w:r w:rsidRPr="000523FC">
        <w:rPr>
          <w:rFonts w:asciiTheme="minorHAnsi" w:hAnsiTheme="minorHAnsi" w:cs="Arial"/>
          <w:color w:val="000000"/>
          <w:sz w:val="22"/>
          <w:szCs w:val="22"/>
        </w:rPr>
        <w:t xml:space="preserve"> the CN policy currently in force</w:t>
      </w:r>
      <w:r w:rsidR="00C1742E">
        <w:rPr>
          <w:rFonts w:asciiTheme="minorHAnsi" w:hAnsiTheme="minorHAnsi" w:cs="Arial"/>
          <w:color w:val="000000"/>
          <w:sz w:val="22"/>
          <w:szCs w:val="22"/>
        </w:rPr>
        <w:t>,</w:t>
      </w:r>
      <w:r w:rsidR="00BE08E2">
        <w:rPr>
          <w:rFonts w:asciiTheme="minorHAnsi" w:hAnsiTheme="minorHAnsi" w:cs="Arial"/>
          <w:color w:val="000000"/>
          <w:sz w:val="22"/>
          <w:szCs w:val="22"/>
        </w:rPr>
        <w:t xml:space="preserve"> and </w:t>
      </w:r>
      <w:r w:rsidR="00705EC5">
        <w:rPr>
          <w:rFonts w:asciiTheme="minorHAnsi" w:hAnsiTheme="minorHAnsi" w:cs="Arial"/>
          <w:color w:val="000000"/>
          <w:sz w:val="22"/>
          <w:szCs w:val="22"/>
        </w:rPr>
        <w:t>for</w:t>
      </w:r>
      <w:r w:rsidR="00BE08E2">
        <w:rPr>
          <w:rFonts w:asciiTheme="minorHAnsi" w:hAnsiTheme="minorHAnsi" w:cs="Arial"/>
          <w:color w:val="000000"/>
          <w:sz w:val="22"/>
          <w:szCs w:val="22"/>
        </w:rPr>
        <w:t xml:space="preserve"> conduct</w:t>
      </w:r>
      <w:r w:rsidR="00705EC5">
        <w:rPr>
          <w:rFonts w:asciiTheme="minorHAnsi" w:hAnsiTheme="minorHAnsi" w:cs="Arial"/>
          <w:color w:val="000000"/>
          <w:sz w:val="22"/>
          <w:szCs w:val="22"/>
        </w:rPr>
        <w:t>ing</w:t>
      </w:r>
      <w:r w:rsidR="00BE08E2">
        <w:rPr>
          <w:rFonts w:asciiTheme="minorHAnsi" w:hAnsiTheme="minorHAnsi" w:cs="Arial"/>
          <w:color w:val="000000"/>
          <w:sz w:val="22"/>
          <w:szCs w:val="22"/>
        </w:rPr>
        <w:t xml:space="preserve"> CN investigations</w:t>
      </w:r>
      <w:r w:rsidR="00705EC5">
        <w:rPr>
          <w:rFonts w:asciiTheme="minorHAnsi" w:hAnsiTheme="minorHAnsi" w:cs="Arial"/>
          <w:color w:val="000000"/>
          <w:sz w:val="22"/>
          <w:szCs w:val="22"/>
        </w:rPr>
        <w:t xml:space="preserve">. The OCBR advises the </w:t>
      </w:r>
      <w:r w:rsidR="006C4C1A" w:rsidRPr="000523FC">
        <w:rPr>
          <w:rFonts w:asciiTheme="minorHAnsi" w:hAnsiTheme="minorHAnsi" w:cs="Arial"/>
          <w:color w:val="000000"/>
          <w:sz w:val="22"/>
          <w:szCs w:val="22"/>
        </w:rPr>
        <w:lastRenderedPageBreak/>
        <w:t>Commission</w:t>
      </w:r>
      <w:r w:rsidR="00222252">
        <w:rPr>
          <w:rFonts w:asciiTheme="minorHAnsi" w:hAnsiTheme="minorHAnsi" w:cs="Arial"/>
          <w:color w:val="000000"/>
          <w:sz w:val="22"/>
          <w:szCs w:val="22"/>
        </w:rPr>
        <w:t>er</w:t>
      </w:r>
      <w:r w:rsidR="006C4C1A" w:rsidRPr="000523FC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705EC5">
        <w:rPr>
          <w:rFonts w:asciiTheme="minorHAnsi" w:hAnsiTheme="minorHAnsi" w:cs="Arial"/>
          <w:color w:val="000000"/>
          <w:sz w:val="22"/>
          <w:szCs w:val="22"/>
        </w:rPr>
        <w:t xml:space="preserve">on CN issues and undertakes CN-related activities under the Commissioner’s </w:t>
      </w:r>
      <w:r w:rsidR="006C4C1A" w:rsidRPr="000523FC">
        <w:rPr>
          <w:rFonts w:asciiTheme="minorHAnsi" w:hAnsiTheme="minorHAnsi" w:cs="Arial"/>
          <w:color w:val="000000"/>
          <w:sz w:val="22"/>
          <w:szCs w:val="22"/>
        </w:rPr>
        <w:t>oversight</w:t>
      </w:r>
      <w:r w:rsidR="00222252">
        <w:rPr>
          <w:rFonts w:asciiTheme="minorHAnsi" w:hAnsiTheme="minorHAnsi" w:cs="Arial"/>
          <w:color w:val="000000"/>
          <w:sz w:val="22"/>
          <w:szCs w:val="22"/>
        </w:rPr>
        <w:t xml:space="preserve"> and direction</w:t>
      </w:r>
      <w:r w:rsidR="006C4C1A" w:rsidRPr="000523FC">
        <w:rPr>
          <w:rFonts w:asciiTheme="minorHAnsi" w:hAnsiTheme="minorHAnsi" w:cs="Arial"/>
          <w:color w:val="000000"/>
          <w:sz w:val="22"/>
          <w:szCs w:val="22"/>
        </w:rPr>
        <w:t>.</w:t>
      </w:r>
    </w:p>
    <w:p w:rsidR="002D3E16" w:rsidRPr="000523FC" w:rsidRDefault="00FB03C9" w:rsidP="000523FC">
      <w:pPr>
        <w:pStyle w:val="Heading20"/>
        <w:spacing w:before="0"/>
        <w:rPr>
          <w:rFonts w:asciiTheme="minorHAnsi" w:hAnsiTheme="minorHAnsi"/>
          <w:color w:val="0063A4"/>
          <w:sz w:val="24"/>
        </w:rPr>
      </w:pPr>
      <w:r>
        <w:rPr>
          <w:rFonts w:asciiTheme="minorHAnsi" w:hAnsiTheme="minorHAnsi"/>
          <w:color w:val="0063A4"/>
          <w:sz w:val="24"/>
        </w:rPr>
        <w:t>T</w:t>
      </w:r>
      <w:r w:rsidR="006C7EC9" w:rsidRPr="000523FC">
        <w:rPr>
          <w:rFonts w:asciiTheme="minorHAnsi" w:hAnsiTheme="minorHAnsi"/>
          <w:color w:val="0063A4"/>
          <w:sz w:val="24"/>
        </w:rPr>
        <w:t xml:space="preserve">he scope of the </w:t>
      </w:r>
      <w:r>
        <w:rPr>
          <w:rFonts w:asciiTheme="minorHAnsi" w:hAnsiTheme="minorHAnsi"/>
          <w:color w:val="0063A4"/>
          <w:sz w:val="24"/>
        </w:rPr>
        <w:t xml:space="preserve">CN </w:t>
      </w:r>
      <w:r w:rsidR="006C7EC9" w:rsidRPr="000523FC">
        <w:rPr>
          <w:rFonts w:asciiTheme="minorHAnsi" w:hAnsiTheme="minorHAnsi"/>
          <w:color w:val="0063A4"/>
          <w:sz w:val="24"/>
        </w:rPr>
        <w:t>role</w:t>
      </w:r>
    </w:p>
    <w:p w:rsidR="006B048F" w:rsidRPr="000523FC" w:rsidRDefault="006B048F" w:rsidP="000523FC">
      <w:pPr>
        <w:spacing w:before="0" w:after="240"/>
        <w:rPr>
          <w:rFonts w:asciiTheme="minorHAnsi" w:hAnsiTheme="minorHAnsi" w:cs="Arial"/>
          <w:sz w:val="22"/>
          <w:szCs w:val="22"/>
        </w:rPr>
      </w:pPr>
      <w:r w:rsidRPr="000523FC">
        <w:rPr>
          <w:rFonts w:asciiTheme="minorHAnsi" w:hAnsiTheme="minorHAnsi" w:cs="Arial"/>
          <w:sz w:val="22"/>
          <w:szCs w:val="22"/>
        </w:rPr>
        <w:t xml:space="preserve">The CN </w:t>
      </w:r>
      <w:r w:rsidR="00222252">
        <w:rPr>
          <w:rFonts w:asciiTheme="minorHAnsi" w:hAnsiTheme="minorHAnsi" w:cs="Arial"/>
          <w:sz w:val="22"/>
          <w:szCs w:val="22"/>
        </w:rPr>
        <w:t>P</w:t>
      </w:r>
      <w:r w:rsidRPr="000523FC">
        <w:rPr>
          <w:rFonts w:asciiTheme="minorHAnsi" w:hAnsiTheme="minorHAnsi" w:cs="Arial"/>
          <w:sz w:val="22"/>
          <w:szCs w:val="22"/>
        </w:rPr>
        <w:t xml:space="preserve">olicy states: </w:t>
      </w:r>
    </w:p>
    <w:p w:rsidR="006B048F" w:rsidRPr="000523FC" w:rsidRDefault="00BE08E2" w:rsidP="000523FC">
      <w:pPr>
        <w:spacing w:before="0" w:after="240"/>
        <w:ind w:left="567" w:right="474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[The Commissioner] </w:t>
      </w:r>
      <w:r w:rsidR="006B048F" w:rsidRPr="000523FC">
        <w:rPr>
          <w:rFonts w:asciiTheme="minorHAnsi" w:hAnsiTheme="minorHAnsi" w:cs="Arial"/>
          <w:sz w:val="22"/>
          <w:szCs w:val="22"/>
        </w:rPr>
        <w:t xml:space="preserve">is </w:t>
      </w:r>
      <w:r w:rsidR="006B048F" w:rsidRPr="000523FC">
        <w:rPr>
          <w:rFonts w:asciiTheme="minorHAnsi" w:hAnsiTheme="minorHAnsi" w:cs="Arial"/>
          <w:iCs/>
          <w:sz w:val="22"/>
          <w:szCs w:val="22"/>
        </w:rPr>
        <w:t>responsible</w:t>
      </w:r>
      <w:r w:rsidR="006B048F" w:rsidRPr="000523FC">
        <w:rPr>
          <w:rFonts w:asciiTheme="minorHAnsi" w:hAnsiTheme="minorHAnsi" w:cs="Arial"/>
          <w:sz w:val="22"/>
          <w:szCs w:val="22"/>
        </w:rPr>
        <w:t xml:space="preserve"> for achieving awareness of and compliance with competitive neutrality policy, including its interpretation and application. (DTF 2012, p.</w:t>
      </w:r>
      <w:r w:rsidR="006B048F" w:rsidRPr="000523FC">
        <w:rPr>
          <w:rFonts w:asciiTheme="minorHAnsi" w:hAnsiTheme="minorHAnsi"/>
          <w:sz w:val="22"/>
          <w:szCs w:val="22"/>
        </w:rPr>
        <w:t> 3)</w:t>
      </w:r>
    </w:p>
    <w:p w:rsidR="006C7FB8" w:rsidRPr="000523FC" w:rsidRDefault="00BA5963" w:rsidP="000523FC">
      <w:pPr>
        <w:spacing w:before="0" w:after="240"/>
        <w:rPr>
          <w:rFonts w:asciiTheme="minorHAnsi" w:hAnsiTheme="minorHAnsi" w:cs="Arial"/>
          <w:sz w:val="22"/>
          <w:szCs w:val="22"/>
        </w:rPr>
      </w:pPr>
      <w:r w:rsidRPr="000523FC">
        <w:rPr>
          <w:rFonts w:asciiTheme="minorHAnsi" w:hAnsiTheme="minorHAnsi" w:cs="Arial"/>
          <w:sz w:val="22"/>
          <w:szCs w:val="22"/>
        </w:rPr>
        <w:t>Reflecting this,</w:t>
      </w:r>
      <w:r w:rsidR="00DA6356" w:rsidRPr="000523FC">
        <w:rPr>
          <w:rFonts w:asciiTheme="minorHAnsi" w:hAnsiTheme="minorHAnsi" w:cs="Arial"/>
          <w:sz w:val="22"/>
          <w:szCs w:val="22"/>
        </w:rPr>
        <w:t xml:space="preserve"> </w:t>
      </w:r>
      <w:r w:rsidR="004805EF" w:rsidRPr="000523FC">
        <w:rPr>
          <w:rFonts w:asciiTheme="minorHAnsi" w:hAnsiTheme="minorHAnsi" w:cs="Arial"/>
          <w:sz w:val="22"/>
          <w:szCs w:val="22"/>
        </w:rPr>
        <w:t xml:space="preserve">the </w:t>
      </w:r>
      <w:r w:rsidR="00705EC5">
        <w:rPr>
          <w:rFonts w:asciiTheme="minorHAnsi" w:hAnsiTheme="minorHAnsi" w:cs="Arial"/>
          <w:sz w:val="22"/>
          <w:szCs w:val="22"/>
        </w:rPr>
        <w:t xml:space="preserve">Commissioner and the </w:t>
      </w:r>
      <w:r w:rsidR="00523F2E">
        <w:rPr>
          <w:rFonts w:asciiTheme="minorHAnsi" w:hAnsiTheme="minorHAnsi" w:cs="Arial"/>
          <w:sz w:val="22"/>
          <w:szCs w:val="22"/>
        </w:rPr>
        <w:t>OCBR</w:t>
      </w:r>
      <w:r w:rsidR="00523F2E" w:rsidRPr="000523FC">
        <w:rPr>
          <w:rFonts w:asciiTheme="minorHAnsi" w:hAnsiTheme="minorHAnsi" w:cs="Arial"/>
          <w:sz w:val="22"/>
          <w:szCs w:val="22"/>
        </w:rPr>
        <w:t xml:space="preserve"> </w:t>
      </w:r>
      <w:r w:rsidR="008D0191" w:rsidRPr="000523FC">
        <w:rPr>
          <w:rFonts w:asciiTheme="minorHAnsi" w:hAnsiTheme="minorHAnsi" w:cs="Arial"/>
          <w:sz w:val="22"/>
          <w:szCs w:val="22"/>
        </w:rPr>
        <w:t>undertake</w:t>
      </w:r>
      <w:r w:rsidR="00B43E7A">
        <w:rPr>
          <w:rFonts w:asciiTheme="minorHAnsi" w:hAnsiTheme="minorHAnsi" w:cs="Arial"/>
          <w:sz w:val="22"/>
          <w:szCs w:val="22"/>
        </w:rPr>
        <w:t xml:space="preserve"> </w:t>
      </w:r>
      <w:r w:rsidR="005D0822">
        <w:rPr>
          <w:rFonts w:asciiTheme="minorHAnsi" w:hAnsiTheme="minorHAnsi" w:cs="Arial"/>
          <w:sz w:val="22"/>
          <w:szCs w:val="22"/>
        </w:rPr>
        <w:t>activities</w:t>
      </w:r>
      <w:r w:rsidR="008D0191" w:rsidRPr="000523FC">
        <w:rPr>
          <w:rFonts w:asciiTheme="minorHAnsi" w:hAnsiTheme="minorHAnsi" w:cs="Arial"/>
          <w:sz w:val="22"/>
          <w:szCs w:val="22"/>
        </w:rPr>
        <w:t xml:space="preserve"> to achieve compliance with CN policy</w:t>
      </w:r>
      <w:r w:rsidR="006C7FB8" w:rsidRPr="000523FC">
        <w:rPr>
          <w:rFonts w:asciiTheme="minorHAnsi" w:hAnsiTheme="minorHAnsi" w:cs="Arial"/>
          <w:sz w:val="22"/>
          <w:szCs w:val="22"/>
        </w:rPr>
        <w:t xml:space="preserve"> </w:t>
      </w:r>
      <w:r w:rsidR="00E83E4B" w:rsidRPr="000523FC">
        <w:rPr>
          <w:rFonts w:asciiTheme="minorHAnsi" w:hAnsiTheme="minorHAnsi" w:cs="Arial"/>
          <w:sz w:val="22"/>
          <w:szCs w:val="22"/>
        </w:rPr>
        <w:t>by:</w:t>
      </w:r>
      <w:r w:rsidR="006C7FB8" w:rsidRPr="000523FC">
        <w:rPr>
          <w:rFonts w:asciiTheme="minorHAnsi" w:hAnsiTheme="minorHAnsi" w:cs="Arial"/>
          <w:sz w:val="22"/>
          <w:szCs w:val="22"/>
        </w:rPr>
        <w:t xml:space="preserve"> </w:t>
      </w:r>
    </w:p>
    <w:p w:rsidR="00DA6356" w:rsidRPr="005B6BA5" w:rsidRDefault="00E83E4B" w:rsidP="00627AA0">
      <w:pPr>
        <w:pStyle w:val="Bullet"/>
        <w:tabs>
          <w:tab w:val="clear" w:pos="360"/>
        </w:tabs>
        <w:spacing w:before="0"/>
        <w:ind w:left="567" w:hanging="567"/>
        <w:rPr>
          <w:rFonts w:asciiTheme="minorHAnsi" w:hAnsiTheme="minorHAnsi"/>
          <w:sz w:val="22"/>
          <w:szCs w:val="22"/>
        </w:rPr>
      </w:pPr>
      <w:r w:rsidRPr="005B6BA5">
        <w:rPr>
          <w:rFonts w:asciiTheme="minorHAnsi" w:hAnsiTheme="minorHAnsi"/>
          <w:sz w:val="22"/>
          <w:szCs w:val="22"/>
        </w:rPr>
        <w:t>i</w:t>
      </w:r>
      <w:r w:rsidR="00A72FA3" w:rsidRPr="005B6BA5">
        <w:rPr>
          <w:rFonts w:asciiTheme="minorHAnsi" w:hAnsiTheme="minorHAnsi"/>
          <w:sz w:val="22"/>
          <w:szCs w:val="22"/>
        </w:rPr>
        <w:t>nvestigatin</w:t>
      </w:r>
      <w:r w:rsidR="00DA6356" w:rsidRPr="005B6BA5">
        <w:rPr>
          <w:rFonts w:asciiTheme="minorHAnsi" w:hAnsiTheme="minorHAnsi"/>
          <w:sz w:val="22"/>
          <w:szCs w:val="22"/>
        </w:rPr>
        <w:t>g</w:t>
      </w:r>
      <w:r w:rsidR="00A72FA3" w:rsidRPr="005B6BA5">
        <w:rPr>
          <w:rFonts w:asciiTheme="minorHAnsi" w:hAnsiTheme="minorHAnsi"/>
          <w:sz w:val="22"/>
          <w:szCs w:val="22"/>
        </w:rPr>
        <w:t xml:space="preserve"> complaints</w:t>
      </w:r>
      <w:r w:rsidR="00AC56E1" w:rsidRPr="005B6BA5">
        <w:rPr>
          <w:rFonts w:asciiTheme="minorHAnsi" w:hAnsiTheme="minorHAnsi"/>
          <w:sz w:val="22"/>
          <w:szCs w:val="22"/>
        </w:rPr>
        <w:t xml:space="preserve"> </w:t>
      </w:r>
      <w:r w:rsidR="009C490A" w:rsidRPr="005B6BA5">
        <w:rPr>
          <w:rFonts w:asciiTheme="minorHAnsi" w:hAnsiTheme="minorHAnsi"/>
          <w:sz w:val="22"/>
          <w:szCs w:val="22"/>
        </w:rPr>
        <w:t>by a directly</w:t>
      </w:r>
      <w:r w:rsidR="006B5FF1">
        <w:rPr>
          <w:rFonts w:asciiTheme="minorHAnsi" w:hAnsiTheme="minorHAnsi"/>
          <w:sz w:val="22"/>
          <w:szCs w:val="22"/>
        </w:rPr>
        <w:t>-</w:t>
      </w:r>
      <w:r w:rsidR="009C490A" w:rsidRPr="005B6BA5">
        <w:rPr>
          <w:rFonts w:asciiTheme="minorHAnsi" w:hAnsiTheme="minorHAnsi"/>
          <w:sz w:val="22"/>
          <w:szCs w:val="22"/>
        </w:rPr>
        <w:t xml:space="preserve">affected person or business, or by industry or community groups, about a government business that may not be </w:t>
      </w:r>
      <w:r w:rsidR="00705EC5">
        <w:rPr>
          <w:rFonts w:asciiTheme="minorHAnsi" w:hAnsiTheme="minorHAnsi"/>
          <w:sz w:val="22"/>
          <w:szCs w:val="22"/>
        </w:rPr>
        <w:t>com</w:t>
      </w:r>
      <w:r w:rsidR="009C490A" w:rsidRPr="005B6BA5">
        <w:rPr>
          <w:rFonts w:asciiTheme="minorHAnsi" w:hAnsiTheme="minorHAnsi"/>
          <w:sz w:val="22"/>
          <w:szCs w:val="22"/>
        </w:rPr>
        <w:t>plying</w:t>
      </w:r>
      <w:r w:rsidR="00705EC5">
        <w:rPr>
          <w:rFonts w:asciiTheme="minorHAnsi" w:hAnsiTheme="minorHAnsi"/>
          <w:sz w:val="22"/>
          <w:szCs w:val="22"/>
        </w:rPr>
        <w:t xml:space="preserve"> with</w:t>
      </w:r>
      <w:r w:rsidR="009C490A" w:rsidRPr="005B6BA5">
        <w:rPr>
          <w:rFonts w:asciiTheme="minorHAnsi" w:hAnsiTheme="minorHAnsi"/>
          <w:sz w:val="22"/>
          <w:szCs w:val="22"/>
        </w:rPr>
        <w:t xml:space="preserve"> CN</w:t>
      </w:r>
      <w:r w:rsidR="00B61B3E" w:rsidRPr="005B6BA5">
        <w:rPr>
          <w:rFonts w:asciiTheme="minorHAnsi" w:hAnsiTheme="minorHAnsi"/>
          <w:sz w:val="22"/>
          <w:szCs w:val="22"/>
        </w:rPr>
        <w:t xml:space="preserve"> policy</w:t>
      </w:r>
    </w:p>
    <w:p w:rsidR="00352CCC" w:rsidRPr="005B6BA5" w:rsidRDefault="00E83E4B" w:rsidP="00627AA0">
      <w:pPr>
        <w:pStyle w:val="Bullet"/>
        <w:tabs>
          <w:tab w:val="clear" w:pos="360"/>
        </w:tabs>
        <w:spacing w:before="0"/>
        <w:ind w:left="567" w:hanging="567"/>
        <w:rPr>
          <w:rFonts w:asciiTheme="minorHAnsi" w:hAnsiTheme="minorHAnsi"/>
          <w:sz w:val="22"/>
          <w:szCs w:val="22"/>
        </w:rPr>
      </w:pPr>
      <w:r w:rsidRPr="005B6BA5">
        <w:rPr>
          <w:rFonts w:asciiTheme="minorHAnsi" w:hAnsiTheme="minorHAnsi"/>
          <w:sz w:val="22"/>
          <w:szCs w:val="22"/>
        </w:rPr>
        <w:t>p</w:t>
      </w:r>
      <w:r w:rsidR="00DA6356" w:rsidRPr="005B6BA5">
        <w:rPr>
          <w:rFonts w:asciiTheme="minorHAnsi" w:hAnsiTheme="minorHAnsi"/>
          <w:sz w:val="22"/>
          <w:szCs w:val="22"/>
        </w:rPr>
        <w:t xml:space="preserve">roviding advice to </w:t>
      </w:r>
      <w:r w:rsidR="0025032D" w:rsidRPr="005B6BA5">
        <w:rPr>
          <w:rFonts w:asciiTheme="minorHAnsi" w:hAnsiTheme="minorHAnsi"/>
          <w:sz w:val="22"/>
          <w:szCs w:val="22"/>
        </w:rPr>
        <w:t xml:space="preserve">departments, </w:t>
      </w:r>
      <w:r w:rsidR="00DA6356" w:rsidRPr="005B6BA5">
        <w:rPr>
          <w:rFonts w:asciiTheme="minorHAnsi" w:hAnsiTheme="minorHAnsi"/>
          <w:sz w:val="22"/>
          <w:szCs w:val="22"/>
        </w:rPr>
        <w:t xml:space="preserve">agencies and local governments </w:t>
      </w:r>
      <w:r w:rsidR="00705EC5">
        <w:rPr>
          <w:rFonts w:asciiTheme="minorHAnsi" w:hAnsiTheme="minorHAnsi"/>
          <w:sz w:val="22"/>
          <w:szCs w:val="22"/>
        </w:rPr>
        <w:t>at their request</w:t>
      </w:r>
      <w:r w:rsidR="006C7FB8" w:rsidRPr="005B6BA5">
        <w:rPr>
          <w:rFonts w:asciiTheme="minorHAnsi" w:hAnsiTheme="minorHAnsi"/>
          <w:sz w:val="22"/>
          <w:szCs w:val="22"/>
        </w:rPr>
        <w:t xml:space="preserve"> to determin</w:t>
      </w:r>
      <w:r w:rsidRPr="005B6BA5">
        <w:rPr>
          <w:rFonts w:asciiTheme="minorHAnsi" w:hAnsiTheme="minorHAnsi"/>
          <w:sz w:val="22"/>
          <w:szCs w:val="22"/>
        </w:rPr>
        <w:t>e</w:t>
      </w:r>
      <w:r w:rsidR="006C7FB8" w:rsidRPr="005B6BA5">
        <w:rPr>
          <w:rFonts w:asciiTheme="minorHAnsi" w:hAnsiTheme="minorHAnsi"/>
          <w:sz w:val="22"/>
          <w:szCs w:val="22"/>
        </w:rPr>
        <w:t xml:space="preserve"> whether their business activities fall within the scope of CN policy</w:t>
      </w:r>
      <w:r w:rsidR="00110EAE" w:rsidRPr="005B6BA5">
        <w:rPr>
          <w:rFonts w:asciiTheme="minorHAnsi" w:hAnsiTheme="minorHAnsi"/>
          <w:sz w:val="22"/>
          <w:szCs w:val="22"/>
        </w:rPr>
        <w:t xml:space="preserve"> </w:t>
      </w:r>
      <w:r w:rsidR="004955BA" w:rsidRPr="005B6BA5">
        <w:rPr>
          <w:rFonts w:asciiTheme="minorHAnsi" w:hAnsiTheme="minorHAnsi"/>
          <w:sz w:val="22"/>
          <w:szCs w:val="22"/>
        </w:rPr>
        <w:t>and/</w:t>
      </w:r>
      <w:r w:rsidR="00110EAE" w:rsidRPr="005B6BA5">
        <w:rPr>
          <w:rFonts w:asciiTheme="minorHAnsi" w:hAnsiTheme="minorHAnsi"/>
          <w:sz w:val="22"/>
          <w:szCs w:val="22"/>
        </w:rPr>
        <w:t>or which measures need to be considered to apply</w:t>
      </w:r>
      <w:r w:rsidR="00110EAE" w:rsidRPr="005B6BA5">
        <w:rPr>
          <w:rFonts w:asciiTheme="minorHAnsi" w:hAnsiTheme="minorHAnsi"/>
          <w:bCs/>
          <w:sz w:val="22"/>
          <w:szCs w:val="22"/>
        </w:rPr>
        <w:t xml:space="preserve"> CN</w:t>
      </w:r>
    </w:p>
    <w:p w:rsidR="000337CD" w:rsidRPr="005B6BA5" w:rsidRDefault="00630A5E" w:rsidP="00627AA0">
      <w:pPr>
        <w:pStyle w:val="Bullet"/>
        <w:tabs>
          <w:tab w:val="clear" w:pos="360"/>
        </w:tabs>
        <w:spacing w:before="0"/>
        <w:ind w:left="567" w:hanging="567"/>
        <w:rPr>
          <w:rFonts w:asciiTheme="minorHAnsi" w:hAnsiTheme="minorHAnsi"/>
          <w:sz w:val="22"/>
          <w:szCs w:val="22"/>
        </w:rPr>
      </w:pPr>
      <w:r w:rsidRPr="005B6BA5">
        <w:rPr>
          <w:rFonts w:asciiTheme="minorHAnsi" w:hAnsiTheme="minorHAnsi"/>
          <w:sz w:val="22"/>
          <w:szCs w:val="22"/>
        </w:rPr>
        <w:t>responding to inquiries from potential complainants about the application of CN</w:t>
      </w:r>
      <w:r w:rsidR="0025032D" w:rsidRPr="005B6BA5">
        <w:rPr>
          <w:rFonts w:asciiTheme="minorHAnsi" w:hAnsiTheme="minorHAnsi"/>
          <w:sz w:val="22"/>
          <w:szCs w:val="22"/>
        </w:rPr>
        <w:t xml:space="preserve"> to particular government entities and </w:t>
      </w:r>
      <w:r w:rsidR="00B61B3E" w:rsidRPr="005B6BA5">
        <w:rPr>
          <w:rFonts w:asciiTheme="minorHAnsi" w:hAnsiTheme="minorHAnsi"/>
          <w:sz w:val="22"/>
          <w:szCs w:val="22"/>
        </w:rPr>
        <w:t xml:space="preserve">about </w:t>
      </w:r>
      <w:r w:rsidR="0025032D" w:rsidRPr="005B6BA5">
        <w:rPr>
          <w:rFonts w:asciiTheme="minorHAnsi" w:hAnsiTheme="minorHAnsi"/>
          <w:sz w:val="22"/>
          <w:szCs w:val="22"/>
        </w:rPr>
        <w:t>the complaint process</w:t>
      </w:r>
    </w:p>
    <w:p w:rsidR="00A46390" w:rsidRPr="005B6BA5" w:rsidRDefault="000337CD" w:rsidP="000523FC">
      <w:pPr>
        <w:pStyle w:val="Bullet"/>
        <w:tabs>
          <w:tab w:val="clear" w:pos="360"/>
        </w:tabs>
        <w:spacing w:before="0" w:after="240"/>
        <w:ind w:left="567" w:hanging="567"/>
        <w:rPr>
          <w:rFonts w:asciiTheme="minorHAnsi" w:hAnsiTheme="minorHAnsi"/>
          <w:sz w:val="22"/>
          <w:szCs w:val="22"/>
        </w:rPr>
      </w:pPr>
      <w:proofErr w:type="gramStart"/>
      <w:r w:rsidRPr="005B6BA5">
        <w:rPr>
          <w:rFonts w:asciiTheme="minorHAnsi" w:hAnsiTheme="minorHAnsi"/>
          <w:sz w:val="22"/>
          <w:szCs w:val="22"/>
        </w:rPr>
        <w:t>undertaking</w:t>
      </w:r>
      <w:proofErr w:type="gramEnd"/>
      <w:r w:rsidRPr="005B6BA5">
        <w:rPr>
          <w:rFonts w:asciiTheme="minorHAnsi" w:hAnsiTheme="minorHAnsi"/>
          <w:sz w:val="22"/>
          <w:szCs w:val="22"/>
        </w:rPr>
        <w:t xml:space="preserve"> </w:t>
      </w:r>
      <w:r w:rsidR="005D0822" w:rsidRPr="005B6BA5">
        <w:rPr>
          <w:rFonts w:asciiTheme="minorHAnsi" w:hAnsiTheme="minorHAnsi"/>
          <w:sz w:val="22"/>
          <w:szCs w:val="22"/>
        </w:rPr>
        <w:t xml:space="preserve">other </w:t>
      </w:r>
      <w:r w:rsidR="00B43E7A">
        <w:rPr>
          <w:rFonts w:asciiTheme="minorHAnsi" w:hAnsiTheme="minorHAnsi"/>
          <w:sz w:val="22"/>
          <w:szCs w:val="22"/>
        </w:rPr>
        <w:t xml:space="preserve">education </w:t>
      </w:r>
      <w:r w:rsidRPr="005B6BA5">
        <w:rPr>
          <w:rFonts w:asciiTheme="minorHAnsi" w:hAnsiTheme="minorHAnsi"/>
          <w:sz w:val="22"/>
          <w:szCs w:val="22"/>
        </w:rPr>
        <w:t xml:space="preserve">activities to </w:t>
      </w:r>
      <w:r w:rsidR="00705EC5">
        <w:rPr>
          <w:rFonts w:asciiTheme="minorHAnsi" w:hAnsiTheme="minorHAnsi"/>
          <w:sz w:val="22"/>
          <w:szCs w:val="22"/>
        </w:rPr>
        <w:t xml:space="preserve">ensure that the Government </w:t>
      </w:r>
      <w:r w:rsidR="005D0822" w:rsidRPr="005B6BA5">
        <w:rPr>
          <w:rFonts w:asciiTheme="minorHAnsi" w:hAnsiTheme="minorHAnsi"/>
          <w:sz w:val="22"/>
          <w:szCs w:val="22"/>
        </w:rPr>
        <w:t>compli</w:t>
      </w:r>
      <w:r w:rsidR="00705EC5">
        <w:rPr>
          <w:rFonts w:asciiTheme="minorHAnsi" w:hAnsiTheme="minorHAnsi"/>
          <w:sz w:val="22"/>
          <w:szCs w:val="22"/>
        </w:rPr>
        <w:t>es</w:t>
      </w:r>
      <w:r w:rsidR="005D0822" w:rsidRPr="005B6BA5">
        <w:rPr>
          <w:rFonts w:asciiTheme="minorHAnsi" w:hAnsiTheme="minorHAnsi"/>
          <w:sz w:val="22"/>
          <w:szCs w:val="22"/>
        </w:rPr>
        <w:t xml:space="preserve"> with</w:t>
      </w:r>
      <w:r w:rsidRPr="005B6BA5">
        <w:rPr>
          <w:rFonts w:asciiTheme="minorHAnsi" w:hAnsiTheme="minorHAnsi"/>
          <w:sz w:val="22"/>
          <w:szCs w:val="22"/>
        </w:rPr>
        <w:t xml:space="preserve"> CN</w:t>
      </w:r>
      <w:r w:rsidR="00B43E7A">
        <w:rPr>
          <w:rFonts w:asciiTheme="minorHAnsi" w:hAnsiTheme="minorHAnsi"/>
          <w:sz w:val="22"/>
          <w:szCs w:val="22"/>
        </w:rPr>
        <w:t xml:space="preserve"> </w:t>
      </w:r>
      <w:r w:rsidR="00C1742E">
        <w:rPr>
          <w:rFonts w:asciiTheme="minorHAnsi" w:hAnsiTheme="minorHAnsi"/>
          <w:sz w:val="22"/>
          <w:szCs w:val="22"/>
        </w:rPr>
        <w:t>p</w:t>
      </w:r>
      <w:r w:rsidR="00B43E7A">
        <w:rPr>
          <w:rFonts w:asciiTheme="minorHAnsi" w:hAnsiTheme="minorHAnsi"/>
          <w:sz w:val="22"/>
          <w:szCs w:val="22"/>
        </w:rPr>
        <w:t>olicy</w:t>
      </w:r>
      <w:r w:rsidRPr="005B6BA5">
        <w:rPr>
          <w:rFonts w:asciiTheme="minorHAnsi" w:hAnsiTheme="minorHAnsi"/>
          <w:sz w:val="22"/>
          <w:szCs w:val="22"/>
        </w:rPr>
        <w:t>.</w:t>
      </w:r>
    </w:p>
    <w:p w:rsidR="00B43E7A" w:rsidRPr="00B43E7A" w:rsidRDefault="0032609A" w:rsidP="00B43E7A">
      <w:pPr>
        <w:pStyle w:val="Heading20"/>
        <w:spacing w:before="0"/>
        <w:rPr>
          <w:rFonts w:asciiTheme="minorHAnsi" w:hAnsiTheme="minorHAnsi"/>
          <w:color w:val="0063A4"/>
          <w:sz w:val="24"/>
        </w:rPr>
      </w:pPr>
      <w:r>
        <w:rPr>
          <w:rFonts w:asciiTheme="minorHAnsi" w:hAnsiTheme="minorHAnsi"/>
          <w:color w:val="0063A4"/>
          <w:sz w:val="24"/>
        </w:rPr>
        <w:t>Competitive Neutrality c</w:t>
      </w:r>
      <w:r w:rsidR="00B43E7A" w:rsidRPr="00B43E7A">
        <w:rPr>
          <w:rFonts w:asciiTheme="minorHAnsi" w:hAnsiTheme="minorHAnsi"/>
          <w:color w:val="0063A4"/>
          <w:sz w:val="24"/>
        </w:rPr>
        <w:t>omplaints</w:t>
      </w:r>
    </w:p>
    <w:p w:rsidR="0032609A" w:rsidRPr="00382181" w:rsidRDefault="005D0822" w:rsidP="00671363">
      <w:pPr>
        <w:rPr>
          <w:rFonts w:asciiTheme="minorHAnsi" w:hAnsiTheme="minorHAnsi" w:cs="Arial"/>
          <w:sz w:val="22"/>
          <w:szCs w:val="22"/>
        </w:rPr>
      </w:pPr>
      <w:r w:rsidRPr="005B6BA5">
        <w:rPr>
          <w:rFonts w:asciiTheme="minorHAnsi" w:hAnsiTheme="minorHAnsi" w:cs="Arial"/>
          <w:iCs/>
          <w:sz w:val="22"/>
          <w:szCs w:val="22"/>
        </w:rPr>
        <w:t xml:space="preserve">The CN policy provides for a complaints-based system, with an underlying presumption of ‘assumed compliance’ </w:t>
      </w:r>
      <w:r w:rsidR="0032609A" w:rsidRPr="00382181">
        <w:rPr>
          <w:rFonts w:asciiTheme="minorHAnsi" w:hAnsiTheme="minorHAnsi" w:cs="Arial"/>
          <w:sz w:val="22"/>
          <w:szCs w:val="22"/>
        </w:rPr>
        <w:t xml:space="preserve">rather than non-compliance </w:t>
      </w:r>
      <w:r w:rsidRPr="005B6BA5">
        <w:rPr>
          <w:rFonts w:asciiTheme="minorHAnsi" w:hAnsiTheme="minorHAnsi" w:cs="Arial"/>
          <w:iCs/>
          <w:sz w:val="22"/>
          <w:szCs w:val="22"/>
        </w:rPr>
        <w:t>with the policy</w:t>
      </w:r>
      <w:r w:rsidR="0032609A">
        <w:rPr>
          <w:rFonts w:asciiTheme="minorHAnsi" w:hAnsiTheme="minorHAnsi" w:cs="Arial"/>
          <w:iCs/>
          <w:sz w:val="22"/>
          <w:szCs w:val="22"/>
        </w:rPr>
        <w:t xml:space="preserve"> </w:t>
      </w:r>
      <w:r w:rsidR="0032609A" w:rsidRPr="00382181">
        <w:rPr>
          <w:rFonts w:asciiTheme="minorHAnsi" w:hAnsiTheme="minorHAnsi" w:cs="Arial"/>
          <w:sz w:val="22"/>
          <w:szCs w:val="22"/>
        </w:rPr>
        <w:t>(DTF 2012, p. 11).</w:t>
      </w:r>
      <w:r w:rsidR="0032609A">
        <w:rPr>
          <w:rFonts w:asciiTheme="minorHAnsi" w:hAnsiTheme="minorHAnsi" w:cs="Arial"/>
          <w:iCs/>
          <w:sz w:val="22"/>
          <w:szCs w:val="22"/>
        </w:rPr>
        <w:t xml:space="preserve"> </w:t>
      </w:r>
      <w:r w:rsidR="0032609A" w:rsidRPr="00382181">
        <w:rPr>
          <w:rFonts w:asciiTheme="minorHAnsi" w:hAnsiTheme="minorHAnsi" w:cs="Arial"/>
          <w:sz w:val="22"/>
          <w:szCs w:val="22"/>
        </w:rPr>
        <w:t>The policy notes that individual departments, agencies and local governments are responsible for:</w:t>
      </w:r>
    </w:p>
    <w:p w:rsidR="0032609A" w:rsidRPr="00382181" w:rsidRDefault="0032609A" w:rsidP="0032609A">
      <w:pPr>
        <w:pStyle w:val="BoxBullet"/>
        <w:spacing w:before="120" w:after="120"/>
        <w:rPr>
          <w:rFonts w:asciiTheme="minorHAnsi" w:hAnsiTheme="minorHAnsi"/>
          <w:sz w:val="22"/>
          <w:szCs w:val="22"/>
        </w:rPr>
      </w:pPr>
      <w:r w:rsidRPr="00382181">
        <w:rPr>
          <w:rFonts w:asciiTheme="minorHAnsi" w:hAnsiTheme="minorHAnsi"/>
          <w:sz w:val="22"/>
          <w:szCs w:val="22"/>
        </w:rPr>
        <w:t xml:space="preserve">identifying the activities to which </w:t>
      </w:r>
      <w:r w:rsidR="00C1742E">
        <w:rPr>
          <w:rFonts w:asciiTheme="minorHAnsi" w:hAnsiTheme="minorHAnsi"/>
          <w:sz w:val="22"/>
          <w:szCs w:val="22"/>
        </w:rPr>
        <w:t>CN</w:t>
      </w:r>
      <w:r w:rsidRPr="00382181">
        <w:rPr>
          <w:rFonts w:asciiTheme="minorHAnsi" w:hAnsiTheme="minorHAnsi"/>
          <w:sz w:val="22"/>
          <w:szCs w:val="22"/>
        </w:rPr>
        <w:t xml:space="preserve"> policy applies</w:t>
      </w:r>
    </w:p>
    <w:p w:rsidR="0032609A" w:rsidRPr="00382181" w:rsidRDefault="0032609A" w:rsidP="0032609A">
      <w:pPr>
        <w:pStyle w:val="BoxBullet"/>
        <w:spacing w:before="120" w:after="120"/>
        <w:rPr>
          <w:rFonts w:asciiTheme="minorHAnsi" w:hAnsiTheme="minorHAnsi"/>
          <w:sz w:val="22"/>
          <w:szCs w:val="22"/>
        </w:rPr>
      </w:pPr>
      <w:r w:rsidRPr="00382181">
        <w:rPr>
          <w:rFonts w:asciiTheme="minorHAnsi" w:hAnsiTheme="minorHAnsi"/>
          <w:sz w:val="22"/>
          <w:szCs w:val="22"/>
        </w:rPr>
        <w:t xml:space="preserve">taking the necessary actions to comply with </w:t>
      </w:r>
      <w:r w:rsidR="00C1742E">
        <w:rPr>
          <w:rFonts w:asciiTheme="minorHAnsi" w:hAnsiTheme="minorHAnsi"/>
          <w:sz w:val="22"/>
          <w:szCs w:val="22"/>
        </w:rPr>
        <w:t>CN</w:t>
      </w:r>
      <w:r w:rsidRPr="00382181">
        <w:rPr>
          <w:rFonts w:asciiTheme="minorHAnsi" w:hAnsiTheme="minorHAnsi"/>
          <w:sz w:val="22"/>
          <w:szCs w:val="22"/>
        </w:rPr>
        <w:t xml:space="preserve"> policy</w:t>
      </w:r>
    </w:p>
    <w:p w:rsidR="0032609A" w:rsidRPr="00382181" w:rsidRDefault="0032609A" w:rsidP="0032609A">
      <w:pPr>
        <w:pStyle w:val="BoxBulletend"/>
        <w:spacing w:before="120"/>
        <w:rPr>
          <w:rFonts w:asciiTheme="minorHAnsi" w:hAnsiTheme="minorHAnsi"/>
          <w:sz w:val="22"/>
          <w:szCs w:val="22"/>
        </w:rPr>
      </w:pPr>
      <w:proofErr w:type="gramStart"/>
      <w:r w:rsidRPr="00382181">
        <w:rPr>
          <w:rFonts w:asciiTheme="minorHAnsi" w:hAnsiTheme="minorHAnsi"/>
          <w:sz w:val="22"/>
          <w:szCs w:val="22"/>
        </w:rPr>
        <w:t>documenting</w:t>
      </w:r>
      <w:proofErr w:type="gramEnd"/>
      <w:r w:rsidRPr="00382181">
        <w:rPr>
          <w:rFonts w:asciiTheme="minorHAnsi" w:hAnsiTheme="minorHAnsi"/>
          <w:sz w:val="22"/>
          <w:szCs w:val="22"/>
        </w:rPr>
        <w:t xml:space="preserve"> the decisions they have taken and making the material available to the public on request (DTF 2012, p. 11).</w:t>
      </w:r>
    </w:p>
    <w:p w:rsidR="0025032D" w:rsidRPr="000523FC" w:rsidRDefault="0025032D" w:rsidP="000523FC">
      <w:pPr>
        <w:pStyle w:val="Heading20"/>
        <w:spacing w:before="0"/>
        <w:rPr>
          <w:rFonts w:asciiTheme="minorHAnsi" w:hAnsiTheme="minorHAnsi"/>
          <w:color w:val="0063A4"/>
          <w:sz w:val="24"/>
        </w:rPr>
      </w:pPr>
      <w:r w:rsidRPr="000523FC">
        <w:rPr>
          <w:rFonts w:asciiTheme="minorHAnsi" w:hAnsiTheme="minorHAnsi"/>
          <w:color w:val="0063A4"/>
          <w:sz w:val="24"/>
        </w:rPr>
        <w:t>The complaints process</w:t>
      </w:r>
    </w:p>
    <w:p w:rsidR="002152FC" w:rsidRDefault="00FB03C9" w:rsidP="0032609A">
      <w:pPr>
        <w:pStyle w:val="BoxTex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The CN complaints process is </w:t>
      </w:r>
      <w:r w:rsidR="00523F2E">
        <w:rPr>
          <w:rFonts w:asciiTheme="minorHAnsi" w:hAnsiTheme="minorHAnsi" w:cs="Arial"/>
          <w:sz w:val="22"/>
          <w:szCs w:val="22"/>
        </w:rPr>
        <w:t>set out</w:t>
      </w:r>
      <w:r>
        <w:rPr>
          <w:rFonts w:asciiTheme="minorHAnsi" w:hAnsiTheme="minorHAnsi" w:cs="Arial"/>
          <w:sz w:val="22"/>
          <w:szCs w:val="22"/>
        </w:rPr>
        <w:t xml:space="preserve"> in the CN Policy, the CN Guide to Implementation and the instrument of appointment for the Commissioner. </w:t>
      </w:r>
    </w:p>
    <w:p w:rsidR="0032609A" w:rsidRDefault="00FB03C9" w:rsidP="0032609A">
      <w:pPr>
        <w:pStyle w:val="BoxTex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In considering CN complaints</w:t>
      </w:r>
      <w:r w:rsidR="002152FC">
        <w:rPr>
          <w:rFonts w:asciiTheme="minorHAnsi" w:hAnsiTheme="minorHAnsi" w:cs="Arial"/>
          <w:sz w:val="22"/>
          <w:szCs w:val="22"/>
        </w:rPr>
        <w:t xml:space="preserve">, the </w:t>
      </w:r>
      <w:r w:rsidR="00705EC5">
        <w:rPr>
          <w:rFonts w:asciiTheme="minorHAnsi" w:hAnsiTheme="minorHAnsi" w:cs="Arial"/>
          <w:sz w:val="22"/>
          <w:szCs w:val="22"/>
        </w:rPr>
        <w:t>Commissioner is</w:t>
      </w:r>
      <w:r>
        <w:rPr>
          <w:rFonts w:asciiTheme="minorHAnsi" w:hAnsiTheme="minorHAnsi" w:cs="Arial"/>
          <w:sz w:val="22"/>
          <w:szCs w:val="22"/>
        </w:rPr>
        <w:t xml:space="preserve"> required to </w:t>
      </w:r>
      <w:r w:rsidR="002152FC">
        <w:rPr>
          <w:rFonts w:asciiTheme="minorHAnsi" w:hAnsiTheme="minorHAnsi" w:cs="Arial"/>
          <w:sz w:val="22"/>
          <w:szCs w:val="22"/>
        </w:rPr>
        <w:t>apply the CN policy currently in force and must also give:</w:t>
      </w:r>
    </w:p>
    <w:p w:rsidR="002152FC" w:rsidRPr="00B60FBF" w:rsidRDefault="002152FC" w:rsidP="002152FC">
      <w:pPr>
        <w:pStyle w:val="BoxText"/>
        <w:ind w:left="720"/>
        <w:rPr>
          <w:rFonts w:asciiTheme="minorHAnsi" w:hAnsiTheme="minorHAnsi" w:cs="Arial"/>
          <w:i/>
          <w:sz w:val="22"/>
          <w:szCs w:val="22"/>
        </w:rPr>
      </w:pPr>
      <w:r w:rsidRPr="00B60FBF">
        <w:rPr>
          <w:rFonts w:asciiTheme="minorHAnsi" w:hAnsiTheme="minorHAnsi" w:cs="Arial"/>
          <w:i/>
          <w:sz w:val="22"/>
          <w:szCs w:val="22"/>
        </w:rPr>
        <w:t xml:space="preserve">… </w:t>
      </w:r>
      <w:proofErr w:type="gramStart"/>
      <w:r w:rsidRPr="00B60FBF">
        <w:rPr>
          <w:rFonts w:asciiTheme="minorHAnsi" w:hAnsiTheme="minorHAnsi" w:cs="Arial"/>
          <w:i/>
          <w:sz w:val="22"/>
          <w:szCs w:val="22"/>
        </w:rPr>
        <w:t>particular</w:t>
      </w:r>
      <w:proofErr w:type="gramEnd"/>
      <w:r w:rsidRPr="00B60FBF">
        <w:rPr>
          <w:rFonts w:asciiTheme="minorHAnsi" w:hAnsiTheme="minorHAnsi" w:cs="Arial"/>
          <w:i/>
          <w:sz w:val="22"/>
          <w:szCs w:val="22"/>
        </w:rPr>
        <w:t xml:space="preserve"> regard to the interests of the users of the goods and services provided by the particular State or local government business or</w:t>
      </w:r>
      <w:r w:rsidR="00F603C0">
        <w:rPr>
          <w:rFonts w:asciiTheme="minorHAnsi" w:hAnsiTheme="minorHAnsi" w:cs="Arial"/>
          <w:i/>
          <w:sz w:val="22"/>
          <w:szCs w:val="22"/>
        </w:rPr>
        <w:t xml:space="preserve"> </w:t>
      </w:r>
      <w:r w:rsidRPr="00B60FBF">
        <w:rPr>
          <w:rFonts w:asciiTheme="minorHAnsi" w:hAnsiTheme="minorHAnsi" w:cs="Arial"/>
          <w:i/>
          <w:sz w:val="22"/>
          <w:szCs w:val="22"/>
        </w:rPr>
        <w:t>th</w:t>
      </w:r>
      <w:r w:rsidR="00F603C0">
        <w:rPr>
          <w:rFonts w:asciiTheme="minorHAnsi" w:hAnsiTheme="minorHAnsi" w:cs="Arial"/>
          <w:i/>
          <w:sz w:val="22"/>
          <w:szCs w:val="22"/>
        </w:rPr>
        <w:t>r</w:t>
      </w:r>
      <w:r w:rsidRPr="00B60FBF">
        <w:rPr>
          <w:rFonts w:asciiTheme="minorHAnsi" w:hAnsiTheme="minorHAnsi" w:cs="Arial"/>
          <w:i/>
          <w:sz w:val="22"/>
          <w:szCs w:val="22"/>
        </w:rPr>
        <w:t>ough the particular State or local government business activity</w:t>
      </w:r>
      <w:r>
        <w:rPr>
          <w:rFonts w:asciiTheme="minorHAnsi" w:hAnsiTheme="minorHAnsi" w:cs="Arial"/>
          <w:i/>
          <w:sz w:val="22"/>
          <w:szCs w:val="22"/>
        </w:rPr>
        <w:t xml:space="preserve"> (para 3 b)</w:t>
      </w:r>
    </w:p>
    <w:p w:rsidR="002152FC" w:rsidRDefault="002152FC" w:rsidP="002152FC">
      <w:pPr>
        <w:pStyle w:val="BoxText"/>
        <w:ind w:left="720"/>
        <w:rPr>
          <w:rFonts w:asciiTheme="minorHAnsi" w:hAnsiTheme="minorHAnsi" w:cs="Arial"/>
          <w:i/>
          <w:sz w:val="22"/>
          <w:szCs w:val="22"/>
        </w:rPr>
      </w:pPr>
      <w:r w:rsidRPr="00B60FBF">
        <w:rPr>
          <w:rFonts w:asciiTheme="minorHAnsi" w:hAnsiTheme="minorHAnsi" w:cs="Arial"/>
          <w:i/>
          <w:sz w:val="22"/>
          <w:szCs w:val="22"/>
        </w:rPr>
        <w:lastRenderedPageBreak/>
        <w:t xml:space="preserve">… </w:t>
      </w:r>
      <w:proofErr w:type="gramStart"/>
      <w:r w:rsidRPr="00B60FBF">
        <w:rPr>
          <w:rFonts w:asciiTheme="minorHAnsi" w:hAnsiTheme="minorHAnsi" w:cs="Arial"/>
          <w:i/>
          <w:sz w:val="22"/>
          <w:szCs w:val="22"/>
        </w:rPr>
        <w:t>particular</w:t>
      </w:r>
      <w:proofErr w:type="gramEnd"/>
      <w:r w:rsidRPr="00B60FBF">
        <w:rPr>
          <w:rFonts w:asciiTheme="minorHAnsi" w:hAnsiTheme="minorHAnsi" w:cs="Arial"/>
          <w:i/>
          <w:sz w:val="22"/>
          <w:szCs w:val="22"/>
        </w:rPr>
        <w:t xml:space="preserve"> consideration to the public interest requirements in clause 1 of the Competition Principles Agreement sign</w:t>
      </w:r>
      <w:r w:rsidRPr="002152FC">
        <w:rPr>
          <w:rFonts w:asciiTheme="minorHAnsi" w:hAnsiTheme="minorHAnsi" w:cs="Arial"/>
          <w:i/>
          <w:sz w:val="22"/>
          <w:szCs w:val="22"/>
        </w:rPr>
        <w:t>ed by all jurisdictions in 1995</w:t>
      </w:r>
      <w:r>
        <w:rPr>
          <w:rFonts w:asciiTheme="minorHAnsi" w:hAnsiTheme="minorHAnsi" w:cs="Arial"/>
          <w:i/>
          <w:sz w:val="22"/>
          <w:szCs w:val="22"/>
        </w:rPr>
        <w:t xml:space="preserve"> (para 3 c)</w:t>
      </w:r>
      <w:r w:rsidR="00C1742E">
        <w:rPr>
          <w:rFonts w:asciiTheme="minorHAnsi" w:hAnsiTheme="minorHAnsi" w:cs="Arial"/>
          <w:i/>
          <w:sz w:val="22"/>
          <w:szCs w:val="22"/>
        </w:rPr>
        <w:t>.</w:t>
      </w:r>
      <w:r>
        <w:rPr>
          <w:rFonts w:asciiTheme="minorHAnsi" w:hAnsiTheme="minorHAnsi" w:cs="Arial"/>
          <w:i/>
          <w:sz w:val="22"/>
          <w:szCs w:val="22"/>
        </w:rPr>
        <w:t xml:space="preserve"> (Government of Victoria 2015)</w:t>
      </w:r>
    </w:p>
    <w:p w:rsidR="00747CE6" w:rsidRPr="00747CE6" w:rsidRDefault="00705EC5" w:rsidP="00747CE6">
      <w:pPr>
        <w:pStyle w:val="BoxTex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The CN Policy also states that the Commissioner cannot initiate own-motion investigations </w:t>
      </w:r>
      <w:r>
        <w:rPr>
          <w:rFonts w:asciiTheme="minorHAnsi" w:hAnsiTheme="minorHAnsi"/>
          <w:sz w:val="22"/>
          <w:szCs w:val="22"/>
        </w:rPr>
        <w:t>(DTF 2012, p. 12</w:t>
      </w:r>
      <w:r w:rsidRPr="00382181"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>.</w:t>
      </w:r>
    </w:p>
    <w:p w:rsidR="006C7EC9" w:rsidRPr="000523FC" w:rsidRDefault="006C7EC9" w:rsidP="000523FC">
      <w:pPr>
        <w:pStyle w:val="Heading30"/>
        <w:spacing w:after="240"/>
        <w:rPr>
          <w:rFonts w:asciiTheme="minorHAnsi" w:hAnsiTheme="minorHAnsi"/>
          <w:color w:val="0063A4"/>
          <w:sz w:val="22"/>
          <w:szCs w:val="22"/>
        </w:rPr>
      </w:pPr>
      <w:r w:rsidRPr="000523FC">
        <w:rPr>
          <w:rFonts w:asciiTheme="minorHAnsi" w:hAnsiTheme="minorHAnsi"/>
          <w:color w:val="0063A4"/>
          <w:sz w:val="22"/>
          <w:szCs w:val="22"/>
        </w:rPr>
        <w:t>The pre-investigation phase</w:t>
      </w:r>
    </w:p>
    <w:p w:rsidR="00996169" w:rsidRDefault="0067034E" w:rsidP="000523FC">
      <w:pPr>
        <w:spacing w:before="0" w:after="240"/>
        <w:rPr>
          <w:rFonts w:asciiTheme="minorHAnsi" w:hAnsiTheme="minorHAnsi" w:cs="Arial"/>
          <w:sz w:val="22"/>
          <w:szCs w:val="22"/>
        </w:rPr>
      </w:pPr>
      <w:r w:rsidRPr="000523FC">
        <w:rPr>
          <w:rFonts w:asciiTheme="minorHAnsi" w:hAnsiTheme="minorHAnsi" w:cs="Arial"/>
          <w:sz w:val="22"/>
          <w:szCs w:val="22"/>
        </w:rPr>
        <w:t>Upon receiving a complaint</w:t>
      </w:r>
      <w:r w:rsidR="00FF1A8A" w:rsidRPr="000523FC">
        <w:rPr>
          <w:rFonts w:asciiTheme="minorHAnsi" w:hAnsiTheme="minorHAnsi" w:cs="Arial"/>
          <w:sz w:val="22"/>
          <w:szCs w:val="22"/>
        </w:rPr>
        <w:t xml:space="preserve">, the </w:t>
      </w:r>
      <w:r w:rsidR="00523F2E">
        <w:rPr>
          <w:rFonts w:asciiTheme="minorHAnsi" w:hAnsiTheme="minorHAnsi" w:cs="Arial"/>
          <w:sz w:val="22"/>
          <w:szCs w:val="22"/>
        </w:rPr>
        <w:t>OCBR</w:t>
      </w:r>
      <w:r w:rsidR="00FF1A8A" w:rsidRPr="000523FC">
        <w:rPr>
          <w:rFonts w:asciiTheme="minorHAnsi" w:hAnsiTheme="minorHAnsi" w:cs="Arial"/>
          <w:sz w:val="22"/>
          <w:szCs w:val="22"/>
        </w:rPr>
        <w:t xml:space="preserve"> </w:t>
      </w:r>
      <w:r w:rsidR="0094300E" w:rsidRPr="000523FC">
        <w:rPr>
          <w:rFonts w:asciiTheme="minorHAnsi" w:hAnsiTheme="minorHAnsi" w:cs="Arial"/>
          <w:sz w:val="22"/>
          <w:szCs w:val="22"/>
        </w:rPr>
        <w:t xml:space="preserve">undertakes a preliminary analysis to </w:t>
      </w:r>
      <w:r w:rsidR="00123F0B">
        <w:rPr>
          <w:rFonts w:asciiTheme="minorHAnsi" w:hAnsiTheme="minorHAnsi" w:cs="Arial"/>
          <w:sz w:val="22"/>
          <w:szCs w:val="22"/>
        </w:rPr>
        <w:t xml:space="preserve">advise the </w:t>
      </w:r>
      <w:proofErr w:type="gramStart"/>
      <w:r w:rsidR="00123F0B">
        <w:rPr>
          <w:rFonts w:asciiTheme="minorHAnsi" w:hAnsiTheme="minorHAnsi" w:cs="Arial"/>
          <w:sz w:val="22"/>
          <w:szCs w:val="22"/>
        </w:rPr>
        <w:t xml:space="preserve">Commissioner </w:t>
      </w:r>
      <w:r w:rsidR="0094300E" w:rsidRPr="000523FC">
        <w:rPr>
          <w:rFonts w:asciiTheme="minorHAnsi" w:hAnsiTheme="minorHAnsi" w:cs="Arial"/>
          <w:sz w:val="22"/>
          <w:szCs w:val="22"/>
        </w:rPr>
        <w:t xml:space="preserve"> whether</w:t>
      </w:r>
      <w:proofErr w:type="gramEnd"/>
      <w:r w:rsidR="0094300E" w:rsidRPr="000523FC">
        <w:rPr>
          <w:rFonts w:asciiTheme="minorHAnsi" w:hAnsiTheme="minorHAnsi" w:cs="Arial"/>
          <w:sz w:val="22"/>
          <w:szCs w:val="22"/>
        </w:rPr>
        <w:t xml:space="preserve"> </w:t>
      </w:r>
      <w:r w:rsidR="0057504F" w:rsidRPr="000523FC">
        <w:rPr>
          <w:rFonts w:asciiTheme="minorHAnsi" w:hAnsiTheme="minorHAnsi" w:cs="Arial"/>
          <w:sz w:val="22"/>
          <w:szCs w:val="22"/>
        </w:rPr>
        <w:t xml:space="preserve">to accept </w:t>
      </w:r>
      <w:r w:rsidR="00810CDA" w:rsidRPr="000523FC">
        <w:rPr>
          <w:rFonts w:asciiTheme="minorHAnsi" w:hAnsiTheme="minorHAnsi" w:cs="Arial"/>
          <w:sz w:val="22"/>
          <w:szCs w:val="22"/>
        </w:rPr>
        <w:t>the</w:t>
      </w:r>
      <w:r w:rsidR="0057504F" w:rsidRPr="000523FC">
        <w:rPr>
          <w:rFonts w:asciiTheme="minorHAnsi" w:hAnsiTheme="minorHAnsi" w:cs="Arial"/>
          <w:sz w:val="22"/>
          <w:szCs w:val="22"/>
        </w:rPr>
        <w:t xml:space="preserve"> complaint for </w:t>
      </w:r>
      <w:r w:rsidRPr="000523FC">
        <w:rPr>
          <w:rFonts w:asciiTheme="minorHAnsi" w:hAnsiTheme="minorHAnsi" w:cs="Arial"/>
          <w:sz w:val="22"/>
          <w:szCs w:val="22"/>
        </w:rPr>
        <w:t xml:space="preserve">investigation. </w:t>
      </w:r>
    </w:p>
    <w:p w:rsidR="00996169" w:rsidRPr="000523FC" w:rsidRDefault="00996169" w:rsidP="00996169">
      <w:pPr>
        <w:spacing w:before="0" w:after="240"/>
        <w:rPr>
          <w:rFonts w:asciiTheme="minorHAnsi" w:hAnsiTheme="minorHAnsi" w:cs="Arial"/>
          <w:sz w:val="22"/>
          <w:szCs w:val="22"/>
        </w:rPr>
      </w:pPr>
      <w:r w:rsidRPr="000523FC">
        <w:rPr>
          <w:rFonts w:asciiTheme="minorHAnsi" w:hAnsiTheme="minorHAnsi" w:cs="Arial"/>
          <w:sz w:val="22"/>
          <w:szCs w:val="22"/>
        </w:rPr>
        <w:t xml:space="preserve">The </w:t>
      </w:r>
      <w:r w:rsidR="00705EC5">
        <w:rPr>
          <w:rFonts w:asciiTheme="minorHAnsi" w:hAnsiTheme="minorHAnsi" w:cs="Arial"/>
          <w:sz w:val="22"/>
          <w:szCs w:val="22"/>
        </w:rPr>
        <w:t>Commissioner</w:t>
      </w:r>
      <w:r w:rsidRPr="000523FC">
        <w:rPr>
          <w:rFonts w:asciiTheme="minorHAnsi" w:hAnsiTheme="minorHAnsi" w:cs="Arial"/>
          <w:sz w:val="22"/>
          <w:szCs w:val="22"/>
        </w:rPr>
        <w:t xml:space="preserve"> accepts a complaint for investigation if it </w:t>
      </w:r>
      <w:r w:rsidR="00705EC5">
        <w:rPr>
          <w:rFonts w:asciiTheme="minorHAnsi" w:hAnsiTheme="minorHAnsi" w:cs="Arial"/>
          <w:sz w:val="22"/>
          <w:szCs w:val="22"/>
        </w:rPr>
        <w:t>is considered that</w:t>
      </w:r>
      <w:r w:rsidRPr="000523FC">
        <w:rPr>
          <w:rFonts w:asciiTheme="minorHAnsi" w:hAnsiTheme="minorHAnsi" w:cs="Arial"/>
          <w:sz w:val="22"/>
          <w:szCs w:val="22"/>
        </w:rPr>
        <w:t xml:space="preserve"> the </w:t>
      </w:r>
      <w:r w:rsidRPr="000523FC">
        <w:rPr>
          <w:rFonts w:asciiTheme="minorHAnsi" w:hAnsiTheme="minorHAnsi"/>
          <w:sz w:val="22"/>
          <w:szCs w:val="22"/>
        </w:rPr>
        <w:t>complainant</w:t>
      </w:r>
      <w:r w:rsidRPr="000523FC">
        <w:rPr>
          <w:rFonts w:asciiTheme="minorHAnsi" w:hAnsiTheme="minorHAnsi" w:cs="Arial"/>
          <w:sz w:val="22"/>
          <w:szCs w:val="22"/>
        </w:rPr>
        <w:t xml:space="preserve"> has sufficient relevant interest in the matter, the information provided suggests </w:t>
      </w:r>
      <w:r w:rsidR="00DB0610">
        <w:rPr>
          <w:rFonts w:asciiTheme="minorHAnsi" w:hAnsiTheme="minorHAnsi" w:cs="Arial"/>
          <w:sz w:val="22"/>
          <w:szCs w:val="22"/>
        </w:rPr>
        <w:t xml:space="preserve">that CN policy applies and </w:t>
      </w:r>
      <w:r w:rsidRPr="000523FC">
        <w:rPr>
          <w:rFonts w:asciiTheme="minorHAnsi" w:hAnsiTheme="minorHAnsi" w:cs="Arial"/>
          <w:sz w:val="22"/>
          <w:szCs w:val="22"/>
        </w:rPr>
        <w:t xml:space="preserve">there may be a </w:t>
      </w:r>
      <w:r w:rsidR="00DB0610">
        <w:rPr>
          <w:rFonts w:asciiTheme="minorHAnsi" w:hAnsiTheme="minorHAnsi" w:cs="Arial"/>
          <w:sz w:val="22"/>
          <w:szCs w:val="22"/>
        </w:rPr>
        <w:t>breach of</w:t>
      </w:r>
      <w:r w:rsidRPr="000523FC">
        <w:rPr>
          <w:rFonts w:asciiTheme="minorHAnsi" w:hAnsiTheme="minorHAnsi" w:cs="Arial"/>
          <w:sz w:val="22"/>
          <w:szCs w:val="22"/>
        </w:rPr>
        <w:t xml:space="preserve"> the policy, </w:t>
      </w:r>
      <w:r w:rsidR="00C1742E">
        <w:rPr>
          <w:rFonts w:asciiTheme="minorHAnsi" w:hAnsiTheme="minorHAnsi" w:cs="Arial"/>
          <w:sz w:val="22"/>
          <w:szCs w:val="22"/>
        </w:rPr>
        <w:t>and</w:t>
      </w:r>
      <w:r w:rsidR="00DB0610">
        <w:rPr>
          <w:rFonts w:asciiTheme="minorHAnsi" w:hAnsiTheme="minorHAnsi" w:cs="Arial"/>
          <w:sz w:val="22"/>
          <w:szCs w:val="22"/>
        </w:rPr>
        <w:t xml:space="preserve"> an</w:t>
      </w:r>
      <w:r w:rsidR="00C1742E">
        <w:rPr>
          <w:rFonts w:asciiTheme="minorHAnsi" w:hAnsiTheme="minorHAnsi" w:cs="Arial"/>
          <w:sz w:val="22"/>
          <w:szCs w:val="22"/>
        </w:rPr>
        <w:t xml:space="preserve"> </w:t>
      </w:r>
      <w:r w:rsidRPr="000523FC">
        <w:rPr>
          <w:rFonts w:asciiTheme="minorHAnsi" w:hAnsiTheme="minorHAnsi" w:cs="Arial"/>
          <w:sz w:val="22"/>
          <w:szCs w:val="22"/>
        </w:rPr>
        <w:t>investigation is a proportionate response to the complaint.</w:t>
      </w:r>
    </w:p>
    <w:p w:rsidR="0025032D" w:rsidRPr="000523FC" w:rsidRDefault="00E55B7F" w:rsidP="000523FC">
      <w:pPr>
        <w:spacing w:before="0" w:after="24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Specific</w:t>
      </w:r>
      <w:r w:rsidR="0025032D" w:rsidRPr="000523FC">
        <w:rPr>
          <w:rFonts w:asciiTheme="minorHAnsi" w:hAnsiTheme="minorHAnsi" w:cs="Arial"/>
          <w:sz w:val="22"/>
          <w:szCs w:val="22"/>
        </w:rPr>
        <w:t xml:space="preserve"> consider</w:t>
      </w:r>
      <w:r>
        <w:rPr>
          <w:rFonts w:asciiTheme="minorHAnsi" w:hAnsiTheme="minorHAnsi" w:cs="Arial"/>
          <w:sz w:val="22"/>
          <w:szCs w:val="22"/>
        </w:rPr>
        <w:t>ation</w:t>
      </w:r>
      <w:r w:rsidR="0025032D" w:rsidRPr="000523FC">
        <w:rPr>
          <w:rFonts w:asciiTheme="minorHAnsi" w:hAnsiTheme="minorHAnsi" w:cs="Arial"/>
          <w:sz w:val="22"/>
          <w:szCs w:val="22"/>
        </w:rPr>
        <w:t>s</w:t>
      </w:r>
      <w:r w:rsidR="005F528A" w:rsidRPr="000523FC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 xml:space="preserve">include </w:t>
      </w:r>
      <w:r w:rsidR="00A94F8D">
        <w:rPr>
          <w:rFonts w:asciiTheme="minorHAnsi" w:hAnsiTheme="minorHAnsi" w:cs="Arial"/>
          <w:sz w:val="22"/>
          <w:szCs w:val="22"/>
        </w:rPr>
        <w:t>whether:</w:t>
      </w:r>
    </w:p>
    <w:p w:rsidR="00E70587" w:rsidRPr="00A94F8D" w:rsidRDefault="00A46390" w:rsidP="00A94F8D">
      <w:pPr>
        <w:pStyle w:val="Bullet"/>
        <w:tabs>
          <w:tab w:val="clear" w:pos="360"/>
        </w:tabs>
        <w:spacing w:before="0"/>
        <w:ind w:left="567" w:hanging="567"/>
        <w:rPr>
          <w:rFonts w:asciiTheme="minorHAnsi" w:hAnsiTheme="minorHAnsi"/>
          <w:sz w:val="22"/>
          <w:szCs w:val="22"/>
        </w:rPr>
      </w:pPr>
      <w:r w:rsidRPr="000523FC">
        <w:rPr>
          <w:rFonts w:asciiTheme="minorHAnsi" w:hAnsiTheme="minorHAnsi"/>
          <w:sz w:val="22"/>
          <w:szCs w:val="22"/>
        </w:rPr>
        <w:t>the activity</w:t>
      </w:r>
      <w:r w:rsidR="0025032D" w:rsidRPr="000523FC">
        <w:rPr>
          <w:rFonts w:asciiTheme="minorHAnsi" w:hAnsiTheme="minorHAnsi"/>
          <w:sz w:val="22"/>
          <w:szCs w:val="22"/>
        </w:rPr>
        <w:t xml:space="preserve"> subject to complaint </w:t>
      </w:r>
      <w:r w:rsidRPr="000523FC">
        <w:rPr>
          <w:rFonts w:asciiTheme="minorHAnsi" w:hAnsiTheme="minorHAnsi"/>
          <w:sz w:val="22"/>
          <w:szCs w:val="22"/>
        </w:rPr>
        <w:t>could be</w:t>
      </w:r>
      <w:r w:rsidR="0025032D" w:rsidRPr="000523FC">
        <w:rPr>
          <w:rFonts w:asciiTheme="minorHAnsi" w:hAnsiTheme="minorHAnsi"/>
          <w:sz w:val="22"/>
          <w:szCs w:val="22"/>
        </w:rPr>
        <w:t xml:space="preserve"> a </w:t>
      </w:r>
      <w:r w:rsidR="0032609A">
        <w:rPr>
          <w:rFonts w:asciiTheme="minorHAnsi" w:hAnsiTheme="minorHAnsi"/>
          <w:sz w:val="22"/>
          <w:szCs w:val="22"/>
        </w:rPr>
        <w:t>‘</w:t>
      </w:r>
      <w:r w:rsidR="0025032D" w:rsidRPr="000523FC">
        <w:rPr>
          <w:rFonts w:asciiTheme="minorHAnsi" w:hAnsiTheme="minorHAnsi"/>
          <w:sz w:val="22"/>
          <w:szCs w:val="22"/>
        </w:rPr>
        <w:t xml:space="preserve">significant </w:t>
      </w:r>
      <w:r w:rsidRPr="000523FC">
        <w:rPr>
          <w:rFonts w:asciiTheme="minorHAnsi" w:hAnsiTheme="minorHAnsi"/>
          <w:sz w:val="22"/>
          <w:szCs w:val="22"/>
        </w:rPr>
        <w:t xml:space="preserve">government </w:t>
      </w:r>
      <w:r w:rsidR="0025032D" w:rsidRPr="000523FC">
        <w:rPr>
          <w:rFonts w:asciiTheme="minorHAnsi" w:hAnsiTheme="minorHAnsi"/>
          <w:sz w:val="22"/>
          <w:szCs w:val="22"/>
        </w:rPr>
        <w:t>business</w:t>
      </w:r>
      <w:r w:rsidR="00705EC5">
        <w:rPr>
          <w:rFonts w:asciiTheme="minorHAnsi" w:hAnsiTheme="minorHAnsi"/>
          <w:sz w:val="22"/>
          <w:szCs w:val="22"/>
        </w:rPr>
        <w:t>’</w:t>
      </w:r>
      <w:r w:rsidR="006E6A72" w:rsidRPr="000523FC">
        <w:rPr>
          <w:rFonts w:asciiTheme="minorHAnsi" w:hAnsiTheme="minorHAnsi"/>
          <w:sz w:val="22"/>
          <w:szCs w:val="22"/>
        </w:rPr>
        <w:t xml:space="preserve"> — </w:t>
      </w:r>
      <w:r w:rsidR="00523F2E">
        <w:rPr>
          <w:rFonts w:asciiTheme="minorHAnsi" w:hAnsiTheme="minorHAnsi"/>
          <w:sz w:val="22"/>
          <w:szCs w:val="22"/>
        </w:rPr>
        <w:t>if a</w:t>
      </w:r>
      <w:r w:rsidR="00705EC5">
        <w:rPr>
          <w:rFonts w:asciiTheme="minorHAnsi" w:hAnsiTheme="minorHAnsi"/>
          <w:sz w:val="22"/>
          <w:szCs w:val="22"/>
        </w:rPr>
        <w:t xml:space="preserve">n activity is </w:t>
      </w:r>
      <w:r w:rsidR="00705EC5" w:rsidRPr="000523FC">
        <w:rPr>
          <w:rFonts w:asciiTheme="minorHAnsi" w:hAnsiTheme="minorHAnsi"/>
          <w:sz w:val="22"/>
          <w:szCs w:val="22"/>
        </w:rPr>
        <w:t xml:space="preserve">assessed as </w:t>
      </w:r>
      <w:r w:rsidR="00705EC5">
        <w:rPr>
          <w:rFonts w:asciiTheme="minorHAnsi" w:hAnsiTheme="minorHAnsi"/>
          <w:sz w:val="22"/>
          <w:szCs w:val="22"/>
        </w:rPr>
        <w:t xml:space="preserve">clearly </w:t>
      </w:r>
      <w:r w:rsidR="00705EC5" w:rsidRPr="000523FC">
        <w:rPr>
          <w:rFonts w:asciiTheme="minorHAnsi" w:hAnsiTheme="minorHAnsi"/>
          <w:sz w:val="22"/>
          <w:szCs w:val="22"/>
        </w:rPr>
        <w:t>not</w:t>
      </w:r>
      <w:r w:rsidR="00705EC5">
        <w:rPr>
          <w:rFonts w:asciiTheme="minorHAnsi" w:hAnsiTheme="minorHAnsi"/>
          <w:sz w:val="22"/>
          <w:szCs w:val="22"/>
        </w:rPr>
        <w:t xml:space="preserve"> clearly not being a</w:t>
      </w:r>
      <w:r w:rsidR="00523F2E">
        <w:rPr>
          <w:rFonts w:asciiTheme="minorHAnsi" w:hAnsiTheme="minorHAnsi"/>
          <w:sz w:val="22"/>
          <w:szCs w:val="22"/>
        </w:rPr>
        <w:t xml:space="preserve"> </w:t>
      </w:r>
      <w:r w:rsidR="00705EC5">
        <w:rPr>
          <w:rFonts w:asciiTheme="minorHAnsi" w:hAnsiTheme="minorHAnsi"/>
          <w:sz w:val="22"/>
          <w:szCs w:val="22"/>
        </w:rPr>
        <w:t>‘</w:t>
      </w:r>
      <w:r w:rsidR="00C90A74" w:rsidRPr="000523FC">
        <w:rPr>
          <w:rFonts w:asciiTheme="minorHAnsi" w:hAnsiTheme="minorHAnsi"/>
          <w:sz w:val="22"/>
          <w:szCs w:val="22"/>
        </w:rPr>
        <w:t>business</w:t>
      </w:r>
      <w:r w:rsidR="00705EC5">
        <w:rPr>
          <w:rFonts w:asciiTheme="minorHAnsi" w:hAnsiTheme="minorHAnsi"/>
          <w:sz w:val="22"/>
          <w:szCs w:val="22"/>
        </w:rPr>
        <w:t>’</w:t>
      </w:r>
      <w:r w:rsidR="00C90A74" w:rsidRPr="000523FC">
        <w:rPr>
          <w:rFonts w:asciiTheme="minorHAnsi" w:hAnsiTheme="minorHAnsi"/>
          <w:sz w:val="22"/>
          <w:szCs w:val="22"/>
        </w:rPr>
        <w:t xml:space="preserve"> </w:t>
      </w:r>
      <w:r w:rsidR="00705EC5">
        <w:rPr>
          <w:rFonts w:asciiTheme="minorHAnsi" w:hAnsiTheme="minorHAnsi"/>
          <w:sz w:val="22"/>
          <w:szCs w:val="22"/>
        </w:rPr>
        <w:t xml:space="preserve">and not </w:t>
      </w:r>
      <w:r w:rsidR="00523F2E">
        <w:rPr>
          <w:rFonts w:asciiTheme="minorHAnsi" w:hAnsiTheme="minorHAnsi"/>
          <w:sz w:val="22"/>
          <w:szCs w:val="22"/>
        </w:rPr>
        <w:t>‘</w:t>
      </w:r>
      <w:r w:rsidR="00C90A74" w:rsidRPr="000523FC">
        <w:rPr>
          <w:rFonts w:asciiTheme="minorHAnsi" w:hAnsiTheme="minorHAnsi"/>
          <w:sz w:val="22"/>
          <w:szCs w:val="22"/>
        </w:rPr>
        <w:t>significant</w:t>
      </w:r>
      <w:r w:rsidR="00523F2E">
        <w:rPr>
          <w:rFonts w:asciiTheme="minorHAnsi" w:hAnsiTheme="minorHAnsi"/>
          <w:sz w:val="22"/>
          <w:szCs w:val="22"/>
        </w:rPr>
        <w:t xml:space="preserve">’ the </w:t>
      </w:r>
      <w:r w:rsidR="00705EC5">
        <w:rPr>
          <w:rFonts w:asciiTheme="minorHAnsi" w:hAnsiTheme="minorHAnsi"/>
          <w:sz w:val="22"/>
          <w:szCs w:val="22"/>
        </w:rPr>
        <w:t>Commissioner does not</w:t>
      </w:r>
      <w:r w:rsidR="00523F2E">
        <w:rPr>
          <w:rFonts w:asciiTheme="minorHAnsi" w:hAnsiTheme="minorHAnsi"/>
          <w:sz w:val="22"/>
          <w:szCs w:val="22"/>
        </w:rPr>
        <w:t xml:space="preserve"> commence an</w:t>
      </w:r>
      <w:r w:rsidR="00C90A74" w:rsidRPr="000523FC">
        <w:rPr>
          <w:rFonts w:asciiTheme="minorHAnsi" w:hAnsiTheme="minorHAnsi"/>
          <w:sz w:val="22"/>
          <w:szCs w:val="22"/>
        </w:rPr>
        <w:t xml:space="preserve"> investigation </w:t>
      </w:r>
    </w:p>
    <w:p w:rsidR="0025032D" w:rsidRDefault="00A94F8D" w:rsidP="000523FC">
      <w:pPr>
        <w:pStyle w:val="Bullet"/>
        <w:tabs>
          <w:tab w:val="clear" w:pos="360"/>
        </w:tabs>
        <w:spacing w:before="0" w:after="240"/>
        <w:ind w:left="567" w:hanging="56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there</w:t>
      </w:r>
      <w:r w:rsidR="0025032D" w:rsidRPr="000523FC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is sufficient </w:t>
      </w:r>
      <w:r w:rsidR="0025032D" w:rsidRPr="000523FC">
        <w:rPr>
          <w:rFonts w:asciiTheme="minorHAnsi" w:hAnsiTheme="minorHAnsi"/>
          <w:sz w:val="22"/>
          <w:szCs w:val="22"/>
        </w:rPr>
        <w:t xml:space="preserve">evidence </w:t>
      </w:r>
      <w:r w:rsidR="002D39A8" w:rsidRPr="000523FC">
        <w:rPr>
          <w:rFonts w:asciiTheme="minorHAnsi" w:hAnsiTheme="minorHAnsi"/>
          <w:sz w:val="22"/>
          <w:szCs w:val="22"/>
        </w:rPr>
        <w:t xml:space="preserve">or information </w:t>
      </w:r>
      <w:r w:rsidR="006B1476" w:rsidRPr="000523FC">
        <w:rPr>
          <w:rFonts w:asciiTheme="minorHAnsi" w:hAnsiTheme="minorHAnsi"/>
          <w:sz w:val="22"/>
          <w:szCs w:val="22"/>
        </w:rPr>
        <w:t xml:space="preserve">to suggest a </w:t>
      </w:r>
      <w:r w:rsidR="009A7BB1" w:rsidRPr="000523FC">
        <w:rPr>
          <w:rFonts w:asciiTheme="minorHAnsi" w:hAnsiTheme="minorHAnsi"/>
          <w:sz w:val="22"/>
          <w:szCs w:val="22"/>
        </w:rPr>
        <w:t xml:space="preserve">possible </w:t>
      </w:r>
      <w:r>
        <w:rPr>
          <w:rFonts w:asciiTheme="minorHAnsi" w:hAnsiTheme="minorHAnsi"/>
          <w:sz w:val="22"/>
          <w:szCs w:val="22"/>
        </w:rPr>
        <w:t>breach</w:t>
      </w:r>
      <w:r w:rsidR="006B1476" w:rsidRPr="000523FC">
        <w:rPr>
          <w:rFonts w:asciiTheme="minorHAnsi" w:hAnsiTheme="minorHAnsi"/>
          <w:sz w:val="22"/>
          <w:szCs w:val="22"/>
        </w:rPr>
        <w:t xml:space="preserve"> of </w:t>
      </w:r>
      <w:r w:rsidR="002D39A8" w:rsidRPr="000523FC">
        <w:rPr>
          <w:rFonts w:asciiTheme="minorHAnsi" w:hAnsiTheme="minorHAnsi"/>
          <w:sz w:val="22"/>
          <w:szCs w:val="22"/>
        </w:rPr>
        <w:t>CN policy</w:t>
      </w:r>
      <w:r w:rsidR="006B1476" w:rsidRPr="000523FC">
        <w:rPr>
          <w:rFonts w:asciiTheme="minorHAnsi" w:hAnsiTheme="minorHAnsi"/>
          <w:sz w:val="22"/>
          <w:szCs w:val="22"/>
        </w:rPr>
        <w:t xml:space="preserve"> by the </w:t>
      </w:r>
      <w:r>
        <w:rPr>
          <w:rFonts w:asciiTheme="minorHAnsi" w:hAnsiTheme="minorHAnsi"/>
          <w:sz w:val="22"/>
          <w:szCs w:val="22"/>
        </w:rPr>
        <w:t xml:space="preserve">relevant </w:t>
      </w:r>
      <w:r w:rsidR="006B1476" w:rsidRPr="000523FC">
        <w:rPr>
          <w:rFonts w:asciiTheme="minorHAnsi" w:hAnsiTheme="minorHAnsi"/>
          <w:sz w:val="22"/>
          <w:szCs w:val="22"/>
        </w:rPr>
        <w:t>government entity</w:t>
      </w:r>
    </w:p>
    <w:p w:rsidR="00A94F8D" w:rsidRPr="00A94F8D" w:rsidRDefault="00A43124" w:rsidP="00A94F8D">
      <w:pPr>
        <w:pStyle w:val="Bullet"/>
        <w:tabs>
          <w:tab w:val="clear" w:pos="360"/>
        </w:tabs>
        <w:spacing w:before="0"/>
        <w:ind w:left="567" w:hanging="56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</w:t>
      </w:r>
      <w:r w:rsidR="00A94F8D" w:rsidRPr="000523FC">
        <w:rPr>
          <w:rFonts w:asciiTheme="minorHAnsi" w:hAnsiTheme="minorHAnsi"/>
          <w:sz w:val="22"/>
          <w:szCs w:val="22"/>
        </w:rPr>
        <w:t>he annual turnover of the government activity</w:t>
      </w:r>
      <w:r>
        <w:rPr>
          <w:rFonts w:asciiTheme="minorHAnsi" w:hAnsiTheme="minorHAnsi"/>
          <w:sz w:val="22"/>
          <w:szCs w:val="22"/>
        </w:rPr>
        <w:t xml:space="preserve"> is above $500 000</w:t>
      </w:r>
      <w:r w:rsidR="00A94F8D">
        <w:rPr>
          <w:rFonts w:asciiTheme="minorHAnsi" w:hAnsiTheme="minorHAnsi"/>
          <w:sz w:val="22"/>
          <w:szCs w:val="22"/>
        </w:rPr>
        <w:t>, which</w:t>
      </w:r>
      <w:r w:rsidR="00A94F8D" w:rsidRPr="000523FC">
        <w:rPr>
          <w:rFonts w:asciiTheme="minorHAnsi" w:hAnsiTheme="minorHAnsi"/>
          <w:sz w:val="22"/>
          <w:szCs w:val="22"/>
        </w:rPr>
        <w:t xml:space="preserve"> provides evidence </w:t>
      </w:r>
      <w:r w:rsidR="006B5FF1">
        <w:rPr>
          <w:rFonts w:asciiTheme="minorHAnsi" w:hAnsiTheme="minorHAnsi"/>
          <w:sz w:val="22"/>
          <w:szCs w:val="22"/>
        </w:rPr>
        <w:t>about</w:t>
      </w:r>
      <w:r w:rsidR="00A94F8D" w:rsidRPr="000523FC">
        <w:rPr>
          <w:rFonts w:asciiTheme="minorHAnsi" w:hAnsiTheme="minorHAnsi"/>
          <w:sz w:val="22"/>
          <w:szCs w:val="22"/>
        </w:rPr>
        <w:t xml:space="preserve"> whether a full investigation is a proportionate </w:t>
      </w:r>
      <w:r w:rsidR="00A94F8D">
        <w:rPr>
          <w:rFonts w:asciiTheme="minorHAnsi" w:hAnsiTheme="minorHAnsi"/>
          <w:sz w:val="22"/>
          <w:szCs w:val="22"/>
        </w:rPr>
        <w:t>approach</w:t>
      </w:r>
      <w:r w:rsidR="00A94F8D" w:rsidRPr="000523FC">
        <w:rPr>
          <w:rFonts w:asciiTheme="minorHAnsi" w:hAnsiTheme="minorHAnsi"/>
          <w:sz w:val="22"/>
          <w:szCs w:val="22"/>
        </w:rPr>
        <w:t xml:space="preserve"> given the size of the government activity and </w:t>
      </w:r>
      <w:r w:rsidR="006B5FF1">
        <w:rPr>
          <w:rFonts w:asciiTheme="minorHAnsi" w:hAnsiTheme="minorHAnsi"/>
          <w:sz w:val="22"/>
          <w:szCs w:val="22"/>
        </w:rPr>
        <w:t xml:space="preserve">possible </w:t>
      </w:r>
      <w:r w:rsidR="00A94F8D" w:rsidRPr="000523FC">
        <w:rPr>
          <w:rFonts w:asciiTheme="minorHAnsi" w:hAnsiTheme="minorHAnsi"/>
          <w:sz w:val="22"/>
          <w:szCs w:val="22"/>
        </w:rPr>
        <w:t>alternative means to resolve the complaint</w:t>
      </w:r>
      <w:r w:rsidR="006B5FF1">
        <w:rPr>
          <w:rFonts w:asciiTheme="minorHAnsi" w:hAnsiTheme="minorHAnsi"/>
          <w:sz w:val="22"/>
          <w:szCs w:val="22"/>
        </w:rPr>
        <w:t>:</w:t>
      </w:r>
      <w:r w:rsidR="00A94F8D" w:rsidRPr="000523FC">
        <w:rPr>
          <w:rFonts w:asciiTheme="minorHAnsi" w:hAnsiTheme="minorHAnsi"/>
          <w:sz w:val="22"/>
          <w:szCs w:val="22"/>
        </w:rPr>
        <w:t xml:space="preserve"> </w:t>
      </w:r>
    </w:p>
    <w:p w:rsidR="00A94F8D" w:rsidRPr="00A94F8D" w:rsidRDefault="00A94F8D" w:rsidP="00A94F8D">
      <w:pPr>
        <w:pStyle w:val="Bullet"/>
        <w:numPr>
          <w:ilvl w:val="1"/>
          <w:numId w:val="2"/>
        </w:numPr>
      </w:pPr>
      <w:proofErr w:type="gramStart"/>
      <w:r w:rsidRPr="000523FC">
        <w:rPr>
          <w:rFonts w:asciiTheme="minorHAnsi" w:hAnsiTheme="minorHAnsi"/>
          <w:sz w:val="22"/>
          <w:szCs w:val="22"/>
        </w:rPr>
        <w:t>a</w:t>
      </w:r>
      <w:proofErr w:type="gramEnd"/>
      <w:r w:rsidRPr="000523FC">
        <w:rPr>
          <w:rFonts w:asciiTheme="minorHAnsi" w:hAnsiTheme="minorHAnsi"/>
          <w:sz w:val="22"/>
          <w:szCs w:val="22"/>
        </w:rPr>
        <w:t xml:space="preserve"> government business activity </w:t>
      </w:r>
      <w:r>
        <w:rPr>
          <w:rFonts w:asciiTheme="minorHAnsi" w:hAnsiTheme="minorHAnsi"/>
          <w:sz w:val="22"/>
          <w:szCs w:val="22"/>
        </w:rPr>
        <w:t>with</w:t>
      </w:r>
      <w:r w:rsidRPr="000523FC">
        <w:rPr>
          <w:rFonts w:asciiTheme="minorHAnsi" w:hAnsiTheme="minorHAnsi"/>
          <w:sz w:val="22"/>
          <w:szCs w:val="22"/>
        </w:rPr>
        <w:t xml:space="preserve"> annual revenue above $500</w:t>
      </w:r>
      <w:r>
        <w:rPr>
          <w:rFonts w:asciiTheme="minorHAnsi" w:hAnsiTheme="minorHAnsi"/>
          <w:sz w:val="22"/>
          <w:szCs w:val="22"/>
        </w:rPr>
        <w:t> </w:t>
      </w:r>
      <w:r w:rsidRPr="000523FC">
        <w:rPr>
          <w:rFonts w:asciiTheme="minorHAnsi" w:hAnsiTheme="minorHAnsi"/>
          <w:sz w:val="22"/>
          <w:szCs w:val="22"/>
        </w:rPr>
        <w:t xml:space="preserve">000 will be in scope of the investigation process while </w:t>
      </w:r>
      <w:r>
        <w:rPr>
          <w:rFonts w:asciiTheme="minorHAnsi" w:hAnsiTheme="minorHAnsi"/>
          <w:sz w:val="22"/>
          <w:szCs w:val="22"/>
        </w:rPr>
        <w:t>those</w:t>
      </w:r>
      <w:r w:rsidRPr="000523FC">
        <w:rPr>
          <w:rFonts w:asciiTheme="minorHAnsi" w:hAnsiTheme="minorHAnsi"/>
          <w:sz w:val="22"/>
          <w:szCs w:val="22"/>
        </w:rPr>
        <w:t xml:space="preserve"> with revenue below $500</w:t>
      </w:r>
      <w:r>
        <w:rPr>
          <w:rFonts w:asciiTheme="minorHAnsi" w:hAnsiTheme="minorHAnsi"/>
          <w:sz w:val="22"/>
          <w:szCs w:val="22"/>
        </w:rPr>
        <w:t> </w:t>
      </w:r>
      <w:r w:rsidRPr="000523FC">
        <w:rPr>
          <w:rFonts w:asciiTheme="minorHAnsi" w:hAnsiTheme="minorHAnsi"/>
          <w:sz w:val="22"/>
          <w:szCs w:val="22"/>
        </w:rPr>
        <w:t xml:space="preserve">000 will be </w:t>
      </w:r>
      <w:r>
        <w:rPr>
          <w:rFonts w:asciiTheme="minorHAnsi" w:hAnsiTheme="minorHAnsi"/>
          <w:sz w:val="22"/>
          <w:szCs w:val="22"/>
        </w:rPr>
        <w:t>addressed through a non-investigation approach (see below)</w:t>
      </w:r>
      <w:r w:rsidRPr="000523FC">
        <w:rPr>
          <w:rFonts w:asciiTheme="minorHAnsi" w:hAnsiTheme="minorHAnsi"/>
          <w:sz w:val="22"/>
          <w:szCs w:val="22"/>
        </w:rPr>
        <w:t xml:space="preserve">. </w:t>
      </w:r>
    </w:p>
    <w:p w:rsidR="00A94F8D" w:rsidRPr="000523FC" w:rsidRDefault="00705EC5" w:rsidP="00A94F8D">
      <w:pPr>
        <w:pStyle w:val="Bullet"/>
        <w:numPr>
          <w:ilvl w:val="1"/>
          <w:numId w:val="2"/>
        </w:numPr>
      </w:pPr>
      <w:proofErr w:type="gramStart"/>
      <w:r>
        <w:rPr>
          <w:rFonts w:asciiTheme="minorHAnsi" w:hAnsiTheme="minorHAnsi"/>
          <w:sz w:val="22"/>
          <w:szCs w:val="22"/>
        </w:rPr>
        <w:t>i</w:t>
      </w:r>
      <w:r w:rsidR="00A94F8D" w:rsidRPr="000523FC">
        <w:rPr>
          <w:rFonts w:asciiTheme="minorHAnsi" w:hAnsiTheme="minorHAnsi"/>
          <w:sz w:val="22"/>
          <w:szCs w:val="22"/>
        </w:rPr>
        <w:t>n</w:t>
      </w:r>
      <w:proofErr w:type="gramEnd"/>
      <w:r w:rsidR="00A94F8D" w:rsidRPr="000523FC">
        <w:rPr>
          <w:rFonts w:asciiTheme="minorHAnsi" w:hAnsiTheme="minorHAnsi"/>
          <w:sz w:val="22"/>
          <w:szCs w:val="22"/>
        </w:rPr>
        <w:t xml:space="preserve"> limited circumstances an investigation may be warranted for activities below $500 000 — for example, where a new government activity is expected to grow</w:t>
      </w:r>
      <w:r w:rsidR="00A94F8D">
        <w:rPr>
          <w:rFonts w:asciiTheme="minorHAnsi" w:hAnsiTheme="minorHAnsi"/>
          <w:sz w:val="22"/>
          <w:szCs w:val="22"/>
        </w:rPr>
        <w:t xml:space="preserve"> rapidly</w:t>
      </w:r>
      <w:r w:rsidR="00A94F8D" w:rsidRPr="000523FC">
        <w:rPr>
          <w:rFonts w:asciiTheme="minorHAnsi" w:hAnsiTheme="minorHAnsi"/>
          <w:sz w:val="22"/>
          <w:szCs w:val="22"/>
        </w:rPr>
        <w:t>.</w:t>
      </w:r>
    </w:p>
    <w:p w:rsidR="00747CE6" w:rsidRPr="00A43124" w:rsidRDefault="00747CE6" w:rsidP="00747CE6">
      <w:pPr>
        <w:pStyle w:val="Bullet"/>
        <w:tabs>
          <w:tab w:val="clear" w:pos="360"/>
        </w:tabs>
        <w:spacing w:before="0"/>
        <w:ind w:left="567" w:hanging="567"/>
        <w:rPr>
          <w:rFonts w:asciiTheme="minorHAnsi" w:hAnsiTheme="minorHAnsi"/>
          <w:sz w:val="22"/>
          <w:szCs w:val="22"/>
        </w:rPr>
      </w:pPr>
      <w:r w:rsidRPr="00A43124">
        <w:rPr>
          <w:rFonts w:asciiTheme="minorHAnsi" w:hAnsiTheme="minorHAnsi"/>
          <w:sz w:val="22"/>
          <w:szCs w:val="22"/>
        </w:rPr>
        <w:t>the complaint is from a directly affected person or business, or from an interested industry or community group</w:t>
      </w:r>
    </w:p>
    <w:p w:rsidR="00747CE6" w:rsidRPr="00A43124" w:rsidRDefault="00747CE6" w:rsidP="00747CE6">
      <w:pPr>
        <w:pStyle w:val="Bullet"/>
        <w:tabs>
          <w:tab w:val="clear" w:pos="360"/>
        </w:tabs>
        <w:spacing w:before="0"/>
        <w:ind w:left="567" w:hanging="567"/>
        <w:rPr>
          <w:rFonts w:asciiTheme="minorHAnsi" w:hAnsiTheme="minorHAnsi"/>
          <w:sz w:val="22"/>
          <w:szCs w:val="22"/>
        </w:rPr>
      </w:pPr>
      <w:proofErr w:type="gramStart"/>
      <w:r w:rsidRPr="00A43124">
        <w:rPr>
          <w:rFonts w:asciiTheme="minorHAnsi" w:hAnsiTheme="minorHAnsi"/>
          <w:sz w:val="22"/>
          <w:szCs w:val="22"/>
        </w:rPr>
        <w:t>the</w:t>
      </w:r>
      <w:proofErr w:type="gramEnd"/>
      <w:r w:rsidRPr="00A43124">
        <w:rPr>
          <w:rFonts w:asciiTheme="minorHAnsi" w:hAnsiTheme="minorHAnsi"/>
          <w:sz w:val="22"/>
          <w:szCs w:val="22"/>
        </w:rPr>
        <w:t xml:space="preserve"> complainant</w:t>
      </w:r>
      <w:r w:rsidRPr="00A43124">
        <w:rPr>
          <w:rFonts w:asciiTheme="minorHAnsi" w:hAnsiTheme="minorHAnsi"/>
          <w:b/>
          <w:sz w:val="22"/>
          <w:szCs w:val="22"/>
        </w:rPr>
        <w:t xml:space="preserve"> </w:t>
      </w:r>
      <w:r w:rsidRPr="00A43124">
        <w:rPr>
          <w:rFonts w:asciiTheme="minorHAnsi" w:hAnsiTheme="minorHAnsi"/>
          <w:sz w:val="22"/>
          <w:szCs w:val="22"/>
        </w:rPr>
        <w:t>has taken steps to resolve the concern independently, such as through discussing the concerns with the government entity</w:t>
      </w:r>
      <w:r w:rsidR="006B5FF1">
        <w:rPr>
          <w:rFonts w:asciiTheme="minorHAnsi" w:hAnsiTheme="minorHAnsi"/>
          <w:sz w:val="22"/>
          <w:szCs w:val="22"/>
        </w:rPr>
        <w:t>.</w:t>
      </w:r>
    </w:p>
    <w:p w:rsidR="00A94F8D" w:rsidRDefault="00A94F8D" w:rsidP="00A94F8D">
      <w:pPr>
        <w:pStyle w:val="Bullet"/>
        <w:numPr>
          <w:ilvl w:val="0"/>
          <w:numId w:val="0"/>
        </w:numPr>
        <w:spacing w:before="0" w:after="240"/>
        <w:rPr>
          <w:rFonts w:asciiTheme="minorHAnsi" w:hAnsiTheme="minorHAnsi"/>
          <w:sz w:val="22"/>
          <w:szCs w:val="22"/>
        </w:rPr>
      </w:pPr>
      <w:r w:rsidRPr="000523FC">
        <w:rPr>
          <w:rFonts w:asciiTheme="minorHAnsi" w:hAnsiTheme="minorHAnsi"/>
          <w:sz w:val="22"/>
          <w:szCs w:val="22"/>
        </w:rPr>
        <w:t xml:space="preserve">If the </w:t>
      </w:r>
      <w:r>
        <w:rPr>
          <w:rFonts w:asciiTheme="minorHAnsi" w:hAnsiTheme="minorHAnsi"/>
          <w:sz w:val="22"/>
          <w:szCs w:val="22"/>
        </w:rPr>
        <w:t>OCBR</w:t>
      </w:r>
      <w:r w:rsidRPr="000523FC">
        <w:rPr>
          <w:rFonts w:asciiTheme="minorHAnsi" w:hAnsiTheme="minorHAnsi"/>
          <w:sz w:val="22"/>
          <w:szCs w:val="22"/>
        </w:rPr>
        <w:t xml:space="preserve"> requires more information to assess a complaint </w:t>
      </w:r>
      <w:r w:rsidR="00461A2F">
        <w:rPr>
          <w:rFonts w:asciiTheme="minorHAnsi" w:hAnsiTheme="minorHAnsi"/>
          <w:sz w:val="22"/>
          <w:szCs w:val="22"/>
        </w:rPr>
        <w:t>we</w:t>
      </w:r>
      <w:r>
        <w:rPr>
          <w:rFonts w:asciiTheme="minorHAnsi" w:hAnsiTheme="minorHAnsi"/>
          <w:sz w:val="22"/>
          <w:szCs w:val="22"/>
        </w:rPr>
        <w:t xml:space="preserve"> may request further information from the complainant,</w:t>
      </w:r>
      <w:r w:rsidRPr="000523FC">
        <w:rPr>
          <w:rFonts w:asciiTheme="minorHAnsi" w:hAnsiTheme="minorHAnsi"/>
          <w:sz w:val="22"/>
          <w:szCs w:val="22"/>
        </w:rPr>
        <w:t xml:space="preserve"> undertake research and</w:t>
      </w:r>
      <w:r>
        <w:rPr>
          <w:rFonts w:asciiTheme="minorHAnsi" w:hAnsiTheme="minorHAnsi"/>
          <w:sz w:val="22"/>
          <w:szCs w:val="22"/>
        </w:rPr>
        <w:t xml:space="preserve">/or </w:t>
      </w:r>
      <w:r w:rsidRPr="000523FC">
        <w:rPr>
          <w:rFonts w:asciiTheme="minorHAnsi" w:hAnsiTheme="minorHAnsi"/>
          <w:sz w:val="22"/>
          <w:szCs w:val="22"/>
        </w:rPr>
        <w:t>seek information from relevant government agencies</w:t>
      </w:r>
      <w:r>
        <w:rPr>
          <w:rFonts w:asciiTheme="minorHAnsi" w:hAnsiTheme="minorHAnsi"/>
          <w:sz w:val="22"/>
          <w:szCs w:val="22"/>
        </w:rPr>
        <w:t>, including from the agency subject to the complaint to verify its compliance with CN policy</w:t>
      </w:r>
      <w:r w:rsidRPr="000523FC">
        <w:rPr>
          <w:rFonts w:asciiTheme="minorHAnsi" w:hAnsiTheme="minorHAnsi"/>
          <w:sz w:val="22"/>
          <w:szCs w:val="22"/>
        </w:rPr>
        <w:t>.</w:t>
      </w:r>
    </w:p>
    <w:p w:rsidR="00747CE6" w:rsidRDefault="00A94F8D" w:rsidP="00747CE6">
      <w:pPr>
        <w:pStyle w:val="Bullet"/>
        <w:numPr>
          <w:ilvl w:val="0"/>
          <w:numId w:val="0"/>
        </w:numPr>
        <w:spacing w:before="0" w:after="2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</w:t>
      </w:r>
      <w:r w:rsidR="008335BC" w:rsidRPr="00747CE6">
        <w:rPr>
          <w:rFonts w:asciiTheme="minorHAnsi" w:hAnsiTheme="minorHAnsi"/>
          <w:sz w:val="22"/>
          <w:szCs w:val="22"/>
        </w:rPr>
        <w:t xml:space="preserve">he </w:t>
      </w:r>
      <w:r w:rsidR="00461A2F">
        <w:rPr>
          <w:rFonts w:asciiTheme="minorHAnsi" w:hAnsiTheme="minorHAnsi"/>
          <w:sz w:val="22"/>
          <w:szCs w:val="22"/>
        </w:rPr>
        <w:t>Commissioner</w:t>
      </w:r>
      <w:r w:rsidR="008335BC" w:rsidRPr="00747CE6">
        <w:rPr>
          <w:rFonts w:asciiTheme="minorHAnsi" w:hAnsiTheme="minorHAnsi"/>
          <w:sz w:val="22"/>
          <w:szCs w:val="22"/>
        </w:rPr>
        <w:t xml:space="preserve"> </w:t>
      </w:r>
      <w:r w:rsidR="00247EB6" w:rsidRPr="00747CE6">
        <w:rPr>
          <w:rFonts w:asciiTheme="minorHAnsi" w:hAnsiTheme="minorHAnsi"/>
          <w:sz w:val="22"/>
          <w:szCs w:val="22"/>
        </w:rPr>
        <w:t xml:space="preserve">does </w:t>
      </w:r>
      <w:r w:rsidR="008335BC" w:rsidRPr="00747CE6">
        <w:rPr>
          <w:rFonts w:asciiTheme="minorHAnsi" w:hAnsiTheme="minorHAnsi"/>
          <w:sz w:val="22"/>
          <w:szCs w:val="22"/>
        </w:rPr>
        <w:t xml:space="preserve">not </w:t>
      </w:r>
      <w:r w:rsidR="00101804" w:rsidRPr="00747CE6">
        <w:rPr>
          <w:rFonts w:asciiTheme="minorHAnsi" w:hAnsiTheme="minorHAnsi"/>
          <w:sz w:val="22"/>
          <w:szCs w:val="22"/>
        </w:rPr>
        <w:t xml:space="preserve">accept </w:t>
      </w:r>
      <w:r w:rsidR="008335BC" w:rsidRPr="00747CE6">
        <w:rPr>
          <w:rFonts w:asciiTheme="minorHAnsi" w:hAnsiTheme="minorHAnsi"/>
          <w:sz w:val="22"/>
          <w:szCs w:val="22"/>
        </w:rPr>
        <w:t>a complaint if</w:t>
      </w:r>
      <w:r w:rsidR="00747CE6">
        <w:rPr>
          <w:rFonts w:asciiTheme="minorHAnsi" w:hAnsiTheme="minorHAnsi"/>
          <w:sz w:val="22"/>
          <w:szCs w:val="22"/>
        </w:rPr>
        <w:t>:</w:t>
      </w:r>
    </w:p>
    <w:p w:rsidR="00747CE6" w:rsidRDefault="00747CE6" w:rsidP="00747CE6">
      <w:pPr>
        <w:pStyle w:val="Bullet"/>
        <w:numPr>
          <w:ilvl w:val="0"/>
          <w:numId w:val="8"/>
        </w:numPr>
        <w:spacing w:before="0" w:after="2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it</w:t>
      </w:r>
      <w:r w:rsidR="00A43124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relates to past issues</w:t>
      </w:r>
    </w:p>
    <w:p w:rsidR="00747CE6" w:rsidRDefault="00A43124" w:rsidP="00747CE6">
      <w:pPr>
        <w:pStyle w:val="Bullet"/>
        <w:numPr>
          <w:ilvl w:val="0"/>
          <w:numId w:val="8"/>
        </w:numPr>
        <w:spacing w:before="0" w:after="2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it</w:t>
      </w:r>
      <w:r w:rsidR="00747CE6">
        <w:rPr>
          <w:rFonts w:asciiTheme="minorHAnsi" w:hAnsiTheme="minorHAnsi"/>
          <w:sz w:val="22"/>
          <w:szCs w:val="22"/>
        </w:rPr>
        <w:t xml:space="preserve"> </w:t>
      </w:r>
      <w:r w:rsidR="008335BC" w:rsidRPr="00747CE6">
        <w:rPr>
          <w:rFonts w:asciiTheme="minorHAnsi" w:hAnsiTheme="minorHAnsi"/>
          <w:sz w:val="22"/>
          <w:szCs w:val="22"/>
        </w:rPr>
        <w:t>is frivolous</w:t>
      </w:r>
      <w:r w:rsidR="00747CE6">
        <w:rPr>
          <w:rFonts w:asciiTheme="minorHAnsi" w:hAnsiTheme="minorHAnsi"/>
          <w:sz w:val="22"/>
          <w:szCs w:val="22"/>
        </w:rPr>
        <w:t xml:space="preserve"> or</w:t>
      </w:r>
      <w:r w:rsidR="008335BC" w:rsidRPr="00747CE6">
        <w:rPr>
          <w:rFonts w:asciiTheme="minorHAnsi" w:hAnsiTheme="minorHAnsi"/>
          <w:sz w:val="22"/>
          <w:szCs w:val="22"/>
        </w:rPr>
        <w:t xml:space="preserve"> vexatious or not made in good faith</w:t>
      </w:r>
      <w:r w:rsidR="00747CE6" w:rsidRPr="00747CE6">
        <w:rPr>
          <w:rFonts w:asciiTheme="minorHAnsi" w:hAnsiTheme="minorHAnsi"/>
          <w:sz w:val="22"/>
          <w:szCs w:val="22"/>
        </w:rPr>
        <w:t xml:space="preserve"> </w:t>
      </w:r>
    </w:p>
    <w:p w:rsidR="008335BC" w:rsidRDefault="008335BC" w:rsidP="00747CE6">
      <w:pPr>
        <w:pStyle w:val="Bullet"/>
        <w:numPr>
          <w:ilvl w:val="0"/>
          <w:numId w:val="8"/>
        </w:numPr>
        <w:spacing w:before="0" w:after="240"/>
        <w:rPr>
          <w:rFonts w:asciiTheme="minorHAnsi" w:hAnsiTheme="minorHAnsi"/>
          <w:sz w:val="22"/>
          <w:szCs w:val="22"/>
        </w:rPr>
      </w:pPr>
      <w:proofErr w:type="gramStart"/>
      <w:r w:rsidRPr="000523FC">
        <w:rPr>
          <w:rFonts w:asciiTheme="minorHAnsi" w:hAnsiTheme="minorHAnsi"/>
          <w:sz w:val="22"/>
          <w:szCs w:val="22"/>
        </w:rPr>
        <w:t>an</w:t>
      </w:r>
      <w:proofErr w:type="gramEnd"/>
      <w:r w:rsidRPr="000523FC">
        <w:rPr>
          <w:rFonts w:asciiTheme="minorHAnsi" w:hAnsiTheme="minorHAnsi"/>
          <w:sz w:val="22"/>
          <w:szCs w:val="22"/>
        </w:rPr>
        <w:t xml:space="preserve"> investigation is not warranted having regard to all the relevant circumstances</w:t>
      </w:r>
      <w:r w:rsidR="00DB0514" w:rsidRPr="000523FC">
        <w:rPr>
          <w:rFonts w:asciiTheme="minorHAnsi" w:hAnsiTheme="minorHAnsi"/>
          <w:sz w:val="22"/>
          <w:szCs w:val="22"/>
        </w:rPr>
        <w:t>.</w:t>
      </w:r>
    </w:p>
    <w:p w:rsidR="00DB0610" w:rsidRDefault="008335BC" w:rsidP="000523FC">
      <w:pPr>
        <w:spacing w:before="0" w:after="240"/>
        <w:rPr>
          <w:rFonts w:asciiTheme="minorHAnsi" w:hAnsiTheme="minorHAnsi" w:cs="Arial"/>
          <w:sz w:val="22"/>
          <w:szCs w:val="22"/>
        </w:rPr>
      </w:pPr>
      <w:r w:rsidRPr="001C093E">
        <w:rPr>
          <w:rFonts w:asciiTheme="minorHAnsi" w:hAnsiTheme="minorHAnsi" w:cs="Arial"/>
          <w:sz w:val="22"/>
          <w:szCs w:val="22"/>
        </w:rPr>
        <w:t xml:space="preserve">If the </w:t>
      </w:r>
      <w:r w:rsidR="007B6516">
        <w:rPr>
          <w:rFonts w:asciiTheme="minorHAnsi" w:hAnsiTheme="minorHAnsi" w:cs="Arial"/>
          <w:sz w:val="22"/>
          <w:szCs w:val="22"/>
        </w:rPr>
        <w:t>Commissioner</w:t>
      </w:r>
      <w:r w:rsidRPr="001C093E">
        <w:rPr>
          <w:rFonts w:asciiTheme="minorHAnsi" w:hAnsiTheme="minorHAnsi" w:cs="Arial"/>
          <w:sz w:val="22"/>
          <w:szCs w:val="22"/>
        </w:rPr>
        <w:t xml:space="preserve"> </w:t>
      </w:r>
      <w:r w:rsidR="00B64AB9" w:rsidRPr="001C093E">
        <w:rPr>
          <w:rFonts w:asciiTheme="minorHAnsi" w:hAnsiTheme="minorHAnsi" w:cs="Arial"/>
          <w:sz w:val="22"/>
          <w:szCs w:val="22"/>
        </w:rPr>
        <w:t xml:space="preserve">does </w:t>
      </w:r>
      <w:r w:rsidRPr="001C093E">
        <w:rPr>
          <w:rFonts w:asciiTheme="minorHAnsi" w:hAnsiTheme="minorHAnsi" w:cs="Arial"/>
          <w:sz w:val="22"/>
          <w:szCs w:val="22"/>
        </w:rPr>
        <w:t xml:space="preserve">not </w:t>
      </w:r>
      <w:r w:rsidR="00B64AB9" w:rsidRPr="001C093E">
        <w:rPr>
          <w:rFonts w:asciiTheme="minorHAnsi" w:hAnsiTheme="minorHAnsi" w:cs="Arial"/>
          <w:sz w:val="22"/>
          <w:szCs w:val="22"/>
        </w:rPr>
        <w:t>accept</w:t>
      </w:r>
      <w:r w:rsidRPr="001C093E">
        <w:rPr>
          <w:rFonts w:asciiTheme="minorHAnsi" w:hAnsiTheme="minorHAnsi" w:cs="Arial"/>
          <w:sz w:val="22"/>
          <w:szCs w:val="22"/>
        </w:rPr>
        <w:t xml:space="preserve"> a complaint</w:t>
      </w:r>
      <w:r w:rsidR="00B61B3E" w:rsidRPr="001C093E">
        <w:rPr>
          <w:rFonts w:asciiTheme="minorHAnsi" w:hAnsiTheme="minorHAnsi" w:cs="Arial"/>
          <w:sz w:val="22"/>
          <w:szCs w:val="22"/>
        </w:rPr>
        <w:t>,</w:t>
      </w:r>
      <w:r w:rsidRPr="001C093E">
        <w:rPr>
          <w:rFonts w:asciiTheme="minorHAnsi" w:hAnsiTheme="minorHAnsi" w:cs="Arial"/>
          <w:sz w:val="22"/>
          <w:szCs w:val="22"/>
        </w:rPr>
        <w:t xml:space="preserve"> the </w:t>
      </w:r>
      <w:r w:rsidR="00C62229" w:rsidRPr="001C093E">
        <w:rPr>
          <w:rFonts w:asciiTheme="minorHAnsi" w:hAnsiTheme="minorHAnsi"/>
          <w:sz w:val="22"/>
          <w:szCs w:val="22"/>
        </w:rPr>
        <w:t>complainant</w:t>
      </w:r>
      <w:r w:rsidR="00B64AB9" w:rsidRPr="001C093E">
        <w:rPr>
          <w:rFonts w:asciiTheme="minorHAnsi" w:hAnsiTheme="minorHAnsi" w:cs="Arial"/>
          <w:sz w:val="22"/>
          <w:szCs w:val="22"/>
        </w:rPr>
        <w:t xml:space="preserve"> </w:t>
      </w:r>
      <w:r w:rsidR="00946055" w:rsidRPr="001C093E">
        <w:rPr>
          <w:rFonts w:asciiTheme="minorHAnsi" w:hAnsiTheme="minorHAnsi" w:cs="Arial"/>
          <w:sz w:val="22"/>
          <w:szCs w:val="22"/>
        </w:rPr>
        <w:t xml:space="preserve">is informed </w:t>
      </w:r>
      <w:r w:rsidRPr="001C093E">
        <w:rPr>
          <w:rFonts w:asciiTheme="minorHAnsi" w:hAnsiTheme="minorHAnsi" w:cs="Arial"/>
          <w:sz w:val="22"/>
          <w:szCs w:val="22"/>
        </w:rPr>
        <w:t xml:space="preserve">of that </w:t>
      </w:r>
      <w:proofErr w:type="gramStart"/>
      <w:r w:rsidRPr="001C093E">
        <w:rPr>
          <w:rFonts w:asciiTheme="minorHAnsi" w:hAnsiTheme="minorHAnsi" w:cs="Arial"/>
          <w:sz w:val="22"/>
          <w:szCs w:val="22"/>
        </w:rPr>
        <w:t>decision,</w:t>
      </w:r>
      <w:proofErr w:type="gramEnd"/>
      <w:r w:rsidRPr="001C093E">
        <w:rPr>
          <w:rFonts w:asciiTheme="minorHAnsi" w:hAnsiTheme="minorHAnsi" w:cs="Arial"/>
          <w:sz w:val="22"/>
          <w:szCs w:val="22"/>
        </w:rPr>
        <w:t xml:space="preserve"> and the reasons for it, in writing.</w:t>
      </w:r>
      <w:r w:rsidR="00536BDA" w:rsidRPr="001C093E">
        <w:rPr>
          <w:rFonts w:asciiTheme="minorHAnsi" w:hAnsiTheme="minorHAnsi" w:cs="Arial"/>
          <w:sz w:val="22"/>
          <w:szCs w:val="22"/>
        </w:rPr>
        <w:t xml:space="preserve"> </w:t>
      </w:r>
    </w:p>
    <w:p w:rsidR="00B30BAB" w:rsidRPr="000523FC" w:rsidRDefault="00B65047" w:rsidP="000523FC">
      <w:pPr>
        <w:spacing w:before="0" w:after="240"/>
        <w:rPr>
          <w:rFonts w:asciiTheme="minorHAnsi" w:hAnsiTheme="minorHAnsi" w:cs="Arial"/>
          <w:sz w:val="22"/>
          <w:szCs w:val="22"/>
        </w:rPr>
      </w:pPr>
      <w:r w:rsidRPr="001C093E">
        <w:rPr>
          <w:rFonts w:asciiTheme="minorHAnsi" w:hAnsiTheme="minorHAnsi" w:cs="Arial"/>
          <w:sz w:val="22"/>
          <w:szCs w:val="22"/>
        </w:rPr>
        <w:t xml:space="preserve">In cases </w:t>
      </w:r>
      <w:r w:rsidR="001C093E">
        <w:rPr>
          <w:rFonts w:asciiTheme="minorHAnsi" w:hAnsiTheme="minorHAnsi" w:cs="Arial"/>
          <w:sz w:val="22"/>
          <w:szCs w:val="22"/>
        </w:rPr>
        <w:t xml:space="preserve">where </w:t>
      </w:r>
      <w:r w:rsidR="001C093E" w:rsidRPr="001C093E">
        <w:rPr>
          <w:rFonts w:asciiTheme="minorHAnsi" w:hAnsiTheme="minorHAnsi" w:cs="Arial"/>
          <w:sz w:val="22"/>
          <w:szCs w:val="22"/>
        </w:rPr>
        <w:t xml:space="preserve">the </w:t>
      </w:r>
      <w:r w:rsidR="00461A2F">
        <w:rPr>
          <w:rFonts w:asciiTheme="minorHAnsi" w:hAnsiTheme="minorHAnsi" w:cs="Arial"/>
          <w:sz w:val="22"/>
          <w:szCs w:val="22"/>
        </w:rPr>
        <w:t>Commissioner</w:t>
      </w:r>
      <w:r w:rsidR="001C093E" w:rsidRPr="001C093E">
        <w:rPr>
          <w:rFonts w:asciiTheme="minorHAnsi" w:hAnsiTheme="minorHAnsi" w:cs="Arial"/>
          <w:sz w:val="22"/>
          <w:szCs w:val="22"/>
        </w:rPr>
        <w:t xml:space="preserve"> </w:t>
      </w:r>
      <w:r w:rsidR="00DB0610">
        <w:rPr>
          <w:rFonts w:asciiTheme="minorHAnsi" w:hAnsiTheme="minorHAnsi" w:cs="Arial"/>
          <w:sz w:val="22"/>
          <w:szCs w:val="22"/>
        </w:rPr>
        <w:t xml:space="preserve">does not accept a complaint but </w:t>
      </w:r>
      <w:r w:rsidR="001C093E" w:rsidRPr="001C093E">
        <w:rPr>
          <w:rFonts w:asciiTheme="minorHAnsi" w:hAnsiTheme="minorHAnsi" w:cs="Arial"/>
          <w:sz w:val="22"/>
          <w:szCs w:val="22"/>
        </w:rPr>
        <w:t xml:space="preserve">considers that, for example, CN issues might arise in the future or compliance with CN policy could be enhanced, </w:t>
      </w:r>
      <w:r w:rsidR="00461A2F">
        <w:rPr>
          <w:rFonts w:asciiTheme="minorHAnsi" w:hAnsiTheme="minorHAnsi" w:cs="Arial"/>
          <w:sz w:val="22"/>
          <w:szCs w:val="22"/>
        </w:rPr>
        <w:t>we</w:t>
      </w:r>
      <w:r w:rsidR="001C093E" w:rsidRPr="001C093E">
        <w:rPr>
          <w:rFonts w:asciiTheme="minorHAnsi" w:hAnsiTheme="minorHAnsi" w:cs="Arial"/>
          <w:sz w:val="22"/>
          <w:szCs w:val="22"/>
        </w:rPr>
        <w:t xml:space="preserve"> will </w:t>
      </w:r>
      <w:r w:rsidR="00DB0610">
        <w:rPr>
          <w:rFonts w:asciiTheme="minorHAnsi" w:hAnsiTheme="minorHAnsi" w:cs="Arial"/>
          <w:sz w:val="22"/>
          <w:szCs w:val="22"/>
        </w:rPr>
        <w:t xml:space="preserve">advise </w:t>
      </w:r>
      <w:r w:rsidRPr="001C093E">
        <w:rPr>
          <w:rFonts w:asciiTheme="minorHAnsi" w:hAnsiTheme="minorHAnsi" w:cs="Arial"/>
          <w:sz w:val="22"/>
          <w:szCs w:val="22"/>
        </w:rPr>
        <w:t>the government business</w:t>
      </w:r>
      <w:r w:rsidR="00DB0610">
        <w:rPr>
          <w:rFonts w:asciiTheme="minorHAnsi" w:hAnsiTheme="minorHAnsi" w:cs="Arial"/>
          <w:sz w:val="22"/>
          <w:szCs w:val="22"/>
        </w:rPr>
        <w:t xml:space="preserve"> on how to address these issues</w:t>
      </w:r>
      <w:r w:rsidR="00C76525" w:rsidRPr="001C093E">
        <w:rPr>
          <w:rFonts w:asciiTheme="minorHAnsi" w:hAnsiTheme="minorHAnsi" w:cs="Arial"/>
          <w:sz w:val="22"/>
          <w:szCs w:val="22"/>
        </w:rPr>
        <w:t>.</w:t>
      </w:r>
      <w:r w:rsidR="00C76525" w:rsidRPr="000523FC">
        <w:rPr>
          <w:rFonts w:asciiTheme="minorHAnsi" w:hAnsiTheme="minorHAnsi" w:cs="Arial"/>
          <w:sz w:val="22"/>
          <w:szCs w:val="22"/>
        </w:rPr>
        <w:t xml:space="preserve"> </w:t>
      </w:r>
    </w:p>
    <w:p w:rsidR="00C25706" w:rsidRPr="000523FC" w:rsidRDefault="00C25706" w:rsidP="000523FC">
      <w:pPr>
        <w:pStyle w:val="Heading30"/>
        <w:spacing w:after="240"/>
        <w:rPr>
          <w:rFonts w:asciiTheme="minorHAnsi" w:hAnsiTheme="minorHAnsi"/>
          <w:color w:val="0063A4"/>
          <w:sz w:val="22"/>
          <w:szCs w:val="22"/>
        </w:rPr>
      </w:pPr>
      <w:r w:rsidRPr="000523FC">
        <w:rPr>
          <w:rFonts w:asciiTheme="minorHAnsi" w:hAnsiTheme="minorHAnsi"/>
          <w:color w:val="0063A4"/>
          <w:sz w:val="22"/>
          <w:szCs w:val="22"/>
        </w:rPr>
        <w:t>The non-investigation-based approach</w:t>
      </w:r>
    </w:p>
    <w:p w:rsidR="00461A2F" w:rsidRPr="001C093E" w:rsidRDefault="00461A2F" w:rsidP="00461A2F">
      <w:pPr>
        <w:spacing w:before="0" w:after="240"/>
        <w:rPr>
          <w:rFonts w:asciiTheme="minorHAnsi" w:hAnsiTheme="minorHAnsi"/>
          <w:sz w:val="22"/>
          <w:szCs w:val="22"/>
        </w:rPr>
      </w:pPr>
      <w:r w:rsidRPr="001C093E">
        <w:rPr>
          <w:rFonts w:asciiTheme="minorHAnsi" w:hAnsiTheme="minorHAnsi" w:cs="Arial"/>
          <w:sz w:val="22"/>
          <w:szCs w:val="22"/>
        </w:rPr>
        <w:t xml:space="preserve">The OCBR may suggest a non-investigation-based approach be used to resolve the concerns of the </w:t>
      </w:r>
      <w:r w:rsidRPr="001C093E">
        <w:rPr>
          <w:rFonts w:asciiTheme="minorHAnsi" w:hAnsiTheme="minorHAnsi"/>
          <w:sz w:val="22"/>
          <w:szCs w:val="22"/>
        </w:rPr>
        <w:t xml:space="preserve">complainant if it determines that a complaint — or part of a complaint — is within the scope of CN policy, but an investigation is not the most effective or proportionate way to resolve the issue/s raised. </w:t>
      </w:r>
    </w:p>
    <w:p w:rsidR="008400F5" w:rsidRPr="001C093E" w:rsidRDefault="008400F5" w:rsidP="008400F5">
      <w:pPr>
        <w:spacing w:before="0" w:after="240"/>
        <w:rPr>
          <w:rFonts w:asciiTheme="minorHAnsi" w:hAnsiTheme="minorHAnsi" w:cs="Arial"/>
          <w:sz w:val="22"/>
          <w:szCs w:val="22"/>
        </w:rPr>
      </w:pPr>
      <w:r w:rsidRPr="001C093E">
        <w:rPr>
          <w:rFonts w:asciiTheme="minorHAnsi" w:hAnsiTheme="minorHAnsi" w:cs="Arial"/>
          <w:sz w:val="22"/>
          <w:szCs w:val="22"/>
        </w:rPr>
        <w:t>The purpose of a non-investigation approach is to improve the understanding of CN policy by private and government businesses</w:t>
      </w:r>
      <w:r w:rsidR="00E55B7F" w:rsidRPr="001C093E">
        <w:rPr>
          <w:rFonts w:asciiTheme="minorHAnsi" w:hAnsiTheme="minorHAnsi" w:cs="Arial"/>
          <w:sz w:val="22"/>
          <w:szCs w:val="22"/>
        </w:rPr>
        <w:t>,</w:t>
      </w:r>
      <w:r w:rsidRPr="001C093E">
        <w:rPr>
          <w:rFonts w:asciiTheme="minorHAnsi" w:hAnsiTheme="minorHAnsi" w:cs="Arial"/>
          <w:sz w:val="22"/>
          <w:szCs w:val="22"/>
        </w:rPr>
        <w:t xml:space="preserve"> and to ensure compliance with CN policy in a simpler, faster and proportionate way</w:t>
      </w:r>
      <w:r w:rsidR="006B5FF1">
        <w:rPr>
          <w:rFonts w:asciiTheme="minorHAnsi" w:hAnsiTheme="minorHAnsi" w:cs="Arial"/>
          <w:sz w:val="22"/>
          <w:szCs w:val="22"/>
        </w:rPr>
        <w:t xml:space="preserve"> than would be possible with an investigation</w:t>
      </w:r>
      <w:r w:rsidRPr="001C093E">
        <w:rPr>
          <w:rFonts w:asciiTheme="minorHAnsi" w:hAnsiTheme="minorHAnsi" w:cs="Arial"/>
          <w:sz w:val="22"/>
          <w:szCs w:val="22"/>
        </w:rPr>
        <w:t>.</w:t>
      </w:r>
    </w:p>
    <w:p w:rsidR="001C093E" w:rsidRPr="001C093E" w:rsidRDefault="001C093E" w:rsidP="001C093E">
      <w:pPr>
        <w:spacing w:before="0" w:after="240"/>
        <w:rPr>
          <w:rFonts w:asciiTheme="minorHAnsi" w:hAnsiTheme="minorHAnsi" w:cs="Arial"/>
          <w:sz w:val="22"/>
          <w:szCs w:val="22"/>
        </w:rPr>
      </w:pPr>
      <w:r w:rsidRPr="001C093E">
        <w:rPr>
          <w:rFonts w:asciiTheme="minorHAnsi" w:hAnsiTheme="minorHAnsi" w:cs="Arial"/>
          <w:sz w:val="22"/>
          <w:szCs w:val="22"/>
        </w:rPr>
        <w:t xml:space="preserve">The approach adopted depends on the specific circumstances, but could include a meeting between the </w:t>
      </w:r>
      <w:r w:rsidRPr="001C093E">
        <w:rPr>
          <w:rFonts w:asciiTheme="minorHAnsi" w:hAnsiTheme="minorHAnsi"/>
          <w:sz w:val="22"/>
          <w:szCs w:val="22"/>
        </w:rPr>
        <w:t>complainant</w:t>
      </w:r>
      <w:r w:rsidRPr="001C093E">
        <w:rPr>
          <w:rFonts w:asciiTheme="minorHAnsi" w:hAnsiTheme="minorHAnsi" w:cs="Arial"/>
          <w:sz w:val="22"/>
          <w:szCs w:val="22"/>
        </w:rPr>
        <w:t xml:space="preserve">, relevant government entity and the OCBR to discuss the CN concerns and/or specific advice from the OCBR to a government business on how best to apply CN </w:t>
      </w:r>
      <w:r w:rsidR="006B5FF1">
        <w:rPr>
          <w:rFonts w:asciiTheme="minorHAnsi" w:hAnsiTheme="minorHAnsi" w:cs="Arial"/>
          <w:sz w:val="22"/>
          <w:szCs w:val="22"/>
        </w:rPr>
        <w:t>p</w:t>
      </w:r>
      <w:r w:rsidRPr="001C093E">
        <w:rPr>
          <w:rFonts w:asciiTheme="minorHAnsi" w:hAnsiTheme="minorHAnsi" w:cs="Arial"/>
          <w:sz w:val="22"/>
          <w:szCs w:val="22"/>
        </w:rPr>
        <w:t>olicy.</w:t>
      </w:r>
    </w:p>
    <w:p w:rsidR="009E6E2A" w:rsidRPr="001C093E" w:rsidRDefault="009E6E2A" w:rsidP="009E6E2A">
      <w:pPr>
        <w:spacing w:before="0" w:after="240"/>
        <w:rPr>
          <w:rFonts w:asciiTheme="minorHAnsi" w:hAnsiTheme="minorHAnsi" w:cs="Arial"/>
          <w:sz w:val="22"/>
          <w:szCs w:val="22"/>
        </w:rPr>
      </w:pPr>
      <w:r w:rsidRPr="001C093E">
        <w:rPr>
          <w:rFonts w:asciiTheme="minorHAnsi" w:hAnsiTheme="minorHAnsi" w:cs="Arial"/>
          <w:sz w:val="22"/>
          <w:szCs w:val="22"/>
        </w:rPr>
        <w:t xml:space="preserve">If the OCBR considers this approach may be appropriate, </w:t>
      </w:r>
      <w:r w:rsidR="00461A2F">
        <w:rPr>
          <w:rFonts w:asciiTheme="minorHAnsi" w:hAnsiTheme="minorHAnsi" w:cs="Arial"/>
          <w:sz w:val="22"/>
          <w:szCs w:val="22"/>
        </w:rPr>
        <w:t>we</w:t>
      </w:r>
      <w:r w:rsidRPr="001C093E">
        <w:rPr>
          <w:rFonts w:asciiTheme="minorHAnsi" w:hAnsiTheme="minorHAnsi" w:cs="Arial"/>
          <w:sz w:val="22"/>
          <w:szCs w:val="22"/>
        </w:rPr>
        <w:t xml:space="preserve"> discuss this with the </w:t>
      </w:r>
      <w:r w:rsidRPr="001C093E">
        <w:rPr>
          <w:rFonts w:asciiTheme="minorHAnsi" w:hAnsiTheme="minorHAnsi"/>
          <w:sz w:val="22"/>
          <w:szCs w:val="22"/>
        </w:rPr>
        <w:t>complainant</w:t>
      </w:r>
      <w:r w:rsidRPr="001C093E">
        <w:rPr>
          <w:rFonts w:asciiTheme="minorHAnsi" w:hAnsiTheme="minorHAnsi" w:cs="Arial"/>
          <w:sz w:val="22"/>
          <w:szCs w:val="22"/>
        </w:rPr>
        <w:t xml:space="preserve">. If the </w:t>
      </w:r>
      <w:r w:rsidRPr="001C093E">
        <w:rPr>
          <w:rFonts w:asciiTheme="minorHAnsi" w:hAnsiTheme="minorHAnsi"/>
          <w:sz w:val="22"/>
          <w:szCs w:val="22"/>
        </w:rPr>
        <w:t>complainant</w:t>
      </w:r>
      <w:r w:rsidRPr="001C093E">
        <w:rPr>
          <w:rFonts w:asciiTheme="minorHAnsi" w:hAnsiTheme="minorHAnsi" w:cs="Arial"/>
          <w:sz w:val="22"/>
          <w:szCs w:val="22"/>
        </w:rPr>
        <w:t xml:space="preserve"> agrees </w:t>
      </w:r>
      <w:r w:rsidR="00E55B7F" w:rsidRPr="001C093E">
        <w:rPr>
          <w:rFonts w:asciiTheme="minorHAnsi" w:hAnsiTheme="minorHAnsi" w:cs="Arial"/>
          <w:sz w:val="22"/>
          <w:szCs w:val="22"/>
        </w:rPr>
        <w:t xml:space="preserve">to proceed with </w:t>
      </w:r>
      <w:r w:rsidRPr="001C093E">
        <w:rPr>
          <w:rFonts w:asciiTheme="minorHAnsi" w:hAnsiTheme="minorHAnsi" w:cs="Arial"/>
          <w:sz w:val="22"/>
          <w:szCs w:val="22"/>
        </w:rPr>
        <w:t xml:space="preserve">this approach, a complaint will be placed in abeyance. However, if the </w:t>
      </w:r>
      <w:r w:rsidRPr="001C093E">
        <w:rPr>
          <w:rFonts w:asciiTheme="minorHAnsi" w:hAnsiTheme="minorHAnsi"/>
          <w:sz w:val="22"/>
          <w:szCs w:val="22"/>
        </w:rPr>
        <w:t>complainant</w:t>
      </w:r>
      <w:r w:rsidRPr="001C093E">
        <w:rPr>
          <w:rFonts w:asciiTheme="minorHAnsi" w:hAnsiTheme="minorHAnsi" w:cs="Arial"/>
          <w:sz w:val="22"/>
          <w:szCs w:val="22"/>
        </w:rPr>
        <w:t>’s concerns are not resolved, they can choose to proceed with the complaint, and the OCBR will commence an investigation, where this is warranted.</w:t>
      </w:r>
    </w:p>
    <w:p w:rsidR="006C7EC9" w:rsidRPr="000523FC" w:rsidRDefault="006C7EC9" w:rsidP="000523FC">
      <w:pPr>
        <w:pStyle w:val="Heading30"/>
        <w:spacing w:after="240"/>
        <w:rPr>
          <w:rFonts w:asciiTheme="minorHAnsi" w:hAnsiTheme="minorHAnsi"/>
          <w:color w:val="0063A4"/>
          <w:sz w:val="22"/>
          <w:szCs w:val="22"/>
        </w:rPr>
      </w:pPr>
      <w:r w:rsidRPr="000523FC">
        <w:rPr>
          <w:rFonts w:asciiTheme="minorHAnsi" w:hAnsiTheme="minorHAnsi"/>
          <w:color w:val="0063A4"/>
          <w:sz w:val="22"/>
          <w:szCs w:val="22"/>
        </w:rPr>
        <w:t xml:space="preserve">The complaints investigation </w:t>
      </w:r>
      <w:r w:rsidR="001C093E">
        <w:rPr>
          <w:rFonts w:asciiTheme="minorHAnsi" w:hAnsiTheme="minorHAnsi"/>
          <w:color w:val="0063A4"/>
          <w:sz w:val="22"/>
          <w:szCs w:val="22"/>
        </w:rPr>
        <w:t>approach</w:t>
      </w:r>
    </w:p>
    <w:p w:rsidR="008335BC" w:rsidRPr="000523FC" w:rsidRDefault="008335BC" w:rsidP="000523FC">
      <w:pPr>
        <w:spacing w:before="0" w:after="240"/>
        <w:rPr>
          <w:rFonts w:asciiTheme="minorHAnsi" w:hAnsiTheme="minorHAnsi" w:cs="Arial"/>
          <w:sz w:val="22"/>
          <w:szCs w:val="22"/>
        </w:rPr>
      </w:pPr>
      <w:r w:rsidRPr="000523FC">
        <w:rPr>
          <w:rFonts w:asciiTheme="minorHAnsi" w:hAnsiTheme="minorHAnsi" w:cs="Arial"/>
          <w:sz w:val="22"/>
          <w:szCs w:val="22"/>
        </w:rPr>
        <w:t xml:space="preserve">In investigating complaints, the </w:t>
      </w:r>
      <w:r w:rsidR="00ED0C16">
        <w:rPr>
          <w:rFonts w:asciiTheme="minorHAnsi" w:hAnsiTheme="minorHAnsi" w:cs="Arial"/>
          <w:sz w:val="22"/>
          <w:szCs w:val="22"/>
        </w:rPr>
        <w:t>OCBR</w:t>
      </w:r>
      <w:r w:rsidRPr="000523FC">
        <w:rPr>
          <w:rFonts w:asciiTheme="minorHAnsi" w:hAnsiTheme="minorHAnsi" w:cs="Arial"/>
          <w:sz w:val="22"/>
          <w:szCs w:val="22"/>
        </w:rPr>
        <w:t xml:space="preserve"> abides by principles of procedural fairness, investigating all complaints fairly, independently and rigorously, and basing its findings and recommendations on the best available information.</w:t>
      </w:r>
      <w:r w:rsidR="00894230">
        <w:rPr>
          <w:rFonts w:asciiTheme="minorHAnsi" w:hAnsiTheme="minorHAnsi" w:cs="Arial"/>
          <w:sz w:val="22"/>
          <w:szCs w:val="22"/>
        </w:rPr>
        <w:t xml:space="preserve"> The OCBR’s investigation is subject to oversight and review by the Commissioner.</w:t>
      </w:r>
    </w:p>
    <w:p w:rsidR="005727D7" w:rsidRPr="000523FC" w:rsidRDefault="00EC7035" w:rsidP="000523FC">
      <w:pPr>
        <w:spacing w:before="0" w:after="240"/>
        <w:rPr>
          <w:rFonts w:asciiTheme="minorHAnsi" w:hAnsiTheme="minorHAnsi" w:cs="Arial"/>
          <w:sz w:val="22"/>
          <w:szCs w:val="22"/>
        </w:rPr>
      </w:pPr>
      <w:r w:rsidRPr="000523FC">
        <w:rPr>
          <w:rFonts w:asciiTheme="minorHAnsi" w:hAnsiTheme="minorHAnsi" w:cs="Arial"/>
          <w:sz w:val="22"/>
          <w:szCs w:val="22"/>
        </w:rPr>
        <w:t xml:space="preserve">A </w:t>
      </w:r>
      <w:r w:rsidR="00C62229" w:rsidRPr="000523FC">
        <w:rPr>
          <w:rFonts w:asciiTheme="minorHAnsi" w:hAnsiTheme="minorHAnsi"/>
          <w:sz w:val="22"/>
          <w:szCs w:val="22"/>
        </w:rPr>
        <w:t>complainant</w:t>
      </w:r>
      <w:r w:rsidR="000E0C55" w:rsidRPr="000523FC">
        <w:rPr>
          <w:rFonts w:asciiTheme="minorHAnsi" w:hAnsiTheme="minorHAnsi" w:cs="Arial"/>
          <w:sz w:val="22"/>
          <w:szCs w:val="22"/>
        </w:rPr>
        <w:t xml:space="preserve"> </w:t>
      </w:r>
      <w:r w:rsidRPr="000523FC">
        <w:rPr>
          <w:rFonts w:asciiTheme="minorHAnsi" w:hAnsiTheme="minorHAnsi" w:cs="Arial"/>
          <w:sz w:val="22"/>
          <w:szCs w:val="22"/>
        </w:rPr>
        <w:t xml:space="preserve">may request that the </w:t>
      </w:r>
      <w:r w:rsidR="00ED0C16">
        <w:rPr>
          <w:rFonts w:asciiTheme="minorHAnsi" w:hAnsiTheme="minorHAnsi" w:cs="Arial"/>
          <w:sz w:val="22"/>
          <w:szCs w:val="22"/>
        </w:rPr>
        <w:t xml:space="preserve">OCBR </w:t>
      </w:r>
      <w:r w:rsidR="003A0E9D" w:rsidRPr="000523FC">
        <w:rPr>
          <w:rFonts w:asciiTheme="minorHAnsi" w:hAnsiTheme="minorHAnsi" w:cs="Arial"/>
          <w:sz w:val="22"/>
          <w:szCs w:val="22"/>
        </w:rPr>
        <w:t>ke</w:t>
      </w:r>
      <w:r w:rsidRPr="000523FC">
        <w:rPr>
          <w:rFonts w:asciiTheme="minorHAnsi" w:hAnsiTheme="minorHAnsi" w:cs="Arial"/>
          <w:sz w:val="22"/>
          <w:szCs w:val="22"/>
        </w:rPr>
        <w:t>e</w:t>
      </w:r>
      <w:r w:rsidR="003A0E9D" w:rsidRPr="000523FC">
        <w:rPr>
          <w:rFonts w:asciiTheme="minorHAnsi" w:hAnsiTheme="minorHAnsi" w:cs="Arial"/>
          <w:sz w:val="22"/>
          <w:szCs w:val="22"/>
        </w:rPr>
        <w:t xml:space="preserve">p </w:t>
      </w:r>
      <w:r w:rsidRPr="000523FC">
        <w:rPr>
          <w:rFonts w:asciiTheme="minorHAnsi" w:hAnsiTheme="minorHAnsi" w:cs="Arial"/>
          <w:sz w:val="22"/>
          <w:szCs w:val="22"/>
        </w:rPr>
        <w:t xml:space="preserve">their identity </w:t>
      </w:r>
      <w:r w:rsidR="003A0E9D" w:rsidRPr="000523FC">
        <w:rPr>
          <w:rFonts w:asciiTheme="minorHAnsi" w:hAnsiTheme="minorHAnsi" w:cs="Arial"/>
          <w:sz w:val="22"/>
          <w:szCs w:val="22"/>
        </w:rPr>
        <w:t>confidential</w:t>
      </w:r>
      <w:r w:rsidRPr="000523FC">
        <w:rPr>
          <w:rFonts w:asciiTheme="minorHAnsi" w:hAnsiTheme="minorHAnsi" w:cs="Arial"/>
          <w:sz w:val="22"/>
          <w:szCs w:val="22"/>
        </w:rPr>
        <w:t xml:space="preserve">. The </w:t>
      </w:r>
      <w:r w:rsidR="00ED0C16">
        <w:rPr>
          <w:rFonts w:asciiTheme="minorHAnsi" w:hAnsiTheme="minorHAnsi" w:cs="Arial"/>
          <w:sz w:val="22"/>
          <w:szCs w:val="22"/>
        </w:rPr>
        <w:t>OCBR</w:t>
      </w:r>
      <w:r w:rsidRPr="000523FC">
        <w:rPr>
          <w:rFonts w:asciiTheme="minorHAnsi" w:hAnsiTheme="minorHAnsi" w:cs="Arial"/>
          <w:sz w:val="22"/>
          <w:szCs w:val="22"/>
        </w:rPr>
        <w:t xml:space="preserve"> will agree to this request as far as </w:t>
      </w:r>
      <w:r w:rsidR="003A0E9D" w:rsidRPr="000523FC">
        <w:rPr>
          <w:rFonts w:asciiTheme="minorHAnsi" w:hAnsiTheme="minorHAnsi" w:cs="Arial"/>
          <w:sz w:val="22"/>
          <w:szCs w:val="22"/>
        </w:rPr>
        <w:t xml:space="preserve">possible. </w:t>
      </w:r>
      <w:r w:rsidRPr="000523FC">
        <w:rPr>
          <w:rFonts w:asciiTheme="minorHAnsi" w:hAnsiTheme="minorHAnsi" w:cs="Arial"/>
          <w:sz w:val="22"/>
          <w:szCs w:val="22"/>
        </w:rPr>
        <w:t>However, i</w:t>
      </w:r>
      <w:r w:rsidR="003A0E9D" w:rsidRPr="000523FC">
        <w:rPr>
          <w:rFonts w:asciiTheme="minorHAnsi" w:hAnsiTheme="minorHAnsi" w:cs="Arial"/>
          <w:sz w:val="22"/>
          <w:szCs w:val="22"/>
        </w:rPr>
        <w:t xml:space="preserve">n some cases, the government entity may seek and be entitled to know the identity of the </w:t>
      </w:r>
      <w:r w:rsidR="00C62229" w:rsidRPr="000523FC">
        <w:rPr>
          <w:rFonts w:asciiTheme="minorHAnsi" w:hAnsiTheme="minorHAnsi"/>
          <w:sz w:val="22"/>
          <w:szCs w:val="22"/>
        </w:rPr>
        <w:t>complainant</w:t>
      </w:r>
      <w:r w:rsidR="003A0E9D" w:rsidRPr="000523FC">
        <w:rPr>
          <w:rFonts w:asciiTheme="minorHAnsi" w:hAnsiTheme="minorHAnsi" w:cs="Arial"/>
          <w:sz w:val="22"/>
          <w:szCs w:val="22"/>
        </w:rPr>
        <w:t xml:space="preserve"> to ensure procedural fairness — for example, to enable it to respond effectively to the claims made against it. In other cases, the government entity may seek and be entitled, under the </w:t>
      </w:r>
      <w:r w:rsidR="003A0E9D" w:rsidRPr="000523FC">
        <w:rPr>
          <w:rFonts w:asciiTheme="minorHAnsi" w:hAnsiTheme="minorHAnsi" w:cs="Arial"/>
          <w:i/>
          <w:sz w:val="22"/>
          <w:szCs w:val="22"/>
        </w:rPr>
        <w:t xml:space="preserve">Freedom of Information Act 1982 </w:t>
      </w:r>
      <w:r w:rsidR="003A0E9D" w:rsidRPr="000523FC">
        <w:rPr>
          <w:rFonts w:asciiTheme="minorHAnsi" w:hAnsiTheme="minorHAnsi" w:cs="Arial"/>
          <w:sz w:val="22"/>
          <w:szCs w:val="22"/>
        </w:rPr>
        <w:t>(Vic), to access documents that disclose the identity of the complainant.</w:t>
      </w:r>
    </w:p>
    <w:p w:rsidR="00894230" w:rsidRDefault="003B4908" w:rsidP="000523FC">
      <w:pPr>
        <w:spacing w:before="0" w:after="240"/>
        <w:rPr>
          <w:rFonts w:asciiTheme="minorHAnsi" w:hAnsiTheme="minorHAnsi" w:cs="Arial"/>
          <w:sz w:val="22"/>
          <w:szCs w:val="22"/>
        </w:rPr>
      </w:pPr>
      <w:r w:rsidRPr="000523FC">
        <w:rPr>
          <w:rFonts w:asciiTheme="minorHAnsi" w:hAnsiTheme="minorHAnsi" w:cs="Arial"/>
          <w:sz w:val="22"/>
          <w:szCs w:val="22"/>
        </w:rPr>
        <w:t>Once a complaint</w:t>
      </w:r>
      <w:r w:rsidR="00E63A0F" w:rsidRPr="000523FC">
        <w:rPr>
          <w:rFonts w:asciiTheme="minorHAnsi" w:hAnsiTheme="minorHAnsi" w:cs="Arial"/>
          <w:sz w:val="22"/>
          <w:szCs w:val="22"/>
        </w:rPr>
        <w:t xml:space="preserve"> </w:t>
      </w:r>
      <w:r w:rsidR="00461A2F">
        <w:rPr>
          <w:rFonts w:asciiTheme="minorHAnsi" w:hAnsiTheme="minorHAnsi" w:cs="Arial"/>
          <w:sz w:val="22"/>
          <w:szCs w:val="22"/>
        </w:rPr>
        <w:t xml:space="preserve">is accepted </w:t>
      </w:r>
      <w:r w:rsidR="00E63A0F" w:rsidRPr="000523FC">
        <w:rPr>
          <w:rFonts w:asciiTheme="minorHAnsi" w:hAnsiTheme="minorHAnsi" w:cs="Arial"/>
          <w:sz w:val="22"/>
          <w:szCs w:val="22"/>
        </w:rPr>
        <w:t>for investigation</w:t>
      </w:r>
      <w:r w:rsidR="00407C4A" w:rsidRPr="000523FC">
        <w:rPr>
          <w:rFonts w:asciiTheme="minorHAnsi" w:hAnsiTheme="minorHAnsi" w:cs="Arial"/>
          <w:sz w:val="22"/>
          <w:szCs w:val="22"/>
        </w:rPr>
        <w:t>,</w:t>
      </w:r>
      <w:r w:rsidRPr="000523FC">
        <w:rPr>
          <w:rFonts w:asciiTheme="minorHAnsi" w:hAnsiTheme="minorHAnsi" w:cs="Arial"/>
          <w:sz w:val="22"/>
          <w:szCs w:val="22"/>
        </w:rPr>
        <w:t xml:space="preserve"> </w:t>
      </w:r>
      <w:r w:rsidR="005D723F" w:rsidRPr="000523FC">
        <w:rPr>
          <w:rFonts w:asciiTheme="minorHAnsi" w:hAnsiTheme="minorHAnsi" w:cs="Arial"/>
          <w:sz w:val="22"/>
          <w:szCs w:val="22"/>
        </w:rPr>
        <w:t>the</w:t>
      </w:r>
      <w:r w:rsidRPr="000523FC">
        <w:rPr>
          <w:rFonts w:asciiTheme="minorHAnsi" w:hAnsiTheme="minorHAnsi" w:cs="Arial"/>
          <w:sz w:val="22"/>
          <w:szCs w:val="22"/>
        </w:rPr>
        <w:t xml:space="preserve"> complainant, government </w:t>
      </w:r>
      <w:r w:rsidR="00407C4A" w:rsidRPr="000523FC">
        <w:rPr>
          <w:rFonts w:asciiTheme="minorHAnsi" w:hAnsiTheme="minorHAnsi" w:cs="Arial"/>
          <w:sz w:val="22"/>
          <w:szCs w:val="22"/>
        </w:rPr>
        <w:t xml:space="preserve">entity </w:t>
      </w:r>
      <w:r w:rsidR="002E154C" w:rsidRPr="000523FC">
        <w:rPr>
          <w:rFonts w:asciiTheme="minorHAnsi" w:hAnsiTheme="minorHAnsi" w:cs="Arial"/>
          <w:sz w:val="22"/>
          <w:szCs w:val="22"/>
        </w:rPr>
        <w:t>subject to</w:t>
      </w:r>
      <w:r w:rsidR="00B61B3E" w:rsidRPr="000523FC">
        <w:rPr>
          <w:rFonts w:asciiTheme="minorHAnsi" w:hAnsiTheme="minorHAnsi" w:cs="Arial"/>
          <w:sz w:val="22"/>
          <w:szCs w:val="22"/>
        </w:rPr>
        <w:t xml:space="preserve"> the complaint and</w:t>
      </w:r>
      <w:r w:rsidRPr="000523FC">
        <w:rPr>
          <w:rFonts w:asciiTheme="minorHAnsi" w:hAnsiTheme="minorHAnsi" w:cs="Arial"/>
          <w:sz w:val="22"/>
          <w:szCs w:val="22"/>
        </w:rPr>
        <w:t xml:space="preserve"> relevant government department</w:t>
      </w:r>
      <w:r w:rsidR="002E154C" w:rsidRPr="000523FC">
        <w:rPr>
          <w:rFonts w:asciiTheme="minorHAnsi" w:hAnsiTheme="minorHAnsi" w:cs="Arial"/>
          <w:sz w:val="22"/>
          <w:szCs w:val="22"/>
        </w:rPr>
        <w:t xml:space="preserve">/s </w:t>
      </w:r>
      <w:r w:rsidR="00946055">
        <w:rPr>
          <w:rFonts w:asciiTheme="minorHAnsi" w:hAnsiTheme="minorHAnsi" w:cs="Arial"/>
          <w:sz w:val="22"/>
          <w:szCs w:val="22"/>
        </w:rPr>
        <w:t>are notified by letter</w:t>
      </w:r>
      <w:r w:rsidRPr="000523FC">
        <w:rPr>
          <w:rFonts w:asciiTheme="minorHAnsi" w:hAnsiTheme="minorHAnsi" w:cs="Arial"/>
          <w:sz w:val="22"/>
          <w:szCs w:val="22"/>
        </w:rPr>
        <w:t xml:space="preserve">. </w:t>
      </w:r>
      <w:r w:rsidR="002E154C" w:rsidRPr="000523FC">
        <w:rPr>
          <w:rFonts w:asciiTheme="minorHAnsi" w:hAnsiTheme="minorHAnsi" w:cs="Arial"/>
          <w:sz w:val="22"/>
          <w:szCs w:val="22"/>
        </w:rPr>
        <w:t>The letter</w:t>
      </w:r>
      <w:r w:rsidR="00407C4A" w:rsidRPr="000523FC">
        <w:rPr>
          <w:rFonts w:asciiTheme="minorHAnsi" w:hAnsiTheme="minorHAnsi" w:cs="Arial"/>
          <w:sz w:val="22"/>
          <w:szCs w:val="22"/>
        </w:rPr>
        <w:t xml:space="preserve"> to the </w:t>
      </w:r>
      <w:r w:rsidR="00407C4A" w:rsidRPr="000523FC">
        <w:rPr>
          <w:rFonts w:asciiTheme="minorHAnsi" w:hAnsiTheme="minorHAnsi" w:cs="Arial"/>
          <w:sz w:val="22"/>
          <w:szCs w:val="22"/>
        </w:rPr>
        <w:lastRenderedPageBreak/>
        <w:t xml:space="preserve">government entity </w:t>
      </w:r>
      <w:r w:rsidRPr="000523FC">
        <w:rPr>
          <w:rFonts w:asciiTheme="minorHAnsi" w:hAnsiTheme="minorHAnsi" w:cs="Arial"/>
          <w:sz w:val="22"/>
          <w:szCs w:val="22"/>
        </w:rPr>
        <w:t>include</w:t>
      </w:r>
      <w:r w:rsidR="002E154C" w:rsidRPr="000523FC">
        <w:rPr>
          <w:rFonts w:asciiTheme="minorHAnsi" w:hAnsiTheme="minorHAnsi" w:cs="Arial"/>
          <w:sz w:val="22"/>
          <w:szCs w:val="22"/>
        </w:rPr>
        <w:t>s</w:t>
      </w:r>
      <w:r w:rsidRPr="000523FC">
        <w:rPr>
          <w:rFonts w:asciiTheme="minorHAnsi" w:hAnsiTheme="minorHAnsi" w:cs="Arial"/>
          <w:sz w:val="22"/>
          <w:szCs w:val="22"/>
        </w:rPr>
        <w:t xml:space="preserve"> requests for information </w:t>
      </w:r>
      <w:r w:rsidR="00407C4A" w:rsidRPr="000523FC">
        <w:rPr>
          <w:rFonts w:asciiTheme="minorHAnsi" w:hAnsiTheme="minorHAnsi" w:cs="Arial"/>
          <w:sz w:val="22"/>
          <w:szCs w:val="22"/>
        </w:rPr>
        <w:t xml:space="preserve">that will </w:t>
      </w:r>
      <w:r w:rsidRPr="000523FC">
        <w:rPr>
          <w:rFonts w:asciiTheme="minorHAnsi" w:hAnsiTheme="minorHAnsi" w:cs="Arial"/>
          <w:sz w:val="22"/>
          <w:szCs w:val="22"/>
        </w:rPr>
        <w:t xml:space="preserve">allow </w:t>
      </w:r>
      <w:r w:rsidR="00407C4A" w:rsidRPr="000523FC">
        <w:rPr>
          <w:rFonts w:asciiTheme="minorHAnsi" w:hAnsiTheme="minorHAnsi" w:cs="Arial"/>
          <w:sz w:val="22"/>
          <w:szCs w:val="22"/>
        </w:rPr>
        <w:t xml:space="preserve">the </w:t>
      </w:r>
      <w:r w:rsidR="00894230">
        <w:rPr>
          <w:rFonts w:asciiTheme="minorHAnsi" w:hAnsiTheme="minorHAnsi" w:cs="Arial"/>
          <w:sz w:val="22"/>
          <w:szCs w:val="22"/>
        </w:rPr>
        <w:t>OCBR</w:t>
      </w:r>
      <w:r w:rsidR="00407C4A" w:rsidRPr="000523FC">
        <w:rPr>
          <w:rFonts w:asciiTheme="minorHAnsi" w:hAnsiTheme="minorHAnsi" w:cs="Arial"/>
          <w:sz w:val="22"/>
          <w:szCs w:val="22"/>
        </w:rPr>
        <w:t xml:space="preserve"> </w:t>
      </w:r>
      <w:r w:rsidRPr="000523FC">
        <w:rPr>
          <w:rFonts w:asciiTheme="minorHAnsi" w:hAnsiTheme="minorHAnsi" w:cs="Arial"/>
          <w:sz w:val="22"/>
          <w:szCs w:val="22"/>
        </w:rPr>
        <w:t>to progress the investigation.</w:t>
      </w:r>
      <w:r w:rsidR="00407C4A" w:rsidRPr="000523FC">
        <w:rPr>
          <w:rFonts w:asciiTheme="minorHAnsi" w:hAnsiTheme="minorHAnsi" w:cs="Arial"/>
          <w:sz w:val="22"/>
          <w:szCs w:val="22"/>
        </w:rPr>
        <w:t xml:space="preserve"> </w:t>
      </w:r>
    </w:p>
    <w:p w:rsidR="00461A2F" w:rsidRDefault="00F603C0" w:rsidP="000523FC">
      <w:pPr>
        <w:spacing w:before="0" w:after="24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The CN </w:t>
      </w:r>
      <w:r w:rsidR="00461A2F">
        <w:rPr>
          <w:rFonts w:asciiTheme="minorHAnsi" w:hAnsiTheme="minorHAnsi" w:cs="Arial"/>
          <w:sz w:val="22"/>
          <w:szCs w:val="22"/>
        </w:rPr>
        <w:t>I</w:t>
      </w:r>
      <w:r>
        <w:rPr>
          <w:rFonts w:asciiTheme="minorHAnsi" w:hAnsiTheme="minorHAnsi" w:cs="Arial"/>
          <w:sz w:val="22"/>
          <w:szCs w:val="22"/>
        </w:rPr>
        <w:t xml:space="preserve">mplementation Guide </w:t>
      </w:r>
      <w:r w:rsidR="006B5FF1">
        <w:rPr>
          <w:rFonts w:asciiTheme="minorHAnsi" w:hAnsiTheme="minorHAnsi" w:cs="Arial"/>
          <w:sz w:val="22"/>
          <w:szCs w:val="22"/>
        </w:rPr>
        <w:t>stat</w:t>
      </w:r>
      <w:r>
        <w:rPr>
          <w:rFonts w:asciiTheme="minorHAnsi" w:hAnsiTheme="minorHAnsi" w:cs="Arial"/>
          <w:sz w:val="22"/>
          <w:szCs w:val="22"/>
        </w:rPr>
        <w:t>es that</w:t>
      </w:r>
      <w:r w:rsidR="00461A2F">
        <w:rPr>
          <w:rFonts w:asciiTheme="minorHAnsi" w:hAnsiTheme="minorHAnsi" w:cs="Arial"/>
          <w:sz w:val="22"/>
          <w:szCs w:val="22"/>
        </w:rPr>
        <w:t>:</w:t>
      </w:r>
      <w:r>
        <w:rPr>
          <w:rFonts w:asciiTheme="minorHAnsi" w:hAnsiTheme="minorHAnsi" w:cs="Arial"/>
          <w:sz w:val="22"/>
          <w:szCs w:val="22"/>
        </w:rPr>
        <w:t xml:space="preserve"> </w:t>
      </w:r>
    </w:p>
    <w:p w:rsidR="00461A2F" w:rsidRDefault="00F603C0" w:rsidP="00461A2F">
      <w:pPr>
        <w:spacing w:before="0" w:after="240"/>
        <w:ind w:left="720"/>
        <w:rPr>
          <w:rFonts w:asciiTheme="minorHAnsi" w:hAnsiTheme="minorHAnsi" w:cs="Arial"/>
          <w:i/>
          <w:sz w:val="22"/>
          <w:szCs w:val="22"/>
        </w:rPr>
      </w:pPr>
      <w:proofErr w:type="gramStart"/>
      <w:r w:rsidRPr="00461A2F">
        <w:rPr>
          <w:rFonts w:asciiTheme="minorHAnsi" w:hAnsiTheme="minorHAnsi" w:cs="Arial"/>
          <w:i/>
          <w:sz w:val="22"/>
          <w:szCs w:val="22"/>
        </w:rPr>
        <w:t>Relevant documentation must be made available to the [</w:t>
      </w:r>
      <w:r w:rsidR="00A43124" w:rsidRPr="00461A2F">
        <w:rPr>
          <w:rFonts w:asciiTheme="minorHAnsi" w:hAnsiTheme="minorHAnsi" w:cs="Arial"/>
          <w:i/>
          <w:sz w:val="22"/>
          <w:szCs w:val="22"/>
        </w:rPr>
        <w:t>OCBR</w:t>
      </w:r>
      <w:r w:rsidRPr="00461A2F">
        <w:rPr>
          <w:rFonts w:asciiTheme="minorHAnsi" w:hAnsiTheme="minorHAnsi" w:cs="Arial"/>
          <w:i/>
          <w:sz w:val="22"/>
          <w:szCs w:val="22"/>
        </w:rPr>
        <w:t>], to either verify or assess the extent to which the government business has complied with CN Policy’ (DTF</w:t>
      </w:r>
      <w:r w:rsidR="00123F0B">
        <w:rPr>
          <w:rFonts w:asciiTheme="minorHAnsi" w:hAnsiTheme="minorHAnsi" w:cs="Arial"/>
          <w:i/>
          <w:sz w:val="22"/>
          <w:szCs w:val="22"/>
        </w:rPr>
        <w:t> </w:t>
      </w:r>
      <w:r w:rsidRPr="00461A2F">
        <w:rPr>
          <w:rFonts w:asciiTheme="minorHAnsi" w:hAnsiTheme="minorHAnsi" w:cs="Arial"/>
          <w:i/>
          <w:sz w:val="22"/>
          <w:szCs w:val="22"/>
        </w:rPr>
        <w:t>2000, p. 7).</w:t>
      </w:r>
      <w:proofErr w:type="gramEnd"/>
      <w:r w:rsidR="00894230" w:rsidRPr="00461A2F">
        <w:rPr>
          <w:rFonts w:asciiTheme="minorHAnsi" w:hAnsiTheme="minorHAnsi" w:cs="Arial"/>
          <w:i/>
          <w:sz w:val="22"/>
          <w:szCs w:val="22"/>
        </w:rPr>
        <w:t xml:space="preserve"> </w:t>
      </w:r>
    </w:p>
    <w:p w:rsidR="005D723F" w:rsidRPr="000523FC" w:rsidRDefault="00407C4A" w:rsidP="000523FC">
      <w:pPr>
        <w:spacing w:before="0" w:after="240"/>
        <w:rPr>
          <w:rFonts w:asciiTheme="minorHAnsi" w:hAnsiTheme="minorHAnsi" w:cs="Arial"/>
          <w:sz w:val="22"/>
          <w:szCs w:val="22"/>
        </w:rPr>
      </w:pPr>
      <w:r w:rsidRPr="000523FC">
        <w:rPr>
          <w:rFonts w:asciiTheme="minorHAnsi" w:hAnsiTheme="minorHAnsi" w:cs="Arial"/>
          <w:sz w:val="22"/>
          <w:szCs w:val="22"/>
        </w:rPr>
        <w:t xml:space="preserve">To ensure that the </w:t>
      </w:r>
      <w:r w:rsidRPr="000523FC">
        <w:rPr>
          <w:rFonts w:asciiTheme="minorHAnsi" w:hAnsiTheme="minorHAnsi" w:cs="Arial"/>
          <w:sz w:val="22"/>
          <w:szCs w:val="22"/>
          <w:lang w:val="en-GB"/>
        </w:rPr>
        <w:t>investigation does not impose an unnecessary burden, the</w:t>
      </w:r>
      <w:r w:rsidR="00C54930">
        <w:rPr>
          <w:rFonts w:asciiTheme="minorHAnsi" w:hAnsiTheme="minorHAnsi" w:cs="Arial"/>
          <w:sz w:val="22"/>
          <w:szCs w:val="22"/>
          <w:lang w:val="en-GB"/>
        </w:rPr>
        <w:t xml:space="preserve"> OCBR</w:t>
      </w:r>
      <w:r w:rsidRPr="000523FC">
        <w:rPr>
          <w:rFonts w:asciiTheme="minorHAnsi" w:hAnsiTheme="minorHAnsi" w:cs="Arial"/>
          <w:sz w:val="22"/>
          <w:szCs w:val="22"/>
          <w:lang w:val="en-GB"/>
        </w:rPr>
        <w:t xml:space="preserve"> </w:t>
      </w:r>
      <w:r w:rsidR="00894230">
        <w:rPr>
          <w:rFonts w:asciiTheme="minorHAnsi" w:hAnsiTheme="minorHAnsi" w:cs="Arial"/>
          <w:sz w:val="22"/>
          <w:szCs w:val="22"/>
          <w:lang w:val="en-GB"/>
        </w:rPr>
        <w:t>will generally only request</w:t>
      </w:r>
      <w:r w:rsidRPr="000523FC">
        <w:rPr>
          <w:rFonts w:asciiTheme="minorHAnsi" w:hAnsiTheme="minorHAnsi" w:cs="Arial"/>
          <w:sz w:val="22"/>
          <w:szCs w:val="22"/>
          <w:lang w:val="en-GB"/>
        </w:rPr>
        <w:t xml:space="preserve"> key information</w:t>
      </w:r>
      <w:r w:rsidR="00C54930">
        <w:rPr>
          <w:rFonts w:asciiTheme="minorHAnsi" w:hAnsiTheme="minorHAnsi" w:cs="Arial"/>
          <w:sz w:val="22"/>
          <w:szCs w:val="22"/>
          <w:lang w:val="en-GB"/>
        </w:rPr>
        <w:t xml:space="preserve">, </w:t>
      </w:r>
      <w:r w:rsidR="00CB0039">
        <w:rPr>
          <w:rFonts w:asciiTheme="minorHAnsi" w:hAnsiTheme="minorHAnsi" w:cs="Arial"/>
          <w:sz w:val="22"/>
          <w:szCs w:val="22"/>
          <w:lang w:val="en-GB"/>
        </w:rPr>
        <w:t xml:space="preserve">which </w:t>
      </w:r>
      <w:r w:rsidRPr="000523FC">
        <w:rPr>
          <w:rFonts w:asciiTheme="minorHAnsi" w:hAnsiTheme="minorHAnsi" w:cs="Arial"/>
          <w:sz w:val="22"/>
          <w:szCs w:val="22"/>
          <w:lang w:val="en-GB"/>
        </w:rPr>
        <w:t xml:space="preserve">should be readily available to the entity that is the subject of the complaint. </w:t>
      </w:r>
    </w:p>
    <w:p w:rsidR="00D27E0B" w:rsidRPr="000523FC" w:rsidRDefault="00407C4A" w:rsidP="000523FC">
      <w:pPr>
        <w:spacing w:before="0" w:after="240"/>
        <w:rPr>
          <w:rFonts w:asciiTheme="minorHAnsi" w:hAnsiTheme="minorHAnsi" w:cs="Arial"/>
          <w:sz w:val="22"/>
          <w:szCs w:val="22"/>
        </w:rPr>
      </w:pPr>
      <w:r w:rsidRPr="000523FC">
        <w:rPr>
          <w:rFonts w:asciiTheme="minorHAnsi" w:hAnsiTheme="minorHAnsi" w:cs="Arial"/>
          <w:sz w:val="22"/>
          <w:szCs w:val="22"/>
        </w:rPr>
        <w:t xml:space="preserve">The </w:t>
      </w:r>
      <w:r w:rsidR="00894230">
        <w:rPr>
          <w:rFonts w:asciiTheme="minorHAnsi" w:hAnsiTheme="minorHAnsi" w:cs="Arial"/>
          <w:sz w:val="22"/>
          <w:szCs w:val="22"/>
        </w:rPr>
        <w:t>OCBR</w:t>
      </w:r>
      <w:r w:rsidRPr="000523FC">
        <w:rPr>
          <w:rFonts w:asciiTheme="minorHAnsi" w:hAnsiTheme="minorHAnsi" w:cs="Arial"/>
          <w:sz w:val="22"/>
          <w:szCs w:val="22"/>
        </w:rPr>
        <w:t xml:space="preserve"> </w:t>
      </w:r>
      <w:r w:rsidR="00461A2F">
        <w:rPr>
          <w:rFonts w:asciiTheme="minorHAnsi" w:hAnsiTheme="minorHAnsi" w:cs="Arial"/>
          <w:sz w:val="22"/>
          <w:szCs w:val="22"/>
        </w:rPr>
        <w:t>prepar</w:t>
      </w:r>
      <w:r w:rsidRPr="000523FC">
        <w:rPr>
          <w:rFonts w:asciiTheme="minorHAnsi" w:hAnsiTheme="minorHAnsi" w:cs="Arial"/>
          <w:sz w:val="22"/>
          <w:szCs w:val="22"/>
        </w:rPr>
        <w:t>es a draft report</w:t>
      </w:r>
      <w:r w:rsidR="00894230">
        <w:rPr>
          <w:rFonts w:asciiTheme="minorHAnsi" w:hAnsiTheme="minorHAnsi" w:cs="Arial"/>
          <w:sz w:val="22"/>
          <w:szCs w:val="22"/>
        </w:rPr>
        <w:t xml:space="preserve"> </w:t>
      </w:r>
      <w:r w:rsidRPr="000523FC">
        <w:rPr>
          <w:rFonts w:asciiTheme="minorHAnsi" w:hAnsiTheme="minorHAnsi" w:cs="Arial"/>
          <w:sz w:val="22"/>
          <w:szCs w:val="22"/>
        </w:rPr>
        <w:t xml:space="preserve">for </w:t>
      </w:r>
      <w:r w:rsidR="00461A2F">
        <w:rPr>
          <w:rFonts w:asciiTheme="minorHAnsi" w:hAnsiTheme="minorHAnsi" w:cs="Arial"/>
          <w:sz w:val="22"/>
          <w:szCs w:val="22"/>
        </w:rPr>
        <w:t>the Commissioner</w:t>
      </w:r>
      <w:r w:rsidR="00F031B3">
        <w:rPr>
          <w:rFonts w:asciiTheme="minorHAnsi" w:hAnsiTheme="minorHAnsi" w:cs="Arial"/>
          <w:sz w:val="22"/>
          <w:szCs w:val="22"/>
        </w:rPr>
        <w:t>’s review</w:t>
      </w:r>
      <w:r w:rsidR="00123F0B">
        <w:rPr>
          <w:rFonts w:asciiTheme="minorHAnsi" w:hAnsiTheme="minorHAnsi" w:cs="Arial"/>
          <w:sz w:val="22"/>
          <w:szCs w:val="22"/>
        </w:rPr>
        <w:t xml:space="preserve">. The draft report </w:t>
      </w:r>
      <w:r w:rsidR="00F031B3">
        <w:rPr>
          <w:rFonts w:asciiTheme="minorHAnsi" w:hAnsiTheme="minorHAnsi" w:cs="Arial"/>
          <w:sz w:val="22"/>
          <w:szCs w:val="22"/>
        </w:rPr>
        <w:t>(excluding any commercially sensitive information)</w:t>
      </w:r>
      <w:r w:rsidR="00F031B3" w:rsidRPr="000523FC">
        <w:rPr>
          <w:rFonts w:asciiTheme="minorHAnsi" w:hAnsiTheme="minorHAnsi" w:cs="Arial"/>
          <w:sz w:val="22"/>
          <w:szCs w:val="22"/>
        </w:rPr>
        <w:t xml:space="preserve"> </w:t>
      </w:r>
      <w:r w:rsidR="00461A2F">
        <w:rPr>
          <w:rFonts w:asciiTheme="minorHAnsi" w:hAnsiTheme="minorHAnsi" w:cs="Arial"/>
          <w:sz w:val="22"/>
          <w:szCs w:val="22"/>
        </w:rPr>
        <w:t xml:space="preserve">is then provided </w:t>
      </w:r>
      <w:r w:rsidR="00123F0B">
        <w:rPr>
          <w:rFonts w:asciiTheme="minorHAnsi" w:hAnsiTheme="minorHAnsi" w:cs="Arial"/>
          <w:sz w:val="22"/>
          <w:szCs w:val="22"/>
        </w:rPr>
        <w:t xml:space="preserve">on a confidential basis </w:t>
      </w:r>
      <w:r w:rsidRPr="000523FC">
        <w:rPr>
          <w:rFonts w:asciiTheme="minorHAnsi" w:hAnsiTheme="minorHAnsi" w:cs="Arial"/>
          <w:sz w:val="22"/>
          <w:szCs w:val="22"/>
        </w:rPr>
        <w:t>to the complainant,</w:t>
      </w:r>
      <w:r w:rsidR="00D27E0B" w:rsidRPr="000523FC">
        <w:rPr>
          <w:rFonts w:asciiTheme="minorHAnsi" w:hAnsiTheme="minorHAnsi" w:cs="Arial"/>
          <w:sz w:val="22"/>
          <w:szCs w:val="22"/>
        </w:rPr>
        <w:t xml:space="preserve"> </w:t>
      </w:r>
      <w:r w:rsidRPr="000523FC">
        <w:rPr>
          <w:rFonts w:asciiTheme="minorHAnsi" w:hAnsiTheme="minorHAnsi" w:cs="Arial"/>
          <w:sz w:val="22"/>
          <w:szCs w:val="22"/>
        </w:rPr>
        <w:t xml:space="preserve">government entity </w:t>
      </w:r>
      <w:r w:rsidR="002E154C" w:rsidRPr="000523FC">
        <w:rPr>
          <w:rFonts w:asciiTheme="minorHAnsi" w:hAnsiTheme="minorHAnsi" w:cs="Arial"/>
          <w:sz w:val="22"/>
          <w:szCs w:val="22"/>
        </w:rPr>
        <w:t xml:space="preserve">subject to </w:t>
      </w:r>
      <w:r w:rsidRPr="000523FC">
        <w:rPr>
          <w:rFonts w:asciiTheme="minorHAnsi" w:hAnsiTheme="minorHAnsi" w:cs="Arial"/>
          <w:sz w:val="22"/>
          <w:szCs w:val="22"/>
        </w:rPr>
        <w:t>the complaint, and relevant government department</w:t>
      </w:r>
      <w:r w:rsidR="002E154C" w:rsidRPr="000523FC">
        <w:rPr>
          <w:rFonts w:asciiTheme="minorHAnsi" w:hAnsiTheme="minorHAnsi" w:cs="Arial"/>
          <w:sz w:val="22"/>
          <w:szCs w:val="22"/>
        </w:rPr>
        <w:t>/s</w:t>
      </w:r>
      <w:r w:rsidR="00461A2F">
        <w:rPr>
          <w:rFonts w:asciiTheme="minorHAnsi" w:hAnsiTheme="minorHAnsi" w:cs="Arial"/>
          <w:sz w:val="22"/>
          <w:szCs w:val="22"/>
        </w:rPr>
        <w:t xml:space="preserve"> for comment</w:t>
      </w:r>
      <w:r w:rsidRPr="000523FC">
        <w:rPr>
          <w:rFonts w:asciiTheme="minorHAnsi" w:hAnsiTheme="minorHAnsi" w:cs="Arial"/>
          <w:sz w:val="22"/>
          <w:szCs w:val="22"/>
        </w:rPr>
        <w:t xml:space="preserve">. </w:t>
      </w:r>
      <w:r w:rsidR="00D1522F" w:rsidRPr="000523FC">
        <w:rPr>
          <w:rFonts w:asciiTheme="minorHAnsi" w:hAnsiTheme="minorHAnsi" w:cs="Arial"/>
          <w:sz w:val="22"/>
          <w:szCs w:val="22"/>
        </w:rPr>
        <w:t xml:space="preserve">Based on the comments received, the </w:t>
      </w:r>
      <w:r w:rsidR="00894230">
        <w:rPr>
          <w:rFonts w:asciiTheme="minorHAnsi" w:hAnsiTheme="minorHAnsi" w:cs="Arial"/>
          <w:sz w:val="22"/>
          <w:szCs w:val="22"/>
        </w:rPr>
        <w:t>OCBR</w:t>
      </w:r>
      <w:r w:rsidR="00894230" w:rsidRPr="000523FC">
        <w:rPr>
          <w:rFonts w:asciiTheme="minorHAnsi" w:hAnsiTheme="minorHAnsi" w:cs="Arial"/>
          <w:sz w:val="22"/>
          <w:szCs w:val="22"/>
        </w:rPr>
        <w:t xml:space="preserve"> </w:t>
      </w:r>
      <w:r w:rsidR="00D1522F" w:rsidRPr="000523FC">
        <w:rPr>
          <w:rFonts w:asciiTheme="minorHAnsi" w:hAnsiTheme="minorHAnsi" w:cs="Arial"/>
          <w:sz w:val="22"/>
          <w:szCs w:val="22"/>
        </w:rPr>
        <w:t>prepares a f</w:t>
      </w:r>
      <w:r w:rsidRPr="000523FC">
        <w:rPr>
          <w:rFonts w:asciiTheme="minorHAnsi" w:hAnsiTheme="minorHAnsi" w:cs="Arial"/>
          <w:sz w:val="22"/>
          <w:szCs w:val="22"/>
        </w:rPr>
        <w:t xml:space="preserve">inal </w:t>
      </w:r>
      <w:r w:rsidR="00D1522F" w:rsidRPr="000523FC">
        <w:rPr>
          <w:rFonts w:asciiTheme="minorHAnsi" w:hAnsiTheme="minorHAnsi" w:cs="Arial"/>
          <w:sz w:val="22"/>
          <w:szCs w:val="22"/>
        </w:rPr>
        <w:t>investigation report</w:t>
      </w:r>
      <w:r w:rsidR="00461A2F">
        <w:rPr>
          <w:rFonts w:asciiTheme="minorHAnsi" w:hAnsiTheme="minorHAnsi" w:cs="Arial"/>
          <w:sz w:val="22"/>
          <w:szCs w:val="22"/>
        </w:rPr>
        <w:t xml:space="preserve"> for the Commissioner</w:t>
      </w:r>
      <w:r w:rsidR="006B5FF1">
        <w:rPr>
          <w:rFonts w:asciiTheme="minorHAnsi" w:hAnsiTheme="minorHAnsi" w:cs="Arial"/>
          <w:sz w:val="22"/>
          <w:szCs w:val="22"/>
        </w:rPr>
        <w:t xml:space="preserve">’s </w:t>
      </w:r>
      <w:r w:rsidR="00F031B3">
        <w:rPr>
          <w:rFonts w:asciiTheme="minorHAnsi" w:hAnsiTheme="minorHAnsi" w:cs="Arial"/>
          <w:sz w:val="22"/>
          <w:szCs w:val="22"/>
        </w:rPr>
        <w:t>consideration and decision</w:t>
      </w:r>
      <w:r w:rsidR="00D1522F" w:rsidRPr="000523FC">
        <w:rPr>
          <w:rFonts w:asciiTheme="minorHAnsi" w:hAnsiTheme="minorHAnsi" w:cs="Arial"/>
          <w:sz w:val="22"/>
          <w:szCs w:val="22"/>
        </w:rPr>
        <w:t>.</w:t>
      </w:r>
    </w:p>
    <w:p w:rsidR="00407C4A" w:rsidRPr="000523FC" w:rsidRDefault="00D1522F" w:rsidP="000523FC">
      <w:pPr>
        <w:spacing w:before="0" w:after="240"/>
        <w:rPr>
          <w:rFonts w:asciiTheme="minorHAnsi" w:hAnsiTheme="minorHAnsi" w:cs="Arial"/>
          <w:sz w:val="22"/>
          <w:szCs w:val="22"/>
        </w:rPr>
      </w:pPr>
      <w:r w:rsidRPr="000523FC">
        <w:rPr>
          <w:rFonts w:asciiTheme="minorHAnsi" w:hAnsiTheme="minorHAnsi" w:cs="Arial"/>
          <w:sz w:val="22"/>
          <w:szCs w:val="22"/>
        </w:rPr>
        <w:t>Th</w:t>
      </w:r>
      <w:r w:rsidR="00D27E0B" w:rsidRPr="000523FC">
        <w:rPr>
          <w:rFonts w:asciiTheme="minorHAnsi" w:hAnsiTheme="minorHAnsi" w:cs="Arial"/>
          <w:sz w:val="22"/>
          <w:szCs w:val="22"/>
        </w:rPr>
        <w:t>e</w:t>
      </w:r>
      <w:r w:rsidRPr="000523FC">
        <w:rPr>
          <w:rFonts w:asciiTheme="minorHAnsi" w:hAnsiTheme="minorHAnsi" w:cs="Arial"/>
          <w:sz w:val="22"/>
          <w:szCs w:val="22"/>
        </w:rPr>
        <w:t xml:space="preserve"> final report is </w:t>
      </w:r>
      <w:r w:rsidR="00407C4A" w:rsidRPr="000523FC">
        <w:rPr>
          <w:rFonts w:asciiTheme="minorHAnsi" w:hAnsiTheme="minorHAnsi" w:cs="Arial"/>
          <w:sz w:val="22"/>
          <w:szCs w:val="22"/>
        </w:rPr>
        <w:t xml:space="preserve">provided to </w:t>
      </w:r>
      <w:r w:rsidRPr="000523FC">
        <w:rPr>
          <w:rFonts w:asciiTheme="minorHAnsi" w:hAnsiTheme="minorHAnsi" w:cs="Arial"/>
          <w:sz w:val="22"/>
          <w:szCs w:val="22"/>
        </w:rPr>
        <w:t xml:space="preserve">the complainant, government entity </w:t>
      </w:r>
      <w:r w:rsidR="002E154C" w:rsidRPr="000523FC">
        <w:rPr>
          <w:rFonts w:asciiTheme="minorHAnsi" w:hAnsiTheme="minorHAnsi" w:cs="Arial"/>
          <w:sz w:val="22"/>
          <w:szCs w:val="22"/>
        </w:rPr>
        <w:t xml:space="preserve">subject to </w:t>
      </w:r>
      <w:r w:rsidRPr="000523FC">
        <w:rPr>
          <w:rFonts w:asciiTheme="minorHAnsi" w:hAnsiTheme="minorHAnsi" w:cs="Arial"/>
          <w:sz w:val="22"/>
          <w:szCs w:val="22"/>
        </w:rPr>
        <w:t>the complain</w:t>
      </w:r>
      <w:r w:rsidR="002E154C" w:rsidRPr="000523FC">
        <w:rPr>
          <w:rFonts w:asciiTheme="minorHAnsi" w:hAnsiTheme="minorHAnsi" w:cs="Arial"/>
          <w:sz w:val="22"/>
          <w:szCs w:val="22"/>
        </w:rPr>
        <w:t>t</w:t>
      </w:r>
      <w:r w:rsidRPr="000523FC">
        <w:rPr>
          <w:rFonts w:asciiTheme="minorHAnsi" w:hAnsiTheme="minorHAnsi" w:cs="Arial"/>
          <w:sz w:val="22"/>
          <w:szCs w:val="22"/>
        </w:rPr>
        <w:t>, relevant government department</w:t>
      </w:r>
      <w:r w:rsidR="00D631E5" w:rsidRPr="000523FC">
        <w:rPr>
          <w:rFonts w:asciiTheme="minorHAnsi" w:hAnsiTheme="minorHAnsi" w:cs="Arial"/>
          <w:sz w:val="22"/>
          <w:szCs w:val="22"/>
        </w:rPr>
        <w:t xml:space="preserve"> </w:t>
      </w:r>
      <w:r w:rsidRPr="000523FC">
        <w:rPr>
          <w:rFonts w:asciiTheme="minorHAnsi" w:hAnsiTheme="minorHAnsi" w:cs="Arial"/>
          <w:sz w:val="22"/>
          <w:szCs w:val="22"/>
        </w:rPr>
        <w:t>and Treasurer (as Minister responsible for CN policy).</w:t>
      </w:r>
      <w:r w:rsidR="00894230">
        <w:rPr>
          <w:rFonts w:asciiTheme="minorHAnsi" w:hAnsiTheme="minorHAnsi" w:cs="Arial"/>
          <w:sz w:val="22"/>
          <w:szCs w:val="22"/>
        </w:rPr>
        <w:t xml:space="preserve"> </w:t>
      </w:r>
      <w:r w:rsidR="002E154C" w:rsidRPr="000523FC">
        <w:rPr>
          <w:rFonts w:asciiTheme="minorHAnsi" w:hAnsiTheme="minorHAnsi" w:cs="Arial"/>
          <w:sz w:val="22"/>
          <w:szCs w:val="22"/>
        </w:rPr>
        <w:t xml:space="preserve">The final report </w:t>
      </w:r>
      <w:r w:rsidRPr="000523FC">
        <w:rPr>
          <w:rFonts w:asciiTheme="minorHAnsi" w:hAnsiTheme="minorHAnsi" w:cs="Arial"/>
          <w:sz w:val="22"/>
          <w:szCs w:val="22"/>
        </w:rPr>
        <w:t xml:space="preserve">remains confidential for </w:t>
      </w:r>
      <w:r w:rsidR="002E154C" w:rsidRPr="000523FC">
        <w:rPr>
          <w:rFonts w:asciiTheme="minorHAnsi" w:hAnsiTheme="minorHAnsi" w:cs="Arial"/>
          <w:sz w:val="22"/>
          <w:szCs w:val="22"/>
        </w:rPr>
        <w:t xml:space="preserve">approximately </w:t>
      </w:r>
      <w:r w:rsidRPr="000523FC">
        <w:rPr>
          <w:rFonts w:asciiTheme="minorHAnsi" w:hAnsiTheme="minorHAnsi" w:cs="Arial"/>
          <w:sz w:val="22"/>
          <w:szCs w:val="22"/>
        </w:rPr>
        <w:t>one month after its finalisation, at which time it is</w:t>
      </w:r>
      <w:r w:rsidR="00407C4A" w:rsidRPr="000523FC">
        <w:rPr>
          <w:rFonts w:asciiTheme="minorHAnsi" w:hAnsiTheme="minorHAnsi" w:cs="Arial"/>
          <w:sz w:val="22"/>
          <w:szCs w:val="22"/>
        </w:rPr>
        <w:t xml:space="preserve"> published on the</w:t>
      </w:r>
      <w:r w:rsidRPr="000523FC">
        <w:rPr>
          <w:rFonts w:asciiTheme="minorHAnsi" w:hAnsiTheme="minorHAnsi" w:cs="Arial"/>
          <w:sz w:val="22"/>
          <w:szCs w:val="22"/>
        </w:rPr>
        <w:t xml:space="preserve"> </w:t>
      </w:r>
      <w:r w:rsidR="00894230">
        <w:rPr>
          <w:rFonts w:asciiTheme="minorHAnsi" w:hAnsiTheme="minorHAnsi" w:cs="Arial"/>
          <w:sz w:val="22"/>
          <w:szCs w:val="22"/>
        </w:rPr>
        <w:t>OCBR</w:t>
      </w:r>
      <w:r w:rsidRPr="000523FC">
        <w:rPr>
          <w:rFonts w:asciiTheme="minorHAnsi" w:hAnsiTheme="minorHAnsi" w:cs="Arial"/>
          <w:sz w:val="22"/>
          <w:szCs w:val="22"/>
        </w:rPr>
        <w:t>’s website.</w:t>
      </w:r>
    </w:p>
    <w:p w:rsidR="00506C27" w:rsidRPr="000523FC" w:rsidRDefault="00D27E0B" w:rsidP="000523FC">
      <w:pPr>
        <w:spacing w:before="0" w:after="240"/>
        <w:rPr>
          <w:rFonts w:asciiTheme="minorHAnsi" w:hAnsiTheme="minorHAnsi" w:cs="Arial"/>
          <w:sz w:val="22"/>
          <w:szCs w:val="22"/>
        </w:rPr>
      </w:pPr>
      <w:r w:rsidRPr="000523FC">
        <w:rPr>
          <w:rFonts w:asciiTheme="minorHAnsi" w:hAnsiTheme="minorHAnsi" w:cs="Arial"/>
          <w:sz w:val="22"/>
          <w:szCs w:val="22"/>
        </w:rPr>
        <w:t>Where the investigation concludes that the</w:t>
      </w:r>
      <w:r w:rsidR="002E154C" w:rsidRPr="000523FC">
        <w:rPr>
          <w:rFonts w:asciiTheme="minorHAnsi" w:hAnsiTheme="minorHAnsi" w:cs="Arial"/>
          <w:sz w:val="22"/>
          <w:szCs w:val="22"/>
        </w:rPr>
        <w:t xml:space="preserve"> government entity subject to the complaint has not fully complied with </w:t>
      </w:r>
      <w:r w:rsidR="00BA5963" w:rsidRPr="000523FC">
        <w:rPr>
          <w:rFonts w:asciiTheme="minorHAnsi" w:hAnsiTheme="minorHAnsi" w:cs="Arial"/>
          <w:sz w:val="22"/>
          <w:szCs w:val="22"/>
        </w:rPr>
        <w:t xml:space="preserve">CN </w:t>
      </w:r>
      <w:r w:rsidRPr="000523FC">
        <w:rPr>
          <w:rFonts w:asciiTheme="minorHAnsi" w:hAnsiTheme="minorHAnsi" w:cs="Arial"/>
          <w:sz w:val="22"/>
          <w:szCs w:val="22"/>
        </w:rPr>
        <w:t xml:space="preserve">policy, the </w:t>
      </w:r>
      <w:r w:rsidR="00F031B3">
        <w:rPr>
          <w:rFonts w:asciiTheme="minorHAnsi" w:hAnsiTheme="minorHAnsi" w:cs="Arial"/>
          <w:sz w:val="22"/>
          <w:szCs w:val="22"/>
        </w:rPr>
        <w:t>Commissioner</w:t>
      </w:r>
      <w:r w:rsidRPr="000523FC">
        <w:rPr>
          <w:rFonts w:asciiTheme="minorHAnsi" w:hAnsiTheme="minorHAnsi" w:cs="Arial"/>
          <w:sz w:val="22"/>
          <w:szCs w:val="22"/>
        </w:rPr>
        <w:t xml:space="preserve"> </w:t>
      </w:r>
      <w:r w:rsidR="002E154C" w:rsidRPr="000523FC">
        <w:rPr>
          <w:rFonts w:asciiTheme="minorHAnsi" w:hAnsiTheme="minorHAnsi" w:cs="Arial"/>
          <w:sz w:val="22"/>
          <w:szCs w:val="22"/>
        </w:rPr>
        <w:t xml:space="preserve">makes recommendations designed to enable the government entity to become fully compliant. </w:t>
      </w:r>
    </w:p>
    <w:p w:rsidR="00C25706" w:rsidRPr="000523FC" w:rsidRDefault="00C25706" w:rsidP="000523FC">
      <w:pPr>
        <w:pStyle w:val="Heading30"/>
        <w:keepNext/>
        <w:spacing w:after="240"/>
        <w:rPr>
          <w:rFonts w:asciiTheme="minorHAnsi" w:hAnsiTheme="minorHAnsi"/>
          <w:color w:val="0063A4"/>
          <w:sz w:val="22"/>
          <w:szCs w:val="22"/>
        </w:rPr>
      </w:pPr>
      <w:r w:rsidRPr="000523FC">
        <w:rPr>
          <w:rFonts w:asciiTheme="minorHAnsi" w:hAnsiTheme="minorHAnsi"/>
          <w:color w:val="0063A4"/>
          <w:sz w:val="22"/>
          <w:szCs w:val="22"/>
        </w:rPr>
        <w:t>Post-investigation follow-up</w:t>
      </w:r>
    </w:p>
    <w:p w:rsidR="009C490A" w:rsidRPr="000523FC" w:rsidRDefault="002E154C" w:rsidP="000523FC">
      <w:pPr>
        <w:spacing w:before="0" w:after="240"/>
        <w:rPr>
          <w:rFonts w:asciiTheme="minorHAnsi" w:hAnsiTheme="minorHAnsi" w:cs="Arial"/>
          <w:sz w:val="22"/>
          <w:szCs w:val="22"/>
        </w:rPr>
      </w:pPr>
      <w:r w:rsidRPr="000523FC">
        <w:rPr>
          <w:rFonts w:asciiTheme="minorHAnsi" w:hAnsiTheme="minorHAnsi" w:cs="Arial"/>
          <w:sz w:val="22"/>
          <w:szCs w:val="22"/>
        </w:rPr>
        <w:t xml:space="preserve">The </w:t>
      </w:r>
      <w:r w:rsidR="00894230">
        <w:rPr>
          <w:rFonts w:asciiTheme="minorHAnsi" w:hAnsiTheme="minorHAnsi" w:cs="Arial"/>
          <w:sz w:val="22"/>
          <w:szCs w:val="22"/>
        </w:rPr>
        <w:t>OCBR</w:t>
      </w:r>
      <w:r w:rsidRPr="000523FC">
        <w:rPr>
          <w:rFonts w:asciiTheme="minorHAnsi" w:hAnsiTheme="minorHAnsi" w:cs="Arial"/>
          <w:sz w:val="22"/>
          <w:szCs w:val="22"/>
        </w:rPr>
        <w:t xml:space="preserve"> follow</w:t>
      </w:r>
      <w:r w:rsidR="00506C27" w:rsidRPr="000523FC">
        <w:rPr>
          <w:rFonts w:asciiTheme="minorHAnsi" w:hAnsiTheme="minorHAnsi" w:cs="Arial"/>
          <w:sz w:val="22"/>
          <w:szCs w:val="22"/>
        </w:rPr>
        <w:t xml:space="preserve">s </w:t>
      </w:r>
      <w:r w:rsidRPr="000523FC">
        <w:rPr>
          <w:rFonts w:asciiTheme="minorHAnsi" w:hAnsiTheme="minorHAnsi" w:cs="Arial"/>
          <w:sz w:val="22"/>
          <w:szCs w:val="22"/>
        </w:rPr>
        <w:t xml:space="preserve">up with the </w:t>
      </w:r>
      <w:r w:rsidR="006238E1" w:rsidRPr="000523FC">
        <w:rPr>
          <w:rFonts w:asciiTheme="minorHAnsi" w:hAnsiTheme="minorHAnsi" w:cs="Arial"/>
          <w:sz w:val="22"/>
          <w:szCs w:val="22"/>
        </w:rPr>
        <w:t>government</w:t>
      </w:r>
      <w:r w:rsidRPr="000523FC">
        <w:rPr>
          <w:rFonts w:asciiTheme="minorHAnsi" w:hAnsiTheme="minorHAnsi" w:cs="Arial"/>
          <w:sz w:val="22"/>
          <w:szCs w:val="22"/>
        </w:rPr>
        <w:t xml:space="preserve"> entity</w:t>
      </w:r>
      <w:r w:rsidR="00506C27" w:rsidRPr="000523FC">
        <w:rPr>
          <w:rFonts w:asciiTheme="minorHAnsi" w:hAnsiTheme="minorHAnsi" w:cs="Arial"/>
          <w:sz w:val="22"/>
          <w:szCs w:val="22"/>
        </w:rPr>
        <w:t xml:space="preserve">, usually </w:t>
      </w:r>
      <w:r w:rsidR="009C490A" w:rsidRPr="000523FC">
        <w:rPr>
          <w:rFonts w:asciiTheme="minorHAnsi" w:hAnsiTheme="minorHAnsi" w:cs="Arial"/>
          <w:sz w:val="22"/>
          <w:szCs w:val="22"/>
        </w:rPr>
        <w:t xml:space="preserve">within three months of </w:t>
      </w:r>
      <w:r w:rsidR="00D27E0B" w:rsidRPr="000523FC">
        <w:rPr>
          <w:rFonts w:asciiTheme="minorHAnsi" w:hAnsiTheme="minorHAnsi" w:cs="Arial"/>
          <w:sz w:val="22"/>
          <w:szCs w:val="22"/>
        </w:rPr>
        <w:t>completing the investigation</w:t>
      </w:r>
      <w:r w:rsidR="00506C27" w:rsidRPr="000523FC">
        <w:rPr>
          <w:rFonts w:asciiTheme="minorHAnsi" w:hAnsiTheme="minorHAnsi" w:cs="Arial"/>
          <w:sz w:val="22"/>
          <w:szCs w:val="22"/>
        </w:rPr>
        <w:t xml:space="preserve">, to check on progress in implementing the recommendations. The </w:t>
      </w:r>
      <w:r w:rsidR="00894230">
        <w:rPr>
          <w:rFonts w:asciiTheme="minorHAnsi" w:hAnsiTheme="minorHAnsi" w:cs="Arial"/>
          <w:sz w:val="22"/>
          <w:szCs w:val="22"/>
        </w:rPr>
        <w:t>OCBR</w:t>
      </w:r>
      <w:r w:rsidR="00506C27" w:rsidRPr="000523FC">
        <w:rPr>
          <w:rFonts w:asciiTheme="minorHAnsi" w:hAnsiTheme="minorHAnsi" w:cs="Arial"/>
          <w:sz w:val="22"/>
          <w:szCs w:val="22"/>
        </w:rPr>
        <w:t xml:space="preserve"> may decide to conduct this follow</w:t>
      </w:r>
      <w:r w:rsidR="000E0C55" w:rsidRPr="000523FC">
        <w:rPr>
          <w:rFonts w:asciiTheme="minorHAnsi" w:hAnsiTheme="minorHAnsi" w:cs="Arial"/>
          <w:sz w:val="22"/>
          <w:szCs w:val="22"/>
        </w:rPr>
        <w:t>-</w:t>
      </w:r>
      <w:r w:rsidR="00506C27" w:rsidRPr="000523FC">
        <w:rPr>
          <w:rFonts w:asciiTheme="minorHAnsi" w:hAnsiTheme="minorHAnsi" w:cs="Arial"/>
          <w:sz w:val="22"/>
          <w:szCs w:val="22"/>
        </w:rPr>
        <w:t xml:space="preserve">up more than three months after completing its investigation if </w:t>
      </w:r>
      <w:r w:rsidR="00461A2F">
        <w:rPr>
          <w:rFonts w:asciiTheme="minorHAnsi" w:hAnsiTheme="minorHAnsi" w:cs="Arial"/>
          <w:sz w:val="22"/>
          <w:szCs w:val="22"/>
        </w:rPr>
        <w:t xml:space="preserve">we </w:t>
      </w:r>
      <w:r w:rsidR="00506C27" w:rsidRPr="000523FC">
        <w:rPr>
          <w:rFonts w:asciiTheme="minorHAnsi" w:hAnsiTheme="minorHAnsi" w:cs="Arial"/>
          <w:sz w:val="22"/>
          <w:szCs w:val="22"/>
        </w:rPr>
        <w:t>consider that the government entity would reasonably require more than three months to implement the recommendations fully and effectively</w:t>
      </w:r>
      <w:r w:rsidR="00D27E0B" w:rsidRPr="000523FC">
        <w:rPr>
          <w:rFonts w:asciiTheme="minorHAnsi" w:hAnsiTheme="minorHAnsi" w:cs="Arial"/>
          <w:sz w:val="22"/>
          <w:szCs w:val="22"/>
        </w:rPr>
        <w:t>.</w:t>
      </w:r>
      <w:r w:rsidR="00506C27" w:rsidRPr="000523FC">
        <w:rPr>
          <w:rFonts w:asciiTheme="minorHAnsi" w:hAnsiTheme="minorHAnsi" w:cs="Arial"/>
          <w:sz w:val="22"/>
          <w:szCs w:val="22"/>
        </w:rPr>
        <w:t xml:space="preserve"> </w:t>
      </w:r>
    </w:p>
    <w:p w:rsidR="001C250B" w:rsidRPr="000523FC" w:rsidRDefault="001C250B" w:rsidP="000523FC">
      <w:pPr>
        <w:spacing w:before="0" w:after="240"/>
        <w:rPr>
          <w:rFonts w:asciiTheme="minorHAnsi" w:hAnsiTheme="minorHAnsi" w:cs="Arial"/>
          <w:sz w:val="22"/>
          <w:szCs w:val="22"/>
        </w:rPr>
      </w:pPr>
      <w:r w:rsidRPr="000523FC">
        <w:rPr>
          <w:rFonts w:asciiTheme="minorHAnsi" w:hAnsiTheme="minorHAnsi" w:cs="Arial"/>
          <w:sz w:val="22"/>
          <w:szCs w:val="22"/>
        </w:rPr>
        <w:t xml:space="preserve">The </w:t>
      </w:r>
      <w:r w:rsidR="006B5FF1">
        <w:rPr>
          <w:rFonts w:asciiTheme="minorHAnsi" w:hAnsiTheme="minorHAnsi" w:cs="Arial"/>
          <w:sz w:val="22"/>
          <w:szCs w:val="22"/>
        </w:rPr>
        <w:t>Commissioner</w:t>
      </w:r>
      <w:r w:rsidRPr="000523FC">
        <w:rPr>
          <w:rFonts w:asciiTheme="minorHAnsi" w:hAnsiTheme="minorHAnsi" w:cs="Arial"/>
          <w:sz w:val="22"/>
          <w:szCs w:val="22"/>
        </w:rPr>
        <w:t xml:space="preserve"> informs the complainant in writing of the outcomes of its follow</w:t>
      </w:r>
      <w:r w:rsidR="00C25706" w:rsidRPr="000523FC">
        <w:rPr>
          <w:rFonts w:asciiTheme="minorHAnsi" w:hAnsiTheme="minorHAnsi" w:cs="Arial"/>
          <w:sz w:val="22"/>
          <w:szCs w:val="22"/>
        </w:rPr>
        <w:t>-</w:t>
      </w:r>
      <w:r w:rsidRPr="000523FC">
        <w:rPr>
          <w:rFonts w:asciiTheme="minorHAnsi" w:hAnsiTheme="minorHAnsi" w:cs="Arial"/>
          <w:sz w:val="22"/>
          <w:szCs w:val="22"/>
        </w:rPr>
        <w:t xml:space="preserve">up with the government entity — specifically of the entity’s progress in implementing the report’s recommendations. This approach aims to provide, in a timely manner, information to the complainant about developments that might influence their business and business decision-making. </w:t>
      </w:r>
      <w:r w:rsidR="000E0C55" w:rsidRPr="000523FC">
        <w:rPr>
          <w:rFonts w:asciiTheme="minorHAnsi" w:hAnsiTheme="minorHAnsi" w:cs="Arial"/>
          <w:sz w:val="22"/>
          <w:szCs w:val="22"/>
        </w:rPr>
        <w:t xml:space="preserve">The </w:t>
      </w:r>
      <w:r w:rsidR="00894230">
        <w:rPr>
          <w:rFonts w:asciiTheme="minorHAnsi" w:hAnsiTheme="minorHAnsi" w:cs="Arial"/>
          <w:sz w:val="22"/>
          <w:szCs w:val="22"/>
        </w:rPr>
        <w:t>OCBR</w:t>
      </w:r>
      <w:r w:rsidR="000E0C55" w:rsidRPr="000523FC">
        <w:rPr>
          <w:rFonts w:asciiTheme="minorHAnsi" w:hAnsiTheme="minorHAnsi" w:cs="Arial"/>
          <w:sz w:val="22"/>
          <w:szCs w:val="22"/>
        </w:rPr>
        <w:t xml:space="preserve"> also reports </w:t>
      </w:r>
      <w:r w:rsidR="00E83FC5">
        <w:rPr>
          <w:rFonts w:asciiTheme="minorHAnsi" w:hAnsiTheme="minorHAnsi" w:cs="Arial"/>
          <w:sz w:val="22"/>
          <w:szCs w:val="22"/>
        </w:rPr>
        <w:t xml:space="preserve">annually </w:t>
      </w:r>
      <w:r w:rsidR="000E0C55" w:rsidRPr="000523FC">
        <w:rPr>
          <w:rFonts w:asciiTheme="minorHAnsi" w:hAnsiTheme="minorHAnsi" w:cs="Arial"/>
          <w:sz w:val="22"/>
          <w:szCs w:val="22"/>
        </w:rPr>
        <w:t xml:space="preserve">on the implementation of recommendations </w:t>
      </w:r>
      <w:r w:rsidR="00F603C0">
        <w:rPr>
          <w:rFonts w:asciiTheme="minorHAnsi" w:hAnsiTheme="minorHAnsi" w:cs="Arial"/>
          <w:sz w:val="22"/>
          <w:szCs w:val="22"/>
        </w:rPr>
        <w:t>to the Treasurer</w:t>
      </w:r>
      <w:r w:rsidR="000E0C55" w:rsidRPr="000523FC">
        <w:rPr>
          <w:rFonts w:asciiTheme="minorHAnsi" w:hAnsiTheme="minorHAnsi" w:cs="Arial"/>
          <w:sz w:val="22"/>
          <w:szCs w:val="22"/>
        </w:rPr>
        <w:t>.</w:t>
      </w:r>
      <w:r w:rsidR="00C25706" w:rsidRPr="000523FC">
        <w:rPr>
          <w:rFonts w:asciiTheme="minorHAnsi" w:hAnsiTheme="minorHAnsi" w:cs="Arial"/>
          <w:sz w:val="22"/>
          <w:szCs w:val="22"/>
        </w:rPr>
        <w:t xml:space="preserve"> </w:t>
      </w:r>
    </w:p>
    <w:p w:rsidR="00D27E0B" w:rsidRPr="000523FC" w:rsidRDefault="000E0C55" w:rsidP="000523FC">
      <w:pPr>
        <w:spacing w:before="0" w:after="240"/>
        <w:rPr>
          <w:rFonts w:asciiTheme="minorHAnsi" w:hAnsiTheme="minorHAnsi" w:cs="Arial"/>
          <w:sz w:val="22"/>
          <w:szCs w:val="22"/>
        </w:rPr>
      </w:pPr>
      <w:r w:rsidRPr="000523FC">
        <w:rPr>
          <w:rFonts w:asciiTheme="minorHAnsi" w:hAnsiTheme="minorHAnsi" w:cs="Arial"/>
          <w:sz w:val="22"/>
          <w:szCs w:val="22"/>
        </w:rPr>
        <w:t>As set out in the CN policy, t</w:t>
      </w:r>
      <w:r w:rsidR="00D27E0B" w:rsidRPr="000523FC">
        <w:rPr>
          <w:rFonts w:asciiTheme="minorHAnsi" w:hAnsiTheme="minorHAnsi" w:cs="Arial"/>
          <w:sz w:val="22"/>
          <w:szCs w:val="22"/>
        </w:rPr>
        <w:t xml:space="preserve">he </w:t>
      </w:r>
      <w:r w:rsidR="00461A2F">
        <w:rPr>
          <w:rFonts w:asciiTheme="minorHAnsi" w:hAnsiTheme="minorHAnsi" w:cs="Arial"/>
          <w:sz w:val="22"/>
          <w:szCs w:val="22"/>
        </w:rPr>
        <w:t>Commissioner</w:t>
      </w:r>
      <w:r w:rsidR="00D27E0B" w:rsidRPr="000523FC">
        <w:rPr>
          <w:rFonts w:asciiTheme="minorHAnsi" w:hAnsiTheme="minorHAnsi" w:cs="Arial"/>
          <w:sz w:val="22"/>
          <w:szCs w:val="22"/>
        </w:rPr>
        <w:t xml:space="preserve">’s recommendations are not </w:t>
      </w:r>
      <w:r w:rsidRPr="000523FC">
        <w:rPr>
          <w:rFonts w:asciiTheme="minorHAnsi" w:hAnsiTheme="minorHAnsi" w:cs="Arial"/>
          <w:sz w:val="22"/>
          <w:szCs w:val="22"/>
        </w:rPr>
        <w:t xml:space="preserve">legally </w:t>
      </w:r>
      <w:r w:rsidR="00D27E0B" w:rsidRPr="000523FC">
        <w:rPr>
          <w:rFonts w:asciiTheme="minorHAnsi" w:hAnsiTheme="minorHAnsi" w:cs="Arial"/>
          <w:sz w:val="22"/>
          <w:szCs w:val="22"/>
        </w:rPr>
        <w:t>enforceable.</w:t>
      </w:r>
      <w:r w:rsidR="00E83FC5">
        <w:rPr>
          <w:rFonts w:asciiTheme="minorHAnsi" w:hAnsiTheme="minorHAnsi" w:cs="Arial"/>
          <w:sz w:val="22"/>
          <w:szCs w:val="22"/>
        </w:rPr>
        <w:t xml:space="preserve"> </w:t>
      </w:r>
      <w:r w:rsidR="00E83FC5" w:rsidRPr="001C093E">
        <w:rPr>
          <w:rFonts w:asciiTheme="minorHAnsi" w:hAnsiTheme="minorHAnsi" w:cs="Arial"/>
          <w:sz w:val="22"/>
          <w:szCs w:val="22"/>
        </w:rPr>
        <w:t xml:space="preserve">However, should the </w:t>
      </w:r>
      <w:r w:rsidR="00123F0B">
        <w:rPr>
          <w:rFonts w:asciiTheme="minorHAnsi" w:hAnsiTheme="minorHAnsi" w:cs="Arial"/>
          <w:sz w:val="22"/>
          <w:szCs w:val="22"/>
        </w:rPr>
        <w:t xml:space="preserve">Commissioner </w:t>
      </w:r>
      <w:r w:rsidR="00E83FC5" w:rsidRPr="001C093E">
        <w:rPr>
          <w:rFonts w:asciiTheme="minorHAnsi" w:hAnsiTheme="minorHAnsi" w:cs="Arial"/>
          <w:sz w:val="22"/>
          <w:szCs w:val="22"/>
        </w:rPr>
        <w:t>have concerns with the implementation of CN investigation recommendations, the Commissioner w</w:t>
      </w:r>
      <w:r w:rsidR="00123F0B">
        <w:rPr>
          <w:rFonts w:asciiTheme="minorHAnsi" w:hAnsiTheme="minorHAnsi" w:cs="Arial"/>
          <w:sz w:val="22"/>
          <w:szCs w:val="22"/>
        </w:rPr>
        <w:t>ill</w:t>
      </w:r>
      <w:r w:rsidR="00E83FC5" w:rsidRPr="001C093E">
        <w:rPr>
          <w:rFonts w:asciiTheme="minorHAnsi" w:hAnsiTheme="minorHAnsi" w:cs="Arial"/>
          <w:sz w:val="22"/>
          <w:szCs w:val="22"/>
        </w:rPr>
        <w:t xml:space="preserve"> write to the </w:t>
      </w:r>
      <w:r w:rsidR="00BE5FF0" w:rsidRPr="001C093E">
        <w:rPr>
          <w:rFonts w:asciiTheme="minorHAnsi" w:hAnsiTheme="minorHAnsi" w:cs="Arial"/>
          <w:sz w:val="22"/>
          <w:szCs w:val="22"/>
        </w:rPr>
        <w:t>government entity subject to the complaint, the Secretary of the relevant department and the Treasurer with recommended actions to achieve compliance.</w:t>
      </w:r>
    </w:p>
    <w:p w:rsidR="00747CE6" w:rsidRPr="000523FC" w:rsidRDefault="00747CE6" w:rsidP="00747CE6">
      <w:pPr>
        <w:spacing w:before="240" w:after="240"/>
        <w:rPr>
          <w:rFonts w:asciiTheme="minorHAnsi" w:hAnsiTheme="minorHAnsi" w:cs="Arial"/>
          <w:sz w:val="22"/>
          <w:szCs w:val="22"/>
        </w:rPr>
      </w:pPr>
      <w:r w:rsidRPr="000523FC">
        <w:rPr>
          <w:rFonts w:asciiTheme="minorHAnsi" w:hAnsiTheme="minorHAnsi" w:cs="Arial"/>
          <w:sz w:val="22"/>
          <w:szCs w:val="22"/>
        </w:rPr>
        <w:lastRenderedPageBreak/>
        <w:t xml:space="preserve">Given the role specified in the CN policy, </w:t>
      </w:r>
      <w:r w:rsidR="007B6516">
        <w:rPr>
          <w:rFonts w:asciiTheme="minorHAnsi" w:hAnsiTheme="minorHAnsi" w:cs="Arial"/>
          <w:sz w:val="22"/>
          <w:szCs w:val="22"/>
        </w:rPr>
        <w:t xml:space="preserve">it is outside </w:t>
      </w:r>
      <w:r w:rsidRPr="000523FC">
        <w:rPr>
          <w:rFonts w:asciiTheme="minorHAnsi" w:hAnsiTheme="minorHAnsi" w:cs="Arial"/>
          <w:sz w:val="22"/>
          <w:szCs w:val="22"/>
        </w:rPr>
        <w:t xml:space="preserve">the </w:t>
      </w:r>
      <w:r>
        <w:rPr>
          <w:rFonts w:asciiTheme="minorHAnsi" w:hAnsiTheme="minorHAnsi" w:cs="Arial"/>
          <w:sz w:val="22"/>
          <w:szCs w:val="22"/>
        </w:rPr>
        <w:t>Commissioner</w:t>
      </w:r>
      <w:r w:rsidR="007B6516">
        <w:rPr>
          <w:rFonts w:asciiTheme="minorHAnsi" w:hAnsiTheme="minorHAnsi" w:cs="Arial"/>
          <w:sz w:val="22"/>
          <w:szCs w:val="22"/>
        </w:rPr>
        <w:t>’s scope to</w:t>
      </w:r>
      <w:r w:rsidRPr="000523FC">
        <w:rPr>
          <w:rFonts w:asciiTheme="minorHAnsi" w:hAnsiTheme="minorHAnsi" w:cs="Arial"/>
          <w:sz w:val="22"/>
          <w:szCs w:val="22"/>
        </w:rPr>
        <w:t>:</w:t>
      </w:r>
    </w:p>
    <w:p w:rsidR="00747CE6" w:rsidRPr="000523FC" w:rsidRDefault="00747CE6" w:rsidP="00747CE6">
      <w:pPr>
        <w:pStyle w:val="Bullet"/>
        <w:tabs>
          <w:tab w:val="clear" w:pos="360"/>
        </w:tabs>
        <w:spacing w:before="0"/>
        <w:ind w:left="567" w:hanging="567"/>
        <w:rPr>
          <w:rFonts w:asciiTheme="minorHAnsi" w:hAnsiTheme="minorHAnsi"/>
          <w:sz w:val="22"/>
          <w:szCs w:val="22"/>
        </w:rPr>
      </w:pPr>
      <w:r w:rsidRPr="000523FC">
        <w:rPr>
          <w:rFonts w:asciiTheme="minorHAnsi" w:hAnsiTheme="minorHAnsi"/>
          <w:sz w:val="22"/>
          <w:szCs w:val="22"/>
        </w:rPr>
        <w:t xml:space="preserve">assess anti-competitive behaviour that is covered by the </w:t>
      </w:r>
      <w:r w:rsidRPr="000523FC">
        <w:rPr>
          <w:rFonts w:asciiTheme="minorHAnsi" w:hAnsiTheme="minorHAnsi"/>
          <w:i/>
          <w:sz w:val="22"/>
          <w:szCs w:val="22"/>
        </w:rPr>
        <w:t>Competition and Consumer Act 2010</w:t>
      </w:r>
      <w:r w:rsidRPr="000523FC"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Pr="000523FC">
        <w:rPr>
          <w:rFonts w:asciiTheme="minorHAnsi" w:hAnsiTheme="minorHAnsi"/>
          <w:sz w:val="22"/>
          <w:szCs w:val="22"/>
        </w:rPr>
        <w:t>Cth</w:t>
      </w:r>
      <w:proofErr w:type="spellEnd"/>
      <w:r w:rsidRPr="000523FC">
        <w:rPr>
          <w:rFonts w:asciiTheme="minorHAnsi" w:hAnsiTheme="minorHAnsi"/>
          <w:sz w:val="22"/>
          <w:szCs w:val="22"/>
        </w:rPr>
        <w:t xml:space="preserve">) </w:t>
      </w:r>
      <w:r w:rsidRPr="000523FC">
        <w:rPr>
          <w:rFonts w:asciiTheme="minorHAnsi" w:hAnsiTheme="minorHAnsi"/>
          <w:iCs/>
          <w:sz w:val="22"/>
          <w:szCs w:val="22"/>
        </w:rPr>
        <w:t xml:space="preserve">or the </w:t>
      </w:r>
      <w:r w:rsidRPr="000523FC">
        <w:rPr>
          <w:rFonts w:asciiTheme="minorHAnsi" w:hAnsiTheme="minorHAnsi"/>
          <w:i/>
          <w:iCs/>
          <w:sz w:val="22"/>
          <w:szCs w:val="22"/>
        </w:rPr>
        <w:t>Competition Policy Reform (Victoria) Act 1995</w:t>
      </w:r>
      <w:r w:rsidRPr="000523FC">
        <w:rPr>
          <w:rFonts w:asciiTheme="minorHAnsi" w:hAnsiTheme="minorHAnsi"/>
          <w:sz w:val="22"/>
          <w:szCs w:val="22"/>
        </w:rPr>
        <w:t xml:space="preserve"> </w:t>
      </w:r>
    </w:p>
    <w:p w:rsidR="00747CE6" w:rsidRPr="000523FC" w:rsidRDefault="00747CE6" w:rsidP="00747CE6">
      <w:pPr>
        <w:pStyle w:val="Bullet"/>
        <w:tabs>
          <w:tab w:val="clear" w:pos="360"/>
        </w:tabs>
        <w:spacing w:before="0"/>
        <w:ind w:left="567" w:hanging="567"/>
        <w:rPr>
          <w:rFonts w:asciiTheme="minorHAnsi" w:hAnsiTheme="minorHAnsi"/>
          <w:sz w:val="22"/>
          <w:szCs w:val="22"/>
        </w:rPr>
      </w:pPr>
      <w:r w:rsidRPr="000523FC">
        <w:rPr>
          <w:rFonts w:asciiTheme="minorHAnsi" w:hAnsiTheme="minorHAnsi"/>
          <w:sz w:val="22"/>
          <w:szCs w:val="22"/>
        </w:rPr>
        <w:t>deal with probity issues arising from tendering processes of government agencies or local governments</w:t>
      </w:r>
    </w:p>
    <w:p w:rsidR="00747CE6" w:rsidRPr="000523FC" w:rsidRDefault="00747CE6" w:rsidP="00747CE6">
      <w:pPr>
        <w:pStyle w:val="Bullet"/>
        <w:tabs>
          <w:tab w:val="clear" w:pos="360"/>
        </w:tabs>
        <w:spacing w:before="0"/>
        <w:ind w:left="567" w:hanging="567"/>
        <w:rPr>
          <w:rFonts w:asciiTheme="minorHAnsi" w:hAnsiTheme="minorHAnsi"/>
          <w:sz w:val="22"/>
          <w:szCs w:val="22"/>
        </w:rPr>
      </w:pPr>
      <w:proofErr w:type="gramStart"/>
      <w:r w:rsidRPr="000523FC">
        <w:rPr>
          <w:rFonts w:asciiTheme="minorHAnsi" w:hAnsiTheme="minorHAnsi"/>
          <w:sz w:val="22"/>
          <w:szCs w:val="22"/>
        </w:rPr>
        <w:t>recommend</w:t>
      </w:r>
      <w:proofErr w:type="gramEnd"/>
      <w:r w:rsidRPr="000523FC">
        <w:rPr>
          <w:rFonts w:asciiTheme="minorHAnsi" w:hAnsiTheme="minorHAnsi"/>
          <w:sz w:val="22"/>
          <w:szCs w:val="22"/>
        </w:rPr>
        <w:t xml:space="preserve"> any compensation or termination of contractual arrangements</w:t>
      </w:r>
      <w:r w:rsidR="006B5FF1">
        <w:rPr>
          <w:rFonts w:asciiTheme="minorHAnsi" w:hAnsiTheme="minorHAnsi"/>
          <w:sz w:val="22"/>
          <w:szCs w:val="22"/>
        </w:rPr>
        <w:t>.</w:t>
      </w:r>
    </w:p>
    <w:p w:rsidR="004E370E" w:rsidRPr="00F603C0" w:rsidRDefault="002D3E16" w:rsidP="000523FC">
      <w:pPr>
        <w:pStyle w:val="Heading20"/>
        <w:spacing w:before="0"/>
        <w:rPr>
          <w:rFonts w:asciiTheme="minorHAnsi" w:hAnsiTheme="minorHAnsi"/>
          <w:color w:val="0063A4"/>
          <w:sz w:val="24"/>
        </w:rPr>
      </w:pPr>
      <w:r w:rsidRPr="00F603C0">
        <w:rPr>
          <w:rFonts w:asciiTheme="minorHAnsi" w:hAnsiTheme="minorHAnsi"/>
          <w:color w:val="0063A4"/>
          <w:sz w:val="24"/>
        </w:rPr>
        <w:t xml:space="preserve">Achieving </w:t>
      </w:r>
      <w:r w:rsidR="00270D9D" w:rsidRPr="00F603C0">
        <w:rPr>
          <w:rFonts w:asciiTheme="minorHAnsi" w:hAnsiTheme="minorHAnsi"/>
          <w:color w:val="0063A4"/>
          <w:sz w:val="24"/>
        </w:rPr>
        <w:t>awareness of CN policy</w:t>
      </w:r>
    </w:p>
    <w:p w:rsidR="00270D9D" w:rsidRPr="00B60FBF" w:rsidRDefault="00123F0B" w:rsidP="000523FC">
      <w:pPr>
        <w:spacing w:before="0" w:after="24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The Commissioner — supported by the OCBR — is required to ensure that government departments and agencies and local governments are aware </w:t>
      </w:r>
      <w:r w:rsidR="00EF6669" w:rsidRPr="00F603C0">
        <w:rPr>
          <w:rFonts w:asciiTheme="minorHAnsi" w:hAnsiTheme="minorHAnsi" w:cs="Arial"/>
          <w:sz w:val="22"/>
          <w:szCs w:val="22"/>
        </w:rPr>
        <w:t xml:space="preserve">of CN </w:t>
      </w:r>
      <w:r w:rsidR="00EF6669" w:rsidRPr="00B60FBF">
        <w:rPr>
          <w:rFonts w:asciiTheme="minorHAnsi" w:hAnsiTheme="minorHAnsi" w:cs="Arial"/>
          <w:sz w:val="22"/>
          <w:szCs w:val="22"/>
        </w:rPr>
        <w:t>policy</w:t>
      </w:r>
      <w:r>
        <w:rPr>
          <w:rFonts w:asciiTheme="minorHAnsi" w:hAnsiTheme="minorHAnsi" w:cs="Arial"/>
          <w:sz w:val="22"/>
          <w:szCs w:val="22"/>
        </w:rPr>
        <w:t xml:space="preserve">. </w:t>
      </w:r>
      <w:r w:rsidR="006B5FF1">
        <w:rPr>
          <w:rFonts w:asciiTheme="minorHAnsi" w:hAnsiTheme="minorHAnsi" w:cs="Arial"/>
          <w:sz w:val="22"/>
          <w:szCs w:val="22"/>
        </w:rPr>
        <w:t>T</w:t>
      </w:r>
      <w:r>
        <w:rPr>
          <w:rFonts w:asciiTheme="minorHAnsi" w:hAnsiTheme="minorHAnsi" w:cs="Arial"/>
          <w:sz w:val="22"/>
          <w:szCs w:val="22"/>
        </w:rPr>
        <w:t>his</w:t>
      </w:r>
      <w:r w:rsidR="006B5FF1">
        <w:rPr>
          <w:rFonts w:asciiTheme="minorHAnsi" w:hAnsiTheme="minorHAnsi" w:cs="Arial"/>
          <w:sz w:val="22"/>
          <w:szCs w:val="22"/>
        </w:rPr>
        <w:t xml:space="preserve"> is done</w:t>
      </w:r>
      <w:r>
        <w:rPr>
          <w:rFonts w:asciiTheme="minorHAnsi" w:hAnsiTheme="minorHAnsi" w:cs="Arial"/>
          <w:sz w:val="22"/>
          <w:szCs w:val="22"/>
        </w:rPr>
        <w:t xml:space="preserve"> by:</w:t>
      </w:r>
    </w:p>
    <w:p w:rsidR="00123F0B" w:rsidRDefault="00123F0B" w:rsidP="00627AA0">
      <w:pPr>
        <w:pStyle w:val="Bullet"/>
        <w:tabs>
          <w:tab w:val="clear" w:pos="360"/>
        </w:tabs>
        <w:spacing w:before="0"/>
        <w:ind w:left="567" w:hanging="56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</w:t>
      </w:r>
      <w:r w:rsidRPr="00F603C0">
        <w:rPr>
          <w:rFonts w:asciiTheme="minorHAnsi" w:hAnsiTheme="minorHAnsi"/>
          <w:sz w:val="22"/>
          <w:szCs w:val="22"/>
        </w:rPr>
        <w:t xml:space="preserve">iving presentations/training to government agencies and local government about CN issues that are particularly relevant to them </w:t>
      </w:r>
    </w:p>
    <w:p w:rsidR="00123F0B" w:rsidRPr="00F603C0" w:rsidRDefault="00123F0B" w:rsidP="00123F0B">
      <w:pPr>
        <w:pStyle w:val="Bullet"/>
        <w:tabs>
          <w:tab w:val="clear" w:pos="360"/>
        </w:tabs>
        <w:spacing w:before="0"/>
        <w:ind w:left="567" w:hanging="56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</w:t>
      </w:r>
      <w:r w:rsidRPr="00F603C0">
        <w:rPr>
          <w:rFonts w:asciiTheme="minorHAnsi" w:hAnsiTheme="minorHAnsi"/>
          <w:sz w:val="22"/>
          <w:szCs w:val="22"/>
        </w:rPr>
        <w:t>roviding information on CN policy, including publishing guidance notes</w:t>
      </w:r>
    </w:p>
    <w:p w:rsidR="00D27E0B" w:rsidRPr="00F603C0" w:rsidRDefault="00123F0B" w:rsidP="00627AA0">
      <w:pPr>
        <w:pStyle w:val="Bullet"/>
        <w:tabs>
          <w:tab w:val="clear" w:pos="360"/>
        </w:tabs>
        <w:spacing w:before="0"/>
        <w:ind w:left="567" w:hanging="56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</w:t>
      </w:r>
      <w:r w:rsidR="00D27E0B" w:rsidRPr="00F603C0">
        <w:rPr>
          <w:rFonts w:asciiTheme="minorHAnsi" w:hAnsiTheme="minorHAnsi"/>
          <w:sz w:val="22"/>
          <w:szCs w:val="22"/>
        </w:rPr>
        <w:t xml:space="preserve">esponding to specific queries of </w:t>
      </w:r>
      <w:r w:rsidR="00352CCC" w:rsidRPr="00F603C0">
        <w:rPr>
          <w:rFonts w:asciiTheme="minorHAnsi" w:hAnsiTheme="minorHAnsi"/>
          <w:sz w:val="22"/>
          <w:szCs w:val="22"/>
        </w:rPr>
        <w:t xml:space="preserve">government agencies </w:t>
      </w:r>
      <w:r w:rsidR="001F022C" w:rsidRPr="00F603C0">
        <w:rPr>
          <w:rFonts w:asciiTheme="minorHAnsi" w:hAnsiTheme="minorHAnsi"/>
          <w:sz w:val="22"/>
          <w:szCs w:val="22"/>
        </w:rPr>
        <w:t xml:space="preserve">and local government </w:t>
      </w:r>
      <w:r w:rsidR="00D27E0B" w:rsidRPr="00F603C0">
        <w:rPr>
          <w:rFonts w:asciiTheme="minorHAnsi" w:hAnsiTheme="minorHAnsi"/>
          <w:sz w:val="22"/>
          <w:szCs w:val="22"/>
        </w:rPr>
        <w:t xml:space="preserve">about </w:t>
      </w:r>
      <w:r w:rsidR="00352CCC" w:rsidRPr="00F603C0">
        <w:rPr>
          <w:rFonts w:asciiTheme="minorHAnsi" w:hAnsiTheme="minorHAnsi"/>
          <w:sz w:val="22"/>
          <w:szCs w:val="22"/>
        </w:rPr>
        <w:t>how to implement</w:t>
      </w:r>
      <w:r w:rsidR="00D27E0B" w:rsidRPr="00F603C0">
        <w:rPr>
          <w:rFonts w:asciiTheme="minorHAnsi" w:hAnsiTheme="minorHAnsi"/>
          <w:sz w:val="22"/>
          <w:szCs w:val="22"/>
        </w:rPr>
        <w:t xml:space="preserve"> </w:t>
      </w:r>
      <w:r w:rsidR="006238E1" w:rsidRPr="00F603C0">
        <w:rPr>
          <w:rFonts w:asciiTheme="minorHAnsi" w:hAnsiTheme="minorHAnsi"/>
          <w:sz w:val="22"/>
          <w:szCs w:val="22"/>
        </w:rPr>
        <w:t xml:space="preserve">various aspects of </w:t>
      </w:r>
      <w:r w:rsidR="00D27E0B" w:rsidRPr="00F603C0">
        <w:rPr>
          <w:rFonts w:asciiTheme="minorHAnsi" w:hAnsiTheme="minorHAnsi"/>
          <w:sz w:val="22"/>
          <w:szCs w:val="22"/>
        </w:rPr>
        <w:t>CN pol</w:t>
      </w:r>
      <w:r w:rsidR="006238E1" w:rsidRPr="00F603C0">
        <w:rPr>
          <w:rFonts w:asciiTheme="minorHAnsi" w:hAnsiTheme="minorHAnsi"/>
          <w:sz w:val="22"/>
          <w:szCs w:val="22"/>
        </w:rPr>
        <w:t>icy</w:t>
      </w:r>
    </w:p>
    <w:p w:rsidR="007859C7" w:rsidRPr="00F603C0" w:rsidRDefault="00123F0B" w:rsidP="000523FC">
      <w:pPr>
        <w:pStyle w:val="Bullet"/>
        <w:tabs>
          <w:tab w:val="clear" w:pos="360"/>
        </w:tabs>
        <w:spacing w:before="0" w:after="240"/>
        <w:ind w:left="567" w:hanging="56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</w:t>
      </w:r>
      <w:r w:rsidR="007859C7" w:rsidRPr="00F603C0">
        <w:rPr>
          <w:rFonts w:asciiTheme="minorHAnsi" w:hAnsiTheme="minorHAnsi"/>
          <w:sz w:val="22"/>
          <w:szCs w:val="22"/>
        </w:rPr>
        <w:t>romoting outcomes of particular investigations to organisations that are similar to the one investigated</w:t>
      </w:r>
      <w:r w:rsidR="00B61B3E" w:rsidRPr="00F603C0">
        <w:rPr>
          <w:rFonts w:asciiTheme="minorHAnsi" w:hAnsiTheme="minorHAnsi"/>
          <w:sz w:val="22"/>
          <w:szCs w:val="22"/>
        </w:rPr>
        <w:t>,</w:t>
      </w:r>
      <w:r w:rsidR="007859C7" w:rsidRPr="00F603C0">
        <w:rPr>
          <w:rFonts w:asciiTheme="minorHAnsi" w:hAnsiTheme="minorHAnsi"/>
          <w:sz w:val="22"/>
          <w:szCs w:val="22"/>
        </w:rPr>
        <w:t xml:space="preserve"> by writing to the</w:t>
      </w:r>
      <w:r w:rsidR="00B61B3E" w:rsidRPr="00F603C0">
        <w:rPr>
          <w:rFonts w:asciiTheme="minorHAnsi" w:hAnsiTheme="minorHAnsi"/>
          <w:sz w:val="22"/>
          <w:szCs w:val="22"/>
        </w:rPr>
        <w:t>se</w:t>
      </w:r>
      <w:r w:rsidR="007859C7" w:rsidRPr="00F603C0">
        <w:rPr>
          <w:rFonts w:asciiTheme="minorHAnsi" w:hAnsiTheme="minorHAnsi"/>
          <w:sz w:val="22"/>
          <w:szCs w:val="22"/>
        </w:rPr>
        <w:t xml:space="preserve"> entities </w:t>
      </w:r>
      <w:r w:rsidR="002E154C" w:rsidRPr="00F603C0">
        <w:rPr>
          <w:rFonts w:asciiTheme="minorHAnsi" w:hAnsiTheme="minorHAnsi"/>
          <w:sz w:val="22"/>
          <w:szCs w:val="22"/>
        </w:rPr>
        <w:t>to advise them of the publication of</w:t>
      </w:r>
      <w:r w:rsidR="007859C7" w:rsidRPr="00F603C0">
        <w:rPr>
          <w:rFonts w:asciiTheme="minorHAnsi" w:hAnsiTheme="minorHAnsi"/>
          <w:sz w:val="22"/>
          <w:szCs w:val="22"/>
        </w:rPr>
        <w:t xml:space="preserve"> the </w:t>
      </w:r>
      <w:r w:rsidR="002E154C" w:rsidRPr="00F603C0">
        <w:rPr>
          <w:rFonts w:asciiTheme="minorHAnsi" w:hAnsiTheme="minorHAnsi"/>
          <w:sz w:val="22"/>
          <w:szCs w:val="22"/>
        </w:rPr>
        <w:t xml:space="preserve">final </w:t>
      </w:r>
      <w:r w:rsidR="00B61B3E" w:rsidRPr="00F603C0">
        <w:rPr>
          <w:rFonts w:asciiTheme="minorHAnsi" w:hAnsiTheme="minorHAnsi"/>
          <w:sz w:val="22"/>
          <w:szCs w:val="22"/>
        </w:rPr>
        <w:t xml:space="preserve">investigation </w:t>
      </w:r>
      <w:r w:rsidR="007859C7" w:rsidRPr="00F603C0">
        <w:rPr>
          <w:rFonts w:asciiTheme="minorHAnsi" w:hAnsiTheme="minorHAnsi"/>
          <w:sz w:val="22"/>
          <w:szCs w:val="22"/>
        </w:rPr>
        <w:t xml:space="preserve">report </w:t>
      </w:r>
    </w:p>
    <w:p w:rsidR="002E154C" w:rsidRPr="00F603C0" w:rsidRDefault="00123F0B" w:rsidP="00627AA0">
      <w:pPr>
        <w:pStyle w:val="Bullet"/>
        <w:tabs>
          <w:tab w:val="clear" w:pos="360"/>
        </w:tabs>
        <w:spacing w:before="0"/>
        <w:ind w:left="567" w:hanging="567"/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t>p</w:t>
      </w:r>
      <w:r w:rsidR="002E154C" w:rsidRPr="00F603C0">
        <w:rPr>
          <w:rFonts w:asciiTheme="minorHAnsi" w:hAnsiTheme="minorHAnsi"/>
          <w:sz w:val="22"/>
          <w:szCs w:val="22"/>
        </w:rPr>
        <w:t>ublishing</w:t>
      </w:r>
      <w:proofErr w:type="gramEnd"/>
      <w:r w:rsidR="002E154C" w:rsidRPr="00F603C0">
        <w:rPr>
          <w:rFonts w:asciiTheme="minorHAnsi" w:hAnsiTheme="minorHAnsi"/>
          <w:sz w:val="22"/>
          <w:szCs w:val="22"/>
        </w:rPr>
        <w:t xml:space="preserve"> articles in external publications, where relevant. </w:t>
      </w:r>
    </w:p>
    <w:p w:rsidR="00520C04" w:rsidRPr="000523FC" w:rsidRDefault="00520C04" w:rsidP="00894230">
      <w:pPr>
        <w:pStyle w:val="Bullet"/>
        <w:numPr>
          <w:ilvl w:val="0"/>
          <w:numId w:val="0"/>
        </w:numPr>
        <w:spacing w:before="0" w:after="240"/>
        <w:rPr>
          <w:rFonts w:asciiTheme="minorHAnsi" w:hAnsiTheme="minorHAnsi"/>
          <w:sz w:val="22"/>
          <w:szCs w:val="22"/>
        </w:rPr>
      </w:pPr>
    </w:p>
    <w:p w:rsidR="00947C3E" w:rsidRPr="000523FC" w:rsidRDefault="003655D4" w:rsidP="00627AA0">
      <w:pPr>
        <w:pStyle w:val="Signature"/>
        <w:spacing w:before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Anna Cronin</w:t>
      </w:r>
    </w:p>
    <w:p w:rsidR="00947C3E" w:rsidRPr="000523FC" w:rsidRDefault="003655D4" w:rsidP="00B43E7A">
      <w:pPr>
        <w:spacing w:before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Commissioner for Better Regulation</w:t>
      </w:r>
    </w:p>
    <w:p w:rsidR="00C51260" w:rsidRPr="000523FC" w:rsidRDefault="001B5DDB" w:rsidP="00627AA0">
      <w:pPr>
        <w:pStyle w:val="Date"/>
        <w:spacing w:before="0" w:after="2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16 September </w:t>
      </w:r>
      <w:r w:rsidR="00D76B03" w:rsidRPr="000523FC">
        <w:rPr>
          <w:rFonts w:asciiTheme="minorHAnsi" w:hAnsiTheme="minorHAnsi"/>
          <w:sz w:val="22"/>
          <w:szCs w:val="22"/>
        </w:rPr>
        <w:t>201</w:t>
      </w:r>
      <w:r w:rsidR="003655D4">
        <w:rPr>
          <w:rFonts w:asciiTheme="minorHAnsi" w:hAnsiTheme="minorHAnsi"/>
          <w:sz w:val="22"/>
          <w:szCs w:val="22"/>
        </w:rPr>
        <w:t>6</w:t>
      </w:r>
    </w:p>
    <w:p w:rsidR="000523FC" w:rsidRPr="000523FC" w:rsidRDefault="00177554" w:rsidP="000523FC">
      <w:pPr>
        <w:pStyle w:val="Heading20"/>
        <w:spacing w:before="0"/>
        <w:rPr>
          <w:rFonts w:asciiTheme="minorHAnsi" w:hAnsiTheme="minorHAnsi"/>
          <w:color w:val="0063A4"/>
          <w:sz w:val="24"/>
          <w:szCs w:val="24"/>
        </w:rPr>
      </w:pPr>
      <w:r w:rsidRPr="000523FC">
        <w:rPr>
          <w:rFonts w:asciiTheme="minorHAnsi" w:hAnsiTheme="minorHAnsi"/>
          <w:color w:val="0063A4"/>
          <w:sz w:val="24"/>
          <w:szCs w:val="24"/>
        </w:rPr>
        <w:t>References</w:t>
      </w:r>
    </w:p>
    <w:p w:rsidR="00177554" w:rsidRPr="000523FC" w:rsidRDefault="00B17138" w:rsidP="000523FC">
      <w:pPr>
        <w:pStyle w:val="Heading20"/>
        <w:spacing w:before="0"/>
        <w:rPr>
          <w:rFonts w:asciiTheme="minorHAnsi" w:hAnsiTheme="minorHAnsi"/>
          <w:sz w:val="22"/>
          <w:szCs w:val="22"/>
        </w:rPr>
      </w:pPr>
      <w:r w:rsidRPr="000523FC">
        <w:rPr>
          <w:rFonts w:asciiTheme="minorHAnsi" w:hAnsiTheme="minorHAnsi"/>
          <w:b w:val="0"/>
          <w:sz w:val="22"/>
          <w:szCs w:val="22"/>
        </w:rPr>
        <w:t>(</w:t>
      </w:r>
      <w:proofErr w:type="gramStart"/>
      <w:r w:rsidRPr="000523FC">
        <w:rPr>
          <w:rFonts w:asciiTheme="minorHAnsi" w:hAnsiTheme="minorHAnsi"/>
          <w:b w:val="0"/>
          <w:sz w:val="22"/>
          <w:szCs w:val="22"/>
        </w:rPr>
        <w:t>available</w:t>
      </w:r>
      <w:proofErr w:type="gramEnd"/>
      <w:r w:rsidRPr="000523FC">
        <w:rPr>
          <w:rFonts w:asciiTheme="minorHAnsi" w:hAnsiTheme="minorHAnsi"/>
          <w:b w:val="0"/>
          <w:sz w:val="22"/>
          <w:szCs w:val="22"/>
        </w:rPr>
        <w:t xml:space="preserve"> on the </w:t>
      </w:r>
      <w:r w:rsidR="00894230">
        <w:rPr>
          <w:rFonts w:asciiTheme="minorHAnsi" w:hAnsiTheme="minorHAnsi"/>
          <w:b w:val="0"/>
          <w:sz w:val="22"/>
          <w:szCs w:val="22"/>
        </w:rPr>
        <w:t>OCBR</w:t>
      </w:r>
      <w:r w:rsidRPr="000523FC">
        <w:rPr>
          <w:rFonts w:asciiTheme="minorHAnsi" w:hAnsiTheme="minorHAnsi"/>
          <w:b w:val="0"/>
          <w:sz w:val="22"/>
          <w:szCs w:val="22"/>
        </w:rPr>
        <w:t>’s website)</w:t>
      </w:r>
    </w:p>
    <w:p w:rsidR="00177554" w:rsidRPr="000523FC" w:rsidRDefault="00177554" w:rsidP="000523FC">
      <w:pPr>
        <w:spacing w:before="0" w:after="240"/>
        <w:ind w:left="567" w:hanging="567"/>
        <w:jc w:val="left"/>
        <w:rPr>
          <w:rFonts w:asciiTheme="minorHAnsi" w:hAnsiTheme="minorHAnsi" w:cs="Arial"/>
          <w:bCs/>
          <w:iCs/>
          <w:sz w:val="22"/>
          <w:szCs w:val="22"/>
        </w:rPr>
      </w:pPr>
      <w:proofErr w:type="gramStart"/>
      <w:r w:rsidRPr="000523FC">
        <w:rPr>
          <w:rFonts w:asciiTheme="minorHAnsi" w:hAnsiTheme="minorHAnsi" w:cs="Arial"/>
          <w:bCs/>
          <w:iCs/>
          <w:sz w:val="22"/>
          <w:szCs w:val="22"/>
        </w:rPr>
        <w:t>DTF (Department of Treasury and Finance) 20</w:t>
      </w:r>
      <w:r w:rsidR="00EF6669" w:rsidRPr="000523FC">
        <w:rPr>
          <w:rFonts w:asciiTheme="minorHAnsi" w:hAnsiTheme="minorHAnsi" w:cs="Arial"/>
          <w:bCs/>
          <w:iCs/>
          <w:sz w:val="22"/>
          <w:szCs w:val="22"/>
        </w:rPr>
        <w:t>12</w:t>
      </w:r>
      <w:r w:rsidRPr="000523FC">
        <w:rPr>
          <w:rFonts w:asciiTheme="minorHAnsi" w:hAnsiTheme="minorHAnsi" w:cs="Arial"/>
          <w:bCs/>
          <w:iCs/>
          <w:sz w:val="22"/>
          <w:szCs w:val="22"/>
        </w:rPr>
        <w:t>,</w:t>
      </w:r>
      <w:r w:rsidRPr="000523FC">
        <w:rPr>
          <w:rFonts w:asciiTheme="minorHAnsi" w:hAnsiTheme="minorHAnsi" w:cs="Arial"/>
          <w:bCs/>
          <w:i/>
          <w:iCs/>
          <w:sz w:val="22"/>
          <w:szCs w:val="22"/>
        </w:rPr>
        <w:t xml:space="preserve"> Competitive Neutrality Policy</w:t>
      </w:r>
      <w:r w:rsidRPr="000523FC">
        <w:rPr>
          <w:rFonts w:asciiTheme="minorHAnsi" w:hAnsiTheme="minorHAnsi" w:cs="Arial"/>
          <w:bCs/>
          <w:iCs/>
          <w:sz w:val="22"/>
          <w:szCs w:val="22"/>
        </w:rPr>
        <w:t>, Melbourne.</w:t>
      </w:r>
      <w:proofErr w:type="gramEnd"/>
    </w:p>
    <w:p w:rsidR="00177554" w:rsidRPr="000523FC" w:rsidRDefault="00177554" w:rsidP="000523FC">
      <w:pPr>
        <w:spacing w:before="0" w:after="240"/>
        <w:ind w:left="567" w:hanging="567"/>
        <w:jc w:val="left"/>
        <w:rPr>
          <w:rFonts w:asciiTheme="minorHAnsi" w:hAnsiTheme="minorHAnsi" w:cs="Arial"/>
          <w:bCs/>
          <w:iCs/>
          <w:sz w:val="22"/>
          <w:szCs w:val="22"/>
        </w:rPr>
      </w:pPr>
      <w:proofErr w:type="gramStart"/>
      <w:r w:rsidRPr="000523FC">
        <w:rPr>
          <w:rFonts w:asciiTheme="minorHAnsi" w:hAnsiTheme="minorHAnsi" w:cs="Arial"/>
          <w:bCs/>
          <w:iCs/>
          <w:sz w:val="22"/>
          <w:szCs w:val="22"/>
        </w:rPr>
        <w:t>—— 2000,</w:t>
      </w:r>
      <w:r w:rsidRPr="000523FC">
        <w:rPr>
          <w:rFonts w:asciiTheme="minorHAnsi" w:hAnsiTheme="minorHAnsi" w:cs="Arial"/>
          <w:bCs/>
          <w:i/>
          <w:iCs/>
          <w:sz w:val="22"/>
          <w:szCs w:val="22"/>
        </w:rPr>
        <w:t xml:space="preserve"> Competitive Neutrality Guide to Implementation</w:t>
      </w:r>
      <w:r w:rsidRPr="000523FC">
        <w:rPr>
          <w:rFonts w:asciiTheme="minorHAnsi" w:hAnsiTheme="minorHAnsi" w:cs="Arial"/>
          <w:bCs/>
          <w:iCs/>
          <w:sz w:val="22"/>
          <w:szCs w:val="22"/>
        </w:rPr>
        <w:t>, Melbourne.</w:t>
      </w:r>
      <w:proofErr w:type="gramEnd"/>
    </w:p>
    <w:p w:rsidR="00177554" w:rsidRDefault="00177554" w:rsidP="000523FC">
      <w:pPr>
        <w:spacing w:before="0" w:after="240"/>
        <w:ind w:left="567" w:hanging="567"/>
        <w:jc w:val="left"/>
        <w:rPr>
          <w:rFonts w:asciiTheme="minorHAnsi" w:hAnsiTheme="minorHAnsi" w:cs="Arial"/>
          <w:bCs/>
          <w:iCs/>
          <w:sz w:val="22"/>
          <w:szCs w:val="22"/>
        </w:rPr>
      </w:pPr>
      <w:r w:rsidRPr="000523FC">
        <w:rPr>
          <w:rFonts w:asciiTheme="minorHAnsi" w:hAnsiTheme="minorHAnsi" w:cs="Arial"/>
          <w:bCs/>
          <w:iCs/>
          <w:sz w:val="22"/>
          <w:szCs w:val="22"/>
        </w:rPr>
        <w:t xml:space="preserve">—— 2003, </w:t>
      </w:r>
      <w:r w:rsidRPr="000523FC">
        <w:rPr>
          <w:rFonts w:asciiTheme="minorHAnsi" w:hAnsiTheme="minorHAnsi" w:cs="Arial"/>
          <w:bCs/>
          <w:i/>
          <w:iCs/>
          <w:sz w:val="22"/>
          <w:szCs w:val="22"/>
        </w:rPr>
        <w:t>Amendment to Competitive Neutrality Policy Application of CN Policy to Council owned Aquatic and Leisure Centres</w:t>
      </w:r>
      <w:r w:rsidRPr="000523FC">
        <w:rPr>
          <w:rFonts w:asciiTheme="minorHAnsi" w:hAnsiTheme="minorHAnsi" w:cs="Arial"/>
          <w:bCs/>
          <w:iCs/>
          <w:sz w:val="22"/>
          <w:szCs w:val="22"/>
        </w:rPr>
        <w:t>, Melbourne, July.</w:t>
      </w:r>
    </w:p>
    <w:p w:rsidR="001C22C0" w:rsidRPr="000523FC" w:rsidRDefault="001C22C0" w:rsidP="000523FC">
      <w:pPr>
        <w:spacing w:before="0" w:after="240"/>
        <w:ind w:left="567" w:hanging="567"/>
        <w:jc w:val="left"/>
        <w:rPr>
          <w:rFonts w:asciiTheme="minorHAnsi" w:hAnsiTheme="minorHAnsi" w:cs="Arial"/>
          <w:bCs/>
          <w:iCs/>
          <w:sz w:val="22"/>
          <w:szCs w:val="22"/>
        </w:rPr>
      </w:pPr>
      <w:r>
        <w:rPr>
          <w:rFonts w:asciiTheme="minorHAnsi" w:hAnsiTheme="minorHAnsi" w:cs="Arial"/>
          <w:bCs/>
          <w:iCs/>
          <w:sz w:val="22"/>
          <w:szCs w:val="22"/>
        </w:rPr>
        <w:t xml:space="preserve">Government of Victoria 2015, </w:t>
      </w:r>
      <w:r w:rsidRPr="00B60FBF">
        <w:rPr>
          <w:rFonts w:asciiTheme="minorHAnsi" w:hAnsiTheme="minorHAnsi" w:cs="Arial"/>
          <w:bCs/>
          <w:i/>
          <w:iCs/>
          <w:sz w:val="22"/>
          <w:szCs w:val="22"/>
        </w:rPr>
        <w:t>Instrument to Create the Office of the Commissioner for Better Regulation</w:t>
      </w:r>
      <w:r>
        <w:rPr>
          <w:rFonts w:asciiTheme="minorHAnsi" w:hAnsiTheme="minorHAnsi" w:cs="Arial"/>
          <w:bCs/>
          <w:iCs/>
          <w:sz w:val="22"/>
          <w:szCs w:val="22"/>
        </w:rPr>
        <w:t>, Melbourne, September</w:t>
      </w:r>
    </w:p>
    <w:sectPr w:rsidR="001C22C0" w:rsidRPr="000523FC" w:rsidSect="009D73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oddPage"/>
      <w:pgSz w:w="11907" w:h="16840" w:code="9"/>
      <w:pgMar w:top="1418" w:right="1418" w:bottom="1418" w:left="1418" w:header="720" w:footer="720" w:gutter="567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BC9" w:rsidRDefault="00AE3BC9">
      <w:r>
        <w:separator/>
      </w:r>
    </w:p>
  </w:endnote>
  <w:endnote w:type="continuationSeparator" w:id="0">
    <w:p w:rsidR="00AE3BC9" w:rsidRDefault="00AE3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568" w:rsidRDefault="001A2568" w:rsidP="001A2568">
    <w:pPr>
      <w:pStyle w:val="Footer"/>
      <w:spacing w:before="0" w:after="0"/>
      <w:jc w:val="left"/>
      <w:rPr>
        <w:rFonts w:cs="Arial"/>
        <w:b/>
        <w:color w:val="3F3F3F"/>
        <w:sz w:val="20"/>
      </w:rPr>
    </w:pPr>
    <w:bookmarkStart w:id="0" w:name="aliashNonProtectiveMarki1FooterEvenPages"/>
  </w:p>
  <w:p w:rsidR="00105065" w:rsidRDefault="00105065">
    <w:pPr>
      <w:pStyle w:val="Footer"/>
      <w:spacing w:before="0" w:after="0"/>
      <w:jc w:val="left"/>
      <w:rPr>
        <w:rFonts w:cs="Arial"/>
        <w:b/>
        <w:color w:val="3F3F3F"/>
        <w:sz w:val="20"/>
      </w:rPr>
    </w:pPr>
    <w:bookmarkStart w:id="1" w:name="_GoBack"/>
    <w:bookmarkEnd w:id="1"/>
    <w:permStart w:id="1812165025" w:edGrp="everyone"/>
    <w:permEnd w:id="1812165025"/>
  </w:p>
  <w:p w:rsidR="001A2568" w:rsidRDefault="001A2568">
    <w:pPr>
      <w:pStyle w:val="Footer"/>
      <w:spacing w:before="0" w:after="0"/>
      <w:jc w:val="center"/>
    </w:pPr>
    <w:bookmarkStart w:id="2" w:name="aliashProtectiveMarkings1FooterEvenPages"/>
    <w:bookmarkEnd w:id="0"/>
  </w:p>
  <w:p w:rsidR="001B5DDB" w:rsidRDefault="001B5DDB" w:rsidP="00E15314">
    <w:pPr>
      <w:pStyle w:val="Footer"/>
      <w:spacing w:before="0" w:after="0"/>
      <w:jc w:val="center"/>
    </w:pPr>
  </w:p>
  <w:bookmarkEnd w:id="2" w:displacedByCustomXml="next"/>
  <w:sdt>
    <w:sdtPr>
      <w:id w:val="-854886859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</w:rPr>
    </w:sdtEndPr>
    <w:sdtContent>
      <w:p w:rsidR="00105065" w:rsidRPr="00105065" w:rsidRDefault="00105065">
        <w:pPr>
          <w:pStyle w:val="Footer"/>
          <w:jc w:val="center"/>
          <w:rPr>
            <w:rFonts w:asciiTheme="minorHAnsi" w:hAnsiTheme="minorHAnsi"/>
          </w:rPr>
        </w:pPr>
        <w:r w:rsidRPr="00105065">
          <w:rPr>
            <w:rFonts w:asciiTheme="minorHAnsi" w:hAnsiTheme="minorHAnsi"/>
          </w:rPr>
          <w:fldChar w:fldCharType="begin"/>
        </w:r>
        <w:r w:rsidRPr="00105065">
          <w:rPr>
            <w:rFonts w:asciiTheme="minorHAnsi" w:hAnsiTheme="minorHAnsi"/>
          </w:rPr>
          <w:instrText xml:space="preserve"> PAGE   \* MERGEFORMAT </w:instrText>
        </w:r>
        <w:r w:rsidRPr="00105065">
          <w:rPr>
            <w:rFonts w:asciiTheme="minorHAnsi" w:hAnsiTheme="minorHAnsi"/>
          </w:rPr>
          <w:fldChar w:fldCharType="separate"/>
        </w:r>
        <w:r w:rsidR="002F07DA">
          <w:rPr>
            <w:rFonts w:asciiTheme="minorHAnsi" w:hAnsiTheme="minorHAnsi"/>
            <w:noProof/>
          </w:rPr>
          <w:t>2</w:t>
        </w:r>
        <w:r w:rsidRPr="00105065">
          <w:rPr>
            <w:rFonts w:asciiTheme="minorHAnsi" w:hAnsiTheme="minorHAnsi"/>
            <w:noProof/>
          </w:rPr>
          <w:fldChar w:fldCharType="end"/>
        </w:r>
      </w:p>
    </w:sdtContent>
  </w:sdt>
  <w:p w:rsidR="00FD0890" w:rsidRDefault="00FD089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568" w:rsidRDefault="001A2568" w:rsidP="001A2568">
    <w:pPr>
      <w:pStyle w:val="Footer"/>
      <w:framePr w:wrap="around" w:vAnchor="text" w:hAnchor="margin" w:xAlign="center" w:y="1"/>
      <w:spacing w:before="0" w:after="0"/>
      <w:jc w:val="left"/>
      <w:rPr>
        <w:rStyle w:val="PageNumber"/>
        <w:rFonts w:cs="Arial"/>
        <w:b/>
        <w:color w:val="3F3F3F"/>
        <w:sz w:val="20"/>
      </w:rPr>
    </w:pPr>
    <w:bookmarkStart w:id="3" w:name="aliashNonProtectiveMarking1FooterPrimary"/>
  </w:p>
  <w:p w:rsidR="00627AA0" w:rsidRDefault="00627AA0">
    <w:pPr>
      <w:pStyle w:val="Footer"/>
      <w:framePr w:wrap="around" w:vAnchor="text" w:hAnchor="margin" w:xAlign="center" w:y="1"/>
      <w:spacing w:before="0" w:after="0"/>
      <w:jc w:val="left"/>
      <w:rPr>
        <w:rStyle w:val="PageNumber"/>
        <w:rFonts w:cs="Arial"/>
        <w:b/>
        <w:color w:val="3F3F3F"/>
        <w:sz w:val="20"/>
        <w:szCs w:val="24"/>
      </w:rPr>
    </w:pPr>
  </w:p>
  <w:p w:rsidR="001A2568" w:rsidRDefault="001A2568">
    <w:pPr>
      <w:pStyle w:val="Footer"/>
      <w:framePr w:wrap="around" w:vAnchor="text" w:hAnchor="margin" w:xAlign="center" w:y="1"/>
      <w:spacing w:before="0" w:after="0"/>
      <w:jc w:val="center"/>
      <w:rPr>
        <w:rStyle w:val="PageNumber"/>
        <w:rFonts w:cs="Arial"/>
        <w:b/>
        <w:color w:val="3F3F3F"/>
        <w:sz w:val="20"/>
        <w:szCs w:val="24"/>
      </w:rPr>
    </w:pPr>
    <w:bookmarkStart w:id="4" w:name="aliashProtectiveMarkings1FooterPrimary"/>
    <w:bookmarkEnd w:id="3"/>
  </w:p>
  <w:p w:rsidR="001B5DDB" w:rsidRDefault="001B5DDB" w:rsidP="00E15314">
    <w:pPr>
      <w:pStyle w:val="Footer"/>
      <w:framePr w:wrap="around" w:vAnchor="text" w:hAnchor="margin" w:xAlign="center" w:y="1"/>
      <w:spacing w:before="0" w:after="0"/>
      <w:jc w:val="center"/>
      <w:rPr>
        <w:rStyle w:val="PageNumber"/>
        <w:rFonts w:cs="Arial"/>
        <w:b/>
        <w:color w:val="3F3F3F"/>
        <w:sz w:val="20"/>
        <w:szCs w:val="24"/>
      </w:rPr>
    </w:pPr>
  </w:p>
  <w:bookmarkEnd w:id="4"/>
  <w:p w:rsidR="00FD0890" w:rsidRDefault="00627AA0" w:rsidP="00627AA0">
    <w:pPr>
      <w:pStyle w:val="Footer"/>
      <w:framePr w:wrap="around" w:vAnchor="text" w:hAnchor="margin" w:xAlign="center" w:y="1"/>
      <w:spacing w:before="0" w:after="0"/>
      <w:jc w:val="left"/>
      <w:rPr>
        <w:rStyle w:val="PageNumber"/>
      </w:rPr>
    </w:pPr>
    <w:r>
      <w:rPr>
        <w:rStyle w:val="PageNumber"/>
        <w:rFonts w:cs="Arial"/>
        <w:b/>
        <w:color w:val="3F3F3F"/>
        <w:sz w:val="20"/>
      </w:rPr>
      <w:tab/>
    </w:r>
    <w:r>
      <w:rPr>
        <w:rStyle w:val="PageNumber"/>
        <w:rFonts w:cs="Arial"/>
        <w:b/>
        <w:color w:val="3F3F3F"/>
        <w:sz w:val="20"/>
      </w:rPr>
      <w:tab/>
    </w:r>
    <w:r w:rsidR="00FD0890">
      <w:rPr>
        <w:rStyle w:val="PageNumber"/>
      </w:rPr>
      <w:fldChar w:fldCharType="begin"/>
    </w:r>
    <w:r w:rsidR="00FD0890">
      <w:rPr>
        <w:rStyle w:val="PageNumber"/>
      </w:rPr>
      <w:instrText xml:space="preserve">PAGE  </w:instrText>
    </w:r>
    <w:r w:rsidR="00FD0890">
      <w:rPr>
        <w:rStyle w:val="PageNumber"/>
      </w:rPr>
      <w:fldChar w:fldCharType="separate"/>
    </w:r>
    <w:r w:rsidR="002F07DA">
      <w:rPr>
        <w:rStyle w:val="PageNumber"/>
        <w:noProof/>
      </w:rPr>
      <w:t>3</w:t>
    </w:r>
    <w:r w:rsidR="00FD0890">
      <w:rPr>
        <w:rStyle w:val="PageNumber"/>
      </w:rPr>
      <w:fldChar w:fldCharType="end"/>
    </w:r>
  </w:p>
  <w:p w:rsidR="00FD0890" w:rsidRDefault="00FD089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568" w:rsidRDefault="001A2568">
    <w:pPr>
      <w:pStyle w:val="Footer"/>
      <w:framePr w:wrap="around" w:vAnchor="text" w:hAnchor="margin" w:xAlign="center" w:y="1"/>
      <w:spacing w:before="0" w:after="0"/>
      <w:jc w:val="left"/>
      <w:rPr>
        <w:rStyle w:val="PageNumber"/>
        <w:rFonts w:cs="Arial"/>
        <w:b/>
        <w:color w:val="3F3F3F"/>
        <w:sz w:val="20"/>
        <w:szCs w:val="24"/>
      </w:rPr>
    </w:pPr>
    <w:bookmarkStart w:id="5" w:name="aliashNonProtectiveMarki1FooterFirstPage"/>
  </w:p>
  <w:p w:rsidR="000523FC" w:rsidRDefault="000523FC">
    <w:pPr>
      <w:pStyle w:val="Footer"/>
      <w:framePr w:wrap="around" w:vAnchor="text" w:hAnchor="margin" w:xAlign="center" w:y="1"/>
      <w:spacing w:before="0" w:after="0"/>
      <w:jc w:val="left"/>
      <w:rPr>
        <w:rStyle w:val="PageNumber"/>
        <w:rFonts w:cs="Arial"/>
        <w:b/>
        <w:color w:val="3F3F3F"/>
        <w:sz w:val="20"/>
        <w:szCs w:val="24"/>
      </w:rPr>
    </w:pPr>
  </w:p>
  <w:p w:rsidR="001A2568" w:rsidRDefault="001A2568">
    <w:pPr>
      <w:pStyle w:val="Footer"/>
      <w:framePr w:wrap="around" w:vAnchor="text" w:hAnchor="margin" w:xAlign="center" w:y="1"/>
      <w:spacing w:before="0" w:after="0"/>
      <w:jc w:val="center"/>
      <w:rPr>
        <w:rStyle w:val="PageNumber"/>
        <w:sz w:val="23"/>
        <w:szCs w:val="24"/>
      </w:rPr>
    </w:pPr>
    <w:bookmarkStart w:id="6" w:name="aliashProtectiveMarkings1FooterFirstPage"/>
    <w:bookmarkEnd w:id="5"/>
  </w:p>
  <w:p w:rsidR="001B5DDB" w:rsidRDefault="001B5DDB" w:rsidP="00E15314">
    <w:pPr>
      <w:pStyle w:val="Footer"/>
      <w:framePr w:wrap="around" w:vAnchor="text" w:hAnchor="margin" w:xAlign="center" w:y="1"/>
      <w:spacing w:before="0" w:after="0"/>
      <w:jc w:val="center"/>
      <w:rPr>
        <w:rStyle w:val="PageNumber"/>
        <w:sz w:val="23"/>
        <w:szCs w:val="24"/>
      </w:rPr>
    </w:pPr>
  </w:p>
  <w:bookmarkEnd w:id="6"/>
  <w:p w:rsidR="00FD0890" w:rsidRDefault="00FD0890" w:rsidP="001C11A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D73D1">
      <w:rPr>
        <w:rStyle w:val="PageNumber"/>
        <w:noProof/>
      </w:rPr>
      <w:t>1</w:t>
    </w:r>
    <w:r>
      <w:rPr>
        <w:rStyle w:val="PageNumber"/>
      </w:rPr>
      <w:fldChar w:fldCharType="end"/>
    </w:r>
  </w:p>
  <w:p w:rsidR="00FD0890" w:rsidRDefault="00FD08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BC9" w:rsidRDefault="00AE3BC9">
      <w:r>
        <w:separator/>
      </w:r>
    </w:p>
  </w:footnote>
  <w:footnote w:type="continuationSeparator" w:id="0">
    <w:p w:rsidR="00AE3BC9" w:rsidRDefault="00AE3BC9">
      <w:r>
        <w:continuationSeparator/>
      </w:r>
    </w:p>
  </w:footnote>
  <w:footnote w:id="1">
    <w:p w:rsidR="006B5FF1" w:rsidRDefault="006B5FF1" w:rsidP="006B5FF1">
      <w:pPr>
        <w:pStyle w:val="FootnoteText"/>
      </w:pPr>
      <w:r w:rsidRPr="00222252">
        <w:rPr>
          <w:rStyle w:val="FootnoteReference"/>
          <w:rFonts w:asciiTheme="minorHAnsi" w:hAnsiTheme="minorHAnsi"/>
        </w:rPr>
        <w:footnoteRef/>
      </w:r>
      <w:r>
        <w:t xml:space="preserve"> </w:t>
      </w:r>
      <w:r w:rsidRPr="00222252">
        <w:rPr>
          <w:rFonts w:asciiTheme="minorHAnsi" w:hAnsiTheme="minorHAnsi"/>
        </w:rPr>
        <w:t>The Competitive Neutrality Policy (2012) refers to the role of the Victorian Competition and Efficiency Commission (VCEC) in respect of CN issues. With effect from 22 September 2015</w:t>
      </w:r>
      <w:r>
        <w:rPr>
          <w:rFonts w:asciiTheme="minorHAnsi" w:hAnsiTheme="minorHAnsi"/>
        </w:rPr>
        <w:t>,</w:t>
      </w:r>
      <w:r w:rsidRPr="00222252">
        <w:rPr>
          <w:rFonts w:asciiTheme="minorHAnsi" w:hAnsiTheme="minorHAnsi"/>
        </w:rPr>
        <w:t xml:space="preserve"> the Commissioner for Better Regulation became responsible for administering the Victorian Government’s CN Policy. All references to VCEC should now be read as the Commissioner for Better Regulation </w:t>
      </w:r>
      <w:r>
        <w:rPr>
          <w:rFonts w:asciiTheme="minorHAnsi" w:hAnsiTheme="minorHAnsi"/>
        </w:rPr>
        <w:t xml:space="preserve">or the OCBR </w:t>
      </w:r>
      <w:r w:rsidRPr="00222252">
        <w:rPr>
          <w:rFonts w:asciiTheme="minorHAnsi" w:hAnsiTheme="minorHAnsi"/>
        </w:rPr>
        <w:t>until the Policy is updated.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1B3" w:rsidRDefault="00F031B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3FC" w:rsidRDefault="000523FC" w:rsidP="000523FC">
    <w:pPr>
      <w:pStyle w:val="Header"/>
      <w:jc w:val="right"/>
    </w:pPr>
    <w:r>
      <w:rPr>
        <w:noProof/>
        <w:lang w:eastAsia="en-AU"/>
      </w:rPr>
      <w:drawing>
        <wp:inline distT="0" distB="0" distL="0" distR="0" wp14:anchorId="172EE337" wp14:editId="7CCF6408">
          <wp:extent cx="1123950" cy="94297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890" w:rsidRDefault="00DB2089" w:rsidP="001C11AC">
    <w:pPr>
      <w:pStyle w:val="Header"/>
      <w:jc w:val="right"/>
    </w:pPr>
    <w:r>
      <w:rPr>
        <w:rFonts w:cs="Arial"/>
        <w:noProof/>
        <w:szCs w:val="22"/>
        <w:lang w:eastAsia="en-AU"/>
      </w:rPr>
      <w:drawing>
        <wp:inline distT="0" distB="0" distL="0" distR="0" wp14:anchorId="438B1EBE" wp14:editId="4B27466D">
          <wp:extent cx="2503805" cy="762000"/>
          <wp:effectExtent l="0" t="0" r="0" b="0"/>
          <wp:docPr id="1" name="Picture 1" descr="VCEClogob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CEClogob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380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D73D1" w:rsidRDefault="009D73D1" w:rsidP="001C11A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54795"/>
    <w:multiLevelType w:val="hybridMultilevel"/>
    <w:tmpl w:val="C7103C7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8B02ACC"/>
    <w:multiLevelType w:val="hybridMultilevel"/>
    <w:tmpl w:val="2F5AF952"/>
    <w:lvl w:ilvl="0" w:tplc="4EB84688">
      <w:start w:val="1"/>
      <w:numFmt w:val="bullet"/>
      <w:pStyle w:val="Box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02771DA"/>
    <w:multiLevelType w:val="hybridMultilevel"/>
    <w:tmpl w:val="E962E410"/>
    <w:lvl w:ilvl="0" w:tplc="930CA154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57DF4988"/>
    <w:multiLevelType w:val="multilevel"/>
    <w:tmpl w:val="49FCC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BoxBullet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3322FB"/>
    <w:multiLevelType w:val="multilevel"/>
    <w:tmpl w:val="0D0600F6"/>
    <w:lvl w:ilvl="0">
      <w:start w:val="1"/>
      <w:numFmt w:val="decimal"/>
      <w:pStyle w:val="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  <w:b/>
        <w:i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Restart w:val="0"/>
      <w:pStyle w:val="TableHeading"/>
      <w:lvlText w:val="Table %1.%4"/>
      <w:lvlJc w:val="left"/>
      <w:pPr>
        <w:tabs>
          <w:tab w:val="num" w:pos="1701"/>
        </w:tabs>
        <w:ind w:left="1701" w:hanging="1701"/>
      </w:pPr>
      <w:rPr>
        <w:rFonts w:hint="default"/>
        <w:b w:val="0"/>
        <w:i w:val="0"/>
      </w:rPr>
    </w:lvl>
    <w:lvl w:ilvl="4">
      <w:start w:val="1"/>
      <w:numFmt w:val="decimal"/>
      <w:lvlRestart w:val="0"/>
      <w:pStyle w:val="FigureHeading"/>
      <w:lvlText w:val="Figure %1.%5"/>
      <w:lvlJc w:val="left"/>
      <w:pPr>
        <w:tabs>
          <w:tab w:val="num" w:pos="1871"/>
        </w:tabs>
        <w:ind w:left="1871" w:hanging="1871"/>
      </w:pPr>
      <w:rPr>
        <w:rFonts w:hint="default"/>
        <w:b w:val="0"/>
        <w:i w:val="0"/>
      </w:rPr>
    </w:lvl>
    <w:lvl w:ilvl="5">
      <w:start w:val="1"/>
      <w:numFmt w:val="decimal"/>
      <w:lvlRestart w:val="0"/>
      <w:pStyle w:val="BoxHeading"/>
      <w:lvlText w:val="Box %6"/>
      <w:lvlJc w:val="left"/>
      <w:pPr>
        <w:tabs>
          <w:tab w:val="num" w:pos="1418"/>
        </w:tabs>
        <w:ind w:left="2194" w:hanging="2194"/>
      </w:pPr>
      <w:rPr>
        <w:rFonts w:hint="default"/>
        <w:b/>
        <w:i w:val="0"/>
        <w:color w:val="0063A4"/>
        <w:sz w:val="24"/>
      </w:rPr>
    </w:lvl>
    <w:lvl w:ilvl="6">
      <w:start w:val="1"/>
      <w:numFmt w:val="none"/>
      <w:lvlRestart w:val="0"/>
      <w:pStyle w:val="TOC1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7">
      <w:start w:val="1"/>
      <w:numFmt w:val="decimal"/>
      <w:pStyle w:val="TOC2"/>
      <w:lvlText w:val="%7%1.%8"/>
      <w:lvlJc w:val="left"/>
      <w:pPr>
        <w:tabs>
          <w:tab w:val="num" w:pos="1174"/>
        </w:tabs>
        <w:ind w:left="1021" w:hanging="567"/>
      </w:pPr>
      <w:rPr>
        <w:rFonts w:hint="default"/>
      </w:rPr>
    </w:lvl>
    <w:lvl w:ilvl="8">
      <w:start w:val="1"/>
      <w:numFmt w:val="decimal"/>
      <w:pStyle w:val="TOC3"/>
      <w:lvlText w:val="%7%1.%8.%9"/>
      <w:lvlJc w:val="left"/>
      <w:pPr>
        <w:tabs>
          <w:tab w:val="num" w:pos="1814"/>
        </w:tabs>
        <w:ind w:left="1814" w:hanging="793"/>
      </w:pPr>
      <w:rPr>
        <w:rFonts w:hint="default"/>
        <w:sz w:val="24"/>
      </w:rPr>
    </w:lvl>
  </w:abstractNum>
  <w:abstractNum w:abstractNumId="5">
    <w:nsid w:val="71EF3A68"/>
    <w:multiLevelType w:val="hybridMultilevel"/>
    <w:tmpl w:val="70222024"/>
    <w:lvl w:ilvl="0" w:tplc="858024C6">
      <w:start w:val="1"/>
      <w:numFmt w:val="bullet"/>
      <w:pStyle w:val="Quotationbullet2"/>
      <w:lvlText w:val="–"/>
      <w:lvlJc w:val="left"/>
      <w:pPr>
        <w:tabs>
          <w:tab w:val="num" w:pos="1588"/>
        </w:tabs>
        <w:ind w:left="1588" w:hanging="454"/>
      </w:pPr>
      <w:rPr>
        <w:rFonts w:ascii="Garamond" w:hAnsi="Garamond" w:hint="default"/>
        <w:sz w:val="22"/>
        <w:szCs w:val="22"/>
      </w:rPr>
    </w:lvl>
    <w:lvl w:ilvl="1" w:tplc="68527AEE">
      <w:start w:val="1"/>
      <w:numFmt w:val="bullet"/>
      <w:pStyle w:val="BoxQuote"/>
      <w:lvlText w:val="–"/>
      <w:lvlJc w:val="left"/>
      <w:pPr>
        <w:tabs>
          <w:tab w:val="num" w:pos="907"/>
        </w:tabs>
        <w:ind w:left="907" w:hanging="453"/>
      </w:pPr>
      <w:rPr>
        <w:rFonts w:ascii="Garamond" w:hAnsi="Garamond" w:hint="default"/>
        <w:sz w:val="22"/>
        <w:szCs w:val="22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338790C"/>
    <w:multiLevelType w:val="hybridMultilevel"/>
    <w:tmpl w:val="7898F444"/>
    <w:lvl w:ilvl="0" w:tplc="834A578C">
      <w:start w:val="1"/>
      <w:numFmt w:val="decimal"/>
      <w:pStyle w:val="BoxNumbering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2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2"/>
  </w:num>
  <w:num w:numId="8">
    <w:abstractNumId w:val="0"/>
  </w:num>
  <w:num w:numId="9">
    <w:abstractNumId w:val="2"/>
  </w:num>
  <w:num w:numId="10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markup="0" w:comments="0" w:insDel="0" w:formatting="0" w:inkAnnotations="0"/>
  <w:documentProtection w:edit="readOnly" w:enforcement="1"/>
  <w:defaultTabStop w:val="720"/>
  <w:evenAndOddHeaders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7AC"/>
    <w:rsid w:val="000032A4"/>
    <w:rsid w:val="000037EE"/>
    <w:rsid w:val="000057EB"/>
    <w:rsid w:val="00005DE0"/>
    <w:rsid w:val="00006271"/>
    <w:rsid w:val="00013DAA"/>
    <w:rsid w:val="00014812"/>
    <w:rsid w:val="00020349"/>
    <w:rsid w:val="00021384"/>
    <w:rsid w:val="00022009"/>
    <w:rsid w:val="00024216"/>
    <w:rsid w:val="000253EC"/>
    <w:rsid w:val="00025959"/>
    <w:rsid w:val="0002602E"/>
    <w:rsid w:val="000262D4"/>
    <w:rsid w:val="000263CD"/>
    <w:rsid w:val="000327F9"/>
    <w:rsid w:val="00032F2D"/>
    <w:rsid w:val="000337CD"/>
    <w:rsid w:val="00033923"/>
    <w:rsid w:val="00035233"/>
    <w:rsid w:val="00035617"/>
    <w:rsid w:val="00036336"/>
    <w:rsid w:val="0003765C"/>
    <w:rsid w:val="000467E3"/>
    <w:rsid w:val="0005035B"/>
    <w:rsid w:val="000523FC"/>
    <w:rsid w:val="00056329"/>
    <w:rsid w:val="0006149D"/>
    <w:rsid w:val="0006238E"/>
    <w:rsid w:val="0006352D"/>
    <w:rsid w:val="00063970"/>
    <w:rsid w:val="000650DE"/>
    <w:rsid w:val="00067F6A"/>
    <w:rsid w:val="00074E27"/>
    <w:rsid w:val="000803F3"/>
    <w:rsid w:val="0008236B"/>
    <w:rsid w:val="00082FFF"/>
    <w:rsid w:val="000833E2"/>
    <w:rsid w:val="00084E84"/>
    <w:rsid w:val="000865EA"/>
    <w:rsid w:val="00087741"/>
    <w:rsid w:val="0009051E"/>
    <w:rsid w:val="000905DF"/>
    <w:rsid w:val="00092FA4"/>
    <w:rsid w:val="00095BE3"/>
    <w:rsid w:val="00096DE3"/>
    <w:rsid w:val="000A4C81"/>
    <w:rsid w:val="000A66D5"/>
    <w:rsid w:val="000A6B60"/>
    <w:rsid w:val="000A6DA9"/>
    <w:rsid w:val="000A7FC2"/>
    <w:rsid w:val="000B0589"/>
    <w:rsid w:val="000B123E"/>
    <w:rsid w:val="000B14EE"/>
    <w:rsid w:val="000B1B6F"/>
    <w:rsid w:val="000B358F"/>
    <w:rsid w:val="000B50E5"/>
    <w:rsid w:val="000B62E5"/>
    <w:rsid w:val="000B663B"/>
    <w:rsid w:val="000B70E7"/>
    <w:rsid w:val="000C09BF"/>
    <w:rsid w:val="000C174A"/>
    <w:rsid w:val="000C20C4"/>
    <w:rsid w:val="000C270D"/>
    <w:rsid w:val="000C50A3"/>
    <w:rsid w:val="000C7825"/>
    <w:rsid w:val="000D1E69"/>
    <w:rsid w:val="000D4A6C"/>
    <w:rsid w:val="000D4FC9"/>
    <w:rsid w:val="000D5140"/>
    <w:rsid w:val="000D5204"/>
    <w:rsid w:val="000D75BE"/>
    <w:rsid w:val="000E0C55"/>
    <w:rsid w:val="000E0FFD"/>
    <w:rsid w:val="000E52F5"/>
    <w:rsid w:val="000F1CD6"/>
    <w:rsid w:val="000F2A37"/>
    <w:rsid w:val="000F6253"/>
    <w:rsid w:val="000F697C"/>
    <w:rsid w:val="00101804"/>
    <w:rsid w:val="001037CA"/>
    <w:rsid w:val="00104EBE"/>
    <w:rsid w:val="00105065"/>
    <w:rsid w:val="00105DF2"/>
    <w:rsid w:val="00107234"/>
    <w:rsid w:val="00110C44"/>
    <w:rsid w:val="00110EAE"/>
    <w:rsid w:val="00112656"/>
    <w:rsid w:val="001126AC"/>
    <w:rsid w:val="001149B7"/>
    <w:rsid w:val="00116615"/>
    <w:rsid w:val="0012141F"/>
    <w:rsid w:val="001214C8"/>
    <w:rsid w:val="00123F0B"/>
    <w:rsid w:val="00124FAC"/>
    <w:rsid w:val="0012562A"/>
    <w:rsid w:val="001264EF"/>
    <w:rsid w:val="0012672C"/>
    <w:rsid w:val="0013085B"/>
    <w:rsid w:val="0013231F"/>
    <w:rsid w:val="001327D9"/>
    <w:rsid w:val="001328A3"/>
    <w:rsid w:val="001334A4"/>
    <w:rsid w:val="00133568"/>
    <w:rsid w:val="001352AB"/>
    <w:rsid w:val="00135D36"/>
    <w:rsid w:val="0014071E"/>
    <w:rsid w:val="001426BB"/>
    <w:rsid w:val="00144064"/>
    <w:rsid w:val="00145C9C"/>
    <w:rsid w:val="00145D7B"/>
    <w:rsid w:val="001477BE"/>
    <w:rsid w:val="00147F84"/>
    <w:rsid w:val="00150E6E"/>
    <w:rsid w:val="00153973"/>
    <w:rsid w:val="00154DE6"/>
    <w:rsid w:val="00160B22"/>
    <w:rsid w:val="00164CB6"/>
    <w:rsid w:val="00164EC5"/>
    <w:rsid w:val="001656C5"/>
    <w:rsid w:val="00166EE0"/>
    <w:rsid w:val="001711DD"/>
    <w:rsid w:val="00172DC6"/>
    <w:rsid w:val="00173DBF"/>
    <w:rsid w:val="00176725"/>
    <w:rsid w:val="00177554"/>
    <w:rsid w:val="00180432"/>
    <w:rsid w:val="00182DFE"/>
    <w:rsid w:val="00185EDA"/>
    <w:rsid w:val="0018637B"/>
    <w:rsid w:val="0019485E"/>
    <w:rsid w:val="001A2568"/>
    <w:rsid w:val="001A3467"/>
    <w:rsid w:val="001A397F"/>
    <w:rsid w:val="001A5995"/>
    <w:rsid w:val="001A604C"/>
    <w:rsid w:val="001A7213"/>
    <w:rsid w:val="001B060E"/>
    <w:rsid w:val="001B211F"/>
    <w:rsid w:val="001B291A"/>
    <w:rsid w:val="001B5DDB"/>
    <w:rsid w:val="001B6049"/>
    <w:rsid w:val="001B7582"/>
    <w:rsid w:val="001C093E"/>
    <w:rsid w:val="001C11AC"/>
    <w:rsid w:val="001C1390"/>
    <w:rsid w:val="001C22C0"/>
    <w:rsid w:val="001C250B"/>
    <w:rsid w:val="001C3996"/>
    <w:rsid w:val="001C61DF"/>
    <w:rsid w:val="001D012B"/>
    <w:rsid w:val="001D2B7D"/>
    <w:rsid w:val="001D4C55"/>
    <w:rsid w:val="001D7CE4"/>
    <w:rsid w:val="001E38E2"/>
    <w:rsid w:val="001E596C"/>
    <w:rsid w:val="001E7546"/>
    <w:rsid w:val="001F022C"/>
    <w:rsid w:val="001F2F84"/>
    <w:rsid w:val="001F3136"/>
    <w:rsid w:val="001F39BA"/>
    <w:rsid w:val="001F4382"/>
    <w:rsid w:val="001F60C6"/>
    <w:rsid w:val="001F6AA6"/>
    <w:rsid w:val="00201353"/>
    <w:rsid w:val="0020255D"/>
    <w:rsid w:val="00203D87"/>
    <w:rsid w:val="00205541"/>
    <w:rsid w:val="00207344"/>
    <w:rsid w:val="002102A7"/>
    <w:rsid w:val="00210763"/>
    <w:rsid w:val="00210869"/>
    <w:rsid w:val="00210907"/>
    <w:rsid w:val="0021310A"/>
    <w:rsid w:val="002152FC"/>
    <w:rsid w:val="00220BE3"/>
    <w:rsid w:val="00222252"/>
    <w:rsid w:val="00222E1D"/>
    <w:rsid w:val="002270EE"/>
    <w:rsid w:val="00227589"/>
    <w:rsid w:val="002320D0"/>
    <w:rsid w:val="002343FD"/>
    <w:rsid w:val="00242187"/>
    <w:rsid w:val="00243237"/>
    <w:rsid w:val="0024351D"/>
    <w:rsid w:val="00247EB6"/>
    <w:rsid w:val="0025032D"/>
    <w:rsid w:val="00252891"/>
    <w:rsid w:val="00253A84"/>
    <w:rsid w:val="0025723D"/>
    <w:rsid w:val="00260016"/>
    <w:rsid w:val="002620A1"/>
    <w:rsid w:val="002628AC"/>
    <w:rsid w:val="00263F12"/>
    <w:rsid w:val="002649DF"/>
    <w:rsid w:val="002705F5"/>
    <w:rsid w:val="00270D9D"/>
    <w:rsid w:val="00271177"/>
    <w:rsid w:val="00271B8D"/>
    <w:rsid w:val="0027399E"/>
    <w:rsid w:val="002743C2"/>
    <w:rsid w:val="0028130F"/>
    <w:rsid w:val="00281FAA"/>
    <w:rsid w:val="002848BB"/>
    <w:rsid w:val="00290FC5"/>
    <w:rsid w:val="00296729"/>
    <w:rsid w:val="002A0019"/>
    <w:rsid w:val="002A0F90"/>
    <w:rsid w:val="002A1223"/>
    <w:rsid w:val="002A22B7"/>
    <w:rsid w:val="002A7678"/>
    <w:rsid w:val="002A7F5A"/>
    <w:rsid w:val="002B0656"/>
    <w:rsid w:val="002B0E70"/>
    <w:rsid w:val="002B3FF6"/>
    <w:rsid w:val="002B4D98"/>
    <w:rsid w:val="002B5436"/>
    <w:rsid w:val="002B62BB"/>
    <w:rsid w:val="002B6A91"/>
    <w:rsid w:val="002C40BE"/>
    <w:rsid w:val="002D1348"/>
    <w:rsid w:val="002D32CE"/>
    <w:rsid w:val="002D39A8"/>
    <w:rsid w:val="002D3AC3"/>
    <w:rsid w:val="002D3B8A"/>
    <w:rsid w:val="002D3E16"/>
    <w:rsid w:val="002D42B2"/>
    <w:rsid w:val="002D523D"/>
    <w:rsid w:val="002D5927"/>
    <w:rsid w:val="002E03C5"/>
    <w:rsid w:val="002E06EE"/>
    <w:rsid w:val="002E125E"/>
    <w:rsid w:val="002E154C"/>
    <w:rsid w:val="002E1D07"/>
    <w:rsid w:val="002E261F"/>
    <w:rsid w:val="002E41EF"/>
    <w:rsid w:val="002E5DC1"/>
    <w:rsid w:val="002E6299"/>
    <w:rsid w:val="002E62D1"/>
    <w:rsid w:val="002F07DA"/>
    <w:rsid w:val="002F21A6"/>
    <w:rsid w:val="002F2471"/>
    <w:rsid w:val="002F3719"/>
    <w:rsid w:val="002F419F"/>
    <w:rsid w:val="002F628C"/>
    <w:rsid w:val="002F70C6"/>
    <w:rsid w:val="002F718C"/>
    <w:rsid w:val="00302605"/>
    <w:rsid w:val="00302E30"/>
    <w:rsid w:val="00303ABB"/>
    <w:rsid w:val="003049E8"/>
    <w:rsid w:val="00305C14"/>
    <w:rsid w:val="0031011C"/>
    <w:rsid w:val="00311E97"/>
    <w:rsid w:val="00316053"/>
    <w:rsid w:val="00320A73"/>
    <w:rsid w:val="00320B46"/>
    <w:rsid w:val="0032609A"/>
    <w:rsid w:val="00327C5D"/>
    <w:rsid w:val="00332402"/>
    <w:rsid w:val="00332F57"/>
    <w:rsid w:val="0033460A"/>
    <w:rsid w:val="00334883"/>
    <w:rsid w:val="00336A4F"/>
    <w:rsid w:val="00337264"/>
    <w:rsid w:val="00340973"/>
    <w:rsid w:val="00340977"/>
    <w:rsid w:val="00343973"/>
    <w:rsid w:val="00344B1C"/>
    <w:rsid w:val="00344D31"/>
    <w:rsid w:val="00347ADB"/>
    <w:rsid w:val="0035158E"/>
    <w:rsid w:val="00351D27"/>
    <w:rsid w:val="00352CCC"/>
    <w:rsid w:val="00356081"/>
    <w:rsid w:val="003568C3"/>
    <w:rsid w:val="00360279"/>
    <w:rsid w:val="00362C49"/>
    <w:rsid w:val="00363D84"/>
    <w:rsid w:val="003655D4"/>
    <w:rsid w:val="00365F61"/>
    <w:rsid w:val="003665F7"/>
    <w:rsid w:val="00370545"/>
    <w:rsid w:val="003709E7"/>
    <w:rsid w:val="0037201C"/>
    <w:rsid w:val="00372B59"/>
    <w:rsid w:val="00372F54"/>
    <w:rsid w:val="00375B45"/>
    <w:rsid w:val="00376D52"/>
    <w:rsid w:val="0038091D"/>
    <w:rsid w:val="00382181"/>
    <w:rsid w:val="0038248F"/>
    <w:rsid w:val="0038764A"/>
    <w:rsid w:val="00390CA1"/>
    <w:rsid w:val="00393311"/>
    <w:rsid w:val="0039640F"/>
    <w:rsid w:val="003A03B9"/>
    <w:rsid w:val="003A0E9D"/>
    <w:rsid w:val="003A5321"/>
    <w:rsid w:val="003B0B8E"/>
    <w:rsid w:val="003B2CC4"/>
    <w:rsid w:val="003B3B33"/>
    <w:rsid w:val="003B4908"/>
    <w:rsid w:val="003B51AE"/>
    <w:rsid w:val="003B5941"/>
    <w:rsid w:val="003B6166"/>
    <w:rsid w:val="003C257A"/>
    <w:rsid w:val="003C26D0"/>
    <w:rsid w:val="003C2CC2"/>
    <w:rsid w:val="003C3A50"/>
    <w:rsid w:val="003C65E7"/>
    <w:rsid w:val="003C6860"/>
    <w:rsid w:val="003C6CFB"/>
    <w:rsid w:val="003C7228"/>
    <w:rsid w:val="003D26FF"/>
    <w:rsid w:val="003D3031"/>
    <w:rsid w:val="003D5410"/>
    <w:rsid w:val="003D726F"/>
    <w:rsid w:val="003D735E"/>
    <w:rsid w:val="003E1666"/>
    <w:rsid w:val="003E5D76"/>
    <w:rsid w:val="003E636D"/>
    <w:rsid w:val="003E6EA8"/>
    <w:rsid w:val="003F0D02"/>
    <w:rsid w:val="003F0F21"/>
    <w:rsid w:val="003F2A30"/>
    <w:rsid w:val="003F32EE"/>
    <w:rsid w:val="003F3C91"/>
    <w:rsid w:val="003F6D23"/>
    <w:rsid w:val="004000A4"/>
    <w:rsid w:val="00402B03"/>
    <w:rsid w:val="00404508"/>
    <w:rsid w:val="00405020"/>
    <w:rsid w:val="00405616"/>
    <w:rsid w:val="00407C4A"/>
    <w:rsid w:val="00411784"/>
    <w:rsid w:val="004117B4"/>
    <w:rsid w:val="00412357"/>
    <w:rsid w:val="00414695"/>
    <w:rsid w:val="00415DB7"/>
    <w:rsid w:val="004178FB"/>
    <w:rsid w:val="0042254C"/>
    <w:rsid w:val="00423098"/>
    <w:rsid w:val="004302EE"/>
    <w:rsid w:val="0043181D"/>
    <w:rsid w:val="00431BAE"/>
    <w:rsid w:val="00432386"/>
    <w:rsid w:val="00434CB8"/>
    <w:rsid w:val="004365FB"/>
    <w:rsid w:val="00442167"/>
    <w:rsid w:val="00444F9B"/>
    <w:rsid w:val="004454D3"/>
    <w:rsid w:val="00445ADF"/>
    <w:rsid w:val="004473C6"/>
    <w:rsid w:val="004502B2"/>
    <w:rsid w:val="00450EFF"/>
    <w:rsid w:val="0045365D"/>
    <w:rsid w:val="00456296"/>
    <w:rsid w:val="00460104"/>
    <w:rsid w:val="00461A2F"/>
    <w:rsid w:val="00463E26"/>
    <w:rsid w:val="0046402A"/>
    <w:rsid w:val="00464110"/>
    <w:rsid w:val="00470379"/>
    <w:rsid w:val="00470E47"/>
    <w:rsid w:val="00471C7A"/>
    <w:rsid w:val="00471F12"/>
    <w:rsid w:val="004726AF"/>
    <w:rsid w:val="00475F7D"/>
    <w:rsid w:val="004764A4"/>
    <w:rsid w:val="004805EF"/>
    <w:rsid w:val="0048226D"/>
    <w:rsid w:val="004833EE"/>
    <w:rsid w:val="00483B32"/>
    <w:rsid w:val="004865FF"/>
    <w:rsid w:val="00491525"/>
    <w:rsid w:val="00491CD4"/>
    <w:rsid w:val="00492EF0"/>
    <w:rsid w:val="004955BA"/>
    <w:rsid w:val="004959B7"/>
    <w:rsid w:val="00497E3C"/>
    <w:rsid w:val="004A0934"/>
    <w:rsid w:val="004A3A5F"/>
    <w:rsid w:val="004A7370"/>
    <w:rsid w:val="004A7916"/>
    <w:rsid w:val="004B0DCD"/>
    <w:rsid w:val="004B1BEE"/>
    <w:rsid w:val="004B28A9"/>
    <w:rsid w:val="004B5B7C"/>
    <w:rsid w:val="004B5D11"/>
    <w:rsid w:val="004B5E4B"/>
    <w:rsid w:val="004C2674"/>
    <w:rsid w:val="004C3C73"/>
    <w:rsid w:val="004C4B13"/>
    <w:rsid w:val="004C6FEC"/>
    <w:rsid w:val="004C7DCB"/>
    <w:rsid w:val="004D1A07"/>
    <w:rsid w:val="004D1F59"/>
    <w:rsid w:val="004D3461"/>
    <w:rsid w:val="004D47C9"/>
    <w:rsid w:val="004D5BD1"/>
    <w:rsid w:val="004E0AB9"/>
    <w:rsid w:val="004E2C20"/>
    <w:rsid w:val="004E370E"/>
    <w:rsid w:val="004E4466"/>
    <w:rsid w:val="004E7EC5"/>
    <w:rsid w:val="004F0DC4"/>
    <w:rsid w:val="004F2CEF"/>
    <w:rsid w:val="004F2E52"/>
    <w:rsid w:val="004F4212"/>
    <w:rsid w:val="004F4DC3"/>
    <w:rsid w:val="004F5C63"/>
    <w:rsid w:val="00500ADE"/>
    <w:rsid w:val="00501F68"/>
    <w:rsid w:val="0050645D"/>
    <w:rsid w:val="00506C27"/>
    <w:rsid w:val="00511942"/>
    <w:rsid w:val="00512AE9"/>
    <w:rsid w:val="00515050"/>
    <w:rsid w:val="005151FA"/>
    <w:rsid w:val="00515AC6"/>
    <w:rsid w:val="00515CF5"/>
    <w:rsid w:val="00520C04"/>
    <w:rsid w:val="00521A1E"/>
    <w:rsid w:val="00522094"/>
    <w:rsid w:val="005238A9"/>
    <w:rsid w:val="00523F2E"/>
    <w:rsid w:val="005255D2"/>
    <w:rsid w:val="005264D5"/>
    <w:rsid w:val="00536081"/>
    <w:rsid w:val="00536BDA"/>
    <w:rsid w:val="0054031A"/>
    <w:rsid w:val="00540FF4"/>
    <w:rsid w:val="00541105"/>
    <w:rsid w:val="005425C1"/>
    <w:rsid w:val="005458BC"/>
    <w:rsid w:val="00545CA1"/>
    <w:rsid w:val="00546775"/>
    <w:rsid w:val="005470A9"/>
    <w:rsid w:val="00547529"/>
    <w:rsid w:val="00547727"/>
    <w:rsid w:val="0055160B"/>
    <w:rsid w:val="005563A2"/>
    <w:rsid w:val="005603E2"/>
    <w:rsid w:val="00565D76"/>
    <w:rsid w:val="00566393"/>
    <w:rsid w:val="00566A05"/>
    <w:rsid w:val="00567B08"/>
    <w:rsid w:val="00567C49"/>
    <w:rsid w:val="00567F91"/>
    <w:rsid w:val="005727D7"/>
    <w:rsid w:val="00574ECB"/>
    <w:rsid w:val="0057504F"/>
    <w:rsid w:val="00575B43"/>
    <w:rsid w:val="00580C54"/>
    <w:rsid w:val="00581AC5"/>
    <w:rsid w:val="00581BA7"/>
    <w:rsid w:val="005828CF"/>
    <w:rsid w:val="005856CA"/>
    <w:rsid w:val="00592648"/>
    <w:rsid w:val="00592999"/>
    <w:rsid w:val="0059723A"/>
    <w:rsid w:val="00597E2E"/>
    <w:rsid w:val="005A29DE"/>
    <w:rsid w:val="005A3ADE"/>
    <w:rsid w:val="005A5798"/>
    <w:rsid w:val="005A5C5A"/>
    <w:rsid w:val="005A64E4"/>
    <w:rsid w:val="005A76B8"/>
    <w:rsid w:val="005B024B"/>
    <w:rsid w:val="005B0DF5"/>
    <w:rsid w:val="005B2929"/>
    <w:rsid w:val="005B4B60"/>
    <w:rsid w:val="005B508E"/>
    <w:rsid w:val="005B6BA5"/>
    <w:rsid w:val="005C234D"/>
    <w:rsid w:val="005C2462"/>
    <w:rsid w:val="005C2C9D"/>
    <w:rsid w:val="005C2F2E"/>
    <w:rsid w:val="005C42BF"/>
    <w:rsid w:val="005C549C"/>
    <w:rsid w:val="005C58F0"/>
    <w:rsid w:val="005C5CF0"/>
    <w:rsid w:val="005C6877"/>
    <w:rsid w:val="005C7AEA"/>
    <w:rsid w:val="005D0822"/>
    <w:rsid w:val="005D0A56"/>
    <w:rsid w:val="005D723F"/>
    <w:rsid w:val="005E7FAD"/>
    <w:rsid w:val="005F0D4B"/>
    <w:rsid w:val="005F3D1E"/>
    <w:rsid w:val="005F528A"/>
    <w:rsid w:val="005F6CFD"/>
    <w:rsid w:val="005F7F79"/>
    <w:rsid w:val="00600BA9"/>
    <w:rsid w:val="00602882"/>
    <w:rsid w:val="00603225"/>
    <w:rsid w:val="006045E2"/>
    <w:rsid w:val="0060484C"/>
    <w:rsid w:val="00604F07"/>
    <w:rsid w:val="00607B27"/>
    <w:rsid w:val="00614987"/>
    <w:rsid w:val="006162F8"/>
    <w:rsid w:val="0062017B"/>
    <w:rsid w:val="00620694"/>
    <w:rsid w:val="00620D63"/>
    <w:rsid w:val="006238E1"/>
    <w:rsid w:val="0062653B"/>
    <w:rsid w:val="00626C09"/>
    <w:rsid w:val="00627AA0"/>
    <w:rsid w:val="00630A5E"/>
    <w:rsid w:val="00631FB5"/>
    <w:rsid w:val="006327CB"/>
    <w:rsid w:val="00632965"/>
    <w:rsid w:val="00644F30"/>
    <w:rsid w:val="00644F86"/>
    <w:rsid w:val="00647FB3"/>
    <w:rsid w:val="006547C6"/>
    <w:rsid w:val="006579F3"/>
    <w:rsid w:val="00657E76"/>
    <w:rsid w:val="0066264D"/>
    <w:rsid w:val="00662F2C"/>
    <w:rsid w:val="006658D7"/>
    <w:rsid w:val="00665E7F"/>
    <w:rsid w:val="00666D3A"/>
    <w:rsid w:val="00667D90"/>
    <w:rsid w:val="0067034E"/>
    <w:rsid w:val="00670A94"/>
    <w:rsid w:val="00671363"/>
    <w:rsid w:val="00671A61"/>
    <w:rsid w:val="0067284D"/>
    <w:rsid w:val="0067366B"/>
    <w:rsid w:val="00677B2B"/>
    <w:rsid w:val="006810F8"/>
    <w:rsid w:val="006835AA"/>
    <w:rsid w:val="00685021"/>
    <w:rsid w:val="006868B6"/>
    <w:rsid w:val="006902B0"/>
    <w:rsid w:val="00691B3A"/>
    <w:rsid w:val="006941A1"/>
    <w:rsid w:val="006947A3"/>
    <w:rsid w:val="006947AC"/>
    <w:rsid w:val="00697417"/>
    <w:rsid w:val="006A1D68"/>
    <w:rsid w:val="006A1E37"/>
    <w:rsid w:val="006A49EF"/>
    <w:rsid w:val="006A53AC"/>
    <w:rsid w:val="006A5F18"/>
    <w:rsid w:val="006A7CBE"/>
    <w:rsid w:val="006B048F"/>
    <w:rsid w:val="006B1476"/>
    <w:rsid w:val="006B350C"/>
    <w:rsid w:val="006B5FF1"/>
    <w:rsid w:val="006B7068"/>
    <w:rsid w:val="006B70A5"/>
    <w:rsid w:val="006C0CA2"/>
    <w:rsid w:val="006C167D"/>
    <w:rsid w:val="006C3422"/>
    <w:rsid w:val="006C4C1A"/>
    <w:rsid w:val="006C7EC9"/>
    <w:rsid w:val="006C7FB8"/>
    <w:rsid w:val="006D3713"/>
    <w:rsid w:val="006D46A2"/>
    <w:rsid w:val="006D4C8E"/>
    <w:rsid w:val="006D5096"/>
    <w:rsid w:val="006D73B2"/>
    <w:rsid w:val="006E1934"/>
    <w:rsid w:val="006E200E"/>
    <w:rsid w:val="006E2D38"/>
    <w:rsid w:val="006E470F"/>
    <w:rsid w:val="006E6A72"/>
    <w:rsid w:val="006E6C4F"/>
    <w:rsid w:val="006F00F9"/>
    <w:rsid w:val="006F01A7"/>
    <w:rsid w:val="006F2ACA"/>
    <w:rsid w:val="006F3677"/>
    <w:rsid w:val="006F3EF7"/>
    <w:rsid w:val="006F672A"/>
    <w:rsid w:val="006F6F92"/>
    <w:rsid w:val="006F7081"/>
    <w:rsid w:val="00701542"/>
    <w:rsid w:val="007056D5"/>
    <w:rsid w:val="00705EC5"/>
    <w:rsid w:val="007109E3"/>
    <w:rsid w:val="00712F5E"/>
    <w:rsid w:val="0071595D"/>
    <w:rsid w:val="007167D0"/>
    <w:rsid w:val="00717904"/>
    <w:rsid w:val="007202BF"/>
    <w:rsid w:val="00722E3B"/>
    <w:rsid w:val="007237F3"/>
    <w:rsid w:val="0072380C"/>
    <w:rsid w:val="00723BF9"/>
    <w:rsid w:val="00734B6B"/>
    <w:rsid w:val="00735197"/>
    <w:rsid w:val="007363CF"/>
    <w:rsid w:val="00736F8E"/>
    <w:rsid w:val="007373B7"/>
    <w:rsid w:val="00742E65"/>
    <w:rsid w:val="007439B3"/>
    <w:rsid w:val="00746F7B"/>
    <w:rsid w:val="00747CE6"/>
    <w:rsid w:val="00751D96"/>
    <w:rsid w:val="00753E15"/>
    <w:rsid w:val="00754F82"/>
    <w:rsid w:val="007556DA"/>
    <w:rsid w:val="00756315"/>
    <w:rsid w:val="00756AF9"/>
    <w:rsid w:val="00760A7B"/>
    <w:rsid w:val="007624EC"/>
    <w:rsid w:val="007631A6"/>
    <w:rsid w:val="00764CF3"/>
    <w:rsid w:val="007662D8"/>
    <w:rsid w:val="00767223"/>
    <w:rsid w:val="00770052"/>
    <w:rsid w:val="0077011E"/>
    <w:rsid w:val="00770468"/>
    <w:rsid w:val="0077135B"/>
    <w:rsid w:val="00771C21"/>
    <w:rsid w:val="00772FAF"/>
    <w:rsid w:val="00772FEB"/>
    <w:rsid w:val="007730AA"/>
    <w:rsid w:val="007750BB"/>
    <w:rsid w:val="007770B7"/>
    <w:rsid w:val="00780BA5"/>
    <w:rsid w:val="007859C7"/>
    <w:rsid w:val="0078692E"/>
    <w:rsid w:val="007879A4"/>
    <w:rsid w:val="00793EE6"/>
    <w:rsid w:val="00794DD4"/>
    <w:rsid w:val="007A0011"/>
    <w:rsid w:val="007A1704"/>
    <w:rsid w:val="007A2A7B"/>
    <w:rsid w:val="007A4059"/>
    <w:rsid w:val="007A6D7E"/>
    <w:rsid w:val="007A7A9D"/>
    <w:rsid w:val="007A7EED"/>
    <w:rsid w:val="007B117F"/>
    <w:rsid w:val="007B3585"/>
    <w:rsid w:val="007B6324"/>
    <w:rsid w:val="007B6516"/>
    <w:rsid w:val="007C0AD0"/>
    <w:rsid w:val="007C66D1"/>
    <w:rsid w:val="007C72BC"/>
    <w:rsid w:val="007C7B5E"/>
    <w:rsid w:val="007D0243"/>
    <w:rsid w:val="007D1A1D"/>
    <w:rsid w:val="007D2FFF"/>
    <w:rsid w:val="007D3AFE"/>
    <w:rsid w:val="007D60BD"/>
    <w:rsid w:val="007D69DB"/>
    <w:rsid w:val="007D7166"/>
    <w:rsid w:val="007D7E53"/>
    <w:rsid w:val="007E374D"/>
    <w:rsid w:val="007E5405"/>
    <w:rsid w:val="007E5A5B"/>
    <w:rsid w:val="007E7DCF"/>
    <w:rsid w:val="007F0E2D"/>
    <w:rsid w:val="007F179C"/>
    <w:rsid w:val="007F213C"/>
    <w:rsid w:val="007F2A35"/>
    <w:rsid w:val="007F3AC2"/>
    <w:rsid w:val="007F4425"/>
    <w:rsid w:val="007F7392"/>
    <w:rsid w:val="0080426B"/>
    <w:rsid w:val="00805111"/>
    <w:rsid w:val="008069EC"/>
    <w:rsid w:val="008109B7"/>
    <w:rsid w:val="00810CDA"/>
    <w:rsid w:val="0081495C"/>
    <w:rsid w:val="00815222"/>
    <w:rsid w:val="0081699F"/>
    <w:rsid w:val="00821673"/>
    <w:rsid w:val="00822550"/>
    <w:rsid w:val="008261A9"/>
    <w:rsid w:val="008264CE"/>
    <w:rsid w:val="008271F8"/>
    <w:rsid w:val="00831982"/>
    <w:rsid w:val="008335BC"/>
    <w:rsid w:val="008342B1"/>
    <w:rsid w:val="00834D64"/>
    <w:rsid w:val="00835D89"/>
    <w:rsid w:val="00836834"/>
    <w:rsid w:val="00836AD6"/>
    <w:rsid w:val="008400F5"/>
    <w:rsid w:val="00840729"/>
    <w:rsid w:val="00840BE6"/>
    <w:rsid w:val="00841174"/>
    <w:rsid w:val="00843449"/>
    <w:rsid w:val="00843770"/>
    <w:rsid w:val="008474BC"/>
    <w:rsid w:val="0085254F"/>
    <w:rsid w:val="0085386D"/>
    <w:rsid w:val="0085520F"/>
    <w:rsid w:val="00856FA0"/>
    <w:rsid w:val="00863CB9"/>
    <w:rsid w:val="00863E58"/>
    <w:rsid w:val="00864E39"/>
    <w:rsid w:val="008666AD"/>
    <w:rsid w:val="00871979"/>
    <w:rsid w:val="008810AC"/>
    <w:rsid w:val="0088422A"/>
    <w:rsid w:val="00885ED5"/>
    <w:rsid w:val="008864DE"/>
    <w:rsid w:val="0089317F"/>
    <w:rsid w:val="00894230"/>
    <w:rsid w:val="008951AC"/>
    <w:rsid w:val="008976B1"/>
    <w:rsid w:val="008A5183"/>
    <w:rsid w:val="008A69D5"/>
    <w:rsid w:val="008B0861"/>
    <w:rsid w:val="008B09D2"/>
    <w:rsid w:val="008B1896"/>
    <w:rsid w:val="008B411D"/>
    <w:rsid w:val="008B4944"/>
    <w:rsid w:val="008B6277"/>
    <w:rsid w:val="008C24B5"/>
    <w:rsid w:val="008C2809"/>
    <w:rsid w:val="008C4793"/>
    <w:rsid w:val="008D0191"/>
    <w:rsid w:val="008D1513"/>
    <w:rsid w:val="008D1C2E"/>
    <w:rsid w:val="008D4AB3"/>
    <w:rsid w:val="008D6B7D"/>
    <w:rsid w:val="008D7086"/>
    <w:rsid w:val="008E189E"/>
    <w:rsid w:val="008E69CA"/>
    <w:rsid w:val="008E7466"/>
    <w:rsid w:val="008E7AA3"/>
    <w:rsid w:val="008F0767"/>
    <w:rsid w:val="008F3223"/>
    <w:rsid w:val="008F6E65"/>
    <w:rsid w:val="00904691"/>
    <w:rsid w:val="009050B4"/>
    <w:rsid w:val="009101FD"/>
    <w:rsid w:val="009118E4"/>
    <w:rsid w:val="00911D37"/>
    <w:rsid w:val="00911FD5"/>
    <w:rsid w:val="00914198"/>
    <w:rsid w:val="009149FB"/>
    <w:rsid w:val="009159E3"/>
    <w:rsid w:val="00916971"/>
    <w:rsid w:val="009232B7"/>
    <w:rsid w:val="0092403B"/>
    <w:rsid w:val="00924A41"/>
    <w:rsid w:val="00925246"/>
    <w:rsid w:val="00926EE3"/>
    <w:rsid w:val="00930DD3"/>
    <w:rsid w:val="00932C54"/>
    <w:rsid w:val="0093471B"/>
    <w:rsid w:val="00935455"/>
    <w:rsid w:val="009360FC"/>
    <w:rsid w:val="00941F9E"/>
    <w:rsid w:val="0094221C"/>
    <w:rsid w:val="00942448"/>
    <w:rsid w:val="00942865"/>
    <w:rsid w:val="0094300E"/>
    <w:rsid w:val="00944D90"/>
    <w:rsid w:val="00946055"/>
    <w:rsid w:val="00947C3E"/>
    <w:rsid w:val="00950594"/>
    <w:rsid w:val="0095488E"/>
    <w:rsid w:val="00954EC3"/>
    <w:rsid w:val="00955976"/>
    <w:rsid w:val="00956379"/>
    <w:rsid w:val="009575A9"/>
    <w:rsid w:val="0096055C"/>
    <w:rsid w:val="00963F00"/>
    <w:rsid w:val="00972FD2"/>
    <w:rsid w:val="0097332D"/>
    <w:rsid w:val="00973FCC"/>
    <w:rsid w:val="00974C26"/>
    <w:rsid w:val="00975DAB"/>
    <w:rsid w:val="00983147"/>
    <w:rsid w:val="00983514"/>
    <w:rsid w:val="009850AF"/>
    <w:rsid w:val="00986AFF"/>
    <w:rsid w:val="00991CD0"/>
    <w:rsid w:val="00993494"/>
    <w:rsid w:val="009937F9"/>
    <w:rsid w:val="00996169"/>
    <w:rsid w:val="009A2939"/>
    <w:rsid w:val="009A3D29"/>
    <w:rsid w:val="009A4DC3"/>
    <w:rsid w:val="009A71EE"/>
    <w:rsid w:val="009A7BB1"/>
    <w:rsid w:val="009B13FE"/>
    <w:rsid w:val="009B170C"/>
    <w:rsid w:val="009B2E73"/>
    <w:rsid w:val="009B3664"/>
    <w:rsid w:val="009B77C2"/>
    <w:rsid w:val="009C09D3"/>
    <w:rsid w:val="009C1651"/>
    <w:rsid w:val="009C490A"/>
    <w:rsid w:val="009C4E7C"/>
    <w:rsid w:val="009D0BBF"/>
    <w:rsid w:val="009D2859"/>
    <w:rsid w:val="009D73D1"/>
    <w:rsid w:val="009E0DBC"/>
    <w:rsid w:val="009E1ED2"/>
    <w:rsid w:val="009E6470"/>
    <w:rsid w:val="009E6E2A"/>
    <w:rsid w:val="009E72B4"/>
    <w:rsid w:val="009E774F"/>
    <w:rsid w:val="009F0BFA"/>
    <w:rsid w:val="009F17EC"/>
    <w:rsid w:val="009F298B"/>
    <w:rsid w:val="009F37A5"/>
    <w:rsid w:val="009F5B01"/>
    <w:rsid w:val="009F7BB6"/>
    <w:rsid w:val="00A0061C"/>
    <w:rsid w:val="00A02CDA"/>
    <w:rsid w:val="00A02FBD"/>
    <w:rsid w:val="00A040A0"/>
    <w:rsid w:val="00A0570C"/>
    <w:rsid w:val="00A07E5A"/>
    <w:rsid w:val="00A1260B"/>
    <w:rsid w:val="00A1335E"/>
    <w:rsid w:val="00A13801"/>
    <w:rsid w:val="00A13B82"/>
    <w:rsid w:val="00A16E39"/>
    <w:rsid w:val="00A20BE2"/>
    <w:rsid w:val="00A2450E"/>
    <w:rsid w:val="00A26905"/>
    <w:rsid w:val="00A4011D"/>
    <w:rsid w:val="00A43124"/>
    <w:rsid w:val="00A43ED9"/>
    <w:rsid w:val="00A44BB8"/>
    <w:rsid w:val="00A46390"/>
    <w:rsid w:val="00A4769A"/>
    <w:rsid w:val="00A479C8"/>
    <w:rsid w:val="00A47BAF"/>
    <w:rsid w:val="00A515EA"/>
    <w:rsid w:val="00A516EF"/>
    <w:rsid w:val="00A53022"/>
    <w:rsid w:val="00A5477A"/>
    <w:rsid w:val="00A554BE"/>
    <w:rsid w:val="00A55B6C"/>
    <w:rsid w:val="00A6103F"/>
    <w:rsid w:val="00A61FAA"/>
    <w:rsid w:val="00A62604"/>
    <w:rsid w:val="00A63862"/>
    <w:rsid w:val="00A700E5"/>
    <w:rsid w:val="00A72FA3"/>
    <w:rsid w:val="00A801D2"/>
    <w:rsid w:val="00A82FA5"/>
    <w:rsid w:val="00A900AA"/>
    <w:rsid w:val="00A90670"/>
    <w:rsid w:val="00A939CA"/>
    <w:rsid w:val="00A93C31"/>
    <w:rsid w:val="00A94F8D"/>
    <w:rsid w:val="00A953C3"/>
    <w:rsid w:val="00A95B09"/>
    <w:rsid w:val="00AA15B0"/>
    <w:rsid w:val="00AA2967"/>
    <w:rsid w:val="00AA2B42"/>
    <w:rsid w:val="00AA3E81"/>
    <w:rsid w:val="00AB095C"/>
    <w:rsid w:val="00AB2CE3"/>
    <w:rsid w:val="00AB36D6"/>
    <w:rsid w:val="00AB5251"/>
    <w:rsid w:val="00AB5332"/>
    <w:rsid w:val="00AC0E4D"/>
    <w:rsid w:val="00AC1BD1"/>
    <w:rsid w:val="00AC328E"/>
    <w:rsid w:val="00AC46CC"/>
    <w:rsid w:val="00AC56E1"/>
    <w:rsid w:val="00AC5EE1"/>
    <w:rsid w:val="00AC757C"/>
    <w:rsid w:val="00AC7ACC"/>
    <w:rsid w:val="00AD00FB"/>
    <w:rsid w:val="00AD270D"/>
    <w:rsid w:val="00AE2ECE"/>
    <w:rsid w:val="00AE3BC9"/>
    <w:rsid w:val="00AE42FE"/>
    <w:rsid w:val="00AE4F0F"/>
    <w:rsid w:val="00AE61C5"/>
    <w:rsid w:val="00AF085D"/>
    <w:rsid w:val="00AF0EB5"/>
    <w:rsid w:val="00AF45C4"/>
    <w:rsid w:val="00AF68C2"/>
    <w:rsid w:val="00B009D1"/>
    <w:rsid w:val="00B00F25"/>
    <w:rsid w:val="00B01965"/>
    <w:rsid w:val="00B03A74"/>
    <w:rsid w:val="00B05802"/>
    <w:rsid w:val="00B06C10"/>
    <w:rsid w:val="00B07084"/>
    <w:rsid w:val="00B1103A"/>
    <w:rsid w:val="00B12B75"/>
    <w:rsid w:val="00B14021"/>
    <w:rsid w:val="00B1525C"/>
    <w:rsid w:val="00B17138"/>
    <w:rsid w:val="00B1732F"/>
    <w:rsid w:val="00B17C12"/>
    <w:rsid w:val="00B22590"/>
    <w:rsid w:val="00B24731"/>
    <w:rsid w:val="00B253D0"/>
    <w:rsid w:val="00B307D1"/>
    <w:rsid w:val="00B30BAB"/>
    <w:rsid w:val="00B31BB8"/>
    <w:rsid w:val="00B349EC"/>
    <w:rsid w:val="00B34A73"/>
    <w:rsid w:val="00B37260"/>
    <w:rsid w:val="00B40664"/>
    <w:rsid w:val="00B414C5"/>
    <w:rsid w:val="00B428A1"/>
    <w:rsid w:val="00B43E7A"/>
    <w:rsid w:val="00B46583"/>
    <w:rsid w:val="00B47225"/>
    <w:rsid w:val="00B514AF"/>
    <w:rsid w:val="00B53AA8"/>
    <w:rsid w:val="00B542DA"/>
    <w:rsid w:val="00B5499F"/>
    <w:rsid w:val="00B54A54"/>
    <w:rsid w:val="00B55273"/>
    <w:rsid w:val="00B5740A"/>
    <w:rsid w:val="00B60F59"/>
    <w:rsid w:val="00B60FBF"/>
    <w:rsid w:val="00B61B3E"/>
    <w:rsid w:val="00B64AB9"/>
    <w:rsid w:val="00B65047"/>
    <w:rsid w:val="00B6549D"/>
    <w:rsid w:val="00B72717"/>
    <w:rsid w:val="00B729FF"/>
    <w:rsid w:val="00B769FE"/>
    <w:rsid w:val="00B85AA1"/>
    <w:rsid w:val="00B93CE6"/>
    <w:rsid w:val="00BA53CC"/>
    <w:rsid w:val="00BA5963"/>
    <w:rsid w:val="00BB0A8C"/>
    <w:rsid w:val="00BB14FD"/>
    <w:rsid w:val="00BB1866"/>
    <w:rsid w:val="00BB1DAB"/>
    <w:rsid w:val="00BB77A1"/>
    <w:rsid w:val="00BC0604"/>
    <w:rsid w:val="00BC2E43"/>
    <w:rsid w:val="00BC36C3"/>
    <w:rsid w:val="00BC4EC0"/>
    <w:rsid w:val="00BC4F1E"/>
    <w:rsid w:val="00BC69FA"/>
    <w:rsid w:val="00BD179C"/>
    <w:rsid w:val="00BD4A36"/>
    <w:rsid w:val="00BD6EAE"/>
    <w:rsid w:val="00BE03AA"/>
    <w:rsid w:val="00BE06C4"/>
    <w:rsid w:val="00BE08E2"/>
    <w:rsid w:val="00BE25E1"/>
    <w:rsid w:val="00BE3042"/>
    <w:rsid w:val="00BE3912"/>
    <w:rsid w:val="00BE3D2B"/>
    <w:rsid w:val="00BE5E9E"/>
    <w:rsid w:val="00BE5FF0"/>
    <w:rsid w:val="00BE65EE"/>
    <w:rsid w:val="00BE6797"/>
    <w:rsid w:val="00BF3BE0"/>
    <w:rsid w:val="00BF411A"/>
    <w:rsid w:val="00BF5539"/>
    <w:rsid w:val="00BF58F1"/>
    <w:rsid w:val="00C0020E"/>
    <w:rsid w:val="00C027A1"/>
    <w:rsid w:val="00C0321E"/>
    <w:rsid w:val="00C035BA"/>
    <w:rsid w:val="00C04239"/>
    <w:rsid w:val="00C07395"/>
    <w:rsid w:val="00C073DB"/>
    <w:rsid w:val="00C114CA"/>
    <w:rsid w:val="00C119C6"/>
    <w:rsid w:val="00C13254"/>
    <w:rsid w:val="00C14DDC"/>
    <w:rsid w:val="00C16497"/>
    <w:rsid w:val="00C1742E"/>
    <w:rsid w:val="00C20783"/>
    <w:rsid w:val="00C22CE7"/>
    <w:rsid w:val="00C25706"/>
    <w:rsid w:val="00C32543"/>
    <w:rsid w:val="00C32C6E"/>
    <w:rsid w:val="00C33679"/>
    <w:rsid w:val="00C44CA4"/>
    <w:rsid w:val="00C45A78"/>
    <w:rsid w:val="00C47414"/>
    <w:rsid w:val="00C50058"/>
    <w:rsid w:val="00C50502"/>
    <w:rsid w:val="00C51260"/>
    <w:rsid w:val="00C52083"/>
    <w:rsid w:val="00C52C6E"/>
    <w:rsid w:val="00C52FDE"/>
    <w:rsid w:val="00C533F2"/>
    <w:rsid w:val="00C54733"/>
    <w:rsid w:val="00C54930"/>
    <w:rsid w:val="00C54F88"/>
    <w:rsid w:val="00C555E0"/>
    <w:rsid w:val="00C61082"/>
    <w:rsid w:val="00C62229"/>
    <w:rsid w:val="00C63470"/>
    <w:rsid w:val="00C638E3"/>
    <w:rsid w:val="00C6476E"/>
    <w:rsid w:val="00C7477D"/>
    <w:rsid w:val="00C75F97"/>
    <w:rsid w:val="00C76525"/>
    <w:rsid w:val="00C77EAB"/>
    <w:rsid w:val="00C82984"/>
    <w:rsid w:val="00C82F67"/>
    <w:rsid w:val="00C84D16"/>
    <w:rsid w:val="00C84D8A"/>
    <w:rsid w:val="00C90A74"/>
    <w:rsid w:val="00C92199"/>
    <w:rsid w:val="00C9285B"/>
    <w:rsid w:val="00C95F04"/>
    <w:rsid w:val="00C96300"/>
    <w:rsid w:val="00C97C69"/>
    <w:rsid w:val="00CA1CC2"/>
    <w:rsid w:val="00CA37C6"/>
    <w:rsid w:val="00CA57F7"/>
    <w:rsid w:val="00CB0039"/>
    <w:rsid w:val="00CB128A"/>
    <w:rsid w:val="00CB1630"/>
    <w:rsid w:val="00CB281E"/>
    <w:rsid w:val="00CB3C5A"/>
    <w:rsid w:val="00CB5D21"/>
    <w:rsid w:val="00CC1D5F"/>
    <w:rsid w:val="00CC25B4"/>
    <w:rsid w:val="00CC2CC7"/>
    <w:rsid w:val="00CC72B5"/>
    <w:rsid w:val="00CC788B"/>
    <w:rsid w:val="00CD1417"/>
    <w:rsid w:val="00CD291D"/>
    <w:rsid w:val="00CD3E66"/>
    <w:rsid w:val="00CD55C2"/>
    <w:rsid w:val="00CD6AFF"/>
    <w:rsid w:val="00CE100D"/>
    <w:rsid w:val="00CE54DA"/>
    <w:rsid w:val="00CE61FE"/>
    <w:rsid w:val="00CE70FE"/>
    <w:rsid w:val="00CF0561"/>
    <w:rsid w:val="00CF261F"/>
    <w:rsid w:val="00CF4E5B"/>
    <w:rsid w:val="00CF549A"/>
    <w:rsid w:val="00CF6712"/>
    <w:rsid w:val="00D010F6"/>
    <w:rsid w:val="00D03479"/>
    <w:rsid w:val="00D058AF"/>
    <w:rsid w:val="00D07F22"/>
    <w:rsid w:val="00D1049E"/>
    <w:rsid w:val="00D128E3"/>
    <w:rsid w:val="00D135CD"/>
    <w:rsid w:val="00D14310"/>
    <w:rsid w:val="00D149BE"/>
    <w:rsid w:val="00D14C06"/>
    <w:rsid w:val="00D1522F"/>
    <w:rsid w:val="00D27D1A"/>
    <w:rsid w:val="00D27D3B"/>
    <w:rsid w:val="00D27E0B"/>
    <w:rsid w:val="00D30420"/>
    <w:rsid w:val="00D318F9"/>
    <w:rsid w:val="00D41F0E"/>
    <w:rsid w:val="00D43616"/>
    <w:rsid w:val="00D4765D"/>
    <w:rsid w:val="00D544F9"/>
    <w:rsid w:val="00D558B5"/>
    <w:rsid w:val="00D61AE2"/>
    <w:rsid w:val="00D631E5"/>
    <w:rsid w:val="00D637DF"/>
    <w:rsid w:val="00D64330"/>
    <w:rsid w:val="00D648AB"/>
    <w:rsid w:val="00D669B6"/>
    <w:rsid w:val="00D66D00"/>
    <w:rsid w:val="00D6756D"/>
    <w:rsid w:val="00D713ED"/>
    <w:rsid w:val="00D73236"/>
    <w:rsid w:val="00D73350"/>
    <w:rsid w:val="00D75211"/>
    <w:rsid w:val="00D76B03"/>
    <w:rsid w:val="00D807A0"/>
    <w:rsid w:val="00D844DD"/>
    <w:rsid w:val="00D85179"/>
    <w:rsid w:val="00D8689B"/>
    <w:rsid w:val="00D900DD"/>
    <w:rsid w:val="00D910C7"/>
    <w:rsid w:val="00D9793C"/>
    <w:rsid w:val="00DA2593"/>
    <w:rsid w:val="00DA4525"/>
    <w:rsid w:val="00DA510C"/>
    <w:rsid w:val="00DA6356"/>
    <w:rsid w:val="00DA786C"/>
    <w:rsid w:val="00DA7871"/>
    <w:rsid w:val="00DB0514"/>
    <w:rsid w:val="00DB0610"/>
    <w:rsid w:val="00DB0A17"/>
    <w:rsid w:val="00DB0DF3"/>
    <w:rsid w:val="00DB2089"/>
    <w:rsid w:val="00DB2BCB"/>
    <w:rsid w:val="00DB443D"/>
    <w:rsid w:val="00DB497C"/>
    <w:rsid w:val="00DB7EA1"/>
    <w:rsid w:val="00DC2C34"/>
    <w:rsid w:val="00DC4269"/>
    <w:rsid w:val="00DC50F8"/>
    <w:rsid w:val="00DC6B99"/>
    <w:rsid w:val="00DD51B4"/>
    <w:rsid w:val="00DE101D"/>
    <w:rsid w:val="00DE2C7B"/>
    <w:rsid w:val="00DE4909"/>
    <w:rsid w:val="00DE4F02"/>
    <w:rsid w:val="00DE50D2"/>
    <w:rsid w:val="00DE7FEC"/>
    <w:rsid w:val="00DF0176"/>
    <w:rsid w:val="00DF0B87"/>
    <w:rsid w:val="00DF1C52"/>
    <w:rsid w:val="00DF1E95"/>
    <w:rsid w:val="00DF3E7C"/>
    <w:rsid w:val="00DF44B0"/>
    <w:rsid w:val="00DF61F6"/>
    <w:rsid w:val="00DF6EB7"/>
    <w:rsid w:val="00E0013B"/>
    <w:rsid w:val="00E04296"/>
    <w:rsid w:val="00E04FBA"/>
    <w:rsid w:val="00E15314"/>
    <w:rsid w:val="00E15818"/>
    <w:rsid w:val="00E15F44"/>
    <w:rsid w:val="00E16812"/>
    <w:rsid w:val="00E2499A"/>
    <w:rsid w:val="00E26675"/>
    <w:rsid w:val="00E2785E"/>
    <w:rsid w:val="00E30658"/>
    <w:rsid w:val="00E30E52"/>
    <w:rsid w:val="00E32D1E"/>
    <w:rsid w:val="00E33128"/>
    <w:rsid w:val="00E33C2B"/>
    <w:rsid w:val="00E347CE"/>
    <w:rsid w:val="00E35040"/>
    <w:rsid w:val="00E40840"/>
    <w:rsid w:val="00E42600"/>
    <w:rsid w:val="00E42BFE"/>
    <w:rsid w:val="00E42E1F"/>
    <w:rsid w:val="00E455BF"/>
    <w:rsid w:val="00E476FF"/>
    <w:rsid w:val="00E50885"/>
    <w:rsid w:val="00E50C5C"/>
    <w:rsid w:val="00E52C88"/>
    <w:rsid w:val="00E549DF"/>
    <w:rsid w:val="00E55B7F"/>
    <w:rsid w:val="00E55C8F"/>
    <w:rsid w:val="00E56980"/>
    <w:rsid w:val="00E56F66"/>
    <w:rsid w:val="00E60D02"/>
    <w:rsid w:val="00E61CE3"/>
    <w:rsid w:val="00E631D1"/>
    <w:rsid w:val="00E63255"/>
    <w:rsid w:val="00E63452"/>
    <w:rsid w:val="00E63A0F"/>
    <w:rsid w:val="00E645F1"/>
    <w:rsid w:val="00E65940"/>
    <w:rsid w:val="00E66C54"/>
    <w:rsid w:val="00E677BF"/>
    <w:rsid w:val="00E67D5B"/>
    <w:rsid w:val="00E70587"/>
    <w:rsid w:val="00E74D5F"/>
    <w:rsid w:val="00E762FC"/>
    <w:rsid w:val="00E769D0"/>
    <w:rsid w:val="00E778F6"/>
    <w:rsid w:val="00E77BF9"/>
    <w:rsid w:val="00E810B5"/>
    <w:rsid w:val="00E8214D"/>
    <w:rsid w:val="00E83E4B"/>
    <w:rsid w:val="00E83FC5"/>
    <w:rsid w:val="00E847AF"/>
    <w:rsid w:val="00E8681E"/>
    <w:rsid w:val="00E92882"/>
    <w:rsid w:val="00E9428F"/>
    <w:rsid w:val="00E975A4"/>
    <w:rsid w:val="00E97E79"/>
    <w:rsid w:val="00EA1D2E"/>
    <w:rsid w:val="00EA2CC2"/>
    <w:rsid w:val="00EA4E6F"/>
    <w:rsid w:val="00EA5A2D"/>
    <w:rsid w:val="00EB07C7"/>
    <w:rsid w:val="00EB230B"/>
    <w:rsid w:val="00EB3CEA"/>
    <w:rsid w:val="00EB5522"/>
    <w:rsid w:val="00EC0DE9"/>
    <w:rsid w:val="00EC2FDA"/>
    <w:rsid w:val="00EC7035"/>
    <w:rsid w:val="00ED0C16"/>
    <w:rsid w:val="00ED0E79"/>
    <w:rsid w:val="00ED2208"/>
    <w:rsid w:val="00ED4335"/>
    <w:rsid w:val="00ED582B"/>
    <w:rsid w:val="00ED585D"/>
    <w:rsid w:val="00ED5952"/>
    <w:rsid w:val="00ED681F"/>
    <w:rsid w:val="00EE1435"/>
    <w:rsid w:val="00EE2B25"/>
    <w:rsid w:val="00EE40DB"/>
    <w:rsid w:val="00EE529F"/>
    <w:rsid w:val="00EE76C1"/>
    <w:rsid w:val="00EF257C"/>
    <w:rsid w:val="00EF3085"/>
    <w:rsid w:val="00EF43D3"/>
    <w:rsid w:val="00EF4BAE"/>
    <w:rsid w:val="00EF6669"/>
    <w:rsid w:val="00EF73B7"/>
    <w:rsid w:val="00F01568"/>
    <w:rsid w:val="00F031B3"/>
    <w:rsid w:val="00F03DF9"/>
    <w:rsid w:val="00F04A91"/>
    <w:rsid w:val="00F07281"/>
    <w:rsid w:val="00F07D14"/>
    <w:rsid w:val="00F1186A"/>
    <w:rsid w:val="00F14102"/>
    <w:rsid w:val="00F147F2"/>
    <w:rsid w:val="00F15007"/>
    <w:rsid w:val="00F16187"/>
    <w:rsid w:val="00F161FA"/>
    <w:rsid w:val="00F2145C"/>
    <w:rsid w:val="00F22A08"/>
    <w:rsid w:val="00F22FBF"/>
    <w:rsid w:val="00F24044"/>
    <w:rsid w:val="00F26021"/>
    <w:rsid w:val="00F27007"/>
    <w:rsid w:val="00F30C19"/>
    <w:rsid w:val="00F32C01"/>
    <w:rsid w:val="00F3396E"/>
    <w:rsid w:val="00F33DBF"/>
    <w:rsid w:val="00F36163"/>
    <w:rsid w:val="00F42212"/>
    <w:rsid w:val="00F42257"/>
    <w:rsid w:val="00F44C9C"/>
    <w:rsid w:val="00F51618"/>
    <w:rsid w:val="00F558D0"/>
    <w:rsid w:val="00F55A7B"/>
    <w:rsid w:val="00F57042"/>
    <w:rsid w:val="00F57802"/>
    <w:rsid w:val="00F57F76"/>
    <w:rsid w:val="00F603C0"/>
    <w:rsid w:val="00F6204D"/>
    <w:rsid w:val="00F65567"/>
    <w:rsid w:val="00F6627D"/>
    <w:rsid w:val="00F67977"/>
    <w:rsid w:val="00F71012"/>
    <w:rsid w:val="00F72757"/>
    <w:rsid w:val="00F737EC"/>
    <w:rsid w:val="00F74630"/>
    <w:rsid w:val="00F81C07"/>
    <w:rsid w:val="00F8350E"/>
    <w:rsid w:val="00F84704"/>
    <w:rsid w:val="00F906DF"/>
    <w:rsid w:val="00F92645"/>
    <w:rsid w:val="00F92D29"/>
    <w:rsid w:val="00F95076"/>
    <w:rsid w:val="00F974E7"/>
    <w:rsid w:val="00FB03C9"/>
    <w:rsid w:val="00FB0CEC"/>
    <w:rsid w:val="00FC0DC0"/>
    <w:rsid w:val="00FC0E32"/>
    <w:rsid w:val="00FC1B26"/>
    <w:rsid w:val="00FC4573"/>
    <w:rsid w:val="00FC6961"/>
    <w:rsid w:val="00FD00C2"/>
    <w:rsid w:val="00FD0890"/>
    <w:rsid w:val="00FD22B7"/>
    <w:rsid w:val="00FD2D8B"/>
    <w:rsid w:val="00FD3570"/>
    <w:rsid w:val="00FD44AE"/>
    <w:rsid w:val="00FD4D24"/>
    <w:rsid w:val="00FD5DB2"/>
    <w:rsid w:val="00FE0688"/>
    <w:rsid w:val="00FE5A74"/>
    <w:rsid w:val="00FE6F7C"/>
    <w:rsid w:val="00FF1A8A"/>
    <w:rsid w:val="00FF6416"/>
    <w:rsid w:val="00FF65A7"/>
    <w:rsid w:val="00FF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11AC"/>
    <w:pPr>
      <w:spacing w:before="120" w:after="120"/>
      <w:jc w:val="both"/>
    </w:pPr>
    <w:rPr>
      <w:rFonts w:ascii="Arial" w:hAnsi="Arial"/>
      <w:sz w:val="23"/>
      <w:szCs w:val="24"/>
      <w:lang w:eastAsia="en-US"/>
    </w:rPr>
  </w:style>
  <w:style w:type="paragraph" w:styleId="Heading10">
    <w:name w:val="heading 1"/>
    <w:basedOn w:val="Normal"/>
    <w:next w:val="Normal"/>
    <w:qFormat/>
    <w:rsid w:val="001C11AC"/>
    <w:pPr>
      <w:keepNext/>
      <w:keepLines/>
      <w:spacing w:after="240"/>
      <w:outlineLvl w:val="0"/>
    </w:pPr>
    <w:rPr>
      <w:rFonts w:cs="Arial"/>
      <w:b/>
      <w:sz w:val="28"/>
      <w:szCs w:val="28"/>
    </w:rPr>
  </w:style>
  <w:style w:type="paragraph" w:styleId="Heading20">
    <w:name w:val="heading 2"/>
    <w:basedOn w:val="Normal"/>
    <w:next w:val="Normal"/>
    <w:qFormat/>
    <w:rsid w:val="001C11AC"/>
    <w:pPr>
      <w:keepNext/>
      <w:keepLines/>
      <w:spacing w:before="240" w:after="240"/>
      <w:outlineLvl w:val="1"/>
    </w:pPr>
    <w:rPr>
      <w:rFonts w:cs="Arial"/>
      <w:b/>
      <w:szCs w:val="23"/>
    </w:rPr>
  </w:style>
  <w:style w:type="paragraph" w:styleId="Heading30">
    <w:name w:val="heading 3"/>
    <w:basedOn w:val="Normal"/>
    <w:next w:val="Normal"/>
    <w:qFormat/>
    <w:rsid w:val="009D73D1"/>
    <w:pPr>
      <w:spacing w:before="0" w:after="0"/>
      <w:outlineLvl w:val="2"/>
    </w:pPr>
    <w:rPr>
      <w:rFonts w:cs="Arial"/>
      <w:i/>
      <w:szCs w:val="23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cs="Arial"/>
      <w:i/>
      <w:iCs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cs="Arial"/>
      <w:i/>
      <w:iCs/>
      <w:szCs w:val="20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outlineLvl w:val="5"/>
    </w:pPr>
    <w:rPr>
      <w:rFonts w:cs="Arial"/>
      <w:b/>
      <w:bCs/>
      <w:i/>
      <w:iCs/>
      <w:lang w:val="en-US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cs="Arial"/>
      <w:b/>
      <w:bCs/>
      <w:sz w:val="32"/>
      <w:szCs w:val="20"/>
      <w:lang w:val="en-US"/>
    </w:rPr>
  </w:style>
  <w:style w:type="paragraph" w:styleId="Heading8">
    <w:name w:val="heading 8"/>
    <w:basedOn w:val="Normal"/>
    <w:next w:val="Normal"/>
    <w:qFormat/>
    <w:pPr>
      <w:keepNext/>
      <w:autoSpaceDE w:val="0"/>
      <w:autoSpaceDN w:val="0"/>
      <w:adjustRightInd w:val="0"/>
      <w:outlineLvl w:val="7"/>
    </w:pPr>
    <w:rPr>
      <w:rFonts w:cs="Arial"/>
      <w:b/>
      <w:bCs/>
      <w:i/>
      <w:iCs/>
      <w:sz w:val="22"/>
      <w:lang w:val="en-US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i/>
      <w:i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nvHeader"/>
    <w:basedOn w:val="Normal"/>
    <w:link w:val="HeaderChar"/>
    <w:pPr>
      <w:tabs>
        <w:tab w:val="center" w:pos="4153"/>
        <w:tab w:val="right" w:pos="8306"/>
      </w:tabs>
    </w:pPr>
    <w:rPr>
      <w:szCs w:val="20"/>
    </w:rPr>
  </w:style>
  <w:style w:type="paragraph" w:customStyle="1" w:styleId="formattedparas">
    <w:name w:val="formatted paras"/>
    <w:basedOn w:val="Normal"/>
    <w:pPr>
      <w:spacing w:after="140" w:line="300" w:lineRule="exact"/>
    </w:pPr>
    <w:rPr>
      <w:sz w:val="26"/>
      <w:szCs w:val="20"/>
    </w:rPr>
  </w:style>
  <w:style w:type="paragraph" w:customStyle="1" w:styleId="Style9">
    <w:name w:val="Style9"/>
    <w:basedOn w:val="Normal"/>
    <w:rPr>
      <w:sz w:val="22"/>
      <w:szCs w:val="20"/>
    </w:rPr>
  </w:style>
  <w:style w:type="paragraph" w:customStyle="1" w:styleId="Style11">
    <w:name w:val="Style11"/>
    <w:basedOn w:val="Normal"/>
    <w:pPr>
      <w:ind w:left="720"/>
    </w:pPr>
    <w:rPr>
      <w:sz w:val="22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link w:val="BodyTextChar"/>
    <w:rPr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3">
    <w:name w:val="Body Text 3"/>
    <w:basedOn w:val="Normal"/>
    <w:rPr>
      <w:rFonts w:cs="Arial"/>
      <w:i/>
      <w:iCs/>
      <w:sz w:val="22"/>
      <w:szCs w:val="20"/>
    </w:rPr>
  </w:style>
  <w:style w:type="paragraph" w:styleId="FootnoteText">
    <w:name w:val="footnote text"/>
    <w:aliases w:val="Footnote Text1,Footnote Text Char Char Char Char Char Char1,Footnote Text Char Char Char Char Char,Footnote Text Char Char Char Char Char Char Char,Footnote Text Char Char Char Char"/>
    <w:basedOn w:val="Normal"/>
    <w:semiHidden/>
    <w:rPr>
      <w:sz w:val="20"/>
      <w:szCs w:val="20"/>
      <w:lang w:eastAsia="zh-CN"/>
    </w:rPr>
  </w:style>
  <w:style w:type="paragraph" w:styleId="BodyText2">
    <w:name w:val="Body Text 2"/>
    <w:basedOn w:val="Normal"/>
    <w:rPr>
      <w:szCs w:val="20"/>
    </w:rPr>
  </w:style>
  <w:style w:type="paragraph" w:styleId="Title">
    <w:name w:val="Title"/>
    <w:basedOn w:val="Normal"/>
    <w:qFormat/>
    <w:pPr>
      <w:tabs>
        <w:tab w:val="left" w:pos="1350"/>
      </w:tabs>
      <w:spacing w:line="360" w:lineRule="auto"/>
      <w:jc w:val="center"/>
    </w:pPr>
    <w:rPr>
      <w:b/>
      <w:szCs w:val="20"/>
    </w:rPr>
  </w:style>
  <w:style w:type="paragraph" w:customStyle="1" w:styleId="StyleHeadercnvHeaderItalic">
    <w:name w:val="Style HeadercnvHeader + Italic"/>
    <w:basedOn w:val="Header"/>
    <w:link w:val="StyleHeadercnvHeaderItalicChar"/>
    <w:rsid w:val="006A1E37"/>
    <w:rPr>
      <w:i/>
      <w:iCs/>
    </w:rPr>
  </w:style>
  <w:style w:type="character" w:customStyle="1" w:styleId="HeaderChar">
    <w:name w:val="Header Char"/>
    <w:aliases w:val="cnvHeader Char"/>
    <w:link w:val="Header"/>
    <w:rsid w:val="006A1E37"/>
    <w:rPr>
      <w:sz w:val="24"/>
      <w:lang w:val="en-AU" w:eastAsia="en-US" w:bidi="ar-SA"/>
    </w:rPr>
  </w:style>
  <w:style w:type="character" w:customStyle="1" w:styleId="StyleHeadercnvHeaderItalicChar">
    <w:name w:val="Style HeadercnvHeader + Italic Char"/>
    <w:link w:val="StyleHeadercnvHeaderItalic"/>
    <w:rsid w:val="006A1E37"/>
    <w:rPr>
      <w:i/>
      <w:iCs/>
      <w:sz w:val="24"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9C1651"/>
    <w:pPr>
      <w:tabs>
        <w:tab w:val="center" w:pos="4153"/>
        <w:tab w:val="right" w:pos="8306"/>
      </w:tabs>
    </w:pPr>
    <w:rPr>
      <w:sz w:val="22"/>
      <w:szCs w:val="20"/>
    </w:rPr>
  </w:style>
  <w:style w:type="character" w:styleId="PageNumber">
    <w:name w:val="page number"/>
    <w:basedOn w:val="DefaultParagraphFont"/>
    <w:rsid w:val="009C1651"/>
  </w:style>
  <w:style w:type="paragraph" w:customStyle="1" w:styleId="Bullet">
    <w:name w:val="Bullet"/>
    <w:basedOn w:val="Normal"/>
    <w:rsid w:val="001C11AC"/>
    <w:pPr>
      <w:numPr>
        <w:numId w:val="2"/>
      </w:numPr>
    </w:pPr>
    <w:rPr>
      <w:rFonts w:cs="Arial"/>
      <w:szCs w:val="23"/>
    </w:rPr>
  </w:style>
  <w:style w:type="table" w:styleId="TableGrid">
    <w:name w:val="Table Grid"/>
    <w:basedOn w:val="TableNormal"/>
    <w:rsid w:val="00ED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03DF9"/>
    <w:rPr>
      <w:rFonts w:ascii="Tahoma" w:hAnsi="Tahoma" w:cs="Tahoma"/>
      <w:sz w:val="16"/>
      <w:szCs w:val="16"/>
    </w:rPr>
  </w:style>
  <w:style w:type="character" w:customStyle="1" w:styleId="cnvHeaderCharChar">
    <w:name w:val="cnvHeader Char Char"/>
    <w:rsid w:val="00B60F59"/>
    <w:rPr>
      <w:rFonts w:ascii="Arial" w:hAnsi="Arial"/>
      <w:sz w:val="22"/>
      <w:lang w:val="en-AU" w:eastAsia="zh-CN" w:bidi="ar-SA"/>
    </w:rPr>
  </w:style>
  <w:style w:type="paragraph" w:styleId="Signature">
    <w:name w:val="Signature"/>
    <w:basedOn w:val="Normal"/>
    <w:rsid w:val="001C11AC"/>
    <w:pPr>
      <w:spacing w:before="840"/>
    </w:pPr>
    <w:rPr>
      <w:rFonts w:cs="Arial"/>
      <w:szCs w:val="23"/>
    </w:rPr>
  </w:style>
  <w:style w:type="character" w:styleId="FollowedHyperlink">
    <w:name w:val="FollowedHyperlink"/>
    <w:rsid w:val="007109E3"/>
    <w:rPr>
      <w:color w:val="800080"/>
      <w:u w:val="single"/>
    </w:rPr>
  </w:style>
  <w:style w:type="paragraph" w:customStyle="1" w:styleId="font5">
    <w:name w:val="font5"/>
    <w:basedOn w:val="Normal"/>
    <w:rsid w:val="007109E3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  <w:lang w:eastAsia="en-AU"/>
    </w:rPr>
  </w:style>
  <w:style w:type="paragraph" w:customStyle="1" w:styleId="font6">
    <w:name w:val="font6"/>
    <w:basedOn w:val="Normal"/>
    <w:rsid w:val="007109E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  <w:lang w:eastAsia="en-AU"/>
    </w:rPr>
  </w:style>
  <w:style w:type="paragraph" w:customStyle="1" w:styleId="xl24">
    <w:name w:val="xl24"/>
    <w:basedOn w:val="Normal"/>
    <w:rsid w:val="007109E3"/>
    <w:pPr>
      <w:shd w:val="clear" w:color="auto" w:fill="00FFFF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lang w:eastAsia="en-AU"/>
    </w:rPr>
  </w:style>
  <w:style w:type="paragraph" w:customStyle="1" w:styleId="xl25">
    <w:name w:val="xl25"/>
    <w:basedOn w:val="Normal"/>
    <w:rsid w:val="007109E3"/>
    <w:pPr>
      <w:spacing w:before="100" w:beforeAutospacing="1" w:after="100" w:afterAutospacing="1"/>
      <w:textAlignment w:val="top"/>
    </w:pPr>
    <w:rPr>
      <w:rFonts w:ascii="Times New Roman" w:hAnsi="Times New Roman"/>
      <w:sz w:val="24"/>
      <w:lang w:eastAsia="en-AU"/>
    </w:rPr>
  </w:style>
  <w:style w:type="paragraph" w:customStyle="1" w:styleId="xl26">
    <w:name w:val="xl26"/>
    <w:basedOn w:val="Normal"/>
    <w:rsid w:val="007109E3"/>
    <w:pPr>
      <w:shd w:val="clear" w:color="auto" w:fill="00FFFF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lang w:eastAsia="en-AU"/>
    </w:rPr>
  </w:style>
  <w:style w:type="paragraph" w:customStyle="1" w:styleId="xl27">
    <w:name w:val="xl27"/>
    <w:basedOn w:val="Normal"/>
    <w:rsid w:val="007109E3"/>
    <w:pPr>
      <w:shd w:val="clear" w:color="auto" w:fill="00FFFF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lang w:eastAsia="en-AU"/>
    </w:rPr>
  </w:style>
  <w:style w:type="paragraph" w:customStyle="1" w:styleId="xl28">
    <w:name w:val="xl28"/>
    <w:basedOn w:val="Normal"/>
    <w:rsid w:val="007109E3"/>
    <w:pPr>
      <w:shd w:val="clear" w:color="auto" w:fill="00FFFF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lang w:eastAsia="en-AU"/>
    </w:rPr>
  </w:style>
  <w:style w:type="paragraph" w:customStyle="1" w:styleId="xl29">
    <w:name w:val="xl29"/>
    <w:basedOn w:val="Normal"/>
    <w:rsid w:val="007109E3"/>
    <w:pPr>
      <w:spacing w:before="100" w:beforeAutospacing="1" w:after="100" w:afterAutospacing="1"/>
      <w:textAlignment w:val="top"/>
    </w:pPr>
    <w:rPr>
      <w:rFonts w:ascii="Times New Roman" w:hAnsi="Times New Roman"/>
      <w:sz w:val="24"/>
      <w:lang w:eastAsia="en-AU"/>
    </w:rPr>
  </w:style>
  <w:style w:type="paragraph" w:customStyle="1" w:styleId="xl30">
    <w:name w:val="xl30"/>
    <w:basedOn w:val="Normal"/>
    <w:rsid w:val="007109E3"/>
    <w:pPr>
      <w:spacing w:before="100" w:beforeAutospacing="1" w:after="100" w:afterAutospacing="1"/>
      <w:textAlignment w:val="top"/>
    </w:pPr>
    <w:rPr>
      <w:rFonts w:ascii="Times New Roman" w:hAnsi="Times New Roman"/>
      <w:sz w:val="24"/>
      <w:lang w:eastAsia="en-AU"/>
    </w:rPr>
  </w:style>
  <w:style w:type="paragraph" w:customStyle="1" w:styleId="xl31">
    <w:name w:val="xl31"/>
    <w:basedOn w:val="Normal"/>
    <w:rsid w:val="007109E3"/>
    <w:pPr>
      <w:spacing w:before="100" w:beforeAutospacing="1" w:after="100" w:afterAutospacing="1"/>
      <w:textAlignment w:val="top"/>
    </w:pPr>
    <w:rPr>
      <w:rFonts w:ascii="Times New Roman" w:hAnsi="Times New Roman"/>
      <w:sz w:val="24"/>
      <w:lang w:eastAsia="en-AU"/>
    </w:rPr>
  </w:style>
  <w:style w:type="paragraph" w:customStyle="1" w:styleId="xl32">
    <w:name w:val="xl32"/>
    <w:basedOn w:val="Normal"/>
    <w:rsid w:val="007109E3"/>
    <w:pPr>
      <w:spacing w:before="100" w:beforeAutospacing="1" w:after="100" w:afterAutospacing="1"/>
      <w:textAlignment w:val="top"/>
    </w:pPr>
    <w:rPr>
      <w:rFonts w:ascii="Times New Roman" w:hAnsi="Times New Roman"/>
      <w:sz w:val="24"/>
      <w:lang w:eastAsia="en-AU"/>
    </w:rPr>
  </w:style>
  <w:style w:type="paragraph" w:customStyle="1" w:styleId="xl33">
    <w:name w:val="xl33"/>
    <w:basedOn w:val="Normal"/>
    <w:rsid w:val="007109E3"/>
    <w:pPr>
      <w:spacing w:before="100" w:beforeAutospacing="1" w:after="100" w:afterAutospacing="1"/>
      <w:textAlignment w:val="top"/>
    </w:pPr>
    <w:rPr>
      <w:rFonts w:ascii="Times New Roman" w:hAnsi="Times New Roman"/>
      <w:sz w:val="24"/>
      <w:lang w:eastAsia="en-AU"/>
    </w:rPr>
  </w:style>
  <w:style w:type="paragraph" w:customStyle="1" w:styleId="xl34">
    <w:name w:val="xl34"/>
    <w:basedOn w:val="Normal"/>
    <w:rsid w:val="007109E3"/>
    <w:pPr>
      <w:shd w:val="clear" w:color="auto" w:fill="00FFFF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lang w:eastAsia="en-AU"/>
    </w:rPr>
  </w:style>
  <w:style w:type="paragraph" w:customStyle="1" w:styleId="xl35">
    <w:name w:val="xl35"/>
    <w:basedOn w:val="Normal"/>
    <w:rsid w:val="007109E3"/>
    <w:pP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lang w:eastAsia="en-AU"/>
    </w:rPr>
  </w:style>
  <w:style w:type="paragraph" w:customStyle="1" w:styleId="xl36">
    <w:name w:val="xl36"/>
    <w:basedOn w:val="Normal"/>
    <w:rsid w:val="007109E3"/>
    <w:pP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lang w:eastAsia="en-AU"/>
    </w:rPr>
  </w:style>
  <w:style w:type="paragraph" w:customStyle="1" w:styleId="xl37">
    <w:name w:val="xl37"/>
    <w:basedOn w:val="Normal"/>
    <w:rsid w:val="007109E3"/>
    <w:pP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lang w:eastAsia="en-AU"/>
    </w:rPr>
  </w:style>
  <w:style w:type="paragraph" w:customStyle="1" w:styleId="xl38">
    <w:name w:val="xl38"/>
    <w:basedOn w:val="Normal"/>
    <w:rsid w:val="007109E3"/>
    <w:pP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lang w:eastAsia="en-AU"/>
    </w:rPr>
  </w:style>
  <w:style w:type="paragraph" w:customStyle="1" w:styleId="xl39">
    <w:name w:val="xl39"/>
    <w:basedOn w:val="Normal"/>
    <w:rsid w:val="007109E3"/>
    <w:pPr>
      <w:spacing w:before="100" w:beforeAutospacing="1" w:after="100" w:afterAutospacing="1"/>
      <w:textAlignment w:val="top"/>
    </w:pPr>
    <w:rPr>
      <w:rFonts w:ascii="Times New Roman" w:hAnsi="Times New Roman"/>
      <w:sz w:val="24"/>
      <w:lang w:eastAsia="en-AU"/>
    </w:rPr>
  </w:style>
  <w:style w:type="paragraph" w:customStyle="1" w:styleId="BodyText0">
    <w:name w:val="BodyText"/>
    <w:rsid w:val="008E69CA"/>
    <w:pPr>
      <w:spacing w:before="80" w:after="160"/>
      <w:jc w:val="both"/>
    </w:pPr>
    <w:rPr>
      <w:rFonts w:ascii="Garamond" w:hAnsi="Garamond"/>
      <w:sz w:val="27"/>
      <w:szCs w:val="24"/>
      <w:lang w:eastAsia="en-US"/>
    </w:rPr>
  </w:style>
  <w:style w:type="paragraph" w:customStyle="1" w:styleId="Heading1">
    <w:name w:val="Heading  1"/>
    <w:next w:val="BodyText0"/>
    <w:rsid w:val="008E69CA"/>
    <w:pPr>
      <w:keepNext/>
      <w:numPr>
        <w:numId w:val="6"/>
      </w:numPr>
      <w:spacing w:before="300" w:after="300"/>
    </w:pPr>
    <w:rPr>
      <w:rFonts w:ascii="Century Gothic" w:hAnsi="Century Gothic" w:cs="Arial"/>
      <w:b/>
      <w:bCs/>
      <w:kern w:val="32"/>
      <w:sz w:val="36"/>
      <w:szCs w:val="32"/>
      <w:lang w:eastAsia="en-US"/>
    </w:rPr>
  </w:style>
  <w:style w:type="paragraph" w:customStyle="1" w:styleId="Heading2">
    <w:name w:val="Heading  2"/>
    <w:next w:val="BodyText0"/>
    <w:rsid w:val="008E69CA"/>
    <w:pPr>
      <w:keepNext/>
      <w:numPr>
        <w:ilvl w:val="1"/>
        <w:numId w:val="6"/>
      </w:numPr>
      <w:spacing w:before="300" w:after="160" w:line="240" w:lineRule="atLeast"/>
    </w:pPr>
    <w:rPr>
      <w:rFonts w:ascii="Century Gothic" w:hAnsi="Century Gothic" w:cs="Arial"/>
      <w:b/>
      <w:bCs/>
      <w:iCs/>
      <w:sz w:val="32"/>
      <w:szCs w:val="28"/>
      <w:lang w:eastAsia="en-US"/>
    </w:rPr>
  </w:style>
  <w:style w:type="paragraph" w:customStyle="1" w:styleId="Heading3">
    <w:name w:val="Heading  3"/>
    <w:next w:val="BodyText0"/>
    <w:rsid w:val="008E69CA"/>
    <w:pPr>
      <w:keepNext/>
      <w:numPr>
        <w:ilvl w:val="2"/>
        <w:numId w:val="6"/>
      </w:numPr>
      <w:spacing w:before="300" w:after="160"/>
    </w:pPr>
    <w:rPr>
      <w:rFonts w:ascii="Century Gothic" w:hAnsi="Century Gothic" w:cs="Arial"/>
      <w:b/>
      <w:bCs/>
      <w:sz w:val="28"/>
      <w:szCs w:val="26"/>
      <w:lang w:eastAsia="en-US"/>
    </w:rPr>
  </w:style>
  <w:style w:type="paragraph" w:customStyle="1" w:styleId="BoxText">
    <w:name w:val="Box Text"/>
    <w:rsid w:val="008E69CA"/>
    <w:pPr>
      <w:spacing w:before="120" w:after="120"/>
      <w:jc w:val="both"/>
    </w:pPr>
    <w:rPr>
      <w:rFonts w:ascii="Garamond" w:hAnsi="Garamond"/>
      <w:sz w:val="24"/>
      <w:szCs w:val="24"/>
      <w:lang w:eastAsia="en-US"/>
    </w:rPr>
  </w:style>
  <w:style w:type="paragraph" w:customStyle="1" w:styleId="BoxBullet">
    <w:name w:val="Box Bullet"/>
    <w:basedOn w:val="BoxText"/>
    <w:rsid w:val="008E69CA"/>
    <w:pPr>
      <w:numPr>
        <w:numId w:val="5"/>
      </w:numPr>
      <w:spacing w:before="0" w:after="40"/>
    </w:pPr>
  </w:style>
  <w:style w:type="paragraph" w:customStyle="1" w:styleId="BoxHeading">
    <w:name w:val="Box Heading"/>
    <w:next w:val="BoxText"/>
    <w:rsid w:val="008E69CA"/>
    <w:pPr>
      <w:keepNext/>
      <w:numPr>
        <w:ilvl w:val="5"/>
        <w:numId w:val="6"/>
      </w:numPr>
      <w:spacing w:before="120"/>
    </w:pPr>
    <w:rPr>
      <w:rFonts w:ascii="Century Gothic" w:hAnsi="Century Gothic"/>
      <w:b/>
      <w:sz w:val="28"/>
      <w:szCs w:val="24"/>
      <w:lang w:eastAsia="en-US"/>
    </w:rPr>
  </w:style>
  <w:style w:type="paragraph" w:styleId="TOC1">
    <w:name w:val="toc 1"/>
    <w:next w:val="TOC2"/>
    <w:semiHidden/>
    <w:rsid w:val="008E69CA"/>
    <w:pPr>
      <w:numPr>
        <w:ilvl w:val="6"/>
        <w:numId w:val="6"/>
      </w:numPr>
      <w:tabs>
        <w:tab w:val="left" w:pos="1021"/>
        <w:tab w:val="left" w:pos="1814"/>
        <w:tab w:val="right" w:pos="8064"/>
      </w:tabs>
      <w:spacing w:before="60" w:after="60"/>
    </w:pPr>
    <w:rPr>
      <w:rFonts w:ascii="Garamond" w:hAnsi="Garamond"/>
      <w:b/>
      <w:noProof/>
      <w:sz w:val="27"/>
      <w:lang w:eastAsia="en-US"/>
    </w:rPr>
  </w:style>
  <w:style w:type="paragraph" w:styleId="TOC2">
    <w:name w:val="toc 2"/>
    <w:semiHidden/>
    <w:rsid w:val="008E69CA"/>
    <w:pPr>
      <w:numPr>
        <w:ilvl w:val="7"/>
        <w:numId w:val="6"/>
      </w:numPr>
      <w:tabs>
        <w:tab w:val="right" w:pos="8063"/>
      </w:tabs>
      <w:spacing w:before="40" w:after="40"/>
    </w:pPr>
    <w:rPr>
      <w:rFonts w:ascii="Garamond" w:hAnsi="Garamond"/>
      <w:sz w:val="27"/>
      <w:szCs w:val="24"/>
      <w:lang w:eastAsia="en-US"/>
    </w:rPr>
  </w:style>
  <w:style w:type="paragraph" w:customStyle="1" w:styleId="FigureHeading">
    <w:name w:val="Figure Heading"/>
    <w:next w:val="BodyText0"/>
    <w:autoRedefine/>
    <w:rsid w:val="008E69CA"/>
    <w:pPr>
      <w:keepNext/>
      <w:numPr>
        <w:ilvl w:val="4"/>
        <w:numId w:val="6"/>
      </w:numPr>
      <w:pBdr>
        <w:bottom w:val="single" w:sz="4" w:space="4" w:color="auto"/>
      </w:pBdr>
      <w:spacing w:before="160" w:after="80"/>
    </w:pPr>
    <w:rPr>
      <w:rFonts w:ascii="Century Gothic" w:hAnsi="Century Gothic"/>
      <w:b/>
      <w:sz w:val="28"/>
      <w:szCs w:val="26"/>
      <w:lang w:eastAsia="en-US"/>
    </w:rPr>
  </w:style>
  <w:style w:type="paragraph" w:customStyle="1" w:styleId="TableHeading">
    <w:name w:val="Table Heading"/>
    <w:next w:val="Normal"/>
    <w:rsid w:val="008E69CA"/>
    <w:pPr>
      <w:keepNext/>
      <w:numPr>
        <w:ilvl w:val="3"/>
        <w:numId w:val="6"/>
      </w:numPr>
      <w:spacing w:before="160" w:after="80"/>
    </w:pPr>
    <w:rPr>
      <w:rFonts w:ascii="Century Gothic" w:hAnsi="Century Gothic"/>
      <w:b/>
      <w:sz w:val="28"/>
      <w:szCs w:val="24"/>
      <w:lang w:eastAsia="en-US"/>
    </w:rPr>
  </w:style>
  <w:style w:type="paragraph" w:customStyle="1" w:styleId="BoxSource">
    <w:name w:val="Box Source"/>
    <w:basedOn w:val="BoxText"/>
    <w:next w:val="BodyText0"/>
    <w:rsid w:val="008E69CA"/>
    <w:pPr>
      <w:tabs>
        <w:tab w:val="left" w:pos="737"/>
      </w:tabs>
      <w:spacing w:before="180"/>
      <w:ind w:left="737" w:hanging="737"/>
    </w:pPr>
    <w:rPr>
      <w:rFonts w:ascii="Century Gothic" w:hAnsi="Century Gothic"/>
      <w:sz w:val="17"/>
      <w:szCs w:val="18"/>
    </w:rPr>
  </w:style>
  <w:style w:type="paragraph" w:styleId="TOC3">
    <w:name w:val="toc 3"/>
    <w:semiHidden/>
    <w:rsid w:val="008E69CA"/>
    <w:pPr>
      <w:numPr>
        <w:ilvl w:val="8"/>
        <w:numId w:val="6"/>
      </w:numPr>
      <w:tabs>
        <w:tab w:val="right" w:pos="8063"/>
      </w:tabs>
    </w:pPr>
    <w:rPr>
      <w:rFonts w:ascii="Garamond" w:hAnsi="Garamond"/>
      <w:sz w:val="24"/>
      <w:szCs w:val="24"/>
      <w:lang w:eastAsia="en-US"/>
    </w:rPr>
  </w:style>
  <w:style w:type="paragraph" w:customStyle="1" w:styleId="BoxNumbering">
    <w:name w:val="Box Numbering"/>
    <w:basedOn w:val="BoxBullet"/>
    <w:rsid w:val="008E69CA"/>
    <w:pPr>
      <w:numPr>
        <w:numId w:val="3"/>
      </w:numPr>
    </w:pPr>
  </w:style>
  <w:style w:type="paragraph" w:customStyle="1" w:styleId="BoxBullet2">
    <w:name w:val="Box Bullet 2"/>
    <w:basedOn w:val="BoxBullet"/>
    <w:rsid w:val="008E69CA"/>
    <w:pPr>
      <w:numPr>
        <w:ilvl w:val="1"/>
        <w:numId w:val="1"/>
      </w:numPr>
    </w:pPr>
  </w:style>
  <w:style w:type="paragraph" w:customStyle="1" w:styleId="BoxQuote">
    <w:name w:val="Box Quote"/>
    <w:basedOn w:val="BoxText"/>
    <w:rsid w:val="008E69CA"/>
    <w:pPr>
      <w:numPr>
        <w:ilvl w:val="1"/>
        <w:numId w:val="4"/>
      </w:numPr>
      <w:tabs>
        <w:tab w:val="clear" w:pos="907"/>
      </w:tabs>
      <w:ind w:left="567" w:firstLine="0"/>
    </w:pPr>
    <w:rPr>
      <w:sz w:val="22"/>
    </w:rPr>
  </w:style>
  <w:style w:type="paragraph" w:customStyle="1" w:styleId="BoxBulletend">
    <w:name w:val="Box Bullet end"/>
    <w:basedOn w:val="BoxBullet"/>
    <w:next w:val="BoxText"/>
    <w:rsid w:val="008E69CA"/>
    <w:pPr>
      <w:spacing w:after="120"/>
    </w:pPr>
  </w:style>
  <w:style w:type="paragraph" w:customStyle="1" w:styleId="BoxBullet2end">
    <w:name w:val="Box Bullet 2 end"/>
    <w:basedOn w:val="BoxBullet2"/>
    <w:next w:val="BoxText"/>
    <w:rsid w:val="008E69CA"/>
    <w:pPr>
      <w:spacing w:after="120"/>
    </w:pPr>
  </w:style>
  <w:style w:type="paragraph" w:customStyle="1" w:styleId="BoxNumberingend">
    <w:name w:val="Box Numbering end"/>
    <w:basedOn w:val="BoxNumbering"/>
    <w:next w:val="BoxText"/>
    <w:rsid w:val="008E69CA"/>
    <w:pPr>
      <w:spacing w:after="120"/>
    </w:pPr>
  </w:style>
  <w:style w:type="paragraph" w:customStyle="1" w:styleId="Quotationbullet2">
    <w:name w:val="Quotation bullet 2"/>
    <w:basedOn w:val="BoxBullet2"/>
    <w:rsid w:val="008E69CA"/>
    <w:pPr>
      <w:numPr>
        <w:ilvl w:val="0"/>
        <w:numId w:val="4"/>
      </w:numPr>
    </w:pPr>
    <w:rPr>
      <w:sz w:val="25"/>
    </w:rPr>
  </w:style>
  <w:style w:type="paragraph" w:customStyle="1" w:styleId="Boxsubheading">
    <w:name w:val="Box sub heading"/>
    <w:basedOn w:val="BoxText"/>
    <w:next w:val="BoxText"/>
    <w:rsid w:val="008E69CA"/>
    <w:pPr>
      <w:keepNext/>
      <w:spacing w:before="160"/>
      <w:jc w:val="left"/>
    </w:pPr>
    <w:rPr>
      <w:i/>
    </w:rPr>
  </w:style>
  <w:style w:type="paragraph" w:customStyle="1" w:styleId="BoxTextItalic">
    <w:name w:val="Box Text Italic"/>
    <w:basedOn w:val="BoxText"/>
    <w:rsid w:val="008E69CA"/>
    <w:rPr>
      <w:i/>
    </w:rPr>
  </w:style>
  <w:style w:type="paragraph" w:customStyle="1" w:styleId="DonotuseCharCharCharChar">
    <w:name w:val="Do not use Char Char Char Char"/>
    <w:aliases w:val="Do not use"/>
    <w:basedOn w:val="Normal"/>
    <w:rsid w:val="00AC56E1"/>
    <w:rPr>
      <w:rFonts w:cs="Arial"/>
      <w:szCs w:val="22"/>
    </w:rPr>
  </w:style>
  <w:style w:type="character" w:styleId="CommentReference">
    <w:name w:val="annotation reference"/>
    <w:semiHidden/>
    <w:rsid w:val="007859C7"/>
    <w:rPr>
      <w:sz w:val="16"/>
      <w:szCs w:val="16"/>
    </w:rPr>
  </w:style>
  <w:style w:type="paragraph" w:styleId="CommentText">
    <w:name w:val="annotation text"/>
    <w:basedOn w:val="Normal"/>
    <w:semiHidden/>
    <w:rsid w:val="007859C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859C7"/>
    <w:rPr>
      <w:b/>
      <w:bCs/>
    </w:rPr>
  </w:style>
  <w:style w:type="paragraph" w:styleId="Date">
    <w:name w:val="Date"/>
    <w:basedOn w:val="Normal"/>
    <w:next w:val="Normal"/>
    <w:rsid w:val="001C11AC"/>
    <w:pPr>
      <w:spacing w:before="480" w:after="480"/>
    </w:pPr>
    <w:rPr>
      <w:rFonts w:cs="Arial"/>
      <w:szCs w:val="23"/>
    </w:rPr>
  </w:style>
  <w:style w:type="paragraph" w:customStyle="1" w:styleId="Default">
    <w:name w:val="Default"/>
    <w:rsid w:val="0043181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9D73D1"/>
    <w:rPr>
      <w:rFonts w:ascii="Arial" w:hAnsi="Arial"/>
      <w:sz w:val="23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05065"/>
    <w:rPr>
      <w:rFonts w:ascii="Arial" w:hAnsi="Arial"/>
      <w:sz w:val="22"/>
      <w:lang w:eastAsia="en-US"/>
    </w:rPr>
  </w:style>
  <w:style w:type="paragraph" w:styleId="Revision">
    <w:name w:val="Revision"/>
    <w:hidden/>
    <w:uiPriority w:val="99"/>
    <w:semiHidden/>
    <w:rsid w:val="00894230"/>
    <w:rPr>
      <w:rFonts w:ascii="Arial" w:hAnsi="Arial"/>
      <w:sz w:val="23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11AC"/>
    <w:pPr>
      <w:spacing w:before="120" w:after="120"/>
      <w:jc w:val="both"/>
    </w:pPr>
    <w:rPr>
      <w:rFonts w:ascii="Arial" w:hAnsi="Arial"/>
      <w:sz w:val="23"/>
      <w:szCs w:val="24"/>
      <w:lang w:eastAsia="en-US"/>
    </w:rPr>
  </w:style>
  <w:style w:type="paragraph" w:styleId="Heading10">
    <w:name w:val="heading 1"/>
    <w:basedOn w:val="Normal"/>
    <w:next w:val="Normal"/>
    <w:qFormat/>
    <w:rsid w:val="001C11AC"/>
    <w:pPr>
      <w:keepNext/>
      <w:keepLines/>
      <w:spacing w:after="240"/>
      <w:outlineLvl w:val="0"/>
    </w:pPr>
    <w:rPr>
      <w:rFonts w:cs="Arial"/>
      <w:b/>
      <w:sz w:val="28"/>
      <w:szCs w:val="28"/>
    </w:rPr>
  </w:style>
  <w:style w:type="paragraph" w:styleId="Heading20">
    <w:name w:val="heading 2"/>
    <w:basedOn w:val="Normal"/>
    <w:next w:val="Normal"/>
    <w:qFormat/>
    <w:rsid w:val="001C11AC"/>
    <w:pPr>
      <w:keepNext/>
      <w:keepLines/>
      <w:spacing w:before="240" w:after="240"/>
      <w:outlineLvl w:val="1"/>
    </w:pPr>
    <w:rPr>
      <w:rFonts w:cs="Arial"/>
      <w:b/>
      <w:szCs w:val="23"/>
    </w:rPr>
  </w:style>
  <w:style w:type="paragraph" w:styleId="Heading30">
    <w:name w:val="heading 3"/>
    <w:basedOn w:val="Normal"/>
    <w:next w:val="Normal"/>
    <w:qFormat/>
    <w:rsid w:val="009D73D1"/>
    <w:pPr>
      <w:spacing w:before="0" w:after="0"/>
      <w:outlineLvl w:val="2"/>
    </w:pPr>
    <w:rPr>
      <w:rFonts w:cs="Arial"/>
      <w:i/>
      <w:szCs w:val="23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cs="Arial"/>
      <w:i/>
      <w:iCs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cs="Arial"/>
      <w:i/>
      <w:iCs/>
      <w:szCs w:val="20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outlineLvl w:val="5"/>
    </w:pPr>
    <w:rPr>
      <w:rFonts w:cs="Arial"/>
      <w:b/>
      <w:bCs/>
      <w:i/>
      <w:iCs/>
      <w:lang w:val="en-US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cs="Arial"/>
      <w:b/>
      <w:bCs/>
      <w:sz w:val="32"/>
      <w:szCs w:val="20"/>
      <w:lang w:val="en-US"/>
    </w:rPr>
  </w:style>
  <w:style w:type="paragraph" w:styleId="Heading8">
    <w:name w:val="heading 8"/>
    <w:basedOn w:val="Normal"/>
    <w:next w:val="Normal"/>
    <w:qFormat/>
    <w:pPr>
      <w:keepNext/>
      <w:autoSpaceDE w:val="0"/>
      <w:autoSpaceDN w:val="0"/>
      <w:adjustRightInd w:val="0"/>
      <w:outlineLvl w:val="7"/>
    </w:pPr>
    <w:rPr>
      <w:rFonts w:cs="Arial"/>
      <w:b/>
      <w:bCs/>
      <w:i/>
      <w:iCs/>
      <w:sz w:val="22"/>
      <w:lang w:val="en-US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i/>
      <w:i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nvHeader"/>
    <w:basedOn w:val="Normal"/>
    <w:link w:val="HeaderChar"/>
    <w:pPr>
      <w:tabs>
        <w:tab w:val="center" w:pos="4153"/>
        <w:tab w:val="right" w:pos="8306"/>
      </w:tabs>
    </w:pPr>
    <w:rPr>
      <w:szCs w:val="20"/>
    </w:rPr>
  </w:style>
  <w:style w:type="paragraph" w:customStyle="1" w:styleId="formattedparas">
    <w:name w:val="formatted paras"/>
    <w:basedOn w:val="Normal"/>
    <w:pPr>
      <w:spacing w:after="140" w:line="300" w:lineRule="exact"/>
    </w:pPr>
    <w:rPr>
      <w:sz w:val="26"/>
      <w:szCs w:val="20"/>
    </w:rPr>
  </w:style>
  <w:style w:type="paragraph" w:customStyle="1" w:styleId="Style9">
    <w:name w:val="Style9"/>
    <w:basedOn w:val="Normal"/>
    <w:rPr>
      <w:sz w:val="22"/>
      <w:szCs w:val="20"/>
    </w:rPr>
  </w:style>
  <w:style w:type="paragraph" w:customStyle="1" w:styleId="Style11">
    <w:name w:val="Style11"/>
    <w:basedOn w:val="Normal"/>
    <w:pPr>
      <w:ind w:left="720"/>
    </w:pPr>
    <w:rPr>
      <w:sz w:val="22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link w:val="BodyTextChar"/>
    <w:rPr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3">
    <w:name w:val="Body Text 3"/>
    <w:basedOn w:val="Normal"/>
    <w:rPr>
      <w:rFonts w:cs="Arial"/>
      <w:i/>
      <w:iCs/>
      <w:sz w:val="22"/>
      <w:szCs w:val="20"/>
    </w:rPr>
  </w:style>
  <w:style w:type="paragraph" w:styleId="FootnoteText">
    <w:name w:val="footnote text"/>
    <w:aliases w:val="Footnote Text1,Footnote Text Char Char Char Char Char Char1,Footnote Text Char Char Char Char Char,Footnote Text Char Char Char Char Char Char Char,Footnote Text Char Char Char Char"/>
    <w:basedOn w:val="Normal"/>
    <w:semiHidden/>
    <w:rPr>
      <w:sz w:val="20"/>
      <w:szCs w:val="20"/>
      <w:lang w:eastAsia="zh-CN"/>
    </w:rPr>
  </w:style>
  <w:style w:type="paragraph" w:styleId="BodyText2">
    <w:name w:val="Body Text 2"/>
    <w:basedOn w:val="Normal"/>
    <w:rPr>
      <w:szCs w:val="20"/>
    </w:rPr>
  </w:style>
  <w:style w:type="paragraph" w:styleId="Title">
    <w:name w:val="Title"/>
    <w:basedOn w:val="Normal"/>
    <w:qFormat/>
    <w:pPr>
      <w:tabs>
        <w:tab w:val="left" w:pos="1350"/>
      </w:tabs>
      <w:spacing w:line="360" w:lineRule="auto"/>
      <w:jc w:val="center"/>
    </w:pPr>
    <w:rPr>
      <w:b/>
      <w:szCs w:val="20"/>
    </w:rPr>
  </w:style>
  <w:style w:type="paragraph" w:customStyle="1" w:styleId="StyleHeadercnvHeaderItalic">
    <w:name w:val="Style HeadercnvHeader + Italic"/>
    <w:basedOn w:val="Header"/>
    <w:link w:val="StyleHeadercnvHeaderItalicChar"/>
    <w:rsid w:val="006A1E37"/>
    <w:rPr>
      <w:i/>
      <w:iCs/>
    </w:rPr>
  </w:style>
  <w:style w:type="character" w:customStyle="1" w:styleId="HeaderChar">
    <w:name w:val="Header Char"/>
    <w:aliases w:val="cnvHeader Char"/>
    <w:link w:val="Header"/>
    <w:rsid w:val="006A1E37"/>
    <w:rPr>
      <w:sz w:val="24"/>
      <w:lang w:val="en-AU" w:eastAsia="en-US" w:bidi="ar-SA"/>
    </w:rPr>
  </w:style>
  <w:style w:type="character" w:customStyle="1" w:styleId="StyleHeadercnvHeaderItalicChar">
    <w:name w:val="Style HeadercnvHeader + Italic Char"/>
    <w:link w:val="StyleHeadercnvHeaderItalic"/>
    <w:rsid w:val="006A1E37"/>
    <w:rPr>
      <w:i/>
      <w:iCs/>
      <w:sz w:val="24"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9C1651"/>
    <w:pPr>
      <w:tabs>
        <w:tab w:val="center" w:pos="4153"/>
        <w:tab w:val="right" w:pos="8306"/>
      </w:tabs>
    </w:pPr>
    <w:rPr>
      <w:sz w:val="22"/>
      <w:szCs w:val="20"/>
    </w:rPr>
  </w:style>
  <w:style w:type="character" w:styleId="PageNumber">
    <w:name w:val="page number"/>
    <w:basedOn w:val="DefaultParagraphFont"/>
    <w:rsid w:val="009C1651"/>
  </w:style>
  <w:style w:type="paragraph" w:customStyle="1" w:styleId="Bullet">
    <w:name w:val="Bullet"/>
    <w:basedOn w:val="Normal"/>
    <w:rsid w:val="001C11AC"/>
    <w:pPr>
      <w:numPr>
        <w:numId w:val="2"/>
      </w:numPr>
    </w:pPr>
    <w:rPr>
      <w:rFonts w:cs="Arial"/>
      <w:szCs w:val="23"/>
    </w:rPr>
  </w:style>
  <w:style w:type="table" w:styleId="TableGrid">
    <w:name w:val="Table Grid"/>
    <w:basedOn w:val="TableNormal"/>
    <w:rsid w:val="00ED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03DF9"/>
    <w:rPr>
      <w:rFonts w:ascii="Tahoma" w:hAnsi="Tahoma" w:cs="Tahoma"/>
      <w:sz w:val="16"/>
      <w:szCs w:val="16"/>
    </w:rPr>
  </w:style>
  <w:style w:type="character" w:customStyle="1" w:styleId="cnvHeaderCharChar">
    <w:name w:val="cnvHeader Char Char"/>
    <w:rsid w:val="00B60F59"/>
    <w:rPr>
      <w:rFonts w:ascii="Arial" w:hAnsi="Arial"/>
      <w:sz w:val="22"/>
      <w:lang w:val="en-AU" w:eastAsia="zh-CN" w:bidi="ar-SA"/>
    </w:rPr>
  </w:style>
  <w:style w:type="paragraph" w:styleId="Signature">
    <w:name w:val="Signature"/>
    <w:basedOn w:val="Normal"/>
    <w:rsid w:val="001C11AC"/>
    <w:pPr>
      <w:spacing w:before="840"/>
    </w:pPr>
    <w:rPr>
      <w:rFonts w:cs="Arial"/>
      <w:szCs w:val="23"/>
    </w:rPr>
  </w:style>
  <w:style w:type="character" w:styleId="FollowedHyperlink">
    <w:name w:val="FollowedHyperlink"/>
    <w:rsid w:val="007109E3"/>
    <w:rPr>
      <w:color w:val="800080"/>
      <w:u w:val="single"/>
    </w:rPr>
  </w:style>
  <w:style w:type="paragraph" w:customStyle="1" w:styleId="font5">
    <w:name w:val="font5"/>
    <w:basedOn w:val="Normal"/>
    <w:rsid w:val="007109E3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  <w:lang w:eastAsia="en-AU"/>
    </w:rPr>
  </w:style>
  <w:style w:type="paragraph" w:customStyle="1" w:styleId="font6">
    <w:name w:val="font6"/>
    <w:basedOn w:val="Normal"/>
    <w:rsid w:val="007109E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  <w:lang w:eastAsia="en-AU"/>
    </w:rPr>
  </w:style>
  <w:style w:type="paragraph" w:customStyle="1" w:styleId="xl24">
    <w:name w:val="xl24"/>
    <w:basedOn w:val="Normal"/>
    <w:rsid w:val="007109E3"/>
    <w:pPr>
      <w:shd w:val="clear" w:color="auto" w:fill="00FFFF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lang w:eastAsia="en-AU"/>
    </w:rPr>
  </w:style>
  <w:style w:type="paragraph" w:customStyle="1" w:styleId="xl25">
    <w:name w:val="xl25"/>
    <w:basedOn w:val="Normal"/>
    <w:rsid w:val="007109E3"/>
    <w:pPr>
      <w:spacing w:before="100" w:beforeAutospacing="1" w:after="100" w:afterAutospacing="1"/>
      <w:textAlignment w:val="top"/>
    </w:pPr>
    <w:rPr>
      <w:rFonts w:ascii="Times New Roman" w:hAnsi="Times New Roman"/>
      <w:sz w:val="24"/>
      <w:lang w:eastAsia="en-AU"/>
    </w:rPr>
  </w:style>
  <w:style w:type="paragraph" w:customStyle="1" w:styleId="xl26">
    <w:name w:val="xl26"/>
    <w:basedOn w:val="Normal"/>
    <w:rsid w:val="007109E3"/>
    <w:pPr>
      <w:shd w:val="clear" w:color="auto" w:fill="00FFFF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lang w:eastAsia="en-AU"/>
    </w:rPr>
  </w:style>
  <w:style w:type="paragraph" w:customStyle="1" w:styleId="xl27">
    <w:name w:val="xl27"/>
    <w:basedOn w:val="Normal"/>
    <w:rsid w:val="007109E3"/>
    <w:pPr>
      <w:shd w:val="clear" w:color="auto" w:fill="00FFFF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lang w:eastAsia="en-AU"/>
    </w:rPr>
  </w:style>
  <w:style w:type="paragraph" w:customStyle="1" w:styleId="xl28">
    <w:name w:val="xl28"/>
    <w:basedOn w:val="Normal"/>
    <w:rsid w:val="007109E3"/>
    <w:pPr>
      <w:shd w:val="clear" w:color="auto" w:fill="00FFFF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lang w:eastAsia="en-AU"/>
    </w:rPr>
  </w:style>
  <w:style w:type="paragraph" w:customStyle="1" w:styleId="xl29">
    <w:name w:val="xl29"/>
    <w:basedOn w:val="Normal"/>
    <w:rsid w:val="007109E3"/>
    <w:pPr>
      <w:spacing w:before="100" w:beforeAutospacing="1" w:after="100" w:afterAutospacing="1"/>
      <w:textAlignment w:val="top"/>
    </w:pPr>
    <w:rPr>
      <w:rFonts w:ascii="Times New Roman" w:hAnsi="Times New Roman"/>
      <w:sz w:val="24"/>
      <w:lang w:eastAsia="en-AU"/>
    </w:rPr>
  </w:style>
  <w:style w:type="paragraph" w:customStyle="1" w:styleId="xl30">
    <w:name w:val="xl30"/>
    <w:basedOn w:val="Normal"/>
    <w:rsid w:val="007109E3"/>
    <w:pPr>
      <w:spacing w:before="100" w:beforeAutospacing="1" w:after="100" w:afterAutospacing="1"/>
      <w:textAlignment w:val="top"/>
    </w:pPr>
    <w:rPr>
      <w:rFonts w:ascii="Times New Roman" w:hAnsi="Times New Roman"/>
      <w:sz w:val="24"/>
      <w:lang w:eastAsia="en-AU"/>
    </w:rPr>
  </w:style>
  <w:style w:type="paragraph" w:customStyle="1" w:styleId="xl31">
    <w:name w:val="xl31"/>
    <w:basedOn w:val="Normal"/>
    <w:rsid w:val="007109E3"/>
    <w:pPr>
      <w:spacing w:before="100" w:beforeAutospacing="1" w:after="100" w:afterAutospacing="1"/>
      <w:textAlignment w:val="top"/>
    </w:pPr>
    <w:rPr>
      <w:rFonts w:ascii="Times New Roman" w:hAnsi="Times New Roman"/>
      <w:sz w:val="24"/>
      <w:lang w:eastAsia="en-AU"/>
    </w:rPr>
  </w:style>
  <w:style w:type="paragraph" w:customStyle="1" w:styleId="xl32">
    <w:name w:val="xl32"/>
    <w:basedOn w:val="Normal"/>
    <w:rsid w:val="007109E3"/>
    <w:pPr>
      <w:spacing w:before="100" w:beforeAutospacing="1" w:after="100" w:afterAutospacing="1"/>
      <w:textAlignment w:val="top"/>
    </w:pPr>
    <w:rPr>
      <w:rFonts w:ascii="Times New Roman" w:hAnsi="Times New Roman"/>
      <w:sz w:val="24"/>
      <w:lang w:eastAsia="en-AU"/>
    </w:rPr>
  </w:style>
  <w:style w:type="paragraph" w:customStyle="1" w:styleId="xl33">
    <w:name w:val="xl33"/>
    <w:basedOn w:val="Normal"/>
    <w:rsid w:val="007109E3"/>
    <w:pPr>
      <w:spacing w:before="100" w:beforeAutospacing="1" w:after="100" w:afterAutospacing="1"/>
      <w:textAlignment w:val="top"/>
    </w:pPr>
    <w:rPr>
      <w:rFonts w:ascii="Times New Roman" w:hAnsi="Times New Roman"/>
      <w:sz w:val="24"/>
      <w:lang w:eastAsia="en-AU"/>
    </w:rPr>
  </w:style>
  <w:style w:type="paragraph" w:customStyle="1" w:styleId="xl34">
    <w:name w:val="xl34"/>
    <w:basedOn w:val="Normal"/>
    <w:rsid w:val="007109E3"/>
    <w:pPr>
      <w:shd w:val="clear" w:color="auto" w:fill="00FFFF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lang w:eastAsia="en-AU"/>
    </w:rPr>
  </w:style>
  <w:style w:type="paragraph" w:customStyle="1" w:styleId="xl35">
    <w:name w:val="xl35"/>
    <w:basedOn w:val="Normal"/>
    <w:rsid w:val="007109E3"/>
    <w:pP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lang w:eastAsia="en-AU"/>
    </w:rPr>
  </w:style>
  <w:style w:type="paragraph" w:customStyle="1" w:styleId="xl36">
    <w:name w:val="xl36"/>
    <w:basedOn w:val="Normal"/>
    <w:rsid w:val="007109E3"/>
    <w:pP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lang w:eastAsia="en-AU"/>
    </w:rPr>
  </w:style>
  <w:style w:type="paragraph" w:customStyle="1" w:styleId="xl37">
    <w:name w:val="xl37"/>
    <w:basedOn w:val="Normal"/>
    <w:rsid w:val="007109E3"/>
    <w:pP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lang w:eastAsia="en-AU"/>
    </w:rPr>
  </w:style>
  <w:style w:type="paragraph" w:customStyle="1" w:styleId="xl38">
    <w:name w:val="xl38"/>
    <w:basedOn w:val="Normal"/>
    <w:rsid w:val="007109E3"/>
    <w:pP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lang w:eastAsia="en-AU"/>
    </w:rPr>
  </w:style>
  <w:style w:type="paragraph" w:customStyle="1" w:styleId="xl39">
    <w:name w:val="xl39"/>
    <w:basedOn w:val="Normal"/>
    <w:rsid w:val="007109E3"/>
    <w:pPr>
      <w:spacing w:before="100" w:beforeAutospacing="1" w:after="100" w:afterAutospacing="1"/>
      <w:textAlignment w:val="top"/>
    </w:pPr>
    <w:rPr>
      <w:rFonts w:ascii="Times New Roman" w:hAnsi="Times New Roman"/>
      <w:sz w:val="24"/>
      <w:lang w:eastAsia="en-AU"/>
    </w:rPr>
  </w:style>
  <w:style w:type="paragraph" w:customStyle="1" w:styleId="BodyText0">
    <w:name w:val="BodyText"/>
    <w:rsid w:val="008E69CA"/>
    <w:pPr>
      <w:spacing w:before="80" w:after="160"/>
      <w:jc w:val="both"/>
    </w:pPr>
    <w:rPr>
      <w:rFonts w:ascii="Garamond" w:hAnsi="Garamond"/>
      <w:sz w:val="27"/>
      <w:szCs w:val="24"/>
      <w:lang w:eastAsia="en-US"/>
    </w:rPr>
  </w:style>
  <w:style w:type="paragraph" w:customStyle="1" w:styleId="Heading1">
    <w:name w:val="Heading  1"/>
    <w:next w:val="BodyText0"/>
    <w:rsid w:val="008E69CA"/>
    <w:pPr>
      <w:keepNext/>
      <w:numPr>
        <w:numId w:val="6"/>
      </w:numPr>
      <w:spacing w:before="300" w:after="300"/>
    </w:pPr>
    <w:rPr>
      <w:rFonts w:ascii="Century Gothic" w:hAnsi="Century Gothic" w:cs="Arial"/>
      <w:b/>
      <w:bCs/>
      <w:kern w:val="32"/>
      <w:sz w:val="36"/>
      <w:szCs w:val="32"/>
      <w:lang w:eastAsia="en-US"/>
    </w:rPr>
  </w:style>
  <w:style w:type="paragraph" w:customStyle="1" w:styleId="Heading2">
    <w:name w:val="Heading  2"/>
    <w:next w:val="BodyText0"/>
    <w:rsid w:val="008E69CA"/>
    <w:pPr>
      <w:keepNext/>
      <w:numPr>
        <w:ilvl w:val="1"/>
        <w:numId w:val="6"/>
      </w:numPr>
      <w:spacing w:before="300" w:after="160" w:line="240" w:lineRule="atLeast"/>
    </w:pPr>
    <w:rPr>
      <w:rFonts w:ascii="Century Gothic" w:hAnsi="Century Gothic" w:cs="Arial"/>
      <w:b/>
      <w:bCs/>
      <w:iCs/>
      <w:sz w:val="32"/>
      <w:szCs w:val="28"/>
      <w:lang w:eastAsia="en-US"/>
    </w:rPr>
  </w:style>
  <w:style w:type="paragraph" w:customStyle="1" w:styleId="Heading3">
    <w:name w:val="Heading  3"/>
    <w:next w:val="BodyText0"/>
    <w:rsid w:val="008E69CA"/>
    <w:pPr>
      <w:keepNext/>
      <w:numPr>
        <w:ilvl w:val="2"/>
        <w:numId w:val="6"/>
      </w:numPr>
      <w:spacing w:before="300" w:after="160"/>
    </w:pPr>
    <w:rPr>
      <w:rFonts w:ascii="Century Gothic" w:hAnsi="Century Gothic" w:cs="Arial"/>
      <w:b/>
      <w:bCs/>
      <w:sz w:val="28"/>
      <w:szCs w:val="26"/>
      <w:lang w:eastAsia="en-US"/>
    </w:rPr>
  </w:style>
  <w:style w:type="paragraph" w:customStyle="1" w:styleId="BoxText">
    <w:name w:val="Box Text"/>
    <w:rsid w:val="008E69CA"/>
    <w:pPr>
      <w:spacing w:before="120" w:after="120"/>
      <w:jc w:val="both"/>
    </w:pPr>
    <w:rPr>
      <w:rFonts w:ascii="Garamond" w:hAnsi="Garamond"/>
      <w:sz w:val="24"/>
      <w:szCs w:val="24"/>
      <w:lang w:eastAsia="en-US"/>
    </w:rPr>
  </w:style>
  <w:style w:type="paragraph" w:customStyle="1" w:styleId="BoxBullet">
    <w:name w:val="Box Bullet"/>
    <w:basedOn w:val="BoxText"/>
    <w:rsid w:val="008E69CA"/>
    <w:pPr>
      <w:numPr>
        <w:numId w:val="5"/>
      </w:numPr>
      <w:spacing w:before="0" w:after="40"/>
    </w:pPr>
  </w:style>
  <w:style w:type="paragraph" w:customStyle="1" w:styleId="BoxHeading">
    <w:name w:val="Box Heading"/>
    <w:next w:val="BoxText"/>
    <w:rsid w:val="008E69CA"/>
    <w:pPr>
      <w:keepNext/>
      <w:numPr>
        <w:ilvl w:val="5"/>
        <w:numId w:val="6"/>
      </w:numPr>
      <w:spacing w:before="120"/>
    </w:pPr>
    <w:rPr>
      <w:rFonts w:ascii="Century Gothic" w:hAnsi="Century Gothic"/>
      <w:b/>
      <w:sz w:val="28"/>
      <w:szCs w:val="24"/>
      <w:lang w:eastAsia="en-US"/>
    </w:rPr>
  </w:style>
  <w:style w:type="paragraph" w:styleId="TOC1">
    <w:name w:val="toc 1"/>
    <w:next w:val="TOC2"/>
    <w:semiHidden/>
    <w:rsid w:val="008E69CA"/>
    <w:pPr>
      <w:numPr>
        <w:ilvl w:val="6"/>
        <w:numId w:val="6"/>
      </w:numPr>
      <w:tabs>
        <w:tab w:val="left" w:pos="1021"/>
        <w:tab w:val="left" w:pos="1814"/>
        <w:tab w:val="right" w:pos="8064"/>
      </w:tabs>
      <w:spacing w:before="60" w:after="60"/>
    </w:pPr>
    <w:rPr>
      <w:rFonts w:ascii="Garamond" w:hAnsi="Garamond"/>
      <w:b/>
      <w:noProof/>
      <w:sz w:val="27"/>
      <w:lang w:eastAsia="en-US"/>
    </w:rPr>
  </w:style>
  <w:style w:type="paragraph" w:styleId="TOC2">
    <w:name w:val="toc 2"/>
    <w:semiHidden/>
    <w:rsid w:val="008E69CA"/>
    <w:pPr>
      <w:numPr>
        <w:ilvl w:val="7"/>
        <w:numId w:val="6"/>
      </w:numPr>
      <w:tabs>
        <w:tab w:val="right" w:pos="8063"/>
      </w:tabs>
      <w:spacing w:before="40" w:after="40"/>
    </w:pPr>
    <w:rPr>
      <w:rFonts w:ascii="Garamond" w:hAnsi="Garamond"/>
      <w:sz w:val="27"/>
      <w:szCs w:val="24"/>
      <w:lang w:eastAsia="en-US"/>
    </w:rPr>
  </w:style>
  <w:style w:type="paragraph" w:customStyle="1" w:styleId="FigureHeading">
    <w:name w:val="Figure Heading"/>
    <w:next w:val="BodyText0"/>
    <w:autoRedefine/>
    <w:rsid w:val="008E69CA"/>
    <w:pPr>
      <w:keepNext/>
      <w:numPr>
        <w:ilvl w:val="4"/>
        <w:numId w:val="6"/>
      </w:numPr>
      <w:pBdr>
        <w:bottom w:val="single" w:sz="4" w:space="4" w:color="auto"/>
      </w:pBdr>
      <w:spacing w:before="160" w:after="80"/>
    </w:pPr>
    <w:rPr>
      <w:rFonts w:ascii="Century Gothic" w:hAnsi="Century Gothic"/>
      <w:b/>
      <w:sz w:val="28"/>
      <w:szCs w:val="26"/>
      <w:lang w:eastAsia="en-US"/>
    </w:rPr>
  </w:style>
  <w:style w:type="paragraph" w:customStyle="1" w:styleId="TableHeading">
    <w:name w:val="Table Heading"/>
    <w:next w:val="Normal"/>
    <w:rsid w:val="008E69CA"/>
    <w:pPr>
      <w:keepNext/>
      <w:numPr>
        <w:ilvl w:val="3"/>
        <w:numId w:val="6"/>
      </w:numPr>
      <w:spacing w:before="160" w:after="80"/>
    </w:pPr>
    <w:rPr>
      <w:rFonts w:ascii="Century Gothic" w:hAnsi="Century Gothic"/>
      <w:b/>
      <w:sz w:val="28"/>
      <w:szCs w:val="24"/>
      <w:lang w:eastAsia="en-US"/>
    </w:rPr>
  </w:style>
  <w:style w:type="paragraph" w:customStyle="1" w:styleId="BoxSource">
    <w:name w:val="Box Source"/>
    <w:basedOn w:val="BoxText"/>
    <w:next w:val="BodyText0"/>
    <w:rsid w:val="008E69CA"/>
    <w:pPr>
      <w:tabs>
        <w:tab w:val="left" w:pos="737"/>
      </w:tabs>
      <w:spacing w:before="180"/>
      <w:ind w:left="737" w:hanging="737"/>
    </w:pPr>
    <w:rPr>
      <w:rFonts w:ascii="Century Gothic" w:hAnsi="Century Gothic"/>
      <w:sz w:val="17"/>
      <w:szCs w:val="18"/>
    </w:rPr>
  </w:style>
  <w:style w:type="paragraph" w:styleId="TOC3">
    <w:name w:val="toc 3"/>
    <w:semiHidden/>
    <w:rsid w:val="008E69CA"/>
    <w:pPr>
      <w:numPr>
        <w:ilvl w:val="8"/>
        <w:numId w:val="6"/>
      </w:numPr>
      <w:tabs>
        <w:tab w:val="right" w:pos="8063"/>
      </w:tabs>
    </w:pPr>
    <w:rPr>
      <w:rFonts w:ascii="Garamond" w:hAnsi="Garamond"/>
      <w:sz w:val="24"/>
      <w:szCs w:val="24"/>
      <w:lang w:eastAsia="en-US"/>
    </w:rPr>
  </w:style>
  <w:style w:type="paragraph" w:customStyle="1" w:styleId="BoxNumbering">
    <w:name w:val="Box Numbering"/>
    <w:basedOn w:val="BoxBullet"/>
    <w:rsid w:val="008E69CA"/>
    <w:pPr>
      <w:numPr>
        <w:numId w:val="3"/>
      </w:numPr>
    </w:pPr>
  </w:style>
  <w:style w:type="paragraph" w:customStyle="1" w:styleId="BoxBullet2">
    <w:name w:val="Box Bullet 2"/>
    <w:basedOn w:val="BoxBullet"/>
    <w:rsid w:val="008E69CA"/>
    <w:pPr>
      <w:numPr>
        <w:ilvl w:val="1"/>
        <w:numId w:val="1"/>
      </w:numPr>
    </w:pPr>
  </w:style>
  <w:style w:type="paragraph" w:customStyle="1" w:styleId="BoxQuote">
    <w:name w:val="Box Quote"/>
    <w:basedOn w:val="BoxText"/>
    <w:rsid w:val="008E69CA"/>
    <w:pPr>
      <w:numPr>
        <w:ilvl w:val="1"/>
        <w:numId w:val="4"/>
      </w:numPr>
      <w:tabs>
        <w:tab w:val="clear" w:pos="907"/>
      </w:tabs>
      <w:ind w:left="567" w:firstLine="0"/>
    </w:pPr>
    <w:rPr>
      <w:sz w:val="22"/>
    </w:rPr>
  </w:style>
  <w:style w:type="paragraph" w:customStyle="1" w:styleId="BoxBulletend">
    <w:name w:val="Box Bullet end"/>
    <w:basedOn w:val="BoxBullet"/>
    <w:next w:val="BoxText"/>
    <w:rsid w:val="008E69CA"/>
    <w:pPr>
      <w:spacing w:after="120"/>
    </w:pPr>
  </w:style>
  <w:style w:type="paragraph" w:customStyle="1" w:styleId="BoxBullet2end">
    <w:name w:val="Box Bullet 2 end"/>
    <w:basedOn w:val="BoxBullet2"/>
    <w:next w:val="BoxText"/>
    <w:rsid w:val="008E69CA"/>
    <w:pPr>
      <w:spacing w:after="120"/>
    </w:pPr>
  </w:style>
  <w:style w:type="paragraph" w:customStyle="1" w:styleId="BoxNumberingend">
    <w:name w:val="Box Numbering end"/>
    <w:basedOn w:val="BoxNumbering"/>
    <w:next w:val="BoxText"/>
    <w:rsid w:val="008E69CA"/>
    <w:pPr>
      <w:spacing w:after="120"/>
    </w:pPr>
  </w:style>
  <w:style w:type="paragraph" w:customStyle="1" w:styleId="Quotationbullet2">
    <w:name w:val="Quotation bullet 2"/>
    <w:basedOn w:val="BoxBullet2"/>
    <w:rsid w:val="008E69CA"/>
    <w:pPr>
      <w:numPr>
        <w:ilvl w:val="0"/>
        <w:numId w:val="4"/>
      </w:numPr>
    </w:pPr>
    <w:rPr>
      <w:sz w:val="25"/>
    </w:rPr>
  </w:style>
  <w:style w:type="paragraph" w:customStyle="1" w:styleId="Boxsubheading">
    <w:name w:val="Box sub heading"/>
    <w:basedOn w:val="BoxText"/>
    <w:next w:val="BoxText"/>
    <w:rsid w:val="008E69CA"/>
    <w:pPr>
      <w:keepNext/>
      <w:spacing w:before="160"/>
      <w:jc w:val="left"/>
    </w:pPr>
    <w:rPr>
      <w:i/>
    </w:rPr>
  </w:style>
  <w:style w:type="paragraph" w:customStyle="1" w:styleId="BoxTextItalic">
    <w:name w:val="Box Text Italic"/>
    <w:basedOn w:val="BoxText"/>
    <w:rsid w:val="008E69CA"/>
    <w:rPr>
      <w:i/>
    </w:rPr>
  </w:style>
  <w:style w:type="paragraph" w:customStyle="1" w:styleId="DonotuseCharCharCharChar">
    <w:name w:val="Do not use Char Char Char Char"/>
    <w:aliases w:val="Do not use"/>
    <w:basedOn w:val="Normal"/>
    <w:rsid w:val="00AC56E1"/>
    <w:rPr>
      <w:rFonts w:cs="Arial"/>
      <w:szCs w:val="22"/>
    </w:rPr>
  </w:style>
  <w:style w:type="character" w:styleId="CommentReference">
    <w:name w:val="annotation reference"/>
    <w:semiHidden/>
    <w:rsid w:val="007859C7"/>
    <w:rPr>
      <w:sz w:val="16"/>
      <w:szCs w:val="16"/>
    </w:rPr>
  </w:style>
  <w:style w:type="paragraph" w:styleId="CommentText">
    <w:name w:val="annotation text"/>
    <w:basedOn w:val="Normal"/>
    <w:semiHidden/>
    <w:rsid w:val="007859C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859C7"/>
    <w:rPr>
      <w:b/>
      <w:bCs/>
    </w:rPr>
  </w:style>
  <w:style w:type="paragraph" w:styleId="Date">
    <w:name w:val="Date"/>
    <w:basedOn w:val="Normal"/>
    <w:next w:val="Normal"/>
    <w:rsid w:val="001C11AC"/>
    <w:pPr>
      <w:spacing w:before="480" w:after="480"/>
    </w:pPr>
    <w:rPr>
      <w:rFonts w:cs="Arial"/>
      <w:szCs w:val="23"/>
    </w:rPr>
  </w:style>
  <w:style w:type="paragraph" w:customStyle="1" w:styleId="Default">
    <w:name w:val="Default"/>
    <w:rsid w:val="0043181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9D73D1"/>
    <w:rPr>
      <w:rFonts w:ascii="Arial" w:hAnsi="Arial"/>
      <w:sz w:val="23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05065"/>
    <w:rPr>
      <w:rFonts w:ascii="Arial" w:hAnsi="Arial"/>
      <w:sz w:val="22"/>
      <w:lang w:eastAsia="en-US"/>
    </w:rPr>
  </w:style>
  <w:style w:type="paragraph" w:styleId="Revision">
    <w:name w:val="Revision"/>
    <w:hidden/>
    <w:uiPriority w:val="99"/>
    <w:semiHidden/>
    <w:rsid w:val="00894230"/>
    <w:rPr>
      <w:rFonts w:ascii="Arial" w:hAnsi="Arial"/>
      <w:sz w:val="23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VCEC colours">
      <a:dk1>
        <a:sysClr val="windowText" lastClr="000000"/>
      </a:dk1>
      <a:lt1>
        <a:sysClr val="window" lastClr="FFFFFF"/>
      </a:lt1>
      <a:dk2>
        <a:srgbClr val="6D5E51"/>
      </a:dk2>
      <a:lt2>
        <a:srgbClr val="E3DEDA"/>
      </a:lt2>
      <a:accent1>
        <a:srgbClr val="732734"/>
      </a:accent1>
      <a:accent2>
        <a:srgbClr val="E9BFC6"/>
      </a:accent2>
      <a:accent3>
        <a:srgbClr val="6D5E51"/>
      </a:accent3>
      <a:accent4>
        <a:srgbClr val="E3DEDA"/>
      </a:accent4>
      <a:accent5>
        <a:srgbClr val="003366"/>
      </a:accent5>
      <a:accent6>
        <a:srgbClr val="487894"/>
      </a:accent6>
      <a:hlink>
        <a:srgbClr val="003366"/>
      </a:hlink>
      <a:folHlink>
        <a:srgbClr val="48789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B920F-6698-4B3E-A319-EADAB5A9E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2025</Words>
  <Characters>11690</Characters>
  <Application>Microsoft Office Word</Application>
  <DocSecurity>8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DTF</Company>
  <LinksUpToDate>false</LinksUpToDate>
  <CharactersWithSpaces>13688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aym</dc:creator>
  <cp:lastModifiedBy>Lisa Clayworth</cp:lastModifiedBy>
  <cp:revision>6</cp:revision>
  <cp:lastPrinted>2016-09-12T04:30:00Z</cp:lastPrinted>
  <dcterms:created xsi:type="dcterms:W3CDTF">2016-09-12T04:45:00Z</dcterms:created>
  <dcterms:modified xsi:type="dcterms:W3CDTF">2016-09-12T04:47:00Z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dc3c0e8f-afcd-4553-9e4c-c62b2a328fb9</vt:lpwstr>
  </property>
  <property fmtid="{D5CDD505-2E9C-101B-9397-08002B2CF9AE}" pid="3" name="PSPFClassification">
    <vt:lpwstr>Do Not Mark</vt:lpwstr>
  </property>
</Properties>
</file>