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013" w:rsidRPr="0003768B" w:rsidRDefault="00AA4331" w:rsidP="00AC0013">
      <w:bookmarkStart w:id="0" w:name="_Toc464238777"/>
      <w:bookmarkStart w:id="1" w:name="_Toc470185143"/>
      <w:bookmarkStart w:id="2" w:name="_Toc473724573"/>
      <w:bookmarkStart w:id="3" w:name="_Toc476064156"/>
      <w:r>
        <w:pict>
          <v:shape id="OverlayLeft" o:spid="_x0000_s1181" style="position:absolute;margin-left:28.65pt;margin-top:185.4pt;width:250.6pt;height:374.4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941,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" path="m1747,l,,,8858r5941,l1747,xe" fillcolor="#201547" stroked="f">
            <v:fill opacity="39321f"/>
            <v:path arrowok="t" o:connecttype="custom" o:connectlocs="935811,0;0,0;0,4755600;3182400,4755600;935811,0" o:connectangles="0,0,0,0,0"/>
            <w10:wrap anchorx="page" anchory="page"/>
            <w10:anchorlock/>
          </v:shape>
        </w:pict>
      </w:r>
      <w:r>
        <w:rPr>
          <w:color w:val="642667" w:themeColor="text2"/>
        </w:rPr>
        <w:pict>
          <v:shape id="OverlayRight" o:spid="_x0000_s1180" style="position:absolute;margin-left:278.95pt;margin-top:185.4pt;width:4in;height:374.4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76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" path="m3536,l,7483r5762,l5762,,3536,xe" fillcolor="#642667 [3215]" stroked="f">
            <v:fill opacity="19532f"/>
            <v:path arrowok="t" o:connecttype="custom" o:connectlocs="2244581,0;0,4755600;3657600,4755600;3657600,0;2244581,0" o:connectangles="0,0,0,0,0"/>
            <w10:wrap anchorx="page" anchory="page"/>
            <w10:anchorlock/>
          </v:shape>
        </w:pict>
      </w:r>
      <w:r>
        <w:pict>
          <v:shape id="TriangleBottom" o:spid="_x0000_s1182" style="position:absolute;margin-left:279pt;margin-top:559.65pt;width:148.8pt;height:157.0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496,3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" path="m1745,3697l,,3496,,1745,3697xe" fillcolor="#c1a8c2 [3208]" stroked="f">
            <v:path arrowok="t" o:connecttype="custom" o:connectlocs="943378,1994400;0,0;1890000,0;943378,1994400" o:connectangles="0,0,0,0"/>
            <w10:wrap anchorx="page" anchory="page"/>
            <w10:anchorlock/>
          </v:shape>
        </w:pict>
      </w:r>
      <w:r>
        <w:pict>
          <v:shape id="TriangleTop" o:spid="_x0000_s1179" style="position:absolute;margin-left:28.35pt;margin-top:28.35pt;width:148.8pt;height:157.0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496,3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" path="m1745,3697l,,3496,,1745,3697xe" fillcolor="#642667 [3202]" stroked="f">
            <v:path arrowok="t" o:connecttype="custom" o:connectlocs="943378,1994400;0,0;1890000,0;943378,1994400" o:connectangles="0,0,0,0"/>
            <w10:wrap anchorx="page" anchory="page"/>
            <w10:anchorlock/>
          </v:shape>
        </w:pict>
      </w:r>
      <w:r>
        <w:pict>
          <v:shapetype id="_x0000_t202" coordsize="21600,21600" o:spt="202" path="m,l,21600r21600,l21600,xe">
            <v:stroke joinstyle="miter"/>
            <v:path gradientshapeok="t" o:connecttype="rect"/>
          </v:shapetype>
          <v:shape id="WebAddress" o:spid="_x0000_s1176" type="#_x0000_t202" style="position:absolute;margin-left:0;margin-top:0;width:303pt;height:50.15pt;z-index:251672576;visibility:hidden;mso-position-horizontal-relative:page;mso-position-vertical:bottom;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" filled="f" stroked="f" strokeweight=".5pt">
            <v:textbox inset="20mm">
              <w:txbxContent>
                <w:p w:rsidR="008915F8" w:rsidRPr="009F69FA" w:rsidRDefault="008915F8" w:rsidP="00AC0013">
                  <w:pPr>
                    <w:pStyle w:val="xWeb"/>
                  </w:pPr>
                  <w:r w:rsidRPr="009F69FA">
                    <w:t>www.de</w:t>
                  </w:r>
                  <w:r>
                    <w:t>lw</w:t>
                  </w:r>
                  <w:r w:rsidRPr="009F69FA">
                    <w:t>p.vic.gov.au</w:t>
                  </w:r>
                </w:p>
              </w:txbxContent>
            </v:textbox>
            <w10:wrap anchorx="page" anchory="page"/>
            <w10:anchorlock/>
          </v:shape>
        </w:pict>
      </w:r>
      <w:r>
        <w:pict>
          <v:shape id="CoverStatus" o:spid="_x0000_s1174" type="#_x0000_t202" alt="Title: Watermark Document Status" style="position:absolute;margin-left:0;margin-top:674.6pt;width:437.4pt;height:29.2pt;z-index:251670528;visibility:hidden;mso-position-horizontal:left;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" filled="f" stroked="f" strokeweight=".5pt">
            <v:textbox inset="20mm,0,1mm,0">
              <w:txbxContent>
                <w:p w:rsidR="008915F8" w:rsidRPr="00271B90" w:rsidRDefault="008915F8" w:rsidP="00AC0013">
                  <w:pPr>
                    <w:pStyle w:val="xCoverStatus"/>
                  </w:pPr>
                  <w:r>
                    <w:fldChar w:fldCharType="begin"/>
                  </w:r>
                  <w:r>
                    <w:instrText xml:space="preserve"> DOCPROPERTY  xStatus  \* MERGEFORMAT </w:instrText>
                  </w:r>
                  <w:r>
                    <w:fldChar w:fldCharType="end"/>
                  </w:r>
                </w:p>
              </w:txbxContent>
            </v:textbox>
            <w10:wrap anchorx="page" anchory="page"/>
            <w10:anchorlock/>
          </v:shape>
        </w:pict>
      </w:r>
      <w:r>
        <w:pict>
          <v:shape id="CoverProjectBar" o:spid="_x0000_s1175" type="#_x0000_t202" alt="Title: Decorative Cover Shape" style="position:absolute;margin-left:28.35pt;margin-top:716.7pt;width:538.6pt;height:34pt;z-index:-251644928;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" fillcolor="#642667 [3202]" stroked="f" strokeweight=".5pt">
            <v:textbox inset="10mm,0,10mm,0">
              <w:txbxContent>
                <w:p w:rsidR="008915F8" w:rsidRPr="00E81E6A" w:rsidRDefault="008915F8" w:rsidP="00AC0013">
                  <w:pPr>
                    <w:pStyle w:val="TitleBarText"/>
                    <w:spacing w:line="320" w:lineRule="exact"/>
                  </w:pPr>
                  <w:r>
                    <w:t>May 2017</w:t>
                  </w:r>
                </w:p>
              </w:txbxContent>
            </v:textbox>
            <w10:wrap anchorx="page" anchory="page"/>
            <w10:anchorlock/>
          </v:shape>
        </w:pict>
      </w:r>
      <w:r>
        <w:pict>
          <v:rect id="PicSingle" o:spid="_x0000_s1173" alt="Title: Cover Image - Description: Cover Image" style="position:absolute;margin-left:28.35pt;margin-top:185.4pt;width:538.6pt;height:374.15pt;z-index:-251646976;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" fillcolor="white [3212]" stroked="f" strokeweight="2pt">
            <w10:wrap anchorx="page" anchory="page"/>
            <w10:anchorlock/>
          </v:rect>
        </w:pict>
      </w:r>
      <w:r>
        <w:pict>
          <v:rect id="CoverRectangle" o:spid="_x0000_s1172" style="position:absolute;margin-left:28.35pt;margin-top:28.35pt;width:538.6pt;height:688.55pt;z-index:-251648000;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" fillcolor="#00b2a9 [3204]" stroked="f" strokeweight="2pt">
            <w10:wrap anchorx="page" anchory="page"/>
            <w10:anchorlock/>
          </v:rect>
        </w:pict>
      </w:r>
    </w:p>
    <w:p w:rsidR="00AC0013" w:rsidRPr="0003768B" w:rsidRDefault="00AC0013" w:rsidP="00AC0013"/>
    <w:tbl>
      <w:tblPr>
        <w:tblStyle w:val="TableAsPlaceholder"/>
        <w:tblpPr w:leftFromText="181" w:rightFromText="181" w:vertAnchor="page" w:horzAnchor="margin" w:tblpXSpec="right" w:tblpY="681"/>
        <w:tblOverlap w:val="never"/>
        <w:tblW w:w="7369" w:type="dxa"/>
        <w:tblLayout w:type="fixed"/>
        <w:tblLook w:val="0600" w:firstRow="0" w:lastRow="0" w:firstColumn="0" w:lastColumn="0" w:noHBand="1" w:noVBand="1"/>
      </w:tblPr>
      <w:tblGrid>
        <w:gridCol w:w="7369"/>
      </w:tblGrid>
      <w:tr w:rsidR="00AC0013" w:rsidRPr="0003768B" w:rsidTr="00AB414E">
        <w:trPr>
          <w:trHeight w:hRule="exact" w:val="2948"/>
        </w:trPr>
        <w:tc>
          <w:tcPr>
            <w:tcW w:w="7369" w:type="dxa"/>
            <w:vAlign w:val="center"/>
          </w:tcPr>
          <w:p w:rsidR="00AC0013" w:rsidRPr="0003768B" w:rsidRDefault="00AC0013" w:rsidP="00AB414E">
            <w:pPr>
              <w:ind w:left="426"/>
              <w:jc w:val="right"/>
              <w:rPr>
                <w:b/>
              </w:rPr>
            </w:pPr>
            <w:r w:rsidRPr="0003768B">
              <w:rPr>
                <w:color w:val="FFFFFF" w:themeColor="background1"/>
                <w:sz w:val="54"/>
                <w:szCs w:val="54"/>
              </w:rPr>
              <w:t xml:space="preserve">Regulatory </w:t>
            </w:r>
            <w:r>
              <w:rPr>
                <w:color w:val="FFFFFF" w:themeColor="background1"/>
                <w:sz w:val="54"/>
                <w:szCs w:val="54"/>
              </w:rPr>
              <w:t>i</w:t>
            </w:r>
            <w:r w:rsidRPr="0003768B">
              <w:rPr>
                <w:color w:val="FFFFFF" w:themeColor="background1"/>
                <w:sz w:val="54"/>
                <w:szCs w:val="54"/>
              </w:rPr>
              <w:t xml:space="preserve">mpact </w:t>
            </w:r>
            <w:r>
              <w:rPr>
                <w:color w:val="FFFFFF" w:themeColor="background1"/>
                <w:sz w:val="54"/>
                <w:szCs w:val="54"/>
              </w:rPr>
              <w:t>s</w:t>
            </w:r>
            <w:r w:rsidRPr="0003768B">
              <w:rPr>
                <w:color w:val="FFFFFF" w:themeColor="background1"/>
                <w:sz w:val="54"/>
                <w:szCs w:val="54"/>
              </w:rPr>
              <w:t>tatement</w:t>
            </w:r>
            <w:r w:rsidRPr="0003768B">
              <w:t xml:space="preserve"> </w:t>
            </w:r>
            <w:r w:rsidRPr="0003768B">
              <w:br/>
            </w:r>
            <w:r w:rsidRPr="0003768B">
              <w:rPr>
                <w:b/>
                <w:color w:val="FFFFFF" w:themeColor="background1"/>
                <w:sz w:val="54"/>
                <w:szCs w:val="54"/>
              </w:rPr>
              <w:t>Building Regulations 2017</w:t>
            </w:r>
          </w:p>
          <w:p w:rsidR="00AC0013" w:rsidRPr="0003768B" w:rsidRDefault="00AC0013" w:rsidP="000029E8">
            <w:pPr>
              <w:jc w:val="right"/>
              <w:rPr>
                <w:color w:val="FFFFFF" w:themeColor="background1"/>
                <w:sz w:val="32"/>
                <w:szCs w:val="32"/>
              </w:rPr>
            </w:pPr>
            <w:r w:rsidRPr="0003768B">
              <w:rPr>
                <w:color w:val="FFFFFF" w:themeColor="background1"/>
                <w:sz w:val="32"/>
                <w:szCs w:val="32"/>
              </w:rPr>
              <w:t xml:space="preserve">Part </w:t>
            </w:r>
            <w:r w:rsidR="000029E8">
              <w:rPr>
                <w:color w:val="FFFFFF" w:themeColor="background1"/>
                <w:sz w:val="32"/>
                <w:szCs w:val="32"/>
              </w:rPr>
              <w:t>A</w:t>
            </w:r>
            <w:r w:rsidRPr="0003768B">
              <w:rPr>
                <w:color w:val="FFFFFF" w:themeColor="background1"/>
                <w:sz w:val="32"/>
                <w:szCs w:val="32"/>
              </w:rPr>
              <w:t xml:space="preserve">: </w:t>
            </w:r>
            <w:r w:rsidR="000029E8">
              <w:rPr>
                <w:color w:val="FFFFFF" w:themeColor="background1"/>
                <w:sz w:val="32"/>
                <w:szCs w:val="32"/>
              </w:rPr>
              <w:t>Background and proposed approach</w:t>
            </w:r>
          </w:p>
        </w:tc>
      </w:tr>
    </w:tbl>
    <w:p w:rsidR="00AC0013" w:rsidRPr="0003768B" w:rsidRDefault="00AC0013" w:rsidP="00AC0013"/>
    <w:p w:rsidR="00AC0013" w:rsidRPr="0003768B" w:rsidRDefault="00AA4331" w:rsidP="00AC0013">
      <w:r>
        <w:pict>
          <v:shape id="CoverCoBranded" o:spid="_x0000_s1178" type="#_x0000_t202" alt="Title: CoBranding Logos" style="position:absolute;margin-left:0;margin-top:0;width:371.25pt;height:77.7pt;z-index:251674624;visibility:hidden;mso-position-horizontal:left;mso-position-horizontal-relative:page;mso-position-vertical:bottom;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" fillcolor="white [3212]" stroked="f" strokeweight=".5pt">
            <v:textbox inset="10mm,0,,3mm">
              <w:txbxContent>
                <w:tbl>
                  <w:tblPr>
                    <w:tblStyle w:val="LogoPlaceholder"/>
                    <w:tblOverlap w:val="never"/>
                    <w:tblW w:w="0" w:type="auto"/>
                    <w:tblCellSpacing w:w="71" w:type="dxa"/>
                    <w:tblLayout w:type="fixed"/>
                    <w:tblLook w:val="04A0" w:firstRow="1" w:lastRow="0" w:firstColumn="1" w:lastColumn="0" w:noHBand="0" w:noVBand="1"/>
                  </w:tblPr>
                  <w:tblGrid>
                    <w:gridCol w:w="1417"/>
                    <w:gridCol w:w="3969"/>
                  </w:tblGrid>
                  <w:tr w:rsidR="008915F8" w:rsidRPr="00AB780B" w:rsidTr="00AA4BE4">
                    <w:trPr>
                      <w:trHeight w:hRule="exact" w:val="964"/>
                      <w:tblCellSpacing w:w="71" w:type="dxa"/>
                    </w:trPr>
                    <w:tc>
                      <w:tcPr>
                        <w:tcW w:w="1204" w:type="dxa"/>
                        <w:vAlign w:val="bottom"/>
                      </w:tcPr>
                      <w:p w:rsidR="008915F8" w:rsidRPr="00D55628" w:rsidRDefault="008915F8" w:rsidP="00D55628">
                        <w:r w:rsidRPr="00D55628">
                          <w:rPr>
                            <w:noProof/>
                          </w:rPr>
                          <w:drawing>
                            <wp:inline distT="0" distB="0" distL="0" distR="0" wp14:anchorId="68043EC9" wp14:editId="05E9854E">
                              <wp:extent cx="762000" cy="513685"/>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9">
                                        <a:extLst>
                                          <a:ext uri="{28A0092B-C50C-407E-A947-70E740481C1C}">
                                            <a14:useLocalDpi xmlns:a14="http://schemas.microsoft.com/office/drawing/2010/main" val="0"/>
                                          </a:ext>
                                        </a:extLst>
                                      </a:blip>
                                      <a:stretch>
                                        <a:fillRect/>
                                      </a:stretch>
                                    </pic:blipFill>
                                    <pic:spPr>
                                      <a:xfrm>
                                        <a:off x="0" y="0"/>
                                        <a:ext cx="764540" cy="515397"/>
                                      </a:xfrm>
                                      <a:prstGeom prst="rect">
                                        <a:avLst/>
                                      </a:prstGeom>
                                    </pic:spPr>
                                  </pic:pic>
                                </a:graphicData>
                              </a:graphic>
                            </wp:inline>
                          </w:drawing>
                        </w:r>
                      </w:p>
                    </w:tc>
                    <w:tc>
                      <w:tcPr>
                        <w:tcW w:w="3756" w:type="dxa"/>
                        <w:vAlign w:val="bottom"/>
                      </w:tcPr>
                      <w:p w:rsidR="008915F8" w:rsidRPr="00D55628" w:rsidRDefault="008915F8" w:rsidP="00D55628">
                        <w:r w:rsidRPr="00D55628">
                          <w:rPr>
                            <w:noProof/>
                          </w:rPr>
                          <w:drawing>
                            <wp:inline distT="0" distB="0" distL="0" distR="0" wp14:anchorId="6AABC478" wp14:editId="5A9D2634">
                              <wp:extent cx="2011680" cy="542544"/>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2.jpg"/>
                                      <pic:cNvPicPr/>
                                    </pic:nvPicPr>
                                    <pic:blipFill>
                                      <a:blip r:embed="rId10">
                                        <a:extLst>
                                          <a:ext uri="{28A0092B-C50C-407E-A947-70E740481C1C}">
                                            <a14:useLocalDpi xmlns:a14="http://schemas.microsoft.com/office/drawing/2010/main" val="0"/>
                                          </a:ext>
                                        </a:extLst>
                                      </a:blip>
                                      <a:stretch>
                                        <a:fillRect/>
                                      </a:stretch>
                                    </pic:blipFill>
                                    <pic:spPr>
                                      <a:xfrm>
                                        <a:off x="0" y="0"/>
                                        <a:ext cx="2011680" cy="542544"/>
                                      </a:xfrm>
                                      <a:prstGeom prst="rect">
                                        <a:avLst/>
                                      </a:prstGeom>
                                    </pic:spPr>
                                  </pic:pic>
                                </a:graphicData>
                              </a:graphic>
                            </wp:inline>
                          </w:drawing>
                        </w:r>
                      </w:p>
                    </w:tc>
                  </w:tr>
                </w:tbl>
                <w:p w:rsidR="008915F8" w:rsidRDefault="008915F8" w:rsidP="00AC0013"/>
              </w:txbxContent>
            </v:textbox>
            <w10:wrap anchorx="page" anchory="page"/>
          </v:shape>
        </w:pict>
      </w:r>
    </w:p>
    <w:p w:rsidR="00AC0013" w:rsidRPr="0003768B" w:rsidRDefault="00AC0013" w:rsidP="00AC0013">
      <w:pPr>
        <w:sectPr w:rsidR="00AC0013" w:rsidRPr="0003768B" w:rsidSect="00AB414E">
          <w:headerReference w:type="default" r:id="rId11"/>
          <w:footerReference w:type="even" r:id="rId12"/>
          <w:footerReference w:type="default" r:id="rId13"/>
          <w:footerReference w:type="first" r:id="rId14"/>
          <w:pgSz w:w="11907" w:h="16840" w:code="9"/>
          <w:pgMar w:top="992" w:right="1559" w:bottom="992" w:left="1797" w:header="284" w:footer="284" w:gutter="0"/>
          <w:cols w:space="708"/>
          <w:titlePg/>
          <w:docGrid w:linePitch="360"/>
        </w:sectPr>
      </w:pPr>
    </w:p>
    <w:p w:rsidR="00AC0013" w:rsidRPr="0003768B" w:rsidRDefault="00AA4331" w:rsidP="00AC0013">
      <w:pPr>
        <w:rPr>
          <w:b/>
        </w:rPr>
      </w:pPr>
      <w:r>
        <w:rPr>
          <w:b/>
        </w:rPr>
        <w:lastRenderedPageBreak/>
        <w:pict>
          <v:shape id="InsideCoverCoBrand" o:spid="_x0000_s1177" type="#_x0000_t202" alt="Title: Co-Branding Logos" style="position:absolute;margin-left:0;margin-top:0;width:595.5pt;height:126.75pt;z-index:251673600;visibility:hidden;mso-position-horizontal:left;mso-position-horizontal-relative:page;mso-position-vertical:top;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" filled="f" stroked="f" strokeweight=".5pt">
            <v:textbox style="mso-fit-shape-to-text:t" inset="20mm,17mm,,0">
              <w:txbxContent>
                <w:tbl>
                  <w:tblPr>
                    <w:tblStyle w:val="LogoPlaceholde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8915F8" w:rsidRPr="00AB780B" w:rsidTr="00DC7231">
                    <w:trPr>
                      <w:trHeight w:hRule="exact" w:val="1247"/>
                      <w:tblCellSpacing w:w="71" w:type="dxa"/>
                    </w:trPr>
                    <w:tc>
                      <w:tcPr>
                        <w:tcW w:w="1601" w:type="dxa"/>
                        <w:vAlign w:val="center"/>
                      </w:tcPr>
                      <w:p w:rsidR="008915F8" w:rsidRPr="00D55628" w:rsidRDefault="008915F8" w:rsidP="00D55628">
                        <w:r w:rsidRPr="00D55628">
                          <w:rPr>
                            <w:noProof/>
                          </w:rPr>
                          <w:drawing>
                            <wp:inline distT="0" distB="0" distL="0" distR="0" wp14:anchorId="2EB30D9A" wp14:editId="261D8E6F">
                              <wp:extent cx="1016635" cy="52006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9">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rsidR="008915F8" w:rsidRPr="00D55628" w:rsidRDefault="008915F8" w:rsidP="00D55628">
                        <w:r w:rsidRPr="00D55628">
                          <w:rPr>
                            <w:noProof/>
                          </w:rPr>
                          <w:drawing>
                            <wp:inline distT="0" distB="0" distL="0" distR="0" wp14:anchorId="56EE08B9" wp14:editId="04D1773B">
                              <wp:extent cx="1016635" cy="52006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9">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rsidR="008915F8" w:rsidRPr="00D55628" w:rsidRDefault="008915F8" w:rsidP="00D55628">
                        <w:r w:rsidRPr="00D55628">
                          <w:rPr>
                            <w:noProof/>
                          </w:rPr>
                          <w:drawing>
                            <wp:inline distT="0" distB="0" distL="0" distR="0" wp14:anchorId="72D7B3A0" wp14:editId="5812ECDF">
                              <wp:extent cx="1016635" cy="52006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9">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rsidR="008915F8" w:rsidRPr="00D55628" w:rsidRDefault="008915F8" w:rsidP="00D55628">
                        <w:r w:rsidRPr="00D55628">
                          <w:rPr>
                            <w:noProof/>
                          </w:rPr>
                          <w:drawing>
                            <wp:inline distT="0" distB="0" distL="0" distR="0" wp14:anchorId="6916087E" wp14:editId="0D50AFAE">
                              <wp:extent cx="1016635" cy="52006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9">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rsidR="008915F8" w:rsidRPr="00D55628" w:rsidRDefault="008915F8" w:rsidP="00AC0013">
                  <w:pPr>
                    <w:pStyle w:val="xDisclaimerText"/>
                  </w:pPr>
                </w:p>
              </w:txbxContent>
            </v:textbox>
            <w10:wrap type="topAndBottom" anchorx="page" anchory="page"/>
          </v:shape>
        </w:pict>
      </w:r>
      <w:r w:rsidR="00AC0013" w:rsidRPr="0003768B">
        <w:rPr>
          <w:b/>
        </w:rPr>
        <w:t>Acknowledg</w:t>
      </w:r>
      <w:r w:rsidR="00AC0013">
        <w:rPr>
          <w:b/>
        </w:rPr>
        <w:t>ements</w:t>
      </w:r>
    </w:p>
    <w:p w:rsidR="00AC0013" w:rsidRDefault="00AC0013">
      <w:r w:rsidRPr="0003768B">
        <w:t xml:space="preserve">The Department of Environment, Land, Water and Planning acknowledges its responsibility for this </w:t>
      </w:r>
      <w:r>
        <w:t>r</w:t>
      </w:r>
      <w:r w:rsidRPr="0003768B">
        <w:t xml:space="preserve">egulatory </w:t>
      </w:r>
      <w:r>
        <w:t>i</w:t>
      </w:r>
      <w:r w:rsidRPr="0003768B">
        <w:t xml:space="preserve">mpact </w:t>
      </w:r>
      <w:r>
        <w:t>s</w:t>
      </w:r>
      <w:r w:rsidRPr="0003768B">
        <w:t>tatement (RIS) that sets out the proposed Building Regulations 2017 and the supporting argument for those Regulations.</w:t>
      </w:r>
    </w:p>
    <w:p w:rsidR="00AC0013" w:rsidRPr="0003768B" w:rsidRDefault="00AC0013">
      <w:r w:rsidRPr="0003768B">
        <w:t>This RIS has been prepared for the express purpose of supporting the proposed Building Regulations 2017 and other potential uses of the information contained in the RIS ha</w:t>
      </w:r>
      <w:r>
        <w:t>ve</w:t>
      </w:r>
      <w:r w:rsidRPr="0003768B">
        <w:t xml:space="preserve"> not been a consideration in its development. The information contained in this RIS has not been subjected to an audit or any </w:t>
      </w:r>
      <w:r>
        <w:t xml:space="preserve">other </w:t>
      </w:r>
      <w:r w:rsidRPr="0003768B">
        <w:t>form of independent verification.</w:t>
      </w:r>
    </w:p>
    <w:p w:rsidR="006F6BD1" w:rsidRPr="00CE7DBB" w:rsidRDefault="006F6BD1" w:rsidP="006F6BD1"/>
    <w:p w:rsidR="006F6BD1" w:rsidRDefault="006F6BD1" w:rsidP="006F6BD1"/>
    <w:p w:rsidR="006F6BD1" w:rsidRDefault="006F6BD1" w:rsidP="006F6BD1"/>
    <w:p w:rsidR="006F6BD1" w:rsidRPr="00CE7DBB" w:rsidRDefault="006F6BD1" w:rsidP="006F6BD1"/>
    <w:p w:rsidR="006F6BD1" w:rsidRPr="00CE7DBB" w:rsidRDefault="006F6BD1" w:rsidP="006F6BD1"/>
    <w:p w:rsidR="00E657D7" w:rsidRDefault="00AC0013">
      <w:r w:rsidRPr="0003768B">
        <w:t>© The State of Victoria Department of Environment, Land, Water and Planning</w:t>
      </w:r>
      <w:r>
        <w:t xml:space="preserve"> </w:t>
      </w:r>
      <w:r w:rsidRPr="0003768B">
        <w:t>2017</w:t>
      </w:r>
    </w:p>
    <w:p w:rsidR="00E657D7" w:rsidRDefault="00E657D7">
      <w:r>
        <w:rPr>
          <w:noProof/>
        </w:rPr>
        <w:drawing>
          <wp:inline distT="0" distB="0" distL="0" distR="0" wp14:anchorId="32FD0F87" wp14:editId="3149809D">
            <wp:extent cx="658800" cy="237600"/>
            <wp:effectExtent l="0" t="0" r="8255" b="0"/>
            <wp:docPr id="1" name="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m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58800" cy="237600"/>
                    </a:xfrm>
                    <a:prstGeom prst="rect">
                      <a:avLst/>
                    </a:prstGeom>
                  </pic:spPr>
                </pic:pic>
              </a:graphicData>
            </a:graphic>
          </wp:inline>
        </w:drawing>
      </w:r>
    </w:p>
    <w:p w:rsidR="00AC0013" w:rsidRDefault="00AC0013" w:rsidP="00AC0013">
      <w:r w:rsidRPr="0003768B">
        <w:t xml:space="preserve">This work is licensed under a Creative Commons Attribution 4.0 International licence. You are free to re-use the work under that licence on the condition that you credit the State of Victoria as author. The licence does not apply to any images, photographs or branding, including the Victorian Coat of Arms, the Victorian Government logo and the Department of Environment, Land, Water and Planning logo. To view a copy of this licence, visit </w:t>
      </w:r>
      <w:hyperlink r:id="rId16" w:history="1">
        <w:r w:rsidRPr="0003768B">
          <w:t>http://creativecommons.org/licenses/by/4.0/</w:t>
        </w:r>
      </w:hyperlink>
      <w:r>
        <w:t>.</w:t>
      </w:r>
    </w:p>
    <w:p w:rsidR="00B47740" w:rsidRDefault="00B47740" w:rsidP="00B47740">
      <w:r>
        <w:t xml:space="preserve">ISBN </w:t>
      </w:r>
      <w:r w:rsidRPr="001F050D">
        <w:t>978-1-76047-592-5 (online)</w:t>
      </w:r>
    </w:p>
    <w:p w:rsidR="00E657D7" w:rsidRDefault="00AC0013">
      <w:pPr>
        <w:rPr>
          <w:b/>
        </w:rPr>
      </w:pPr>
      <w:bookmarkStart w:id="4" w:name="_GoBack"/>
      <w:bookmarkEnd w:id="4"/>
      <w:r w:rsidRPr="0003768B">
        <w:rPr>
          <w:b/>
        </w:rPr>
        <w:t>Disclaimer</w:t>
      </w:r>
    </w:p>
    <w:p w:rsidR="00E657D7" w:rsidRDefault="00AC0013">
      <w:r w:rsidRPr="0003768B">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rsidR="00E657D7" w:rsidRPr="006119D2" w:rsidRDefault="00AC0013">
      <w:pPr>
        <w:rPr>
          <w:sz w:val="24"/>
        </w:rPr>
      </w:pPr>
      <w:r w:rsidRPr="006119D2">
        <w:rPr>
          <w:sz w:val="24"/>
        </w:rPr>
        <w:t>Accessibility</w:t>
      </w:r>
    </w:p>
    <w:p w:rsidR="005573E5" w:rsidRPr="006119D2" w:rsidRDefault="00AC0013" w:rsidP="00AC0013">
      <w:pPr>
        <w:rPr>
          <w:sz w:val="24"/>
        </w:rPr>
      </w:pPr>
      <w:r w:rsidRPr="006119D2">
        <w:rPr>
          <w:sz w:val="24"/>
        </w:rPr>
        <w:t>If you would like to receive this publication in an alternative format, please telephone the department's Customer Service Centre on 136186, email </w:t>
      </w:r>
      <w:hyperlink r:id="rId17" w:history="1">
        <w:r w:rsidRPr="006119D2">
          <w:rPr>
            <w:sz w:val="24"/>
          </w:rPr>
          <w:t>customer.service@delwp.vic.gov.au</w:t>
        </w:r>
      </w:hyperlink>
      <w:r w:rsidRPr="006119D2">
        <w:rPr>
          <w:sz w:val="24"/>
        </w:rPr>
        <w:t xml:space="preserve"> or contact us via the National Relay Service on 133 677 or at </w:t>
      </w:r>
      <w:hyperlink r:id="rId18" w:history="1">
        <w:r w:rsidRPr="006119D2">
          <w:rPr>
            <w:sz w:val="24"/>
          </w:rPr>
          <w:t>www.relayservice.com.au</w:t>
        </w:r>
      </w:hyperlink>
      <w:r w:rsidRPr="006119D2">
        <w:rPr>
          <w:sz w:val="24"/>
        </w:rPr>
        <w:t xml:space="preserve">. This document is also available on the internet at </w:t>
      </w:r>
      <w:hyperlink r:id="rId19" w:history="1">
        <w:r w:rsidRPr="006119D2">
          <w:rPr>
            <w:sz w:val="24"/>
          </w:rPr>
          <w:t>www.delwp.vic.gov.au</w:t>
        </w:r>
      </w:hyperlink>
      <w:r w:rsidRPr="006119D2">
        <w:rPr>
          <w:sz w:val="24"/>
        </w:rPr>
        <w:t>.</w:t>
      </w:r>
    </w:p>
    <w:p w:rsidR="004242BD" w:rsidRDefault="004242BD">
      <w:pPr>
        <w:spacing w:after="0"/>
        <w:sectPr w:rsidR="004242BD" w:rsidSect="004242BD">
          <w:headerReference w:type="even" r:id="rId20"/>
          <w:headerReference w:type="default" r:id="rId21"/>
          <w:footerReference w:type="even" r:id="rId22"/>
          <w:footerReference w:type="default" r:id="rId23"/>
          <w:headerReference w:type="first" r:id="rId24"/>
          <w:pgSz w:w="11907" w:h="16840" w:code="9"/>
          <w:pgMar w:top="1418" w:right="1843" w:bottom="1134" w:left="1843" w:header="567" w:footer="684" w:gutter="0"/>
          <w:pgNumType w:start="1"/>
          <w:cols w:space="227"/>
          <w:docGrid w:linePitch="286"/>
        </w:sectPr>
      </w:pPr>
    </w:p>
    <w:p w:rsidR="005573E5" w:rsidRDefault="005573E5">
      <w:pPr>
        <w:pStyle w:val="Heading1"/>
      </w:pPr>
      <w:bookmarkStart w:id="5" w:name="_Toc480895990"/>
      <w:bookmarkStart w:id="6" w:name="_Toc481501550"/>
      <w:r>
        <w:lastRenderedPageBreak/>
        <w:t>Contents</w:t>
      </w:r>
      <w:bookmarkEnd w:id="5"/>
      <w:bookmarkEnd w:id="6"/>
    </w:p>
    <w:p w:rsidR="004242BD" w:rsidRDefault="006757E8">
      <w:pPr>
        <w:pStyle w:val="TOC1"/>
        <w:rPr>
          <w:rFonts w:eastAsiaTheme="minorEastAsia" w:cstheme="minorBidi"/>
          <w:b w:val="0"/>
          <w:color w:val="auto"/>
        </w:rPr>
      </w:pPr>
      <w:r>
        <w:rPr>
          <w:highlight w:val="lightGray"/>
        </w:rPr>
        <w:fldChar w:fldCharType="begin"/>
      </w:r>
      <w:r>
        <w:rPr>
          <w:highlight w:val="lightGray"/>
        </w:rPr>
        <w:instrText xml:space="preserve"> TOC \h \z \t "Heading 1,1,Heading 2,2,Heading 3,3" </w:instrText>
      </w:r>
      <w:r>
        <w:rPr>
          <w:highlight w:val="lightGray"/>
        </w:rPr>
        <w:fldChar w:fldCharType="separate"/>
      </w:r>
      <w:hyperlink w:anchor="_Toc481501550" w:history="1">
        <w:r w:rsidR="004242BD" w:rsidRPr="002961E6">
          <w:rPr>
            <w:rStyle w:val="Hyperlink"/>
          </w:rPr>
          <w:t>Contents</w:t>
        </w:r>
        <w:r w:rsidR="004242BD">
          <w:rPr>
            <w:webHidden/>
          </w:rPr>
          <w:tab/>
        </w:r>
        <w:r w:rsidR="004242BD">
          <w:rPr>
            <w:webHidden/>
          </w:rPr>
          <w:fldChar w:fldCharType="begin"/>
        </w:r>
        <w:r w:rsidR="004242BD">
          <w:rPr>
            <w:webHidden/>
          </w:rPr>
          <w:instrText xml:space="preserve"> PAGEREF _Toc481501550 \h </w:instrText>
        </w:r>
        <w:r w:rsidR="004242BD">
          <w:rPr>
            <w:webHidden/>
          </w:rPr>
        </w:r>
        <w:r w:rsidR="004242BD">
          <w:rPr>
            <w:webHidden/>
          </w:rPr>
          <w:fldChar w:fldCharType="separate"/>
        </w:r>
        <w:r w:rsidR="00B30389">
          <w:rPr>
            <w:webHidden/>
          </w:rPr>
          <w:t>1</w:t>
        </w:r>
        <w:r w:rsidR="004242BD">
          <w:rPr>
            <w:webHidden/>
          </w:rPr>
          <w:fldChar w:fldCharType="end"/>
        </w:r>
      </w:hyperlink>
    </w:p>
    <w:p w:rsidR="004242BD" w:rsidRDefault="00AA4331">
      <w:pPr>
        <w:pStyle w:val="TOC1"/>
        <w:rPr>
          <w:rFonts w:eastAsiaTheme="minorEastAsia" w:cstheme="minorBidi"/>
          <w:b w:val="0"/>
          <w:color w:val="auto"/>
        </w:rPr>
      </w:pPr>
      <w:hyperlink w:anchor="_Toc481501551" w:history="1">
        <w:r w:rsidR="004242BD" w:rsidRPr="002961E6">
          <w:rPr>
            <w:rStyle w:val="Hyperlink"/>
          </w:rPr>
          <w:t>Acronyms and abbreviations</w:t>
        </w:r>
        <w:r w:rsidR="004242BD">
          <w:rPr>
            <w:webHidden/>
          </w:rPr>
          <w:tab/>
        </w:r>
        <w:r w:rsidR="004242BD">
          <w:rPr>
            <w:webHidden/>
          </w:rPr>
          <w:fldChar w:fldCharType="begin"/>
        </w:r>
        <w:r w:rsidR="004242BD">
          <w:rPr>
            <w:webHidden/>
          </w:rPr>
          <w:instrText xml:space="preserve"> PAGEREF _Toc481501551 \h </w:instrText>
        </w:r>
        <w:r w:rsidR="004242BD">
          <w:rPr>
            <w:webHidden/>
          </w:rPr>
        </w:r>
        <w:r w:rsidR="004242BD">
          <w:rPr>
            <w:webHidden/>
          </w:rPr>
          <w:fldChar w:fldCharType="separate"/>
        </w:r>
        <w:r w:rsidR="00B30389">
          <w:rPr>
            <w:webHidden/>
          </w:rPr>
          <w:t>3</w:t>
        </w:r>
        <w:r w:rsidR="004242BD">
          <w:rPr>
            <w:webHidden/>
          </w:rPr>
          <w:fldChar w:fldCharType="end"/>
        </w:r>
      </w:hyperlink>
    </w:p>
    <w:p w:rsidR="004242BD" w:rsidRDefault="00AA4331">
      <w:pPr>
        <w:pStyle w:val="TOC1"/>
        <w:tabs>
          <w:tab w:val="left" w:pos="567"/>
        </w:tabs>
        <w:rPr>
          <w:rFonts w:eastAsiaTheme="minorEastAsia" w:cstheme="minorBidi"/>
          <w:b w:val="0"/>
          <w:color w:val="auto"/>
        </w:rPr>
      </w:pPr>
      <w:hyperlink w:anchor="_Toc481501552" w:history="1">
        <w:r w:rsidR="004242BD" w:rsidRPr="002961E6">
          <w:rPr>
            <w:rStyle w:val="Hyperlink"/>
          </w:rPr>
          <w:t>1</w:t>
        </w:r>
        <w:r w:rsidR="004242BD">
          <w:rPr>
            <w:rFonts w:eastAsiaTheme="minorEastAsia" w:cstheme="minorBidi"/>
            <w:b w:val="0"/>
            <w:color w:val="auto"/>
          </w:rPr>
          <w:tab/>
        </w:r>
        <w:r w:rsidR="004242BD" w:rsidRPr="002961E6">
          <w:rPr>
            <w:rStyle w:val="Hyperlink"/>
          </w:rPr>
          <w:t>About building in Victoria</w:t>
        </w:r>
        <w:r w:rsidR="004242BD">
          <w:rPr>
            <w:webHidden/>
          </w:rPr>
          <w:tab/>
        </w:r>
        <w:r w:rsidR="004242BD">
          <w:rPr>
            <w:webHidden/>
          </w:rPr>
          <w:fldChar w:fldCharType="begin"/>
        </w:r>
        <w:r w:rsidR="004242BD">
          <w:rPr>
            <w:webHidden/>
          </w:rPr>
          <w:instrText xml:space="preserve"> PAGEREF _Toc481501552 \h </w:instrText>
        </w:r>
        <w:r w:rsidR="004242BD">
          <w:rPr>
            <w:webHidden/>
          </w:rPr>
        </w:r>
        <w:r w:rsidR="004242BD">
          <w:rPr>
            <w:webHidden/>
          </w:rPr>
          <w:fldChar w:fldCharType="separate"/>
        </w:r>
        <w:r w:rsidR="00B30389">
          <w:rPr>
            <w:webHidden/>
          </w:rPr>
          <w:t>4</w:t>
        </w:r>
        <w:r w:rsidR="004242BD">
          <w:rPr>
            <w:webHidden/>
          </w:rPr>
          <w:fldChar w:fldCharType="end"/>
        </w:r>
      </w:hyperlink>
    </w:p>
    <w:p w:rsidR="004242BD" w:rsidRDefault="00AA4331">
      <w:pPr>
        <w:pStyle w:val="TOC2"/>
        <w:tabs>
          <w:tab w:val="left" w:pos="851"/>
        </w:tabs>
        <w:rPr>
          <w:rFonts w:eastAsiaTheme="minorEastAsia" w:cstheme="minorBidi"/>
          <w:b w:val="0"/>
          <w:sz w:val="22"/>
          <w:szCs w:val="22"/>
        </w:rPr>
      </w:pPr>
      <w:hyperlink w:anchor="_Toc481501553" w:history="1">
        <w:r w:rsidR="004242BD" w:rsidRPr="002961E6">
          <w:rPr>
            <w:rStyle w:val="Hyperlink"/>
          </w:rPr>
          <w:t>1.1</w:t>
        </w:r>
        <w:r w:rsidR="004242BD">
          <w:rPr>
            <w:rFonts w:eastAsiaTheme="minorEastAsia" w:cstheme="minorBidi"/>
            <w:b w:val="0"/>
            <w:sz w:val="22"/>
            <w:szCs w:val="22"/>
          </w:rPr>
          <w:tab/>
        </w:r>
        <w:r w:rsidR="004242BD" w:rsidRPr="002961E6">
          <w:rPr>
            <w:rStyle w:val="Hyperlink"/>
          </w:rPr>
          <w:t>The Building Act 1993</w:t>
        </w:r>
        <w:r w:rsidR="004242BD">
          <w:rPr>
            <w:webHidden/>
          </w:rPr>
          <w:tab/>
        </w:r>
        <w:r w:rsidR="004242BD">
          <w:rPr>
            <w:webHidden/>
          </w:rPr>
          <w:fldChar w:fldCharType="begin"/>
        </w:r>
        <w:r w:rsidR="004242BD">
          <w:rPr>
            <w:webHidden/>
          </w:rPr>
          <w:instrText xml:space="preserve"> PAGEREF _Toc481501553 \h </w:instrText>
        </w:r>
        <w:r w:rsidR="004242BD">
          <w:rPr>
            <w:webHidden/>
          </w:rPr>
        </w:r>
        <w:r w:rsidR="004242BD">
          <w:rPr>
            <w:webHidden/>
          </w:rPr>
          <w:fldChar w:fldCharType="separate"/>
        </w:r>
        <w:r w:rsidR="00B30389">
          <w:rPr>
            <w:webHidden/>
          </w:rPr>
          <w:t>4</w:t>
        </w:r>
        <w:r w:rsidR="004242BD">
          <w:rPr>
            <w:webHidden/>
          </w:rPr>
          <w:fldChar w:fldCharType="end"/>
        </w:r>
      </w:hyperlink>
    </w:p>
    <w:p w:rsidR="004242BD" w:rsidRDefault="00AA4331">
      <w:pPr>
        <w:pStyle w:val="TOC3"/>
        <w:tabs>
          <w:tab w:val="left" w:pos="1200"/>
        </w:tabs>
        <w:rPr>
          <w:color w:val="auto"/>
          <w:sz w:val="22"/>
          <w:szCs w:val="22"/>
        </w:rPr>
      </w:pPr>
      <w:hyperlink w:anchor="_Toc481501554" w:history="1">
        <w:r w:rsidR="004242BD" w:rsidRPr="002961E6">
          <w:rPr>
            <w:rStyle w:val="Hyperlink"/>
          </w:rPr>
          <w:t>1.1.1</w:t>
        </w:r>
        <w:r w:rsidR="004242BD">
          <w:rPr>
            <w:color w:val="auto"/>
            <w:sz w:val="22"/>
            <w:szCs w:val="22"/>
          </w:rPr>
          <w:tab/>
        </w:r>
        <w:r w:rsidR="004242BD" w:rsidRPr="002961E6">
          <w:rPr>
            <w:rStyle w:val="Hyperlink"/>
          </w:rPr>
          <w:t>About the Act</w:t>
        </w:r>
        <w:r w:rsidR="004242BD">
          <w:rPr>
            <w:webHidden/>
          </w:rPr>
          <w:tab/>
        </w:r>
        <w:r w:rsidR="004242BD">
          <w:rPr>
            <w:webHidden/>
          </w:rPr>
          <w:fldChar w:fldCharType="begin"/>
        </w:r>
        <w:r w:rsidR="004242BD">
          <w:rPr>
            <w:webHidden/>
          </w:rPr>
          <w:instrText xml:space="preserve"> PAGEREF _Toc481501554 \h </w:instrText>
        </w:r>
        <w:r w:rsidR="004242BD">
          <w:rPr>
            <w:webHidden/>
          </w:rPr>
        </w:r>
        <w:r w:rsidR="004242BD">
          <w:rPr>
            <w:webHidden/>
          </w:rPr>
          <w:fldChar w:fldCharType="separate"/>
        </w:r>
        <w:r w:rsidR="00B30389">
          <w:rPr>
            <w:webHidden/>
          </w:rPr>
          <w:t>4</w:t>
        </w:r>
        <w:r w:rsidR="004242BD">
          <w:rPr>
            <w:webHidden/>
          </w:rPr>
          <w:fldChar w:fldCharType="end"/>
        </w:r>
      </w:hyperlink>
    </w:p>
    <w:p w:rsidR="004242BD" w:rsidRDefault="00AA4331">
      <w:pPr>
        <w:pStyle w:val="TOC3"/>
        <w:tabs>
          <w:tab w:val="left" w:pos="1200"/>
        </w:tabs>
        <w:rPr>
          <w:color w:val="auto"/>
          <w:sz w:val="22"/>
          <w:szCs w:val="22"/>
        </w:rPr>
      </w:pPr>
      <w:hyperlink w:anchor="_Toc481501555" w:history="1">
        <w:r w:rsidR="004242BD" w:rsidRPr="002961E6">
          <w:rPr>
            <w:rStyle w:val="Hyperlink"/>
          </w:rPr>
          <w:t>1.1.2</w:t>
        </w:r>
        <w:r w:rsidR="004242BD">
          <w:rPr>
            <w:color w:val="auto"/>
            <w:sz w:val="22"/>
            <w:szCs w:val="22"/>
          </w:rPr>
          <w:tab/>
        </w:r>
        <w:r w:rsidR="004242BD" w:rsidRPr="002961E6">
          <w:rPr>
            <w:rStyle w:val="Hyperlink"/>
          </w:rPr>
          <w:t>Building regulatory system under the Act</w:t>
        </w:r>
        <w:r w:rsidR="004242BD">
          <w:rPr>
            <w:webHidden/>
          </w:rPr>
          <w:tab/>
        </w:r>
        <w:r w:rsidR="004242BD">
          <w:rPr>
            <w:webHidden/>
          </w:rPr>
          <w:fldChar w:fldCharType="begin"/>
        </w:r>
        <w:r w:rsidR="004242BD">
          <w:rPr>
            <w:webHidden/>
          </w:rPr>
          <w:instrText xml:space="preserve"> PAGEREF _Toc481501555 \h </w:instrText>
        </w:r>
        <w:r w:rsidR="004242BD">
          <w:rPr>
            <w:webHidden/>
          </w:rPr>
        </w:r>
        <w:r w:rsidR="004242BD">
          <w:rPr>
            <w:webHidden/>
          </w:rPr>
          <w:fldChar w:fldCharType="separate"/>
        </w:r>
        <w:r w:rsidR="00B30389">
          <w:rPr>
            <w:webHidden/>
          </w:rPr>
          <w:t>4</w:t>
        </w:r>
        <w:r w:rsidR="004242BD">
          <w:rPr>
            <w:webHidden/>
          </w:rPr>
          <w:fldChar w:fldCharType="end"/>
        </w:r>
      </w:hyperlink>
    </w:p>
    <w:p w:rsidR="004242BD" w:rsidRDefault="00AA4331">
      <w:pPr>
        <w:pStyle w:val="TOC3"/>
        <w:tabs>
          <w:tab w:val="left" w:pos="1200"/>
        </w:tabs>
        <w:rPr>
          <w:color w:val="auto"/>
          <w:sz w:val="22"/>
          <w:szCs w:val="22"/>
        </w:rPr>
      </w:pPr>
      <w:hyperlink w:anchor="_Toc481501556" w:history="1">
        <w:r w:rsidR="004242BD" w:rsidRPr="002961E6">
          <w:rPr>
            <w:rStyle w:val="Hyperlink"/>
          </w:rPr>
          <w:t>1.1.3</w:t>
        </w:r>
        <w:r w:rsidR="004242BD">
          <w:rPr>
            <w:color w:val="auto"/>
            <w:sz w:val="22"/>
            <w:szCs w:val="22"/>
          </w:rPr>
          <w:tab/>
        </w:r>
        <w:r w:rsidR="004242BD" w:rsidRPr="002961E6">
          <w:rPr>
            <w:rStyle w:val="Hyperlink"/>
          </w:rPr>
          <w:t>Building permit system</w:t>
        </w:r>
        <w:r w:rsidR="004242BD">
          <w:rPr>
            <w:webHidden/>
          </w:rPr>
          <w:tab/>
        </w:r>
        <w:r w:rsidR="004242BD">
          <w:rPr>
            <w:webHidden/>
          </w:rPr>
          <w:fldChar w:fldCharType="begin"/>
        </w:r>
        <w:r w:rsidR="004242BD">
          <w:rPr>
            <w:webHidden/>
          </w:rPr>
          <w:instrText xml:space="preserve"> PAGEREF _Toc481501556 \h </w:instrText>
        </w:r>
        <w:r w:rsidR="004242BD">
          <w:rPr>
            <w:webHidden/>
          </w:rPr>
        </w:r>
        <w:r w:rsidR="004242BD">
          <w:rPr>
            <w:webHidden/>
          </w:rPr>
          <w:fldChar w:fldCharType="separate"/>
        </w:r>
        <w:r w:rsidR="00B30389">
          <w:rPr>
            <w:webHidden/>
          </w:rPr>
          <w:t>7</w:t>
        </w:r>
        <w:r w:rsidR="004242BD">
          <w:rPr>
            <w:webHidden/>
          </w:rPr>
          <w:fldChar w:fldCharType="end"/>
        </w:r>
      </w:hyperlink>
    </w:p>
    <w:p w:rsidR="004242BD" w:rsidRDefault="00AA4331">
      <w:pPr>
        <w:pStyle w:val="TOC2"/>
        <w:tabs>
          <w:tab w:val="left" w:pos="851"/>
        </w:tabs>
        <w:rPr>
          <w:rFonts w:eastAsiaTheme="minorEastAsia" w:cstheme="minorBidi"/>
          <w:b w:val="0"/>
          <w:sz w:val="22"/>
          <w:szCs w:val="22"/>
        </w:rPr>
      </w:pPr>
      <w:hyperlink w:anchor="_Toc481501557" w:history="1">
        <w:r w:rsidR="004242BD" w:rsidRPr="002961E6">
          <w:rPr>
            <w:rStyle w:val="Hyperlink"/>
          </w:rPr>
          <w:t>1.2</w:t>
        </w:r>
        <w:r w:rsidR="004242BD">
          <w:rPr>
            <w:rFonts w:eastAsiaTheme="minorEastAsia" w:cstheme="minorBidi"/>
            <w:b w:val="0"/>
            <w:sz w:val="22"/>
            <w:szCs w:val="22"/>
          </w:rPr>
          <w:tab/>
        </w:r>
        <w:r w:rsidR="004242BD" w:rsidRPr="002961E6">
          <w:rPr>
            <w:rStyle w:val="Hyperlink"/>
          </w:rPr>
          <w:t>Responsibility for implementing the Regulations</w:t>
        </w:r>
        <w:r w:rsidR="004242BD">
          <w:rPr>
            <w:webHidden/>
          </w:rPr>
          <w:tab/>
        </w:r>
        <w:r w:rsidR="004242BD">
          <w:rPr>
            <w:webHidden/>
          </w:rPr>
          <w:fldChar w:fldCharType="begin"/>
        </w:r>
        <w:r w:rsidR="004242BD">
          <w:rPr>
            <w:webHidden/>
          </w:rPr>
          <w:instrText xml:space="preserve"> PAGEREF _Toc481501557 \h </w:instrText>
        </w:r>
        <w:r w:rsidR="004242BD">
          <w:rPr>
            <w:webHidden/>
          </w:rPr>
        </w:r>
        <w:r w:rsidR="004242BD">
          <w:rPr>
            <w:webHidden/>
          </w:rPr>
          <w:fldChar w:fldCharType="separate"/>
        </w:r>
        <w:r w:rsidR="00B30389">
          <w:rPr>
            <w:webHidden/>
          </w:rPr>
          <w:t>9</w:t>
        </w:r>
        <w:r w:rsidR="004242BD">
          <w:rPr>
            <w:webHidden/>
          </w:rPr>
          <w:fldChar w:fldCharType="end"/>
        </w:r>
      </w:hyperlink>
    </w:p>
    <w:p w:rsidR="004242BD" w:rsidRDefault="00AA4331">
      <w:pPr>
        <w:pStyle w:val="TOC3"/>
        <w:tabs>
          <w:tab w:val="left" w:pos="1200"/>
        </w:tabs>
        <w:rPr>
          <w:color w:val="auto"/>
          <w:sz w:val="22"/>
          <w:szCs w:val="22"/>
        </w:rPr>
      </w:pPr>
      <w:hyperlink w:anchor="_Toc481501558" w:history="1">
        <w:r w:rsidR="004242BD" w:rsidRPr="002961E6">
          <w:rPr>
            <w:rStyle w:val="Hyperlink"/>
          </w:rPr>
          <w:t>1.2.1</w:t>
        </w:r>
        <w:r w:rsidR="004242BD">
          <w:rPr>
            <w:color w:val="auto"/>
            <w:sz w:val="22"/>
            <w:szCs w:val="22"/>
          </w:rPr>
          <w:tab/>
        </w:r>
        <w:r w:rsidR="004242BD" w:rsidRPr="002961E6">
          <w:rPr>
            <w:rStyle w:val="Hyperlink"/>
          </w:rPr>
          <w:t>Victorian Building Authority role</w:t>
        </w:r>
        <w:r w:rsidR="004242BD">
          <w:rPr>
            <w:webHidden/>
          </w:rPr>
          <w:tab/>
        </w:r>
        <w:r w:rsidR="004242BD">
          <w:rPr>
            <w:webHidden/>
          </w:rPr>
          <w:fldChar w:fldCharType="begin"/>
        </w:r>
        <w:r w:rsidR="004242BD">
          <w:rPr>
            <w:webHidden/>
          </w:rPr>
          <w:instrText xml:space="preserve"> PAGEREF _Toc481501558 \h </w:instrText>
        </w:r>
        <w:r w:rsidR="004242BD">
          <w:rPr>
            <w:webHidden/>
          </w:rPr>
        </w:r>
        <w:r w:rsidR="004242BD">
          <w:rPr>
            <w:webHidden/>
          </w:rPr>
          <w:fldChar w:fldCharType="separate"/>
        </w:r>
        <w:r w:rsidR="00B30389">
          <w:rPr>
            <w:webHidden/>
          </w:rPr>
          <w:t>9</w:t>
        </w:r>
        <w:r w:rsidR="004242BD">
          <w:rPr>
            <w:webHidden/>
          </w:rPr>
          <w:fldChar w:fldCharType="end"/>
        </w:r>
      </w:hyperlink>
    </w:p>
    <w:p w:rsidR="004242BD" w:rsidRDefault="00AA4331">
      <w:pPr>
        <w:pStyle w:val="TOC3"/>
        <w:tabs>
          <w:tab w:val="left" w:pos="1200"/>
        </w:tabs>
        <w:rPr>
          <w:color w:val="auto"/>
          <w:sz w:val="22"/>
          <w:szCs w:val="22"/>
        </w:rPr>
      </w:pPr>
      <w:hyperlink w:anchor="_Toc481501559" w:history="1">
        <w:r w:rsidR="004242BD" w:rsidRPr="002961E6">
          <w:rPr>
            <w:rStyle w:val="Hyperlink"/>
          </w:rPr>
          <w:t>1.2.2</w:t>
        </w:r>
        <w:r w:rsidR="004242BD">
          <w:rPr>
            <w:color w:val="auto"/>
            <w:sz w:val="22"/>
            <w:szCs w:val="22"/>
          </w:rPr>
          <w:tab/>
        </w:r>
        <w:r w:rsidR="004242BD" w:rsidRPr="002961E6">
          <w:rPr>
            <w:rStyle w:val="Hyperlink"/>
          </w:rPr>
          <w:t>Council role</w:t>
        </w:r>
        <w:r w:rsidR="004242BD">
          <w:rPr>
            <w:webHidden/>
          </w:rPr>
          <w:tab/>
        </w:r>
        <w:r w:rsidR="004242BD">
          <w:rPr>
            <w:webHidden/>
          </w:rPr>
          <w:fldChar w:fldCharType="begin"/>
        </w:r>
        <w:r w:rsidR="004242BD">
          <w:rPr>
            <w:webHidden/>
          </w:rPr>
          <w:instrText xml:space="preserve"> PAGEREF _Toc481501559 \h </w:instrText>
        </w:r>
        <w:r w:rsidR="004242BD">
          <w:rPr>
            <w:webHidden/>
          </w:rPr>
        </w:r>
        <w:r w:rsidR="004242BD">
          <w:rPr>
            <w:webHidden/>
          </w:rPr>
          <w:fldChar w:fldCharType="separate"/>
        </w:r>
        <w:r w:rsidR="00B30389">
          <w:rPr>
            <w:webHidden/>
          </w:rPr>
          <w:t>11</w:t>
        </w:r>
        <w:r w:rsidR="004242BD">
          <w:rPr>
            <w:webHidden/>
          </w:rPr>
          <w:fldChar w:fldCharType="end"/>
        </w:r>
      </w:hyperlink>
    </w:p>
    <w:p w:rsidR="004242BD" w:rsidRDefault="00AA4331">
      <w:pPr>
        <w:pStyle w:val="TOC3"/>
        <w:tabs>
          <w:tab w:val="left" w:pos="1200"/>
        </w:tabs>
        <w:rPr>
          <w:color w:val="auto"/>
          <w:sz w:val="22"/>
          <w:szCs w:val="22"/>
        </w:rPr>
      </w:pPr>
      <w:hyperlink w:anchor="_Toc481501560" w:history="1">
        <w:r w:rsidR="004242BD" w:rsidRPr="002961E6">
          <w:rPr>
            <w:rStyle w:val="Hyperlink"/>
          </w:rPr>
          <w:t>1.2.3</w:t>
        </w:r>
        <w:r w:rsidR="004242BD">
          <w:rPr>
            <w:color w:val="auto"/>
            <w:sz w:val="22"/>
            <w:szCs w:val="22"/>
          </w:rPr>
          <w:tab/>
        </w:r>
        <w:r w:rsidR="004242BD" w:rsidRPr="002961E6">
          <w:rPr>
            <w:rStyle w:val="Hyperlink"/>
          </w:rPr>
          <w:t>Building surveyor role</w:t>
        </w:r>
        <w:r w:rsidR="004242BD">
          <w:rPr>
            <w:webHidden/>
          </w:rPr>
          <w:tab/>
        </w:r>
        <w:r w:rsidR="004242BD">
          <w:rPr>
            <w:webHidden/>
          </w:rPr>
          <w:fldChar w:fldCharType="begin"/>
        </w:r>
        <w:r w:rsidR="004242BD">
          <w:rPr>
            <w:webHidden/>
          </w:rPr>
          <w:instrText xml:space="preserve"> PAGEREF _Toc481501560 \h </w:instrText>
        </w:r>
        <w:r w:rsidR="004242BD">
          <w:rPr>
            <w:webHidden/>
          </w:rPr>
        </w:r>
        <w:r w:rsidR="004242BD">
          <w:rPr>
            <w:webHidden/>
          </w:rPr>
          <w:fldChar w:fldCharType="separate"/>
        </w:r>
        <w:r w:rsidR="00B30389">
          <w:rPr>
            <w:webHidden/>
          </w:rPr>
          <w:t>11</w:t>
        </w:r>
        <w:r w:rsidR="004242BD">
          <w:rPr>
            <w:webHidden/>
          </w:rPr>
          <w:fldChar w:fldCharType="end"/>
        </w:r>
      </w:hyperlink>
    </w:p>
    <w:p w:rsidR="004242BD" w:rsidRDefault="00AA4331">
      <w:pPr>
        <w:pStyle w:val="TOC3"/>
        <w:tabs>
          <w:tab w:val="left" w:pos="1200"/>
        </w:tabs>
        <w:rPr>
          <w:color w:val="auto"/>
          <w:sz w:val="22"/>
          <w:szCs w:val="22"/>
        </w:rPr>
      </w:pPr>
      <w:hyperlink w:anchor="_Toc481501561" w:history="1">
        <w:r w:rsidR="004242BD" w:rsidRPr="002961E6">
          <w:rPr>
            <w:rStyle w:val="Hyperlink"/>
          </w:rPr>
          <w:t>1.2.4</w:t>
        </w:r>
        <w:r w:rsidR="004242BD">
          <w:rPr>
            <w:color w:val="auto"/>
            <w:sz w:val="22"/>
            <w:szCs w:val="22"/>
          </w:rPr>
          <w:tab/>
        </w:r>
        <w:r w:rsidR="004242BD" w:rsidRPr="002961E6">
          <w:rPr>
            <w:rStyle w:val="Hyperlink"/>
          </w:rPr>
          <w:t>Other major legislative frameworks that interact with building controls</w:t>
        </w:r>
        <w:r w:rsidR="004242BD">
          <w:rPr>
            <w:webHidden/>
          </w:rPr>
          <w:tab/>
        </w:r>
        <w:r w:rsidR="004242BD">
          <w:rPr>
            <w:webHidden/>
          </w:rPr>
          <w:fldChar w:fldCharType="begin"/>
        </w:r>
        <w:r w:rsidR="004242BD">
          <w:rPr>
            <w:webHidden/>
          </w:rPr>
          <w:instrText xml:space="preserve"> PAGEREF _Toc481501561 \h </w:instrText>
        </w:r>
        <w:r w:rsidR="004242BD">
          <w:rPr>
            <w:webHidden/>
          </w:rPr>
        </w:r>
        <w:r w:rsidR="004242BD">
          <w:rPr>
            <w:webHidden/>
          </w:rPr>
          <w:fldChar w:fldCharType="separate"/>
        </w:r>
        <w:r w:rsidR="00B30389">
          <w:rPr>
            <w:webHidden/>
          </w:rPr>
          <w:t>12</w:t>
        </w:r>
        <w:r w:rsidR="004242BD">
          <w:rPr>
            <w:webHidden/>
          </w:rPr>
          <w:fldChar w:fldCharType="end"/>
        </w:r>
      </w:hyperlink>
    </w:p>
    <w:p w:rsidR="004242BD" w:rsidRDefault="00AA4331">
      <w:pPr>
        <w:pStyle w:val="TOC2"/>
        <w:tabs>
          <w:tab w:val="left" w:pos="851"/>
        </w:tabs>
        <w:rPr>
          <w:rFonts w:eastAsiaTheme="minorEastAsia" w:cstheme="minorBidi"/>
          <w:b w:val="0"/>
          <w:sz w:val="22"/>
          <w:szCs w:val="22"/>
        </w:rPr>
      </w:pPr>
      <w:hyperlink w:anchor="_Toc481501562" w:history="1">
        <w:r w:rsidR="004242BD" w:rsidRPr="002961E6">
          <w:rPr>
            <w:rStyle w:val="Hyperlink"/>
          </w:rPr>
          <w:t>1.3</w:t>
        </w:r>
        <w:r w:rsidR="004242BD">
          <w:rPr>
            <w:rFonts w:eastAsiaTheme="minorEastAsia" w:cstheme="minorBidi"/>
            <w:b w:val="0"/>
            <w:sz w:val="22"/>
            <w:szCs w:val="22"/>
          </w:rPr>
          <w:tab/>
        </w:r>
        <w:r w:rsidR="004242BD" w:rsidRPr="002961E6">
          <w:rPr>
            <w:rStyle w:val="Hyperlink"/>
          </w:rPr>
          <w:t>Rationale for government intervention</w:t>
        </w:r>
        <w:r w:rsidR="004242BD">
          <w:rPr>
            <w:webHidden/>
          </w:rPr>
          <w:tab/>
        </w:r>
        <w:r w:rsidR="004242BD">
          <w:rPr>
            <w:webHidden/>
          </w:rPr>
          <w:fldChar w:fldCharType="begin"/>
        </w:r>
        <w:r w:rsidR="004242BD">
          <w:rPr>
            <w:webHidden/>
          </w:rPr>
          <w:instrText xml:space="preserve"> PAGEREF _Toc481501562 \h </w:instrText>
        </w:r>
        <w:r w:rsidR="004242BD">
          <w:rPr>
            <w:webHidden/>
          </w:rPr>
        </w:r>
        <w:r w:rsidR="004242BD">
          <w:rPr>
            <w:webHidden/>
          </w:rPr>
          <w:fldChar w:fldCharType="separate"/>
        </w:r>
        <w:r w:rsidR="00B30389">
          <w:rPr>
            <w:webHidden/>
          </w:rPr>
          <w:t>17</w:t>
        </w:r>
        <w:r w:rsidR="004242BD">
          <w:rPr>
            <w:webHidden/>
          </w:rPr>
          <w:fldChar w:fldCharType="end"/>
        </w:r>
      </w:hyperlink>
    </w:p>
    <w:p w:rsidR="004242BD" w:rsidRDefault="00AA4331">
      <w:pPr>
        <w:pStyle w:val="TOC3"/>
        <w:tabs>
          <w:tab w:val="left" w:pos="1200"/>
        </w:tabs>
        <w:rPr>
          <w:color w:val="auto"/>
          <w:sz w:val="22"/>
          <w:szCs w:val="22"/>
        </w:rPr>
      </w:pPr>
      <w:hyperlink w:anchor="_Toc481501563" w:history="1">
        <w:r w:rsidR="004242BD" w:rsidRPr="002961E6">
          <w:rPr>
            <w:rStyle w:val="Hyperlink"/>
          </w:rPr>
          <w:t>1.3.1</w:t>
        </w:r>
        <w:r w:rsidR="004242BD">
          <w:rPr>
            <w:color w:val="auto"/>
            <w:sz w:val="22"/>
            <w:szCs w:val="22"/>
          </w:rPr>
          <w:tab/>
        </w:r>
        <w:r w:rsidR="004242BD" w:rsidRPr="002961E6">
          <w:rPr>
            <w:rStyle w:val="Hyperlink"/>
          </w:rPr>
          <w:t>Imperfect or asymmetric information</w:t>
        </w:r>
        <w:r w:rsidR="004242BD">
          <w:rPr>
            <w:webHidden/>
          </w:rPr>
          <w:tab/>
        </w:r>
        <w:r w:rsidR="004242BD">
          <w:rPr>
            <w:webHidden/>
          </w:rPr>
          <w:fldChar w:fldCharType="begin"/>
        </w:r>
        <w:r w:rsidR="004242BD">
          <w:rPr>
            <w:webHidden/>
          </w:rPr>
          <w:instrText xml:space="preserve"> PAGEREF _Toc481501563 \h </w:instrText>
        </w:r>
        <w:r w:rsidR="004242BD">
          <w:rPr>
            <w:webHidden/>
          </w:rPr>
        </w:r>
        <w:r w:rsidR="004242BD">
          <w:rPr>
            <w:webHidden/>
          </w:rPr>
          <w:fldChar w:fldCharType="separate"/>
        </w:r>
        <w:r w:rsidR="00B30389">
          <w:rPr>
            <w:webHidden/>
          </w:rPr>
          <w:t>17</w:t>
        </w:r>
        <w:r w:rsidR="004242BD">
          <w:rPr>
            <w:webHidden/>
          </w:rPr>
          <w:fldChar w:fldCharType="end"/>
        </w:r>
      </w:hyperlink>
    </w:p>
    <w:p w:rsidR="004242BD" w:rsidRDefault="00AA4331">
      <w:pPr>
        <w:pStyle w:val="TOC3"/>
        <w:tabs>
          <w:tab w:val="left" w:pos="1200"/>
        </w:tabs>
        <w:rPr>
          <w:color w:val="auto"/>
          <w:sz w:val="22"/>
          <w:szCs w:val="22"/>
        </w:rPr>
      </w:pPr>
      <w:hyperlink w:anchor="_Toc481501564" w:history="1">
        <w:r w:rsidR="004242BD" w:rsidRPr="002961E6">
          <w:rPr>
            <w:rStyle w:val="Hyperlink"/>
          </w:rPr>
          <w:t>1.3.2</w:t>
        </w:r>
        <w:r w:rsidR="004242BD">
          <w:rPr>
            <w:color w:val="auto"/>
            <w:sz w:val="22"/>
            <w:szCs w:val="22"/>
          </w:rPr>
          <w:tab/>
        </w:r>
        <w:r w:rsidR="004242BD" w:rsidRPr="002961E6">
          <w:rPr>
            <w:rStyle w:val="Hyperlink"/>
          </w:rPr>
          <w:t>Externalities</w:t>
        </w:r>
        <w:r w:rsidR="004242BD">
          <w:rPr>
            <w:webHidden/>
          </w:rPr>
          <w:tab/>
        </w:r>
        <w:r w:rsidR="004242BD">
          <w:rPr>
            <w:webHidden/>
          </w:rPr>
          <w:fldChar w:fldCharType="begin"/>
        </w:r>
        <w:r w:rsidR="004242BD">
          <w:rPr>
            <w:webHidden/>
          </w:rPr>
          <w:instrText xml:space="preserve"> PAGEREF _Toc481501564 \h </w:instrText>
        </w:r>
        <w:r w:rsidR="004242BD">
          <w:rPr>
            <w:webHidden/>
          </w:rPr>
        </w:r>
        <w:r w:rsidR="004242BD">
          <w:rPr>
            <w:webHidden/>
          </w:rPr>
          <w:fldChar w:fldCharType="separate"/>
        </w:r>
        <w:r w:rsidR="00B30389">
          <w:rPr>
            <w:webHidden/>
          </w:rPr>
          <w:t>19</w:t>
        </w:r>
        <w:r w:rsidR="004242BD">
          <w:rPr>
            <w:webHidden/>
          </w:rPr>
          <w:fldChar w:fldCharType="end"/>
        </w:r>
      </w:hyperlink>
    </w:p>
    <w:p w:rsidR="004242BD" w:rsidRDefault="00AA4331">
      <w:pPr>
        <w:pStyle w:val="TOC3"/>
        <w:tabs>
          <w:tab w:val="left" w:pos="1200"/>
        </w:tabs>
        <w:rPr>
          <w:color w:val="auto"/>
          <w:sz w:val="22"/>
          <w:szCs w:val="22"/>
        </w:rPr>
      </w:pPr>
      <w:hyperlink w:anchor="_Toc481501565" w:history="1">
        <w:r w:rsidR="004242BD" w:rsidRPr="002961E6">
          <w:rPr>
            <w:rStyle w:val="Hyperlink"/>
          </w:rPr>
          <w:t>1.3.3</w:t>
        </w:r>
        <w:r w:rsidR="004242BD">
          <w:rPr>
            <w:color w:val="auto"/>
            <w:sz w:val="22"/>
            <w:szCs w:val="22"/>
          </w:rPr>
          <w:tab/>
        </w:r>
        <w:r w:rsidR="004242BD" w:rsidRPr="002961E6">
          <w:rPr>
            <w:rStyle w:val="Hyperlink"/>
          </w:rPr>
          <w:t>Other rationales for intervention</w:t>
        </w:r>
        <w:r w:rsidR="004242BD">
          <w:rPr>
            <w:webHidden/>
          </w:rPr>
          <w:tab/>
        </w:r>
        <w:r w:rsidR="004242BD">
          <w:rPr>
            <w:webHidden/>
          </w:rPr>
          <w:fldChar w:fldCharType="begin"/>
        </w:r>
        <w:r w:rsidR="004242BD">
          <w:rPr>
            <w:webHidden/>
          </w:rPr>
          <w:instrText xml:space="preserve"> PAGEREF _Toc481501565 \h </w:instrText>
        </w:r>
        <w:r w:rsidR="004242BD">
          <w:rPr>
            <w:webHidden/>
          </w:rPr>
        </w:r>
        <w:r w:rsidR="004242BD">
          <w:rPr>
            <w:webHidden/>
          </w:rPr>
          <w:fldChar w:fldCharType="separate"/>
        </w:r>
        <w:r w:rsidR="00B30389">
          <w:rPr>
            <w:webHidden/>
          </w:rPr>
          <w:t>19</w:t>
        </w:r>
        <w:r w:rsidR="004242BD">
          <w:rPr>
            <w:webHidden/>
          </w:rPr>
          <w:fldChar w:fldCharType="end"/>
        </w:r>
      </w:hyperlink>
    </w:p>
    <w:p w:rsidR="004242BD" w:rsidRDefault="00AA4331">
      <w:pPr>
        <w:pStyle w:val="TOC2"/>
        <w:tabs>
          <w:tab w:val="left" w:pos="851"/>
        </w:tabs>
        <w:rPr>
          <w:rFonts w:eastAsiaTheme="minorEastAsia" w:cstheme="minorBidi"/>
          <w:b w:val="0"/>
          <w:sz w:val="22"/>
          <w:szCs w:val="22"/>
        </w:rPr>
      </w:pPr>
      <w:hyperlink w:anchor="_Toc481501566" w:history="1">
        <w:r w:rsidR="004242BD" w:rsidRPr="002961E6">
          <w:rPr>
            <w:rStyle w:val="Hyperlink"/>
          </w:rPr>
          <w:t>1.4</w:t>
        </w:r>
        <w:r w:rsidR="004242BD">
          <w:rPr>
            <w:rFonts w:eastAsiaTheme="minorEastAsia" w:cstheme="minorBidi"/>
            <w:b w:val="0"/>
            <w:sz w:val="22"/>
            <w:szCs w:val="22"/>
          </w:rPr>
          <w:tab/>
        </w:r>
        <w:r w:rsidR="004242BD" w:rsidRPr="002961E6">
          <w:rPr>
            <w:rStyle w:val="Hyperlink"/>
          </w:rPr>
          <w:t>Evidence of building industry problems</w:t>
        </w:r>
        <w:r w:rsidR="004242BD">
          <w:rPr>
            <w:webHidden/>
          </w:rPr>
          <w:tab/>
        </w:r>
        <w:r w:rsidR="004242BD">
          <w:rPr>
            <w:webHidden/>
          </w:rPr>
          <w:fldChar w:fldCharType="begin"/>
        </w:r>
        <w:r w:rsidR="004242BD">
          <w:rPr>
            <w:webHidden/>
          </w:rPr>
          <w:instrText xml:space="preserve"> PAGEREF _Toc481501566 \h </w:instrText>
        </w:r>
        <w:r w:rsidR="004242BD">
          <w:rPr>
            <w:webHidden/>
          </w:rPr>
        </w:r>
        <w:r w:rsidR="004242BD">
          <w:rPr>
            <w:webHidden/>
          </w:rPr>
          <w:fldChar w:fldCharType="separate"/>
        </w:r>
        <w:r w:rsidR="00B30389">
          <w:rPr>
            <w:webHidden/>
          </w:rPr>
          <w:t>20</w:t>
        </w:r>
        <w:r w:rsidR="004242BD">
          <w:rPr>
            <w:webHidden/>
          </w:rPr>
          <w:fldChar w:fldCharType="end"/>
        </w:r>
      </w:hyperlink>
    </w:p>
    <w:p w:rsidR="004242BD" w:rsidRDefault="00AA4331">
      <w:pPr>
        <w:pStyle w:val="TOC3"/>
        <w:tabs>
          <w:tab w:val="left" w:pos="1200"/>
        </w:tabs>
        <w:rPr>
          <w:color w:val="auto"/>
          <w:sz w:val="22"/>
          <w:szCs w:val="22"/>
        </w:rPr>
      </w:pPr>
      <w:hyperlink w:anchor="_Toc481501567" w:history="1">
        <w:r w:rsidR="004242BD" w:rsidRPr="002961E6">
          <w:rPr>
            <w:rStyle w:val="Hyperlink"/>
          </w:rPr>
          <w:t>1.4.1</w:t>
        </w:r>
        <w:r w:rsidR="004242BD">
          <w:rPr>
            <w:color w:val="auto"/>
            <w:sz w:val="22"/>
            <w:szCs w:val="22"/>
          </w:rPr>
          <w:tab/>
        </w:r>
        <w:r w:rsidR="004242BD" w:rsidRPr="002961E6">
          <w:rPr>
            <w:rStyle w:val="Hyperlink"/>
          </w:rPr>
          <w:t>Defective building work</w:t>
        </w:r>
        <w:r w:rsidR="004242BD">
          <w:rPr>
            <w:webHidden/>
          </w:rPr>
          <w:tab/>
        </w:r>
        <w:r w:rsidR="004242BD">
          <w:rPr>
            <w:webHidden/>
          </w:rPr>
          <w:fldChar w:fldCharType="begin"/>
        </w:r>
        <w:r w:rsidR="004242BD">
          <w:rPr>
            <w:webHidden/>
          </w:rPr>
          <w:instrText xml:space="preserve"> PAGEREF _Toc481501567 \h </w:instrText>
        </w:r>
        <w:r w:rsidR="004242BD">
          <w:rPr>
            <w:webHidden/>
          </w:rPr>
        </w:r>
        <w:r w:rsidR="004242BD">
          <w:rPr>
            <w:webHidden/>
          </w:rPr>
          <w:fldChar w:fldCharType="separate"/>
        </w:r>
        <w:r w:rsidR="00B30389">
          <w:rPr>
            <w:webHidden/>
          </w:rPr>
          <w:t>20</w:t>
        </w:r>
        <w:r w:rsidR="004242BD">
          <w:rPr>
            <w:webHidden/>
          </w:rPr>
          <w:fldChar w:fldCharType="end"/>
        </w:r>
      </w:hyperlink>
    </w:p>
    <w:p w:rsidR="004242BD" w:rsidRDefault="00AA4331">
      <w:pPr>
        <w:pStyle w:val="TOC3"/>
        <w:tabs>
          <w:tab w:val="left" w:pos="1200"/>
        </w:tabs>
        <w:rPr>
          <w:color w:val="auto"/>
          <w:sz w:val="22"/>
          <w:szCs w:val="22"/>
        </w:rPr>
      </w:pPr>
      <w:hyperlink w:anchor="_Toc481501568" w:history="1">
        <w:r w:rsidR="004242BD" w:rsidRPr="002961E6">
          <w:rPr>
            <w:rStyle w:val="Hyperlink"/>
          </w:rPr>
          <w:t>1.4.2</w:t>
        </w:r>
        <w:r w:rsidR="004242BD">
          <w:rPr>
            <w:color w:val="auto"/>
            <w:sz w:val="22"/>
            <w:szCs w:val="22"/>
          </w:rPr>
          <w:tab/>
        </w:r>
        <w:r w:rsidR="004242BD" w:rsidRPr="002961E6">
          <w:rPr>
            <w:rStyle w:val="Hyperlink"/>
          </w:rPr>
          <w:t>Disputes</w:t>
        </w:r>
        <w:r w:rsidR="004242BD">
          <w:rPr>
            <w:webHidden/>
          </w:rPr>
          <w:tab/>
        </w:r>
        <w:r w:rsidR="004242BD">
          <w:rPr>
            <w:webHidden/>
          </w:rPr>
          <w:fldChar w:fldCharType="begin"/>
        </w:r>
        <w:r w:rsidR="004242BD">
          <w:rPr>
            <w:webHidden/>
          </w:rPr>
          <w:instrText xml:space="preserve"> PAGEREF _Toc481501568 \h </w:instrText>
        </w:r>
        <w:r w:rsidR="004242BD">
          <w:rPr>
            <w:webHidden/>
          </w:rPr>
        </w:r>
        <w:r w:rsidR="004242BD">
          <w:rPr>
            <w:webHidden/>
          </w:rPr>
          <w:fldChar w:fldCharType="separate"/>
        </w:r>
        <w:r w:rsidR="00B30389">
          <w:rPr>
            <w:webHidden/>
          </w:rPr>
          <w:t>21</w:t>
        </w:r>
        <w:r w:rsidR="004242BD">
          <w:rPr>
            <w:webHidden/>
          </w:rPr>
          <w:fldChar w:fldCharType="end"/>
        </w:r>
      </w:hyperlink>
    </w:p>
    <w:p w:rsidR="004242BD" w:rsidRDefault="00AA4331">
      <w:pPr>
        <w:pStyle w:val="TOC3"/>
        <w:tabs>
          <w:tab w:val="left" w:pos="1200"/>
        </w:tabs>
        <w:rPr>
          <w:color w:val="auto"/>
          <w:sz w:val="22"/>
          <w:szCs w:val="22"/>
        </w:rPr>
      </w:pPr>
      <w:hyperlink w:anchor="_Toc481501569" w:history="1">
        <w:r w:rsidR="004242BD" w:rsidRPr="002961E6">
          <w:rPr>
            <w:rStyle w:val="Hyperlink"/>
          </w:rPr>
          <w:t>1.4.3</w:t>
        </w:r>
        <w:r w:rsidR="004242BD">
          <w:rPr>
            <w:color w:val="auto"/>
            <w:sz w:val="22"/>
            <w:szCs w:val="22"/>
          </w:rPr>
          <w:tab/>
        </w:r>
        <w:r w:rsidR="004242BD" w:rsidRPr="002961E6">
          <w:rPr>
            <w:rStyle w:val="Hyperlink"/>
          </w:rPr>
          <w:t>Complaints and investigations</w:t>
        </w:r>
        <w:r w:rsidR="004242BD">
          <w:rPr>
            <w:webHidden/>
          </w:rPr>
          <w:tab/>
        </w:r>
        <w:r w:rsidR="004242BD">
          <w:rPr>
            <w:webHidden/>
          </w:rPr>
          <w:fldChar w:fldCharType="begin"/>
        </w:r>
        <w:r w:rsidR="004242BD">
          <w:rPr>
            <w:webHidden/>
          </w:rPr>
          <w:instrText xml:space="preserve"> PAGEREF _Toc481501569 \h </w:instrText>
        </w:r>
        <w:r w:rsidR="004242BD">
          <w:rPr>
            <w:webHidden/>
          </w:rPr>
        </w:r>
        <w:r w:rsidR="004242BD">
          <w:rPr>
            <w:webHidden/>
          </w:rPr>
          <w:fldChar w:fldCharType="separate"/>
        </w:r>
        <w:r w:rsidR="00B30389">
          <w:rPr>
            <w:webHidden/>
          </w:rPr>
          <w:t>23</w:t>
        </w:r>
        <w:r w:rsidR="004242BD">
          <w:rPr>
            <w:webHidden/>
          </w:rPr>
          <w:fldChar w:fldCharType="end"/>
        </w:r>
      </w:hyperlink>
    </w:p>
    <w:p w:rsidR="004242BD" w:rsidRDefault="00AA4331">
      <w:pPr>
        <w:pStyle w:val="TOC1"/>
        <w:tabs>
          <w:tab w:val="left" w:pos="567"/>
        </w:tabs>
        <w:rPr>
          <w:rFonts w:eastAsiaTheme="minorEastAsia" w:cstheme="minorBidi"/>
          <w:b w:val="0"/>
          <w:color w:val="auto"/>
        </w:rPr>
      </w:pPr>
      <w:hyperlink w:anchor="_Toc481501570" w:history="1">
        <w:r w:rsidR="004242BD" w:rsidRPr="002961E6">
          <w:rPr>
            <w:rStyle w:val="Hyperlink"/>
          </w:rPr>
          <w:t>2</w:t>
        </w:r>
        <w:r w:rsidR="004242BD">
          <w:rPr>
            <w:rFonts w:eastAsiaTheme="minorEastAsia" w:cstheme="minorBidi"/>
            <w:b w:val="0"/>
            <w:color w:val="auto"/>
          </w:rPr>
          <w:tab/>
        </w:r>
        <w:r w:rsidR="004242BD" w:rsidRPr="002961E6">
          <w:rPr>
            <w:rStyle w:val="Hyperlink"/>
          </w:rPr>
          <w:t>Objectives and areas of focus</w:t>
        </w:r>
        <w:r w:rsidR="004242BD">
          <w:rPr>
            <w:webHidden/>
          </w:rPr>
          <w:tab/>
        </w:r>
        <w:r w:rsidR="004242BD">
          <w:rPr>
            <w:webHidden/>
          </w:rPr>
          <w:fldChar w:fldCharType="begin"/>
        </w:r>
        <w:r w:rsidR="004242BD">
          <w:rPr>
            <w:webHidden/>
          </w:rPr>
          <w:instrText xml:space="preserve"> PAGEREF _Toc481501570 \h </w:instrText>
        </w:r>
        <w:r w:rsidR="004242BD">
          <w:rPr>
            <w:webHidden/>
          </w:rPr>
        </w:r>
        <w:r w:rsidR="004242BD">
          <w:rPr>
            <w:webHidden/>
          </w:rPr>
          <w:fldChar w:fldCharType="separate"/>
        </w:r>
        <w:r w:rsidR="00B30389">
          <w:rPr>
            <w:webHidden/>
          </w:rPr>
          <w:t>25</w:t>
        </w:r>
        <w:r w:rsidR="004242BD">
          <w:rPr>
            <w:webHidden/>
          </w:rPr>
          <w:fldChar w:fldCharType="end"/>
        </w:r>
      </w:hyperlink>
    </w:p>
    <w:p w:rsidR="004242BD" w:rsidRDefault="00AA4331">
      <w:pPr>
        <w:pStyle w:val="TOC2"/>
        <w:tabs>
          <w:tab w:val="left" w:pos="851"/>
        </w:tabs>
        <w:rPr>
          <w:rFonts w:eastAsiaTheme="minorEastAsia" w:cstheme="minorBidi"/>
          <w:b w:val="0"/>
          <w:sz w:val="22"/>
          <w:szCs w:val="22"/>
        </w:rPr>
      </w:pPr>
      <w:hyperlink w:anchor="_Toc481501571" w:history="1">
        <w:r w:rsidR="004242BD" w:rsidRPr="002961E6">
          <w:rPr>
            <w:rStyle w:val="Hyperlink"/>
          </w:rPr>
          <w:t>2.1</w:t>
        </w:r>
        <w:r w:rsidR="004242BD">
          <w:rPr>
            <w:rFonts w:eastAsiaTheme="minorEastAsia" w:cstheme="minorBidi"/>
            <w:b w:val="0"/>
            <w:sz w:val="22"/>
            <w:szCs w:val="22"/>
          </w:rPr>
          <w:tab/>
        </w:r>
        <w:r w:rsidR="004242BD" w:rsidRPr="002961E6">
          <w:rPr>
            <w:rStyle w:val="Hyperlink"/>
          </w:rPr>
          <w:t>Objectives of the proposed Regulations</w:t>
        </w:r>
        <w:r w:rsidR="004242BD">
          <w:rPr>
            <w:webHidden/>
          </w:rPr>
          <w:tab/>
        </w:r>
        <w:r w:rsidR="004242BD">
          <w:rPr>
            <w:webHidden/>
          </w:rPr>
          <w:fldChar w:fldCharType="begin"/>
        </w:r>
        <w:r w:rsidR="004242BD">
          <w:rPr>
            <w:webHidden/>
          </w:rPr>
          <w:instrText xml:space="preserve"> PAGEREF _Toc481501571 \h </w:instrText>
        </w:r>
        <w:r w:rsidR="004242BD">
          <w:rPr>
            <w:webHidden/>
          </w:rPr>
        </w:r>
        <w:r w:rsidR="004242BD">
          <w:rPr>
            <w:webHidden/>
          </w:rPr>
          <w:fldChar w:fldCharType="separate"/>
        </w:r>
        <w:r w:rsidR="00B30389">
          <w:rPr>
            <w:webHidden/>
          </w:rPr>
          <w:t>25</w:t>
        </w:r>
        <w:r w:rsidR="004242BD">
          <w:rPr>
            <w:webHidden/>
          </w:rPr>
          <w:fldChar w:fldCharType="end"/>
        </w:r>
      </w:hyperlink>
    </w:p>
    <w:p w:rsidR="004242BD" w:rsidRDefault="00AA4331">
      <w:pPr>
        <w:pStyle w:val="TOC2"/>
        <w:tabs>
          <w:tab w:val="left" w:pos="851"/>
        </w:tabs>
        <w:rPr>
          <w:rFonts w:eastAsiaTheme="minorEastAsia" w:cstheme="minorBidi"/>
          <w:b w:val="0"/>
          <w:sz w:val="22"/>
          <w:szCs w:val="22"/>
        </w:rPr>
      </w:pPr>
      <w:hyperlink w:anchor="_Toc481501572" w:history="1">
        <w:r w:rsidR="004242BD" w:rsidRPr="002961E6">
          <w:rPr>
            <w:rStyle w:val="Hyperlink"/>
          </w:rPr>
          <w:t>2.2</w:t>
        </w:r>
        <w:r w:rsidR="004242BD">
          <w:rPr>
            <w:rFonts w:eastAsiaTheme="minorEastAsia" w:cstheme="minorBidi"/>
            <w:b w:val="0"/>
            <w:sz w:val="22"/>
            <w:szCs w:val="22"/>
          </w:rPr>
          <w:tab/>
        </w:r>
        <w:r w:rsidR="004242BD" w:rsidRPr="002961E6">
          <w:rPr>
            <w:rStyle w:val="Hyperlink"/>
          </w:rPr>
          <w:t>RIS areas of focus</w:t>
        </w:r>
        <w:r w:rsidR="004242BD">
          <w:rPr>
            <w:webHidden/>
          </w:rPr>
          <w:tab/>
        </w:r>
        <w:r w:rsidR="004242BD">
          <w:rPr>
            <w:webHidden/>
          </w:rPr>
          <w:fldChar w:fldCharType="begin"/>
        </w:r>
        <w:r w:rsidR="004242BD">
          <w:rPr>
            <w:webHidden/>
          </w:rPr>
          <w:instrText xml:space="preserve"> PAGEREF _Toc481501572 \h </w:instrText>
        </w:r>
        <w:r w:rsidR="004242BD">
          <w:rPr>
            <w:webHidden/>
          </w:rPr>
        </w:r>
        <w:r w:rsidR="004242BD">
          <w:rPr>
            <w:webHidden/>
          </w:rPr>
          <w:fldChar w:fldCharType="separate"/>
        </w:r>
        <w:r w:rsidR="00B30389">
          <w:rPr>
            <w:webHidden/>
          </w:rPr>
          <w:t>25</w:t>
        </w:r>
        <w:r w:rsidR="004242BD">
          <w:rPr>
            <w:webHidden/>
          </w:rPr>
          <w:fldChar w:fldCharType="end"/>
        </w:r>
      </w:hyperlink>
    </w:p>
    <w:p w:rsidR="004242BD" w:rsidRDefault="00AA4331">
      <w:pPr>
        <w:pStyle w:val="TOC3"/>
        <w:tabs>
          <w:tab w:val="left" w:pos="1200"/>
        </w:tabs>
        <w:rPr>
          <w:color w:val="auto"/>
          <w:sz w:val="22"/>
          <w:szCs w:val="22"/>
        </w:rPr>
      </w:pPr>
      <w:hyperlink w:anchor="_Toc481501573" w:history="1">
        <w:r w:rsidR="004242BD" w:rsidRPr="002961E6">
          <w:rPr>
            <w:rStyle w:val="Hyperlink"/>
          </w:rPr>
          <w:t>2.2.1</w:t>
        </w:r>
        <w:r w:rsidR="004242BD">
          <w:rPr>
            <w:color w:val="auto"/>
            <w:sz w:val="22"/>
            <w:szCs w:val="22"/>
          </w:rPr>
          <w:tab/>
        </w:r>
        <w:r w:rsidR="004242BD" w:rsidRPr="002961E6">
          <w:rPr>
            <w:rStyle w:val="Hyperlink"/>
          </w:rPr>
          <w:t>Building reform program</w:t>
        </w:r>
        <w:r w:rsidR="004242BD">
          <w:rPr>
            <w:webHidden/>
          </w:rPr>
          <w:tab/>
        </w:r>
        <w:r w:rsidR="004242BD">
          <w:rPr>
            <w:webHidden/>
          </w:rPr>
          <w:fldChar w:fldCharType="begin"/>
        </w:r>
        <w:r w:rsidR="004242BD">
          <w:rPr>
            <w:webHidden/>
          </w:rPr>
          <w:instrText xml:space="preserve"> PAGEREF _Toc481501573 \h </w:instrText>
        </w:r>
        <w:r w:rsidR="004242BD">
          <w:rPr>
            <w:webHidden/>
          </w:rPr>
        </w:r>
        <w:r w:rsidR="004242BD">
          <w:rPr>
            <w:webHidden/>
          </w:rPr>
          <w:fldChar w:fldCharType="separate"/>
        </w:r>
        <w:r w:rsidR="00B30389">
          <w:rPr>
            <w:webHidden/>
          </w:rPr>
          <w:t>26</w:t>
        </w:r>
        <w:r w:rsidR="004242BD">
          <w:rPr>
            <w:webHidden/>
          </w:rPr>
          <w:fldChar w:fldCharType="end"/>
        </w:r>
      </w:hyperlink>
    </w:p>
    <w:p w:rsidR="004242BD" w:rsidRDefault="00AA4331">
      <w:pPr>
        <w:pStyle w:val="TOC3"/>
        <w:tabs>
          <w:tab w:val="left" w:pos="1200"/>
        </w:tabs>
        <w:rPr>
          <w:color w:val="auto"/>
          <w:sz w:val="22"/>
          <w:szCs w:val="22"/>
        </w:rPr>
      </w:pPr>
      <w:hyperlink w:anchor="_Toc481501574" w:history="1">
        <w:r w:rsidR="004242BD" w:rsidRPr="002961E6">
          <w:rPr>
            <w:rStyle w:val="Hyperlink"/>
          </w:rPr>
          <w:t>2.2.2</w:t>
        </w:r>
        <w:r w:rsidR="004242BD">
          <w:rPr>
            <w:color w:val="auto"/>
            <w:sz w:val="22"/>
            <w:szCs w:val="22"/>
          </w:rPr>
          <w:tab/>
        </w:r>
        <w:r w:rsidR="004242BD" w:rsidRPr="002961E6">
          <w:rPr>
            <w:rStyle w:val="Hyperlink"/>
          </w:rPr>
          <w:t>Stakeholder input</w:t>
        </w:r>
        <w:r w:rsidR="004242BD">
          <w:rPr>
            <w:webHidden/>
          </w:rPr>
          <w:tab/>
        </w:r>
        <w:r w:rsidR="004242BD">
          <w:rPr>
            <w:webHidden/>
          </w:rPr>
          <w:fldChar w:fldCharType="begin"/>
        </w:r>
        <w:r w:rsidR="004242BD">
          <w:rPr>
            <w:webHidden/>
          </w:rPr>
          <w:instrText xml:space="preserve"> PAGEREF _Toc481501574 \h </w:instrText>
        </w:r>
        <w:r w:rsidR="004242BD">
          <w:rPr>
            <w:webHidden/>
          </w:rPr>
        </w:r>
        <w:r w:rsidR="004242BD">
          <w:rPr>
            <w:webHidden/>
          </w:rPr>
          <w:fldChar w:fldCharType="separate"/>
        </w:r>
        <w:r w:rsidR="00B30389">
          <w:rPr>
            <w:webHidden/>
          </w:rPr>
          <w:t>28</w:t>
        </w:r>
        <w:r w:rsidR="004242BD">
          <w:rPr>
            <w:webHidden/>
          </w:rPr>
          <w:fldChar w:fldCharType="end"/>
        </w:r>
      </w:hyperlink>
    </w:p>
    <w:p w:rsidR="004242BD" w:rsidRDefault="00AA4331">
      <w:pPr>
        <w:pStyle w:val="TOC3"/>
        <w:tabs>
          <w:tab w:val="left" w:pos="1200"/>
        </w:tabs>
        <w:rPr>
          <w:color w:val="auto"/>
          <w:sz w:val="22"/>
          <w:szCs w:val="22"/>
        </w:rPr>
      </w:pPr>
      <w:hyperlink w:anchor="_Toc481501575" w:history="1">
        <w:r w:rsidR="004242BD" w:rsidRPr="002961E6">
          <w:rPr>
            <w:rStyle w:val="Hyperlink"/>
          </w:rPr>
          <w:t>2.2.3</w:t>
        </w:r>
        <w:r w:rsidR="004242BD">
          <w:rPr>
            <w:color w:val="auto"/>
            <w:sz w:val="22"/>
            <w:szCs w:val="22"/>
          </w:rPr>
          <w:tab/>
        </w:r>
        <w:r w:rsidR="004242BD" w:rsidRPr="002961E6">
          <w:rPr>
            <w:rStyle w:val="Hyperlink"/>
          </w:rPr>
          <w:t>Risk and impact assessment</w:t>
        </w:r>
        <w:r w:rsidR="004242BD">
          <w:rPr>
            <w:webHidden/>
          </w:rPr>
          <w:tab/>
        </w:r>
        <w:r w:rsidR="004242BD">
          <w:rPr>
            <w:webHidden/>
          </w:rPr>
          <w:fldChar w:fldCharType="begin"/>
        </w:r>
        <w:r w:rsidR="004242BD">
          <w:rPr>
            <w:webHidden/>
          </w:rPr>
          <w:instrText xml:space="preserve"> PAGEREF _Toc481501575 \h </w:instrText>
        </w:r>
        <w:r w:rsidR="004242BD">
          <w:rPr>
            <w:webHidden/>
          </w:rPr>
        </w:r>
        <w:r w:rsidR="004242BD">
          <w:rPr>
            <w:webHidden/>
          </w:rPr>
          <w:fldChar w:fldCharType="separate"/>
        </w:r>
        <w:r w:rsidR="00B30389">
          <w:rPr>
            <w:webHidden/>
          </w:rPr>
          <w:t>29</w:t>
        </w:r>
        <w:r w:rsidR="004242BD">
          <w:rPr>
            <w:webHidden/>
          </w:rPr>
          <w:fldChar w:fldCharType="end"/>
        </w:r>
      </w:hyperlink>
    </w:p>
    <w:p w:rsidR="004242BD" w:rsidRDefault="00AA4331">
      <w:pPr>
        <w:pStyle w:val="TOC2"/>
        <w:tabs>
          <w:tab w:val="left" w:pos="851"/>
        </w:tabs>
        <w:rPr>
          <w:rFonts w:eastAsiaTheme="minorEastAsia" w:cstheme="minorBidi"/>
          <w:b w:val="0"/>
          <w:sz w:val="22"/>
          <w:szCs w:val="22"/>
        </w:rPr>
      </w:pPr>
      <w:hyperlink w:anchor="_Toc481501576" w:history="1">
        <w:r w:rsidR="004242BD" w:rsidRPr="002961E6">
          <w:rPr>
            <w:rStyle w:val="Hyperlink"/>
          </w:rPr>
          <w:t>2.3</w:t>
        </w:r>
        <w:r w:rsidR="004242BD">
          <w:rPr>
            <w:rFonts w:eastAsiaTheme="minorEastAsia" w:cstheme="minorBidi"/>
            <w:b w:val="0"/>
            <w:sz w:val="22"/>
            <w:szCs w:val="22"/>
          </w:rPr>
          <w:tab/>
        </w:r>
        <w:r w:rsidR="004242BD" w:rsidRPr="002961E6">
          <w:rPr>
            <w:rStyle w:val="Hyperlink"/>
          </w:rPr>
          <w:t>Choice of options</w:t>
        </w:r>
        <w:r w:rsidR="004242BD">
          <w:rPr>
            <w:webHidden/>
          </w:rPr>
          <w:tab/>
        </w:r>
        <w:r w:rsidR="004242BD">
          <w:rPr>
            <w:webHidden/>
          </w:rPr>
          <w:fldChar w:fldCharType="begin"/>
        </w:r>
        <w:r w:rsidR="004242BD">
          <w:rPr>
            <w:webHidden/>
          </w:rPr>
          <w:instrText xml:space="preserve"> PAGEREF _Toc481501576 \h </w:instrText>
        </w:r>
        <w:r w:rsidR="004242BD">
          <w:rPr>
            <w:webHidden/>
          </w:rPr>
        </w:r>
        <w:r w:rsidR="004242BD">
          <w:rPr>
            <w:webHidden/>
          </w:rPr>
          <w:fldChar w:fldCharType="separate"/>
        </w:r>
        <w:r w:rsidR="00B30389">
          <w:rPr>
            <w:webHidden/>
          </w:rPr>
          <w:t>31</w:t>
        </w:r>
        <w:r w:rsidR="004242BD">
          <w:rPr>
            <w:webHidden/>
          </w:rPr>
          <w:fldChar w:fldCharType="end"/>
        </w:r>
      </w:hyperlink>
    </w:p>
    <w:p w:rsidR="004242BD" w:rsidRDefault="00AA4331">
      <w:pPr>
        <w:pStyle w:val="TOC1"/>
        <w:tabs>
          <w:tab w:val="left" w:pos="567"/>
        </w:tabs>
        <w:rPr>
          <w:rFonts w:eastAsiaTheme="minorEastAsia" w:cstheme="minorBidi"/>
          <w:b w:val="0"/>
          <w:color w:val="auto"/>
        </w:rPr>
      </w:pPr>
      <w:hyperlink w:anchor="_Toc481501577" w:history="1">
        <w:r w:rsidR="004242BD" w:rsidRPr="002961E6">
          <w:rPr>
            <w:rStyle w:val="Hyperlink"/>
          </w:rPr>
          <w:t>3</w:t>
        </w:r>
        <w:r w:rsidR="004242BD">
          <w:rPr>
            <w:rFonts w:eastAsiaTheme="minorEastAsia" w:cstheme="minorBidi"/>
            <w:b w:val="0"/>
            <w:color w:val="auto"/>
          </w:rPr>
          <w:tab/>
        </w:r>
        <w:r w:rsidR="004242BD" w:rsidRPr="002961E6">
          <w:rPr>
            <w:rStyle w:val="Hyperlink"/>
          </w:rPr>
          <w:t>Assessment of the proposed Regulations</w:t>
        </w:r>
        <w:r w:rsidR="004242BD">
          <w:rPr>
            <w:webHidden/>
          </w:rPr>
          <w:tab/>
        </w:r>
        <w:r w:rsidR="004242BD">
          <w:rPr>
            <w:webHidden/>
          </w:rPr>
          <w:fldChar w:fldCharType="begin"/>
        </w:r>
        <w:r w:rsidR="004242BD">
          <w:rPr>
            <w:webHidden/>
          </w:rPr>
          <w:instrText xml:space="preserve"> PAGEREF _Toc481501577 \h </w:instrText>
        </w:r>
        <w:r w:rsidR="004242BD">
          <w:rPr>
            <w:webHidden/>
          </w:rPr>
        </w:r>
        <w:r w:rsidR="004242BD">
          <w:rPr>
            <w:webHidden/>
          </w:rPr>
          <w:fldChar w:fldCharType="separate"/>
        </w:r>
        <w:r w:rsidR="00B30389">
          <w:rPr>
            <w:webHidden/>
          </w:rPr>
          <w:t>33</w:t>
        </w:r>
        <w:r w:rsidR="004242BD">
          <w:rPr>
            <w:webHidden/>
          </w:rPr>
          <w:fldChar w:fldCharType="end"/>
        </w:r>
      </w:hyperlink>
    </w:p>
    <w:p w:rsidR="004242BD" w:rsidRDefault="00AA4331">
      <w:pPr>
        <w:pStyle w:val="TOC2"/>
        <w:tabs>
          <w:tab w:val="left" w:pos="851"/>
        </w:tabs>
        <w:rPr>
          <w:rFonts w:eastAsiaTheme="minorEastAsia" w:cstheme="minorBidi"/>
          <w:b w:val="0"/>
          <w:sz w:val="22"/>
          <w:szCs w:val="22"/>
        </w:rPr>
      </w:pPr>
      <w:hyperlink w:anchor="_Toc481501578" w:history="1">
        <w:r w:rsidR="004242BD" w:rsidRPr="002961E6">
          <w:rPr>
            <w:rStyle w:val="Hyperlink"/>
          </w:rPr>
          <w:t>3.1</w:t>
        </w:r>
        <w:r w:rsidR="004242BD">
          <w:rPr>
            <w:rFonts w:eastAsiaTheme="minorEastAsia" w:cstheme="minorBidi"/>
            <w:b w:val="0"/>
            <w:sz w:val="22"/>
            <w:szCs w:val="22"/>
          </w:rPr>
          <w:tab/>
        </w:r>
        <w:r w:rsidR="004242BD" w:rsidRPr="002961E6">
          <w:rPr>
            <w:rStyle w:val="Hyperlink"/>
          </w:rPr>
          <w:t>Summary of preferred options</w:t>
        </w:r>
        <w:r w:rsidR="004242BD">
          <w:rPr>
            <w:webHidden/>
          </w:rPr>
          <w:tab/>
        </w:r>
        <w:r w:rsidR="004242BD">
          <w:rPr>
            <w:webHidden/>
          </w:rPr>
          <w:fldChar w:fldCharType="begin"/>
        </w:r>
        <w:r w:rsidR="004242BD">
          <w:rPr>
            <w:webHidden/>
          </w:rPr>
          <w:instrText xml:space="preserve"> PAGEREF _Toc481501578 \h </w:instrText>
        </w:r>
        <w:r w:rsidR="004242BD">
          <w:rPr>
            <w:webHidden/>
          </w:rPr>
        </w:r>
        <w:r w:rsidR="004242BD">
          <w:rPr>
            <w:webHidden/>
          </w:rPr>
          <w:fldChar w:fldCharType="separate"/>
        </w:r>
        <w:r w:rsidR="00B30389">
          <w:rPr>
            <w:webHidden/>
          </w:rPr>
          <w:t>33</w:t>
        </w:r>
        <w:r w:rsidR="004242BD">
          <w:rPr>
            <w:webHidden/>
          </w:rPr>
          <w:fldChar w:fldCharType="end"/>
        </w:r>
      </w:hyperlink>
    </w:p>
    <w:p w:rsidR="004242BD" w:rsidRDefault="00AA4331">
      <w:pPr>
        <w:pStyle w:val="TOC3"/>
        <w:tabs>
          <w:tab w:val="left" w:pos="1200"/>
        </w:tabs>
        <w:rPr>
          <w:color w:val="auto"/>
          <w:sz w:val="22"/>
          <w:szCs w:val="22"/>
        </w:rPr>
      </w:pPr>
      <w:hyperlink w:anchor="_Toc481501579" w:history="1">
        <w:r w:rsidR="004242BD" w:rsidRPr="002961E6">
          <w:rPr>
            <w:rStyle w:val="Hyperlink"/>
          </w:rPr>
          <w:t>3.1.1</w:t>
        </w:r>
        <w:r w:rsidR="004242BD">
          <w:rPr>
            <w:color w:val="auto"/>
            <w:sz w:val="22"/>
            <w:szCs w:val="22"/>
          </w:rPr>
          <w:tab/>
        </w:r>
        <w:r w:rsidR="004242BD" w:rsidRPr="002961E6">
          <w:rPr>
            <w:rStyle w:val="Hyperlink"/>
          </w:rPr>
          <w:t>Design</w:t>
        </w:r>
        <w:r w:rsidR="004242BD">
          <w:rPr>
            <w:webHidden/>
          </w:rPr>
          <w:tab/>
        </w:r>
        <w:r w:rsidR="004242BD">
          <w:rPr>
            <w:webHidden/>
          </w:rPr>
          <w:fldChar w:fldCharType="begin"/>
        </w:r>
        <w:r w:rsidR="004242BD">
          <w:rPr>
            <w:webHidden/>
          </w:rPr>
          <w:instrText xml:space="preserve"> PAGEREF _Toc481501579 \h </w:instrText>
        </w:r>
        <w:r w:rsidR="004242BD">
          <w:rPr>
            <w:webHidden/>
          </w:rPr>
        </w:r>
        <w:r w:rsidR="004242BD">
          <w:rPr>
            <w:webHidden/>
          </w:rPr>
          <w:fldChar w:fldCharType="separate"/>
        </w:r>
        <w:r w:rsidR="00B30389">
          <w:rPr>
            <w:webHidden/>
          </w:rPr>
          <w:t>33</w:t>
        </w:r>
        <w:r w:rsidR="004242BD">
          <w:rPr>
            <w:webHidden/>
          </w:rPr>
          <w:fldChar w:fldCharType="end"/>
        </w:r>
      </w:hyperlink>
    </w:p>
    <w:p w:rsidR="004242BD" w:rsidRDefault="00AA4331">
      <w:pPr>
        <w:pStyle w:val="TOC3"/>
        <w:tabs>
          <w:tab w:val="left" w:pos="1200"/>
        </w:tabs>
        <w:rPr>
          <w:color w:val="auto"/>
          <w:sz w:val="22"/>
          <w:szCs w:val="22"/>
        </w:rPr>
      </w:pPr>
      <w:hyperlink w:anchor="_Toc481501580" w:history="1">
        <w:r w:rsidR="004242BD" w:rsidRPr="002961E6">
          <w:rPr>
            <w:rStyle w:val="Hyperlink"/>
          </w:rPr>
          <w:t>3.1.2</w:t>
        </w:r>
        <w:r w:rsidR="004242BD">
          <w:rPr>
            <w:color w:val="auto"/>
            <w:sz w:val="22"/>
            <w:szCs w:val="22"/>
          </w:rPr>
          <w:tab/>
        </w:r>
        <w:r w:rsidR="004242BD" w:rsidRPr="002961E6">
          <w:rPr>
            <w:rStyle w:val="Hyperlink"/>
          </w:rPr>
          <w:t>Construction</w:t>
        </w:r>
        <w:r w:rsidR="004242BD">
          <w:rPr>
            <w:webHidden/>
          </w:rPr>
          <w:tab/>
        </w:r>
        <w:r w:rsidR="004242BD">
          <w:rPr>
            <w:webHidden/>
          </w:rPr>
          <w:fldChar w:fldCharType="begin"/>
        </w:r>
        <w:r w:rsidR="004242BD">
          <w:rPr>
            <w:webHidden/>
          </w:rPr>
          <w:instrText xml:space="preserve"> PAGEREF _Toc481501580 \h </w:instrText>
        </w:r>
        <w:r w:rsidR="004242BD">
          <w:rPr>
            <w:webHidden/>
          </w:rPr>
        </w:r>
        <w:r w:rsidR="004242BD">
          <w:rPr>
            <w:webHidden/>
          </w:rPr>
          <w:fldChar w:fldCharType="separate"/>
        </w:r>
        <w:r w:rsidR="00B30389">
          <w:rPr>
            <w:webHidden/>
          </w:rPr>
          <w:t>34</w:t>
        </w:r>
        <w:r w:rsidR="004242BD">
          <w:rPr>
            <w:webHidden/>
          </w:rPr>
          <w:fldChar w:fldCharType="end"/>
        </w:r>
      </w:hyperlink>
    </w:p>
    <w:p w:rsidR="004242BD" w:rsidRDefault="00AA4331">
      <w:pPr>
        <w:pStyle w:val="TOC3"/>
        <w:tabs>
          <w:tab w:val="left" w:pos="1200"/>
        </w:tabs>
        <w:rPr>
          <w:color w:val="auto"/>
          <w:sz w:val="22"/>
          <w:szCs w:val="22"/>
        </w:rPr>
      </w:pPr>
      <w:hyperlink w:anchor="_Toc481501581" w:history="1">
        <w:r w:rsidR="004242BD" w:rsidRPr="002961E6">
          <w:rPr>
            <w:rStyle w:val="Hyperlink"/>
          </w:rPr>
          <w:t>3.1.3</w:t>
        </w:r>
        <w:r w:rsidR="004242BD">
          <w:rPr>
            <w:color w:val="auto"/>
            <w:sz w:val="22"/>
            <w:szCs w:val="22"/>
          </w:rPr>
          <w:tab/>
        </w:r>
        <w:r w:rsidR="004242BD" w:rsidRPr="002961E6">
          <w:rPr>
            <w:rStyle w:val="Hyperlink"/>
          </w:rPr>
          <w:t>Completion / use</w:t>
        </w:r>
        <w:r w:rsidR="004242BD">
          <w:rPr>
            <w:webHidden/>
          </w:rPr>
          <w:tab/>
        </w:r>
        <w:r w:rsidR="004242BD">
          <w:rPr>
            <w:webHidden/>
          </w:rPr>
          <w:fldChar w:fldCharType="begin"/>
        </w:r>
        <w:r w:rsidR="004242BD">
          <w:rPr>
            <w:webHidden/>
          </w:rPr>
          <w:instrText xml:space="preserve"> PAGEREF _Toc481501581 \h </w:instrText>
        </w:r>
        <w:r w:rsidR="004242BD">
          <w:rPr>
            <w:webHidden/>
          </w:rPr>
        </w:r>
        <w:r w:rsidR="004242BD">
          <w:rPr>
            <w:webHidden/>
          </w:rPr>
          <w:fldChar w:fldCharType="separate"/>
        </w:r>
        <w:r w:rsidR="00B30389">
          <w:rPr>
            <w:webHidden/>
          </w:rPr>
          <w:t>35</w:t>
        </w:r>
        <w:r w:rsidR="004242BD">
          <w:rPr>
            <w:webHidden/>
          </w:rPr>
          <w:fldChar w:fldCharType="end"/>
        </w:r>
      </w:hyperlink>
    </w:p>
    <w:p w:rsidR="004242BD" w:rsidRDefault="00AA4331">
      <w:pPr>
        <w:pStyle w:val="TOC3"/>
        <w:tabs>
          <w:tab w:val="left" w:pos="1200"/>
        </w:tabs>
        <w:rPr>
          <w:color w:val="auto"/>
          <w:sz w:val="22"/>
          <w:szCs w:val="22"/>
        </w:rPr>
      </w:pPr>
      <w:hyperlink w:anchor="_Toc481501582" w:history="1">
        <w:r w:rsidR="004242BD" w:rsidRPr="002961E6">
          <w:rPr>
            <w:rStyle w:val="Hyperlink"/>
          </w:rPr>
          <w:t>3.1.4</w:t>
        </w:r>
        <w:r w:rsidR="004242BD">
          <w:rPr>
            <w:color w:val="auto"/>
            <w:sz w:val="22"/>
            <w:szCs w:val="22"/>
          </w:rPr>
          <w:tab/>
        </w:r>
        <w:r w:rsidR="004242BD" w:rsidRPr="002961E6">
          <w:rPr>
            <w:rStyle w:val="Hyperlink"/>
          </w:rPr>
          <w:t>Building practitioner registration</w:t>
        </w:r>
        <w:r w:rsidR="004242BD">
          <w:rPr>
            <w:webHidden/>
          </w:rPr>
          <w:tab/>
        </w:r>
        <w:r w:rsidR="004242BD">
          <w:rPr>
            <w:webHidden/>
          </w:rPr>
          <w:fldChar w:fldCharType="begin"/>
        </w:r>
        <w:r w:rsidR="004242BD">
          <w:rPr>
            <w:webHidden/>
          </w:rPr>
          <w:instrText xml:space="preserve"> PAGEREF _Toc481501582 \h </w:instrText>
        </w:r>
        <w:r w:rsidR="004242BD">
          <w:rPr>
            <w:webHidden/>
          </w:rPr>
        </w:r>
        <w:r w:rsidR="004242BD">
          <w:rPr>
            <w:webHidden/>
          </w:rPr>
          <w:fldChar w:fldCharType="separate"/>
        </w:r>
        <w:r w:rsidR="00B30389">
          <w:rPr>
            <w:webHidden/>
          </w:rPr>
          <w:t>36</w:t>
        </w:r>
        <w:r w:rsidR="004242BD">
          <w:rPr>
            <w:webHidden/>
          </w:rPr>
          <w:fldChar w:fldCharType="end"/>
        </w:r>
      </w:hyperlink>
    </w:p>
    <w:p w:rsidR="004242BD" w:rsidRDefault="00AA4331">
      <w:pPr>
        <w:pStyle w:val="TOC2"/>
        <w:tabs>
          <w:tab w:val="left" w:pos="851"/>
        </w:tabs>
        <w:rPr>
          <w:rFonts w:eastAsiaTheme="minorEastAsia" w:cstheme="minorBidi"/>
          <w:b w:val="0"/>
          <w:sz w:val="22"/>
          <w:szCs w:val="22"/>
        </w:rPr>
      </w:pPr>
      <w:hyperlink w:anchor="_Toc481501583" w:history="1">
        <w:r w:rsidR="004242BD" w:rsidRPr="002961E6">
          <w:rPr>
            <w:rStyle w:val="Hyperlink"/>
          </w:rPr>
          <w:t>3.2</w:t>
        </w:r>
        <w:r w:rsidR="004242BD">
          <w:rPr>
            <w:rFonts w:eastAsiaTheme="minorEastAsia" w:cstheme="minorBidi"/>
            <w:b w:val="0"/>
            <w:sz w:val="22"/>
            <w:szCs w:val="22"/>
          </w:rPr>
          <w:tab/>
        </w:r>
        <w:r w:rsidR="004242BD" w:rsidRPr="002961E6">
          <w:rPr>
            <w:rStyle w:val="Hyperlink"/>
          </w:rPr>
          <w:t>Summary of proposed Regulations</w:t>
        </w:r>
        <w:r w:rsidR="004242BD">
          <w:rPr>
            <w:webHidden/>
          </w:rPr>
          <w:tab/>
        </w:r>
        <w:r w:rsidR="004242BD">
          <w:rPr>
            <w:webHidden/>
          </w:rPr>
          <w:fldChar w:fldCharType="begin"/>
        </w:r>
        <w:r w:rsidR="004242BD">
          <w:rPr>
            <w:webHidden/>
          </w:rPr>
          <w:instrText xml:space="preserve"> PAGEREF _Toc481501583 \h </w:instrText>
        </w:r>
        <w:r w:rsidR="004242BD">
          <w:rPr>
            <w:webHidden/>
          </w:rPr>
        </w:r>
        <w:r w:rsidR="004242BD">
          <w:rPr>
            <w:webHidden/>
          </w:rPr>
          <w:fldChar w:fldCharType="separate"/>
        </w:r>
        <w:r w:rsidR="00B30389">
          <w:rPr>
            <w:webHidden/>
          </w:rPr>
          <w:t>37</w:t>
        </w:r>
        <w:r w:rsidR="004242BD">
          <w:rPr>
            <w:webHidden/>
          </w:rPr>
          <w:fldChar w:fldCharType="end"/>
        </w:r>
      </w:hyperlink>
    </w:p>
    <w:p w:rsidR="004242BD" w:rsidRDefault="00AA4331">
      <w:pPr>
        <w:pStyle w:val="TOC2"/>
        <w:tabs>
          <w:tab w:val="left" w:pos="851"/>
        </w:tabs>
        <w:rPr>
          <w:rFonts w:eastAsiaTheme="minorEastAsia" w:cstheme="minorBidi"/>
          <w:b w:val="0"/>
          <w:sz w:val="22"/>
          <w:szCs w:val="22"/>
        </w:rPr>
      </w:pPr>
      <w:hyperlink w:anchor="_Toc481501584" w:history="1">
        <w:r w:rsidR="004242BD" w:rsidRPr="002961E6">
          <w:rPr>
            <w:rStyle w:val="Hyperlink"/>
          </w:rPr>
          <w:t>3.3</w:t>
        </w:r>
        <w:r w:rsidR="004242BD">
          <w:rPr>
            <w:rFonts w:eastAsiaTheme="minorEastAsia" w:cstheme="minorBidi"/>
            <w:b w:val="0"/>
            <w:sz w:val="22"/>
            <w:szCs w:val="22"/>
          </w:rPr>
          <w:tab/>
        </w:r>
        <w:r w:rsidR="004242BD" w:rsidRPr="002961E6">
          <w:rPr>
            <w:rStyle w:val="Hyperlink"/>
          </w:rPr>
          <w:t>Summary of cost–benefit analyses</w:t>
        </w:r>
        <w:r w:rsidR="004242BD">
          <w:rPr>
            <w:webHidden/>
          </w:rPr>
          <w:tab/>
        </w:r>
        <w:r w:rsidR="004242BD">
          <w:rPr>
            <w:webHidden/>
          </w:rPr>
          <w:fldChar w:fldCharType="begin"/>
        </w:r>
        <w:r w:rsidR="004242BD">
          <w:rPr>
            <w:webHidden/>
          </w:rPr>
          <w:instrText xml:space="preserve"> PAGEREF _Toc481501584 \h </w:instrText>
        </w:r>
        <w:r w:rsidR="004242BD">
          <w:rPr>
            <w:webHidden/>
          </w:rPr>
        </w:r>
        <w:r w:rsidR="004242BD">
          <w:rPr>
            <w:webHidden/>
          </w:rPr>
          <w:fldChar w:fldCharType="separate"/>
        </w:r>
        <w:r w:rsidR="00B30389">
          <w:rPr>
            <w:webHidden/>
          </w:rPr>
          <w:t>41</w:t>
        </w:r>
        <w:r w:rsidR="004242BD">
          <w:rPr>
            <w:webHidden/>
          </w:rPr>
          <w:fldChar w:fldCharType="end"/>
        </w:r>
      </w:hyperlink>
    </w:p>
    <w:p w:rsidR="004242BD" w:rsidRDefault="00AA4331">
      <w:pPr>
        <w:pStyle w:val="TOC2"/>
        <w:tabs>
          <w:tab w:val="left" w:pos="851"/>
        </w:tabs>
        <w:rPr>
          <w:rFonts w:eastAsiaTheme="minorEastAsia" w:cstheme="minorBidi"/>
          <w:b w:val="0"/>
          <w:sz w:val="22"/>
          <w:szCs w:val="22"/>
        </w:rPr>
      </w:pPr>
      <w:hyperlink w:anchor="_Toc481501585" w:history="1">
        <w:r w:rsidR="004242BD" w:rsidRPr="002961E6">
          <w:rPr>
            <w:rStyle w:val="Hyperlink"/>
          </w:rPr>
          <w:t>3.4</w:t>
        </w:r>
        <w:r w:rsidR="004242BD">
          <w:rPr>
            <w:rFonts w:eastAsiaTheme="minorEastAsia" w:cstheme="minorBidi"/>
            <w:b w:val="0"/>
            <w:sz w:val="22"/>
            <w:szCs w:val="22"/>
          </w:rPr>
          <w:tab/>
        </w:r>
        <w:r w:rsidR="004242BD" w:rsidRPr="002961E6">
          <w:rPr>
            <w:rStyle w:val="Hyperlink"/>
          </w:rPr>
          <w:t>Competition assessment</w:t>
        </w:r>
        <w:r w:rsidR="004242BD">
          <w:rPr>
            <w:webHidden/>
          </w:rPr>
          <w:tab/>
        </w:r>
        <w:r w:rsidR="004242BD">
          <w:rPr>
            <w:webHidden/>
          </w:rPr>
          <w:fldChar w:fldCharType="begin"/>
        </w:r>
        <w:r w:rsidR="004242BD">
          <w:rPr>
            <w:webHidden/>
          </w:rPr>
          <w:instrText xml:space="preserve"> PAGEREF _Toc481501585 \h </w:instrText>
        </w:r>
        <w:r w:rsidR="004242BD">
          <w:rPr>
            <w:webHidden/>
          </w:rPr>
        </w:r>
        <w:r w:rsidR="004242BD">
          <w:rPr>
            <w:webHidden/>
          </w:rPr>
          <w:fldChar w:fldCharType="separate"/>
        </w:r>
        <w:r w:rsidR="00B30389">
          <w:rPr>
            <w:webHidden/>
          </w:rPr>
          <w:t>43</w:t>
        </w:r>
        <w:r w:rsidR="004242BD">
          <w:rPr>
            <w:webHidden/>
          </w:rPr>
          <w:fldChar w:fldCharType="end"/>
        </w:r>
      </w:hyperlink>
    </w:p>
    <w:p w:rsidR="004242BD" w:rsidRDefault="00AA4331">
      <w:pPr>
        <w:pStyle w:val="TOC2"/>
        <w:tabs>
          <w:tab w:val="left" w:pos="851"/>
        </w:tabs>
        <w:rPr>
          <w:rFonts w:eastAsiaTheme="minorEastAsia" w:cstheme="minorBidi"/>
          <w:b w:val="0"/>
          <w:sz w:val="22"/>
          <w:szCs w:val="22"/>
        </w:rPr>
      </w:pPr>
      <w:hyperlink w:anchor="_Toc481501586" w:history="1">
        <w:r w:rsidR="004242BD" w:rsidRPr="002961E6">
          <w:rPr>
            <w:rStyle w:val="Hyperlink"/>
          </w:rPr>
          <w:t>3.5</w:t>
        </w:r>
        <w:r w:rsidR="004242BD">
          <w:rPr>
            <w:rFonts w:eastAsiaTheme="minorEastAsia" w:cstheme="minorBidi"/>
            <w:b w:val="0"/>
            <w:sz w:val="22"/>
            <w:szCs w:val="22"/>
          </w:rPr>
          <w:tab/>
        </w:r>
        <w:r w:rsidR="004242BD" w:rsidRPr="002961E6">
          <w:rPr>
            <w:rStyle w:val="Hyperlink"/>
          </w:rPr>
          <w:t>Small business impacts</w:t>
        </w:r>
        <w:r w:rsidR="004242BD">
          <w:rPr>
            <w:webHidden/>
          </w:rPr>
          <w:tab/>
        </w:r>
        <w:r w:rsidR="004242BD">
          <w:rPr>
            <w:webHidden/>
          </w:rPr>
          <w:fldChar w:fldCharType="begin"/>
        </w:r>
        <w:r w:rsidR="004242BD">
          <w:rPr>
            <w:webHidden/>
          </w:rPr>
          <w:instrText xml:space="preserve"> PAGEREF _Toc481501586 \h </w:instrText>
        </w:r>
        <w:r w:rsidR="004242BD">
          <w:rPr>
            <w:webHidden/>
          </w:rPr>
        </w:r>
        <w:r w:rsidR="004242BD">
          <w:rPr>
            <w:webHidden/>
          </w:rPr>
          <w:fldChar w:fldCharType="separate"/>
        </w:r>
        <w:r w:rsidR="00B30389">
          <w:rPr>
            <w:webHidden/>
          </w:rPr>
          <w:t>45</w:t>
        </w:r>
        <w:r w:rsidR="004242BD">
          <w:rPr>
            <w:webHidden/>
          </w:rPr>
          <w:fldChar w:fldCharType="end"/>
        </w:r>
      </w:hyperlink>
    </w:p>
    <w:p w:rsidR="004242BD" w:rsidRDefault="00AA4331">
      <w:pPr>
        <w:pStyle w:val="TOC2"/>
        <w:tabs>
          <w:tab w:val="left" w:pos="851"/>
        </w:tabs>
        <w:rPr>
          <w:rFonts w:eastAsiaTheme="minorEastAsia" w:cstheme="minorBidi"/>
          <w:b w:val="0"/>
          <w:sz w:val="22"/>
          <w:szCs w:val="22"/>
        </w:rPr>
      </w:pPr>
      <w:hyperlink w:anchor="_Toc481501587" w:history="1">
        <w:r w:rsidR="004242BD" w:rsidRPr="002961E6">
          <w:rPr>
            <w:rStyle w:val="Hyperlink"/>
          </w:rPr>
          <w:t>3.6</w:t>
        </w:r>
        <w:r w:rsidR="004242BD">
          <w:rPr>
            <w:rFonts w:eastAsiaTheme="minorEastAsia" w:cstheme="minorBidi"/>
            <w:b w:val="0"/>
            <w:sz w:val="22"/>
            <w:szCs w:val="22"/>
          </w:rPr>
          <w:tab/>
        </w:r>
        <w:r w:rsidR="004242BD" w:rsidRPr="002961E6">
          <w:rPr>
            <w:rStyle w:val="Hyperlink"/>
          </w:rPr>
          <w:t>Evidence improvement project</w:t>
        </w:r>
        <w:r w:rsidR="004242BD">
          <w:rPr>
            <w:webHidden/>
          </w:rPr>
          <w:tab/>
        </w:r>
        <w:r w:rsidR="004242BD">
          <w:rPr>
            <w:webHidden/>
          </w:rPr>
          <w:fldChar w:fldCharType="begin"/>
        </w:r>
        <w:r w:rsidR="004242BD">
          <w:rPr>
            <w:webHidden/>
          </w:rPr>
          <w:instrText xml:space="preserve"> PAGEREF _Toc481501587 \h </w:instrText>
        </w:r>
        <w:r w:rsidR="004242BD">
          <w:rPr>
            <w:webHidden/>
          </w:rPr>
        </w:r>
        <w:r w:rsidR="004242BD">
          <w:rPr>
            <w:webHidden/>
          </w:rPr>
          <w:fldChar w:fldCharType="separate"/>
        </w:r>
        <w:r w:rsidR="00B30389">
          <w:rPr>
            <w:webHidden/>
          </w:rPr>
          <w:t>46</w:t>
        </w:r>
        <w:r w:rsidR="004242BD">
          <w:rPr>
            <w:webHidden/>
          </w:rPr>
          <w:fldChar w:fldCharType="end"/>
        </w:r>
      </w:hyperlink>
    </w:p>
    <w:p w:rsidR="004242BD" w:rsidRDefault="00AA4331">
      <w:pPr>
        <w:pStyle w:val="TOC2"/>
        <w:tabs>
          <w:tab w:val="left" w:pos="851"/>
        </w:tabs>
        <w:rPr>
          <w:rFonts w:eastAsiaTheme="minorEastAsia" w:cstheme="minorBidi"/>
          <w:b w:val="0"/>
          <w:sz w:val="22"/>
          <w:szCs w:val="22"/>
        </w:rPr>
      </w:pPr>
      <w:hyperlink w:anchor="_Toc481501588" w:history="1">
        <w:r w:rsidR="004242BD" w:rsidRPr="002961E6">
          <w:rPr>
            <w:rStyle w:val="Hyperlink"/>
          </w:rPr>
          <w:t>3.7</w:t>
        </w:r>
        <w:r w:rsidR="004242BD">
          <w:rPr>
            <w:rFonts w:eastAsiaTheme="minorEastAsia" w:cstheme="minorBidi"/>
            <w:b w:val="0"/>
            <w:sz w:val="22"/>
            <w:szCs w:val="22"/>
          </w:rPr>
          <w:tab/>
        </w:r>
        <w:r w:rsidR="004242BD" w:rsidRPr="002961E6">
          <w:rPr>
            <w:rStyle w:val="Hyperlink"/>
          </w:rPr>
          <w:t>Regulatory fees review</w:t>
        </w:r>
        <w:r w:rsidR="004242BD">
          <w:rPr>
            <w:webHidden/>
          </w:rPr>
          <w:tab/>
        </w:r>
        <w:r w:rsidR="004242BD">
          <w:rPr>
            <w:webHidden/>
          </w:rPr>
          <w:fldChar w:fldCharType="begin"/>
        </w:r>
        <w:r w:rsidR="004242BD">
          <w:rPr>
            <w:webHidden/>
          </w:rPr>
          <w:instrText xml:space="preserve"> PAGEREF _Toc481501588 \h </w:instrText>
        </w:r>
        <w:r w:rsidR="004242BD">
          <w:rPr>
            <w:webHidden/>
          </w:rPr>
        </w:r>
        <w:r w:rsidR="004242BD">
          <w:rPr>
            <w:webHidden/>
          </w:rPr>
          <w:fldChar w:fldCharType="separate"/>
        </w:r>
        <w:r w:rsidR="00B30389">
          <w:rPr>
            <w:webHidden/>
          </w:rPr>
          <w:t>47</w:t>
        </w:r>
        <w:r w:rsidR="004242BD">
          <w:rPr>
            <w:webHidden/>
          </w:rPr>
          <w:fldChar w:fldCharType="end"/>
        </w:r>
      </w:hyperlink>
    </w:p>
    <w:p w:rsidR="002D5E35" w:rsidRDefault="002D5E35">
      <w:pPr>
        <w:spacing w:after="0"/>
        <w:rPr>
          <w:b/>
          <w:noProof/>
          <w:color w:val="642667" w:themeColor="text2"/>
          <w:sz w:val="22"/>
          <w:szCs w:val="22"/>
        </w:rPr>
      </w:pPr>
      <w:r>
        <w:br w:type="page"/>
      </w:r>
    </w:p>
    <w:p w:rsidR="004242BD" w:rsidRDefault="00AA4331">
      <w:pPr>
        <w:pStyle w:val="TOC1"/>
        <w:tabs>
          <w:tab w:val="left" w:pos="567"/>
        </w:tabs>
        <w:rPr>
          <w:rFonts w:eastAsiaTheme="minorEastAsia" w:cstheme="minorBidi"/>
          <w:b w:val="0"/>
          <w:color w:val="auto"/>
        </w:rPr>
      </w:pPr>
      <w:hyperlink w:anchor="_Toc481501589" w:history="1">
        <w:r w:rsidR="004242BD" w:rsidRPr="002961E6">
          <w:rPr>
            <w:rStyle w:val="Hyperlink"/>
          </w:rPr>
          <w:t>4</w:t>
        </w:r>
        <w:r w:rsidR="004242BD">
          <w:rPr>
            <w:rFonts w:eastAsiaTheme="minorEastAsia" w:cstheme="minorBidi"/>
            <w:b w:val="0"/>
            <w:color w:val="auto"/>
          </w:rPr>
          <w:tab/>
        </w:r>
        <w:r w:rsidR="004242BD" w:rsidRPr="002961E6">
          <w:rPr>
            <w:rStyle w:val="Hyperlink"/>
          </w:rPr>
          <w:t>Evaluation</w:t>
        </w:r>
        <w:r w:rsidR="004242BD">
          <w:rPr>
            <w:webHidden/>
          </w:rPr>
          <w:tab/>
        </w:r>
        <w:r w:rsidR="004242BD">
          <w:rPr>
            <w:webHidden/>
          </w:rPr>
          <w:fldChar w:fldCharType="begin"/>
        </w:r>
        <w:r w:rsidR="004242BD">
          <w:rPr>
            <w:webHidden/>
          </w:rPr>
          <w:instrText xml:space="preserve"> PAGEREF _Toc481501589 \h </w:instrText>
        </w:r>
        <w:r w:rsidR="004242BD">
          <w:rPr>
            <w:webHidden/>
          </w:rPr>
        </w:r>
        <w:r w:rsidR="004242BD">
          <w:rPr>
            <w:webHidden/>
          </w:rPr>
          <w:fldChar w:fldCharType="separate"/>
        </w:r>
        <w:r w:rsidR="00B30389">
          <w:rPr>
            <w:webHidden/>
          </w:rPr>
          <w:t>49</w:t>
        </w:r>
        <w:r w:rsidR="004242BD">
          <w:rPr>
            <w:webHidden/>
          </w:rPr>
          <w:fldChar w:fldCharType="end"/>
        </w:r>
      </w:hyperlink>
    </w:p>
    <w:p w:rsidR="004242BD" w:rsidRDefault="00AA4331">
      <w:pPr>
        <w:pStyle w:val="TOC2"/>
        <w:tabs>
          <w:tab w:val="left" w:pos="851"/>
        </w:tabs>
        <w:rPr>
          <w:rFonts w:eastAsiaTheme="minorEastAsia" w:cstheme="minorBidi"/>
          <w:b w:val="0"/>
          <w:sz w:val="22"/>
          <w:szCs w:val="22"/>
        </w:rPr>
      </w:pPr>
      <w:hyperlink w:anchor="_Toc481501590" w:history="1">
        <w:r w:rsidR="004242BD" w:rsidRPr="002961E6">
          <w:rPr>
            <w:rStyle w:val="Hyperlink"/>
          </w:rPr>
          <w:t>4.1</w:t>
        </w:r>
        <w:r w:rsidR="004242BD">
          <w:rPr>
            <w:rFonts w:eastAsiaTheme="minorEastAsia" w:cstheme="minorBidi"/>
            <w:b w:val="0"/>
            <w:sz w:val="22"/>
            <w:szCs w:val="22"/>
          </w:rPr>
          <w:tab/>
        </w:r>
        <w:r w:rsidR="004242BD" w:rsidRPr="002961E6">
          <w:rPr>
            <w:rStyle w:val="Hyperlink"/>
          </w:rPr>
          <w:t>Evidence improvement project</w:t>
        </w:r>
        <w:r w:rsidR="004242BD">
          <w:rPr>
            <w:webHidden/>
          </w:rPr>
          <w:tab/>
        </w:r>
        <w:r w:rsidR="004242BD">
          <w:rPr>
            <w:webHidden/>
          </w:rPr>
          <w:fldChar w:fldCharType="begin"/>
        </w:r>
        <w:r w:rsidR="004242BD">
          <w:rPr>
            <w:webHidden/>
          </w:rPr>
          <w:instrText xml:space="preserve"> PAGEREF _Toc481501590 \h </w:instrText>
        </w:r>
        <w:r w:rsidR="004242BD">
          <w:rPr>
            <w:webHidden/>
          </w:rPr>
        </w:r>
        <w:r w:rsidR="004242BD">
          <w:rPr>
            <w:webHidden/>
          </w:rPr>
          <w:fldChar w:fldCharType="separate"/>
        </w:r>
        <w:r w:rsidR="00B30389">
          <w:rPr>
            <w:webHidden/>
          </w:rPr>
          <w:t>50</w:t>
        </w:r>
        <w:r w:rsidR="004242BD">
          <w:rPr>
            <w:webHidden/>
          </w:rPr>
          <w:fldChar w:fldCharType="end"/>
        </w:r>
      </w:hyperlink>
    </w:p>
    <w:p w:rsidR="004242BD" w:rsidRDefault="00AA4331">
      <w:pPr>
        <w:pStyle w:val="TOC3"/>
        <w:tabs>
          <w:tab w:val="left" w:pos="1200"/>
        </w:tabs>
        <w:rPr>
          <w:color w:val="auto"/>
          <w:sz w:val="22"/>
          <w:szCs w:val="22"/>
        </w:rPr>
      </w:pPr>
      <w:hyperlink w:anchor="_Toc481501591" w:history="1">
        <w:r w:rsidR="004242BD" w:rsidRPr="002961E6">
          <w:rPr>
            <w:rStyle w:val="Hyperlink"/>
          </w:rPr>
          <w:t>4.1.1</w:t>
        </w:r>
        <w:r w:rsidR="004242BD">
          <w:rPr>
            <w:color w:val="auto"/>
            <w:sz w:val="22"/>
            <w:szCs w:val="22"/>
          </w:rPr>
          <w:tab/>
        </w:r>
        <w:r w:rsidR="004242BD" w:rsidRPr="002961E6">
          <w:rPr>
            <w:rStyle w:val="Hyperlink"/>
          </w:rPr>
          <w:t>Key performance indicators and baseline data</w:t>
        </w:r>
        <w:r w:rsidR="004242BD">
          <w:rPr>
            <w:webHidden/>
          </w:rPr>
          <w:tab/>
        </w:r>
        <w:r w:rsidR="004242BD">
          <w:rPr>
            <w:webHidden/>
          </w:rPr>
          <w:fldChar w:fldCharType="begin"/>
        </w:r>
        <w:r w:rsidR="004242BD">
          <w:rPr>
            <w:webHidden/>
          </w:rPr>
          <w:instrText xml:space="preserve"> PAGEREF _Toc481501591 \h </w:instrText>
        </w:r>
        <w:r w:rsidR="004242BD">
          <w:rPr>
            <w:webHidden/>
          </w:rPr>
        </w:r>
        <w:r w:rsidR="004242BD">
          <w:rPr>
            <w:webHidden/>
          </w:rPr>
          <w:fldChar w:fldCharType="separate"/>
        </w:r>
        <w:r w:rsidR="00B30389">
          <w:rPr>
            <w:webHidden/>
          </w:rPr>
          <w:t>51</w:t>
        </w:r>
        <w:r w:rsidR="004242BD">
          <w:rPr>
            <w:webHidden/>
          </w:rPr>
          <w:fldChar w:fldCharType="end"/>
        </w:r>
      </w:hyperlink>
    </w:p>
    <w:p w:rsidR="004242BD" w:rsidRDefault="00AA4331">
      <w:pPr>
        <w:pStyle w:val="TOC3"/>
        <w:tabs>
          <w:tab w:val="left" w:pos="1200"/>
        </w:tabs>
        <w:rPr>
          <w:color w:val="auto"/>
          <w:sz w:val="22"/>
          <w:szCs w:val="22"/>
        </w:rPr>
      </w:pPr>
      <w:hyperlink w:anchor="_Toc481501592" w:history="1">
        <w:r w:rsidR="004242BD" w:rsidRPr="002961E6">
          <w:rPr>
            <w:rStyle w:val="Hyperlink"/>
          </w:rPr>
          <w:t>4.1.2</w:t>
        </w:r>
        <w:r w:rsidR="004242BD">
          <w:rPr>
            <w:color w:val="auto"/>
            <w:sz w:val="22"/>
            <w:szCs w:val="22"/>
          </w:rPr>
          <w:tab/>
        </w:r>
        <w:r w:rsidR="004242BD" w:rsidRPr="002961E6">
          <w:rPr>
            <w:rStyle w:val="Hyperlink"/>
          </w:rPr>
          <w:t>Evidence collection to support the midterm evaluation</w:t>
        </w:r>
        <w:r w:rsidR="004242BD">
          <w:rPr>
            <w:webHidden/>
          </w:rPr>
          <w:tab/>
        </w:r>
        <w:r w:rsidR="004242BD">
          <w:rPr>
            <w:webHidden/>
          </w:rPr>
          <w:fldChar w:fldCharType="begin"/>
        </w:r>
        <w:r w:rsidR="004242BD">
          <w:rPr>
            <w:webHidden/>
          </w:rPr>
          <w:instrText xml:space="preserve"> PAGEREF _Toc481501592 \h </w:instrText>
        </w:r>
        <w:r w:rsidR="004242BD">
          <w:rPr>
            <w:webHidden/>
          </w:rPr>
        </w:r>
        <w:r w:rsidR="004242BD">
          <w:rPr>
            <w:webHidden/>
          </w:rPr>
          <w:fldChar w:fldCharType="separate"/>
        </w:r>
        <w:r w:rsidR="00B30389">
          <w:rPr>
            <w:webHidden/>
          </w:rPr>
          <w:t>51</w:t>
        </w:r>
        <w:r w:rsidR="004242BD">
          <w:rPr>
            <w:webHidden/>
          </w:rPr>
          <w:fldChar w:fldCharType="end"/>
        </w:r>
      </w:hyperlink>
    </w:p>
    <w:p w:rsidR="004242BD" w:rsidRDefault="00AA4331">
      <w:pPr>
        <w:pStyle w:val="TOC3"/>
        <w:tabs>
          <w:tab w:val="left" w:pos="1200"/>
        </w:tabs>
        <w:rPr>
          <w:color w:val="auto"/>
          <w:sz w:val="22"/>
          <w:szCs w:val="22"/>
        </w:rPr>
      </w:pPr>
      <w:hyperlink w:anchor="_Toc481501593" w:history="1">
        <w:r w:rsidR="004242BD" w:rsidRPr="002961E6">
          <w:rPr>
            <w:rStyle w:val="Hyperlink"/>
          </w:rPr>
          <w:t>4.1.3</w:t>
        </w:r>
        <w:r w:rsidR="004242BD">
          <w:rPr>
            <w:color w:val="auto"/>
            <w:sz w:val="22"/>
            <w:szCs w:val="22"/>
          </w:rPr>
          <w:tab/>
        </w:r>
        <w:r w:rsidR="004242BD" w:rsidRPr="002961E6">
          <w:rPr>
            <w:rStyle w:val="Hyperlink"/>
          </w:rPr>
          <w:t>Evaluation strategy program</w:t>
        </w:r>
        <w:r w:rsidR="004242BD">
          <w:rPr>
            <w:webHidden/>
          </w:rPr>
          <w:tab/>
        </w:r>
        <w:r w:rsidR="004242BD">
          <w:rPr>
            <w:webHidden/>
          </w:rPr>
          <w:fldChar w:fldCharType="begin"/>
        </w:r>
        <w:r w:rsidR="004242BD">
          <w:rPr>
            <w:webHidden/>
          </w:rPr>
          <w:instrText xml:space="preserve"> PAGEREF _Toc481501593 \h </w:instrText>
        </w:r>
        <w:r w:rsidR="004242BD">
          <w:rPr>
            <w:webHidden/>
          </w:rPr>
        </w:r>
        <w:r w:rsidR="004242BD">
          <w:rPr>
            <w:webHidden/>
          </w:rPr>
          <w:fldChar w:fldCharType="separate"/>
        </w:r>
        <w:r w:rsidR="00B30389">
          <w:rPr>
            <w:webHidden/>
          </w:rPr>
          <w:t>52</w:t>
        </w:r>
        <w:r w:rsidR="004242BD">
          <w:rPr>
            <w:webHidden/>
          </w:rPr>
          <w:fldChar w:fldCharType="end"/>
        </w:r>
      </w:hyperlink>
    </w:p>
    <w:p w:rsidR="004242BD" w:rsidRDefault="00AA4331">
      <w:pPr>
        <w:pStyle w:val="TOC1"/>
        <w:tabs>
          <w:tab w:val="left" w:pos="567"/>
        </w:tabs>
        <w:rPr>
          <w:rFonts w:eastAsiaTheme="minorEastAsia" w:cstheme="minorBidi"/>
          <w:b w:val="0"/>
          <w:color w:val="auto"/>
        </w:rPr>
      </w:pPr>
      <w:hyperlink w:anchor="_Toc481501594" w:history="1">
        <w:r w:rsidR="004242BD" w:rsidRPr="002961E6">
          <w:rPr>
            <w:rStyle w:val="Hyperlink"/>
          </w:rPr>
          <w:t>5</w:t>
        </w:r>
        <w:r w:rsidR="004242BD">
          <w:rPr>
            <w:rFonts w:eastAsiaTheme="minorEastAsia" w:cstheme="minorBidi"/>
            <w:b w:val="0"/>
            <w:color w:val="auto"/>
          </w:rPr>
          <w:tab/>
        </w:r>
        <w:r w:rsidR="004242BD" w:rsidRPr="002961E6">
          <w:rPr>
            <w:rStyle w:val="Hyperlink"/>
          </w:rPr>
          <w:t>Regulation change summary</w:t>
        </w:r>
        <w:r w:rsidR="004242BD">
          <w:rPr>
            <w:webHidden/>
          </w:rPr>
          <w:tab/>
        </w:r>
        <w:r w:rsidR="004242BD">
          <w:rPr>
            <w:webHidden/>
          </w:rPr>
          <w:fldChar w:fldCharType="begin"/>
        </w:r>
        <w:r w:rsidR="004242BD">
          <w:rPr>
            <w:webHidden/>
          </w:rPr>
          <w:instrText xml:space="preserve"> PAGEREF _Toc481501594 \h </w:instrText>
        </w:r>
        <w:r w:rsidR="004242BD">
          <w:rPr>
            <w:webHidden/>
          </w:rPr>
        </w:r>
        <w:r w:rsidR="004242BD">
          <w:rPr>
            <w:webHidden/>
          </w:rPr>
          <w:fldChar w:fldCharType="separate"/>
        </w:r>
        <w:r w:rsidR="00B30389">
          <w:rPr>
            <w:webHidden/>
          </w:rPr>
          <w:t>54</w:t>
        </w:r>
        <w:r w:rsidR="004242BD">
          <w:rPr>
            <w:webHidden/>
          </w:rPr>
          <w:fldChar w:fldCharType="end"/>
        </w:r>
      </w:hyperlink>
    </w:p>
    <w:p w:rsidR="004242BD" w:rsidRDefault="00AA4331">
      <w:pPr>
        <w:pStyle w:val="TOC3"/>
        <w:rPr>
          <w:color w:val="auto"/>
          <w:sz w:val="22"/>
          <w:szCs w:val="22"/>
        </w:rPr>
      </w:pPr>
      <w:hyperlink w:anchor="_Toc481501595" w:history="1">
        <w:r w:rsidR="004242BD" w:rsidRPr="002961E6">
          <w:rPr>
            <w:rStyle w:val="Hyperlink"/>
          </w:rPr>
          <w:t>Pt 1—Preliminary</w:t>
        </w:r>
        <w:r w:rsidR="004242BD">
          <w:rPr>
            <w:webHidden/>
          </w:rPr>
          <w:tab/>
        </w:r>
        <w:r w:rsidR="004242BD">
          <w:rPr>
            <w:webHidden/>
          </w:rPr>
          <w:fldChar w:fldCharType="begin"/>
        </w:r>
        <w:r w:rsidR="004242BD">
          <w:rPr>
            <w:webHidden/>
          </w:rPr>
          <w:instrText xml:space="preserve"> PAGEREF _Toc481501595 \h </w:instrText>
        </w:r>
        <w:r w:rsidR="004242BD">
          <w:rPr>
            <w:webHidden/>
          </w:rPr>
        </w:r>
        <w:r w:rsidR="004242BD">
          <w:rPr>
            <w:webHidden/>
          </w:rPr>
          <w:fldChar w:fldCharType="separate"/>
        </w:r>
        <w:r w:rsidR="00B30389">
          <w:rPr>
            <w:webHidden/>
          </w:rPr>
          <w:t>55</w:t>
        </w:r>
        <w:r w:rsidR="004242BD">
          <w:rPr>
            <w:webHidden/>
          </w:rPr>
          <w:fldChar w:fldCharType="end"/>
        </w:r>
      </w:hyperlink>
    </w:p>
    <w:p w:rsidR="004242BD" w:rsidRDefault="00AA4331">
      <w:pPr>
        <w:pStyle w:val="TOC3"/>
        <w:rPr>
          <w:color w:val="auto"/>
          <w:sz w:val="22"/>
          <w:szCs w:val="22"/>
        </w:rPr>
      </w:pPr>
      <w:hyperlink w:anchor="_Toc481501596" w:history="1">
        <w:r w:rsidR="004242BD" w:rsidRPr="002961E6">
          <w:rPr>
            <w:rStyle w:val="Hyperlink"/>
          </w:rPr>
          <w:t>Pt 2—Building Code of Australia</w:t>
        </w:r>
        <w:r w:rsidR="004242BD">
          <w:rPr>
            <w:webHidden/>
          </w:rPr>
          <w:tab/>
        </w:r>
        <w:r w:rsidR="004242BD">
          <w:rPr>
            <w:webHidden/>
          </w:rPr>
          <w:fldChar w:fldCharType="begin"/>
        </w:r>
        <w:r w:rsidR="004242BD">
          <w:rPr>
            <w:webHidden/>
          </w:rPr>
          <w:instrText xml:space="preserve"> PAGEREF _Toc481501596 \h </w:instrText>
        </w:r>
        <w:r w:rsidR="004242BD">
          <w:rPr>
            <w:webHidden/>
          </w:rPr>
        </w:r>
        <w:r w:rsidR="004242BD">
          <w:rPr>
            <w:webHidden/>
          </w:rPr>
          <w:fldChar w:fldCharType="separate"/>
        </w:r>
        <w:r w:rsidR="00B30389">
          <w:rPr>
            <w:webHidden/>
          </w:rPr>
          <w:t>57</w:t>
        </w:r>
        <w:r w:rsidR="004242BD">
          <w:rPr>
            <w:webHidden/>
          </w:rPr>
          <w:fldChar w:fldCharType="end"/>
        </w:r>
      </w:hyperlink>
    </w:p>
    <w:p w:rsidR="004242BD" w:rsidRDefault="00AA4331">
      <w:pPr>
        <w:pStyle w:val="TOC3"/>
        <w:rPr>
          <w:color w:val="auto"/>
          <w:sz w:val="22"/>
          <w:szCs w:val="22"/>
        </w:rPr>
      </w:pPr>
      <w:hyperlink w:anchor="_Toc481501597" w:history="1">
        <w:r w:rsidR="004242BD" w:rsidRPr="002961E6">
          <w:rPr>
            <w:rStyle w:val="Hyperlink"/>
          </w:rPr>
          <w:t>Pt 3—Owner builders</w:t>
        </w:r>
        <w:r w:rsidR="004242BD">
          <w:rPr>
            <w:webHidden/>
          </w:rPr>
          <w:tab/>
        </w:r>
        <w:r w:rsidR="004242BD">
          <w:rPr>
            <w:webHidden/>
          </w:rPr>
          <w:fldChar w:fldCharType="begin"/>
        </w:r>
        <w:r w:rsidR="004242BD">
          <w:rPr>
            <w:webHidden/>
          </w:rPr>
          <w:instrText xml:space="preserve"> PAGEREF _Toc481501597 \h </w:instrText>
        </w:r>
        <w:r w:rsidR="004242BD">
          <w:rPr>
            <w:webHidden/>
          </w:rPr>
        </w:r>
        <w:r w:rsidR="004242BD">
          <w:rPr>
            <w:webHidden/>
          </w:rPr>
          <w:fldChar w:fldCharType="separate"/>
        </w:r>
        <w:r w:rsidR="00B30389">
          <w:rPr>
            <w:webHidden/>
          </w:rPr>
          <w:t>58</w:t>
        </w:r>
        <w:r w:rsidR="004242BD">
          <w:rPr>
            <w:webHidden/>
          </w:rPr>
          <w:fldChar w:fldCharType="end"/>
        </w:r>
      </w:hyperlink>
    </w:p>
    <w:p w:rsidR="004242BD" w:rsidRDefault="00AA4331">
      <w:pPr>
        <w:pStyle w:val="TOC3"/>
        <w:rPr>
          <w:color w:val="auto"/>
          <w:sz w:val="22"/>
          <w:szCs w:val="22"/>
        </w:rPr>
      </w:pPr>
      <w:hyperlink w:anchor="_Toc481501598" w:history="1">
        <w:r w:rsidR="004242BD" w:rsidRPr="002961E6">
          <w:rPr>
            <w:rStyle w:val="Hyperlink"/>
          </w:rPr>
          <w:t>Pt 4—Combined allotments</w:t>
        </w:r>
        <w:r w:rsidR="004242BD">
          <w:rPr>
            <w:webHidden/>
          </w:rPr>
          <w:tab/>
        </w:r>
        <w:r w:rsidR="004242BD">
          <w:rPr>
            <w:webHidden/>
          </w:rPr>
          <w:fldChar w:fldCharType="begin"/>
        </w:r>
        <w:r w:rsidR="004242BD">
          <w:rPr>
            <w:webHidden/>
          </w:rPr>
          <w:instrText xml:space="preserve"> PAGEREF _Toc481501598 \h </w:instrText>
        </w:r>
        <w:r w:rsidR="004242BD">
          <w:rPr>
            <w:webHidden/>
          </w:rPr>
        </w:r>
        <w:r w:rsidR="004242BD">
          <w:rPr>
            <w:webHidden/>
          </w:rPr>
          <w:fldChar w:fldCharType="separate"/>
        </w:r>
        <w:r w:rsidR="00B30389">
          <w:rPr>
            <w:webHidden/>
          </w:rPr>
          <w:t>60</w:t>
        </w:r>
        <w:r w:rsidR="004242BD">
          <w:rPr>
            <w:webHidden/>
          </w:rPr>
          <w:fldChar w:fldCharType="end"/>
        </w:r>
      </w:hyperlink>
    </w:p>
    <w:p w:rsidR="004242BD" w:rsidRDefault="00AA4331">
      <w:pPr>
        <w:pStyle w:val="TOC3"/>
        <w:rPr>
          <w:color w:val="auto"/>
          <w:sz w:val="22"/>
          <w:szCs w:val="22"/>
        </w:rPr>
      </w:pPr>
      <w:hyperlink w:anchor="_Toc481501599" w:history="1">
        <w:r w:rsidR="004242BD" w:rsidRPr="002961E6">
          <w:rPr>
            <w:rStyle w:val="Hyperlink"/>
          </w:rPr>
          <w:t>Pt 5—Building permits</w:t>
        </w:r>
        <w:r w:rsidR="004242BD">
          <w:rPr>
            <w:webHidden/>
          </w:rPr>
          <w:tab/>
        </w:r>
        <w:r w:rsidR="004242BD">
          <w:rPr>
            <w:webHidden/>
          </w:rPr>
          <w:fldChar w:fldCharType="begin"/>
        </w:r>
        <w:r w:rsidR="004242BD">
          <w:rPr>
            <w:webHidden/>
          </w:rPr>
          <w:instrText xml:space="preserve"> PAGEREF _Toc481501599 \h </w:instrText>
        </w:r>
        <w:r w:rsidR="004242BD">
          <w:rPr>
            <w:webHidden/>
          </w:rPr>
        </w:r>
        <w:r w:rsidR="004242BD">
          <w:rPr>
            <w:webHidden/>
          </w:rPr>
          <w:fldChar w:fldCharType="separate"/>
        </w:r>
        <w:r w:rsidR="00B30389">
          <w:rPr>
            <w:webHidden/>
          </w:rPr>
          <w:t>62</w:t>
        </w:r>
        <w:r w:rsidR="004242BD">
          <w:rPr>
            <w:webHidden/>
          </w:rPr>
          <w:fldChar w:fldCharType="end"/>
        </w:r>
      </w:hyperlink>
    </w:p>
    <w:p w:rsidR="004242BD" w:rsidRDefault="00AA4331">
      <w:pPr>
        <w:pStyle w:val="TOC3"/>
        <w:rPr>
          <w:color w:val="auto"/>
          <w:sz w:val="22"/>
          <w:szCs w:val="22"/>
        </w:rPr>
      </w:pPr>
      <w:hyperlink w:anchor="_Toc481501600" w:history="1">
        <w:r w:rsidR="004242BD" w:rsidRPr="002961E6">
          <w:rPr>
            <w:rStyle w:val="Hyperlink"/>
          </w:rPr>
          <w:t>Pt 6—Siting</w:t>
        </w:r>
        <w:r w:rsidR="004242BD">
          <w:rPr>
            <w:webHidden/>
          </w:rPr>
          <w:tab/>
        </w:r>
        <w:r w:rsidR="004242BD">
          <w:rPr>
            <w:webHidden/>
          </w:rPr>
          <w:fldChar w:fldCharType="begin"/>
        </w:r>
        <w:r w:rsidR="004242BD">
          <w:rPr>
            <w:webHidden/>
          </w:rPr>
          <w:instrText xml:space="preserve"> PAGEREF _Toc481501600 \h </w:instrText>
        </w:r>
        <w:r w:rsidR="004242BD">
          <w:rPr>
            <w:webHidden/>
          </w:rPr>
        </w:r>
        <w:r w:rsidR="004242BD">
          <w:rPr>
            <w:webHidden/>
          </w:rPr>
          <w:fldChar w:fldCharType="separate"/>
        </w:r>
        <w:r w:rsidR="00B30389">
          <w:rPr>
            <w:webHidden/>
          </w:rPr>
          <w:t>72</w:t>
        </w:r>
        <w:r w:rsidR="004242BD">
          <w:rPr>
            <w:webHidden/>
          </w:rPr>
          <w:fldChar w:fldCharType="end"/>
        </w:r>
      </w:hyperlink>
    </w:p>
    <w:p w:rsidR="004242BD" w:rsidRDefault="00AA4331">
      <w:pPr>
        <w:pStyle w:val="TOC3"/>
        <w:rPr>
          <w:color w:val="auto"/>
          <w:sz w:val="22"/>
          <w:szCs w:val="22"/>
        </w:rPr>
      </w:pPr>
      <w:hyperlink w:anchor="_Toc481501601" w:history="1">
        <w:r w:rsidR="004242BD" w:rsidRPr="002961E6">
          <w:rPr>
            <w:rStyle w:val="Hyperlink"/>
          </w:rPr>
          <w:t>Pt 7—Projections beyond street alignment</w:t>
        </w:r>
        <w:r w:rsidR="004242BD">
          <w:rPr>
            <w:webHidden/>
          </w:rPr>
          <w:tab/>
        </w:r>
        <w:r w:rsidR="004242BD">
          <w:rPr>
            <w:webHidden/>
          </w:rPr>
          <w:fldChar w:fldCharType="begin"/>
        </w:r>
        <w:r w:rsidR="004242BD">
          <w:rPr>
            <w:webHidden/>
          </w:rPr>
          <w:instrText xml:space="preserve"> PAGEREF _Toc481501601 \h </w:instrText>
        </w:r>
        <w:r w:rsidR="004242BD">
          <w:rPr>
            <w:webHidden/>
          </w:rPr>
        </w:r>
        <w:r w:rsidR="004242BD">
          <w:rPr>
            <w:webHidden/>
          </w:rPr>
          <w:fldChar w:fldCharType="separate"/>
        </w:r>
        <w:r w:rsidR="00B30389">
          <w:rPr>
            <w:webHidden/>
          </w:rPr>
          <w:t>78</w:t>
        </w:r>
        <w:r w:rsidR="004242BD">
          <w:rPr>
            <w:webHidden/>
          </w:rPr>
          <w:fldChar w:fldCharType="end"/>
        </w:r>
      </w:hyperlink>
    </w:p>
    <w:p w:rsidR="004242BD" w:rsidRDefault="00AA4331">
      <w:pPr>
        <w:pStyle w:val="TOC3"/>
        <w:rPr>
          <w:color w:val="auto"/>
          <w:sz w:val="22"/>
          <w:szCs w:val="22"/>
        </w:rPr>
      </w:pPr>
      <w:hyperlink w:anchor="_Toc481501602" w:history="1">
        <w:r w:rsidR="004242BD" w:rsidRPr="002961E6">
          <w:rPr>
            <w:rStyle w:val="Hyperlink"/>
          </w:rPr>
          <w:t>Pt 8—Protection of adjoining property and the public</w:t>
        </w:r>
        <w:r w:rsidR="004242BD">
          <w:rPr>
            <w:webHidden/>
          </w:rPr>
          <w:tab/>
        </w:r>
        <w:r w:rsidR="004242BD">
          <w:rPr>
            <w:webHidden/>
          </w:rPr>
          <w:fldChar w:fldCharType="begin"/>
        </w:r>
        <w:r w:rsidR="004242BD">
          <w:rPr>
            <w:webHidden/>
          </w:rPr>
          <w:instrText xml:space="preserve"> PAGEREF _Toc481501602 \h </w:instrText>
        </w:r>
        <w:r w:rsidR="004242BD">
          <w:rPr>
            <w:webHidden/>
          </w:rPr>
        </w:r>
        <w:r w:rsidR="004242BD">
          <w:rPr>
            <w:webHidden/>
          </w:rPr>
          <w:fldChar w:fldCharType="separate"/>
        </w:r>
        <w:r w:rsidR="00B30389">
          <w:rPr>
            <w:webHidden/>
          </w:rPr>
          <w:t>80</w:t>
        </w:r>
        <w:r w:rsidR="004242BD">
          <w:rPr>
            <w:webHidden/>
          </w:rPr>
          <w:fldChar w:fldCharType="end"/>
        </w:r>
      </w:hyperlink>
    </w:p>
    <w:p w:rsidR="004242BD" w:rsidRDefault="00AA4331">
      <w:pPr>
        <w:pStyle w:val="TOC3"/>
        <w:rPr>
          <w:color w:val="auto"/>
          <w:sz w:val="22"/>
          <w:szCs w:val="22"/>
        </w:rPr>
      </w:pPr>
      <w:hyperlink w:anchor="_Toc481501603" w:history="1">
        <w:r w:rsidR="004242BD" w:rsidRPr="002961E6">
          <w:rPr>
            <w:rStyle w:val="Hyperlink"/>
          </w:rPr>
          <w:t>Pt 9—Building work</w:t>
        </w:r>
        <w:r w:rsidR="004242BD">
          <w:rPr>
            <w:webHidden/>
          </w:rPr>
          <w:tab/>
        </w:r>
        <w:r w:rsidR="004242BD">
          <w:rPr>
            <w:webHidden/>
          </w:rPr>
          <w:fldChar w:fldCharType="begin"/>
        </w:r>
        <w:r w:rsidR="004242BD">
          <w:rPr>
            <w:webHidden/>
          </w:rPr>
          <w:instrText xml:space="preserve"> PAGEREF _Toc481501603 \h </w:instrText>
        </w:r>
        <w:r w:rsidR="004242BD">
          <w:rPr>
            <w:webHidden/>
          </w:rPr>
        </w:r>
        <w:r w:rsidR="004242BD">
          <w:rPr>
            <w:webHidden/>
          </w:rPr>
          <w:fldChar w:fldCharType="separate"/>
        </w:r>
        <w:r w:rsidR="00B30389">
          <w:rPr>
            <w:webHidden/>
          </w:rPr>
          <w:t>83</w:t>
        </w:r>
        <w:r w:rsidR="004242BD">
          <w:rPr>
            <w:webHidden/>
          </w:rPr>
          <w:fldChar w:fldCharType="end"/>
        </w:r>
      </w:hyperlink>
    </w:p>
    <w:p w:rsidR="004242BD" w:rsidRDefault="00AA4331">
      <w:pPr>
        <w:pStyle w:val="TOC3"/>
        <w:rPr>
          <w:color w:val="auto"/>
          <w:sz w:val="22"/>
          <w:szCs w:val="22"/>
        </w:rPr>
      </w:pPr>
      <w:hyperlink w:anchor="_Toc481501604" w:history="1">
        <w:r w:rsidR="004242BD" w:rsidRPr="002961E6">
          <w:rPr>
            <w:rStyle w:val="Hyperlink"/>
          </w:rPr>
          <w:t>Pt 10—Building work—safety requirements</w:t>
        </w:r>
        <w:r w:rsidR="004242BD">
          <w:rPr>
            <w:webHidden/>
          </w:rPr>
          <w:tab/>
        </w:r>
        <w:r w:rsidR="004242BD">
          <w:rPr>
            <w:webHidden/>
          </w:rPr>
          <w:fldChar w:fldCharType="begin"/>
        </w:r>
        <w:r w:rsidR="004242BD">
          <w:rPr>
            <w:webHidden/>
          </w:rPr>
          <w:instrText xml:space="preserve"> PAGEREF _Toc481501604 \h </w:instrText>
        </w:r>
        <w:r w:rsidR="004242BD">
          <w:rPr>
            <w:webHidden/>
          </w:rPr>
        </w:r>
        <w:r w:rsidR="004242BD">
          <w:rPr>
            <w:webHidden/>
          </w:rPr>
          <w:fldChar w:fldCharType="separate"/>
        </w:r>
        <w:r w:rsidR="00B30389">
          <w:rPr>
            <w:webHidden/>
          </w:rPr>
          <w:t>86</w:t>
        </w:r>
        <w:r w:rsidR="004242BD">
          <w:rPr>
            <w:webHidden/>
          </w:rPr>
          <w:fldChar w:fldCharType="end"/>
        </w:r>
      </w:hyperlink>
    </w:p>
    <w:p w:rsidR="004242BD" w:rsidRDefault="00AA4331">
      <w:pPr>
        <w:pStyle w:val="TOC3"/>
        <w:rPr>
          <w:color w:val="auto"/>
          <w:sz w:val="22"/>
          <w:szCs w:val="22"/>
        </w:rPr>
      </w:pPr>
      <w:hyperlink w:anchor="_Toc481501605" w:history="1">
        <w:r w:rsidR="004242BD" w:rsidRPr="002961E6">
          <w:rPr>
            <w:rStyle w:val="Hyperlink"/>
          </w:rPr>
          <w:t>Pt 11—Designation of special areas for building work</w:t>
        </w:r>
        <w:r w:rsidR="004242BD">
          <w:rPr>
            <w:webHidden/>
          </w:rPr>
          <w:tab/>
        </w:r>
        <w:r w:rsidR="004242BD">
          <w:rPr>
            <w:webHidden/>
          </w:rPr>
          <w:fldChar w:fldCharType="begin"/>
        </w:r>
        <w:r w:rsidR="004242BD">
          <w:rPr>
            <w:webHidden/>
          </w:rPr>
          <w:instrText xml:space="preserve"> PAGEREF _Toc481501605 \h </w:instrText>
        </w:r>
        <w:r w:rsidR="004242BD">
          <w:rPr>
            <w:webHidden/>
          </w:rPr>
        </w:r>
        <w:r w:rsidR="004242BD">
          <w:rPr>
            <w:webHidden/>
          </w:rPr>
          <w:fldChar w:fldCharType="separate"/>
        </w:r>
        <w:r w:rsidR="00B30389">
          <w:rPr>
            <w:webHidden/>
          </w:rPr>
          <w:t>90</w:t>
        </w:r>
        <w:r w:rsidR="004242BD">
          <w:rPr>
            <w:webHidden/>
          </w:rPr>
          <w:fldChar w:fldCharType="end"/>
        </w:r>
      </w:hyperlink>
    </w:p>
    <w:p w:rsidR="004242BD" w:rsidRDefault="00AA4331">
      <w:pPr>
        <w:pStyle w:val="TOC3"/>
        <w:rPr>
          <w:color w:val="auto"/>
          <w:sz w:val="22"/>
          <w:szCs w:val="22"/>
        </w:rPr>
      </w:pPr>
      <w:hyperlink w:anchor="_Toc481501606" w:history="1">
        <w:r w:rsidR="004242BD" w:rsidRPr="002961E6">
          <w:rPr>
            <w:rStyle w:val="Hyperlink"/>
          </w:rPr>
          <w:t>Pt 12—Bushfire safety</w:t>
        </w:r>
        <w:r w:rsidR="004242BD">
          <w:rPr>
            <w:webHidden/>
          </w:rPr>
          <w:tab/>
        </w:r>
        <w:r w:rsidR="004242BD">
          <w:rPr>
            <w:webHidden/>
          </w:rPr>
          <w:fldChar w:fldCharType="begin"/>
        </w:r>
        <w:r w:rsidR="004242BD">
          <w:rPr>
            <w:webHidden/>
          </w:rPr>
          <w:instrText xml:space="preserve"> PAGEREF _Toc481501606 \h </w:instrText>
        </w:r>
        <w:r w:rsidR="004242BD">
          <w:rPr>
            <w:webHidden/>
          </w:rPr>
        </w:r>
        <w:r w:rsidR="004242BD">
          <w:rPr>
            <w:webHidden/>
          </w:rPr>
          <w:fldChar w:fldCharType="separate"/>
        </w:r>
        <w:r w:rsidR="00B30389">
          <w:rPr>
            <w:webHidden/>
          </w:rPr>
          <w:t>92</w:t>
        </w:r>
        <w:r w:rsidR="004242BD">
          <w:rPr>
            <w:webHidden/>
          </w:rPr>
          <w:fldChar w:fldCharType="end"/>
        </w:r>
      </w:hyperlink>
    </w:p>
    <w:p w:rsidR="004242BD" w:rsidRDefault="00AA4331">
      <w:pPr>
        <w:pStyle w:val="TOC3"/>
        <w:rPr>
          <w:color w:val="auto"/>
          <w:sz w:val="22"/>
          <w:szCs w:val="22"/>
        </w:rPr>
      </w:pPr>
      <w:hyperlink w:anchor="_Toc481501607" w:history="1">
        <w:r w:rsidR="004242BD" w:rsidRPr="002961E6">
          <w:rPr>
            <w:rStyle w:val="Hyperlink"/>
          </w:rPr>
          <w:t>Pt 13—Inspections notices and orders</w:t>
        </w:r>
        <w:r w:rsidR="004242BD">
          <w:rPr>
            <w:webHidden/>
          </w:rPr>
          <w:tab/>
        </w:r>
        <w:r w:rsidR="004242BD">
          <w:rPr>
            <w:webHidden/>
          </w:rPr>
          <w:fldChar w:fldCharType="begin"/>
        </w:r>
        <w:r w:rsidR="004242BD">
          <w:rPr>
            <w:webHidden/>
          </w:rPr>
          <w:instrText xml:space="preserve"> PAGEREF _Toc481501607 \h </w:instrText>
        </w:r>
        <w:r w:rsidR="004242BD">
          <w:rPr>
            <w:webHidden/>
          </w:rPr>
        </w:r>
        <w:r w:rsidR="004242BD">
          <w:rPr>
            <w:webHidden/>
          </w:rPr>
          <w:fldChar w:fldCharType="separate"/>
        </w:r>
        <w:r w:rsidR="00B30389">
          <w:rPr>
            <w:webHidden/>
          </w:rPr>
          <w:t>95</w:t>
        </w:r>
        <w:r w:rsidR="004242BD">
          <w:rPr>
            <w:webHidden/>
          </w:rPr>
          <w:fldChar w:fldCharType="end"/>
        </w:r>
      </w:hyperlink>
    </w:p>
    <w:p w:rsidR="004242BD" w:rsidRDefault="00AA4331">
      <w:pPr>
        <w:pStyle w:val="TOC3"/>
        <w:rPr>
          <w:color w:val="auto"/>
          <w:sz w:val="22"/>
          <w:szCs w:val="22"/>
        </w:rPr>
      </w:pPr>
      <w:hyperlink w:anchor="_Toc481501608" w:history="1">
        <w:r w:rsidR="004242BD" w:rsidRPr="002961E6">
          <w:rPr>
            <w:rStyle w:val="Hyperlink"/>
          </w:rPr>
          <w:t>Pt 14—Occupancy Permits and Certificates of Final Inspection</w:t>
        </w:r>
        <w:r w:rsidR="004242BD">
          <w:rPr>
            <w:webHidden/>
          </w:rPr>
          <w:tab/>
        </w:r>
        <w:r w:rsidR="004242BD">
          <w:rPr>
            <w:webHidden/>
          </w:rPr>
          <w:fldChar w:fldCharType="begin"/>
        </w:r>
        <w:r w:rsidR="004242BD">
          <w:rPr>
            <w:webHidden/>
          </w:rPr>
          <w:instrText xml:space="preserve"> PAGEREF _Toc481501608 \h </w:instrText>
        </w:r>
        <w:r w:rsidR="004242BD">
          <w:rPr>
            <w:webHidden/>
          </w:rPr>
        </w:r>
        <w:r w:rsidR="004242BD">
          <w:rPr>
            <w:webHidden/>
          </w:rPr>
          <w:fldChar w:fldCharType="separate"/>
        </w:r>
        <w:r w:rsidR="00B30389">
          <w:rPr>
            <w:webHidden/>
          </w:rPr>
          <w:t>97</w:t>
        </w:r>
        <w:r w:rsidR="004242BD">
          <w:rPr>
            <w:webHidden/>
          </w:rPr>
          <w:fldChar w:fldCharType="end"/>
        </w:r>
      </w:hyperlink>
    </w:p>
    <w:p w:rsidR="004242BD" w:rsidRDefault="00AA4331">
      <w:pPr>
        <w:pStyle w:val="TOC3"/>
        <w:rPr>
          <w:color w:val="auto"/>
          <w:sz w:val="22"/>
          <w:szCs w:val="22"/>
        </w:rPr>
      </w:pPr>
      <w:hyperlink w:anchor="_Toc481501609" w:history="1">
        <w:r w:rsidR="004242BD" w:rsidRPr="002961E6">
          <w:rPr>
            <w:rStyle w:val="Hyperlink"/>
          </w:rPr>
          <w:t>Pt 15—Places of public entertainment</w:t>
        </w:r>
        <w:r w:rsidR="004242BD">
          <w:rPr>
            <w:webHidden/>
          </w:rPr>
          <w:tab/>
        </w:r>
        <w:r w:rsidR="004242BD">
          <w:rPr>
            <w:webHidden/>
          </w:rPr>
          <w:fldChar w:fldCharType="begin"/>
        </w:r>
        <w:r w:rsidR="004242BD">
          <w:rPr>
            <w:webHidden/>
          </w:rPr>
          <w:instrText xml:space="preserve"> PAGEREF _Toc481501609 \h </w:instrText>
        </w:r>
        <w:r w:rsidR="004242BD">
          <w:rPr>
            <w:webHidden/>
          </w:rPr>
        </w:r>
        <w:r w:rsidR="004242BD">
          <w:rPr>
            <w:webHidden/>
          </w:rPr>
          <w:fldChar w:fldCharType="separate"/>
        </w:r>
        <w:r w:rsidR="00B30389">
          <w:rPr>
            <w:webHidden/>
          </w:rPr>
          <w:t>104</w:t>
        </w:r>
        <w:r w:rsidR="004242BD">
          <w:rPr>
            <w:webHidden/>
          </w:rPr>
          <w:fldChar w:fldCharType="end"/>
        </w:r>
      </w:hyperlink>
    </w:p>
    <w:p w:rsidR="004242BD" w:rsidRDefault="00AA4331">
      <w:pPr>
        <w:pStyle w:val="TOC3"/>
        <w:rPr>
          <w:color w:val="auto"/>
          <w:sz w:val="22"/>
          <w:szCs w:val="22"/>
        </w:rPr>
      </w:pPr>
      <w:hyperlink w:anchor="_Toc481501610" w:history="1">
        <w:r w:rsidR="004242BD" w:rsidRPr="002961E6">
          <w:rPr>
            <w:rStyle w:val="Hyperlink"/>
          </w:rPr>
          <w:t>Pt 16—Maintenance of buildings and places of public entertainment</w:t>
        </w:r>
        <w:r w:rsidR="004242BD">
          <w:rPr>
            <w:webHidden/>
          </w:rPr>
          <w:tab/>
        </w:r>
        <w:r w:rsidR="004242BD">
          <w:rPr>
            <w:webHidden/>
          </w:rPr>
          <w:fldChar w:fldCharType="begin"/>
        </w:r>
        <w:r w:rsidR="004242BD">
          <w:rPr>
            <w:webHidden/>
          </w:rPr>
          <w:instrText xml:space="preserve"> PAGEREF _Toc481501610 \h </w:instrText>
        </w:r>
        <w:r w:rsidR="004242BD">
          <w:rPr>
            <w:webHidden/>
          </w:rPr>
        </w:r>
        <w:r w:rsidR="004242BD">
          <w:rPr>
            <w:webHidden/>
          </w:rPr>
          <w:fldChar w:fldCharType="separate"/>
        </w:r>
        <w:r w:rsidR="00B30389">
          <w:rPr>
            <w:webHidden/>
          </w:rPr>
          <w:t>105</w:t>
        </w:r>
        <w:r w:rsidR="004242BD">
          <w:rPr>
            <w:webHidden/>
          </w:rPr>
          <w:fldChar w:fldCharType="end"/>
        </w:r>
      </w:hyperlink>
    </w:p>
    <w:p w:rsidR="004242BD" w:rsidRDefault="00AA4331">
      <w:pPr>
        <w:pStyle w:val="TOC3"/>
        <w:rPr>
          <w:color w:val="auto"/>
          <w:sz w:val="22"/>
          <w:szCs w:val="22"/>
        </w:rPr>
      </w:pPr>
      <w:hyperlink w:anchor="_Toc481501611" w:history="1">
        <w:r w:rsidR="004242BD" w:rsidRPr="002961E6">
          <w:rPr>
            <w:rStyle w:val="Hyperlink"/>
          </w:rPr>
          <w:t>Pt 17—Existing buildings</w:t>
        </w:r>
        <w:r w:rsidR="004242BD">
          <w:rPr>
            <w:webHidden/>
          </w:rPr>
          <w:tab/>
        </w:r>
        <w:r w:rsidR="004242BD">
          <w:rPr>
            <w:webHidden/>
          </w:rPr>
          <w:fldChar w:fldCharType="begin"/>
        </w:r>
        <w:r w:rsidR="004242BD">
          <w:rPr>
            <w:webHidden/>
          </w:rPr>
          <w:instrText xml:space="preserve"> PAGEREF _Toc481501611 \h </w:instrText>
        </w:r>
        <w:r w:rsidR="004242BD">
          <w:rPr>
            <w:webHidden/>
          </w:rPr>
        </w:r>
        <w:r w:rsidR="004242BD">
          <w:rPr>
            <w:webHidden/>
          </w:rPr>
          <w:fldChar w:fldCharType="separate"/>
        </w:r>
        <w:r w:rsidR="00B30389">
          <w:rPr>
            <w:webHidden/>
          </w:rPr>
          <w:t>109</w:t>
        </w:r>
        <w:r w:rsidR="004242BD">
          <w:rPr>
            <w:webHidden/>
          </w:rPr>
          <w:fldChar w:fldCharType="end"/>
        </w:r>
      </w:hyperlink>
    </w:p>
    <w:p w:rsidR="004242BD" w:rsidRDefault="00AA4331">
      <w:pPr>
        <w:pStyle w:val="TOC3"/>
        <w:rPr>
          <w:color w:val="auto"/>
          <w:sz w:val="22"/>
          <w:szCs w:val="22"/>
        </w:rPr>
      </w:pPr>
      <w:hyperlink w:anchor="_Toc481501612" w:history="1">
        <w:r w:rsidR="004242BD" w:rsidRPr="002961E6">
          <w:rPr>
            <w:rStyle w:val="Hyperlink"/>
          </w:rPr>
          <w:t>Pt 18—Building product accreditation</w:t>
        </w:r>
        <w:r w:rsidR="004242BD">
          <w:rPr>
            <w:webHidden/>
          </w:rPr>
          <w:tab/>
        </w:r>
        <w:r w:rsidR="004242BD">
          <w:rPr>
            <w:webHidden/>
          </w:rPr>
          <w:fldChar w:fldCharType="begin"/>
        </w:r>
        <w:r w:rsidR="004242BD">
          <w:rPr>
            <w:webHidden/>
          </w:rPr>
          <w:instrText xml:space="preserve"> PAGEREF _Toc481501612 \h </w:instrText>
        </w:r>
        <w:r w:rsidR="004242BD">
          <w:rPr>
            <w:webHidden/>
          </w:rPr>
        </w:r>
        <w:r w:rsidR="004242BD">
          <w:rPr>
            <w:webHidden/>
          </w:rPr>
          <w:fldChar w:fldCharType="separate"/>
        </w:r>
        <w:r w:rsidR="00B30389">
          <w:rPr>
            <w:webHidden/>
          </w:rPr>
          <w:t>112</w:t>
        </w:r>
        <w:r w:rsidR="004242BD">
          <w:rPr>
            <w:webHidden/>
          </w:rPr>
          <w:fldChar w:fldCharType="end"/>
        </w:r>
      </w:hyperlink>
    </w:p>
    <w:p w:rsidR="004242BD" w:rsidRDefault="00AA4331">
      <w:pPr>
        <w:pStyle w:val="TOC3"/>
        <w:rPr>
          <w:color w:val="auto"/>
          <w:sz w:val="22"/>
          <w:szCs w:val="22"/>
        </w:rPr>
      </w:pPr>
      <w:hyperlink w:anchor="_Toc481501613" w:history="1">
        <w:r w:rsidR="004242BD" w:rsidRPr="002961E6">
          <w:rPr>
            <w:rStyle w:val="Hyperlink"/>
          </w:rPr>
          <w:t>Pt 19—Building practitioners</w:t>
        </w:r>
        <w:r w:rsidR="004242BD">
          <w:rPr>
            <w:webHidden/>
          </w:rPr>
          <w:tab/>
        </w:r>
        <w:r w:rsidR="004242BD">
          <w:rPr>
            <w:webHidden/>
          </w:rPr>
          <w:fldChar w:fldCharType="begin"/>
        </w:r>
        <w:r w:rsidR="004242BD">
          <w:rPr>
            <w:webHidden/>
          </w:rPr>
          <w:instrText xml:space="preserve"> PAGEREF _Toc481501613 \h </w:instrText>
        </w:r>
        <w:r w:rsidR="004242BD">
          <w:rPr>
            <w:webHidden/>
          </w:rPr>
        </w:r>
        <w:r w:rsidR="004242BD">
          <w:rPr>
            <w:webHidden/>
          </w:rPr>
          <w:fldChar w:fldCharType="separate"/>
        </w:r>
        <w:r w:rsidR="00B30389">
          <w:rPr>
            <w:webHidden/>
          </w:rPr>
          <w:t>116</w:t>
        </w:r>
        <w:r w:rsidR="004242BD">
          <w:rPr>
            <w:webHidden/>
          </w:rPr>
          <w:fldChar w:fldCharType="end"/>
        </w:r>
      </w:hyperlink>
    </w:p>
    <w:p w:rsidR="004242BD" w:rsidRDefault="00AA4331">
      <w:pPr>
        <w:pStyle w:val="TOC3"/>
        <w:rPr>
          <w:color w:val="auto"/>
          <w:sz w:val="22"/>
          <w:szCs w:val="22"/>
        </w:rPr>
      </w:pPr>
      <w:hyperlink w:anchor="_Toc481501614" w:history="1">
        <w:r w:rsidR="004242BD" w:rsidRPr="002961E6">
          <w:rPr>
            <w:rStyle w:val="Hyperlink"/>
          </w:rPr>
          <w:t>Pt 20—Appeals and reviews</w:t>
        </w:r>
        <w:r w:rsidR="004242BD">
          <w:rPr>
            <w:webHidden/>
          </w:rPr>
          <w:tab/>
        </w:r>
        <w:r w:rsidR="004242BD">
          <w:rPr>
            <w:webHidden/>
          </w:rPr>
          <w:fldChar w:fldCharType="begin"/>
        </w:r>
        <w:r w:rsidR="004242BD">
          <w:rPr>
            <w:webHidden/>
          </w:rPr>
          <w:instrText xml:space="preserve"> PAGEREF _Toc481501614 \h </w:instrText>
        </w:r>
        <w:r w:rsidR="004242BD">
          <w:rPr>
            <w:webHidden/>
          </w:rPr>
        </w:r>
        <w:r w:rsidR="004242BD">
          <w:rPr>
            <w:webHidden/>
          </w:rPr>
          <w:fldChar w:fldCharType="separate"/>
        </w:r>
        <w:r w:rsidR="00B30389">
          <w:rPr>
            <w:webHidden/>
          </w:rPr>
          <w:t>121</w:t>
        </w:r>
        <w:r w:rsidR="004242BD">
          <w:rPr>
            <w:webHidden/>
          </w:rPr>
          <w:fldChar w:fldCharType="end"/>
        </w:r>
      </w:hyperlink>
    </w:p>
    <w:p w:rsidR="004242BD" w:rsidRDefault="00AA4331">
      <w:pPr>
        <w:pStyle w:val="TOC3"/>
        <w:rPr>
          <w:color w:val="auto"/>
          <w:sz w:val="22"/>
          <w:szCs w:val="22"/>
        </w:rPr>
      </w:pPr>
      <w:hyperlink w:anchor="_Toc481501615" w:history="1">
        <w:r w:rsidR="004242BD" w:rsidRPr="002961E6">
          <w:rPr>
            <w:rStyle w:val="Hyperlink"/>
          </w:rPr>
          <w:t>Pt 21—Infringement notices</w:t>
        </w:r>
        <w:r w:rsidR="004242BD">
          <w:rPr>
            <w:webHidden/>
          </w:rPr>
          <w:tab/>
        </w:r>
        <w:r w:rsidR="004242BD">
          <w:rPr>
            <w:webHidden/>
          </w:rPr>
          <w:fldChar w:fldCharType="begin"/>
        </w:r>
        <w:r w:rsidR="004242BD">
          <w:rPr>
            <w:webHidden/>
          </w:rPr>
          <w:instrText xml:space="preserve"> PAGEREF _Toc481501615 \h </w:instrText>
        </w:r>
        <w:r w:rsidR="004242BD">
          <w:rPr>
            <w:webHidden/>
          </w:rPr>
        </w:r>
        <w:r w:rsidR="004242BD">
          <w:rPr>
            <w:webHidden/>
          </w:rPr>
          <w:fldChar w:fldCharType="separate"/>
        </w:r>
        <w:r w:rsidR="00B30389">
          <w:rPr>
            <w:webHidden/>
          </w:rPr>
          <w:t>122</w:t>
        </w:r>
        <w:r w:rsidR="004242BD">
          <w:rPr>
            <w:webHidden/>
          </w:rPr>
          <w:fldChar w:fldCharType="end"/>
        </w:r>
      </w:hyperlink>
    </w:p>
    <w:p w:rsidR="004242BD" w:rsidRDefault="00AA4331">
      <w:pPr>
        <w:pStyle w:val="TOC3"/>
        <w:rPr>
          <w:color w:val="auto"/>
          <w:sz w:val="22"/>
          <w:szCs w:val="22"/>
        </w:rPr>
      </w:pPr>
      <w:hyperlink w:anchor="_Toc481501616" w:history="1">
        <w:r w:rsidR="004242BD" w:rsidRPr="002961E6">
          <w:rPr>
            <w:rStyle w:val="Hyperlink"/>
          </w:rPr>
          <w:t>Pt 22—Exemptions</w:t>
        </w:r>
        <w:r w:rsidR="004242BD">
          <w:rPr>
            <w:webHidden/>
          </w:rPr>
          <w:tab/>
        </w:r>
        <w:r w:rsidR="004242BD">
          <w:rPr>
            <w:webHidden/>
          </w:rPr>
          <w:fldChar w:fldCharType="begin"/>
        </w:r>
        <w:r w:rsidR="004242BD">
          <w:rPr>
            <w:webHidden/>
          </w:rPr>
          <w:instrText xml:space="preserve"> PAGEREF _Toc481501616 \h </w:instrText>
        </w:r>
        <w:r w:rsidR="004242BD">
          <w:rPr>
            <w:webHidden/>
          </w:rPr>
        </w:r>
        <w:r w:rsidR="004242BD">
          <w:rPr>
            <w:webHidden/>
          </w:rPr>
          <w:fldChar w:fldCharType="separate"/>
        </w:r>
        <w:r w:rsidR="00B30389">
          <w:rPr>
            <w:webHidden/>
          </w:rPr>
          <w:t>123</w:t>
        </w:r>
        <w:r w:rsidR="004242BD">
          <w:rPr>
            <w:webHidden/>
          </w:rPr>
          <w:fldChar w:fldCharType="end"/>
        </w:r>
      </w:hyperlink>
    </w:p>
    <w:p w:rsidR="004242BD" w:rsidRDefault="00AA4331">
      <w:pPr>
        <w:pStyle w:val="TOC3"/>
        <w:rPr>
          <w:color w:val="auto"/>
          <w:sz w:val="22"/>
          <w:szCs w:val="22"/>
        </w:rPr>
      </w:pPr>
      <w:hyperlink w:anchor="_Toc481501617" w:history="1">
        <w:r w:rsidR="004242BD" w:rsidRPr="002961E6">
          <w:rPr>
            <w:rStyle w:val="Hyperlink"/>
          </w:rPr>
          <w:t>Pt 23—Transitional provisions</w:t>
        </w:r>
        <w:r w:rsidR="004242BD">
          <w:rPr>
            <w:webHidden/>
          </w:rPr>
          <w:tab/>
        </w:r>
        <w:r w:rsidR="004242BD">
          <w:rPr>
            <w:webHidden/>
          </w:rPr>
          <w:fldChar w:fldCharType="begin"/>
        </w:r>
        <w:r w:rsidR="004242BD">
          <w:rPr>
            <w:webHidden/>
          </w:rPr>
          <w:instrText xml:space="preserve"> PAGEREF _Toc481501617 \h </w:instrText>
        </w:r>
        <w:r w:rsidR="004242BD">
          <w:rPr>
            <w:webHidden/>
          </w:rPr>
        </w:r>
        <w:r w:rsidR="004242BD">
          <w:rPr>
            <w:webHidden/>
          </w:rPr>
          <w:fldChar w:fldCharType="separate"/>
        </w:r>
        <w:r w:rsidR="00B30389">
          <w:rPr>
            <w:webHidden/>
          </w:rPr>
          <w:t>125</w:t>
        </w:r>
        <w:r w:rsidR="004242BD">
          <w:rPr>
            <w:webHidden/>
          </w:rPr>
          <w:fldChar w:fldCharType="end"/>
        </w:r>
      </w:hyperlink>
    </w:p>
    <w:p w:rsidR="001D2DA1" w:rsidRPr="00427EE1" w:rsidRDefault="006757E8" w:rsidP="007833CA">
      <w:pPr>
        <w:rPr>
          <w:highlight w:val="lightGray"/>
        </w:rPr>
      </w:pPr>
      <w:r>
        <w:rPr>
          <w:highlight w:val="lightGray"/>
        </w:rPr>
        <w:fldChar w:fldCharType="end"/>
      </w:r>
    </w:p>
    <w:p w:rsidR="001D2DA1" w:rsidRPr="00427EE1" w:rsidRDefault="001D2DA1" w:rsidP="00423C20">
      <w:pPr>
        <w:rPr>
          <w:kern w:val="32"/>
          <w:sz w:val="40"/>
          <w:szCs w:val="32"/>
          <w:highlight w:val="lightGray"/>
        </w:rPr>
      </w:pPr>
      <w:r w:rsidRPr="00427EE1">
        <w:rPr>
          <w:highlight w:val="lightGray"/>
        </w:rPr>
        <w:br w:type="page"/>
      </w:r>
    </w:p>
    <w:p w:rsidR="008D0998" w:rsidRDefault="008D0998" w:rsidP="008D0998">
      <w:pPr>
        <w:pStyle w:val="Heading1"/>
      </w:pPr>
      <w:bookmarkStart w:id="7" w:name="_Toc481476406"/>
      <w:bookmarkStart w:id="8" w:name="_Toc481501551"/>
      <w:bookmarkStart w:id="9" w:name="_Toc480803333"/>
      <w:r w:rsidRPr="00C1534D">
        <w:lastRenderedPageBreak/>
        <w:t>A</w:t>
      </w:r>
      <w:r>
        <w:t>cronyms and abbreviations</w:t>
      </w:r>
      <w:bookmarkEnd w:id="7"/>
      <w:bookmarkEnd w:id="8"/>
    </w:p>
    <w:tbl>
      <w:tblPr>
        <w:tblW w:w="5021" w:type="pct"/>
        <w:tblBorders>
          <w:top w:val="dotted" w:sz="8" w:space="0" w:color="642667" w:themeColor="text2"/>
          <w:bottom w:val="dotted" w:sz="8" w:space="0" w:color="642667" w:themeColor="text2"/>
          <w:insideH w:val="dotted" w:sz="8" w:space="0" w:color="642667" w:themeColor="text2"/>
        </w:tblBorders>
        <w:tblLayout w:type="fixed"/>
        <w:tblLook w:val="0000" w:firstRow="0" w:lastRow="0" w:firstColumn="0" w:lastColumn="0" w:noHBand="0" w:noVBand="0"/>
      </w:tblPr>
      <w:tblGrid>
        <w:gridCol w:w="2376"/>
        <w:gridCol w:w="6096"/>
      </w:tblGrid>
      <w:tr w:rsidR="002C0765" w:rsidTr="006119D2">
        <w:trPr>
          <w:tblHeader/>
        </w:trPr>
        <w:tc>
          <w:tcPr>
            <w:tcW w:w="2376" w:type="dxa"/>
            <w:shd w:val="clear" w:color="auto" w:fill="00B2A9" w:themeFill="accent1"/>
          </w:tcPr>
          <w:bookmarkEnd w:id="9"/>
          <w:p w:rsidR="002C0765" w:rsidRDefault="002C0765" w:rsidP="006119D2">
            <w:pPr>
              <w:pStyle w:val="Tabletext"/>
              <w:rPr>
                <w:b/>
                <w:color w:val="FFFFFF" w:themeColor="background1"/>
              </w:rPr>
            </w:pPr>
            <w:r>
              <w:rPr>
                <w:b/>
                <w:color w:val="FFFFFF" w:themeColor="background1"/>
              </w:rPr>
              <w:t>Acronym</w:t>
            </w:r>
          </w:p>
        </w:tc>
        <w:tc>
          <w:tcPr>
            <w:tcW w:w="6096" w:type="dxa"/>
            <w:shd w:val="clear" w:color="auto" w:fill="00B2A9" w:themeFill="accent1"/>
          </w:tcPr>
          <w:p w:rsidR="002C0765" w:rsidRDefault="002C0765" w:rsidP="006119D2">
            <w:pPr>
              <w:pStyle w:val="Tabletext"/>
              <w:rPr>
                <w:b/>
                <w:color w:val="FFFFFF" w:themeColor="background1"/>
              </w:rPr>
            </w:pPr>
            <w:r>
              <w:rPr>
                <w:b/>
                <w:color w:val="FFFFFF" w:themeColor="background1"/>
              </w:rPr>
              <w:t>Name</w:t>
            </w:r>
          </w:p>
        </w:tc>
      </w:tr>
      <w:tr w:rsidR="002C0765" w:rsidTr="006119D2">
        <w:tc>
          <w:tcPr>
            <w:tcW w:w="2376" w:type="dxa"/>
          </w:tcPr>
          <w:p w:rsidR="002C0765" w:rsidRDefault="002C0765" w:rsidP="006119D2">
            <w:pPr>
              <w:pStyle w:val="Tabletext"/>
            </w:pPr>
            <w:r>
              <w:rPr>
                <w:lang w:val="en-AU"/>
              </w:rPr>
              <w:t>Act, the</w:t>
            </w:r>
          </w:p>
        </w:tc>
        <w:tc>
          <w:tcPr>
            <w:tcW w:w="6096" w:type="dxa"/>
          </w:tcPr>
          <w:p w:rsidR="002C0765" w:rsidRDefault="002C0765" w:rsidP="006119D2">
            <w:pPr>
              <w:pStyle w:val="Tabletext"/>
            </w:pPr>
            <w:r>
              <w:rPr>
                <w:i/>
                <w:lang w:val="en-AU"/>
              </w:rPr>
              <w:t>Building Act 1993</w:t>
            </w:r>
          </w:p>
        </w:tc>
      </w:tr>
      <w:tr w:rsidR="002C0765" w:rsidTr="006119D2">
        <w:tc>
          <w:tcPr>
            <w:tcW w:w="2376" w:type="dxa"/>
          </w:tcPr>
          <w:p w:rsidR="002C0765" w:rsidRDefault="002C0765" w:rsidP="006119D2">
            <w:pPr>
              <w:pStyle w:val="Tabletext"/>
            </w:pPr>
            <w:r>
              <w:t>BAB</w:t>
            </w:r>
          </w:p>
        </w:tc>
        <w:tc>
          <w:tcPr>
            <w:tcW w:w="6096" w:type="dxa"/>
          </w:tcPr>
          <w:p w:rsidR="002C0765" w:rsidRDefault="002C0765" w:rsidP="006119D2">
            <w:pPr>
              <w:pStyle w:val="Tabletext"/>
            </w:pPr>
            <w:r>
              <w:t>Building Appeals Board</w:t>
            </w:r>
          </w:p>
        </w:tc>
      </w:tr>
      <w:tr w:rsidR="002C0765" w:rsidTr="006119D2">
        <w:tc>
          <w:tcPr>
            <w:tcW w:w="2376" w:type="dxa"/>
          </w:tcPr>
          <w:p w:rsidR="002C0765" w:rsidRDefault="002C0765" w:rsidP="006119D2">
            <w:pPr>
              <w:pStyle w:val="Tabletext"/>
            </w:pPr>
            <w:r>
              <w:t>BAL</w:t>
            </w:r>
          </w:p>
        </w:tc>
        <w:tc>
          <w:tcPr>
            <w:tcW w:w="6096" w:type="dxa"/>
          </w:tcPr>
          <w:p w:rsidR="002C0765" w:rsidRDefault="002C0765" w:rsidP="006119D2">
            <w:pPr>
              <w:pStyle w:val="Tabletext"/>
            </w:pPr>
            <w:r>
              <w:t>bushfire attack level</w:t>
            </w:r>
          </w:p>
        </w:tc>
      </w:tr>
      <w:tr w:rsidR="002C0765" w:rsidTr="006119D2">
        <w:tc>
          <w:tcPr>
            <w:tcW w:w="2376" w:type="dxa"/>
          </w:tcPr>
          <w:p w:rsidR="002C0765" w:rsidRDefault="002C0765" w:rsidP="006119D2">
            <w:pPr>
              <w:pStyle w:val="Tabletext"/>
            </w:pPr>
            <w:r>
              <w:t>BRAC</w:t>
            </w:r>
          </w:p>
        </w:tc>
        <w:tc>
          <w:tcPr>
            <w:tcW w:w="6096" w:type="dxa"/>
          </w:tcPr>
          <w:p w:rsidR="002C0765" w:rsidRDefault="002C0765" w:rsidP="006119D2">
            <w:pPr>
              <w:pStyle w:val="Tabletext"/>
            </w:pPr>
            <w:r>
              <w:rPr>
                <w:lang w:val="en-AU"/>
              </w:rPr>
              <w:t>Building Regulations Advisory Committee</w:t>
            </w:r>
          </w:p>
        </w:tc>
      </w:tr>
      <w:tr w:rsidR="002C0765" w:rsidTr="006119D2">
        <w:tc>
          <w:tcPr>
            <w:tcW w:w="2376" w:type="dxa"/>
          </w:tcPr>
          <w:p w:rsidR="002C0765" w:rsidRDefault="002C0765" w:rsidP="006119D2">
            <w:pPr>
              <w:pStyle w:val="Tabletext"/>
            </w:pPr>
            <w:r>
              <w:t>CAV</w:t>
            </w:r>
          </w:p>
        </w:tc>
        <w:tc>
          <w:tcPr>
            <w:tcW w:w="6096" w:type="dxa"/>
          </w:tcPr>
          <w:p w:rsidR="002C0765" w:rsidRDefault="002C0765" w:rsidP="006119D2">
            <w:pPr>
              <w:pStyle w:val="Tabletext"/>
            </w:pPr>
            <w:r>
              <w:t>Consumer Affairs Victoria</w:t>
            </w:r>
          </w:p>
        </w:tc>
      </w:tr>
      <w:tr w:rsidR="002C0765" w:rsidTr="006119D2">
        <w:tc>
          <w:tcPr>
            <w:tcW w:w="2376" w:type="dxa"/>
          </w:tcPr>
          <w:p w:rsidR="002C0765" w:rsidRDefault="002C0765" w:rsidP="006119D2">
            <w:pPr>
              <w:pStyle w:val="Tabletext"/>
            </w:pPr>
            <w:r>
              <w:t>CFA</w:t>
            </w:r>
          </w:p>
        </w:tc>
        <w:tc>
          <w:tcPr>
            <w:tcW w:w="6096" w:type="dxa"/>
          </w:tcPr>
          <w:p w:rsidR="002C0765" w:rsidRDefault="002C0765" w:rsidP="006119D2">
            <w:pPr>
              <w:pStyle w:val="Tabletext"/>
            </w:pPr>
            <w:r>
              <w:t>Country Fire Authority</w:t>
            </w:r>
          </w:p>
        </w:tc>
      </w:tr>
      <w:tr w:rsidR="002C0765" w:rsidTr="006119D2">
        <w:tc>
          <w:tcPr>
            <w:tcW w:w="2376" w:type="dxa"/>
            <w:vAlign w:val="center"/>
          </w:tcPr>
          <w:p w:rsidR="002C0765" w:rsidRDefault="002C0765" w:rsidP="006119D2">
            <w:pPr>
              <w:pStyle w:val="Tabletext"/>
            </w:pPr>
            <w:r>
              <w:rPr>
                <w:lang w:val="en-AU"/>
              </w:rPr>
              <w:t>current Regulations</w:t>
            </w:r>
          </w:p>
        </w:tc>
        <w:tc>
          <w:tcPr>
            <w:tcW w:w="6096" w:type="dxa"/>
            <w:vAlign w:val="center"/>
          </w:tcPr>
          <w:p w:rsidR="002C0765" w:rsidRDefault="002C0765" w:rsidP="006119D2">
            <w:pPr>
              <w:pStyle w:val="Tabletext"/>
            </w:pPr>
            <w:r>
              <w:rPr>
                <w:lang w:val="en-AU"/>
              </w:rPr>
              <w:t>Building Regulations 2006</w:t>
            </w:r>
          </w:p>
        </w:tc>
      </w:tr>
      <w:tr w:rsidR="002C0765" w:rsidTr="006119D2">
        <w:tc>
          <w:tcPr>
            <w:tcW w:w="2376" w:type="dxa"/>
          </w:tcPr>
          <w:p w:rsidR="002C0765" w:rsidRDefault="002C0765" w:rsidP="006119D2">
            <w:pPr>
              <w:pStyle w:val="Tabletext"/>
            </w:pPr>
            <w:r>
              <w:rPr>
                <w:lang w:val="en-AU"/>
              </w:rPr>
              <w:t>Department, the</w:t>
            </w:r>
          </w:p>
        </w:tc>
        <w:tc>
          <w:tcPr>
            <w:tcW w:w="6096" w:type="dxa"/>
          </w:tcPr>
          <w:p w:rsidR="002C0765" w:rsidRDefault="002C0765" w:rsidP="006119D2">
            <w:pPr>
              <w:pStyle w:val="Tabletext"/>
              <w:rPr>
                <w:lang w:val="en-AU"/>
              </w:rPr>
            </w:pPr>
            <w:r>
              <w:rPr>
                <w:lang w:val="en-AU"/>
              </w:rPr>
              <w:t>Department of Environment, Land, Water and Planning</w:t>
            </w:r>
          </w:p>
        </w:tc>
      </w:tr>
      <w:tr w:rsidR="002C0765" w:rsidTr="006119D2">
        <w:tc>
          <w:tcPr>
            <w:tcW w:w="2376" w:type="dxa"/>
          </w:tcPr>
          <w:p w:rsidR="002C0765" w:rsidRDefault="002C0765" w:rsidP="006119D2">
            <w:pPr>
              <w:pStyle w:val="Tabletext"/>
            </w:pPr>
            <w:r>
              <w:t>ESM</w:t>
            </w:r>
          </w:p>
        </w:tc>
        <w:tc>
          <w:tcPr>
            <w:tcW w:w="6096" w:type="dxa"/>
          </w:tcPr>
          <w:p w:rsidR="002C0765" w:rsidRDefault="002C0765" w:rsidP="006119D2">
            <w:pPr>
              <w:pStyle w:val="Tabletext"/>
            </w:pPr>
            <w:r>
              <w:t>Essential safety measures</w:t>
            </w:r>
          </w:p>
        </w:tc>
      </w:tr>
      <w:tr w:rsidR="002C0765" w:rsidTr="006119D2">
        <w:tc>
          <w:tcPr>
            <w:tcW w:w="2376" w:type="dxa"/>
          </w:tcPr>
          <w:p w:rsidR="002C0765" w:rsidRDefault="002C0765" w:rsidP="006119D2">
            <w:pPr>
              <w:pStyle w:val="Tabletext"/>
            </w:pPr>
            <w:r>
              <w:t>MBS</w:t>
            </w:r>
          </w:p>
        </w:tc>
        <w:tc>
          <w:tcPr>
            <w:tcW w:w="6096" w:type="dxa"/>
          </w:tcPr>
          <w:p w:rsidR="002C0765" w:rsidRDefault="002C0765" w:rsidP="006119D2">
            <w:pPr>
              <w:pStyle w:val="Tabletext"/>
            </w:pPr>
            <w:r>
              <w:rPr>
                <w:lang w:val="en-AU"/>
              </w:rPr>
              <w:t>Municipal building surveyor</w:t>
            </w:r>
          </w:p>
        </w:tc>
      </w:tr>
      <w:tr w:rsidR="002C0765" w:rsidTr="006119D2">
        <w:tc>
          <w:tcPr>
            <w:tcW w:w="2376" w:type="dxa"/>
          </w:tcPr>
          <w:p w:rsidR="002C0765" w:rsidRDefault="002C0765" w:rsidP="006119D2">
            <w:pPr>
              <w:pStyle w:val="Tabletext"/>
            </w:pPr>
            <w:r>
              <w:t>MFB</w:t>
            </w:r>
          </w:p>
        </w:tc>
        <w:tc>
          <w:tcPr>
            <w:tcW w:w="6096" w:type="dxa"/>
          </w:tcPr>
          <w:p w:rsidR="002C0765" w:rsidRDefault="002C0765" w:rsidP="006119D2">
            <w:pPr>
              <w:pStyle w:val="Tabletext"/>
            </w:pPr>
            <w:r>
              <w:t>Metropolitan Fire Brigade</w:t>
            </w:r>
          </w:p>
        </w:tc>
      </w:tr>
      <w:tr w:rsidR="002C0765" w:rsidTr="006119D2">
        <w:tc>
          <w:tcPr>
            <w:tcW w:w="2376" w:type="dxa"/>
          </w:tcPr>
          <w:p w:rsidR="002C0765" w:rsidRDefault="002C0765" w:rsidP="006119D2">
            <w:pPr>
              <w:pStyle w:val="Tabletext"/>
            </w:pPr>
            <w:r>
              <w:t>NCC</w:t>
            </w:r>
          </w:p>
        </w:tc>
        <w:tc>
          <w:tcPr>
            <w:tcW w:w="6096" w:type="dxa"/>
          </w:tcPr>
          <w:p w:rsidR="002C0765" w:rsidRDefault="002C0765" w:rsidP="006119D2">
            <w:pPr>
              <w:pStyle w:val="Tabletext"/>
            </w:pPr>
            <w:r>
              <w:rPr>
                <w:lang w:val="en-AU"/>
              </w:rPr>
              <w:t>National Construction Code</w:t>
            </w:r>
          </w:p>
        </w:tc>
      </w:tr>
      <w:tr w:rsidR="002C0765" w:rsidTr="006119D2">
        <w:tc>
          <w:tcPr>
            <w:tcW w:w="2376" w:type="dxa"/>
          </w:tcPr>
          <w:p w:rsidR="002C0765" w:rsidRDefault="002C0765" w:rsidP="006119D2">
            <w:pPr>
              <w:pStyle w:val="Tabletext"/>
            </w:pPr>
            <w:r>
              <w:t>NPV</w:t>
            </w:r>
          </w:p>
        </w:tc>
        <w:tc>
          <w:tcPr>
            <w:tcW w:w="6096" w:type="dxa"/>
          </w:tcPr>
          <w:p w:rsidR="002C0765" w:rsidRDefault="002C0765" w:rsidP="006119D2">
            <w:pPr>
              <w:pStyle w:val="Tabletext"/>
            </w:pPr>
            <w:r>
              <w:t>Net present value</w:t>
            </w:r>
          </w:p>
        </w:tc>
      </w:tr>
      <w:tr w:rsidR="002C0765" w:rsidTr="006119D2">
        <w:tc>
          <w:tcPr>
            <w:tcW w:w="2376" w:type="dxa"/>
          </w:tcPr>
          <w:p w:rsidR="002C0765" w:rsidRDefault="002C0765" w:rsidP="006119D2">
            <w:pPr>
              <w:pStyle w:val="Tabletext"/>
            </w:pPr>
            <w:r>
              <w:t>OHS</w:t>
            </w:r>
          </w:p>
        </w:tc>
        <w:tc>
          <w:tcPr>
            <w:tcW w:w="6096" w:type="dxa"/>
          </w:tcPr>
          <w:p w:rsidR="002C0765" w:rsidRDefault="002C0765" w:rsidP="006119D2">
            <w:pPr>
              <w:pStyle w:val="Tabletext"/>
            </w:pPr>
            <w:r>
              <w:rPr>
                <w:lang w:val="en-AU"/>
              </w:rPr>
              <w:t>Occupational health and safety</w:t>
            </w:r>
          </w:p>
        </w:tc>
      </w:tr>
      <w:tr w:rsidR="002C0765" w:rsidTr="006119D2">
        <w:tc>
          <w:tcPr>
            <w:tcW w:w="2376" w:type="dxa"/>
          </w:tcPr>
          <w:p w:rsidR="002C0765" w:rsidRDefault="002C0765" w:rsidP="006119D2">
            <w:pPr>
              <w:pStyle w:val="Tabletext"/>
            </w:pPr>
            <w:r>
              <w:t>PBS</w:t>
            </w:r>
          </w:p>
        </w:tc>
        <w:tc>
          <w:tcPr>
            <w:tcW w:w="6096" w:type="dxa"/>
          </w:tcPr>
          <w:p w:rsidR="002C0765" w:rsidRDefault="002C0765" w:rsidP="006119D2">
            <w:pPr>
              <w:pStyle w:val="Tabletext"/>
            </w:pPr>
            <w:r>
              <w:t>Private building surveyor</w:t>
            </w:r>
          </w:p>
        </w:tc>
      </w:tr>
      <w:tr w:rsidR="002C0765" w:rsidTr="006119D2">
        <w:tc>
          <w:tcPr>
            <w:tcW w:w="2376" w:type="dxa"/>
          </w:tcPr>
          <w:p w:rsidR="002C0765" w:rsidRDefault="002C0765" w:rsidP="006119D2">
            <w:pPr>
              <w:pStyle w:val="Tabletext"/>
            </w:pPr>
            <w:r>
              <w:t>PCA</w:t>
            </w:r>
          </w:p>
        </w:tc>
        <w:tc>
          <w:tcPr>
            <w:tcW w:w="6096" w:type="dxa"/>
          </w:tcPr>
          <w:p w:rsidR="002C0765" w:rsidRDefault="002C0765" w:rsidP="006119D2">
            <w:pPr>
              <w:pStyle w:val="Tabletext"/>
            </w:pPr>
            <w:r>
              <w:t>Plumbing Code of Australia</w:t>
            </w:r>
          </w:p>
        </w:tc>
      </w:tr>
      <w:tr w:rsidR="002C0765" w:rsidTr="006119D2">
        <w:tc>
          <w:tcPr>
            <w:tcW w:w="2376" w:type="dxa"/>
          </w:tcPr>
          <w:p w:rsidR="002C0765" w:rsidRDefault="002C0765" w:rsidP="006119D2">
            <w:pPr>
              <w:pStyle w:val="Tabletext"/>
            </w:pPr>
            <w:proofErr w:type="spellStart"/>
            <w:r>
              <w:t>PoPE</w:t>
            </w:r>
            <w:proofErr w:type="spellEnd"/>
          </w:p>
        </w:tc>
        <w:tc>
          <w:tcPr>
            <w:tcW w:w="6096" w:type="dxa"/>
          </w:tcPr>
          <w:p w:rsidR="002C0765" w:rsidRDefault="002C0765" w:rsidP="006119D2">
            <w:pPr>
              <w:pStyle w:val="Tabletext"/>
            </w:pPr>
            <w:r>
              <w:t>Place of public entertainment</w:t>
            </w:r>
          </w:p>
        </w:tc>
      </w:tr>
      <w:tr w:rsidR="002C0765" w:rsidTr="006119D2">
        <w:tc>
          <w:tcPr>
            <w:tcW w:w="2376" w:type="dxa"/>
            <w:vAlign w:val="center"/>
          </w:tcPr>
          <w:p w:rsidR="002C0765" w:rsidRDefault="002C0765" w:rsidP="006119D2">
            <w:pPr>
              <w:pStyle w:val="Tabletext"/>
              <w:rPr>
                <w:lang w:val="en-AU"/>
              </w:rPr>
            </w:pPr>
            <w:r>
              <w:rPr>
                <w:lang w:val="en-AU"/>
              </w:rPr>
              <w:t>proposed Regulations</w:t>
            </w:r>
          </w:p>
        </w:tc>
        <w:tc>
          <w:tcPr>
            <w:tcW w:w="6096" w:type="dxa"/>
            <w:vAlign w:val="center"/>
          </w:tcPr>
          <w:p w:rsidR="002C0765" w:rsidRDefault="002C0765" w:rsidP="006119D2">
            <w:pPr>
              <w:pStyle w:val="Tabletext"/>
              <w:rPr>
                <w:lang w:val="en-AU"/>
              </w:rPr>
            </w:pPr>
            <w:r>
              <w:rPr>
                <w:lang w:val="en-AU"/>
              </w:rPr>
              <w:t>Building Regulations 2017</w:t>
            </w:r>
          </w:p>
        </w:tc>
      </w:tr>
      <w:tr w:rsidR="002C0765" w:rsidTr="006119D2">
        <w:tc>
          <w:tcPr>
            <w:tcW w:w="2376" w:type="dxa"/>
          </w:tcPr>
          <w:p w:rsidR="002C0765" w:rsidRDefault="002C0765" w:rsidP="006119D2">
            <w:pPr>
              <w:pStyle w:val="Tabletext"/>
            </w:pPr>
            <w:r>
              <w:t>RBS</w:t>
            </w:r>
          </w:p>
        </w:tc>
        <w:tc>
          <w:tcPr>
            <w:tcW w:w="6096" w:type="dxa"/>
          </w:tcPr>
          <w:p w:rsidR="002C0765" w:rsidRDefault="002C0765" w:rsidP="006119D2">
            <w:pPr>
              <w:pStyle w:val="Tabletext"/>
            </w:pPr>
            <w:r>
              <w:rPr>
                <w:lang w:val="en-AU"/>
              </w:rPr>
              <w:t>Relevant building surveyor</w:t>
            </w:r>
          </w:p>
        </w:tc>
      </w:tr>
      <w:tr w:rsidR="002C0765" w:rsidTr="006119D2">
        <w:tc>
          <w:tcPr>
            <w:tcW w:w="2376" w:type="dxa"/>
          </w:tcPr>
          <w:p w:rsidR="002C0765" w:rsidRDefault="002C0765" w:rsidP="006119D2">
            <w:pPr>
              <w:pStyle w:val="Tabletext"/>
            </w:pPr>
            <w:r>
              <w:t>RIS</w:t>
            </w:r>
          </w:p>
        </w:tc>
        <w:tc>
          <w:tcPr>
            <w:tcW w:w="6096" w:type="dxa"/>
          </w:tcPr>
          <w:p w:rsidR="002C0765" w:rsidRDefault="002C0765" w:rsidP="006119D2">
            <w:pPr>
              <w:pStyle w:val="Tabletext"/>
            </w:pPr>
            <w:r>
              <w:t>Regulatory impact statement</w:t>
            </w:r>
          </w:p>
        </w:tc>
      </w:tr>
      <w:tr w:rsidR="002C0765" w:rsidTr="006119D2">
        <w:tc>
          <w:tcPr>
            <w:tcW w:w="2376" w:type="dxa"/>
          </w:tcPr>
          <w:p w:rsidR="002C0765" w:rsidRDefault="002C0765" w:rsidP="006119D2">
            <w:pPr>
              <w:pStyle w:val="Tabletext"/>
            </w:pPr>
            <w:r>
              <w:t>VBA</w:t>
            </w:r>
          </w:p>
        </w:tc>
        <w:tc>
          <w:tcPr>
            <w:tcW w:w="6096" w:type="dxa"/>
          </w:tcPr>
          <w:p w:rsidR="002C0765" w:rsidRDefault="002C0765" w:rsidP="006119D2">
            <w:pPr>
              <w:pStyle w:val="Tabletext"/>
            </w:pPr>
            <w:r>
              <w:t>Victorian Building Authority</w:t>
            </w:r>
          </w:p>
        </w:tc>
      </w:tr>
      <w:tr w:rsidR="002C0765" w:rsidTr="006119D2">
        <w:tc>
          <w:tcPr>
            <w:tcW w:w="2376" w:type="dxa"/>
          </w:tcPr>
          <w:p w:rsidR="002C0765" w:rsidRDefault="002C0765" w:rsidP="006119D2">
            <w:pPr>
              <w:pStyle w:val="Tabletext"/>
            </w:pPr>
            <w:r>
              <w:t>VCAT</w:t>
            </w:r>
          </w:p>
        </w:tc>
        <w:tc>
          <w:tcPr>
            <w:tcW w:w="6096" w:type="dxa"/>
          </w:tcPr>
          <w:p w:rsidR="002C0765" w:rsidRDefault="002C0765" w:rsidP="006119D2">
            <w:pPr>
              <w:pStyle w:val="Tabletext"/>
            </w:pPr>
            <w:r>
              <w:t>Victorian Civil &amp; Administrative Tribunal</w:t>
            </w:r>
          </w:p>
        </w:tc>
      </w:tr>
    </w:tbl>
    <w:p w:rsidR="002C0765" w:rsidRDefault="002C0765" w:rsidP="006119D2"/>
    <w:p w:rsidR="002C0765" w:rsidRDefault="002C0765" w:rsidP="006119D2">
      <w:pPr>
        <w:pStyle w:val="Heading4"/>
      </w:pPr>
      <w:r>
        <w:t>Abbreviations for Acts and Regulations</w:t>
      </w:r>
    </w:p>
    <w:tbl>
      <w:tblPr>
        <w:tblW w:w="5021" w:type="pct"/>
        <w:tblBorders>
          <w:top w:val="dotted" w:sz="8" w:space="0" w:color="642667" w:themeColor="text2"/>
          <w:bottom w:val="dotted" w:sz="8" w:space="0" w:color="642667" w:themeColor="text2"/>
          <w:insideH w:val="dotted" w:sz="8" w:space="0" w:color="642667" w:themeColor="text2"/>
        </w:tblBorders>
        <w:tblLayout w:type="fixed"/>
        <w:tblLook w:val="0000" w:firstRow="0" w:lastRow="0" w:firstColumn="0" w:lastColumn="0" w:noHBand="0" w:noVBand="0"/>
      </w:tblPr>
      <w:tblGrid>
        <w:gridCol w:w="2376"/>
        <w:gridCol w:w="6096"/>
      </w:tblGrid>
      <w:tr w:rsidR="002C0765" w:rsidRPr="00E65C38" w:rsidTr="006119D2">
        <w:trPr>
          <w:tblHeader/>
        </w:trPr>
        <w:tc>
          <w:tcPr>
            <w:tcW w:w="2376" w:type="dxa"/>
            <w:shd w:val="clear" w:color="auto" w:fill="00B2A9" w:themeFill="accent1"/>
          </w:tcPr>
          <w:p w:rsidR="002C0765" w:rsidRDefault="002C0765" w:rsidP="006119D2">
            <w:pPr>
              <w:pStyle w:val="Tabletext"/>
              <w:rPr>
                <w:b/>
                <w:color w:val="FFFFFF" w:themeColor="background1"/>
              </w:rPr>
            </w:pPr>
            <w:r>
              <w:rPr>
                <w:b/>
                <w:color w:val="FFFFFF" w:themeColor="background1"/>
              </w:rPr>
              <w:t>Abbreviation</w:t>
            </w:r>
          </w:p>
        </w:tc>
        <w:tc>
          <w:tcPr>
            <w:tcW w:w="6096" w:type="dxa"/>
            <w:shd w:val="clear" w:color="auto" w:fill="00B2A9" w:themeFill="accent1"/>
          </w:tcPr>
          <w:p w:rsidR="002C0765" w:rsidRDefault="002C0765" w:rsidP="006119D2">
            <w:pPr>
              <w:pStyle w:val="Tabletext"/>
              <w:rPr>
                <w:b/>
                <w:color w:val="FFFFFF" w:themeColor="background1"/>
              </w:rPr>
            </w:pPr>
            <w:r w:rsidRPr="004C7418">
              <w:rPr>
                <w:b/>
                <w:color w:val="FFFFFF" w:themeColor="background1"/>
              </w:rPr>
              <w:t>Name</w:t>
            </w:r>
          </w:p>
        </w:tc>
      </w:tr>
      <w:tr w:rsidR="002C0765" w:rsidTr="006119D2">
        <w:tc>
          <w:tcPr>
            <w:tcW w:w="2376" w:type="dxa"/>
          </w:tcPr>
          <w:p w:rsidR="002C0765" w:rsidRDefault="002C0765" w:rsidP="006119D2">
            <w:pPr>
              <w:pStyle w:val="Tabletext"/>
            </w:pPr>
            <w:r>
              <w:t>Clause(s)</w:t>
            </w:r>
          </w:p>
        </w:tc>
        <w:tc>
          <w:tcPr>
            <w:tcW w:w="6096" w:type="dxa"/>
          </w:tcPr>
          <w:p w:rsidR="002C0765" w:rsidRDefault="002C0765" w:rsidP="006119D2">
            <w:pPr>
              <w:pStyle w:val="Tabletext"/>
            </w:pPr>
            <w:r>
              <w:t>Cl(s)</w:t>
            </w:r>
          </w:p>
        </w:tc>
      </w:tr>
      <w:tr w:rsidR="002C0765" w:rsidTr="006119D2">
        <w:tc>
          <w:tcPr>
            <w:tcW w:w="2376" w:type="dxa"/>
          </w:tcPr>
          <w:p w:rsidR="002C0765" w:rsidRDefault="002C0765" w:rsidP="006119D2">
            <w:pPr>
              <w:pStyle w:val="Tabletext"/>
            </w:pPr>
            <w:r>
              <w:t>Division(s)</w:t>
            </w:r>
          </w:p>
        </w:tc>
        <w:tc>
          <w:tcPr>
            <w:tcW w:w="6096" w:type="dxa"/>
          </w:tcPr>
          <w:p w:rsidR="002C0765" w:rsidRDefault="002C0765" w:rsidP="006119D2">
            <w:pPr>
              <w:pStyle w:val="Tabletext"/>
            </w:pPr>
            <w:proofErr w:type="spellStart"/>
            <w:r>
              <w:t>Div</w:t>
            </w:r>
            <w:proofErr w:type="spellEnd"/>
            <w:r>
              <w:t>(s)</w:t>
            </w:r>
          </w:p>
        </w:tc>
      </w:tr>
      <w:tr w:rsidR="002C0765" w:rsidTr="006119D2">
        <w:tc>
          <w:tcPr>
            <w:tcW w:w="2376" w:type="dxa"/>
          </w:tcPr>
          <w:p w:rsidR="002C0765" w:rsidRDefault="002C0765" w:rsidP="006119D2">
            <w:pPr>
              <w:pStyle w:val="Tabletext"/>
            </w:pPr>
            <w:r>
              <w:t>Part(s)</w:t>
            </w:r>
          </w:p>
        </w:tc>
        <w:tc>
          <w:tcPr>
            <w:tcW w:w="6096" w:type="dxa"/>
          </w:tcPr>
          <w:p w:rsidR="002C0765" w:rsidRDefault="002C0765" w:rsidP="006119D2">
            <w:pPr>
              <w:pStyle w:val="Tabletext"/>
            </w:pPr>
            <w:r>
              <w:t>Pt(s)</w:t>
            </w:r>
          </w:p>
        </w:tc>
      </w:tr>
      <w:tr w:rsidR="002C0765" w:rsidTr="006119D2">
        <w:tc>
          <w:tcPr>
            <w:tcW w:w="2376" w:type="dxa"/>
          </w:tcPr>
          <w:p w:rsidR="002C0765" w:rsidRDefault="002C0765" w:rsidP="006119D2">
            <w:pPr>
              <w:pStyle w:val="Tabletext"/>
            </w:pPr>
            <w:r>
              <w:t>Regulation(s)</w:t>
            </w:r>
          </w:p>
        </w:tc>
        <w:tc>
          <w:tcPr>
            <w:tcW w:w="6096" w:type="dxa"/>
          </w:tcPr>
          <w:p w:rsidR="002C0765" w:rsidRDefault="002C0765" w:rsidP="006119D2">
            <w:pPr>
              <w:pStyle w:val="Tabletext"/>
            </w:pPr>
            <w:proofErr w:type="spellStart"/>
            <w:r>
              <w:t>Reg</w:t>
            </w:r>
            <w:proofErr w:type="spellEnd"/>
            <w:r>
              <w:t>(s)</w:t>
            </w:r>
          </w:p>
        </w:tc>
      </w:tr>
      <w:tr w:rsidR="002C0765" w:rsidTr="006119D2">
        <w:tc>
          <w:tcPr>
            <w:tcW w:w="2376" w:type="dxa"/>
          </w:tcPr>
          <w:p w:rsidR="002C0765" w:rsidRDefault="002C0765" w:rsidP="006119D2">
            <w:pPr>
              <w:pStyle w:val="Tabletext"/>
            </w:pPr>
            <w:r>
              <w:t>Schedule(s)</w:t>
            </w:r>
          </w:p>
        </w:tc>
        <w:tc>
          <w:tcPr>
            <w:tcW w:w="6096" w:type="dxa"/>
          </w:tcPr>
          <w:p w:rsidR="002C0765" w:rsidRDefault="002C0765" w:rsidP="006119D2">
            <w:pPr>
              <w:pStyle w:val="Tabletext"/>
            </w:pPr>
            <w:proofErr w:type="spellStart"/>
            <w:r>
              <w:t>Sch</w:t>
            </w:r>
            <w:proofErr w:type="spellEnd"/>
            <w:r>
              <w:t>(s)</w:t>
            </w:r>
          </w:p>
        </w:tc>
      </w:tr>
      <w:tr w:rsidR="002C0765" w:rsidTr="006119D2">
        <w:tc>
          <w:tcPr>
            <w:tcW w:w="2376" w:type="dxa"/>
          </w:tcPr>
          <w:p w:rsidR="002C0765" w:rsidRDefault="002C0765" w:rsidP="006119D2">
            <w:pPr>
              <w:pStyle w:val="Tabletext"/>
            </w:pPr>
            <w:r>
              <w:t>Section(s)</w:t>
            </w:r>
          </w:p>
        </w:tc>
        <w:tc>
          <w:tcPr>
            <w:tcW w:w="6096" w:type="dxa"/>
          </w:tcPr>
          <w:p w:rsidR="002C0765" w:rsidRDefault="002C0765" w:rsidP="006119D2">
            <w:pPr>
              <w:pStyle w:val="Tabletext"/>
            </w:pPr>
            <w:r>
              <w:t>S(s)</w:t>
            </w:r>
          </w:p>
        </w:tc>
      </w:tr>
      <w:tr w:rsidR="002C0765" w:rsidTr="006119D2">
        <w:tc>
          <w:tcPr>
            <w:tcW w:w="2376" w:type="dxa"/>
          </w:tcPr>
          <w:p w:rsidR="002C0765" w:rsidRDefault="002C0765" w:rsidP="006119D2">
            <w:pPr>
              <w:pStyle w:val="Tabletext"/>
            </w:pPr>
            <w:r>
              <w:t>Subdivision(s)</w:t>
            </w:r>
          </w:p>
        </w:tc>
        <w:tc>
          <w:tcPr>
            <w:tcW w:w="6096" w:type="dxa"/>
          </w:tcPr>
          <w:p w:rsidR="002C0765" w:rsidRDefault="002C0765" w:rsidP="006119D2">
            <w:pPr>
              <w:pStyle w:val="Tabletext"/>
            </w:pPr>
            <w:r>
              <w:t>Sub-div(s)</w:t>
            </w:r>
          </w:p>
        </w:tc>
      </w:tr>
    </w:tbl>
    <w:p w:rsidR="00CF0ACA" w:rsidRPr="00427EE1" w:rsidRDefault="00E90337" w:rsidP="003448D2">
      <w:pPr>
        <w:pStyle w:val="Heading1"/>
      </w:pPr>
      <w:bookmarkStart w:id="10" w:name="_Toc481501552"/>
      <w:r>
        <w:lastRenderedPageBreak/>
        <w:t>1</w:t>
      </w:r>
      <w:r>
        <w:tab/>
      </w:r>
      <w:r w:rsidR="00CF0ACA" w:rsidRPr="00427EE1">
        <w:t xml:space="preserve">About </w:t>
      </w:r>
      <w:r w:rsidR="00CF0ACA" w:rsidRPr="00427EE1">
        <w:rPr>
          <w:szCs w:val="40"/>
        </w:rPr>
        <w:t>building</w:t>
      </w:r>
      <w:r w:rsidR="00CF0ACA" w:rsidRPr="00427EE1">
        <w:t xml:space="preserve"> in Victoria</w:t>
      </w:r>
      <w:bookmarkEnd w:id="0"/>
      <w:bookmarkEnd w:id="1"/>
      <w:bookmarkEnd w:id="2"/>
      <w:bookmarkEnd w:id="3"/>
      <w:bookmarkEnd w:id="10"/>
    </w:p>
    <w:p w:rsidR="00E60957" w:rsidRDefault="00E90337" w:rsidP="00C14778">
      <w:pPr>
        <w:pStyle w:val="Heading2"/>
      </w:pPr>
      <w:bookmarkStart w:id="11" w:name="_Toc481501553"/>
      <w:r>
        <w:t>1.1</w:t>
      </w:r>
      <w:r>
        <w:tab/>
      </w:r>
      <w:r w:rsidR="005573E5" w:rsidRPr="005573E5">
        <w:t>The</w:t>
      </w:r>
      <w:r w:rsidR="005573E5">
        <w:t xml:space="preserve"> </w:t>
      </w:r>
      <w:r w:rsidR="004F7D03" w:rsidRPr="00427EE1">
        <w:t>Building Act 1993</w:t>
      </w:r>
      <w:bookmarkEnd w:id="11"/>
    </w:p>
    <w:p w:rsidR="004F7D03" w:rsidRPr="00427EE1" w:rsidRDefault="00E90337" w:rsidP="00C14778">
      <w:pPr>
        <w:pStyle w:val="Heading3"/>
      </w:pPr>
      <w:bookmarkStart w:id="12" w:name="_Toc481501554"/>
      <w:r>
        <w:t>1.1.1</w:t>
      </w:r>
      <w:r>
        <w:tab/>
      </w:r>
      <w:r w:rsidR="005573E5">
        <w:t>About the Act</w:t>
      </w:r>
      <w:bookmarkEnd w:id="12"/>
    </w:p>
    <w:p w:rsidR="004F7D03" w:rsidRPr="00427EE1" w:rsidRDefault="004E083D" w:rsidP="00911795">
      <w:r>
        <w:t>Before</w:t>
      </w:r>
      <w:r w:rsidR="004F7D03" w:rsidRPr="00427EE1">
        <w:t xml:space="preserve"> 1994, the legal framework for regulating building construction, standards and maintenance in Victoria was outlined in the </w:t>
      </w:r>
      <w:r w:rsidR="004F7D03" w:rsidRPr="00427EE1">
        <w:rPr>
          <w:i/>
        </w:rPr>
        <w:t>Building Control Act 1981</w:t>
      </w:r>
      <w:r w:rsidR="004F7D03" w:rsidRPr="00427EE1">
        <w:t>. Under this framework, the building approval system was administered by councils and only municipal building surveyors (MBS</w:t>
      </w:r>
      <w:r w:rsidR="00AC0013">
        <w:t>s</w:t>
      </w:r>
      <w:r w:rsidR="004F7D03" w:rsidRPr="00427EE1">
        <w:t>) had the authority to issue building permits.</w:t>
      </w:r>
    </w:p>
    <w:p w:rsidR="004F7D03" w:rsidRPr="00427EE1" w:rsidRDefault="004F7D03" w:rsidP="00A340F4">
      <w:r w:rsidRPr="00427EE1">
        <w:t xml:space="preserve">In the early 1990s, the </w:t>
      </w:r>
      <w:r w:rsidRPr="00427EE1">
        <w:rPr>
          <w:i/>
        </w:rPr>
        <w:t xml:space="preserve">Building Control Act 1981 </w:t>
      </w:r>
      <w:r w:rsidRPr="00427EE1">
        <w:t xml:space="preserve">was reviewed and the </w:t>
      </w:r>
      <w:r w:rsidR="00AC1A59" w:rsidRPr="00AC1A59">
        <w:t>National Model Building Act</w:t>
      </w:r>
      <w:r w:rsidRPr="00427EE1">
        <w:t xml:space="preserve"> was used as the basis for its replacement. Changes were subsequently reflected in the Building Bill that was passed by the Victorian Parliament in December 1993, giving rise to the </w:t>
      </w:r>
      <w:r w:rsidRPr="00427EE1">
        <w:rPr>
          <w:i/>
        </w:rPr>
        <w:t>Building Act 1993</w:t>
      </w:r>
      <w:r w:rsidRPr="00427EE1">
        <w:t xml:space="preserve"> (the Act).</w:t>
      </w:r>
    </w:p>
    <w:p w:rsidR="004F7D03" w:rsidRPr="00427EE1" w:rsidRDefault="004F7D03" w:rsidP="00353E2A">
      <w:pPr>
        <w:pStyle w:val="Normalpre-dotpoint"/>
      </w:pPr>
      <w:r w:rsidRPr="00427EE1">
        <w:t xml:space="preserve">The Act introduced major changes in building control to improve Victoria's building industry. </w:t>
      </w:r>
      <w:r w:rsidR="005573E5">
        <w:t xml:space="preserve">These </w:t>
      </w:r>
      <w:r w:rsidRPr="00427EE1">
        <w:t>included:</w:t>
      </w:r>
    </w:p>
    <w:p w:rsidR="004F7D03" w:rsidRPr="00427EE1" w:rsidRDefault="005573E5" w:rsidP="00353E2A">
      <w:pPr>
        <w:pStyle w:val="Dotpoint"/>
      </w:pPr>
      <w:r>
        <w:t xml:space="preserve">removing </w:t>
      </w:r>
      <w:r w:rsidR="00296466">
        <w:t>MBS</w:t>
      </w:r>
      <w:r w:rsidR="00AC0013">
        <w:t>s</w:t>
      </w:r>
      <w:r w:rsidR="004F7D03" w:rsidRPr="00427EE1">
        <w:t>' monopoly on issuing building permits, thus allowing private building surveyors (PBS</w:t>
      </w:r>
      <w:r w:rsidR="00296466">
        <w:t>s</w:t>
      </w:r>
      <w:r w:rsidR="004F7D03" w:rsidRPr="00427EE1">
        <w:t>) to enter the market</w:t>
      </w:r>
    </w:p>
    <w:p w:rsidR="004F7D03" w:rsidRPr="00427EE1" w:rsidRDefault="005573E5" w:rsidP="00353E2A">
      <w:pPr>
        <w:pStyle w:val="Dotpoint"/>
      </w:pPr>
      <w:r>
        <w:t xml:space="preserve">introducing </w:t>
      </w:r>
      <w:r w:rsidR="004F7D03" w:rsidRPr="00427EE1">
        <w:t>compulsory registration and insurance for builders and certain other categories of building practitioners</w:t>
      </w:r>
      <w:r>
        <w:t xml:space="preserve">, </w:t>
      </w:r>
      <w:r w:rsidR="004F7D03" w:rsidRPr="00427EE1">
        <w:t>a system overseen by the Building Practitioners Board</w:t>
      </w:r>
      <w:r w:rsidR="004F7D03" w:rsidRPr="00427EE1">
        <w:rPr>
          <w:rStyle w:val="FootnoteReference"/>
          <w:color w:val="auto"/>
        </w:rPr>
        <w:footnoteReference w:id="2"/>
      </w:r>
    </w:p>
    <w:p w:rsidR="004F7D03" w:rsidRPr="00427EE1" w:rsidRDefault="005573E5" w:rsidP="00353E2A">
      <w:pPr>
        <w:pStyle w:val="Dotpoint"/>
      </w:pPr>
      <w:r>
        <w:t xml:space="preserve">creating </w:t>
      </w:r>
      <w:r w:rsidR="004F7D03" w:rsidRPr="00427EE1">
        <w:t>the Building Control Commission</w:t>
      </w:r>
      <w:r>
        <w:t>,</w:t>
      </w:r>
      <w:r w:rsidR="004F7D03" w:rsidRPr="00427EE1">
        <w:t xml:space="preserve"> funded by a statutory levy</w:t>
      </w:r>
    </w:p>
    <w:p w:rsidR="004F7D03" w:rsidRPr="00427EE1" w:rsidRDefault="005573E5" w:rsidP="00353E2A">
      <w:pPr>
        <w:pStyle w:val="Dotpointlast"/>
      </w:pPr>
      <w:r>
        <w:t xml:space="preserve">creating </w:t>
      </w:r>
      <w:r w:rsidR="004F7D03" w:rsidRPr="00427EE1">
        <w:t>a statutory registration body, the Building Practitioners Board, and an appeal body, the Building Appeals Board</w:t>
      </w:r>
      <w:r w:rsidR="00666D12">
        <w:t xml:space="preserve"> (BAB)</w:t>
      </w:r>
      <w:r w:rsidR="004F7D03" w:rsidRPr="00427EE1">
        <w:t>.</w:t>
      </w:r>
    </w:p>
    <w:p w:rsidR="004F7D03" w:rsidRPr="00427EE1" w:rsidRDefault="005573E5" w:rsidP="00353E2A">
      <w:r>
        <w:t xml:space="preserve">The Act </w:t>
      </w:r>
      <w:r w:rsidR="004F7D03" w:rsidRPr="00427EE1">
        <w:t>introduc</w:t>
      </w:r>
      <w:r>
        <w:t>ed</w:t>
      </w:r>
      <w:r w:rsidR="004F7D03" w:rsidRPr="00427EE1">
        <w:t xml:space="preserve"> building permit approvals by </w:t>
      </w:r>
      <w:r w:rsidR="00296466">
        <w:t>PBSs</w:t>
      </w:r>
      <w:r w:rsidR="004F7D03" w:rsidRPr="00427EE1">
        <w:t xml:space="preserve">. As highlighted by the </w:t>
      </w:r>
      <w:r w:rsidR="00451305" w:rsidRPr="00427EE1">
        <w:t xml:space="preserve">second reading speech for the </w:t>
      </w:r>
      <w:r w:rsidR="004F7D03" w:rsidRPr="00427EE1">
        <w:t xml:space="preserve">Building Bill </w:t>
      </w:r>
      <w:r w:rsidR="00451305" w:rsidRPr="00427EE1">
        <w:t>1993</w:t>
      </w:r>
      <w:r w:rsidR="004F7D03" w:rsidRPr="00427EE1">
        <w:t xml:space="preserve">, the objective of allowing </w:t>
      </w:r>
      <w:r w:rsidR="00296466">
        <w:t>PBSs</w:t>
      </w:r>
      <w:r w:rsidR="004F7D03" w:rsidRPr="00427EE1">
        <w:t xml:space="preserve"> into the market was to increase the efficiency of the approval system and resolve issues over council delays in issuing building permits.</w:t>
      </w:r>
      <w:r w:rsidR="00451305" w:rsidRPr="00427EE1">
        <w:rPr>
          <w:rStyle w:val="FootnoteReference"/>
          <w:rFonts w:cstheme="minorHAnsi"/>
        </w:rPr>
        <w:footnoteReference w:id="3"/>
      </w:r>
      <w:r w:rsidR="004F7D03" w:rsidRPr="00427EE1">
        <w:t xml:space="preserve"> The ability to issue building permits through either a </w:t>
      </w:r>
      <w:r>
        <w:t xml:space="preserve">MBS </w:t>
      </w:r>
      <w:r w:rsidR="004F7D03" w:rsidRPr="00427EE1">
        <w:t xml:space="preserve">or </w:t>
      </w:r>
      <w:r>
        <w:t xml:space="preserve">PBS </w:t>
      </w:r>
      <w:r w:rsidR="004F7D03" w:rsidRPr="00427EE1">
        <w:t>was viewed as a means of generating competition in the industry.</w:t>
      </w:r>
    </w:p>
    <w:p w:rsidR="004F7D03" w:rsidRPr="00427EE1" w:rsidRDefault="00C14778" w:rsidP="00C14778">
      <w:pPr>
        <w:pStyle w:val="Heading3"/>
      </w:pPr>
      <w:bookmarkStart w:id="13" w:name="_Toc481501555"/>
      <w:r>
        <w:t>1.1.2</w:t>
      </w:r>
      <w:r>
        <w:tab/>
      </w:r>
      <w:r w:rsidR="004F7D03" w:rsidRPr="00427EE1">
        <w:t>Building regulatory system under the Act</w:t>
      </w:r>
      <w:bookmarkEnd w:id="13"/>
    </w:p>
    <w:p w:rsidR="004F7D03" w:rsidRPr="00427EE1" w:rsidRDefault="004F7D03" w:rsidP="00353E2A">
      <w:r w:rsidRPr="00427EE1">
        <w:t xml:space="preserve">The </w:t>
      </w:r>
      <w:r w:rsidR="00AC1A59" w:rsidRPr="00AC1A59">
        <w:t>Act</w:t>
      </w:r>
      <w:r w:rsidRPr="00427EE1">
        <w:rPr>
          <w:i/>
        </w:rPr>
        <w:t xml:space="preserve"> </w:t>
      </w:r>
      <w:r w:rsidRPr="00427EE1">
        <w:t xml:space="preserve">and </w:t>
      </w:r>
      <w:r w:rsidR="0081219B" w:rsidRPr="00427EE1">
        <w:t>b</w:t>
      </w:r>
      <w:r w:rsidRPr="00427EE1">
        <w:t xml:space="preserve">uilding </w:t>
      </w:r>
      <w:r w:rsidR="000273F9">
        <w:t>Regulation</w:t>
      </w:r>
      <w:r w:rsidRPr="00427EE1">
        <w:t xml:space="preserve">s regulate building work, which is </w:t>
      </w:r>
      <w:r w:rsidR="00692731" w:rsidRPr="00427EE1">
        <w:t xml:space="preserve">work for or in connection with the construction, </w:t>
      </w:r>
      <w:r w:rsidRPr="00427EE1">
        <w:t xml:space="preserve">demolition or removal of a </w:t>
      </w:r>
      <w:r w:rsidR="00054147" w:rsidRPr="00427EE1">
        <w:t>building. The</w:t>
      </w:r>
      <w:r w:rsidR="0081219B" w:rsidRPr="00427EE1">
        <w:t xml:space="preserve"> </w:t>
      </w:r>
      <w:r w:rsidR="00692731" w:rsidRPr="00427EE1">
        <w:t>objectives of the Act</w:t>
      </w:r>
      <w:r w:rsidR="0081219B" w:rsidRPr="00427EE1">
        <w:t xml:space="preserve"> are to protect the </w:t>
      </w:r>
      <w:r w:rsidRPr="00427EE1">
        <w:t>safety</w:t>
      </w:r>
      <w:r w:rsidR="0081219B" w:rsidRPr="00427EE1">
        <w:t xml:space="preserve"> and</w:t>
      </w:r>
      <w:r w:rsidRPr="00427EE1">
        <w:t xml:space="preserve"> health </w:t>
      </w:r>
      <w:r w:rsidR="0081219B" w:rsidRPr="00427EE1">
        <w:t xml:space="preserve">of people who use buildings and </w:t>
      </w:r>
      <w:r w:rsidR="00027095">
        <w:t xml:space="preserve">places of public entertainment </w:t>
      </w:r>
      <w:r w:rsidR="00AB414E">
        <w:t>(</w:t>
      </w:r>
      <w:proofErr w:type="spellStart"/>
      <w:r w:rsidR="00AB414E">
        <w:t>PoPEs</w:t>
      </w:r>
      <w:proofErr w:type="spellEnd"/>
      <w:r w:rsidR="00AB414E">
        <w:t>)</w:t>
      </w:r>
      <w:r w:rsidR="0081219B" w:rsidRPr="00427EE1">
        <w:t xml:space="preserve">, to enhance the amenity of buildings, to facilitate the adoption of national building standards, </w:t>
      </w:r>
      <w:r w:rsidR="0030612E" w:rsidRPr="00427EE1">
        <w:t xml:space="preserve">to facilitate </w:t>
      </w:r>
      <w:r w:rsidR="00AB414E">
        <w:t xml:space="preserve">the </w:t>
      </w:r>
      <w:r w:rsidR="0081219B" w:rsidRPr="00427EE1">
        <w:t>cost</w:t>
      </w:r>
      <w:r w:rsidR="007C5A88">
        <w:t>-</w:t>
      </w:r>
      <w:r w:rsidR="0081219B" w:rsidRPr="00427EE1">
        <w:t xml:space="preserve">effective construction and maintenance of buildings, </w:t>
      </w:r>
      <w:r w:rsidR="0030612E" w:rsidRPr="00427EE1">
        <w:t xml:space="preserve">to facilitate </w:t>
      </w:r>
      <w:r w:rsidR="0081219B" w:rsidRPr="00427EE1">
        <w:t>the construction of environmentally and energy</w:t>
      </w:r>
      <w:r w:rsidR="007C5A88">
        <w:t>-</w:t>
      </w:r>
      <w:r w:rsidR="0081219B" w:rsidRPr="00427EE1">
        <w:t>efficient buildi</w:t>
      </w:r>
      <w:r w:rsidR="0030612E" w:rsidRPr="00427EE1">
        <w:t>n</w:t>
      </w:r>
      <w:r w:rsidR="0081219B" w:rsidRPr="00427EE1">
        <w:t>gs and to aid in the achievement of an efficient and competitive building industry.</w:t>
      </w:r>
    </w:p>
    <w:p w:rsidR="00E657D7" w:rsidRDefault="004F7D03">
      <w:r w:rsidRPr="00427EE1">
        <w:t xml:space="preserve">The building industry is currently regulated through the following </w:t>
      </w:r>
      <w:r w:rsidR="0081219B" w:rsidRPr="00427EE1">
        <w:t>legislation and subordinate legislation</w:t>
      </w:r>
      <w:r w:rsidR="00AB414E">
        <w:t>.</w:t>
      </w:r>
    </w:p>
    <w:p w:rsidR="00E657D7" w:rsidRDefault="004F7D03">
      <w:r w:rsidRPr="00427EE1">
        <w:lastRenderedPageBreak/>
        <w:t xml:space="preserve">The </w:t>
      </w:r>
      <w:r w:rsidR="00AC1A59" w:rsidRPr="00AC1A59">
        <w:t>Act</w:t>
      </w:r>
      <w:r w:rsidRPr="00427EE1">
        <w:rPr>
          <w:i/>
        </w:rPr>
        <w:t xml:space="preserve"> </w:t>
      </w:r>
      <w:r w:rsidRPr="00427EE1">
        <w:t>sets out the legal framework for regulating building work, building standards</w:t>
      </w:r>
      <w:r w:rsidR="00692731" w:rsidRPr="00427EE1">
        <w:t>,</w:t>
      </w:r>
      <w:r w:rsidR="0030612E" w:rsidRPr="00427EE1">
        <w:t xml:space="preserve"> building practitioners, </w:t>
      </w:r>
      <w:r w:rsidRPr="00427EE1">
        <w:t xml:space="preserve">the system for issuing building </w:t>
      </w:r>
      <w:r w:rsidR="00692731" w:rsidRPr="00427EE1">
        <w:t xml:space="preserve">permits </w:t>
      </w:r>
      <w:r w:rsidRPr="00427EE1">
        <w:t>and occupancy permits</w:t>
      </w:r>
      <w:r w:rsidR="00692731" w:rsidRPr="00427EE1">
        <w:t>,</w:t>
      </w:r>
      <w:r w:rsidRPr="00427EE1">
        <w:t xml:space="preserve"> and </w:t>
      </w:r>
      <w:r w:rsidR="00AB414E">
        <w:t xml:space="preserve">the administration and enforcement of </w:t>
      </w:r>
      <w:r w:rsidRPr="00427EE1">
        <w:t>related building and safety matters.</w:t>
      </w:r>
    </w:p>
    <w:p w:rsidR="00E657D7" w:rsidRDefault="004F7D03">
      <w:pPr>
        <w:pStyle w:val="Normalpre-dotpoint"/>
      </w:pPr>
      <w:r w:rsidRPr="00427EE1">
        <w:t>Authorised by the Act, the</w:t>
      </w:r>
      <w:r w:rsidR="00AB414E">
        <w:t xml:space="preserve"> building </w:t>
      </w:r>
      <w:r w:rsidR="00195602">
        <w:t>Regulations</w:t>
      </w:r>
      <w:r w:rsidRPr="00427EE1">
        <w:t xml:space="preserve"> </w:t>
      </w:r>
      <w:r w:rsidR="00AB414E">
        <w:t>2006 (the current Regulations):</w:t>
      </w:r>
    </w:p>
    <w:p w:rsidR="00E657D7" w:rsidRDefault="0030612E">
      <w:pPr>
        <w:pStyle w:val="Dotpoint"/>
      </w:pPr>
      <w:r w:rsidRPr="00427EE1">
        <w:t>prescribe standards for the construction and demolition of buildings</w:t>
      </w:r>
      <w:r w:rsidR="00AB414E">
        <w:t xml:space="preserve"> and </w:t>
      </w:r>
      <w:r w:rsidRPr="00427EE1">
        <w:t xml:space="preserve">standards for the safety of </w:t>
      </w:r>
      <w:proofErr w:type="spellStart"/>
      <w:r w:rsidR="00AB414E">
        <w:t>PoPEs</w:t>
      </w:r>
      <w:proofErr w:type="spellEnd"/>
    </w:p>
    <w:p w:rsidR="00E657D7" w:rsidRDefault="00B868CA">
      <w:pPr>
        <w:pStyle w:val="Dotpoint"/>
      </w:pPr>
      <w:r w:rsidRPr="00427EE1">
        <w:t xml:space="preserve">regulate matters relating to the use and maintenance of buildings and </w:t>
      </w:r>
      <w:proofErr w:type="spellStart"/>
      <w:r w:rsidR="00AB414E">
        <w:t>PoPEs</w:t>
      </w:r>
      <w:proofErr w:type="spellEnd"/>
    </w:p>
    <w:p w:rsidR="00E657D7" w:rsidRDefault="004F7D03">
      <w:pPr>
        <w:pStyle w:val="Dotpoint"/>
      </w:pPr>
      <w:r w:rsidRPr="00427EE1">
        <w:t>set out the requirements for building permits, inspections</w:t>
      </w:r>
      <w:r w:rsidR="00B868CA" w:rsidRPr="00427EE1">
        <w:t xml:space="preserve"> and</w:t>
      </w:r>
      <w:r w:rsidRPr="00427EE1">
        <w:t xml:space="preserve"> occupancy permits</w:t>
      </w:r>
    </w:p>
    <w:p w:rsidR="00E657D7" w:rsidRDefault="00B868CA">
      <w:pPr>
        <w:pStyle w:val="Dotpoint"/>
      </w:pPr>
      <w:r w:rsidRPr="00427EE1">
        <w:t>provide for the accreditation of building products and construction methods</w:t>
      </w:r>
    </w:p>
    <w:p w:rsidR="00E657D7" w:rsidRDefault="00B868CA">
      <w:pPr>
        <w:pStyle w:val="Dotpoint"/>
      </w:pPr>
      <w:r w:rsidRPr="00427EE1">
        <w:t>provide for the registration of building practitioners</w:t>
      </w:r>
    </w:p>
    <w:p w:rsidR="00B717DD" w:rsidRDefault="0011110D">
      <w:pPr>
        <w:pStyle w:val="Dotpointlast"/>
        <w:rPr>
          <w:rFonts w:eastAsia="Arial"/>
        </w:rPr>
      </w:pPr>
      <w:r w:rsidRPr="00427EE1">
        <w:t>prescribe fees and other matters for the purposes of the Act</w:t>
      </w:r>
      <w:r w:rsidR="004F7D03" w:rsidRPr="00427EE1">
        <w:t>.</w:t>
      </w:r>
    </w:p>
    <w:p w:rsidR="00E657D7" w:rsidRDefault="004F7D03">
      <w:r w:rsidRPr="00427EE1">
        <w:t xml:space="preserve">The National Construction Code (NCC) is called up and defined within the Act. The NCC is a set of technical provisions that incorporate all onsite construction requirements. </w:t>
      </w:r>
      <w:r w:rsidR="0011110D" w:rsidRPr="00427EE1">
        <w:t xml:space="preserve">Volumes One and Two of the </w:t>
      </w:r>
      <w:r w:rsidRPr="00427EE1">
        <w:t xml:space="preserve">NCC </w:t>
      </w:r>
      <w:r w:rsidR="0011110D" w:rsidRPr="00427EE1">
        <w:t xml:space="preserve">include </w:t>
      </w:r>
      <w:r w:rsidRPr="00427EE1">
        <w:t>the Building Code of Australia (BCA)</w:t>
      </w:r>
      <w:r w:rsidR="0011110D" w:rsidRPr="00427EE1">
        <w:t xml:space="preserve"> </w:t>
      </w:r>
      <w:r w:rsidRPr="00427EE1">
        <w:t xml:space="preserve">and </w:t>
      </w:r>
      <w:r w:rsidR="0011110D" w:rsidRPr="00427EE1">
        <w:t xml:space="preserve">Volume Three includes </w:t>
      </w:r>
      <w:r w:rsidRPr="00427EE1">
        <w:t>the Plumbing Code of Australia (PCA)</w:t>
      </w:r>
      <w:r w:rsidR="0011110D" w:rsidRPr="00427EE1">
        <w:t>. These</w:t>
      </w:r>
      <w:r w:rsidRPr="00427EE1">
        <w:t xml:space="preserve"> were stand­alone codes</w:t>
      </w:r>
      <w:r w:rsidR="0011110D" w:rsidRPr="00427EE1">
        <w:t xml:space="preserve"> before </w:t>
      </w:r>
      <w:r w:rsidR="00AB414E">
        <w:t xml:space="preserve">their </w:t>
      </w:r>
      <w:r w:rsidR="0011110D" w:rsidRPr="00427EE1">
        <w:t>consolidation into the NCC</w:t>
      </w:r>
      <w:r w:rsidRPr="00427EE1">
        <w:t xml:space="preserve">. </w:t>
      </w:r>
    </w:p>
    <w:p w:rsidR="00E657D7" w:rsidRDefault="004F7D03">
      <w:r w:rsidRPr="00427EE1">
        <w:t>The BCA serves as a technical reference for the provisions around the design and construction of buildings and other structures, while the PCA regulates aspects of plumbing and draining installations. The NCC is performance</w:t>
      </w:r>
      <w:r w:rsidR="00AB414E">
        <w:t>-</w:t>
      </w:r>
      <w:r w:rsidRPr="00427EE1">
        <w:t>based and thus defines the</w:t>
      </w:r>
      <w:r w:rsidR="00D71A15" w:rsidRPr="00427EE1">
        <w:t xml:space="preserve"> </w:t>
      </w:r>
      <w:r w:rsidR="00B3254F" w:rsidRPr="00427EE1">
        <w:t>outcome to be achieved</w:t>
      </w:r>
      <w:r w:rsidRPr="00427EE1">
        <w:t xml:space="preserve"> without prescribing a particular method. It provides scope for states and territories to implement additional requirements (variations). </w:t>
      </w:r>
      <w:r w:rsidR="0023395A">
        <w:t xml:space="preserve">S </w:t>
      </w:r>
      <w:r w:rsidRPr="00427EE1">
        <w:t xml:space="preserve">109 of the </w:t>
      </w:r>
      <w:r w:rsidR="00AB414E">
        <w:t xml:space="preserve">current </w:t>
      </w:r>
      <w:r w:rsidRPr="00427EE1">
        <w:t xml:space="preserve">Regulations incorporate the BCA into the </w:t>
      </w:r>
      <w:r w:rsidR="00AB414E">
        <w:t xml:space="preserve">current </w:t>
      </w:r>
      <w:r w:rsidRPr="00427EE1">
        <w:t>Regulations.</w:t>
      </w:r>
      <w:r w:rsidRPr="00427EE1">
        <w:rPr>
          <w:rStyle w:val="FootnoteReference"/>
          <w:color w:val="auto"/>
        </w:rPr>
        <w:footnoteReference w:id="4"/>
      </w:r>
    </w:p>
    <w:bookmarkStart w:id="14" w:name="_Ref454744309"/>
    <w:p w:rsidR="00D615BC" w:rsidRPr="00427EE1" w:rsidRDefault="00060570" w:rsidP="00353E2A">
      <w:r w:rsidRPr="00060570">
        <w:rPr>
          <w:b/>
          <w:color w:val="00B2A9" w:themeColor="accent1"/>
        </w:rPr>
        <w:fldChar w:fldCharType="begin"/>
      </w:r>
      <w:r w:rsidRPr="00060570">
        <w:rPr>
          <w:b/>
          <w:color w:val="00B2A9" w:themeColor="accent1"/>
        </w:rPr>
        <w:instrText xml:space="preserve"> REF _Ref467138310 \h </w:instrText>
      </w:r>
      <w:r w:rsidRPr="006119D2">
        <w:rPr>
          <w:b/>
          <w:color w:val="00B2A9" w:themeColor="accent1"/>
        </w:rPr>
        <w:instrText xml:space="preserve"> \* MERGEFORMAT </w:instrText>
      </w:r>
      <w:r w:rsidRPr="00060570">
        <w:rPr>
          <w:b/>
          <w:color w:val="00B2A9" w:themeColor="accent1"/>
        </w:rPr>
      </w:r>
      <w:r w:rsidRPr="00060570">
        <w:rPr>
          <w:b/>
          <w:color w:val="00B2A9" w:themeColor="accent1"/>
        </w:rPr>
        <w:fldChar w:fldCharType="separate"/>
      </w:r>
      <w:r w:rsidR="00B30389">
        <w:rPr>
          <w:bCs/>
          <w:color w:val="00B2A9" w:themeColor="accent1"/>
          <w:lang w:val="en-US"/>
        </w:rPr>
        <w:t>Error! Reference source not found.</w:t>
      </w:r>
      <w:r w:rsidRPr="00060570">
        <w:rPr>
          <w:b/>
          <w:color w:val="00B2A9" w:themeColor="accent1"/>
        </w:rPr>
        <w:fldChar w:fldCharType="end"/>
      </w:r>
      <w:r w:rsidRPr="00060570">
        <w:rPr>
          <w:b/>
          <w:color w:val="00B2A9" w:themeColor="accent1"/>
        </w:rPr>
        <w:t xml:space="preserve"> </w:t>
      </w:r>
      <w:r w:rsidR="00AB414E">
        <w:t xml:space="preserve">is </w:t>
      </w:r>
      <w:r w:rsidR="00AC1A59" w:rsidRPr="00AC1A59">
        <w:t>a</w:t>
      </w:r>
      <w:r w:rsidR="004F7D03" w:rsidRPr="00AB414E" w:rsidDel="005B2336">
        <w:t xml:space="preserve"> </w:t>
      </w:r>
      <w:r w:rsidR="00AB414E">
        <w:t xml:space="preserve">conceptual outline </w:t>
      </w:r>
      <w:r w:rsidR="004F7D03" w:rsidRPr="00427EE1" w:rsidDel="005B2336">
        <w:t>of Victoria's regulatory system</w:t>
      </w:r>
      <w:r w:rsidR="004F7D03" w:rsidRPr="00427EE1">
        <w:t>.</w:t>
      </w:r>
    </w:p>
    <w:bookmarkEnd w:id="14"/>
    <w:p w:rsidR="004F7D03" w:rsidRPr="00427EE1" w:rsidRDefault="00AA4331" w:rsidP="008E61C7">
      <w:r>
        <w:pict>
          <v:group id="Group 5" o:spid="_x0000_s1031" style="width:383.6pt;height:386.5pt;mso-position-horizontal-relative:char;mso-position-vertical-relative:line" coordsize="42943,52161">
            <v:shape id="Text Box 87" o:spid="_x0000_s1032" type="#_x0000_t202" style="position:absolute;left:14143;width:28800;height:90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o5pcMA&#10;AADbAAAADwAAAGRycy9kb3ducmV2LnhtbERPTWvCQBC9C/0PyxS81U1rLZq6SkixeBBpU6H0NmSn&#10;SWh2NuyuJv57Vyh4m8f7nOV6MK04kfONZQWPkwQEcWl1w5WCw9fmYQ7CB2SNrWVScCYP69XdaImp&#10;tj1/0qkIlYgh7FNUUIfQpVL6siaDfmI74sj9WmcwROgqqR32Mdy08ilJXqTBhmNDjR3lNZV/xdEo&#10;6F32/jPf62m2CN+7IvnIm9lbrtT4fsheQQQawk38797qOP8Zrr/EA+Tq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o5pcMAAADbAAAADwAAAAAAAAAAAAAAAACYAgAAZHJzL2Rv&#10;d25yZXYueG1sUEsFBgAAAAAEAAQA9QAAAIgDAAAAAA==&#10;" fillcolor="white [3201]" strokecolor="#00b2a9 [3204]" strokeweight="2pt">
              <v:textbox inset="1mm,1mm,1mm,1mm">
                <w:txbxContent>
                  <w:p w:rsidR="008915F8" w:rsidRDefault="008915F8" w:rsidP="004F7D03">
                    <w:pPr>
                      <w:pStyle w:val="NormalWeb"/>
                      <w:kinsoku w:val="0"/>
                      <w:overflowPunct w:val="0"/>
                      <w:jc w:val="center"/>
                    </w:pPr>
                    <w:r>
                      <w:rPr>
                        <w:rFonts w:asciiTheme="majorHAnsi" w:hAnsi="Georgia" w:cs="Arial"/>
                        <w:i/>
                        <w:iCs/>
                        <w:color w:val="161616"/>
                        <w:kern w:val="24"/>
                        <w:sz w:val="16"/>
                        <w:szCs w:val="16"/>
                      </w:rPr>
                      <w:t>Building</w:t>
                    </w:r>
                    <w:r>
                      <w:rPr>
                        <w:rFonts w:asciiTheme="majorHAnsi" w:hAnsi="Georgia" w:cs="Arial"/>
                        <w:i/>
                        <w:iCs/>
                        <w:color w:val="161616"/>
                        <w:spacing w:val="10"/>
                        <w:kern w:val="24"/>
                        <w:sz w:val="16"/>
                        <w:szCs w:val="16"/>
                      </w:rPr>
                      <w:t xml:space="preserve"> </w:t>
                    </w:r>
                    <w:r>
                      <w:rPr>
                        <w:rFonts w:asciiTheme="majorHAnsi" w:hAnsi="Georgia" w:cs="Arial"/>
                        <w:i/>
                        <w:iCs/>
                        <w:color w:val="161616"/>
                        <w:kern w:val="24"/>
                        <w:sz w:val="16"/>
                        <w:szCs w:val="16"/>
                      </w:rPr>
                      <w:t>Act</w:t>
                    </w:r>
                    <w:r>
                      <w:rPr>
                        <w:rFonts w:asciiTheme="majorHAnsi" w:hAnsi="Georgia" w:cs="Arial"/>
                        <w:i/>
                        <w:iCs/>
                        <w:color w:val="161616"/>
                        <w:spacing w:val="31"/>
                        <w:kern w:val="24"/>
                        <w:sz w:val="16"/>
                        <w:szCs w:val="16"/>
                      </w:rPr>
                      <w:t xml:space="preserve"> </w:t>
                    </w:r>
                    <w:r>
                      <w:rPr>
                        <w:rFonts w:asciiTheme="majorHAnsi" w:hAnsi="Georgia" w:cs="Arial"/>
                        <w:i/>
                        <w:iCs/>
                        <w:color w:val="161616"/>
                        <w:kern w:val="24"/>
                        <w:sz w:val="16"/>
                        <w:szCs w:val="16"/>
                      </w:rPr>
                      <w:t>1993</w:t>
                    </w:r>
                  </w:p>
                  <w:p w:rsidR="008915F8" w:rsidRDefault="008915F8" w:rsidP="004F7D03">
                    <w:pPr>
                      <w:pStyle w:val="NormalWeb"/>
                      <w:kinsoku w:val="0"/>
                      <w:overflowPunct w:val="0"/>
                      <w:jc w:val="center"/>
                    </w:pPr>
                    <w:r>
                      <w:rPr>
                        <w:rFonts w:asciiTheme="majorHAnsi" w:hAnsi="Georgia" w:cs="Arial"/>
                        <w:color w:val="161616"/>
                        <w:kern w:val="24"/>
                        <w:sz w:val="16"/>
                        <w:szCs w:val="16"/>
                      </w:rPr>
                      <w:t>current Regulations</w:t>
                    </w:r>
                  </w:p>
                  <w:p w:rsidR="008915F8" w:rsidRDefault="008915F8" w:rsidP="004F7D03">
                    <w:pPr>
                      <w:pStyle w:val="NormalWeb"/>
                      <w:kinsoku w:val="0"/>
                      <w:overflowPunct w:val="0"/>
                      <w:jc w:val="center"/>
                    </w:pPr>
                    <w:r>
                      <w:rPr>
                        <w:rFonts w:asciiTheme="majorHAnsi" w:hAnsi="Georgia" w:cs="Arial"/>
                        <w:color w:val="161616"/>
                        <w:kern w:val="24"/>
                        <w:sz w:val="16"/>
                        <w:szCs w:val="16"/>
                      </w:rPr>
                      <w:t>Building</w:t>
                    </w:r>
                    <w:r>
                      <w:rPr>
                        <w:rFonts w:asciiTheme="majorHAnsi" w:hAnsi="Georgia" w:cs="Arial"/>
                        <w:color w:val="161616"/>
                        <w:spacing w:val="-4"/>
                        <w:kern w:val="24"/>
                        <w:sz w:val="16"/>
                        <w:szCs w:val="16"/>
                      </w:rPr>
                      <w:t xml:space="preserve"> </w:t>
                    </w:r>
                    <w:r>
                      <w:rPr>
                        <w:rFonts w:asciiTheme="majorHAnsi" w:hAnsi="Georgia" w:cs="Arial"/>
                        <w:color w:val="161616"/>
                        <w:kern w:val="24"/>
                        <w:sz w:val="16"/>
                        <w:szCs w:val="16"/>
                      </w:rPr>
                      <w:t>Code</w:t>
                    </w:r>
                    <w:r>
                      <w:rPr>
                        <w:rFonts w:asciiTheme="majorHAnsi" w:hAnsi="Georgia" w:cs="Arial"/>
                        <w:color w:val="161616"/>
                        <w:spacing w:val="3"/>
                        <w:kern w:val="24"/>
                        <w:sz w:val="16"/>
                        <w:szCs w:val="16"/>
                      </w:rPr>
                      <w:t xml:space="preserve"> </w:t>
                    </w:r>
                    <w:r>
                      <w:rPr>
                        <w:rFonts w:asciiTheme="majorHAnsi" w:hAnsi="Georgia" w:cs="Arial"/>
                        <w:color w:val="161616"/>
                        <w:kern w:val="24"/>
                        <w:sz w:val="16"/>
                        <w:szCs w:val="16"/>
                      </w:rPr>
                      <w:t>of</w:t>
                    </w:r>
                    <w:r>
                      <w:rPr>
                        <w:rFonts w:asciiTheme="majorHAnsi" w:hAnsi="Georgia" w:cs="Arial"/>
                        <w:color w:val="161616"/>
                        <w:spacing w:val="6"/>
                        <w:kern w:val="24"/>
                        <w:sz w:val="16"/>
                        <w:szCs w:val="16"/>
                      </w:rPr>
                      <w:t xml:space="preserve"> </w:t>
                    </w:r>
                    <w:r>
                      <w:rPr>
                        <w:rFonts w:asciiTheme="majorHAnsi" w:hAnsi="Georgia" w:cs="Arial"/>
                        <w:color w:val="161616"/>
                        <w:kern w:val="24"/>
                        <w:sz w:val="16"/>
                        <w:szCs w:val="16"/>
                      </w:rPr>
                      <w:t>Australia</w:t>
                    </w:r>
                    <w:r>
                      <w:rPr>
                        <w:rFonts w:asciiTheme="majorHAnsi" w:hAnsi="Georgia" w:cs="Arial"/>
                        <w:color w:val="161616"/>
                        <w:spacing w:val="24"/>
                        <w:kern w:val="24"/>
                        <w:sz w:val="16"/>
                        <w:szCs w:val="16"/>
                      </w:rPr>
                      <w:t xml:space="preserve"> </w:t>
                    </w:r>
                    <w:r>
                      <w:rPr>
                        <w:rFonts w:asciiTheme="majorHAnsi" w:hAnsi="Georgia" w:cs="Arial"/>
                        <w:color w:val="161616"/>
                        <w:kern w:val="24"/>
                        <w:sz w:val="16"/>
                        <w:szCs w:val="16"/>
                      </w:rPr>
                      <w:t>and</w:t>
                    </w:r>
                    <w:r>
                      <w:rPr>
                        <w:rFonts w:asciiTheme="majorHAnsi" w:hAnsi="Georgia" w:cs="Arial"/>
                        <w:color w:val="161616"/>
                        <w:spacing w:val="8"/>
                        <w:kern w:val="24"/>
                        <w:sz w:val="16"/>
                        <w:szCs w:val="16"/>
                      </w:rPr>
                      <w:t xml:space="preserve"> </w:t>
                    </w:r>
                    <w:r>
                      <w:rPr>
                        <w:rFonts w:asciiTheme="majorHAnsi" w:hAnsi="Georgia" w:cs="Arial"/>
                        <w:color w:val="161616"/>
                        <w:kern w:val="24"/>
                        <w:sz w:val="16"/>
                        <w:szCs w:val="16"/>
                      </w:rPr>
                      <w:t>referenced</w:t>
                    </w:r>
                    <w:r>
                      <w:rPr>
                        <w:rFonts w:asciiTheme="majorHAnsi" w:hAnsi="Georgia" w:cs="Arial"/>
                        <w:color w:val="161616"/>
                        <w:spacing w:val="11"/>
                        <w:kern w:val="24"/>
                        <w:sz w:val="16"/>
                        <w:szCs w:val="16"/>
                      </w:rPr>
                      <w:t xml:space="preserve"> </w:t>
                    </w:r>
                    <w:r>
                      <w:rPr>
                        <w:rFonts w:asciiTheme="majorHAnsi" w:hAnsi="Georgia" w:cs="Arial"/>
                        <w:color w:val="161616"/>
                        <w:kern w:val="24"/>
                        <w:sz w:val="16"/>
                        <w:szCs w:val="16"/>
                      </w:rPr>
                      <w:t>standards</w:t>
                    </w:r>
                  </w:p>
                </w:txbxContent>
              </v:textbox>
            </v:shape>
            <v:shape id="Text Box 23" o:spid="_x0000_s1033" type="#_x0000_t202" style="position:absolute;left:15413;top:44961;width:10800;height:72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ceX8AA&#10;AADbAAAADwAAAGRycy9kb3ducmV2LnhtbERPzWrCQBC+F3yHZQpeim4qWCS6SokIBS9q+wBDdpqk&#10;Zmfj7qjx7V1B6G0+vt9ZrHrXqguF2Hg28D7OQBGX3jZcGfj53oxmoKIgW2w9k4EbRVgtBy8LzK2/&#10;8p4uB6lUCuGYo4FapMu1jmVNDuPYd8SJ+/XBoSQYKm0DXlO4a/Ukyz60w4ZTQ40dFTWVx8PZGTjJ&#10;26yY7o6yDtsJdaez/9sU3pjha/85ByXUy7/46f6yaf4UHr+k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LceX8AAAADbAAAADwAAAAAAAAAAAAAAAACYAgAAZHJzL2Rvd25y&#10;ZXYueG1sUEsFBgAAAAAEAAQA9QAAAIUDAAAAAA==&#10;" fillcolor="white [3201]" strokecolor="#00b2a9 [3204]" strokeweight="2pt">
              <v:textbox inset="2mm,2mm,2mm,2mm">
                <w:txbxContent>
                  <w:p w:rsidR="008915F8" w:rsidRDefault="008915F8" w:rsidP="004F7D03">
                    <w:pPr>
                      <w:pStyle w:val="NormalWeb"/>
                      <w:jc w:val="center"/>
                      <w:textAlignment w:val="baseline"/>
                    </w:pPr>
                    <w:r>
                      <w:rPr>
                        <w:rFonts w:asciiTheme="majorHAnsi" w:hAnsi="Georgia" w:cs="Arial"/>
                        <w:kern w:val="24"/>
                        <w:sz w:val="16"/>
                        <w:szCs w:val="16"/>
                      </w:rPr>
                      <w:t>Occupancy permits</w:t>
                    </w:r>
                  </w:p>
                </w:txbxContent>
              </v:textbox>
            </v:shape>
            <v:shape id="Text Box 48" o:spid="_x0000_s1034" type="#_x0000_t202" style="position:absolute;left:30873;top:12590;width:10800;height:72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JMlsMA&#10;AADbAAAADwAAAGRycy9kb3ducmV2LnhtbESP3WrCQBSE7wt9h+UUelN004BFoqtIilDoTf15gEP2&#10;mESzZ+PuUdO37wpCL4eZ+YaZLwfXqSuF2Ho28D7OQBFX3rZcG9jv1qMpqCjIFjvPZOCXIiwXz09z&#10;LKy/8YauW6lVgnAs0EAj0hdax6ohh3Hse+LkHXxwKEmGWtuAtwR3nc6z7EM7bDktNNhT2VB12l6c&#10;gbO8TcvJz0k+w3dO/fnij+vSG/P6MqxmoIQG+Q8/2l/WQJ7D/Uv6AX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JMlsMAAADbAAAADwAAAAAAAAAAAAAAAACYAgAAZHJzL2Rv&#10;d25yZXYueG1sUEsFBgAAAAAEAAQA9QAAAIgDAAAAAA==&#10;" fillcolor="white [3201]" strokecolor="#00b2a9 [3204]" strokeweight="2pt">
              <v:textbox inset="2mm,2mm,2mm,2mm">
                <w:txbxContent>
                  <w:p w:rsidR="008915F8" w:rsidRDefault="008915F8" w:rsidP="004F7D03">
                    <w:pPr>
                      <w:pStyle w:val="NormalWeb"/>
                      <w:jc w:val="center"/>
                      <w:textAlignment w:val="baseline"/>
                    </w:pPr>
                    <w:r>
                      <w:rPr>
                        <w:rFonts w:asciiTheme="majorHAnsi" w:hAnsi="Georgia" w:cs="Arial"/>
                        <w:kern w:val="24"/>
                        <w:sz w:val="16"/>
                        <w:szCs w:val="16"/>
                      </w:rPr>
                      <w:t>Supporting building regulatory activity</w:t>
                    </w:r>
                  </w:p>
                </w:txbxContent>
              </v:textbox>
            </v:shape>
            <v:shape id="Text Box 31" o:spid="_x0000_s1035" type="#_x0000_t202" style="position:absolute;left:30873;top:44961;width:10800;height:72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lEPMMA&#10;AADbAAAADwAAAGRycy9kb3ducmV2LnhtbESPUWvCQBCE3wv9D8cWfCl60VKR6CklRRD60qo/YMmt&#10;STS3F+9Wjf/eKxT6OMzMN8xi1btWXSnExrOB8SgDRVx623BlYL9bD2egoiBbbD2TgTtFWC2fnxaY&#10;W3/jH7pupVIJwjFHA7VIl2sdy5ocxpHviJN38MGhJBkqbQPeEty1epJlU+2w4bRQY0dFTeVpe3EG&#10;zvI6K96/T/IZvibUnS/+uC68MYOX/mMOSqiX//Bfe2MNvI3h90v6AXr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lEPMMAAADbAAAADwAAAAAAAAAAAAAAAACYAgAAZHJzL2Rv&#10;d25yZXYueG1sUEsFBgAAAAAEAAQA9QAAAIgDAAAAAA==&#10;" fillcolor="white [3201]" strokecolor="#00b2a9 [3204]" strokeweight="2pt">
              <v:textbox inset="2mm,2mm,2mm,2mm">
                <w:txbxContent>
                  <w:p w:rsidR="008915F8" w:rsidRDefault="008915F8" w:rsidP="004F7D03">
                    <w:pPr>
                      <w:pStyle w:val="NormalWeb"/>
                      <w:kinsoku w:val="0"/>
                      <w:overflowPunct w:val="0"/>
                      <w:jc w:val="center"/>
                      <w:textAlignment w:val="baseline"/>
                    </w:pPr>
                    <w:r>
                      <w:rPr>
                        <w:rFonts w:asciiTheme="majorHAnsi" w:hAnsi="Georgia" w:cs="Arial"/>
                        <w:kern w:val="24"/>
                        <w:sz w:val="16"/>
                        <w:szCs w:val="16"/>
                      </w:rPr>
                      <w:t>Dispute resolution &amp; enforcement</w:t>
                    </w:r>
                  </w:p>
                </w:txbxContent>
              </v:textbox>
            </v:shape>
            <v:rect id="Rectangle 32" o:spid="_x0000_s1036" style="position:absolute;left:15413;top:12590;width:10800;height:72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jnnsQA&#10;AADbAAAADwAAAGRycy9kb3ducmV2LnhtbESPT4vCMBTE7wt+h/AEb2ui4qLVKCIouqwH/1y8PZpn&#10;W2xeShO1+uk3Cwseh5n5DTOdN7YUd6p94VhDr6tAEKfOFJxpOB1XnyMQPiAbLB2Thid5mM9aH1NM&#10;jHvwnu6HkIkIYZ+ghjyEKpHSpzlZ9F1XEUfv4mqLIco6k6bGR4TbUvaV+pIWC44LOVa0zCm9Hm5W&#10;w2v83dv/qLMar9USR+a8bRa7odaddrOYgAjUhHf4v70xGgZ9+PsSf4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o557EAAAA2wAAAA8AAAAAAAAAAAAAAAAAmAIAAGRycy9k&#10;b3ducmV2LnhtbFBLBQYAAAAABAAEAPUAAACJAwAAAAA=&#10;" fillcolor="white [3201]" strokecolor="#00b2a9 [3204]" strokeweight="2pt">
              <v:textbox inset="2mm,2mm,2mm,2mm">
                <w:txbxContent>
                  <w:p w:rsidR="008915F8" w:rsidRDefault="008915F8" w:rsidP="004F7D03">
                    <w:pPr>
                      <w:pStyle w:val="NormalWeb"/>
                      <w:kinsoku w:val="0"/>
                      <w:overflowPunct w:val="0"/>
                      <w:jc w:val="center"/>
                      <w:textAlignment w:val="baseline"/>
                    </w:pPr>
                    <w:r>
                      <w:rPr>
                        <w:rFonts w:asciiTheme="majorHAnsi" w:hAnsi="Georgia" w:cs="Arial"/>
                        <w:color w:val="161616"/>
                        <w:kern w:val="24"/>
                        <w:sz w:val="16"/>
                        <w:szCs w:val="16"/>
                      </w:rPr>
                      <w:t>Regulation of building activity</w:t>
                    </w:r>
                  </w:p>
                </w:txbxContent>
              </v:textbox>
            </v:rect>
            <v:rect id="Rectangle 33" o:spid="_x0000_s1037" style="position:absolute;top:26000;width:9717;height:289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U4mcUA&#10;AADbAAAADwAAAGRycy9kb3ducmV2LnhtbESPT2sCMRTE7wW/Q3iFXopmqyCyNUqRttSDBf8c9PbY&#10;vGYXNy9Lkq7ptzdCweMwM79h5stkW9GTD41jBS+jAgRx5XTDRsFh/zGcgQgRWWPrmBT8UYDlYvAw&#10;x1K7C2+p30UjMoRDiQrqGLtSylDVZDGMXEecvR/nLcYsvZHa4yXDbSvHRTGVFhvOCzV2tKqpOu9+&#10;rYLjrG+NiWfcTE/j9ff7c9KfPin19JjeXkFESvEe/m9/aQWTCdy+5B8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hTiZxQAAANsAAAAPAAAAAAAAAAAAAAAAAJgCAABkcnMv&#10;ZG93bnJldi54bWxQSwUGAAAAAAQABAD1AAAAigMAAAAA&#10;" filled="f" stroked="f" strokeweight="2pt">
              <v:textbox inset="1mm,1mm,1mm,1mm">
                <w:txbxContent>
                  <w:p w:rsidR="008915F8" w:rsidRDefault="008915F8" w:rsidP="004F7D03">
                    <w:pPr>
                      <w:pStyle w:val="NormalWeb"/>
                      <w:textAlignment w:val="baseline"/>
                    </w:pPr>
                    <w:r>
                      <w:rPr>
                        <w:rFonts w:asciiTheme="majorHAnsi" w:hAnsi="Georgia" w:cs="Arial"/>
                        <w:color w:val="161616"/>
                        <w:kern w:val="24"/>
                        <w:sz w:val="16"/>
                        <w:szCs w:val="16"/>
                      </w:rPr>
                      <w:t>Design phase</w:t>
                    </w:r>
                  </w:p>
                </w:txbxContent>
              </v:textbox>
            </v:rect>
            <v:rect id="Rectangle 34" o:spid="_x0000_s1038" style="position:absolute;top:36790;width:9717;height:28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yg7cUA&#10;AADbAAAADwAAAGRycy9kb3ducmV2LnhtbESPQWsCMRSE74X+h/AKXkrNVovI1igiVfRQQe2hvT02&#10;r9nFzcuSxDX9941Q6HGYmW+Y2SLZVvTkQ+NYwfOwAEFcOd2wUfBxWj9NQYSIrLF1TAp+KMBifn83&#10;w1K7Kx+oP0YjMoRDiQrqGLtSylDVZDEMXUecvW/nLcYsvZHa4zXDbStHRTGRFhvOCzV2tKqpOh8v&#10;VsHntG+NiWd8n3yNdvu3x6Q3Pik1eEjLVxCRUvwP/7W3WsH4BW5f8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bKDtxQAAANsAAAAPAAAAAAAAAAAAAAAAAJgCAABkcnMv&#10;ZG93bnJldi54bWxQSwUGAAAAAAQABAD1AAAAigMAAAAA&#10;" filled="f" stroked="f" strokeweight="2pt">
              <v:textbox inset="1mm,1mm,1mm,1mm">
                <w:txbxContent>
                  <w:p w:rsidR="008915F8" w:rsidRDefault="008915F8" w:rsidP="004F7D03">
                    <w:pPr>
                      <w:pStyle w:val="NormalWeb"/>
                      <w:tabs>
                        <w:tab w:val="left" w:pos="2350"/>
                      </w:tabs>
                      <w:textAlignment w:val="baseline"/>
                    </w:pPr>
                    <w:r>
                      <w:rPr>
                        <w:rFonts w:asciiTheme="majorHAnsi" w:hAnsi="Georgia" w:cs="Arial"/>
                        <w:color w:val="161616"/>
                        <w:kern w:val="24"/>
                        <w:sz w:val="16"/>
                        <w:szCs w:val="16"/>
                      </w:rPr>
                      <w:t>Construction phase</w:t>
                    </w:r>
                  </w:p>
                </w:txbxContent>
              </v:textbox>
            </v:rect>
            <v:rect id="Rectangle 37" o:spid="_x0000_s1039" style="position:absolute;left:15413;top:34171;width:10800;height:72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9EBsUA&#10;AADbAAAADwAAAGRycy9kb3ducmV2LnhtbESPQWvCQBSE74L/YXlCb7pri63GbESEFiv2EOvF2yP7&#10;moRm34bsVqO/visUehxm5hsmXfW2EWfqfO1Yw3SiQBAXztRcajh+vo7nIHxANtg4Jg1X8rDKhoMU&#10;E+MunNP5EEoRIewT1FCF0CZS+qIii37iWuLofbnOYoiyK6Xp8BLhtpGPSj1LizXHhQpb2lRUfB9+&#10;rIbbYjfN9+qkFm9qg3Nzeu/XHzOtH0b9egkiUB/+w3/trdHw9AL3L/EH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30QGxQAAANsAAAAPAAAAAAAAAAAAAAAAAJgCAABkcnMv&#10;ZG93bnJldi54bWxQSwUGAAAAAAQABAD1AAAAigMAAAAA&#10;" fillcolor="white [3201]" strokecolor="#00b2a9 [3204]" strokeweight="2pt">
              <v:textbox inset="2mm,2mm,2mm,2mm">
                <w:txbxContent/>
              </v:textbox>
            </v:rect>
            <v:rect id="Rectangle 38" o:spid="_x0000_s1040" style="position:absolute;top:46959;width:9717;height:40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Gq6MEA&#10;AADbAAAADwAAAGRycy9kb3ducmV2LnhtbERPTWsCMRC9F/wPYQQvRbMqiGyNUkSLPVjQ9mBvw2aa&#10;XdxMliRd039vDkKPj/e92iTbip58aBwrmE4KEMSV0w0bBV+f+/ESRIjIGlvHpOCPAmzWg6cVltrd&#10;+ET9ORqRQziUqKCOsSulDFVNFsPEdcSZ+3HeYszQG6k93nK4beWsKBbSYsO5ocaOtjVV1/OvVXBZ&#10;9q0x8YrHxffs/WP3nPSbT0qNhun1BUSkFP/FD/dBK5jnsflL/gF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hqujBAAAA2wAAAA8AAAAAAAAAAAAAAAAAmAIAAGRycy9kb3du&#10;cmV2LnhtbFBLBQYAAAAABAAEAPUAAACGAwAAAAA=&#10;" filled="f" stroked="f" strokeweight="2pt">
              <v:textbox inset="1mm,1mm,1mm,1mm">
                <w:txbxContent>
                  <w:p w:rsidR="008915F8" w:rsidRDefault="008915F8" w:rsidP="004F7D03">
                    <w:pPr>
                      <w:pStyle w:val="NormalWeb"/>
                      <w:jc w:val="center"/>
                      <w:textAlignment w:val="baseline"/>
                    </w:pPr>
                    <w:r>
                      <w:rPr>
                        <w:rFonts w:asciiTheme="majorHAnsi" w:hAnsi="Georgia" w:cs="Arial"/>
                        <w:color w:val="161616"/>
                        <w:kern w:val="24"/>
                        <w:sz w:val="16"/>
                        <w:szCs w:val="16"/>
                      </w:rPr>
                      <w:t>Completion and use phase</w:t>
                    </w:r>
                  </w:p>
                </w:txbxContent>
              </v:textbox>
            </v:rect>
            <v:rect id="Rectangle 39" o:spid="_x0000_s1041" style="position:absolute;left:15413;top:23380;width:10800;height:72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x178UA&#10;AADbAAAADwAAAGRycy9kb3ducmV2LnhtbESPQWvCQBSE74X+h+UJvdVdWyomZhURWlqph6iX3B7Z&#10;ZxLMvg3Zrab99W5B8DjMzDdMthxsK87U+8axhslYgSAunWm40nDYvz/PQPiAbLB1TBp+ycNy8fiQ&#10;YWrchXM670IlIoR9ihrqELpUSl/WZNGPXUccvaPrLYYo+0qaHi8Rblv5otRUWmw4LtTY0bqm8rT7&#10;sRr+ks0k/1aFSj7UGmem+BpW2zetn0bDag4i0BDu4Vv702h4TeD/S/wB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DHXvxQAAANsAAAAPAAAAAAAAAAAAAAAAAJgCAABkcnMv&#10;ZG93bnJldi54bWxQSwUGAAAAAAQABAD1AAAAigMAAAAA&#10;" fillcolor="white [3201]" strokecolor="#00b2a9 [3204]" strokeweight="2pt">
              <v:textbox inset="2mm,2mm,2mm,2mm">
                <w:txbxContent>
                  <w:p w:rsidR="008915F8" w:rsidRDefault="008915F8" w:rsidP="004F7D03">
                    <w:pPr>
                      <w:pStyle w:val="NormalWeb"/>
                      <w:jc w:val="center"/>
                      <w:textAlignment w:val="baseline"/>
                    </w:pPr>
                    <w:r>
                      <w:rPr>
                        <w:rFonts w:asciiTheme="majorHAnsi" w:hAnsi="Georgia" w:cs="Arial"/>
                        <w:color w:val="161616"/>
                        <w:kern w:val="24"/>
                        <w:sz w:val="16"/>
                        <w:szCs w:val="16"/>
                      </w:rPr>
                      <w:t>Building permit</w:t>
                    </w:r>
                  </w:p>
                </w:txbxContent>
              </v:textbox>
            </v:rect>
            <v:rect id="Rectangle 40" o:spid="_x0000_s1042" style="position:absolute;left:30873;top:23380;width:10800;height:180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CvD8AA&#10;AADbAAAADwAAAGRycy9kb3ducmV2LnhtbERPTYvCMBC9C/6HMII3TRRXtGsUERRX9KDuxdvQzLZl&#10;m0lpolZ/vTkIHh/ve7ZobCluVPvCsYZBX4EgTp0pONPwe173JiB8QDZYOiYND/KwmLdbM0yMu/OR&#10;bqeQiRjCPkENeQhVIqVPc7Lo+64ijtyfqy2GCOtMmhrvMdyWcqjUWFosODbkWNEqp/T/dLUantPd&#10;4LhXFzXdqBVOzOWnWR6+tO52muU3iEBN+Ijf7q3RMIrr45f4A+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TCvD8AAAADbAAAADwAAAAAAAAAAAAAAAACYAgAAZHJzL2Rvd25y&#10;ZXYueG1sUEsFBgAAAAAEAAQA9QAAAIUDAAAAAA==&#10;" fillcolor="white [3201]" strokecolor="#00b2a9 [3204]" strokeweight="2pt">
              <v:textbox inset="2mm,2mm,2mm,2mm">
                <w:txbxContent>
                  <w:p w:rsidR="008915F8" w:rsidRDefault="008915F8" w:rsidP="004F7D03">
                    <w:pPr>
                      <w:pStyle w:val="NormalWeb"/>
                      <w:jc w:val="center"/>
                      <w:textAlignment w:val="baseline"/>
                    </w:pPr>
                    <w:r>
                      <w:rPr>
                        <w:rFonts w:asciiTheme="majorHAnsi" w:hAnsi="Georgia" w:cs="Arial"/>
                        <w:color w:val="161616"/>
                        <w:kern w:val="24"/>
                        <w:sz w:val="16"/>
                        <w:szCs w:val="16"/>
                      </w:rPr>
                      <w:t>Registration of building practitioners (incl. building surveyors)</w:t>
                    </w:r>
                  </w:p>
                  <w:p w:rsidR="008915F8" w:rsidRPr="00B40030" w:rsidRDefault="008915F8" w:rsidP="004F7D03">
                    <w:pPr>
                      <w:pStyle w:val="NormalWeb"/>
                      <w:jc w:val="center"/>
                      <w:textAlignment w:val="baseline"/>
                      <w:rPr>
                        <w:rFonts w:asciiTheme="majorHAnsi" w:hAnsi="Georgia" w:cs="Arial"/>
                        <w:color w:val="161616"/>
                        <w:kern w:val="24"/>
                        <w:sz w:val="16"/>
                        <w:szCs w:val="16"/>
                      </w:rPr>
                    </w:pPr>
                    <w:r>
                      <w:rPr>
                        <w:rFonts w:asciiTheme="majorHAnsi" w:hAnsi="Georgia" w:cs="Arial"/>
                        <w:color w:val="161616"/>
                        <w:kern w:val="24"/>
                        <w:sz w:val="16"/>
                        <w:szCs w:val="16"/>
                      </w:rPr>
                      <w:t>Accreditation of products and processes</w:t>
                    </w:r>
                  </w:p>
                </w:txbxContent>
              </v:textbox>
            </v:rect>
            <v:shapetype id="_x0000_t32" coordsize="21600,21600" o:spt="32" o:oned="t" path="m,l21600,21600e" filled="f">
              <v:path arrowok="t" fillok="f" o:connecttype="none"/>
              <o:lock v:ext="edit" shapetype="t"/>
            </v:shapetype>
            <v:shape id="Straight Arrow Connector 41" o:spid="_x0000_s1043" type="#_x0000_t32" style="position:absolute;left:20813;top:19790;width:0;height:35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g/9cIAAADbAAAADwAAAGRycy9kb3ducmV2LnhtbESPUWsCMRCE3wv+h7CFvtXcVSnlapRi&#10;KRaUgrbQ1+Wy3h29bI5kq/HfG0HwcZiZb5jZIrleHSjEzrOBclyAIq697bgx8PP98fgCKgqyxd4z&#10;GThRhMV8dDfDyvojb+mwk0ZlCMcKDbQiQ6V1rFtyGMd+IM7e3geHkmVotA14zHDX66eieNYOO84L&#10;LQ60bKn+2/07A5PEQbTb2zKV69W7bL5+qSFjHu7T2ysooSS38LX9aQ1MS7h8yT9Az8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g/9cIAAADbAAAADwAAAAAAAAAAAAAA&#10;AAChAgAAZHJzL2Rvd25yZXYueG1sUEsFBgAAAAAEAAQA+QAAAJADAAAAAA==&#10;" strokecolor="#201547 [3206]">
              <v:stroke endarrow="open"/>
            </v:shape>
            <v:shape id="Straight Arrow Connector 42" o:spid="_x0000_s1044" type="#_x0000_t32" style="position:absolute;left:36273;top:19790;width:0;height:35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qhgsIAAADbAAAADwAAAGRycy9kb3ducmV2LnhtbESPUWsCMRCE3wv+h7BC32rutJRyNUpR&#10;xEJLoSr0dbmsd0cvmyNZNf33TUHwcZiZb5j5MrlenSnEzrOBclKAIq697bgxcNhvHp5BRUG22Hsm&#10;A78UYbkY3c2xsv7CX3TeSaMyhGOFBlqRodI61i05jBM/EGfv6INDyTI02ga8ZLjr9bQonrTDjvNC&#10;iwOtWqp/didnYJY4iHZHW6byfbuWj89vasiY+3F6fQEllOQWvrbfrIHHKfx/yT9A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oqhgsIAAADbAAAADwAAAAAAAAAAAAAA&#10;AAChAgAAZHJzL2Rvd25yZXYueG1sUEsFBgAAAAAEAAQA+QAAAJADAAAAAA==&#10;" strokecolor="#201547 [3206]">
              <v:stroke endarrow="open"/>
            </v:shape>
            <v:shape id="Straight Arrow Connector 44" o:spid="_x0000_s1045" type="#_x0000_t32" style="position:absolute;left:20813;top:30580;width:0;height:359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cbcIAAADbAAAADwAAAGRycy9kb3ducmV2LnhtbESPUWsCMRCE3wv+h7CCbzV3KqVcjVJa&#10;xIKlUFvo63JZ745eNkeyavrvTUHwcZiZb5jlOrlenSjEzrOBclqAIq697bgx8P21uX8EFQXZYu+Z&#10;DPxRhPVqdLfEyvozf9JpL43KEI4VGmhFhkrrWLfkME79QJy9gw8OJcvQaBvwnOGu17OieNAOO84L&#10;LQ700lL9uz86A/PEQbQ72DKVu+2rvH/8UEPGTMbp+QmUUJJb+Np+swYWC/j/kn+AXl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i+cbcIAAADbAAAADwAAAAAAAAAAAAAA&#10;AAChAgAAZHJzL2Rvd25yZXYueG1sUEsFBgAAAAAEAAQA+QAAAJADAAAAAA==&#10;" strokecolor="#201547 [3206]">
              <v:stroke endarrow="open"/>
            </v:shape>
            <v:shape id="Straight Arrow Connector 45" o:spid="_x0000_s1046" type="#_x0000_t32" style="position:absolute;left:20813;top:41371;width:0;height:35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59sIAAADbAAAADwAAAGRycy9kb3ducmV2LnhtbESPUUsDMRCE34X+h7AF32zurJZybVqK&#10;UhQUwbbQ1+WyvTt62RzJ2sZ/bwTBx2FmvmGW6+R6daEQO88GykkBirj2tuPGwGG/vZuDioJssfdM&#10;Br4pwno1ulliZf2VP+myk0ZlCMcKDbQiQ6V1rFtyGCd+IM7eyQeHkmVotA14zXDX6/uimGmHHeeF&#10;Fgd6aqk+776cgWniINqdbJnKt5dnef84UkPG3I7TZgFKKMl/+K/9ag08PMLvl/wD9O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WM59sIAAADbAAAADwAAAAAAAAAAAAAA&#10;AAChAgAAZHJzL2Rvd25yZXYueG1sUEsFBgAAAAAEAAQA+QAAAJADAAAAAA==&#10;" strokecolor="#201547 [3206]">
              <v:stroke endarrow="open"/>
            </v:shape>
            <v:shape id="Straight Arrow Connector 46" o:spid="_x0000_s1047" type="#_x0000_t32" style="position:absolute;left:36273;top:41380;width:0;height:358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GngcIAAADbAAAADwAAAGRycy9kb3ducmV2LnhtbESPUWsCMRCE3wv+h7BC32rurEi5GqUo&#10;YqGlUBX6ulzWu6OXzZGsmv77Rij0cZiZb5jFKrleXSjEzrOBclKAIq697bgxcDxsH55ARUG22Hsm&#10;Az8UYbUc3S2wsv7Kn3TZS6MyhGOFBlqRodI61i05jBM/EGfv5INDyTI02ga8Zrjr9bQo5tphx3mh&#10;xYHWLdXf+7Mz8Jg4iHYnW6bybbeR948vasiY+3F6eQYllOQ//Nd+tQZmc7h9yT9AL3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bGngcIAAADbAAAADwAAAAAAAAAAAAAA&#10;AAChAgAAZHJzL2Rvd25yZXYueG1sUEsFBgAAAAAEAAQA+QAAAJADAAAAAA==&#10;" strokecolor="#201547 [3206]">
              <v:stroke endarrow="open"/>
            </v:shape>
            <v:shape id="Straight Arrow Connector 48" o:spid="_x0000_s1048" type="#_x0000_t32" style="position:absolute;left:20813;top:8848;width:0;height:374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KWaL8AAADbAAAADwAAAGRycy9kb3ducmV2LnhtbERPTWsCMRC9F/wPYYTeanbbUspqFFGK&#10;QkuhKngdNuPu4mayJKPGf98cCj0+3vdskVyvrhRi59lAOSlAEdfedtwYOOw/nt5BRUG22HsmA3eK&#10;sJiPHmZYWX/jH7rupFE5hGOFBlqRodI61i05jBM/EGfu5INDyTA02ga85XDX6+eieNMOO84NLQ60&#10;aqk+7y7OwEviINqdbJnKz81avr6P1JAxj+O0nIISSvIv/nNvrYHXPDZ/yT9Az3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2KWaL8AAADbAAAADwAAAAAAAAAAAAAAAACh&#10;AgAAZHJzL2Rvd25yZXYueG1sUEsFBgAAAAAEAAQA+QAAAI0DAAAAAA==&#10;" strokecolor="#201547 [3206]">
              <v:stroke endarrow="open"/>
            </v:shape>
            <v:shape id="Straight Arrow Connector 49" o:spid="_x0000_s1049" type="#_x0000_t32" style="position:absolute;left:36273;top:8848;width:0;height:374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4z88IAAADbAAAADwAAAGRycy9kb3ducmV2LnhtbESPUUsDMRCE34X+h7AF32zurEh7bVqK&#10;UhQUwbbQ1+WyvTt62RzJ2sZ/bwTBx2FmvmGW6+R6daEQO88GykkBirj2tuPGwGG/vZuBioJssfdM&#10;Br4pwno1ulliZf2VP+myk0ZlCMcKDbQiQ6V1rFtyGCd+IM7eyQeHkmVotA14zXDX6/uieNQOO84L&#10;LQ701FJ93n05A9PEQbQ72TKVby/P8v5xpIaMuR2nzQKUUJL/8F/71Rp4mMPvl/wD9O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C4z88IAAADbAAAADwAAAAAAAAAAAAAA&#10;AAChAgAAZHJzL2Rvd25yZXYueG1sUEsFBgAAAAAEAAQA+QAAAJADAAAAAA==&#10;" strokecolor="#201547 [3206]">
              <v:stroke endarrow="open"/>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0" o:spid="_x0000_s1050" type="#_x0000_t13" style="position:absolute;left:10228;top:25178;width:4489;height:3605;visibility:visibl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KQMAA&#10;AADbAAAADwAAAGRycy9kb3ducmV2LnhtbERPy2rCQBTdF/yH4Qrd1UkqFYmOIgGpq0KTUlxeMjcP&#10;zdwJMxOT/n1nUejycN7742x68SDnO8sK0lUCgriyuuNGwVd5ftmC8AFZY2+ZFPyQh+Nh8bTHTNuJ&#10;P+lRhEbEEPYZKmhDGDIpfdWSQb+yA3HkausMhghdI7XDKYabXr4myUYa7Dg2tDhQ3lJ1L0ajYKyr&#10;9xI37ju95fY61R98H7u1Us/L+bQDEWgO/+I/90UreIvr45f4A+Th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OKQMAAAADbAAAADwAAAAAAAAAAAAAAAACYAgAAZHJzL2Rvd25y&#10;ZXYueG1sUEsFBgAAAAAEAAQA9QAAAIUDAAAAAA==&#10;" adj="12928" fillcolor="#201547 [3206]" strokecolor="#642667 [3215]" strokeweight=".25pt"/>
            <v:shape id="Right Arrow 51" o:spid="_x0000_s1051" type="#_x0000_t13" style="position:absolute;left:10228;top:35968;width:4489;height:3605;visibility:visibl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8v28MA&#10;AADbAAAADwAAAGRycy9kb3ducmV2LnhtbESPzWrDMBCE74G8g9hAb7HslobgRjEhUNpToUkIPS7W&#10;+ie2VkaSY/ftq0Khx2FmvmF2xWx6cSfnW8sKsiQFQVxa3XKt4HJ+XW9B+ICssbdMCr7JQ7FfLnaY&#10;azvxJ91PoRYRwj5HBU0IQy6lLxsy6BM7EEevss5giNLVUjucItz08jFNN9Jgy3GhwYGODZXdaTQK&#10;xqp8O+PGXbPb0X5N1Qd3Y/uk1MNqPryACDSH//Bf+10reM7g90v8A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8v28MAAADbAAAADwAAAAAAAAAAAAAAAACYAgAAZHJzL2Rv&#10;d25yZXYueG1sUEsFBgAAAAAEAAQA9QAAAIgDAAAAAA==&#10;" adj="12928" fillcolor="#201547 [3206]" strokecolor="#642667 [3215]" strokeweight=".25pt"/>
            <v:shape id="Right Arrow 52" o:spid="_x0000_s1052" type="#_x0000_t13" style="position:absolute;left:10228;top:46759;width:4489;height:3605;visibility:visible;v-text-anchor:middle" o:bwmode="light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2xrMMA&#10;AADbAAAADwAAAGRycy9kb3ducmV2LnhtbESPzWrDMBCE74W8g9hCbo3shJrgRjElENpToHEpOS7W&#10;+qexVkaSY+ftq0Khx2FmvmF2xWx6cSPnO8sK0lUCgriyuuNGwWd5fNqC8AFZY2+ZFNzJQ7FfPOww&#10;13biD7qdQyMihH2OCtoQhlxKX7Vk0K/sQBy92jqDIUrXSO1winDTy3WSZNJgx3GhxYEOLVXX82gU&#10;jHX1VmLmvtLvg71M9YmvY7dRavk4v76ACDSH//Bf+10reF7D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2xrMMAAADbAAAADwAAAAAAAAAAAAAAAACYAgAAZHJzL2Rv&#10;d25yZXYueG1sUEsFBgAAAAAEAAQA9QAAAIgDAAAAAA==&#10;" adj="12928" fillcolor="#201547 [3206]" strokecolor="#642667 [3215]" strokeweight=".25pt"/>
            <w10:wrap type="none"/>
            <w10:anchorlock/>
          </v:group>
        </w:pict>
      </w:r>
    </w:p>
    <w:p w:rsidR="00060570" w:rsidRPr="00427EE1" w:rsidRDefault="00060570" w:rsidP="006119D2">
      <w:pPr>
        <w:pStyle w:val="Caption"/>
        <w:jc w:val="center"/>
      </w:pPr>
      <w:r w:rsidRPr="00427EE1">
        <w:t xml:space="preserve">Figure </w:t>
      </w:r>
      <w:r w:rsidR="00AA4331">
        <w:fldChar w:fldCharType="begin"/>
      </w:r>
      <w:r w:rsidR="00AA4331">
        <w:instrText xml:space="preserve"> SEQ Figure \* ARABIC </w:instrText>
      </w:r>
      <w:r w:rsidR="00AA4331">
        <w:fldChar w:fldCharType="separate"/>
      </w:r>
      <w:r w:rsidR="00B30389">
        <w:rPr>
          <w:noProof/>
        </w:rPr>
        <w:t>1</w:t>
      </w:r>
      <w:r w:rsidR="00AA4331">
        <w:rPr>
          <w:noProof/>
        </w:rPr>
        <w:fldChar w:fldCharType="end"/>
      </w:r>
      <w:r w:rsidRPr="00427EE1">
        <w:t>: Conceptual outline of the building regulatory system</w:t>
      </w:r>
    </w:p>
    <w:p w:rsidR="004F7D03" w:rsidRPr="00427EE1" w:rsidRDefault="004F7D03" w:rsidP="006119D2">
      <w:pPr>
        <w:pStyle w:val="Source"/>
        <w:jc w:val="center"/>
      </w:pPr>
      <w:r w:rsidRPr="00427EE1">
        <w:t xml:space="preserve">Source: Adapted from: Australian Government Productivity Commission, (2004), 'Reform of Building Regulation', </w:t>
      </w:r>
      <w:proofErr w:type="spellStart"/>
      <w:r w:rsidRPr="00427EE1">
        <w:t>p.xxvi</w:t>
      </w:r>
      <w:proofErr w:type="spellEnd"/>
      <w:r w:rsidRPr="00427EE1">
        <w:t>.</w:t>
      </w:r>
    </w:p>
    <w:p w:rsidR="008E61C7" w:rsidRPr="00427EE1" w:rsidRDefault="008E61C7" w:rsidP="008E61C7"/>
    <w:p w:rsidR="00B42BC9" w:rsidRDefault="004F7D03" w:rsidP="006119D2">
      <w:pPr>
        <w:pStyle w:val="Normalpre-dotpoint"/>
      </w:pPr>
      <w:r w:rsidRPr="00427EE1">
        <w:t xml:space="preserve">Building surveyors </w:t>
      </w:r>
      <w:r w:rsidRPr="00427EE1" w:rsidDel="005B2336">
        <w:t>are responsible for delivering most core regulatory activities</w:t>
      </w:r>
      <w:r w:rsidR="00AB414E">
        <w:t xml:space="preserve"> </w:t>
      </w:r>
      <w:r w:rsidRPr="00427EE1">
        <w:t>includ</w:t>
      </w:r>
      <w:r w:rsidR="00AB414E">
        <w:t>ing</w:t>
      </w:r>
      <w:r w:rsidRPr="00427EE1">
        <w:t xml:space="preserve"> the issuing of planning</w:t>
      </w:r>
      <w:r w:rsidR="00AB414E">
        <w:t xml:space="preserve"> </w:t>
      </w:r>
      <w:r w:rsidRPr="00427EE1">
        <w:t>/</w:t>
      </w:r>
      <w:r w:rsidR="00AB414E">
        <w:t xml:space="preserve"> </w:t>
      </w:r>
      <w:r w:rsidRPr="00427EE1">
        <w:t>building permits during the design phase, the carrying</w:t>
      </w:r>
      <w:r w:rsidR="00AB414E">
        <w:t>-</w:t>
      </w:r>
      <w:r w:rsidRPr="00427EE1">
        <w:t>out of inspections during the construction phase and the issuing of occupancy permits at the completion phase. Supporting regulatory activities include</w:t>
      </w:r>
      <w:r w:rsidR="00B42BC9">
        <w:t>:</w:t>
      </w:r>
    </w:p>
    <w:p w:rsidR="00B42BC9" w:rsidRDefault="004F7D03" w:rsidP="006119D2">
      <w:pPr>
        <w:pStyle w:val="Dotpoint"/>
      </w:pPr>
      <w:r w:rsidRPr="00427EE1">
        <w:t>practitioner licensing (</w:t>
      </w:r>
      <w:r w:rsidR="00AB414E">
        <w:t xml:space="preserve">by </w:t>
      </w:r>
      <w:r w:rsidR="00B42BC9">
        <w:t>the Victorian Building Authority [</w:t>
      </w:r>
      <w:r w:rsidR="00720C4E">
        <w:t>VBA</w:t>
      </w:r>
      <w:r w:rsidR="00B42BC9">
        <w:t>]</w:t>
      </w:r>
      <w:r w:rsidRPr="00427EE1">
        <w:t>)</w:t>
      </w:r>
    </w:p>
    <w:p w:rsidR="00B42BC9" w:rsidRDefault="004F7D03" w:rsidP="006119D2">
      <w:pPr>
        <w:pStyle w:val="Dotpoint"/>
      </w:pPr>
      <w:r w:rsidRPr="00427EE1">
        <w:t>accreditation of products and processes (</w:t>
      </w:r>
      <w:r w:rsidR="00AB414E">
        <w:t xml:space="preserve">by the </w:t>
      </w:r>
      <w:r w:rsidRPr="00427EE1">
        <w:t>Building Regulations Advisory Committee</w:t>
      </w:r>
      <w:r w:rsidR="00666D12">
        <w:t xml:space="preserve"> [BRAC]</w:t>
      </w:r>
      <w:r w:rsidRPr="00427EE1">
        <w:t>)</w:t>
      </w:r>
    </w:p>
    <w:p w:rsidR="00B42BC9" w:rsidRDefault="004F7D03" w:rsidP="006119D2">
      <w:pPr>
        <w:pStyle w:val="Dotpoint"/>
      </w:pPr>
      <w:r w:rsidRPr="00427EE1">
        <w:t>monitoring and enforcement (</w:t>
      </w:r>
      <w:r w:rsidR="00AB414E">
        <w:t xml:space="preserve">by </w:t>
      </w:r>
      <w:r w:rsidR="00720C4E">
        <w:t>VBA</w:t>
      </w:r>
      <w:r w:rsidRPr="00427EE1">
        <w:t xml:space="preserve">, </w:t>
      </w:r>
      <w:r w:rsidR="00195602">
        <w:t>l</w:t>
      </w:r>
      <w:r w:rsidRPr="00427EE1">
        <w:t xml:space="preserve">ocal </w:t>
      </w:r>
      <w:r w:rsidR="00195602">
        <w:t>g</w:t>
      </w:r>
      <w:r w:rsidRPr="00427EE1">
        <w:t>overnment</w:t>
      </w:r>
      <w:r w:rsidR="00AB414E">
        <w:t>s</w:t>
      </w:r>
      <w:r w:rsidRPr="00427EE1">
        <w:t xml:space="preserve">, </w:t>
      </w:r>
      <w:r w:rsidR="00AD3297" w:rsidRPr="00427EE1">
        <w:t xml:space="preserve">Energy Safe Victoria and </w:t>
      </w:r>
      <w:r w:rsidR="00AB414E">
        <w:t xml:space="preserve">the </w:t>
      </w:r>
      <w:r w:rsidR="00195602">
        <w:t>c</w:t>
      </w:r>
      <w:r w:rsidRPr="00427EE1">
        <w:t xml:space="preserve">hief </w:t>
      </w:r>
      <w:r w:rsidR="00195602">
        <w:t>of</w:t>
      </w:r>
      <w:r w:rsidRPr="00427EE1">
        <w:t>ficer</w:t>
      </w:r>
      <w:r w:rsidR="00AB414E">
        <w:t xml:space="preserve">s of the Country Fire Authority </w:t>
      </w:r>
      <w:r w:rsidR="00666D12">
        <w:t xml:space="preserve">[CFA] </w:t>
      </w:r>
      <w:r w:rsidR="00AB414E">
        <w:t>and Metropolitan Fire Brigade</w:t>
      </w:r>
      <w:r w:rsidR="00C85843">
        <w:t xml:space="preserve"> [MFB]</w:t>
      </w:r>
      <w:r w:rsidRPr="00427EE1">
        <w:t>)</w:t>
      </w:r>
    </w:p>
    <w:p w:rsidR="00B42BC9" w:rsidRDefault="004F7D03" w:rsidP="006119D2">
      <w:pPr>
        <w:pStyle w:val="Dotpoint"/>
      </w:pPr>
      <w:r w:rsidRPr="00427EE1">
        <w:t xml:space="preserve">insurance </w:t>
      </w:r>
    </w:p>
    <w:p w:rsidR="004F7D03" w:rsidRPr="00427EE1" w:rsidRDefault="004F7D03" w:rsidP="006119D2">
      <w:pPr>
        <w:pStyle w:val="Dotpointlast"/>
      </w:pPr>
      <w:r w:rsidRPr="00427EE1">
        <w:t>dispute resolution.</w:t>
      </w:r>
    </w:p>
    <w:p w:rsidR="002D5E35" w:rsidRDefault="002D5E35">
      <w:pPr>
        <w:spacing w:after="0"/>
      </w:pPr>
      <w:r>
        <w:br w:type="page"/>
      </w:r>
    </w:p>
    <w:p w:rsidR="00E657D7" w:rsidRDefault="00755B26">
      <w:r w:rsidRPr="00427EE1">
        <w:lastRenderedPageBreak/>
        <w:t xml:space="preserve">The </w:t>
      </w:r>
      <w:r w:rsidR="00454D16" w:rsidRPr="00427EE1">
        <w:t>N</w:t>
      </w:r>
      <w:r w:rsidR="00296466">
        <w:t>CC</w:t>
      </w:r>
      <w:r w:rsidRPr="00427EE1">
        <w:t xml:space="preserve"> is updated on a three</w:t>
      </w:r>
      <w:r w:rsidR="00AB414E">
        <w:t>-</w:t>
      </w:r>
      <w:r w:rsidRPr="00427EE1">
        <w:t xml:space="preserve">year cycle and each update can introduce new design and construction standards. Over time, existing buildings may become </w:t>
      </w:r>
      <w:r w:rsidR="0023395A">
        <w:t>non</w:t>
      </w:r>
      <w:r w:rsidRPr="00427EE1">
        <w:t xml:space="preserve">compliant with current standards under the NCC, as well as any new standards introduced by the Act or </w:t>
      </w:r>
      <w:r w:rsidR="000273F9">
        <w:t>Regulation</w:t>
      </w:r>
      <w:r w:rsidRPr="00427EE1">
        <w:t xml:space="preserve">s. Generally speaking, the building regulatory system does not require existing buildings to be upgraded to current standards unless the building is being substantially </w:t>
      </w:r>
      <w:r w:rsidR="00091468" w:rsidRPr="00427EE1">
        <w:t>changed</w:t>
      </w:r>
      <w:r w:rsidRPr="00427EE1">
        <w:t xml:space="preserve"> or in exceptional cases where the building poses a risk to life </w:t>
      </w:r>
      <w:r w:rsidR="00AB414E">
        <w:t xml:space="preserve">or </w:t>
      </w:r>
      <w:r w:rsidRPr="00427EE1">
        <w:t>safety.</w:t>
      </w:r>
    </w:p>
    <w:p w:rsidR="00B717DD" w:rsidRDefault="00C14778" w:rsidP="00C14778">
      <w:pPr>
        <w:pStyle w:val="Heading3"/>
      </w:pPr>
      <w:bookmarkStart w:id="15" w:name="_Toc481501556"/>
      <w:r>
        <w:t>1.1.3</w:t>
      </w:r>
      <w:r>
        <w:tab/>
      </w:r>
      <w:r w:rsidR="00AB414E">
        <w:t>Building permit system</w:t>
      </w:r>
      <w:bookmarkEnd w:id="15"/>
    </w:p>
    <w:p w:rsidR="004F7D03" w:rsidRPr="00427EE1" w:rsidRDefault="004F7D03" w:rsidP="00353E2A">
      <w:r w:rsidRPr="00427EE1">
        <w:t>The</w:t>
      </w:r>
      <w:r w:rsidR="00454D16" w:rsidRPr="00427EE1">
        <w:t xml:space="preserve"> </w:t>
      </w:r>
      <w:r w:rsidRPr="00427EE1">
        <w:t xml:space="preserve">Act sets out the process for making an application for a building permit to a </w:t>
      </w:r>
      <w:r w:rsidR="00AB414E">
        <w:t xml:space="preserve">MBS or PBS – </w:t>
      </w:r>
      <w:r w:rsidRPr="00427EE1">
        <w:t>the relevant building surveyor</w:t>
      </w:r>
      <w:r w:rsidR="00AB414E">
        <w:t xml:space="preserve"> (RBS)</w:t>
      </w:r>
      <w:r w:rsidRPr="00427EE1">
        <w:rPr>
          <w:vertAlign w:val="superscript"/>
        </w:rPr>
        <w:footnoteReference w:id="5"/>
      </w:r>
      <w:r w:rsidR="00AB414E">
        <w:t xml:space="preserve"> –</w:t>
      </w:r>
      <w:r w:rsidRPr="00427EE1">
        <w:t xml:space="preserve"> and also the process the </w:t>
      </w:r>
      <w:r w:rsidR="00AB414E">
        <w:t xml:space="preserve">RBS </w:t>
      </w:r>
      <w:r w:rsidRPr="00427EE1">
        <w:t>must follow to decide an application.</w:t>
      </w:r>
      <w:r w:rsidRPr="00427EE1">
        <w:rPr>
          <w:vertAlign w:val="superscript"/>
        </w:rPr>
        <w:footnoteReference w:id="6"/>
      </w:r>
      <w:r w:rsidRPr="00427EE1">
        <w:t xml:space="preserve"> As a result, it is the Act that imposes the substantive compliance burden on the owner to make an application for a building permit.</w:t>
      </w:r>
      <w:r w:rsidRPr="00427EE1">
        <w:rPr>
          <w:vertAlign w:val="superscript"/>
        </w:rPr>
        <w:footnoteReference w:id="7"/>
      </w:r>
      <w:r w:rsidRPr="00427EE1">
        <w:t xml:space="preserve"> It is also the Act that imposes the substantive compliance burden on the </w:t>
      </w:r>
      <w:r w:rsidR="00AB414E">
        <w:t>RBS</w:t>
      </w:r>
      <w:r w:rsidRPr="00427EE1">
        <w:t xml:space="preserve"> to make a decision once that application is received by issuing or refusing a building permit.</w:t>
      </w:r>
      <w:r w:rsidRPr="00427EE1">
        <w:rPr>
          <w:vertAlign w:val="superscript"/>
        </w:rPr>
        <w:footnoteReference w:id="8"/>
      </w:r>
    </w:p>
    <w:p w:rsidR="004F7D03" w:rsidRPr="00427EE1" w:rsidRDefault="004F7D03" w:rsidP="00353E2A">
      <w:pPr>
        <w:pStyle w:val="Normalpre-dotpoint"/>
      </w:pPr>
      <w:r w:rsidRPr="00427EE1">
        <w:t xml:space="preserve">The building permit enables registered building surveyors with statutory functions, powers and </w:t>
      </w:r>
      <w:r w:rsidR="00BF5FEE" w:rsidRPr="00427EE1">
        <w:t xml:space="preserve">duties </w:t>
      </w:r>
      <w:r w:rsidRPr="00427EE1">
        <w:t xml:space="preserve">to check, verify and require </w:t>
      </w:r>
      <w:r w:rsidR="00AF3E4D">
        <w:t xml:space="preserve">the </w:t>
      </w:r>
      <w:r w:rsidRPr="00427EE1">
        <w:t xml:space="preserve">compliance of individual building projects with current building standards. The </w:t>
      </w:r>
      <w:r w:rsidR="00AB414E">
        <w:t>RBS</w:t>
      </w:r>
      <w:r w:rsidRPr="00427EE1">
        <w:t xml:space="preserve"> must not issue a building permit unless satisfied that, among other things, the proposed building work complies with the </w:t>
      </w:r>
      <w:r w:rsidR="00BF5FEE" w:rsidRPr="00427EE1">
        <w:t xml:space="preserve">relevant </w:t>
      </w:r>
      <w:r w:rsidRPr="00427EE1">
        <w:t xml:space="preserve">legislation, </w:t>
      </w:r>
      <w:r w:rsidR="008911CB">
        <w:t>R</w:t>
      </w:r>
      <w:r w:rsidRPr="00427EE1">
        <w:t>egulation</w:t>
      </w:r>
      <w:r w:rsidR="00BF5FEE" w:rsidRPr="00427EE1">
        <w:t>s</w:t>
      </w:r>
      <w:r w:rsidR="00AF3E4D">
        <w:t xml:space="preserve"> </w:t>
      </w:r>
      <w:r w:rsidR="00BF5FEE" w:rsidRPr="00427EE1">
        <w:t>and the N</w:t>
      </w:r>
      <w:r w:rsidR="00296466">
        <w:t>CC</w:t>
      </w:r>
      <w:r w:rsidRPr="00427EE1">
        <w:t xml:space="preserve">. </w:t>
      </w:r>
      <w:r w:rsidR="00BF5FEE" w:rsidRPr="00427EE1">
        <w:t xml:space="preserve">The Act </w:t>
      </w:r>
      <w:r w:rsidRPr="00427EE1">
        <w:t xml:space="preserve">requires the </w:t>
      </w:r>
      <w:r w:rsidR="00AB414E">
        <w:t>RBS</w:t>
      </w:r>
      <w:r w:rsidRPr="00427EE1">
        <w:t xml:space="preserve"> to</w:t>
      </w:r>
      <w:r w:rsidR="00AF3E4D">
        <w:t>:</w:t>
      </w:r>
    </w:p>
    <w:p w:rsidR="004F7D03" w:rsidRPr="00427EE1" w:rsidRDefault="002B5F53" w:rsidP="00353E2A">
      <w:pPr>
        <w:pStyle w:val="Dotpoint"/>
      </w:pPr>
      <w:r w:rsidRPr="00427EE1">
        <w:t>b</w:t>
      </w:r>
      <w:r w:rsidR="00BB6558" w:rsidRPr="00427EE1">
        <w:t>e satisfied that the d</w:t>
      </w:r>
      <w:r w:rsidR="004F7D03" w:rsidRPr="00427EE1">
        <w:t xml:space="preserve">ocumentation prepared for </w:t>
      </w:r>
      <w:r w:rsidR="00AF3E4D">
        <w:t xml:space="preserve">the </w:t>
      </w:r>
      <w:r w:rsidR="004F7D03" w:rsidRPr="00427EE1">
        <w:t>proposed building work is sufficient</w:t>
      </w:r>
      <w:r w:rsidRPr="00427EE1">
        <w:rPr>
          <w:rStyle w:val="FootnoteReference"/>
        </w:rPr>
        <w:footnoteReference w:id="9"/>
      </w:r>
    </w:p>
    <w:p w:rsidR="004F7D03" w:rsidRPr="00427EE1" w:rsidRDefault="002B5F53" w:rsidP="00353E2A">
      <w:pPr>
        <w:pStyle w:val="Dotpoint"/>
      </w:pPr>
      <w:r w:rsidRPr="00427EE1">
        <w:t>i</w:t>
      </w:r>
      <w:r w:rsidR="004F7D03" w:rsidRPr="00427EE1">
        <w:t xml:space="preserve">nspect </w:t>
      </w:r>
      <w:r w:rsidR="00BB6558" w:rsidRPr="00427EE1">
        <w:t xml:space="preserve">building work during </w:t>
      </w:r>
      <w:r w:rsidR="004F7D03" w:rsidRPr="00427EE1">
        <w:t xml:space="preserve">the construction phase including at </w:t>
      </w:r>
      <w:r w:rsidR="00AF3E4D">
        <w:t xml:space="preserve">the </w:t>
      </w:r>
      <w:r w:rsidR="004F7D03" w:rsidRPr="00427EE1">
        <w:t>foundation, reinforcement, frame and prior</w:t>
      </w:r>
      <w:r w:rsidR="00AF3E4D">
        <w:t>-</w:t>
      </w:r>
      <w:r w:rsidR="004F7D03" w:rsidRPr="00427EE1">
        <w:t>to</w:t>
      </w:r>
      <w:r w:rsidR="00AF3E4D">
        <w:t>-</w:t>
      </w:r>
      <w:r w:rsidR="004F7D03" w:rsidRPr="00427EE1">
        <w:t>occupancy stages</w:t>
      </w:r>
      <w:r w:rsidR="004F7D03" w:rsidRPr="00427EE1">
        <w:rPr>
          <w:rStyle w:val="FootnoteReference"/>
          <w:color w:val="auto"/>
        </w:rPr>
        <w:footnoteReference w:id="10"/>
      </w:r>
    </w:p>
    <w:p w:rsidR="00BB6558" w:rsidRPr="00427EE1" w:rsidRDefault="002B5F53" w:rsidP="00353E2A">
      <w:pPr>
        <w:pStyle w:val="Dotpoint"/>
      </w:pPr>
      <w:r w:rsidRPr="00427EE1">
        <w:t>i</w:t>
      </w:r>
      <w:r w:rsidR="00BB6558" w:rsidRPr="00427EE1">
        <w:t xml:space="preserve">ssue directions to fix building work that does not comply with the Act, </w:t>
      </w:r>
      <w:r w:rsidR="000273F9">
        <w:t>Regulation</w:t>
      </w:r>
      <w:r w:rsidR="00BB6558" w:rsidRPr="00427EE1">
        <w:t>s or the building permit issued in relation to the building work</w:t>
      </w:r>
      <w:r w:rsidR="00BB6558" w:rsidRPr="00427EE1">
        <w:rPr>
          <w:rStyle w:val="FootnoteReference"/>
        </w:rPr>
        <w:footnoteReference w:id="11"/>
      </w:r>
      <w:r w:rsidRPr="00427EE1">
        <w:t xml:space="preserve"> </w:t>
      </w:r>
    </w:p>
    <w:p w:rsidR="004F7D03" w:rsidRPr="00427EE1" w:rsidRDefault="002B5F53" w:rsidP="00353E2A">
      <w:pPr>
        <w:pStyle w:val="Dotpointlast"/>
      </w:pPr>
      <w:r w:rsidRPr="00427EE1">
        <w:t>on the completion of building work, i</w:t>
      </w:r>
      <w:r w:rsidR="00BB6558" w:rsidRPr="00427EE1">
        <w:t xml:space="preserve">ssue an occupancy permit </w:t>
      </w:r>
      <w:r w:rsidRPr="00427EE1">
        <w:t xml:space="preserve">if the building is suitable for occupation </w:t>
      </w:r>
      <w:r w:rsidR="00BB6558" w:rsidRPr="00427EE1">
        <w:t xml:space="preserve">or a certificate of final inspection </w:t>
      </w:r>
      <w:r w:rsidRPr="00427EE1">
        <w:t>if an occupancy permit is not required by the building permit</w:t>
      </w:r>
      <w:r w:rsidR="004F7D03" w:rsidRPr="00427EE1">
        <w:t>.</w:t>
      </w:r>
      <w:r w:rsidR="004F7D03" w:rsidRPr="00427EE1">
        <w:rPr>
          <w:rStyle w:val="FootnoteReference"/>
          <w:color w:val="auto"/>
        </w:rPr>
        <w:footnoteReference w:id="12"/>
      </w:r>
    </w:p>
    <w:p w:rsidR="004F7D03" w:rsidRPr="00427EE1" w:rsidRDefault="004F7D03" w:rsidP="00353E2A">
      <w:r w:rsidRPr="00427EE1">
        <w:t xml:space="preserve">Building permits are granted for a specified time period within which building work must be </w:t>
      </w:r>
      <w:r w:rsidR="002B5F53" w:rsidRPr="00427EE1">
        <w:t xml:space="preserve">commenced and </w:t>
      </w:r>
      <w:r w:rsidRPr="00427EE1">
        <w:t>completed</w:t>
      </w:r>
      <w:r w:rsidR="002B5F53" w:rsidRPr="00427EE1">
        <w:t>.</w:t>
      </w:r>
    </w:p>
    <w:p w:rsidR="004F7D03" w:rsidRPr="00427EE1" w:rsidRDefault="004F7D03" w:rsidP="00353E2A">
      <w:pPr>
        <w:rPr>
          <w:b/>
          <w:color w:val="642667" w:themeColor="text2"/>
        </w:rPr>
      </w:pPr>
      <w:r w:rsidRPr="00427EE1">
        <w:t xml:space="preserve">A broad outline of the building permit process is provided in the </w:t>
      </w:r>
      <w:r w:rsidR="00AF3E4D">
        <w:t xml:space="preserve">Victorian Competition and Efficiency Commission's </w:t>
      </w:r>
      <w:r w:rsidR="00AC1A59" w:rsidRPr="00AC1A59">
        <w:rPr>
          <w:i/>
        </w:rPr>
        <w:t xml:space="preserve">Housing </w:t>
      </w:r>
      <w:r w:rsidR="00AF3E4D">
        <w:rPr>
          <w:i/>
        </w:rPr>
        <w:t>r</w:t>
      </w:r>
      <w:r w:rsidR="00AC1A59" w:rsidRPr="00AC1A59">
        <w:rPr>
          <w:i/>
        </w:rPr>
        <w:t>egulation in Victoria</w:t>
      </w:r>
      <w:r w:rsidR="00AF3E4D">
        <w:rPr>
          <w:i/>
        </w:rPr>
        <w:t>: building better outcomes</w:t>
      </w:r>
      <w:r w:rsidRPr="00427EE1">
        <w:t xml:space="preserve"> </w:t>
      </w:r>
      <w:r w:rsidR="00AF3E4D">
        <w:t>r</w:t>
      </w:r>
      <w:r w:rsidRPr="00427EE1">
        <w:t xml:space="preserve">eport, as </w:t>
      </w:r>
      <w:r w:rsidR="00CC5EF6">
        <w:t>shown</w:t>
      </w:r>
      <w:r w:rsidR="00CC5EF6" w:rsidRPr="00427EE1">
        <w:t xml:space="preserve"> </w:t>
      </w:r>
      <w:r w:rsidRPr="00427EE1">
        <w:t xml:space="preserve">in </w:t>
      </w:r>
      <w:bookmarkStart w:id="16" w:name="_Ref454744349"/>
      <w:r w:rsidR="00B03B07" w:rsidRPr="00427EE1">
        <w:rPr>
          <w:b/>
          <w:color w:val="00B2A9" w:themeColor="accent1"/>
        </w:rPr>
        <w:t>Figure 2</w:t>
      </w:r>
      <w:r w:rsidR="00B03B07" w:rsidRPr="00427EE1">
        <w:t>.</w:t>
      </w:r>
    </w:p>
    <w:bookmarkEnd w:id="16"/>
    <w:p w:rsidR="004F7D03" w:rsidRPr="00427EE1" w:rsidRDefault="00AA4331" w:rsidP="0080262C">
      <w:pPr>
        <w:rPr>
          <w:rFonts w:ascii="Georgia" w:hAnsi="Georgia"/>
        </w:rPr>
      </w:pPr>
      <w:r>
        <w:lastRenderedPageBreak/>
        <w:pict>
          <v:shape id="Straight Arrow Connector 220" o:spid="_x0000_s1170" type="#_x0000_t32" style="position:absolute;margin-left:333pt;margin-top:348.75pt;width:0;height:14.6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" strokecolor="#201547 [3206]">
            <v:stroke endarrow="open"/>
          </v:shape>
        </w:pict>
      </w:r>
      <w:r>
        <w:pict>
          <v:group id="Group 33" o:spid="_x0000_s1053" style="width:387.45pt;height:519.15pt;mso-position-horizontal-relative:char;mso-position-vertical-relative:line" coordsize="49209,65929">
            <v:shape id="Text Box 87" o:spid="_x0000_s1054" type="#_x0000_t202" style="position:absolute;top:31493;width:14760;height:5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sDdMYA&#10;AADcAAAADwAAAGRycy9kb3ducmV2LnhtbESPQUvDQBCF74L/YRnBW7vR0tLGbkuIVDwU0SiItyE7&#10;JsHsbNhdm/Tfdw6Ctxnem/e+2e4n16sThdh5NnA3z0AR19523Bj4eD/M1qBiQrbYeyYDZ4qw311f&#10;bTG3fuQ3OlWpURLCMUcDbUpDrnWsW3IY534gFu3bB4dJ1tBoG3CUcNfr+yxbaYcdS0OLA5Ut1T/V&#10;rzMwhuLpa/1iF8UmfR6r7LXslo+lMbc3U/EAKtGU/s1/189W8DdCK8/IBHp3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usDdMYAAADcAAAADwAAAAAAAAAAAAAAAACYAgAAZHJz&#10;L2Rvd25yZXYueG1sUEsFBgAAAAAEAAQA9QAAAIsDAAAAAA==&#10;" fillcolor="white [3201]" strokecolor="#00b2a9 [3204]" strokeweight="2pt">
              <v:textbox inset="1mm,1mm,1mm,1mm">
                <w:txbxContent>
                  <w:p w:rsidR="008915F8" w:rsidRPr="00263F6A" w:rsidRDefault="008915F8" w:rsidP="004F7D03">
                    <w:pPr>
                      <w:pStyle w:val="NormalWeb"/>
                      <w:kinsoku w:val="0"/>
                      <w:overflowPunct w:val="0"/>
                      <w:spacing w:after="120"/>
                      <w:jc w:val="center"/>
                      <w:rPr>
                        <w:rFonts w:asciiTheme="majorHAnsi" w:hAnsiTheme="majorHAnsi"/>
                        <w:sz w:val="16"/>
                        <w:szCs w:val="16"/>
                      </w:rPr>
                    </w:pPr>
                    <w:r w:rsidRPr="00263F6A">
                      <w:rPr>
                        <w:rFonts w:asciiTheme="majorHAnsi" w:hAnsiTheme="majorHAnsi" w:cs="Arial"/>
                        <w:color w:val="161616"/>
                        <w:kern w:val="24"/>
                        <w:sz w:val="16"/>
                        <w:szCs w:val="16"/>
                      </w:rPr>
                      <w:t>Submit all required documents including plans, specifications, soil reports, certificate of title</w:t>
                    </w:r>
                  </w:p>
                </w:txbxContent>
              </v:textbox>
            </v:shape>
            <v:shape id="Text Box 23" o:spid="_x0000_s1055" type="#_x0000_t202" style="position:absolute;top:38752;width:14760;height:5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Coz8IA&#10;AADcAAAADwAAAGRycy9kb3ducmV2LnhtbERPzWrCQBC+F/oOywi9lLqpYNHoKiVFKHix2gcYsmMS&#10;zc7G3VHTt+8Kgrf5+H5nvuxdqy4UYuPZwPswA0VcettwZeB3t3qbgIqCbLH1TAb+KMJy8fw0x9z6&#10;K//QZSuVSiEcczRQi3S51rGsyWEc+o44cXsfHEqCodI24DWFu1aPsuxDO2w4NdTYUVFTedyenYGT&#10;vE6K8eYoX2E9ou509odV4Y15GfSfM1BCvTzEd/e3TfOnU7g9ky7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oKjPwgAAANwAAAAPAAAAAAAAAAAAAAAAAJgCAABkcnMvZG93&#10;bnJldi54bWxQSwUGAAAAAAQABAD1AAAAhwMAAAAA&#10;" fillcolor="white [3201]" strokecolor="#00b2a9 [3204]" strokeweight="2pt">
              <v:textbox inset="2mm,2mm,2mm,2mm">
                <w:txbxContent>
                  <w:p w:rsidR="008915F8" w:rsidRDefault="008915F8" w:rsidP="004F7D03">
                    <w:pPr>
                      <w:pStyle w:val="NormalWeb"/>
                      <w:spacing w:before="120" w:after="120"/>
                      <w:jc w:val="center"/>
                      <w:textAlignment w:val="baseline"/>
                    </w:pPr>
                    <w:r>
                      <w:rPr>
                        <w:rFonts w:asciiTheme="majorHAnsi" w:hAnsi="Georgia" w:cs="Arial"/>
                        <w:kern w:val="24"/>
                        <w:sz w:val="16"/>
                        <w:szCs w:val="16"/>
                      </w:rPr>
                      <w:t>Pay fees and levy</w:t>
                    </w:r>
                  </w:p>
                </w:txbxContent>
              </v:textbox>
            </v:shape>
            <v:shape id="Text Box 48" o:spid="_x0000_s1056" type="#_x0000_t202" style="position:absolute;left:26003;width:14760;height:5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X1qcIA&#10;AADcAAAADwAAAGRycy9kb3ducmV2LnhtbESPUWvCQBCE3wv+h2MFX4peFCySekqJCIIvrfoDltw2&#10;Sc3txbtV47/vCYU+DjPzDbNc965VNwqx8WxgOslAEZfeNlwZOB234wWoKMgWW89k4EER1qvByxJz&#10;6+/8RbeDVCpBOOZooBbpcq1jWZPDOPEdcfK+fXAoSYZK24D3BHetnmXZm3bYcFqosaOipvJ8uDoD&#10;F3ldFPPPs2zCfkbd5ep/toU3ZjTsP95BCfXyH/5r76yBRITnmXQE9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tfWpwgAAANwAAAAPAAAAAAAAAAAAAAAAAJgCAABkcnMvZG93&#10;bnJldi54bWxQSwUGAAAAAAQABAD1AAAAhwMAAAAA&#10;" fillcolor="white [3201]" strokecolor="#00b2a9 [3204]" strokeweight="2pt">
              <v:textbox inset="2mm,2mm,2mm,2mm">
                <w:txbxContent>
                  <w:p w:rsidR="008915F8" w:rsidRDefault="008915F8" w:rsidP="004F7D03">
                    <w:pPr>
                      <w:pStyle w:val="NormalWeb"/>
                      <w:jc w:val="center"/>
                      <w:textAlignment w:val="baseline"/>
                    </w:pPr>
                    <w:r>
                      <w:rPr>
                        <w:rFonts w:asciiTheme="majorHAnsi" w:hAnsi="Georgia" w:cs="Arial"/>
                        <w:b/>
                        <w:bCs/>
                        <w:kern w:val="24"/>
                        <w:sz w:val="16"/>
                        <w:szCs w:val="16"/>
                      </w:rPr>
                      <w:t>Building surveyor</w:t>
                    </w:r>
                  </w:p>
                </w:txbxContent>
              </v:textbox>
            </v:shape>
            <v:shape id="Text Box 20" o:spid="_x0000_s1057" type="#_x0000_t202" style="position:absolute;left:34449;top:38752;width:14760;height:5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lQMsQA&#10;AADcAAAADwAAAGRycy9kb3ducmV2LnhtbESPUWvCQBCE3wv9D8cWfCn1YqAiqaeUFEHoi7X9AUtu&#10;TaK5vXi30fTfe4WCj8PMfMMs16Pr1IVCbD0bmE0zUMSVty3XBn6+Ny8LUFGQLXaeycAvRVivHh+W&#10;WFh/5S+67KVWCcKxQAONSF9oHauGHMap74mTd/DBoSQZam0DXhPcdTrPsrl22HJaaLCnsqHqtB+c&#10;gbM8L8rX3Uk+wmdO/Xnwx03pjZk8je9voIRGuYf/21trIM9m8HcmHQG9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5UDLEAAAA3AAAAA8AAAAAAAAAAAAAAAAAmAIAAGRycy9k&#10;b3ducmV2LnhtbFBLBQYAAAAABAAEAPUAAACJAwAAAAA=&#10;" fillcolor="white [3201]" strokecolor="#00b2a9 [3204]" strokeweight="2pt">
              <v:textbox inset="2mm,2mm,2mm,2mm">
                <w:txbxContent>
                  <w:p w:rsidR="008915F8" w:rsidRDefault="008915F8" w:rsidP="004F7D03">
                    <w:pPr>
                      <w:pStyle w:val="NormalWeb"/>
                      <w:kinsoku w:val="0"/>
                      <w:overflowPunct w:val="0"/>
                      <w:jc w:val="center"/>
                      <w:textAlignment w:val="baseline"/>
                    </w:pPr>
                    <w:r>
                      <w:rPr>
                        <w:rFonts w:asciiTheme="majorHAnsi" w:hAnsi="Georgia" w:cs="Arial"/>
                        <w:kern w:val="24"/>
                        <w:sz w:val="16"/>
                        <w:szCs w:val="16"/>
                      </w:rPr>
                      <w:t>Assess application</w:t>
                    </w:r>
                  </w:p>
                </w:txbxContent>
              </v:textbox>
            </v:shape>
            <v:rect id="Rectangle 202" o:spid="_x0000_s1058" style="position:absolute;left:467;width:14760;height:5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QaW8YA&#10;AADcAAAADwAAAGRycy9kb3ducmV2LnhtbESPQWvCQBSE7wX/w/IEb82uAUtMXUUExZb2ENtLbo/s&#10;Mwlm34bsqml/fbdQ6HGYmW+Y1Wa0nbjR4FvHGuaJAkFcOdNyreHzY/+YgfAB2WDnmDR8kYfNevKw&#10;wty4Oxd0O4VaRAj7HDU0IfS5lL5qyKJPXE8cvbMbLIYoh1qaAe8RbjuZKvUkLbYcFxrsaddQdTld&#10;rYbv5eu8eFOlWh7UDjNTvozb94XWs+m4fQYRaAz/4b/20WhIVQq/Z+IR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eQaW8YAAADcAAAADwAAAAAAAAAAAAAAAACYAgAAZHJz&#10;L2Rvd25yZXYueG1sUEsFBgAAAAAEAAQA9QAAAIsDAAAAAA==&#10;" fillcolor="white [3201]" strokecolor="#00b2a9 [3204]" strokeweight="2pt">
              <v:textbox inset="2mm,2mm,2mm,2mm">
                <w:txbxContent>
                  <w:p w:rsidR="008915F8" w:rsidRDefault="008915F8" w:rsidP="004F7D03">
                    <w:pPr>
                      <w:pStyle w:val="NormalWeb"/>
                      <w:kinsoku w:val="0"/>
                      <w:overflowPunct w:val="0"/>
                      <w:jc w:val="center"/>
                      <w:textAlignment w:val="baseline"/>
                    </w:pPr>
                    <w:r>
                      <w:rPr>
                        <w:rFonts w:asciiTheme="majorHAnsi" w:hAnsi="Georgia" w:cs="Arial"/>
                        <w:b/>
                        <w:bCs/>
                        <w:color w:val="161616"/>
                        <w:kern w:val="24"/>
                        <w:sz w:val="16"/>
                        <w:szCs w:val="16"/>
                      </w:rPr>
                      <w:t>Applicant</w:t>
                    </w:r>
                  </w:p>
                </w:txbxContent>
              </v:textbox>
            </v:rect>
            <v:rect id="Rectangle 203" o:spid="_x0000_s1059" style="position:absolute;top:24234;width:14760;height:5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i/wMYA&#10;AADcAAAADwAAAGRycy9kb3ducmV2LnhtbESPQWvCQBSE70L/w/IKvemuKRVNXUUCLa3Yg7YXb4/s&#10;Mwlm34bsNkn7611B8DjMzDfMcj3YWnTU+sqxhulEgSDOnam40PDz/Taeg/AB2WDtmDT8kYf16mG0&#10;xNS4nvfUHUIhIoR9ihrKEJpUSp+XZNFPXEMcvZNrLYYo20KaFvsIt7VMlJpJixXHhRIbykrKz4df&#10;q+F/sZ3ud+qoFu8qw7k5fg6brxetnx6HzSuIQEO4h2/tD6MhUc9wPROPgFx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qi/wMYAAADcAAAADwAAAAAAAAAAAAAAAACYAgAAZHJz&#10;L2Rvd25yZXYueG1sUEsFBgAAAAAEAAQA9QAAAIsDAAAAAA==&#10;" fillcolor="white [3201]" strokecolor="#00b2a9 [3204]" strokeweight="2pt">
              <v:textbox inset="2mm,2mm,2mm,2mm">
                <w:txbxContent>
                  <w:p w:rsidR="008915F8" w:rsidRDefault="008915F8" w:rsidP="004F7D03">
                    <w:pPr>
                      <w:pStyle w:val="NormalWeb"/>
                      <w:spacing w:before="120" w:after="120"/>
                      <w:jc w:val="center"/>
                      <w:textAlignment w:val="baseline"/>
                    </w:pPr>
                    <w:r>
                      <w:rPr>
                        <w:rFonts w:asciiTheme="majorHAnsi" w:hAnsi="Georgia" w:cs="Arial"/>
                        <w:color w:val="161616"/>
                        <w:kern w:val="24"/>
                        <w:sz w:val="16"/>
                        <w:szCs w:val="16"/>
                      </w:rPr>
                      <w:t>Apply for a building permit</w:t>
                    </w:r>
                  </w:p>
                </w:txbxContent>
              </v:textbox>
            </v:rect>
            <v:rect id="Rectangle 204" o:spid="_x0000_s1060" style="position:absolute;left:666;top:6725;width:14760;height:5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EntMYA&#10;AADcAAAADwAAAGRycy9kb3ducmV2LnhtbESPQWvCQBSE70L/w/IKvemuoRVNXUUCLa3Yg7YXb4/s&#10;Mwlm34bsNkn7611B8DjMzDfMcj3YWnTU+sqxhulEgSDOnam40PDz/Taeg/AB2WDtmDT8kYf16mG0&#10;xNS4nvfUHUIhIoR9ihrKEJpUSp+XZNFPXEMcvZNrLYYo20KaFvsIt7VMlJpJixXHhRIbykrKz4df&#10;q+F/sZ3ud+qoFu8qw7k5fg6brxetnx6HzSuIQEO4h2/tD6MhUc9wPROPgFx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UEntMYAAADcAAAADwAAAAAAAAAAAAAAAACYAgAAZHJz&#10;L2Rvd25yZXYueG1sUEsFBgAAAAAEAAQA9QAAAIsDAAAAAA==&#10;" fillcolor="white [3201]" strokecolor="#00b2a9 [3204]" strokeweight="2pt">
              <v:textbox inset="2mm,2mm,2mm,2mm">
                <w:txbxContent>
                  <w:p w:rsidR="008915F8" w:rsidRDefault="008915F8" w:rsidP="004F7D03">
                    <w:pPr>
                      <w:pStyle w:val="NormalWeb"/>
                      <w:jc w:val="center"/>
                      <w:textAlignment w:val="baseline"/>
                    </w:pPr>
                    <w:r>
                      <w:rPr>
                        <w:rFonts w:asciiTheme="majorHAnsi" w:hAnsi="Georgia" w:cs="Arial"/>
                        <w:color w:val="161616"/>
                        <w:kern w:val="24"/>
                        <w:sz w:val="16"/>
                        <w:szCs w:val="16"/>
                      </w:rPr>
                      <w:t>Choose a building surveyor</w:t>
                    </w:r>
                  </w:p>
                </w:txbxContent>
              </v:textbox>
            </v:rect>
            <v:shape id="Straight Arrow Connector 205" o:spid="_x0000_s1061" type="#_x0000_t32" style="position:absolute;left:7380;top:29634;width:0;height:185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82xcMAAADcAAAADwAAAGRycy9kb3ducmV2LnhtbESPUWsCMRCE3wv+h7BC32rulJZyNUpR&#10;xEJLoSr0dbmsd0cvmyNZNf33TUHwcZiZb5j5MrlenSnEzrOBclKAIq697bgxcNhvHp5BRUG22Hsm&#10;A78UYbkY3c2xsv7CX3TeSaMyhGOFBlqRodI61i05jBM/EGfv6INDyTI02ga8ZLjr9bQonrTDjvNC&#10;iwOtWqp/didnYJY4iHZHW6byfbuWj89vasiY+3F6fQEllOQWvrbfrIFp8Qj/Z/IR0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t/NsXDAAAA3AAAAA8AAAAAAAAAAAAA&#10;AAAAoQIAAGRycy9kb3ducmV2LnhtbFBLBQYAAAAABAAEAPkAAACRAwAAAAA=&#10;" strokecolor="#201547 [3206]">
              <v:stroke endarrow="open"/>
            </v:shape>
            <v:shape id="Straight Arrow Connector 206" o:spid="_x0000_s1062" type="#_x0000_t32" style="position:absolute;left:7380;top:36893;width:0;height:185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2ossIAAADcAAAADwAAAGRycy9kb3ducmV2LnhtbESPUWsCMRCE3wv+h7BC32ruLIicRhGl&#10;tFApaAu+Lpf17vCyOZKtpv/eFAp9HGbmG2a5Tq5XVwqx82ygnBSgiGtvO24MfH2+PM1BRUG22Hsm&#10;Az8UYb0aPSyxsv7GB7oepVEZwrFCA63IUGkd65YcxokfiLN39sGhZBkabQPeMtz1eloUM+2w47zQ&#10;4kDblurL8dsZeE4cRLuzLVP5/rqT/ceJGjLmcZw2C1BCSf7Df+03a2BazOD3TD4Cen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62ossIAAADcAAAADwAAAAAAAAAAAAAA&#10;AAChAgAAZHJzL2Rvd25yZXYueG1sUEsFBgAAAAAEAAQA+QAAAJADAAAAAA==&#10;" strokecolor="#201547 [3206]">
              <v:stroke endarrow="open"/>
            </v:shape>
            <v:rect id="Rectangle 207" o:spid="_x0000_s1063" style="position:absolute;left:17557;top:11461;width:14760;height:5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O5w8YA&#10;AADcAAAADwAAAGRycy9kb3ducmV2LnhtbESPQWvCQBSE70L/w/IKvemugVZNXUUCLa3Yg7YXb4/s&#10;Mwlm34bsNkn7611B8DjMzDfMcj3YWnTU+sqxhulEgSDOnam40PDz/Taeg/AB2WDtmDT8kYf16mG0&#10;xNS4nvfUHUIhIoR9ihrKEJpUSp+XZNFPXEMcvZNrLYYo20KaFvsIt7VMlHqRFiuOCyU2lJWUnw+/&#10;VsP/Yjvd79RRLd5VhnNz/Bw2X89aPz0Om1cQgYZwD9/aH0ZDomZwPROPgFx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O5w8YAAADcAAAADwAAAAAAAAAAAAAAAACYAgAAZHJz&#10;L2Rvd25yZXYueG1sUEsFBgAAAAAEAAQA9QAAAIsDAAAAAA==&#10;" fillcolor="white [3201]" strokecolor="#00b2a9 [3204]" strokeweight="2pt">
              <v:textbox inset="2mm,2mm,2mm,2mm">
                <w:txbxContent>
                  <w:p w:rsidR="008915F8" w:rsidRDefault="008915F8" w:rsidP="004F7D03">
                    <w:pPr>
                      <w:pStyle w:val="NormalWeb"/>
                      <w:jc w:val="center"/>
                      <w:textAlignment w:val="baseline"/>
                    </w:pPr>
                    <w:r>
                      <w:rPr>
                        <w:rFonts w:asciiTheme="majorHAnsi" w:hAnsi="Georgia" w:cs="Arial"/>
                        <w:color w:val="161616"/>
                        <w:kern w:val="24"/>
                        <w:sz w:val="16"/>
                        <w:szCs w:val="16"/>
                      </w:rPr>
                      <w:t>Municipal building surveyor</w:t>
                    </w:r>
                  </w:p>
                </w:txbxContent>
              </v:textbox>
            </v:rect>
            <v:rect id="Rectangle 208" o:spid="_x0000_s1064" style="position:absolute;left:34449;top:11461;width:14760;height:5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wtscMA&#10;AADcAAAADwAAAGRycy9kb3ducmV2LnhtbERPy2rCQBTdF/yH4Qrd1RmFFo1OgghKK3XhY+Pukrkm&#10;wcydkJkmqV/fWRRcHs57lQ22Fh21vnKsYTpRIIhzZyouNFzO27c5CB+QDdaOScMvecjS0csKE+N6&#10;PlJ3CoWIIewT1FCG0CRS+rwki37iGuLI3VxrMUTYFtK02MdwW8uZUh/SYsWxocSGNiXl99OP1fBY&#10;7KfHb3VVi53a4Nxcv4b14V3r1/GwXoIINISn+N/9aTTMVFwbz8Qj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wtscMAAADcAAAADwAAAAAAAAAAAAAAAACYAgAAZHJzL2Rv&#10;d25yZXYueG1sUEsFBgAAAAAEAAQA9QAAAIgDAAAAAA==&#10;" fillcolor="white [3201]" strokecolor="#00b2a9 [3204]" strokeweight="2pt">
              <v:textbox inset="2mm,2mm,2mm,2mm">
                <w:txbxContent>
                  <w:p w:rsidR="008915F8" w:rsidRDefault="008915F8" w:rsidP="004F7D03">
                    <w:pPr>
                      <w:pStyle w:val="NormalWeb"/>
                      <w:jc w:val="center"/>
                      <w:textAlignment w:val="baseline"/>
                    </w:pPr>
                    <w:r>
                      <w:rPr>
                        <w:rFonts w:asciiTheme="majorHAnsi" w:hAnsi="Georgia" w:cs="Arial"/>
                        <w:color w:val="161616"/>
                        <w:kern w:val="24"/>
                        <w:sz w:val="16"/>
                        <w:szCs w:val="16"/>
                      </w:rPr>
                      <w:t>Private building surveyor</w:t>
                    </w:r>
                  </w:p>
                </w:txbxContent>
              </v:textbox>
            </v:rect>
            <v:rect id="Rectangle 209" o:spid="_x0000_s1065" style="position:absolute;left:34449;top:19414;width:14760;height:5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CIKsQA&#10;AADcAAAADwAAAGRycy9kb3ducmV2LnhtbESPQYvCMBSE7wv+h/AEb2uioNhqFBEUXdyDrhdvj+bZ&#10;FpuX0kSt++uNsLDHYWa+YWaL1lbiTo0vHWsY9BUI4syZknMNp5/15wSED8gGK8ek4UkeFvPOxwxT&#10;4x58oPsx5CJC2KeooQihTqX0WUEWfd/VxNG7uMZiiLLJpWnwEeG2kkOlxtJiyXGhwJpWBWXX481q&#10;+E2+Boe9Oqtko1Y4Meddu/wead3rtsspiEBt+A//tbdGw1Al8D4Tj4C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AiCrEAAAA3AAAAA8AAAAAAAAAAAAAAAAAmAIAAGRycy9k&#10;b3ducmV2LnhtbFBLBQYAAAAABAAEAPUAAACJAwAAAAA=&#10;" fillcolor="white [3201]" strokecolor="#00b2a9 [3204]" strokeweight="2pt">
              <v:textbox inset="2mm,2mm,2mm,2mm">
                <w:txbxContent>
                  <w:p w:rsidR="008915F8" w:rsidRDefault="008915F8" w:rsidP="004F7D03">
                    <w:pPr>
                      <w:pStyle w:val="NormalWeb"/>
                      <w:jc w:val="center"/>
                      <w:textAlignment w:val="baseline"/>
                    </w:pPr>
                    <w:r>
                      <w:rPr>
                        <w:rFonts w:asciiTheme="majorHAnsi" w:hAnsi="Georgia" w:cs="Arial"/>
                        <w:color w:val="161616"/>
                        <w:kern w:val="24"/>
                        <w:sz w:val="16"/>
                        <w:szCs w:val="16"/>
                      </w:rPr>
                      <w:t>Send notification to council</w:t>
                    </w:r>
                  </w:p>
                </w:txbxContent>
              </v:textbox>
            </v:rect>
            <v:shape id="Text Box 23" o:spid="_x0000_s1066" type="#_x0000_t202" style="position:absolute;top:46011;width:14760;height:5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jdMEA&#10;AADcAAAADwAAAGRycy9kb3ducmV2LnhtbERPzWrCQBC+F/oOyxR6KXVjoCLRVSRFKHip2gcYsmMS&#10;zc7G3VHTt3cPgseP73++HFynrhRi69nAeJSBIq68bbk28Ldff05BRUG22HkmA/8UYbl4fZljYf2N&#10;t3TdSa1SCMcCDTQifaF1rBpyGEe+J07cwQeHkmCotQ14S+Gu03mWTbTDllNDgz2VDVWn3cUZOMvH&#10;tPz6Pcl32OTUny/+uC69Me9vw2oGSmiQp/jh/rEG8nGan86kI6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sY3TBAAAA3AAAAA8AAAAAAAAAAAAAAAAAmAIAAGRycy9kb3du&#10;cmV2LnhtbFBLBQYAAAAABAAEAPUAAACGAwAAAAA=&#10;" fillcolor="white [3201]" strokecolor="#00b2a9 [3204]" strokeweight="2pt">
              <v:textbox inset="2mm,2mm,2mm,2mm">
                <w:txbxContent>
                  <w:p w:rsidR="008915F8" w:rsidRDefault="008915F8" w:rsidP="004F7D03">
                    <w:pPr>
                      <w:pStyle w:val="NormalWeb"/>
                      <w:spacing w:before="120" w:after="120"/>
                      <w:jc w:val="center"/>
                      <w:textAlignment w:val="baseline"/>
                    </w:pPr>
                    <w:r>
                      <w:rPr>
                        <w:rFonts w:asciiTheme="majorHAnsi" w:hAnsi="Georgia" w:cs="Arial"/>
                        <w:kern w:val="24"/>
                        <w:sz w:val="16"/>
                        <w:szCs w:val="16"/>
                      </w:rPr>
                      <w:t>Commence construction</w:t>
                    </w:r>
                  </w:p>
                </w:txbxContent>
              </v:textbox>
            </v:shape>
            <v:shape id="Text Box 20" o:spid="_x0000_s1067" type="#_x0000_t202" style="position:absolute;left:34449;top:46011;width:14760;height:5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DG78QA&#10;AADcAAAADwAAAGRycy9kb3ducmV2LnhtbESPUWvCQBCE34X+h2MLvki9JFCR1FNKiiD0xdr+gCW3&#10;TVJze/Fu1fTfe4WCj8PMfMOsNqPr1YVC7DwbyOcZKOLa244bA1+f26clqCjIFnvPZOCXImzWD5MV&#10;ltZf+YMuB2lUgnAs0UArMpRax7olh3HuB+LkffvgUJIMjbYBrwnuel1k2UI77DgttDhQ1VJ9PJyd&#10;gZPMltXz/ihv4b2g4XT2P9vKGzN9HF9fQAmNcg//t3fWQJHn8HcmHQG9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gxu/EAAAA3AAAAA8AAAAAAAAAAAAAAAAAmAIAAGRycy9k&#10;b3ducmV2LnhtbFBLBQYAAAAABAAEAPUAAACJAwAAAAA=&#10;" fillcolor="white [3201]" strokecolor="#00b2a9 [3204]" strokeweight="2pt">
              <v:textbox inset="2mm,2mm,2mm,2mm">
                <w:txbxContent>
                  <w:p w:rsidR="008915F8" w:rsidRDefault="008915F8" w:rsidP="004F7D03">
                    <w:pPr>
                      <w:pStyle w:val="NormalWeb"/>
                      <w:kinsoku w:val="0"/>
                      <w:overflowPunct w:val="0"/>
                      <w:jc w:val="center"/>
                      <w:textAlignment w:val="baseline"/>
                    </w:pPr>
                    <w:r>
                      <w:rPr>
                        <w:rFonts w:asciiTheme="majorHAnsi" w:hAnsi="Georgia" w:cs="Arial"/>
                        <w:kern w:val="24"/>
                        <w:sz w:val="16"/>
                        <w:szCs w:val="16"/>
                      </w:rPr>
                      <w:t>Issue building permit</w:t>
                    </w:r>
                  </w:p>
                </w:txbxContent>
              </v:textbox>
            </v:shape>
            <v:shape id="Text Box 20" o:spid="_x0000_s1068" type="#_x0000_t202" style="position:absolute;left:34449;top:53270;width:14760;height:5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YmMQA&#10;AADcAAAADwAAAGRycy9kb3ducmV2LnhtbESP3WrCQBSE74W+w3IKvZG6MWCR1FVKilDoTf15gEP2&#10;mESzZ+PuUdO37wpCL4eZ+YZZrAbXqSuF2Ho2MJ1koIgrb1uuDex369c5qCjIFjvPZOCXIqyWT6MF&#10;FtbfeEPXrdQqQTgWaKAR6QutY9WQwzjxPXHyDj44lCRDrW3AW4K7TudZ9qYdtpwWGuypbKg6bS/O&#10;wFnG83L2c5LP8J1Tf77447r0xrw8Dx/voIQG+Q8/2l/WQD7N4X4mHQG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yWJjEAAAA3AAAAA8AAAAAAAAAAAAAAAAAmAIAAGRycy9k&#10;b3ducmV2LnhtbFBLBQYAAAAABAAEAPUAAACJAwAAAAA=&#10;" fillcolor="white [3201]" strokecolor="#00b2a9 [3204]" strokeweight="2pt">
              <v:textbox inset="2mm,2mm,2mm,2mm">
                <w:txbxContent>
                  <w:p w:rsidR="008915F8" w:rsidRDefault="008915F8" w:rsidP="004F7D03">
                    <w:pPr>
                      <w:pStyle w:val="NormalWeb"/>
                      <w:kinsoku w:val="0"/>
                      <w:overflowPunct w:val="0"/>
                      <w:jc w:val="center"/>
                      <w:textAlignment w:val="baseline"/>
                    </w:pPr>
                    <w:r>
                      <w:rPr>
                        <w:rFonts w:asciiTheme="majorHAnsi" w:hAnsi="Georgia" w:cs="Arial"/>
                        <w:kern w:val="24"/>
                        <w:sz w:val="16"/>
                        <w:szCs w:val="16"/>
                      </w:rPr>
                      <w:t>Conduct mandatory inspections</w:t>
                    </w:r>
                  </w:p>
                </w:txbxContent>
              </v:textbox>
            </v:shape>
            <v:shape id="Text Box 20" o:spid="_x0000_s1069" type="#_x0000_t202" style="position:absolute;left:34449;top:60529;width:14760;height:5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9A8UA&#10;AADcAAAADwAAAGRycy9kb3ducmV2LnhtbESP3WrCQBSE7wu+w3KE3hTdmGKR1FVKilDojT99gEP2&#10;mKRmz8bdo6Zv3xUKvRxm5htmuR5cp64UYuvZwGyagSKuvG25NvB12EwWoKIgW+w8k4EfirBejR6W&#10;WFh/4x1d91KrBOFYoIFGpC+0jlVDDuPU98TJO/rgUJIMtbYBbwnuOp1n2Yt22HJaaLCnsqHqtL84&#10;A2d5WpTz7Unew2dO/fnivzelN+ZxPLy9ghIa5D/81/6wBvLZM9zPpCO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vv0DxQAAANwAAAAPAAAAAAAAAAAAAAAAAJgCAABkcnMv&#10;ZG93bnJldi54bWxQSwUGAAAAAAQABAD1AAAAigMAAAAA&#10;" fillcolor="white [3201]" strokecolor="#00b2a9 [3204]" strokeweight="2pt">
              <v:textbox inset="2mm,2mm,2mm,2mm">
                <w:txbxContent>
                  <w:p w:rsidR="008915F8" w:rsidRDefault="008915F8" w:rsidP="004F7D03">
                    <w:pPr>
                      <w:pStyle w:val="NormalWeb"/>
                      <w:kinsoku w:val="0"/>
                      <w:overflowPunct w:val="0"/>
                      <w:jc w:val="center"/>
                      <w:textAlignment w:val="baseline"/>
                    </w:pPr>
                    <w:r>
                      <w:rPr>
                        <w:rFonts w:asciiTheme="majorHAnsi" w:hAnsi="Georgia" w:cs="Arial"/>
                        <w:kern w:val="24"/>
                        <w:sz w:val="16"/>
                        <w:szCs w:val="16"/>
                      </w:rPr>
                      <w:t>Issue occupancy permit or certificate of final inspection</w:t>
                    </w:r>
                  </w:p>
                </w:txbxContent>
              </v:textbox>
            </v:shape>
            <v:shapetype id="_x0000_t33" coordsize="21600,21600" o:spt="33" o:oned="t" path="m,l21600,r,21600e" filled="f">
              <v:stroke joinstyle="miter"/>
              <v:path arrowok="t" fillok="f" o:connecttype="none"/>
              <o:lock v:ext="edit" shapetype="t"/>
            </v:shapetype>
            <v:shape id="Elbow Connector 214" o:spid="_x0000_s1070" type="#_x0000_t33" style="position:absolute;left:15426;top:9425;width:9511;height:2036;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b1HMYAAADcAAAADwAAAGRycy9kb3ducmV2LnhtbESPQWvCQBSE74X+h+UJ3uomKk2JrqJC&#10;oWIR1IIeH9lnEsy+DdltEv+9Wyh4HGbmG2a+7E0lWmpcaVlBPIpAEGdWl5wr+Dl9vn2AcB5ZY2WZ&#10;FNzJwXLx+jLHVNuOD9QefS4ChF2KCgrv61RKlxVk0I1sTRy8q20M+iCbXOoGuwA3lRxH0bs0WHJY&#10;KLCmTUHZ7fhrFKw37fU8NbfvSbfaX5LtehfvfaLUcNCvZiA89f4Z/m9/aQXjeAp/Z8IRkI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xm9RzGAAAA3AAAAA8AAAAAAAAA&#10;AAAAAAAAoQIAAGRycy9kb3ducmV2LnhtbFBLBQYAAAAABAAEAPkAAACUAwAAAAA=&#10;" strokecolor="#642667 [3215]">
              <v:stroke endarrow="open"/>
            </v:shape>
            <v:shape id="Elbow Connector 215" o:spid="_x0000_s1071" type="#_x0000_t33" style="position:absolute;left:15426;top:9425;width:26403;height:2036;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jtlMMAAADcAAAADwAAAGRycy9kb3ducmV2LnhtbESPQYvCMBSE78L+h/AWvGnagrLbNYoI&#10;ohcPVmGvb5tnW2xeShK1+uuNIOxxmJlvmNmiN624kvONZQXpOAFBXFrdcKXgeFiPvkD4gKyxtUwK&#10;7uRhMf8YzDDX9sZ7uhahEhHCPkcFdQhdLqUvazLox7Yjjt7JOoMhSldJ7fAW4aaVWZJMpcGG40KN&#10;Ha1qKs/FxSjY+SLNNr/T7fLh/g6l9t/79V0rNfzslz8gAvXhP/xub7WCLJ3A60w8AnL+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Y7ZTDAAAA3AAAAA8AAAAAAAAAAAAA&#10;AAAAoQIAAGRycy9kb3ducmV2LnhtbFBLBQYAAAAABAAEAPkAAACRAwAAAAA=&#10;" strokecolor="#201547 [3206]">
              <v:stroke endarrow="open"/>
            </v:shape>
            <v:shape id="Elbow Connector 216" o:spid="_x0000_s1072" type="#_x0000_t33" style="position:absolute;left:7380;top:14161;width:10177;height:10073;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31SsEAAADcAAAADwAAAGRycy9kb3ducmV2LnhtbESPT4vCMBTE78J+h/AWvNm0IuJWo8iC&#10;4NF/B4+P5m1bt3kpSTT125uFBY/DzPyGWW0G04kHOd9aVlBkOQjiyuqWawWX826yAOEDssbOMil4&#10;kofN+mO0wlLbyEd6nEItEoR9iQqaEPpSSl81ZNBntidO3o91BkOSrpbaYUxw08lpns+lwZbTQoM9&#10;fTdU/Z7uRsHXtbjt2El9jLFrsXhuDzOKSo0/h+0SRKAhvMP/7b1WMC3m8HcmHQG5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6DfVKwQAAANwAAAAPAAAAAAAAAAAAAAAA&#10;AKECAABkcnMvZG93bnJldi54bWxQSwUGAAAAAAQABAD5AAAAjwMAAAAA&#10;" strokecolor="#201547 [3206]">
              <v:stroke endarrow="open"/>
            </v:shape>
            <v:shape id="Elbow Connector 217" o:spid="_x0000_s1073" type="#_x0000_t33" style="position:absolute;left:7380;top:22114;width:27069;height:2120;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FQ0cEAAADcAAAADwAAAGRycy9kb3ducmV2LnhtbESPT4vCMBTE78J+h/AWvGlaEd2tRpEF&#10;waP/Dnt8NG/bus1LSaKp394IgsdhZn7DLNe9acWNnG8sK8jHGQji0uqGKwXn03b0BcIHZI2tZVJw&#10;Jw/r1cdgiYW2kQ90O4ZKJAj7AhXUIXSFlL6syaAf2444eX/WGQxJukpqhzHBTSsnWTaTBhtOCzV2&#10;9FNT+X+8GgXfv/lly07qQ4xtg/l9s59SVGr42W8WIAL14R1+tXdawSSfw/NMOgJy9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QVDRwQAAANwAAAAPAAAAAAAAAAAAAAAA&#10;AKECAABkcnMvZG93bnJldi54bWxQSwUGAAAAAAQABAD5AAAAjwMAAAAA&#10;" strokecolor="#201547 [3206]">
              <v:stroke endarrow="open"/>
            </v:shape>
            <v:shape id="Straight Arrow Connector 218" o:spid="_x0000_s1074" type="#_x0000_t32" style="position:absolute;left:41829;top:16861;width:0;height:255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cPhr8AAADcAAAADwAAAGRycy9kb3ducmV2LnhtbERPTWsCMRC9F/wPYQRvNbsKUlajiFJa&#10;aBG0Ba/DZtxd3EyWZKrpv28OQo+P973aJNerG4XYeTZQTgtQxLW3HTcGvr9en19ARUG22HsmA78U&#10;YbMePa2wsv7OR7qdpFE5hGOFBlqRodI61i05jFM/EGfu4oNDyTA02ga853DX61lRLLTDjnNDiwPt&#10;Wqqvpx9nYJ44iHYXW6by420vn4czNWTMZJy2S1BCSf7FD/e7NTAr89p8Jh8Bvf4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KcPhr8AAADcAAAADwAAAAAAAAAAAAAAAACh&#10;AgAAZHJzL2Rvd25yZXYueG1sUEsFBgAAAAAEAAQA+QAAAI0DAAAAAA==&#10;" strokecolor="#201547 [3206]">
              <v:stroke endarrow="open"/>
            </v:shape>
            <v:shape id="Straight Arrow Connector 219" o:spid="_x0000_s1075" type="#_x0000_t32" style="position:absolute;left:14760;top:41452;width:1968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qHcMAAADcAAAADwAAAGRycy9kb3ducmV2LnhtbESPUWsCMRCE3wv+h7BC32ruFEp7NUpR&#10;xEJLoSr0dbmsd0cvmyNZNf33TUHwcZiZb5j5MrlenSnEzrOBclKAIq697bgxcNhvHp5ARUG22Hsm&#10;A78UYbkY3c2xsv7CX3TeSaMyhGOFBlqRodI61i05jBM/EGfv6INDyTI02ga8ZLjr9bQoHrXDjvNC&#10;iwOtWqp/didnYJY4iHZHW6byfbuWj89vasiY+3F6fQEllOQWvrbfrIFp+Qz/Z/IR0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qh3DAAAA3AAAAA8AAAAAAAAAAAAA&#10;AAAAoQIAAGRycy9kb3ducmV2LnhtbFBLBQYAAAAABAAEAPkAAACRAwAAAAA=&#10;" strokecolor="#201547 [3206]">
              <v:stroke endarrow="open"/>
            </v:shape>
            <v:shape id="Elbow Connector 221" o:spid="_x0000_s1076" type="#_x0000_t33" style="position:absolute;left:18635;top:40156;width:4559;height:27069;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2WTcQAAADcAAAADwAAAGRycy9kb3ducmV2LnhtbESPQWvCQBSE70L/w/KEXkQ3RpA2uglt&#10;pejV2EO9PbLPbDD7NmTXmP77rlDocZiZb5htMdpWDNT7xrGC5SIBQVw53XCt4Ov0OX8B4QOyxtYx&#10;KfghD0X+NNlipt2djzSUoRYRwj5DBSaELpPSV4Ys+oXriKN3cb3FEGVfS93jPcJtK9MkWUuLDccF&#10;gx19GKqu5c0qcOXu9t2Nq/N7MK+z8rTbN4NmpZ6n49sGRKAx/If/2getIE2X8DgTj4DM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HZZNxAAAANwAAAAPAAAAAAAAAAAA&#10;AAAAAKECAABkcnMvZG93bnJldi54bWxQSwUGAAAAAAQABAD5AAAAkgMAAAAA&#10;" strokecolor="#201547 [3206]">
              <v:stroke endarrow="open"/>
            </v:shape>
            <v:shape id="Straight Arrow Connector 222" o:spid="_x0000_s1077" type="#_x0000_t32" style="position:absolute;left:14760;top:48711;width:1968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iAwMUAAADcAAAADwAAAGRycy9kb3ducmV2LnhtbESPT2sCMRTE70K/Q3gFb5p0wSKrUaSg&#10;ePBS/7R4e26eu6ubl3WT6vbbG0HwOMzMb5jxtLWVuFLjS8caPvoKBHHmTMm5hu1m3huC8AHZYOWY&#10;NPyTh+nkrTPG1Lgbf9N1HXIRIexT1FCEUKdS+qwgi77vauLoHV1jMUTZ5NI0eItwW8lEqU9pseS4&#10;UGBNXwVl5/Wf1XAYqNVOZcNTu6Pf7b5e/swuYaF1972djUAEasMr/GwvjYYkSeBxJh4BOb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UiAwMUAAADcAAAADwAAAAAAAAAA&#10;AAAAAAChAgAAZHJzL2Rvd25yZXYueG1sUEsFBgAAAAAEAAQA+QAAAJMDAAAAAA==&#10;" strokecolor="#201547 [3206]">
              <v:stroke endarrow="open"/>
            </v:shape>
            <v:shape id="Straight Arrow Connector 223" o:spid="_x0000_s1078" type="#_x0000_t32" style="position:absolute;left:41829;top:58670;width:0;height:185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9XSsMAAADcAAAADwAAAGRycy9kb3ducmV2LnhtbESPUWsCMRCE3wv9D2ELfau5O6GUq1Gk&#10;RVpoEapCX5fLend42RzJqum/bwTBx2FmvmFmi+QGdaIQe88GykkBirjxtufWwG67enoBFQXZ4uCZ&#10;DPxRhMX8/m6GtfVn/qHTRlqVIRxrNNCJjLXWsenIYZz4kTh7ex8cSpah1TbgOcPdoKuieNYOe84L&#10;HY701lFz2BydgWniINrtbZnKr493+V7/UkvGPD6k5SsooSS38LX9aQ1U1RQuZ/IR0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vV0rDAAAA3AAAAA8AAAAAAAAAAAAA&#10;AAAAoQIAAGRycy9kb3ducmV2LnhtbFBLBQYAAAAABAAEAPkAAACRAwAAAAA=&#10;" strokecolor="#201547 [3206]">
              <v:stroke endarrow="open"/>
            </v:shape>
            <w10:wrap type="none"/>
            <w10:anchorlock/>
          </v:group>
        </w:pict>
      </w:r>
    </w:p>
    <w:p w:rsidR="00060570" w:rsidRDefault="00060570" w:rsidP="006119D2">
      <w:pPr>
        <w:pStyle w:val="Caption"/>
        <w:jc w:val="center"/>
      </w:pPr>
      <w:r w:rsidRPr="00427EE1">
        <w:t xml:space="preserve">Figure </w:t>
      </w:r>
      <w:r w:rsidR="00AA4331">
        <w:fldChar w:fldCharType="begin"/>
      </w:r>
      <w:r w:rsidR="00AA4331">
        <w:instrText xml:space="preserve"> SEQ Figure \* ARABIC </w:instrText>
      </w:r>
      <w:r w:rsidR="00AA4331">
        <w:fldChar w:fldCharType="separate"/>
      </w:r>
      <w:r w:rsidR="00B30389">
        <w:rPr>
          <w:noProof/>
        </w:rPr>
        <w:t>2</w:t>
      </w:r>
      <w:r w:rsidR="00AA4331">
        <w:rPr>
          <w:noProof/>
        </w:rPr>
        <w:fldChar w:fldCharType="end"/>
      </w:r>
      <w:r w:rsidRPr="00427EE1">
        <w:t>: Building permit process</w:t>
      </w:r>
    </w:p>
    <w:p w:rsidR="008E61C7" w:rsidRPr="00427EE1" w:rsidRDefault="004F7D03" w:rsidP="006119D2">
      <w:pPr>
        <w:pStyle w:val="Source"/>
        <w:jc w:val="center"/>
      </w:pPr>
      <w:r w:rsidRPr="00427EE1">
        <w:t>Source: Victorian Competition and Efficiency Commission 2005,</w:t>
      </w:r>
      <w:r w:rsidR="00AF3E4D">
        <w:t xml:space="preserve"> </w:t>
      </w:r>
      <w:r w:rsidR="00AC1A59" w:rsidRPr="00AC1A59">
        <w:rPr>
          <w:i/>
        </w:rPr>
        <w:t>Housing regulation in Victoria: building better outcomes</w:t>
      </w:r>
      <w:r w:rsidRPr="00427EE1">
        <w:t>, p 140.</w:t>
      </w:r>
    </w:p>
    <w:p w:rsidR="008E61C7" w:rsidRPr="00427EE1" w:rsidRDefault="008E61C7" w:rsidP="008E61C7"/>
    <w:p w:rsidR="002D5E35" w:rsidRDefault="002D5E35">
      <w:pPr>
        <w:spacing w:after="0"/>
      </w:pPr>
      <w:r>
        <w:br w:type="page"/>
      </w:r>
    </w:p>
    <w:p w:rsidR="00E657D7" w:rsidRDefault="004F7D03">
      <w:pPr>
        <w:pStyle w:val="Normalpre-dotpoint"/>
      </w:pPr>
      <w:r w:rsidRPr="00427EE1">
        <w:lastRenderedPageBreak/>
        <w:t>In</w:t>
      </w:r>
      <w:r w:rsidR="00D71A15" w:rsidRPr="00427EE1">
        <w:t xml:space="preserve"> </w:t>
      </w:r>
      <w:r w:rsidRPr="00427EE1">
        <w:t>20</w:t>
      </w:r>
      <w:r w:rsidR="0023395A">
        <w:t>15–</w:t>
      </w:r>
      <w:r w:rsidRPr="00427EE1">
        <w:t>16</w:t>
      </w:r>
      <w:r w:rsidR="00D71A15" w:rsidRPr="00427EE1">
        <w:t xml:space="preserve"> </w:t>
      </w:r>
      <w:r w:rsidRPr="00427EE1">
        <w:t>there were:</w:t>
      </w:r>
    </w:p>
    <w:p w:rsidR="00D615BC" w:rsidRPr="00427EE1" w:rsidRDefault="004F7D03" w:rsidP="00353E2A">
      <w:pPr>
        <w:pStyle w:val="Dotpoint"/>
      </w:pPr>
      <w:r w:rsidRPr="00427EE1">
        <w:t xml:space="preserve">110,069 building permits reported in Victoria (an increase of </w:t>
      </w:r>
      <w:r w:rsidR="00CC5EF6">
        <w:t xml:space="preserve">about </w:t>
      </w:r>
      <w:r w:rsidRPr="00427EE1">
        <w:t>4.5</w:t>
      </w:r>
      <w:r w:rsidR="00D90FC3">
        <w:t>%</w:t>
      </w:r>
      <w:r w:rsidRPr="00427EE1">
        <w:t xml:space="preserve"> on the previous year)</w:t>
      </w:r>
    </w:p>
    <w:p w:rsidR="004F7D03" w:rsidRPr="00427EE1" w:rsidRDefault="004F7D03" w:rsidP="00353E2A">
      <w:pPr>
        <w:pStyle w:val="Dotpoint"/>
      </w:pPr>
      <w:r w:rsidRPr="00427EE1">
        <w:t>$31.5 billion building permit cost of works (an increase of</w:t>
      </w:r>
      <w:r w:rsidR="00D71A15" w:rsidRPr="00427EE1">
        <w:t xml:space="preserve"> </w:t>
      </w:r>
      <w:r w:rsidRPr="00427EE1">
        <w:t>12.5</w:t>
      </w:r>
      <w:r w:rsidR="00D90FC3">
        <w:t>%</w:t>
      </w:r>
      <w:r w:rsidRPr="00427EE1">
        <w:t xml:space="preserve"> on the previous year)</w:t>
      </w:r>
    </w:p>
    <w:p w:rsidR="004F7D03" w:rsidRPr="00427EE1" w:rsidRDefault="004F7D03" w:rsidP="00353E2A">
      <w:pPr>
        <w:pStyle w:val="Dotpointlast"/>
      </w:pPr>
      <w:r w:rsidRPr="00427EE1">
        <w:t>48,872 registered and/or licensed building and plumbing practitioners.</w:t>
      </w:r>
      <w:r w:rsidRPr="00427EE1">
        <w:rPr>
          <w:rStyle w:val="FootnoteReference"/>
          <w:color w:val="auto"/>
        </w:rPr>
        <w:footnoteReference w:id="13"/>
      </w:r>
    </w:p>
    <w:p w:rsidR="001308BE" w:rsidRPr="00C14778" w:rsidRDefault="00C14778" w:rsidP="00C14778">
      <w:pPr>
        <w:pStyle w:val="Heading2"/>
      </w:pPr>
      <w:bookmarkStart w:id="17" w:name="_Toc481501557"/>
      <w:r w:rsidRPr="00C14778">
        <w:t>1.2</w:t>
      </w:r>
      <w:r w:rsidRPr="00C14778">
        <w:tab/>
      </w:r>
      <w:r w:rsidR="00E5237C" w:rsidRPr="00C14778">
        <w:t>Responsibility</w:t>
      </w:r>
      <w:r w:rsidR="001308BE" w:rsidRPr="00C14778">
        <w:t xml:space="preserve"> for implement</w:t>
      </w:r>
      <w:r w:rsidR="00CC5EF6" w:rsidRPr="00C14778">
        <w:t xml:space="preserve">ing </w:t>
      </w:r>
      <w:r w:rsidR="001308BE" w:rsidRPr="00C14778">
        <w:t xml:space="preserve">the </w:t>
      </w:r>
      <w:r w:rsidR="00CC5EF6" w:rsidRPr="00C14778">
        <w:t>R</w:t>
      </w:r>
      <w:r w:rsidR="001308BE" w:rsidRPr="00C14778">
        <w:t>egulations</w:t>
      </w:r>
      <w:bookmarkEnd w:id="17"/>
    </w:p>
    <w:p w:rsidR="00C50858" w:rsidRPr="00427EE1" w:rsidRDefault="00A14EA0" w:rsidP="00353E2A">
      <w:r>
        <w:t>VBA</w:t>
      </w:r>
      <w:r w:rsidR="00532A16" w:rsidRPr="00427EE1">
        <w:t xml:space="preserve">, as the regulator, plays a major part in enforcing the </w:t>
      </w:r>
      <w:r w:rsidR="000273F9">
        <w:t>Regulation</w:t>
      </w:r>
      <w:r w:rsidR="00C50858" w:rsidRPr="00427EE1">
        <w:t xml:space="preserve">s. The other major players in regulating </w:t>
      </w:r>
      <w:r w:rsidR="00E5237C" w:rsidRPr="00427EE1">
        <w:t>building</w:t>
      </w:r>
      <w:r w:rsidR="00C50858" w:rsidRPr="00427EE1">
        <w:t xml:space="preserve"> in Victoria are councils</w:t>
      </w:r>
      <w:r w:rsidR="00532A16" w:rsidRPr="00427EE1">
        <w:t xml:space="preserve">, Energy Safe Victoria, </w:t>
      </w:r>
      <w:r w:rsidR="00CC5EF6">
        <w:t xml:space="preserve">the </w:t>
      </w:r>
      <w:r w:rsidR="00195602">
        <w:t>c</w:t>
      </w:r>
      <w:r w:rsidR="00532A16" w:rsidRPr="00427EE1">
        <w:t xml:space="preserve">hief </w:t>
      </w:r>
      <w:r w:rsidR="00195602">
        <w:t>o</w:t>
      </w:r>
      <w:r w:rsidR="00532A16" w:rsidRPr="00427EE1">
        <w:t>fficer</w:t>
      </w:r>
      <w:r w:rsidR="00CC5EF6">
        <w:t xml:space="preserve">s of MFB and CFA </w:t>
      </w:r>
      <w:r w:rsidR="00532A16" w:rsidRPr="00427EE1">
        <w:t>and building surveyors</w:t>
      </w:r>
      <w:r w:rsidR="00C50858" w:rsidRPr="00427EE1">
        <w:t>.</w:t>
      </w:r>
    </w:p>
    <w:p w:rsidR="00C50858" w:rsidRPr="00427EE1" w:rsidRDefault="00C50858" w:rsidP="00353E2A">
      <w:pPr>
        <w:pStyle w:val="Normalpre-dotpoint"/>
      </w:pPr>
      <w:r w:rsidRPr="00427EE1">
        <w:t xml:space="preserve">Other regulatory mechanisms </w:t>
      </w:r>
      <w:r w:rsidR="00CC5EF6">
        <w:t xml:space="preserve">that affect </w:t>
      </w:r>
      <w:r w:rsidRPr="00427EE1">
        <w:t xml:space="preserve">the industry </w:t>
      </w:r>
      <w:r w:rsidR="00CC5EF6">
        <w:t>are</w:t>
      </w:r>
      <w:r w:rsidRPr="00427EE1">
        <w:t>:</w:t>
      </w:r>
    </w:p>
    <w:p w:rsidR="00C50858" w:rsidRPr="00427EE1" w:rsidRDefault="00AC1A59" w:rsidP="00353E2A">
      <w:pPr>
        <w:pStyle w:val="Dotpoint"/>
      </w:pPr>
      <w:r w:rsidRPr="00AC1A59">
        <w:rPr>
          <w:i/>
        </w:rPr>
        <w:t>Planning and Environment Act 1987</w:t>
      </w:r>
    </w:p>
    <w:p w:rsidR="00532A16" w:rsidRPr="00427EE1" w:rsidRDefault="00AC1A59" w:rsidP="00353E2A">
      <w:pPr>
        <w:pStyle w:val="Dotpoint"/>
      </w:pPr>
      <w:r w:rsidRPr="00AC1A59">
        <w:rPr>
          <w:i/>
        </w:rPr>
        <w:t>Major Domestic Building Contracts Act 1995</w:t>
      </w:r>
    </w:p>
    <w:p w:rsidR="00C50858" w:rsidRPr="00427EE1" w:rsidRDefault="00C50858" w:rsidP="00353E2A">
      <w:pPr>
        <w:pStyle w:val="Dotpoint"/>
      </w:pPr>
      <w:r w:rsidRPr="00427EE1">
        <w:t>domestic building insurance provisions</w:t>
      </w:r>
    </w:p>
    <w:p w:rsidR="00532A16" w:rsidRPr="00427EE1" w:rsidRDefault="00532A16" w:rsidP="00353E2A">
      <w:pPr>
        <w:pStyle w:val="Dotpoint"/>
      </w:pPr>
      <w:r w:rsidRPr="00427EE1">
        <w:t>consumer protection arrangements</w:t>
      </w:r>
    </w:p>
    <w:p w:rsidR="00C50858" w:rsidRPr="00427EE1" w:rsidRDefault="00C50858" w:rsidP="00353E2A">
      <w:pPr>
        <w:pStyle w:val="Dotpointlast"/>
      </w:pPr>
      <w:r w:rsidRPr="00427EE1">
        <w:t>public health and safety controls.</w:t>
      </w:r>
    </w:p>
    <w:p w:rsidR="004F7D03" w:rsidRPr="00427EE1" w:rsidRDefault="00C14778" w:rsidP="00C14778">
      <w:pPr>
        <w:pStyle w:val="Heading3"/>
      </w:pPr>
      <w:bookmarkStart w:id="18" w:name="_Toc481501558"/>
      <w:r>
        <w:t>1.2.1</w:t>
      </w:r>
      <w:r>
        <w:tab/>
      </w:r>
      <w:r w:rsidR="004F7D03" w:rsidRPr="00427EE1">
        <w:t>Victorian Building Authority</w:t>
      </w:r>
      <w:r w:rsidR="006A1733">
        <w:t xml:space="preserve"> role</w:t>
      </w:r>
      <w:bookmarkEnd w:id="18"/>
    </w:p>
    <w:p w:rsidR="00D615BC" w:rsidRPr="00427EE1" w:rsidRDefault="00A14EA0" w:rsidP="00A1789F">
      <w:r>
        <w:t>VBA</w:t>
      </w:r>
      <w:r w:rsidR="004F7D03" w:rsidRPr="00427EE1">
        <w:t xml:space="preserve"> is a statutory authority that oversees building control in Victoria. </w:t>
      </w:r>
      <w:r>
        <w:t>VBA</w:t>
      </w:r>
      <w:r w:rsidR="004F7D03" w:rsidRPr="00427EE1">
        <w:t xml:space="preserve"> </w:t>
      </w:r>
      <w:r w:rsidR="009F2088" w:rsidRPr="00427EE1">
        <w:t xml:space="preserve">was established </w:t>
      </w:r>
      <w:r w:rsidR="004F7D03" w:rsidRPr="00427EE1">
        <w:t xml:space="preserve">on 1 July 2013 </w:t>
      </w:r>
      <w:r w:rsidR="009F2088" w:rsidRPr="00427EE1">
        <w:t xml:space="preserve">and assumed the </w:t>
      </w:r>
      <w:r w:rsidR="004F7D03" w:rsidRPr="00427EE1">
        <w:t xml:space="preserve">functions </w:t>
      </w:r>
      <w:r w:rsidR="00CC5EF6">
        <w:t xml:space="preserve">of </w:t>
      </w:r>
      <w:r w:rsidR="004F7D03" w:rsidRPr="00427EE1">
        <w:t>the Building Commission and the Plumbing Industry Commission.</w:t>
      </w:r>
    </w:p>
    <w:p w:rsidR="004F7D03" w:rsidRPr="00427EE1" w:rsidRDefault="009F2088" w:rsidP="00A1789F">
      <w:pPr>
        <w:pStyle w:val="Normalpre-dotpoint"/>
      </w:pPr>
      <w:r w:rsidRPr="00427EE1">
        <w:t xml:space="preserve">The building-related functions of </w:t>
      </w:r>
      <w:r w:rsidR="0049530B">
        <w:t xml:space="preserve">the </w:t>
      </w:r>
      <w:r w:rsidR="00720C4E">
        <w:t>VBA</w:t>
      </w:r>
      <w:r w:rsidRPr="00427EE1">
        <w:t xml:space="preserve"> </w:t>
      </w:r>
      <w:r w:rsidR="004F7D03" w:rsidRPr="00427EE1">
        <w:t xml:space="preserve">set out in </w:t>
      </w:r>
      <w:r w:rsidR="0023395A">
        <w:t xml:space="preserve">s </w:t>
      </w:r>
      <w:r w:rsidRPr="00427EE1">
        <w:t xml:space="preserve">197 </w:t>
      </w:r>
      <w:r w:rsidR="004F7D03" w:rsidRPr="00427EE1">
        <w:t>of the</w:t>
      </w:r>
      <w:r w:rsidR="00454D16" w:rsidRPr="00427EE1">
        <w:t xml:space="preserve"> </w:t>
      </w:r>
      <w:r w:rsidR="004F7D03" w:rsidRPr="00427EE1">
        <w:t>Act are</w:t>
      </w:r>
      <w:r w:rsidR="00CC5EF6">
        <w:t xml:space="preserve"> to:</w:t>
      </w:r>
    </w:p>
    <w:p w:rsidR="004F7D03" w:rsidRPr="00427EE1" w:rsidRDefault="004F7D03" w:rsidP="00A1789F">
      <w:pPr>
        <w:pStyle w:val="Dotpoint"/>
      </w:pPr>
      <w:r w:rsidRPr="00427EE1">
        <w:t xml:space="preserve">monitor and enforce compliance with the provisions of </w:t>
      </w:r>
      <w:r w:rsidR="009F2088" w:rsidRPr="00427EE1">
        <w:t xml:space="preserve">the </w:t>
      </w:r>
      <w:r w:rsidRPr="00427EE1">
        <w:t>Act and Regulations</w:t>
      </w:r>
    </w:p>
    <w:p w:rsidR="004F7D03" w:rsidRPr="00427EE1" w:rsidRDefault="004F7D03" w:rsidP="00A1789F">
      <w:pPr>
        <w:pStyle w:val="Dotpoint"/>
      </w:pPr>
      <w:r w:rsidRPr="00427EE1">
        <w:t xml:space="preserve">administer the scheme under </w:t>
      </w:r>
      <w:r w:rsidR="008911CB">
        <w:t>pt.</w:t>
      </w:r>
      <w:r w:rsidRPr="00427EE1">
        <w:t xml:space="preserve"> 11 for the registration of building practitioners</w:t>
      </w:r>
    </w:p>
    <w:p w:rsidR="004F7D03" w:rsidRPr="00427EE1" w:rsidRDefault="004F7D03" w:rsidP="00A1789F">
      <w:pPr>
        <w:pStyle w:val="Dotpoint"/>
      </w:pPr>
      <w:r w:rsidRPr="00427EE1">
        <w:t>supervise and monitor the conduct and ability to practise of registered building practitioners</w:t>
      </w:r>
    </w:p>
    <w:p w:rsidR="004F7D03" w:rsidRPr="00427EE1" w:rsidRDefault="004F7D03" w:rsidP="00A1789F">
      <w:pPr>
        <w:pStyle w:val="Dotpoint"/>
      </w:pPr>
      <w:r w:rsidRPr="00427EE1">
        <w:t>make recommendations to the Minister about the qualifications for registration of building practitioners</w:t>
      </w:r>
    </w:p>
    <w:p w:rsidR="004F7D03" w:rsidRPr="00427EE1" w:rsidRDefault="004F7D03" w:rsidP="00A1789F">
      <w:pPr>
        <w:pStyle w:val="Dotpoint"/>
      </w:pPr>
      <w:r w:rsidRPr="00427EE1">
        <w:t>issue certificates of consent to owner</w:t>
      </w:r>
      <w:r w:rsidR="007C5A88">
        <w:t>-</w:t>
      </w:r>
      <w:r w:rsidRPr="00427EE1">
        <w:t>builders</w:t>
      </w:r>
    </w:p>
    <w:p w:rsidR="004F7D03" w:rsidRPr="00427EE1" w:rsidRDefault="004F7D03" w:rsidP="00A1789F">
      <w:pPr>
        <w:pStyle w:val="Dotpoint"/>
      </w:pPr>
      <w:r w:rsidRPr="00427EE1">
        <w:t>participate on behalf of Victoria in the development of national building standards</w:t>
      </w:r>
    </w:p>
    <w:p w:rsidR="004F7D03" w:rsidRPr="00427EE1" w:rsidRDefault="004F7D03" w:rsidP="00A1789F">
      <w:pPr>
        <w:pStyle w:val="Dotpoint"/>
      </w:pPr>
      <w:r w:rsidRPr="00427EE1">
        <w:t>monitor developments relevant to the regulation of building standards in Victoria</w:t>
      </w:r>
    </w:p>
    <w:p w:rsidR="009F2088" w:rsidRPr="00427EE1" w:rsidRDefault="009F2088" w:rsidP="00A1789F">
      <w:pPr>
        <w:pStyle w:val="Dotpoint"/>
      </w:pPr>
      <w:r w:rsidRPr="00427EE1">
        <w:t xml:space="preserve">provide information (including to consumers) </w:t>
      </w:r>
      <w:r w:rsidR="00CC5EF6">
        <w:t xml:space="preserve">about </w:t>
      </w:r>
      <w:r w:rsidRPr="00427EE1">
        <w:t>matters relating to building standards, the regulation of buildings, and building work and building practitioners</w:t>
      </w:r>
    </w:p>
    <w:p w:rsidR="009F2088" w:rsidRPr="00427EE1" w:rsidRDefault="009F2088" w:rsidP="00A1789F">
      <w:pPr>
        <w:pStyle w:val="Dotpoint"/>
      </w:pPr>
      <w:r w:rsidRPr="00427EE1">
        <w:t xml:space="preserve">provide information and training to assist persons and bodies in carrying out functions under the Act </w:t>
      </w:r>
      <w:r w:rsidR="00CC5EF6">
        <w:t xml:space="preserve">and </w:t>
      </w:r>
      <w:r w:rsidR="008911CB">
        <w:t>R</w:t>
      </w:r>
      <w:r w:rsidRPr="00427EE1">
        <w:t>egulations</w:t>
      </w:r>
    </w:p>
    <w:p w:rsidR="009F2088" w:rsidRPr="00427EE1" w:rsidRDefault="009F2088" w:rsidP="00A1789F">
      <w:pPr>
        <w:pStyle w:val="Dotpoint"/>
      </w:pPr>
      <w:r w:rsidRPr="00427EE1">
        <w:t xml:space="preserve">promote the resolution of consumer </w:t>
      </w:r>
      <w:r w:rsidR="007254A4" w:rsidRPr="00427EE1">
        <w:t>complaints</w:t>
      </w:r>
      <w:r w:rsidRPr="00427EE1">
        <w:t xml:space="preserve"> about work carried out by builders</w:t>
      </w:r>
    </w:p>
    <w:p w:rsidR="009F2088" w:rsidRPr="00427EE1" w:rsidRDefault="009F2088" w:rsidP="00A1789F">
      <w:pPr>
        <w:pStyle w:val="Dotpoint"/>
      </w:pPr>
      <w:r w:rsidRPr="00427EE1">
        <w:t>conduct or promote research relating to th</w:t>
      </w:r>
      <w:r w:rsidR="007254A4" w:rsidRPr="00427EE1">
        <w:t>e</w:t>
      </w:r>
      <w:r w:rsidRPr="00427EE1">
        <w:t xml:space="preserve"> regulation</w:t>
      </w:r>
      <w:r w:rsidR="007254A4" w:rsidRPr="00427EE1">
        <w:t xml:space="preserve"> of</w:t>
      </w:r>
      <w:r w:rsidRPr="00427EE1">
        <w:t xml:space="preserve"> the building industry in Victoria and to report on the ou</w:t>
      </w:r>
      <w:r w:rsidR="007254A4" w:rsidRPr="00427EE1">
        <w:t>t</w:t>
      </w:r>
      <w:r w:rsidRPr="00427EE1">
        <w:t>comes of this research</w:t>
      </w:r>
      <w:r w:rsidR="007254A4" w:rsidRPr="00427EE1">
        <w:t xml:space="preserve"> in its report of operations under the </w:t>
      </w:r>
      <w:r w:rsidR="007254A4" w:rsidRPr="00427EE1">
        <w:rPr>
          <w:i/>
        </w:rPr>
        <w:t>Financial Management Act 1994</w:t>
      </w:r>
    </w:p>
    <w:p w:rsidR="004F7D03" w:rsidRPr="00427EE1" w:rsidRDefault="004F7D03" w:rsidP="00A1789F">
      <w:pPr>
        <w:pStyle w:val="Dotpoint"/>
      </w:pPr>
      <w:r w:rsidRPr="00427EE1">
        <w:lastRenderedPageBreak/>
        <w:t>monitor the system of collection of the building permit levy</w:t>
      </w:r>
    </w:p>
    <w:p w:rsidR="007254A4" w:rsidRPr="00427EE1" w:rsidRDefault="007254A4" w:rsidP="00A1789F">
      <w:pPr>
        <w:pStyle w:val="Dotpoint"/>
      </w:pPr>
      <w:r w:rsidRPr="00427EE1">
        <w:t xml:space="preserve">charge and collect fees (determined in accordance with the Act and </w:t>
      </w:r>
      <w:r w:rsidR="000273F9">
        <w:t>Regulation</w:t>
      </w:r>
      <w:r w:rsidRPr="00427EE1">
        <w:t xml:space="preserve">s) for information and training services provided by </w:t>
      </w:r>
      <w:r w:rsidR="00720C4E">
        <w:t>VBA</w:t>
      </w:r>
    </w:p>
    <w:p w:rsidR="004F7D03" w:rsidRPr="00427EE1" w:rsidRDefault="004F7D03" w:rsidP="00A1789F">
      <w:pPr>
        <w:pStyle w:val="Dotpoint"/>
      </w:pPr>
      <w:r w:rsidRPr="00427EE1">
        <w:t>administer the Victorian Building Authority Fund</w:t>
      </w:r>
    </w:p>
    <w:p w:rsidR="007254A4" w:rsidRPr="00427EE1" w:rsidRDefault="007254A4" w:rsidP="00A1789F">
      <w:pPr>
        <w:pStyle w:val="Dotpoint"/>
      </w:pPr>
      <w:r w:rsidRPr="00427EE1">
        <w:t>advise the Minister on the carrying</w:t>
      </w:r>
      <w:r w:rsidR="00181511">
        <w:t>-</w:t>
      </w:r>
      <w:r w:rsidRPr="00427EE1">
        <w:t xml:space="preserve">out of </w:t>
      </w:r>
      <w:r w:rsidR="00720C4E">
        <w:t>VBA</w:t>
      </w:r>
      <w:r w:rsidRPr="00427EE1">
        <w:t>’s functions, powers and duties under the Act and on any other matter referred to it by the Minister</w:t>
      </w:r>
    </w:p>
    <w:p w:rsidR="007254A4" w:rsidRPr="00427EE1" w:rsidRDefault="006C53A5" w:rsidP="00A1789F">
      <w:pPr>
        <w:pStyle w:val="Dotpointlast"/>
      </w:pPr>
      <w:r>
        <w:t>g</w:t>
      </w:r>
      <w:r w:rsidR="007254A4" w:rsidRPr="00427EE1">
        <w:t>enerally</w:t>
      </w:r>
      <w:r>
        <w:t xml:space="preserve">, </w:t>
      </w:r>
      <w:r w:rsidR="007254A4" w:rsidRPr="00427EE1">
        <w:t xml:space="preserve">carry out any other function or duty conferred on it by or under </w:t>
      </w:r>
      <w:r>
        <w:t xml:space="preserve">the Act </w:t>
      </w:r>
      <w:r w:rsidR="007254A4" w:rsidRPr="00427EE1">
        <w:t xml:space="preserve">or any other Act or under any agreement to which the </w:t>
      </w:r>
      <w:r>
        <w:t>s</w:t>
      </w:r>
      <w:r w:rsidR="007254A4" w:rsidRPr="00427EE1">
        <w:t>tate is party.</w:t>
      </w:r>
    </w:p>
    <w:p w:rsidR="006C53A5" w:rsidRDefault="004F7D03" w:rsidP="00A1789F">
      <w:pPr>
        <w:rPr>
          <w:b/>
        </w:rPr>
      </w:pPr>
      <w:r w:rsidRPr="00427EE1">
        <w:t>The Act currently establishes three statutory bodies</w:t>
      </w:r>
      <w:r w:rsidR="006C53A5">
        <w:rPr>
          <w:b/>
        </w:rPr>
        <w:t>.</w:t>
      </w:r>
    </w:p>
    <w:p w:rsidR="004F7D03" w:rsidRPr="00427EE1" w:rsidRDefault="004F7D03" w:rsidP="00A1789F">
      <w:r w:rsidRPr="00427EE1">
        <w:rPr>
          <w:b/>
        </w:rPr>
        <w:t>Building Advisory Council</w:t>
      </w:r>
      <w:r w:rsidRPr="00427EE1">
        <w:t xml:space="preserve"> </w:t>
      </w:r>
      <w:r w:rsidR="008754BE" w:rsidRPr="00427EE1">
        <w:t xml:space="preserve">– </w:t>
      </w:r>
      <w:r w:rsidR="006C53A5">
        <w:t xml:space="preserve">This is a </w:t>
      </w:r>
      <w:r w:rsidRPr="00427EE1">
        <w:t>senior</w:t>
      </w:r>
      <w:r w:rsidR="006C53A5">
        <w:t>,</w:t>
      </w:r>
      <w:r w:rsidRPr="00427EE1">
        <w:t xml:space="preserve"> industry-based advisory group that advises the Minister for Planning </w:t>
      </w:r>
      <w:r w:rsidR="006C53A5">
        <w:t xml:space="preserve">about </w:t>
      </w:r>
      <w:r w:rsidRPr="00427EE1">
        <w:t xml:space="preserve">the administration of the </w:t>
      </w:r>
      <w:r w:rsidR="008754BE" w:rsidRPr="00427EE1">
        <w:t>Act</w:t>
      </w:r>
      <w:r w:rsidR="006C53A5">
        <w:t xml:space="preserve"> (</w:t>
      </w:r>
      <w:r w:rsidRPr="00427EE1">
        <w:t xml:space="preserve">other than </w:t>
      </w:r>
      <w:r w:rsidR="008911CB">
        <w:t xml:space="preserve">pt. </w:t>
      </w:r>
      <w:r w:rsidRPr="00427EE1">
        <w:t>12A</w:t>
      </w:r>
      <w:r w:rsidR="006C53A5">
        <w:t>)</w:t>
      </w:r>
      <w:r w:rsidR="008754BE" w:rsidRPr="00427EE1">
        <w:t xml:space="preserve"> and </w:t>
      </w:r>
      <w:r w:rsidR="000273F9">
        <w:t>Regulation</w:t>
      </w:r>
      <w:r w:rsidR="008754BE" w:rsidRPr="00427EE1">
        <w:t xml:space="preserve">s, </w:t>
      </w:r>
      <w:r w:rsidRPr="00427EE1">
        <w:t>and the impact o</w:t>
      </w:r>
      <w:r w:rsidR="00131FB2">
        <w:t>n</w:t>
      </w:r>
      <w:r w:rsidR="00181511">
        <w:t xml:space="preserve"> </w:t>
      </w:r>
      <w:r w:rsidRPr="00427EE1">
        <w:t>the building regulat</w:t>
      </w:r>
      <w:r w:rsidR="00131FB2">
        <w:t>ions</w:t>
      </w:r>
      <w:r w:rsidRPr="00427EE1">
        <w:t xml:space="preserve"> system </w:t>
      </w:r>
      <w:r w:rsidR="00131FB2">
        <w:t>by Regulations made under any other Act</w:t>
      </w:r>
      <w:r w:rsidR="008754BE" w:rsidRPr="00427EE1">
        <w:t>,</w:t>
      </w:r>
      <w:r w:rsidRPr="00427EE1">
        <w:t xml:space="preserve"> issues relating to the building permit levy</w:t>
      </w:r>
      <w:r w:rsidR="008754BE" w:rsidRPr="00427EE1">
        <w:t>, and any matter referred to it by the Minister</w:t>
      </w:r>
      <w:r w:rsidRPr="00427EE1">
        <w:t>.</w:t>
      </w:r>
      <w:r w:rsidRPr="00427EE1">
        <w:rPr>
          <w:rStyle w:val="FootnoteReference"/>
          <w:rFonts w:cstheme="minorHAnsi"/>
          <w:color w:val="auto"/>
        </w:rPr>
        <w:footnoteReference w:id="14"/>
      </w:r>
    </w:p>
    <w:p w:rsidR="00D615BC" w:rsidRPr="00427EE1" w:rsidRDefault="004F7D03" w:rsidP="00A1789F">
      <w:r w:rsidRPr="00427EE1">
        <w:rPr>
          <w:b/>
        </w:rPr>
        <w:t>Building Appeals Board</w:t>
      </w:r>
      <w:r w:rsidR="00666D12">
        <w:rPr>
          <w:b/>
        </w:rPr>
        <w:t xml:space="preserve"> </w:t>
      </w:r>
      <w:r w:rsidRPr="00427EE1">
        <w:t xml:space="preserve">– </w:t>
      </w:r>
      <w:r w:rsidR="00C73FD7">
        <w:t xml:space="preserve">This is </w:t>
      </w:r>
      <w:r w:rsidRPr="00427EE1">
        <w:t>an independent statutory body that hears and determines appeals and disputes in relation to building control matters</w:t>
      </w:r>
      <w:r w:rsidR="00C73FD7">
        <w:t xml:space="preserve">. It </w:t>
      </w:r>
      <w:r w:rsidRPr="00427EE1">
        <w:t xml:space="preserve">can waive, modify or vary the provisions of particular </w:t>
      </w:r>
      <w:r w:rsidR="008911CB">
        <w:t>Regulations</w:t>
      </w:r>
      <w:r w:rsidRPr="00427EE1">
        <w:t xml:space="preserve"> </w:t>
      </w:r>
      <w:r w:rsidR="00C73FD7">
        <w:t xml:space="preserve">in </w:t>
      </w:r>
      <w:r w:rsidRPr="00427EE1">
        <w:t>particular case</w:t>
      </w:r>
      <w:r w:rsidR="00C73FD7">
        <w:t>s</w:t>
      </w:r>
      <w:r w:rsidRPr="00427EE1">
        <w:t xml:space="preserve">. </w:t>
      </w:r>
      <w:r w:rsidR="00C73FD7">
        <w:t xml:space="preserve">It can also </w:t>
      </w:r>
      <w:r w:rsidRPr="00427EE1">
        <w:t xml:space="preserve">determine that a particular design or element of a building complies with the Act and </w:t>
      </w:r>
      <w:r w:rsidR="008911CB">
        <w:t>Regulations</w:t>
      </w:r>
      <w:r w:rsidRPr="00427EE1">
        <w:t>.</w:t>
      </w:r>
      <w:r w:rsidR="002F129B" w:rsidRPr="00427EE1">
        <w:rPr>
          <w:rStyle w:val="FootnoteReference"/>
          <w:rFonts w:cstheme="minorHAnsi"/>
        </w:rPr>
        <w:footnoteReference w:id="15"/>
      </w:r>
    </w:p>
    <w:p w:rsidR="004F7D03" w:rsidRPr="00427EE1" w:rsidRDefault="00C73FD7" w:rsidP="00A1789F">
      <w:pPr>
        <w:pStyle w:val="Normalpre-dotpoint"/>
      </w:pPr>
      <w:r>
        <w:t xml:space="preserve">BAB </w:t>
      </w:r>
      <w:r w:rsidR="004F7D03" w:rsidRPr="00427EE1">
        <w:t>provides services under three categories:</w:t>
      </w:r>
    </w:p>
    <w:p w:rsidR="004F7D03" w:rsidRPr="00427EE1" w:rsidRDefault="004F7D03" w:rsidP="00A1789F">
      <w:pPr>
        <w:pStyle w:val="Dotpoint"/>
      </w:pPr>
      <w:r w:rsidRPr="00427EE1">
        <w:t xml:space="preserve">disputes about the applicability of the </w:t>
      </w:r>
      <w:r w:rsidR="008911CB">
        <w:t>Regulations</w:t>
      </w:r>
      <w:r w:rsidRPr="00427EE1">
        <w:t>, adjoining property work and inspections</w:t>
      </w:r>
    </w:p>
    <w:p w:rsidR="004F7D03" w:rsidRPr="00427EE1" w:rsidRDefault="004F7D03" w:rsidP="00A1789F">
      <w:pPr>
        <w:pStyle w:val="Dotpoint"/>
      </w:pPr>
      <w:r w:rsidRPr="00427EE1">
        <w:t xml:space="preserve">reviews of refusal of building and occupancy permits, report and consent of </w:t>
      </w:r>
      <w:r w:rsidR="0023395A">
        <w:t xml:space="preserve">the </w:t>
      </w:r>
      <w:r w:rsidR="008911CB">
        <w:t>Regulations</w:t>
      </w:r>
      <w:r w:rsidRPr="00427EE1">
        <w:t xml:space="preserve"> and building notices and/or building orders</w:t>
      </w:r>
    </w:p>
    <w:p w:rsidR="004F7D03" w:rsidRPr="00427EE1" w:rsidRDefault="004F7D03" w:rsidP="00A1789F">
      <w:pPr>
        <w:pStyle w:val="Dotpointlast"/>
      </w:pPr>
      <w:r w:rsidRPr="00427EE1">
        <w:t xml:space="preserve">referrals and modifications </w:t>
      </w:r>
      <w:r w:rsidR="00131FB2">
        <w:t>regarding</w:t>
      </w:r>
      <w:r w:rsidR="00C73FD7">
        <w:t xml:space="preserve"> </w:t>
      </w:r>
      <w:r w:rsidRPr="00427EE1">
        <w:t xml:space="preserve">whether a design or element of </w:t>
      </w:r>
      <w:r w:rsidR="002F129B" w:rsidRPr="00427EE1">
        <w:t xml:space="preserve">a </w:t>
      </w:r>
      <w:r w:rsidRPr="00427EE1">
        <w:t xml:space="preserve">building complies with the Act or </w:t>
      </w:r>
      <w:r w:rsidR="008911CB">
        <w:t>Regulations</w:t>
      </w:r>
      <w:r w:rsidRPr="00427EE1">
        <w:t>, or whether the provision</w:t>
      </w:r>
      <w:r w:rsidR="00C73FD7">
        <w:t>s</w:t>
      </w:r>
      <w:r w:rsidRPr="00427EE1">
        <w:t xml:space="preserve"> of the </w:t>
      </w:r>
      <w:r w:rsidR="008911CB">
        <w:t>Regulations</w:t>
      </w:r>
      <w:r w:rsidRPr="00427EE1">
        <w:t xml:space="preserve"> do not apply to a particular building.</w:t>
      </w:r>
    </w:p>
    <w:p w:rsidR="00312C86" w:rsidRPr="00427EE1" w:rsidRDefault="004F7D03" w:rsidP="00A1789F">
      <w:r w:rsidRPr="00427EE1">
        <w:rPr>
          <w:b/>
        </w:rPr>
        <w:t>Building Regulations Advisory Committee</w:t>
      </w:r>
      <w:r w:rsidR="00666D12">
        <w:t xml:space="preserve"> </w:t>
      </w:r>
      <w:r w:rsidR="00C73FD7">
        <w:t xml:space="preserve">– This is </w:t>
      </w:r>
      <w:r w:rsidRPr="00427EE1">
        <w:t xml:space="preserve">a panel of building industry representatives that </w:t>
      </w:r>
      <w:r w:rsidR="004E083D">
        <w:t>advise</w:t>
      </w:r>
      <w:r w:rsidRPr="00427EE1">
        <w:t xml:space="preserve"> the Minister for Planning </w:t>
      </w:r>
      <w:r w:rsidR="00C73FD7">
        <w:t xml:space="preserve">about </w:t>
      </w:r>
      <w:r w:rsidRPr="00427EE1">
        <w:t xml:space="preserve">draft building </w:t>
      </w:r>
      <w:r w:rsidR="008911CB">
        <w:t>Regulations</w:t>
      </w:r>
      <w:r w:rsidR="00C73FD7">
        <w:t>;</w:t>
      </w:r>
      <w:r w:rsidRPr="00427EE1">
        <w:t xml:space="preserve"> accredit</w:t>
      </w:r>
      <w:r w:rsidR="00C73FD7">
        <w:t>s</w:t>
      </w:r>
      <w:r w:rsidRPr="00427EE1">
        <w:t xml:space="preserve"> building products, construction methods and components or systems connected with building work</w:t>
      </w:r>
      <w:r w:rsidR="00C73FD7">
        <w:t>;</w:t>
      </w:r>
      <w:r w:rsidRPr="00427EE1">
        <w:t xml:space="preserve"> and </w:t>
      </w:r>
      <w:r w:rsidR="004E083D">
        <w:t>advise</w:t>
      </w:r>
      <w:r w:rsidRPr="00427EE1">
        <w:t xml:space="preserve"> </w:t>
      </w:r>
      <w:r w:rsidR="00720C4E">
        <w:t>VBA</w:t>
      </w:r>
      <w:r w:rsidRPr="00427EE1">
        <w:t xml:space="preserve"> on technical, administrative and regulatory issues.</w:t>
      </w:r>
      <w:r w:rsidRPr="00427EE1">
        <w:rPr>
          <w:rStyle w:val="FootnoteReference"/>
          <w:rFonts w:cstheme="minorHAnsi"/>
          <w:color w:val="auto"/>
        </w:rPr>
        <w:footnoteReference w:id="16"/>
      </w:r>
    </w:p>
    <w:p w:rsidR="00D615BC" w:rsidRPr="00427EE1" w:rsidRDefault="00A14EA0" w:rsidP="00A1789F">
      <w:r>
        <w:t>VBA</w:t>
      </w:r>
      <w:r w:rsidR="00F57C69" w:rsidRPr="00427EE1">
        <w:t xml:space="preserve">’s </w:t>
      </w:r>
      <w:r w:rsidR="00312C86" w:rsidRPr="00427EE1">
        <w:t xml:space="preserve">functions are funded by </w:t>
      </w:r>
      <w:r w:rsidR="0041647B" w:rsidRPr="00427EE1">
        <w:t>owners</w:t>
      </w:r>
      <w:r w:rsidR="00312C86" w:rsidRPr="00427EE1">
        <w:t xml:space="preserve"> through a levy on building permits, registration fees paid by practitioners and fines and costs levied through the practitioner discipline system. In 201</w:t>
      </w:r>
      <w:r w:rsidR="00FF2736" w:rsidRPr="00427EE1">
        <w:t>5</w:t>
      </w:r>
      <w:r w:rsidR="00312C86" w:rsidRPr="00427EE1">
        <w:t>–1</w:t>
      </w:r>
      <w:r w:rsidR="00FF2736" w:rsidRPr="00427EE1">
        <w:t>6</w:t>
      </w:r>
      <w:r w:rsidR="00C73FD7">
        <w:t>,</w:t>
      </w:r>
      <w:r w:rsidR="00312C86" w:rsidRPr="00427EE1">
        <w:t xml:space="preserve"> the total </w:t>
      </w:r>
      <w:r w:rsidR="006876F9" w:rsidRPr="00427EE1">
        <w:t xml:space="preserve">building </w:t>
      </w:r>
      <w:r w:rsidR="00312C86" w:rsidRPr="00427EE1">
        <w:t>permit levy collected was $</w:t>
      </w:r>
      <w:r w:rsidR="00FF2736" w:rsidRPr="00427EE1">
        <w:t>30</w:t>
      </w:r>
      <w:r w:rsidR="00312C86" w:rsidRPr="00427EE1">
        <w:t>.</w:t>
      </w:r>
      <w:r w:rsidR="00FF2736" w:rsidRPr="00427EE1">
        <w:t>3</w:t>
      </w:r>
      <w:r w:rsidR="00312C86" w:rsidRPr="00427EE1">
        <w:t xml:space="preserve"> million</w:t>
      </w:r>
      <w:r w:rsidR="006876F9" w:rsidRPr="00427EE1">
        <w:t>, practitioner registrations and licen</w:t>
      </w:r>
      <w:r w:rsidR="00296466">
        <w:t>s</w:t>
      </w:r>
      <w:r w:rsidR="006876F9" w:rsidRPr="00427EE1">
        <w:t xml:space="preserve">ing accounted for $8.3 million, and </w:t>
      </w:r>
      <w:r w:rsidR="00720C4E">
        <w:t>VBA</w:t>
      </w:r>
      <w:r w:rsidR="006876F9" w:rsidRPr="00427EE1">
        <w:t>’s total annual income was $53.8 million</w:t>
      </w:r>
      <w:r w:rsidR="00312C86" w:rsidRPr="00427EE1">
        <w:t>.</w:t>
      </w:r>
    </w:p>
    <w:p w:rsidR="002D5E35" w:rsidRDefault="002D5E35">
      <w:pPr>
        <w:spacing w:after="0"/>
        <w:rPr>
          <w:b/>
          <w:i/>
          <w:color w:val="00B2A9" w:themeColor="accent1"/>
          <w:sz w:val="28"/>
        </w:rPr>
      </w:pPr>
      <w:bookmarkStart w:id="19" w:name="_Toc481501559"/>
      <w:r>
        <w:br w:type="page"/>
      </w:r>
    </w:p>
    <w:p w:rsidR="004F7D03" w:rsidRPr="00427EE1" w:rsidRDefault="00C14778" w:rsidP="00C14778">
      <w:pPr>
        <w:pStyle w:val="Heading3"/>
      </w:pPr>
      <w:r>
        <w:lastRenderedPageBreak/>
        <w:t>1.2.2</w:t>
      </w:r>
      <w:r>
        <w:tab/>
      </w:r>
      <w:r w:rsidR="006A1733">
        <w:t>C</w:t>
      </w:r>
      <w:r w:rsidR="004F7D03" w:rsidRPr="00427EE1">
        <w:t>ouncil</w:t>
      </w:r>
      <w:r w:rsidR="006A1733">
        <w:t xml:space="preserve"> role</w:t>
      </w:r>
      <w:bookmarkEnd w:id="19"/>
    </w:p>
    <w:p w:rsidR="004F7D03" w:rsidRPr="00427EE1" w:rsidRDefault="00C73FD7" w:rsidP="000469E0">
      <w:pPr>
        <w:pStyle w:val="Normalpre-dotpoint"/>
      </w:pPr>
      <w:r>
        <w:t>A</w:t>
      </w:r>
      <w:r w:rsidR="009027F8">
        <w:t xml:space="preserve"> council </w:t>
      </w:r>
      <w:r>
        <w:t xml:space="preserve">is </w:t>
      </w:r>
      <w:r w:rsidR="004F7D03" w:rsidRPr="00427EE1">
        <w:t xml:space="preserve">responsible for the administration and enforcement of the following </w:t>
      </w:r>
      <w:r>
        <w:t>p</w:t>
      </w:r>
      <w:r w:rsidR="00051372" w:rsidRPr="00427EE1">
        <w:t xml:space="preserve">arts </w:t>
      </w:r>
      <w:r w:rsidR="004F7D03" w:rsidRPr="00427EE1">
        <w:t>of the</w:t>
      </w:r>
      <w:r w:rsidR="00454D16" w:rsidRPr="00427EE1">
        <w:t xml:space="preserve"> </w:t>
      </w:r>
      <w:r w:rsidR="004F7D03" w:rsidRPr="00427EE1">
        <w:t>Act</w:t>
      </w:r>
      <w:r w:rsidR="00051372" w:rsidRPr="00427EE1">
        <w:t xml:space="preserve"> within its </w:t>
      </w:r>
      <w:r>
        <w:t>local government area</w:t>
      </w:r>
      <w:r w:rsidR="004F7D03" w:rsidRPr="00427EE1">
        <w:t>:</w:t>
      </w:r>
      <w:r w:rsidR="00051372" w:rsidRPr="00427EE1">
        <w:rPr>
          <w:rStyle w:val="FootnoteReference"/>
          <w:rFonts w:cstheme="minorHAnsi"/>
        </w:rPr>
        <w:footnoteReference w:id="17"/>
      </w:r>
    </w:p>
    <w:p w:rsidR="004F7D03" w:rsidRPr="00427EE1" w:rsidRDefault="008911CB" w:rsidP="000469E0">
      <w:pPr>
        <w:pStyle w:val="Dotpoint"/>
      </w:pPr>
      <w:r>
        <w:t>pt.</w:t>
      </w:r>
      <w:r w:rsidR="004F7D03" w:rsidRPr="00427EE1">
        <w:t xml:space="preserve"> 3 </w:t>
      </w:r>
      <w:r w:rsidR="009027F8">
        <w:t>–</w:t>
      </w:r>
      <w:r w:rsidR="00051372" w:rsidRPr="00427EE1">
        <w:t xml:space="preserve"> </w:t>
      </w:r>
      <w:r w:rsidR="009027F8">
        <w:t>B</w:t>
      </w:r>
      <w:r w:rsidR="004F7D03" w:rsidRPr="00427EE1">
        <w:t>uilding permits</w:t>
      </w:r>
    </w:p>
    <w:p w:rsidR="004F7D03" w:rsidRPr="00427EE1" w:rsidRDefault="008911CB" w:rsidP="000469E0">
      <w:pPr>
        <w:pStyle w:val="Dotpoint"/>
      </w:pPr>
      <w:r>
        <w:t>pt.</w:t>
      </w:r>
      <w:r w:rsidR="004F7D03" w:rsidRPr="00427EE1">
        <w:t xml:space="preserve"> 4 </w:t>
      </w:r>
      <w:r w:rsidR="009027F8">
        <w:t>–</w:t>
      </w:r>
      <w:r w:rsidR="009027F8" w:rsidRPr="00427EE1">
        <w:t xml:space="preserve"> </w:t>
      </w:r>
      <w:r w:rsidR="009027F8">
        <w:t>I</w:t>
      </w:r>
      <w:r w:rsidR="004F7D03" w:rsidRPr="00427EE1">
        <w:t>nspection of building work</w:t>
      </w:r>
    </w:p>
    <w:p w:rsidR="004F7D03" w:rsidRPr="00427EE1" w:rsidRDefault="008911CB" w:rsidP="000469E0">
      <w:pPr>
        <w:pStyle w:val="Dotpoint"/>
      </w:pPr>
      <w:r>
        <w:t>pt.</w:t>
      </w:r>
      <w:r w:rsidR="004F7D03" w:rsidRPr="00427EE1">
        <w:t xml:space="preserve"> 5 </w:t>
      </w:r>
      <w:r w:rsidR="009027F8">
        <w:t>–</w:t>
      </w:r>
      <w:r w:rsidR="009027F8" w:rsidRPr="00427EE1">
        <w:t xml:space="preserve"> </w:t>
      </w:r>
      <w:r w:rsidR="009027F8">
        <w:t>O</w:t>
      </w:r>
      <w:r w:rsidR="004F7D03" w:rsidRPr="00427EE1">
        <w:t xml:space="preserve">ccupation of buildings and </w:t>
      </w:r>
      <w:proofErr w:type="spellStart"/>
      <w:r w:rsidR="00A030CC">
        <w:t>PoPEs</w:t>
      </w:r>
      <w:proofErr w:type="spellEnd"/>
    </w:p>
    <w:p w:rsidR="004F7D03" w:rsidRPr="00427EE1" w:rsidRDefault="008911CB" w:rsidP="000469E0">
      <w:pPr>
        <w:pStyle w:val="Dotpoint"/>
      </w:pPr>
      <w:r>
        <w:t>pt.</w:t>
      </w:r>
      <w:r w:rsidR="004F7D03" w:rsidRPr="00427EE1">
        <w:t xml:space="preserve"> 6 </w:t>
      </w:r>
      <w:r w:rsidR="009027F8">
        <w:t>–</w:t>
      </w:r>
      <w:r w:rsidR="009027F8" w:rsidRPr="00427EE1">
        <w:t xml:space="preserve"> </w:t>
      </w:r>
      <w:r w:rsidR="004F7D03" w:rsidRPr="00427EE1">
        <w:t>Protection of adjoining property</w:t>
      </w:r>
    </w:p>
    <w:p w:rsidR="004F7D03" w:rsidRPr="00427EE1" w:rsidRDefault="008911CB" w:rsidP="000469E0">
      <w:pPr>
        <w:pStyle w:val="Dotpointlast"/>
      </w:pPr>
      <w:r>
        <w:t>pt.</w:t>
      </w:r>
      <w:r w:rsidR="004F7D03" w:rsidRPr="00427EE1">
        <w:t xml:space="preserve"> 8 </w:t>
      </w:r>
      <w:r w:rsidR="009027F8">
        <w:t>–</w:t>
      </w:r>
      <w:r w:rsidR="009027F8" w:rsidRPr="00427EE1">
        <w:t xml:space="preserve"> </w:t>
      </w:r>
      <w:r w:rsidR="004F7D03" w:rsidRPr="00427EE1">
        <w:t>Enforcement of safety and building standards.</w:t>
      </w:r>
    </w:p>
    <w:p w:rsidR="004F7D03" w:rsidRPr="00427EE1" w:rsidRDefault="00051372" w:rsidP="000469E0">
      <w:r w:rsidRPr="00427EE1">
        <w:t>In addition to other relevant statutory authorities, c</w:t>
      </w:r>
      <w:r w:rsidR="004F7D03" w:rsidRPr="00427EE1">
        <w:t xml:space="preserve">ouncils </w:t>
      </w:r>
      <w:r w:rsidRPr="00427EE1">
        <w:t xml:space="preserve">also </w:t>
      </w:r>
      <w:r w:rsidR="004F7D03" w:rsidRPr="00427EE1">
        <w:t xml:space="preserve">have jurisdiction </w:t>
      </w:r>
      <w:r w:rsidRPr="00427EE1">
        <w:t xml:space="preserve">under planning, public health and local laws </w:t>
      </w:r>
      <w:r w:rsidR="009027F8">
        <w:t xml:space="preserve">for </w:t>
      </w:r>
      <w:r w:rsidRPr="00427EE1">
        <w:t xml:space="preserve">matters relating to </w:t>
      </w:r>
      <w:r w:rsidR="004F7D03" w:rsidRPr="00427EE1">
        <w:t>the use of building</w:t>
      </w:r>
      <w:r w:rsidRPr="00427EE1">
        <w:t>s.</w:t>
      </w:r>
    </w:p>
    <w:p w:rsidR="004F7D03" w:rsidRPr="00427EE1" w:rsidRDefault="00C14778" w:rsidP="00C14778">
      <w:pPr>
        <w:pStyle w:val="Heading3"/>
      </w:pPr>
      <w:bookmarkStart w:id="20" w:name="_Toc481501560"/>
      <w:r>
        <w:t>1.2.3</w:t>
      </w:r>
      <w:r>
        <w:tab/>
      </w:r>
      <w:r w:rsidR="006A1733">
        <w:t>B</w:t>
      </w:r>
      <w:r w:rsidR="004F7D03" w:rsidRPr="00427EE1">
        <w:t>uilding surveyor</w:t>
      </w:r>
      <w:r w:rsidR="006A1733">
        <w:t xml:space="preserve"> role</w:t>
      </w:r>
      <w:bookmarkEnd w:id="20"/>
    </w:p>
    <w:p w:rsidR="004F7D03" w:rsidRPr="009027F8" w:rsidRDefault="009027F8" w:rsidP="000469E0">
      <w:pPr>
        <w:rPr>
          <w:szCs w:val="20"/>
        </w:rPr>
      </w:pPr>
      <w:r w:rsidRPr="009027F8">
        <w:t>A s</w:t>
      </w:r>
      <w:r w:rsidR="004F7D03" w:rsidRPr="009027F8">
        <w:t>urveyors</w:t>
      </w:r>
      <w:r w:rsidR="00AC1A59" w:rsidRPr="00AC1A59">
        <w:t xml:space="preserve"> </w:t>
      </w:r>
      <w:r w:rsidR="004F7D03" w:rsidRPr="009027F8">
        <w:t>can</w:t>
      </w:r>
      <w:r w:rsidR="00AC1A59" w:rsidRPr="00AC1A59">
        <w:t xml:space="preserve"> </w:t>
      </w:r>
      <w:r w:rsidR="004F7D03" w:rsidRPr="009027F8">
        <w:t>be</w:t>
      </w:r>
      <w:r w:rsidR="00AC1A59" w:rsidRPr="00AC1A59">
        <w:t xml:space="preserve"> </w:t>
      </w:r>
      <w:r w:rsidR="004F7D03" w:rsidRPr="009027F8">
        <w:t>either</w:t>
      </w:r>
      <w:r w:rsidR="00AC1A59" w:rsidRPr="00AC1A59">
        <w:t xml:space="preserve"> </w:t>
      </w:r>
      <w:r w:rsidR="004F7D03" w:rsidRPr="009027F8">
        <w:t>municipal</w:t>
      </w:r>
      <w:r w:rsidR="00AC1A59" w:rsidRPr="00AC1A59">
        <w:t xml:space="preserve"> </w:t>
      </w:r>
      <w:r w:rsidR="004F7D03" w:rsidRPr="009027F8">
        <w:t>or</w:t>
      </w:r>
      <w:r w:rsidR="00AC1A59" w:rsidRPr="00AC1A59">
        <w:t xml:space="preserve"> </w:t>
      </w:r>
      <w:r w:rsidR="004F7D03" w:rsidRPr="009027F8">
        <w:t>private</w:t>
      </w:r>
      <w:r w:rsidR="00AC1A59" w:rsidRPr="00AC1A59">
        <w:t>.</w:t>
      </w:r>
    </w:p>
    <w:p w:rsidR="004F7D03" w:rsidRPr="009027F8" w:rsidRDefault="00AC1A59" w:rsidP="000469E0">
      <w:pPr>
        <w:rPr>
          <w:szCs w:val="20"/>
        </w:rPr>
      </w:pPr>
      <w:r w:rsidRPr="00AC1A59">
        <w:t xml:space="preserve">A </w:t>
      </w:r>
      <w:r w:rsidR="004F7D03" w:rsidRPr="009027F8">
        <w:t>MBS</w:t>
      </w:r>
      <w:r w:rsidRPr="00AC1A59">
        <w:t xml:space="preserve"> </w:t>
      </w:r>
      <w:r w:rsidR="009027F8" w:rsidRPr="009027F8">
        <w:t xml:space="preserve">is </w:t>
      </w:r>
      <w:r w:rsidR="004F7D03" w:rsidRPr="009027F8">
        <w:t>employed</w:t>
      </w:r>
      <w:r w:rsidRPr="00AC1A59">
        <w:t xml:space="preserve"> </w:t>
      </w:r>
      <w:r w:rsidR="004F7D03" w:rsidRPr="009027F8">
        <w:t>or</w:t>
      </w:r>
      <w:r w:rsidRPr="00AC1A59">
        <w:t xml:space="preserve"> </w:t>
      </w:r>
      <w:r w:rsidR="004F7D03" w:rsidRPr="009027F8">
        <w:t>engaged</w:t>
      </w:r>
      <w:r w:rsidRPr="00AC1A59">
        <w:t xml:space="preserve"> </w:t>
      </w:r>
      <w:r w:rsidR="004F7D03" w:rsidRPr="009027F8">
        <w:t>by</w:t>
      </w:r>
      <w:r w:rsidRPr="00AC1A59">
        <w:t xml:space="preserve"> </w:t>
      </w:r>
      <w:r w:rsidR="004F7D03" w:rsidRPr="009027F8">
        <w:t>a</w:t>
      </w:r>
      <w:r w:rsidRPr="00AC1A59">
        <w:t xml:space="preserve"> </w:t>
      </w:r>
      <w:r w:rsidR="004F7D03" w:rsidRPr="009027F8">
        <w:t>council</w:t>
      </w:r>
      <w:r w:rsidRPr="00AC1A59">
        <w:t xml:space="preserve"> </w:t>
      </w:r>
      <w:r w:rsidR="004F7D03" w:rsidRPr="009027F8">
        <w:t>and</w:t>
      </w:r>
      <w:r w:rsidRPr="00AC1A59">
        <w:t xml:space="preserve"> </w:t>
      </w:r>
      <w:r w:rsidR="009027F8" w:rsidRPr="009027F8">
        <w:t xml:space="preserve">has </w:t>
      </w:r>
      <w:r w:rsidR="004F7D03" w:rsidRPr="009027F8">
        <w:t>additional</w:t>
      </w:r>
      <w:r w:rsidRPr="00AC1A59">
        <w:t xml:space="preserve"> </w:t>
      </w:r>
      <w:r w:rsidR="004F7D03" w:rsidRPr="009027F8">
        <w:t>duties</w:t>
      </w:r>
      <w:r w:rsidRPr="00AC1A59">
        <w:t xml:space="preserve"> </w:t>
      </w:r>
      <w:r w:rsidR="004F7D03" w:rsidRPr="009027F8">
        <w:t>of</w:t>
      </w:r>
      <w:r w:rsidRPr="00AC1A59">
        <w:t xml:space="preserve"> </w:t>
      </w:r>
      <w:r w:rsidR="004F7D03" w:rsidRPr="009027F8">
        <w:t>enforcing</w:t>
      </w:r>
      <w:r w:rsidRPr="00AC1A59">
        <w:t xml:space="preserve"> </w:t>
      </w:r>
      <w:r w:rsidR="004F7D03" w:rsidRPr="009027F8">
        <w:t>laws</w:t>
      </w:r>
      <w:r w:rsidRPr="00AC1A59">
        <w:t xml:space="preserve"> </w:t>
      </w:r>
      <w:r w:rsidR="004F7D03" w:rsidRPr="009027F8">
        <w:t>within</w:t>
      </w:r>
      <w:r w:rsidRPr="00AC1A59">
        <w:t xml:space="preserve"> its local government area </w:t>
      </w:r>
      <w:r w:rsidR="004F7D03" w:rsidRPr="009027F8">
        <w:t>in</w:t>
      </w:r>
      <w:r w:rsidRPr="00AC1A59">
        <w:t xml:space="preserve"> </w:t>
      </w:r>
      <w:r w:rsidR="004F7D03" w:rsidRPr="009027F8">
        <w:t>order</w:t>
      </w:r>
      <w:r w:rsidRPr="00AC1A59">
        <w:t xml:space="preserve"> </w:t>
      </w:r>
      <w:r w:rsidR="004F7D03" w:rsidRPr="009027F8">
        <w:t>to</w:t>
      </w:r>
      <w:r w:rsidRPr="00AC1A59">
        <w:t xml:space="preserve"> </w:t>
      </w:r>
      <w:r w:rsidR="004F7D03" w:rsidRPr="009027F8">
        <w:t>maintain</w:t>
      </w:r>
      <w:r w:rsidRPr="00AC1A59">
        <w:t xml:space="preserve"> </w:t>
      </w:r>
      <w:r w:rsidR="004F7D03" w:rsidRPr="009027F8">
        <w:t>community</w:t>
      </w:r>
      <w:r w:rsidRPr="00AC1A59">
        <w:t xml:space="preserve"> </w:t>
      </w:r>
      <w:r w:rsidR="004F7D03" w:rsidRPr="009027F8">
        <w:t>health</w:t>
      </w:r>
      <w:r w:rsidRPr="00AC1A59">
        <w:t xml:space="preserve"> </w:t>
      </w:r>
      <w:r w:rsidR="004F7D03" w:rsidRPr="009027F8">
        <w:t>and</w:t>
      </w:r>
      <w:r w:rsidRPr="00AC1A59">
        <w:t xml:space="preserve"> </w:t>
      </w:r>
      <w:r w:rsidR="004F7D03" w:rsidRPr="009027F8">
        <w:t>safety.</w:t>
      </w:r>
    </w:p>
    <w:p w:rsidR="004F7D03" w:rsidRPr="00427EE1" w:rsidRDefault="00AC1A59" w:rsidP="009027F8">
      <w:pPr>
        <w:rPr>
          <w:sz w:val="13"/>
          <w:szCs w:val="13"/>
        </w:rPr>
      </w:pPr>
      <w:r w:rsidRPr="00AC1A59">
        <w:t xml:space="preserve">A </w:t>
      </w:r>
      <w:r w:rsidR="004F7D03" w:rsidRPr="009027F8">
        <w:t>PBS</w:t>
      </w:r>
      <w:r w:rsidR="009027F8" w:rsidRPr="009027F8">
        <w:t xml:space="preserve"> is a </w:t>
      </w:r>
      <w:r w:rsidR="004F7D03" w:rsidRPr="009027F8">
        <w:t>private</w:t>
      </w:r>
      <w:r w:rsidRPr="00AC1A59">
        <w:t xml:space="preserve"> </w:t>
      </w:r>
      <w:r w:rsidR="00E6185A" w:rsidRPr="009027F8">
        <w:t xml:space="preserve">person entitled to discharge functions, powers and duties under the Act following appointment in relation to building work. </w:t>
      </w:r>
      <w:r w:rsidR="009027F8" w:rsidRPr="009027F8">
        <w:t xml:space="preserve">A </w:t>
      </w:r>
      <w:r w:rsidR="00E6185A" w:rsidRPr="009027F8">
        <w:t>PBS</w:t>
      </w:r>
      <w:r w:rsidRPr="00AC1A59">
        <w:t xml:space="preserve"> </w:t>
      </w:r>
      <w:r w:rsidR="004F7D03" w:rsidRPr="009027F8">
        <w:t>ha</w:t>
      </w:r>
      <w:r w:rsidR="009027F8" w:rsidRPr="009027F8">
        <w:t>s</w:t>
      </w:r>
      <w:r w:rsidRPr="00AC1A59">
        <w:t xml:space="preserve"> </w:t>
      </w:r>
      <w:r w:rsidR="004F7D03" w:rsidRPr="009027F8">
        <w:t>additional</w:t>
      </w:r>
      <w:r w:rsidRPr="00AC1A59">
        <w:t xml:space="preserve"> </w:t>
      </w:r>
      <w:r w:rsidR="004F7D03" w:rsidRPr="009027F8">
        <w:t>reporting</w:t>
      </w:r>
      <w:r w:rsidRPr="00AC1A59">
        <w:t xml:space="preserve"> </w:t>
      </w:r>
      <w:r w:rsidR="004F7D03" w:rsidRPr="009027F8">
        <w:t>requirements</w:t>
      </w:r>
      <w:r w:rsidRPr="00AC1A59">
        <w:t xml:space="preserve"> and must notify </w:t>
      </w:r>
      <w:r w:rsidR="009027F8">
        <w:t xml:space="preserve">the </w:t>
      </w:r>
      <w:r w:rsidR="004F7D03" w:rsidRPr="009027F8">
        <w:t>council</w:t>
      </w:r>
      <w:r w:rsidRPr="00AC1A59">
        <w:t xml:space="preserve"> </w:t>
      </w:r>
      <w:r w:rsidR="004F7D03" w:rsidRPr="009027F8">
        <w:t>of</w:t>
      </w:r>
      <w:r w:rsidRPr="00AC1A59">
        <w:t xml:space="preserve"> </w:t>
      </w:r>
      <w:r w:rsidR="00E6185A" w:rsidRPr="009027F8">
        <w:t xml:space="preserve">an </w:t>
      </w:r>
      <w:r w:rsidR="004F7D03" w:rsidRPr="009027F8">
        <w:t>appointment</w:t>
      </w:r>
      <w:r w:rsidRPr="00AC1A59">
        <w:t xml:space="preserve"> </w:t>
      </w:r>
      <w:r w:rsidR="00E6185A" w:rsidRPr="009027F8">
        <w:t xml:space="preserve">in relation to </w:t>
      </w:r>
      <w:r w:rsidR="004F7D03" w:rsidRPr="009027F8">
        <w:t>building</w:t>
      </w:r>
      <w:r w:rsidRPr="00AC1A59">
        <w:t xml:space="preserve"> </w:t>
      </w:r>
      <w:r w:rsidR="004F7D03" w:rsidRPr="009027F8">
        <w:t>work</w:t>
      </w:r>
      <w:r w:rsidRPr="00AC1A59">
        <w:t xml:space="preserve"> </w:t>
      </w:r>
      <w:r w:rsidR="004F7D03" w:rsidRPr="009027F8">
        <w:t>within</w:t>
      </w:r>
      <w:r w:rsidRPr="00AC1A59">
        <w:t xml:space="preserve"> its </w:t>
      </w:r>
      <w:r w:rsidR="009027F8" w:rsidRPr="009027F8">
        <w:t>local</w:t>
      </w:r>
      <w:r w:rsidR="009027F8">
        <w:t xml:space="preserve"> government area</w:t>
      </w:r>
      <w:r w:rsidR="00A14EA0">
        <w:t>.</w:t>
      </w:r>
      <w:r w:rsidR="004F7D03" w:rsidRPr="00427EE1">
        <w:rPr>
          <w:rStyle w:val="FootnoteReference"/>
          <w:rFonts w:cstheme="minorHAnsi"/>
          <w:color w:val="auto"/>
        </w:rPr>
        <w:footnoteReference w:id="18"/>
      </w:r>
      <w:r w:rsidRPr="00AC1A59">
        <w:t xml:space="preserve"> </w:t>
      </w:r>
      <w:r w:rsidR="009027F8">
        <w:t>A P</w:t>
      </w:r>
      <w:r w:rsidR="00E6185A" w:rsidRPr="009027F8">
        <w:t xml:space="preserve">BS may </w:t>
      </w:r>
      <w:r w:rsidR="004F7D03" w:rsidRPr="009027F8">
        <w:t>specialise</w:t>
      </w:r>
      <w:r w:rsidRPr="00AC1A59">
        <w:t xml:space="preserve"> </w:t>
      </w:r>
      <w:r w:rsidR="004F7D03" w:rsidRPr="009027F8">
        <w:t>in</w:t>
      </w:r>
      <w:r w:rsidRPr="00AC1A59">
        <w:t xml:space="preserve"> </w:t>
      </w:r>
      <w:r w:rsidR="004F7D03" w:rsidRPr="009027F8">
        <w:t>certain</w:t>
      </w:r>
      <w:r w:rsidRPr="00AC1A59">
        <w:t xml:space="preserve"> </w:t>
      </w:r>
      <w:r w:rsidR="004F7D03" w:rsidRPr="009027F8">
        <w:t>areas</w:t>
      </w:r>
      <w:r w:rsidR="009027F8">
        <w:t xml:space="preserve"> (such as </w:t>
      </w:r>
      <w:r w:rsidR="004F7D03" w:rsidRPr="009027F8">
        <w:t>disability</w:t>
      </w:r>
      <w:r w:rsidRPr="00AC1A59">
        <w:t xml:space="preserve"> </w:t>
      </w:r>
      <w:r w:rsidR="004F7D03" w:rsidRPr="009027F8">
        <w:t>access</w:t>
      </w:r>
      <w:r w:rsidR="009027F8">
        <w:t xml:space="preserve"> or</w:t>
      </w:r>
      <w:r w:rsidRPr="00AC1A59">
        <w:t xml:space="preserve"> </w:t>
      </w:r>
      <w:r w:rsidR="004F7D03" w:rsidRPr="009027F8">
        <w:t>fire</w:t>
      </w:r>
      <w:r w:rsidRPr="00AC1A59">
        <w:t xml:space="preserve"> </w:t>
      </w:r>
      <w:r w:rsidR="004F7D03" w:rsidRPr="009027F8">
        <w:t>safety</w:t>
      </w:r>
      <w:r w:rsidR="009027F8">
        <w:t>)</w:t>
      </w:r>
      <w:r w:rsidR="004267C5">
        <w:t xml:space="preserve"> </w:t>
      </w:r>
      <w:r w:rsidR="004F7D03" w:rsidRPr="009027F8">
        <w:t>or</w:t>
      </w:r>
      <w:r w:rsidRPr="00AC1A59">
        <w:t xml:space="preserve"> in relation to </w:t>
      </w:r>
      <w:r w:rsidR="004F7D03" w:rsidRPr="009027F8">
        <w:t>a</w:t>
      </w:r>
      <w:r w:rsidRPr="00AC1A59">
        <w:t xml:space="preserve"> </w:t>
      </w:r>
      <w:r w:rsidR="004F7D03" w:rsidRPr="009027F8">
        <w:t>particular</w:t>
      </w:r>
      <w:r w:rsidRPr="00AC1A59">
        <w:t xml:space="preserve"> </w:t>
      </w:r>
      <w:r w:rsidR="004F7D03" w:rsidRPr="009027F8">
        <w:t>type</w:t>
      </w:r>
      <w:r w:rsidR="009027F8">
        <w:t xml:space="preserve"> of building</w:t>
      </w:r>
      <w:r w:rsidR="004F7D03" w:rsidRPr="009027F8">
        <w:t>.</w:t>
      </w:r>
    </w:p>
    <w:p w:rsidR="004F7D03" w:rsidRPr="009027F8" w:rsidRDefault="004F7D03" w:rsidP="000469E0">
      <w:r w:rsidRPr="009027F8">
        <w:t>Where a MBS is engaged</w:t>
      </w:r>
      <w:r w:rsidR="00AC1A59" w:rsidRPr="00AC1A59">
        <w:t xml:space="preserve"> </w:t>
      </w:r>
      <w:r w:rsidRPr="009027F8">
        <w:t>or</w:t>
      </w:r>
      <w:r w:rsidR="00AC1A59" w:rsidRPr="00AC1A59">
        <w:t xml:space="preserve"> a </w:t>
      </w:r>
      <w:r w:rsidRPr="009027F8">
        <w:t>PBS</w:t>
      </w:r>
      <w:r w:rsidR="00AC1A59" w:rsidRPr="00AC1A59">
        <w:t xml:space="preserve"> </w:t>
      </w:r>
      <w:r w:rsidRPr="009027F8">
        <w:t>is</w:t>
      </w:r>
      <w:r w:rsidR="00AC1A59" w:rsidRPr="00AC1A59">
        <w:t xml:space="preserve"> appointed </w:t>
      </w:r>
      <w:r w:rsidRPr="009027F8">
        <w:t>in</w:t>
      </w:r>
      <w:r w:rsidR="00AC1A59" w:rsidRPr="00AC1A59">
        <w:t xml:space="preserve"> </w:t>
      </w:r>
      <w:r w:rsidRPr="009027F8">
        <w:t>relation</w:t>
      </w:r>
      <w:r w:rsidR="00AC1A59" w:rsidRPr="00AC1A59">
        <w:t xml:space="preserve"> </w:t>
      </w:r>
      <w:r w:rsidRPr="009027F8">
        <w:t>to</w:t>
      </w:r>
      <w:r w:rsidR="00AC1A59" w:rsidRPr="00AC1A59">
        <w:t xml:space="preserve"> </w:t>
      </w:r>
      <w:r w:rsidRPr="009027F8">
        <w:t>a</w:t>
      </w:r>
      <w:r w:rsidR="00AC1A59" w:rsidRPr="00AC1A59">
        <w:t xml:space="preserve"> </w:t>
      </w:r>
      <w:r w:rsidRPr="009027F8">
        <w:t>specific</w:t>
      </w:r>
      <w:r w:rsidR="00AC1A59" w:rsidRPr="00AC1A59">
        <w:t xml:space="preserve"> </w:t>
      </w:r>
      <w:r w:rsidRPr="009027F8">
        <w:t>building project</w:t>
      </w:r>
      <w:r w:rsidR="009027F8">
        <w:t>,</w:t>
      </w:r>
      <w:r w:rsidR="00AC1A59" w:rsidRPr="00AC1A59">
        <w:t xml:space="preserve"> </w:t>
      </w:r>
      <w:r w:rsidRPr="009027F8">
        <w:t>they</w:t>
      </w:r>
      <w:r w:rsidR="00AC1A59" w:rsidRPr="00AC1A59">
        <w:t xml:space="preserve"> </w:t>
      </w:r>
      <w:r w:rsidRPr="009027F8">
        <w:t>are</w:t>
      </w:r>
      <w:r w:rsidR="00AC1A59" w:rsidRPr="00AC1A59">
        <w:t xml:space="preserve"> </w:t>
      </w:r>
      <w:r w:rsidRPr="009027F8">
        <w:t>referred</w:t>
      </w:r>
      <w:r w:rsidR="00AC1A59" w:rsidRPr="00AC1A59">
        <w:t xml:space="preserve"> </w:t>
      </w:r>
      <w:r w:rsidRPr="009027F8">
        <w:t>to</w:t>
      </w:r>
      <w:r w:rsidR="00AC1A59" w:rsidRPr="00AC1A59">
        <w:t xml:space="preserve"> </w:t>
      </w:r>
      <w:r w:rsidRPr="009027F8">
        <w:t>in</w:t>
      </w:r>
      <w:r w:rsidR="00AC1A59" w:rsidRPr="00AC1A59">
        <w:t xml:space="preserve"> </w:t>
      </w:r>
      <w:r w:rsidRPr="009027F8">
        <w:t>the</w:t>
      </w:r>
      <w:r w:rsidR="00AC1A59" w:rsidRPr="00AC1A59">
        <w:t xml:space="preserve"> </w:t>
      </w:r>
      <w:r w:rsidRPr="009027F8">
        <w:t>Act</w:t>
      </w:r>
      <w:r w:rsidR="00AC1A59" w:rsidRPr="00AC1A59">
        <w:t xml:space="preserve"> </w:t>
      </w:r>
      <w:r w:rsidRPr="009027F8">
        <w:t>as</w:t>
      </w:r>
      <w:r w:rsidR="00AC1A59" w:rsidRPr="00AC1A59">
        <w:t xml:space="preserve"> </w:t>
      </w:r>
      <w:r w:rsidRPr="009027F8">
        <w:t>the</w:t>
      </w:r>
      <w:r w:rsidR="00AC1A59" w:rsidRPr="00AC1A59">
        <w:t xml:space="preserve"> </w:t>
      </w:r>
      <w:r w:rsidR="00AB414E" w:rsidRPr="009027F8">
        <w:t>RBS</w:t>
      </w:r>
      <w:r w:rsidRPr="009027F8">
        <w:t>.</w:t>
      </w:r>
      <w:r w:rsidRPr="009027F8">
        <w:rPr>
          <w:rStyle w:val="FootnoteReference"/>
        </w:rPr>
        <w:footnoteReference w:id="19"/>
      </w:r>
    </w:p>
    <w:p w:rsidR="004F7D03" w:rsidRPr="00427EE1" w:rsidRDefault="004F7D03" w:rsidP="000469E0">
      <w:pPr>
        <w:pStyle w:val="Normalpre-dotpoint"/>
      </w:pPr>
      <w:r w:rsidRPr="00427EE1">
        <w:t>The</w:t>
      </w:r>
      <w:r w:rsidRPr="00427EE1">
        <w:rPr>
          <w:spacing w:val="10"/>
        </w:rPr>
        <w:t xml:space="preserve"> </w:t>
      </w:r>
      <w:r w:rsidR="00AB414E">
        <w:t>RBS</w:t>
      </w:r>
      <w:r w:rsidRPr="00427EE1">
        <w:t xml:space="preserve"> carries:</w:t>
      </w:r>
    </w:p>
    <w:p w:rsidR="004F7D03" w:rsidRPr="00427EE1" w:rsidRDefault="004F7D03" w:rsidP="000469E0">
      <w:pPr>
        <w:pStyle w:val="Dotpoint"/>
        <w:rPr>
          <w:sz w:val="13"/>
          <w:szCs w:val="13"/>
        </w:rPr>
      </w:pPr>
      <w:r w:rsidRPr="00427EE1">
        <w:t>issu</w:t>
      </w:r>
      <w:r w:rsidR="009027F8">
        <w:t>es</w:t>
      </w:r>
      <w:r w:rsidRPr="00427EE1">
        <w:rPr>
          <w:spacing w:val="2"/>
        </w:rPr>
        <w:t xml:space="preserve"> </w:t>
      </w:r>
      <w:r w:rsidRPr="00427EE1">
        <w:t>building</w:t>
      </w:r>
      <w:r w:rsidRPr="00427EE1">
        <w:rPr>
          <w:spacing w:val="2"/>
        </w:rPr>
        <w:t xml:space="preserve"> </w:t>
      </w:r>
      <w:r w:rsidRPr="00427EE1">
        <w:t>permits</w:t>
      </w:r>
      <w:r w:rsidRPr="00427EE1">
        <w:rPr>
          <w:rStyle w:val="FootnoteReference"/>
          <w:color w:val="auto"/>
        </w:rPr>
        <w:footnoteReference w:id="20"/>
      </w:r>
    </w:p>
    <w:p w:rsidR="004F7D03" w:rsidRPr="00427EE1" w:rsidRDefault="004F7D03" w:rsidP="000469E0">
      <w:pPr>
        <w:pStyle w:val="Dotpoint"/>
        <w:rPr>
          <w:sz w:val="13"/>
          <w:szCs w:val="13"/>
        </w:rPr>
      </w:pPr>
      <w:r w:rsidRPr="00427EE1">
        <w:t>carr</w:t>
      </w:r>
      <w:r w:rsidR="009027F8">
        <w:t>ies</w:t>
      </w:r>
      <w:r w:rsidRPr="00427EE1">
        <w:rPr>
          <w:spacing w:val="7"/>
        </w:rPr>
        <w:t xml:space="preserve"> </w:t>
      </w:r>
      <w:r w:rsidRPr="00427EE1">
        <w:t>out</w:t>
      </w:r>
      <w:r w:rsidRPr="00427EE1">
        <w:rPr>
          <w:spacing w:val="7"/>
        </w:rPr>
        <w:t xml:space="preserve"> </w:t>
      </w:r>
      <w:r w:rsidRPr="00427EE1">
        <w:t>inspections</w:t>
      </w:r>
      <w:r w:rsidRPr="00427EE1">
        <w:rPr>
          <w:spacing w:val="17"/>
        </w:rPr>
        <w:t xml:space="preserve"> </w:t>
      </w:r>
      <w:r w:rsidRPr="00427EE1">
        <w:t>of</w:t>
      </w:r>
      <w:r w:rsidRPr="00427EE1">
        <w:rPr>
          <w:spacing w:val="12"/>
        </w:rPr>
        <w:t xml:space="preserve"> </w:t>
      </w:r>
      <w:r w:rsidRPr="00427EE1">
        <w:t>buildings</w:t>
      </w:r>
      <w:r w:rsidRPr="00427EE1">
        <w:rPr>
          <w:spacing w:val="8"/>
        </w:rPr>
        <w:t xml:space="preserve"> </w:t>
      </w:r>
      <w:r w:rsidRPr="00427EE1">
        <w:t>and</w:t>
      </w:r>
      <w:r w:rsidRPr="00427EE1">
        <w:rPr>
          <w:spacing w:val="15"/>
        </w:rPr>
        <w:t xml:space="preserve"> </w:t>
      </w:r>
      <w:r w:rsidRPr="00427EE1">
        <w:t xml:space="preserve">building </w:t>
      </w:r>
      <w:r w:rsidRPr="00427EE1">
        <w:rPr>
          <w:spacing w:val="1"/>
        </w:rPr>
        <w:t>work</w:t>
      </w:r>
      <w:r w:rsidRPr="00427EE1">
        <w:rPr>
          <w:rStyle w:val="FootnoteReference"/>
          <w:color w:val="auto"/>
          <w:spacing w:val="1"/>
        </w:rPr>
        <w:footnoteReference w:id="21"/>
      </w:r>
    </w:p>
    <w:p w:rsidR="004F7D03" w:rsidRPr="00427EE1" w:rsidRDefault="004F7D03" w:rsidP="000469E0">
      <w:pPr>
        <w:pStyle w:val="Dotpointlast"/>
        <w:rPr>
          <w:sz w:val="13"/>
          <w:szCs w:val="13"/>
        </w:rPr>
      </w:pPr>
      <w:r w:rsidRPr="00427EE1">
        <w:t>issu</w:t>
      </w:r>
      <w:r w:rsidR="009027F8">
        <w:t>es</w:t>
      </w:r>
      <w:r w:rsidRPr="00427EE1">
        <w:rPr>
          <w:spacing w:val="-7"/>
        </w:rPr>
        <w:t xml:space="preserve"> </w:t>
      </w:r>
      <w:r w:rsidRPr="00427EE1">
        <w:t>occupancy</w:t>
      </w:r>
      <w:r w:rsidRPr="00427EE1">
        <w:rPr>
          <w:spacing w:val="11"/>
        </w:rPr>
        <w:t xml:space="preserve"> </w:t>
      </w:r>
      <w:r w:rsidRPr="00427EE1">
        <w:t>permits</w:t>
      </w:r>
      <w:r w:rsidRPr="00427EE1">
        <w:rPr>
          <w:spacing w:val="-2"/>
        </w:rPr>
        <w:t xml:space="preserve"> </w:t>
      </w:r>
      <w:r w:rsidRPr="00427EE1">
        <w:t>and</w:t>
      </w:r>
      <w:r w:rsidRPr="00427EE1">
        <w:rPr>
          <w:spacing w:val="-5"/>
        </w:rPr>
        <w:t xml:space="preserve"> </w:t>
      </w:r>
      <w:r w:rsidRPr="00427EE1">
        <w:t>temporary</w:t>
      </w:r>
      <w:r w:rsidRPr="00427EE1">
        <w:rPr>
          <w:spacing w:val="12"/>
        </w:rPr>
        <w:t xml:space="preserve"> </w:t>
      </w:r>
      <w:r w:rsidRPr="00427EE1">
        <w:t>approvals</w:t>
      </w:r>
      <w:r w:rsidRPr="00427EE1">
        <w:rPr>
          <w:spacing w:val="12"/>
        </w:rPr>
        <w:t>.</w:t>
      </w:r>
      <w:r w:rsidRPr="00427EE1">
        <w:rPr>
          <w:rStyle w:val="FootnoteReference"/>
          <w:color w:val="auto"/>
          <w:spacing w:val="12"/>
        </w:rPr>
        <w:footnoteReference w:id="22"/>
      </w:r>
    </w:p>
    <w:p w:rsidR="004F7D03" w:rsidRPr="00FD633C" w:rsidRDefault="004F7D03" w:rsidP="000469E0">
      <w:pPr>
        <w:pStyle w:val="Normalpre-dotpoint"/>
      </w:pPr>
      <w:r w:rsidRPr="00FD633C">
        <w:t>Specifically,</w:t>
      </w:r>
      <w:r w:rsidR="00AC1A59" w:rsidRPr="00AC1A59">
        <w:t xml:space="preserve"> a</w:t>
      </w:r>
      <w:r w:rsidR="004267C5">
        <w:t xml:space="preserve"> </w:t>
      </w:r>
      <w:r w:rsidR="00AB414E" w:rsidRPr="00FD633C">
        <w:t>RBS</w:t>
      </w:r>
      <w:r w:rsidR="009027F8" w:rsidRPr="00FD633C">
        <w:t>'</w:t>
      </w:r>
      <w:r w:rsidR="00AC1A59" w:rsidRPr="00AC1A59">
        <w:t xml:space="preserve">s responsibilities </w:t>
      </w:r>
      <w:r w:rsidRPr="00FD633C">
        <w:t>include:</w:t>
      </w:r>
    </w:p>
    <w:p w:rsidR="004F7D03" w:rsidRPr="00FD633C" w:rsidRDefault="004F7D03" w:rsidP="000469E0">
      <w:pPr>
        <w:pStyle w:val="Dotpoint"/>
      </w:pPr>
      <w:r w:rsidRPr="00FD633C">
        <w:t>assessing and</w:t>
      </w:r>
      <w:r w:rsidR="00AC1A59" w:rsidRPr="00AC1A59">
        <w:t xml:space="preserve"> </w:t>
      </w:r>
      <w:r w:rsidRPr="00FD633C">
        <w:t>approving</w:t>
      </w:r>
      <w:r w:rsidR="00AC1A59" w:rsidRPr="00AC1A59">
        <w:t xml:space="preserve"> </w:t>
      </w:r>
      <w:r w:rsidRPr="00FD633C">
        <w:t>permit</w:t>
      </w:r>
      <w:r w:rsidR="00AC1A59" w:rsidRPr="00AC1A59">
        <w:t xml:space="preserve"> </w:t>
      </w:r>
      <w:r w:rsidRPr="00FD633C">
        <w:t>applications</w:t>
      </w:r>
    </w:p>
    <w:p w:rsidR="004F7D03" w:rsidRPr="00FD633C" w:rsidRDefault="00AC1A59" w:rsidP="000469E0">
      <w:pPr>
        <w:pStyle w:val="Dotpoint"/>
      </w:pPr>
      <w:r w:rsidRPr="00AC1A59">
        <w:t xml:space="preserve">certifying </w:t>
      </w:r>
      <w:r w:rsidR="004F7D03" w:rsidRPr="00FD633C">
        <w:t>plans</w:t>
      </w:r>
      <w:r w:rsidRPr="00AC1A59">
        <w:t xml:space="preserve"> </w:t>
      </w:r>
      <w:r w:rsidR="004F7D03" w:rsidRPr="00FD633C">
        <w:t>and structures</w:t>
      </w:r>
      <w:r w:rsidRPr="00AC1A59">
        <w:t xml:space="preserve"> </w:t>
      </w:r>
      <w:r w:rsidR="004F7D03" w:rsidRPr="00FD633C">
        <w:t>in</w:t>
      </w:r>
      <w:r w:rsidRPr="00AC1A59">
        <w:t xml:space="preserve"> </w:t>
      </w:r>
      <w:r w:rsidR="004F7D03" w:rsidRPr="00FD633C">
        <w:t>accordance</w:t>
      </w:r>
      <w:r w:rsidRPr="00AC1A59">
        <w:t xml:space="preserve"> </w:t>
      </w:r>
      <w:r w:rsidR="004F7D03" w:rsidRPr="00FD633C">
        <w:t>with</w:t>
      </w:r>
      <w:r w:rsidRPr="00AC1A59">
        <w:t xml:space="preserve"> </w:t>
      </w:r>
      <w:r w:rsidR="004F7D03" w:rsidRPr="00FD633C">
        <w:t>legislation</w:t>
      </w:r>
    </w:p>
    <w:p w:rsidR="004F7D03" w:rsidRPr="00FD633C" w:rsidRDefault="00AC1A59" w:rsidP="000469E0">
      <w:pPr>
        <w:pStyle w:val="Dotpoint"/>
      </w:pPr>
      <w:r w:rsidRPr="00AC1A59">
        <w:t xml:space="preserve">ensuring the </w:t>
      </w:r>
      <w:r w:rsidR="004F7D03" w:rsidRPr="00FD633C">
        <w:t>consent</w:t>
      </w:r>
      <w:r w:rsidRPr="00AC1A59">
        <w:t xml:space="preserve"> </w:t>
      </w:r>
      <w:r w:rsidR="004F7D03" w:rsidRPr="00FD633C">
        <w:t>of</w:t>
      </w:r>
      <w:r w:rsidRPr="00AC1A59">
        <w:t xml:space="preserve"> </w:t>
      </w:r>
      <w:r w:rsidR="004F7D03" w:rsidRPr="00FD633C">
        <w:t>a</w:t>
      </w:r>
      <w:r w:rsidRPr="00AC1A59">
        <w:t xml:space="preserve"> </w:t>
      </w:r>
      <w:r w:rsidR="004F7D03" w:rsidRPr="00FD633C">
        <w:t>reporting</w:t>
      </w:r>
      <w:r w:rsidRPr="00AC1A59">
        <w:t xml:space="preserve"> authority </w:t>
      </w:r>
      <w:r w:rsidR="004F7D03" w:rsidRPr="00FD633C">
        <w:t>is</w:t>
      </w:r>
      <w:r w:rsidRPr="00AC1A59">
        <w:t xml:space="preserve"> </w:t>
      </w:r>
      <w:r w:rsidR="004F7D03" w:rsidRPr="00FD633C">
        <w:t>obtained</w:t>
      </w:r>
      <w:r w:rsidRPr="00AC1A59">
        <w:t xml:space="preserve"> </w:t>
      </w:r>
      <w:r w:rsidR="00E6185A" w:rsidRPr="00FD633C">
        <w:t xml:space="preserve">when required by the </w:t>
      </w:r>
      <w:r w:rsidRPr="00AC1A59">
        <w:t>Act or Regulations</w:t>
      </w:r>
    </w:p>
    <w:p w:rsidR="004F7D03" w:rsidRPr="00FD633C" w:rsidRDefault="00AC1A59" w:rsidP="000469E0">
      <w:pPr>
        <w:pStyle w:val="Dotpoint"/>
      </w:pPr>
      <w:r w:rsidRPr="00AC1A59">
        <w:t xml:space="preserve">lodging </w:t>
      </w:r>
      <w:r w:rsidR="004F7D03" w:rsidRPr="00FD633C">
        <w:t>prescribed</w:t>
      </w:r>
      <w:r w:rsidRPr="00AC1A59">
        <w:t xml:space="preserve"> </w:t>
      </w:r>
      <w:r w:rsidR="004F7D03" w:rsidRPr="00FD633C">
        <w:t>documents</w:t>
      </w:r>
      <w:r w:rsidRPr="00AC1A59">
        <w:t xml:space="preserve"> with </w:t>
      </w:r>
      <w:r w:rsidR="004F7D03" w:rsidRPr="00FD633C">
        <w:t>the</w:t>
      </w:r>
      <w:r w:rsidRPr="00AC1A59">
        <w:t xml:space="preserve"> </w:t>
      </w:r>
      <w:r w:rsidR="004F7D03" w:rsidRPr="00FD633C">
        <w:t>relevant</w:t>
      </w:r>
      <w:r w:rsidRPr="00AC1A59">
        <w:t xml:space="preserve"> </w:t>
      </w:r>
      <w:r w:rsidR="004F7D03" w:rsidRPr="00FD633C">
        <w:t>council</w:t>
      </w:r>
    </w:p>
    <w:p w:rsidR="004F7D03" w:rsidRPr="00FD633C" w:rsidRDefault="00AC1A59" w:rsidP="000469E0">
      <w:pPr>
        <w:pStyle w:val="Dotpoint"/>
      </w:pPr>
      <w:r w:rsidRPr="00AC1A59">
        <w:t xml:space="preserve">inspecting </w:t>
      </w:r>
      <w:r w:rsidR="004F7D03" w:rsidRPr="00FD633C">
        <w:t>building</w:t>
      </w:r>
      <w:r w:rsidRPr="00AC1A59">
        <w:t xml:space="preserve"> </w:t>
      </w:r>
      <w:r w:rsidR="004F7D03" w:rsidRPr="00FD633C">
        <w:t>work</w:t>
      </w:r>
    </w:p>
    <w:p w:rsidR="004F7D03" w:rsidRPr="00FD633C" w:rsidRDefault="00AC1A59" w:rsidP="000469E0">
      <w:pPr>
        <w:pStyle w:val="Dotpoint"/>
      </w:pPr>
      <w:r w:rsidRPr="00AC1A59">
        <w:t xml:space="preserve">verifying building </w:t>
      </w:r>
      <w:r w:rsidR="004F7D03" w:rsidRPr="00FD633C">
        <w:t>works</w:t>
      </w:r>
      <w:r w:rsidRPr="00AC1A59">
        <w:t xml:space="preserve"> </w:t>
      </w:r>
      <w:r w:rsidR="004F7D03" w:rsidRPr="00FD633C">
        <w:t>have</w:t>
      </w:r>
      <w:r w:rsidRPr="00AC1A59">
        <w:t xml:space="preserve"> </w:t>
      </w:r>
      <w:r w:rsidR="004F7D03" w:rsidRPr="00FD633C">
        <w:t>been</w:t>
      </w:r>
      <w:r w:rsidRPr="00AC1A59">
        <w:t xml:space="preserve"> </w:t>
      </w:r>
      <w:r w:rsidR="00E863AE" w:rsidRPr="00FD633C">
        <w:t>carried out in accordance with the building permit</w:t>
      </w:r>
    </w:p>
    <w:p w:rsidR="00E863AE" w:rsidRPr="00FD633C" w:rsidRDefault="00AC1A59" w:rsidP="000469E0">
      <w:pPr>
        <w:pStyle w:val="Dotpoint"/>
      </w:pPr>
      <w:r w:rsidRPr="00AC1A59">
        <w:t>issuing directions to fix building work</w:t>
      </w:r>
    </w:p>
    <w:p w:rsidR="004F7D03" w:rsidRPr="00FD633C" w:rsidRDefault="00AC1A59" w:rsidP="000469E0">
      <w:pPr>
        <w:pStyle w:val="Dotpoint"/>
      </w:pPr>
      <w:r w:rsidRPr="00AC1A59">
        <w:lastRenderedPageBreak/>
        <w:t xml:space="preserve">serving </w:t>
      </w:r>
      <w:r w:rsidR="004F7D03" w:rsidRPr="00FD633C">
        <w:t>compliance</w:t>
      </w:r>
      <w:r w:rsidRPr="00AC1A59">
        <w:t xml:space="preserve"> </w:t>
      </w:r>
      <w:r w:rsidR="004F7D03" w:rsidRPr="00FD633C">
        <w:t>directions,</w:t>
      </w:r>
      <w:r w:rsidRPr="00AC1A59">
        <w:t xml:space="preserve"> </w:t>
      </w:r>
      <w:r w:rsidR="004F7D03" w:rsidRPr="00FD633C">
        <w:t>notices</w:t>
      </w:r>
      <w:r w:rsidRPr="00AC1A59">
        <w:t xml:space="preserve"> </w:t>
      </w:r>
      <w:r w:rsidR="004F7D03" w:rsidRPr="00FD633C">
        <w:t>and</w:t>
      </w:r>
      <w:r w:rsidRPr="00AC1A59">
        <w:t xml:space="preserve"> </w:t>
      </w:r>
      <w:r w:rsidR="004F7D03" w:rsidRPr="00FD633C">
        <w:t>orders</w:t>
      </w:r>
      <w:r w:rsidRPr="00AC1A59">
        <w:t xml:space="preserve"> </w:t>
      </w:r>
      <w:r w:rsidR="004F7D03" w:rsidRPr="00FD633C">
        <w:t>where</w:t>
      </w:r>
      <w:r w:rsidRPr="00AC1A59">
        <w:t xml:space="preserve"> </w:t>
      </w:r>
      <w:r w:rsidR="004F7D03" w:rsidRPr="00FD633C">
        <w:t>necessary</w:t>
      </w:r>
    </w:p>
    <w:p w:rsidR="004F7D03" w:rsidRPr="00FD633C" w:rsidRDefault="00AC1A59" w:rsidP="000469E0">
      <w:pPr>
        <w:pStyle w:val="Dotpointlast"/>
      </w:pPr>
      <w:r w:rsidRPr="00AC1A59">
        <w:t>issui</w:t>
      </w:r>
      <w:r w:rsidR="004F7D03" w:rsidRPr="00FD633C">
        <w:t>ng</w:t>
      </w:r>
      <w:r w:rsidRPr="00AC1A59">
        <w:t xml:space="preserve"> </w:t>
      </w:r>
      <w:r w:rsidR="004F7D03" w:rsidRPr="00FD633C">
        <w:t>occupancy</w:t>
      </w:r>
      <w:r w:rsidRPr="00AC1A59">
        <w:t xml:space="preserve"> </w:t>
      </w:r>
      <w:r w:rsidR="004F7D03" w:rsidRPr="00FD633C">
        <w:t>permits</w:t>
      </w:r>
      <w:r w:rsidRPr="00AC1A59">
        <w:t xml:space="preserve"> </w:t>
      </w:r>
      <w:r w:rsidR="004F7D03" w:rsidRPr="00FD633C">
        <w:t>and</w:t>
      </w:r>
      <w:r w:rsidRPr="00AC1A59">
        <w:t xml:space="preserve"> </w:t>
      </w:r>
      <w:r w:rsidR="004F7D03" w:rsidRPr="00FD633C">
        <w:t>certificates</w:t>
      </w:r>
      <w:r w:rsidRPr="00AC1A59">
        <w:t xml:space="preserve"> </w:t>
      </w:r>
      <w:r w:rsidR="004F7D03" w:rsidRPr="00FD633C">
        <w:t>of</w:t>
      </w:r>
      <w:r w:rsidRPr="00AC1A59">
        <w:t xml:space="preserve"> </w:t>
      </w:r>
      <w:r w:rsidR="004F7D03" w:rsidRPr="00FD633C">
        <w:t>final</w:t>
      </w:r>
      <w:r w:rsidRPr="00AC1A59">
        <w:t xml:space="preserve"> i</w:t>
      </w:r>
      <w:r w:rsidR="004F7D03" w:rsidRPr="00FD633C">
        <w:t>nspection.</w:t>
      </w:r>
    </w:p>
    <w:p w:rsidR="004F7D03" w:rsidRPr="00FD633C" w:rsidRDefault="00FD633C" w:rsidP="000469E0">
      <w:pPr>
        <w:pStyle w:val="Normalpre-dotpoint"/>
      </w:pPr>
      <w:r w:rsidRPr="00FD633C">
        <w:t>A</w:t>
      </w:r>
      <w:r w:rsidR="00AC1A59" w:rsidRPr="00AC1A59">
        <w:t xml:space="preserve"> RBS's</w:t>
      </w:r>
      <w:r w:rsidR="004267C5">
        <w:t xml:space="preserve"> </w:t>
      </w:r>
      <w:r w:rsidR="00AC1A59" w:rsidRPr="00AC1A59">
        <w:rPr>
          <w:szCs w:val="20"/>
        </w:rPr>
        <w:t>responsibiliti</w:t>
      </w:r>
      <w:r w:rsidR="004F7D03" w:rsidRPr="00FD633C">
        <w:t>es</w:t>
      </w:r>
      <w:r w:rsidR="00AC1A59" w:rsidRPr="00AC1A59">
        <w:rPr>
          <w:szCs w:val="20"/>
        </w:rPr>
        <w:t xml:space="preserve"> </w:t>
      </w:r>
      <w:r w:rsidR="00E863AE" w:rsidRPr="00FD633C">
        <w:t xml:space="preserve">apply </w:t>
      </w:r>
      <w:r w:rsidR="004F7D03" w:rsidRPr="00FD633C">
        <w:t>to a</w:t>
      </w:r>
      <w:r w:rsidR="00AC1A59" w:rsidRPr="00AC1A59">
        <w:rPr>
          <w:szCs w:val="20"/>
        </w:rPr>
        <w:t xml:space="preserve"> </w:t>
      </w:r>
      <w:r w:rsidR="004F7D03" w:rsidRPr="00FD633C">
        <w:t>broad</w:t>
      </w:r>
      <w:r w:rsidR="00AC1A59" w:rsidRPr="00AC1A59">
        <w:rPr>
          <w:szCs w:val="20"/>
        </w:rPr>
        <w:t xml:space="preserve"> </w:t>
      </w:r>
      <w:r w:rsidR="004F7D03" w:rsidRPr="00FD633C">
        <w:t>range</w:t>
      </w:r>
      <w:r w:rsidR="00AC1A59" w:rsidRPr="00AC1A59">
        <w:rPr>
          <w:szCs w:val="20"/>
        </w:rPr>
        <w:t xml:space="preserve"> </w:t>
      </w:r>
      <w:r w:rsidR="004F7D03" w:rsidRPr="00FD633C">
        <w:t>of</w:t>
      </w:r>
      <w:r w:rsidR="00AC1A59" w:rsidRPr="00AC1A59">
        <w:rPr>
          <w:szCs w:val="20"/>
        </w:rPr>
        <w:t xml:space="preserve"> </w:t>
      </w:r>
      <w:r w:rsidR="004F7D03" w:rsidRPr="00FD633C">
        <w:t>build</w:t>
      </w:r>
      <w:r w:rsidR="00AC1A59" w:rsidRPr="00AC1A59">
        <w:rPr>
          <w:szCs w:val="20"/>
        </w:rPr>
        <w:t>i</w:t>
      </w:r>
      <w:r w:rsidR="004F7D03" w:rsidRPr="00FD633C">
        <w:t>ng</w:t>
      </w:r>
      <w:r w:rsidR="00E863AE" w:rsidRPr="00FD633C">
        <w:t>s and</w:t>
      </w:r>
      <w:r w:rsidR="00AC1A59" w:rsidRPr="00AC1A59">
        <w:rPr>
          <w:szCs w:val="20"/>
        </w:rPr>
        <w:t xml:space="preserve"> </w:t>
      </w:r>
      <w:r w:rsidR="004F7D03" w:rsidRPr="00FD633C">
        <w:t>structures</w:t>
      </w:r>
      <w:r w:rsidR="00AC1A59" w:rsidRPr="00AC1A59">
        <w:rPr>
          <w:szCs w:val="20"/>
        </w:rPr>
        <w:t xml:space="preserve"> i</w:t>
      </w:r>
      <w:r w:rsidR="004F7D03" w:rsidRPr="00FD633C">
        <w:t>ncluding:</w:t>
      </w:r>
    </w:p>
    <w:p w:rsidR="004F7D03" w:rsidRPr="00FD633C" w:rsidRDefault="004F7D03" w:rsidP="000469E0">
      <w:pPr>
        <w:pStyle w:val="Dotpoint"/>
      </w:pPr>
      <w:r w:rsidRPr="00FD633C">
        <w:t>commercial</w:t>
      </w:r>
      <w:r w:rsidR="00AC1A59" w:rsidRPr="00AC1A59">
        <w:rPr>
          <w:szCs w:val="20"/>
        </w:rPr>
        <w:t xml:space="preserve"> </w:t>
      </w:r>
      <w:r w:rsidRPr="00FD633C">
        <w:t>buildings</w:t>
      </w:r>
      <w:r w:rsidR="00AC1A59" w:rsidRPr="00AC1A59">
        <w:rPr>
          <w:szCs w:val="20"/>
        </w:rPr>
        <w:t xml:space="preserve"> </w:t>
      </w:r>
      <w:r w:rsidRPr="00FD633C">
        <w:t>(office buildings,</w:t>
      </w:r>
      <w:r w:rsidR="00AC1A59" w:rsidRPr="00AC1A59">
        <w:rPr>
          <w:szCs w:val="20"/>
        </w:rPr>
        <w:t xml:space="preserve"> </w:t>
      </w:r>
      <w:r w:rsidRPr="00FD633C">
        <w:t>factor</w:t>
      </w:r>
      <w:r w:rsidR="00AC1A59" w:rsidRPr="00AC1A59">
        <w:rPr>
          <w:szCs w:val="20"/>
        </w:rPr>
        <w:t>i</w:t>
      </w:r>
      <w:r w:rsidRPr="00FD633C">
        <w:t>es</w:t>
      </w:r>
      <w:r w:rsidR="00AC1A59" w:rsidRPr="00AC1A59">
        <w:rPr>
          <w:szCs w:val="20"/>
        </w:rPr>
        <w:t xml:space="preserve"> </w:t>
      </w:r>
      <w:r w:rsidRPr="00FD633C">
        <w:t>and</w:t>
      </w:r>
      <w:r w:rsidR="00AC1A59" w:rsidRPr="00AC1A59">
        <w:rPr>
          <w:szCs w:val="20"/>
        </w:rPr>
        <w:t xml:space="preserve"> </w:t>
      </w:r>
      <w:r w:rsidRPr="00FD633C">
        <w:t>aged</w:t>
      </w:r>
      <w:r w:rsidR="00AC1A59" w:rsidRPr="00AC1A59">
        <w:rPr>
          <w:szCs w:val="20"/>
        </w:rPr>
        <w:t xml:space="preserve"> </w:t>
      </w:r>
      <w:r w:rsidRPr="00FD633C">
        <w:t>care</w:t>
      </w:r>
      <w:r w:rsidR="00AC1A59" w:rsidRPr="00AC1A59">
        <w:rPr>
          <w:szCs w:val="20"/>
        </w:rPr>
        <w:t xml:space="preserve"> </w:t>
      </w:r>
      <w:r w:rsidRPr="00FD633C">
        <w:t>faci</w:t>
      </w:r>
      <w:r w:rsidR="00AC1A59" w:rsidRPr="00AC1A59">
        <w:rPr>
          <w:szCs w:val="20"/>
        </w:rPr>
        <w:t>li</w:t>
      </w:r>
      <w:r w:rsidRPr="00FD633C">
        <w:t>ties)</w:t>
      </w:r>
    </w:p>
    <w:p w:rsidR="004F7D03" w:rsidRPr="001B3094" w:rsidRDefault="004F7D03" w:rsidP="000469E0">
      <w:pPr>
        <w:pStyle w:val="Dotpoint"/>
      </w:pPr>
      <w:r w:rsidRPr="001B3094">
        <w:t>retail</w:t>
      </w:r>
      <w:r w:rsidR="00AC1A59" w:rsidRPr="001B3094">
        <w:t xml:space="preserve"> buildings </w:t>
      </w:r>
      <w:r w:rsidRPr="001B3094">
        <w:t>(shops</w:t>
      </w:r>
      <w:r w:rsidR="00AC1A59" w:rsidRPr="001B3094">
        <w:t xml:space="preserve"> </w:t>
      </w:r>
      <w:r w:rsidRPr="001B3094">
        <w:t>and</w:t>
      </w:r>
      <w:r w:rsidR="00AC1A59" w:rsidRPr="001B3094">
        <w:t xml:space="preserve"> </w:t>
      </w:r>
      <w:r w:rsidRPr="001B3094">
        <w:t>shopping</w:t>
      </w:r>
      <w:r w:rsidR="00AC1A59" w:rsidRPr="001B3094">
        <w:t xml:space="preserve"> </w:t>
      </w:r>
      <w:r w:rsidRPr="001B3094">
        <w:t>centres)</w:t>
      </w:r>
    </w:p>
    <w:p w:rsidR="004F7D03" w:rsidRPr="00FD633C" w:rsidRDefault="004F7D03" w:rsidP="000469E0">
      <w:pPr>
        <w:pStyle w:val="Dotpoint"/>
      </w:pPr>
      <w:r w:rsidRPr="00FD633C">
        <w:t>public</w:t>
      </w:r>
      <w:r w:rsidR="00AC1A59" w:rsidRPr="00AC1A59">
        <w:rPr>
          <w:szCs w:val="20"/>
        </w:rPr>
        <w:t xml:space="preserve"> </w:t>
      </w:r>
      <w:r w:rsidRPr="00FD633C">
        <w:t>buildings</w:t>
      </w:r>
      <w:r w:rsidR="00AC1A59" w:rsidRPr="00AC1A59">
        <w:rPr>
          <w:szCs w:val="20"/>
        </w:rPr>
        <w:t xml:space="preserve"> </w:t>
      </w:r>
      <w:r w:rsidRPr="00FD633C">
        <w:t>(hospitals,</w:t>
      </w:r>
      <w:r w:rsidR="00AC1A59" w:rsidRPr="00AC1A59">
        <w:rPr>
          <w:szCs w:val="20"/>
        </w:rPr>
        <w:t xml:space="preserve"> prisons, </w:t>
      </w:r>
      <w:r w:rsidRPr="00FD633C">
        <w:t>schools,</w:t>
      </w:r>
      <w:r w:rsidR="00AC1A59" w:rsidRPr="00AC1A59">
        <w:rPr>
          <w:szCs w:val="20"/>
        </w:rPr>
        <w:t xml:space="preserve"> </w:t>
      </w:r>
      <w:r w:rsidRPr="00FD633C">
        <w:t>parking</w:t>
      </w:r>
      <w:r w:rsidR="00AC1A59" w:rsidRPr="00AC1A59">
        <w:rPr>
          <w:szCs w:val="20"/>
        </w:rPr>
        <w:t xml:space="preserve"> </w:t>
      </w:r>
      <w:r w:rsidRPr="00FD633C">
        <w:t>complexes</w:t>
      </w:r>
      <w:r w:rsidR="00AC1A59" w:rsidRPr="00AC1A59">
        <w:rPr>
          <w:szCs w:val="20"/>
        </w:rPr>
        <w:t xml:space="preserve"> </w:t>
      </w:r>
      <w:r w:rsidRPr="00FD633C">
        <w:t>and</w:t>
      </w:r>
      <w:r w:rsidR="00AC1A59" w:rsidRPr="00AC1A59">
        <w:rPr>
          <w:szCs w:val="20"/>
        </w:rPr>
        <w:t xml:space="preserve"> </w:t>
      </w:r>
      <w:r w:rsidRPr="00FD633C">
        <w:t>marinas)</w:t>
      </w:r>
    </w:p>
    <w:p w:rsidR="004F7D03" w:rsidRPr="00FD633C" w:rsidRDefault="004F7D03" w:rsidP="000469E0">
      <w:pPr>
        <w:pStyle w:val="Dotpointlast"/>
      </w:pPr>
      <w:r w:rsidRPr="00FD633C">
        <w:t>residential</w:t>
      </w:r>
      <w:r w:rsidR="00AC1A59" w:rsidRPr="00AC1A59">
        <w:rPr>
          <w:szCs w:val="20"/>
        </w:rPr>
        <w:t xml:space="preserve"> </w:t>
      </w:r>
      <w:r w:rsidRPr="00FD633C">
        <w:t>properties</w:t>
      </w:r>
      <w:r w:rsidR="00AC1A59" w:rsidRPr="00AC1A59">
        <w:rPr>
          <w:szCs w:val="20"/>
        </w:rPr>
        <w:t xml:space="preserve"> </w:t>
      </w:r>
      <w:r w:rsidRPr="00FD633C">
        <w:t>(houses, apartments,</w:t>
      </w:r>
      <w:r w:rsidR="00AC1A59" w:rsidRPr="00AC1A59">
        <w:rPr>
          <w:szCs w:val="20"/>
        </w:rPr>
        <w:t xml:space="preserve"> </w:t>
      </w:r>
      <w:r w:rsidRPr="00FD633C">
        <w:t>masts</w:t>
      </w:r>
      <w:r w:rsidR="00AC1A59" w:rsidRPr="00AC1A59">
        <w:rPr>
          <w:szCs w:val="20"/>
        </w:rPr>
        <w:t xml:space="preserve"> </w:t>
      </w:r>
      <w:r w:rsidRPr="00FD633C">
        <w:t>and</w:t>
      </w:r>
      <w:r w:rsidR="00AC1A59" w:rsidRPr="00AC1A59">
        <w:rPr>
          <w:szCs w:val="20"/>
        </w:rPr>
        <w:t xml:space="preserve"> </w:t>
      </w:r>
      <w:r w:rsidRPr="00FD633C">
        <w:t>antenna</w:t>
      </w:r>
      <w:r w:rsidR="004E083D" w:rsidRPr="00FD633C">
        <w:t>e</w:t>
      </w:r>
      <w:r w:rsidRPr="00FD633C">
        <w:t xml:space="preserve"> and</w:t>
      </w:r>
      <w:r w:rsidR="00AC1A59" w:rsidRPr="00AC1A59">
        <w:rPr>
          <w:szCs w:val="20"/>
        </w:rPr>
        <w:t xml:space="preserve"> </w:t>
      </w:r>
      <w:r w:rsidRPr="00FD633C">
        <w:t>swimming</w:t>
      </w:r>
      <w:r w:rsidR="00AC1A59" w:rsidRPr="00AC1A59">
        <w:rPr>
          <w:szCs w:val="20"/>
        </w:rPr>
        <w:t xml:space="preserve"> pools).</w:t>
      </w:r>
    </w:p>
    <w:p w:rsidR="004F7D03" w:rsidRPr="00427EE1" w:rsidRDefault="004F7D03" w:rsidP="000469E0">
      <w:pPr>
        <w:rPr>
          <w:sz w:val="13"/>
          <w:szCs w:val="13"/>
        </w:rPr>
      </w:pPr>
      <w:r w:rsidRPr="00FD633C">
        <w:t>There</w:t>
      </w:r>
      <w:r w:rsidR="00AC1A59" w:rsidRPr="00AC1A59">
        <w:rPr>
          <w:szCs w:val="20"/>
        </w:rPr>
        <w:t xml:space="preserve"> </w:t>
      </w:r>
      <w:r w:rsidRPr="00FD633C">
        <w:t>are</w:t>
      </w:r>
      <w:r w:rsidR="00AC1A59" w:rsidRPr="00AC1A59">
        <w:rPr>
          <w:szCs w:val="20"/>
        </w:rPr>
        <w:t xml:space="preserve"> </w:t>
      </w:r>
      <w:r w:rsidRPr="00FD633C">
        <w:t>several</w:t>
      </w:r>
      <w:r w:rsidR="00AC1A59" w:rsidRPr="00AC1A59">
        <w:rPr>
          <w:sz w:val="24"/>
        </w:rPr>
        <w:t xml:space="preserve"> </w:t>
      </w:r>
      <w:r w:rsidRPr="00FD633C">
        <w:t>requirements</w:t>
      </w:r>
      <w:r w:rsidR="00AC1A59" w:rsidRPr="00AC1A59">
        <w:rPr>
          <w:sz w:val="24"/>
        </w:rPr>
        <w:t xml:space="preserve"> </w:t>
      </w:r>
      <w:r w:rsidRPr="00FD633C">
        <w:t>to</w:t>
      </w:r>
      <w:r w:rsidR="00AC1A59" w:rsidRPr="00AC1A59">
        <w:rPr>
          <w:sz w:val="24"/>
        </w:rPr>
        <w:t xml:space="preserve"> </w:t>
      </w:r>
      <w:r w:rsidRPr="00FD633C">
        <w:t>become</w:t>
      </w:r>
      <w:r w:rsidR="00AC1A59" w:rsidRPr="00AC1A59">
        <w:rPr>
          <w:sz w:val="24"/>
        </w:rPr>
        <w:t xml:space="preserve"> </w:t>
      </w:r>
      <w:r w:rsidRPr="00FD633C">
        <w:t>a</w:t>
      </w:r>
      <w:r w:rsidR="00AC1A59" w:rsidRPr="00AC1A59">
        <w:rPr>
          <w:sz w:val="24"/>
        </w:rPr>
        <w:t xml:space="preserve"> </w:t>
      </w:r>
      <w:r w:rsidRPr="00FD633C">
        <w:t>registered</w:t>
      </w:r>
      <w:r w:rsidR="00AC1A59" w:rsidRPr="00AC1A59">
        <w:rPr>
          <w:sz w:val="24"/>
        </w:rPr>
        <w:t xml:space="preserve"> </w:t>
      </w:r>
      <w:r w:rsidRPr="00FD633C">
        <w:t>building</w:t>
      </w:r>
      <w:r w:rsidR="00AC1A59" w:rsidRPr="00AC1A59">
        <w:rPr>
          <w:sz w:val="24"/>
        </w:rPr>
        <w:t xml:space="preserve"> </w:t>
      </w:r>
      <w:r w:rsidRPr="001B3094">
        <w:t>surveyor.</w:t>
      </w:r>
      <w:r w:rsidR="00AC1A59" w:rsidRPr="001B3094">
        <w:t xml:space="preserve"> </w:t>
      </w:r>
      <w:r w:rsidRPr="001B3094">
        <w:t>In</w:t>
      </w:r>
      <w:r w:rsidR="00AC1A59" w:rsidRPr="001B3094">
        <w:t xml:space="preserve"> addition </w:t>
      </w:r>
      <w:r w:rsidRPr="001B3094">
        <w:t>to</w:t>
      </w:r>
      <w:r w:rsidR="00AC1A59" w:rsidRPr="001B3094">
        <w:t xml:space="preserve"> </w:t>
      </w:r>
      <w:r w:rsidRPr="001B3094">
        <w:t>tertiary</w:t>
      </w:r>
      <w:r w:rsidR="00AC1A59" w:rsidRPr="001B3094">
        <w:t xml:space="preserve"> </w:t>
      </w:r>
      <w:r w:rsidRPr="001B3094">
        <w:t>qualifications</w:t>
      </w:r>
      <w:r w:rsidR="00AC1A59" w:rsidRPr="001B3094">
        <w:t xml:space="preserve"> </w:t>
      </w:r>
      <w:r w:rsidRPr="001B3094">
        <w:t>in</w:t>
      </w:r>
      <w:r w:rsidR="00AC1A59" w:rsidRPr="001B3094">
        <w:t xml:space="preserve"> building </w:t>
      </w:r>
      <w:r w:rsidRPr="001B3094">
        <w:t>surveying,</w:t>
      </w:r>
      <w:r w:rsidR="00AC1A59" w:rsidRPr="001B3094">
        <w:t xml:space="preserve"> </w:t>
      </w:r>
      <w:r w:rsidRPr="001B3094">
        <w:t>surveyors</w:t>
      </w:r>
      <w:r w:rsidR="00AC1A59" w:rsidRPr="001B3094">
        <w:t xml:space="preserve"> </w:t>
      </w:r>
      <w:r w:rsidRPr="001B3094">
        <w:t>must</w:t>
      </w:r>
      <w:r w:rsidR="00AC1A59" w:rsidRPr="001B3094">
        <w:t xml:space="preserve"> also </w:t>
      </w:r>
      <w:r w:rsidRPr="001B3094">
        <w:t>have</w:t>
      </w:r>
      <w:r w:rsidR="00AC1A59" w:rsidRPr="001B3094">
        <w:t xml:space="preserve"> </w:t>
      </w:r>
      <w:r w:rsidRPr="001B3094">
        <w:t>at</w:t>
      </w:r>
      <w:r w:rsidR="00AC1A59" w:rsidRPr="00AC1A59">
        <w:rPr>
          <w:sz w:val="24"/>
        </w:rPr>
        <w:t xml:space="preserve"> </w:t>
      </w:r>
      <w:r w:rsidRPr="00FD633C">
        <w:t>least</w:t>
      </w:r>
      <w:r w:rsidR="00AC1A59" w:rsidRPr="00AC1A59">
        <w:rPr>
          <w:sz w:val="24"/>
        </w:rPr>
        <w:t xml:space="preserve"> </w:t>
      </w:r>
      <w:r w:rsidRPr="00FD633C">
        <w:t>four</w:t>
      </w:r>
      <w:r w:rsidR="00AC1A59" w:rsidRPr="00AC1A59">
        <w:rPr>
          <w:sz w:val="24"/>
        </w:rPr>
        <w:t xml:space="preserve"> </w:t>
      </w:r>
      <w:r w:rsidRPr="00FD633C">
        <w:t>years</w:t>
      </w:r>
      <w:r w:rsidR="00AC1A59" w:rsidRPr="00AC1A59">
        <w:rPr>
          <w:sz w:val="24"/>
        </w:rPr>
        <w:t xml:space="preserve"> </w:t>
      </w:r>
      <w:r w:rsidRPr="00FD633C">
        <w:t>of</w:t>
      </w:r>
      <w:r w:rsidRPr="00BD12F1">
        <w:t xml:space="preserve"> </w:t>
      </w:r>
      <w:r w:rsidR="00AC1A59" w:rsidRPr="001B3094">
        <w:t>practical</w:t>
      </w:r>
      <w:r w:rsidR="00AC1A59" w:rsidRPr="00AC1A59">
        <w:rPr>
          <w:sz w:val="24"/>
        </w:rPr>
        <w:t xml:space="preserve"> </w:t>
      </w:r>
      <w:r w:rsidRPr="00FD633C">
        <w:t>experience</w:t>
      </w:r>
      <w:r w:rsidRPr="00427EE1">
        <w:t>.</w:t>
      </w:r>
      <w:r w:rsidRPr="00427EE1">
        <w:rPr>
          <w:rStyle w:val="FootnoteReference"/>
          <w:rFonts w:cstheme="minorHAnsi"/>
          <w:color w:val="auto"/>
        </w:rPr>
        <w:footnoteReference w:id="23"/>
      </w:r>
      <w:r w:rsidRPr="00427EE1">
        <w:rPr>
          <w:spacing w:val="8"/>
          <w:position w:val="9"/>
          <w:sz w:val="13"/>
        </w:rPr>
        <w:t xml:space="preserve"> </w:t>
      </w:r>
      <w:r w:rsidRPr="00FD633C">
        <w:t>Once</w:t>
      </w:r>
      <w:r w:rsidR="00AC1A59" w:rsidRPr="00AC1A59">
        <w:rPr>
          <w:sz w:val="24"/>
        </w:rPr>
        <w:t xml:space="preserve"> </w:t>
      </w:r>
      <w:r w:rsidR="00AC1A59" w:rsidRPr="001B3094">
        <w:t xml:space="preserve">registered, </w:t>
      </w:r>
      <w:r w:rsidRPr="001B3094">
        <w:t>building</w:t>
      </w:r>
      <w:r w:rsidR="00AC1A59" w:rsidRPr="001B3094">
        <w:t xml:space="preserve"> </w:t>
      </w:r>
      <w:r w:rsidRPr="001B3094">
        <w:t>surveyors</w:t>
      </w:r>
      <w:r w:rsidR="00AC1A59" w:rsidRPr="001B3094">
        <w:t xml:space="preserve"> </w:t>
      </w:r>
      <w:r w:rsidRPr="001B3094">
        <w:t>must</w:t>
      </w:r>
      <w:r w:rsidR="00AC1A59" w:rsidRPr="001B3094">
        <w:t xml:space="preserve"> </w:t>
      </w:r>
      <w:r w:rsidRPr="001B3094">
        <w:t>have</w:t>
      </w:r>
      <w:r w:rsidR="00AC1A59" w:rsidRPr="001B3094">
        <w:t xml:space="preserve"> </w:t>
      </w:r>
      <w:r w:rsidRPr="001B3094">
        <w:t>professional</w:t>
      </w:r>
      <w:r w:rsidR="00AC1A59" w:rsidRPr="001B3094">
        <w:t xml:space="preserve"> </w:t>
      </w:r>
      <w:r w:rsidRPr="001B3094">
        <w:t>liability insurance</w:t>
      </w:r>
      <w:r w:rsidR="00AC1A59" w:rsidRPr="001B3094">
        <w:t xml:space="preserve"> </w:t>
      </w:r>
      <w:r w:rsidRPr="001B3094">
        <w:t>as</w:t>
      </w:r>
      <w:r w:rsidR="00AC1A59" w:rsidRPr="001B3094">
        <w:t xml:space="preserve"> </w:t>
      </w:r>
      <w:r w:rsidRPr="001B3094">
        <w:t>specified</w:t>
      </w:r>
      <w:r w:rsidR="00AC1A59" w:rsidRPr="001B3094">
        <w:t xml:space="preserve"> </w:t>
      </w:r>
      <w:r w:rsidRPr="001B3094">
        <w:t>in</w:t>
      </w:r>
      <w:r w:rsidR="00AC1A59" w:rsidRPr="001B3094">
        <w:t xml:space="preserve"> </w:t>
      </w:r>
      <w:r w:rsidRPr="001B3094">
        <w:t>the</w:t>
      </w:r>
      <w:r w:rsidR="00AC1A59" w:rsidRPr="001B3094">
        <w:t xml:space="preserve"> Building Practitioners' </w:t>
      </w:r>
      <w:r w:rsidRPr="001B3094">
        <w:t>Insurance</w:t>
      </w:r>
      <w:r w:rsidR="00AC1A59" w:rsidRPr="001B3094">
        <w:t xml:space="preserve"> Ministerial</w:t>
      </w:r>
      <w:r w:rsidRPr="001B3094">
        <w:t xml:space="preserve"> Order</w:t>
      </w:r>
      <w:r w:rsidR="00AC1A59" w:rsidRPr="00AC1A59">
        <w:rPr>
          <w:sz w:val="24"/>
        </w:rPr>
        <w:t xml:space="preserve"> </w:t>
      </w:r>
      <w:r w:rsidRPr="00FD633C">
        <w:t>under</w:t>
      </w:r>
      <w:r w:rsidR="00AC1A59" w:rsidRPr="00AC1A59">
        <w:rPr>
          <w:sz w:val="24"/>
        </w:rPr>
        <w:t xml:space="preserve"> </w:t>
      </w:r>
      <w:r w:rsidR="00FD633C">
        <w:t xml:space="preserve">s </w:t>
      </w:r>
      <w:r w:rsidRPr="00FD633C">
        <w:t>135</w:t>
      </w:r>
      <w:r w:rsidR="00AC1A59" w:rsidRPr="00AC1A59">
        <w:rPr>
          <w:sz w:val="24"/>
        </w:rPr>
        <w:t xml:space="preserve"> </w:t>
      </w:r>
      <w:r w:rsidRPr="00FD633C">
        <w:t>of</w:t>
      </w:r>
      <w:r w:rsidR="00AC1A59" w:rsidRPr="00AC1A59">
        <w:rPr>
          <w:sz w:val="24"/>
        </w:rPr>
        <w:t xml:space="preserve"> </w:t>
      </w:r>
      <w:r w:rsidRPr="00FD633C">
        <w:t>the</w:t>
      </w:r>
      <w:r w:rsidR="00AC1A59" w:rsidRPr="00AC1A59">
        <w:rPr>
          <w:sz w:val="24"/>
        </w:rPr>
        <w:t xml:space="preserve"> </w:t>
      </w:r>
      <w:r w:rsidRPr="00FD633C">
        <w:t>Act</w:t>
      </w:r>
      <w:r w:rsidRPr="00427EE1">
        <w:t>.</w:t>
      </w:r>
      <w:r w:rsidRPr="00427EE1">
        <w:rPr>
          <w:rStyle w:val="FootnoteReference"/>
          <w:rFonts w:cstheme="minorHAnsi"/>
          <w:color w:val="auto"/>
        </w:rPr>
        <w:footnoteReference w:id="24"/>
      </w:r>
      <w:r w:rsidRPr="00427EE1">
        <w:t xml:space="preserve"> </w:t>
      </w:r>
      <w:r w:rsidR="00FD633C">
        <w:t xml:space="preserve">Part C </w:t>
      </w:r>
      <w:r w:rsidR="00B42BC9">
        <w:t xml:space="preserve">of this regulatory impact statement (RIS) </w:t>
      </w:r>
      <w:r w:rsidR="00FD633C">
        <w:t xml:space="preserve">has </w:t>
      </w:r>
      <w:r w:rsidRPr="00FD633C">
        <w:t xml:space="preserve">further </w:t>
      </w:r>
      <w:r w:rsidR="00FD633C">
        <w:t xml:space="preserve">explanation </w:t>
      </w:r>
      <w:r w:rsidRPr="00FD633C">
        <w:t>of registration requirements.</w:t>
      </w:r>
    </w:p>
    <w:p w:rsidR="004F7D03" w:rsidRPr="00427EE1" w:rsidRDefault="004F7D03" w:rsidP="000469E0">
      <w:pPr>
        <w:rPr>
          <w:sz w:val="13"/>
          <w:szCs w:val="13"/>
        </w:rPr>
      </w:pPr>
      <w:r w:rsidRPr="00FD633C">
        <w:t>As</w:t>
      </w:r>
      <w:r w:rsidR="00AC1A59" w:rsidRPr="00AC1A59">
        <w:rPr>
          <w:szCs w:val="20"/>
        </w:rPr>
        <w:t xml:space="preserve"> </w:t>
      </w:r>
      <w:r w:rsidRPr="00FD633C">
        <w:t>mentioned</w:t>
      </w:r>
      <w:r w:rsidR="00FD633C">
        <w:t xml:space="preserve"> previously</w:t>
      </w:r>
      <w:r w:rsidRPr="00FD633C">
        <w:t>,</w:t>
      </w:r>
      <w:r w:rsidR="00AC1A59" w:rsidRPr="00AC1A59">
        <w:rPr>
          <w:szCs w:val="20"/>
        </w:rPr>
        <w:t xml:space="preserve"> </w:t>
      </w:r>
      <w:r w:rsidRPr="00FD633C">
        <w:t>the</w:t>
      </w:r>
      <w:r w:rsidR="00AC1A59" w:rsidRPr="00AC1A59">
        <w:rPr>
          <w:szCs w:val="20"/>
        </w:rPr>
        <w:t xml:space="preserve"> </w:t>
      </w:r>
      <w:r w:rsidR="00BE0D18">
        <w:t>RBS</w:t>
      </w:r>
      <w:r w:rsidR="00AD76BC" w:rsidRPr="00FD633C">
        <w:t xml:space="preserve"> must cause building work to be inspected </w:t>
      </w:r>
      <w:r w:rsidRPr="00FD633C">
        <w:t>during</w:t>
      </w:r>
      <w:r w:rsidR="00AC1A59" w:rsidRPr="00AC1A59">
        <w:rPr>
          <w:szCs w:val="20"/>
        </w:rPr>
        <w:t xml:space="preserve"> </w:t>
      </w:r>
      <w:r w:rsidRPr="00FD633C">
        <w:t>the</w:t>
      </w:r>
      <w:r w:rsidR="00AC1A59" w:rsidRPr="00AC1A59">
        <w:rPr>
          <w:szCs w:val="20"/>
        </w:rPr>
        <w:t xml:space="preserve"> </w:t>
      </w:r>
      <w:r w:rsidRPr="00FD633C">
        <w:t>construction</w:t>
      </w:r>
      <w:r w:rsidR="00AC1A59" w:rsidRPr="00AC1A59">
        <w:rPr>
          <w:szCs w:val="20"/>
        </w:rPr>
        <w:t xml:space="preserve"> </w:t>
      </w:r>
      <w:r w:rsidRPr="00FD633C">
        <w:t>phase,</w:t>
      </w:r>
      <w:r w:rsidR="00AC1A59" w:rsidRPr="00AC1A59">
        <w:rPr>
          <w:szCs w:val="20"/>
        </w:rPr>
        <w:t xml:space="preserve"> </w:t>
      </w:r>
      <w:r w:rsidRPr="00FD633C">
        <w:t>specifically</w:t>
      </w:r>
      <w:r w:rsidR="00AC1A59" w:rsidRPr="00AC1A59">
        <w:rPr>
          <w:szCs w:val="20"/>
        </w:rPr>
        <w:t xml:space="preserve"> </w:t>
      </w:r>
      <w:r w:rsidRPr="00FD633C">
        <w:t>at</w:t>
      </w:r>
      <w:r w:rsidR="00AC1A59" w:rsidRPr="00AC1A59">
        <w:rPr>
          <w:szCs w:val="20"/>
        </w:rPr>
        <w:t xml:space="preserve"> </w:t>
      </w:r>
      <w:r w:rsidR="00FD633C">
        <w:t xml:space="preserve">the </w:t>
      </w:r>
      <w:r w:rsidRPr="00FD633C">
        <w:t>foundation,</w:t>
      </w:r>
      <w:r w:rsidR="00AC1A59" w:rsidRPr="00AC1A59">
        <w:rPr>
          <w:szCs w:val="20"/>
        </w:rPr>
        <w:t xml:space="preserve"> </w:t>
      </w:r>
      <w:r w:rsidRPr="00FD633C">
        <w:t>reinforcement,</w:t>
      </w:r>
      <w:r w:rsidR="00AC1A59" w:rsidRPr="00AC1A59">
        <w:rPr>
          <w:szCs w:val="20"/>
        </w:rPr>
        <w:t xml:space="preserve"> </w:t>
      </w:r>
      <w:r w:rsidRPr="00FD633C">
        <w:t>frame</w:t>
      </w:r>
      <w:r w:rsidR="00AC1A59" w:rsidRPr="00AC1A59">
        <w:rPr>
          <w:szCs w:val="20"/>
        </w:rPr>
        <w:t xml:space="preserve"> </w:t>
      </w:r>
      <w:r w:rsidRPr="001B3094">
        <w:t>and</w:t>
      </w:r>
      <w:r w:rsidR="00AC1A59" w:rsidRPr="001B3094">
        <w:t xml:space="preserve"> before</w:t>
      </w:r>
      <w:r w:rsidR="00FD633C" w:rsidRPr="001B3094">
        <w:t>-</w:t>
      </w:r>
      <w:r w:rsidRPr="00FD633C">
        <w:t>occupancy</w:t>
      </w:r>
      <w:r w:rsidR="00AC1A59" w:rsidRPr="00AC1A59">
        <w:rPr>
          <w:szCs w:val="20"/>
        </w:rPr>
        <w:t xml:space="preserve"> </w:t>
      </w:r>
      <w:r w:rsidRPr="00FD633C">
        <w:t>stages</w:t>
      </w:r>
      <w:r w:rsidR="00AC1A59" w:rsidRPr="00AC1A59">
        <w:rPr>
          <w:szCs w:val="20"/>
        </w:rPr>
        <w:t xml:space="preserve"> </w:t>
      </w:r>
      <w:r w:rsidRPr="00FD633C">
        <w:t>at</w:t>
      </w:r>
      <w:r w:rsidR="00AC1A59" w:rsidRPr="00AC1A59">
        <w:rPr>
          <w:szCs w:val="20"/>
        </w:rPr>
        <w:t xml:space="preserve"> </w:t>
      </w:r>
      <w:r w:rsidRPr="00FD633C">
        <w:t>a</w:t>
      </w:r>
      <w:r w:rsidR="00AC1A59" w:rsidRPr="00AC1A59">
        <w:rPr>
          <w:szCs w:val="20"/>
        </w:rPr>
        <w:t xml:space="preserve"> minimum.</w:t>
      </w:r>
      <w:r w:rsidRPr="00427EE1">
        <w:rPr>
          <w:rStyle w:val="FootnoteReference"/>
          <w:rFonts w:cstheme="minorHAnsi"/>
          <w:color w:val="auto"/>
          <w:spacing w:val="-1"/>
        </w:rPr>
        <w:footnoteReference w:id="25"/>
      </w:r>
    </w:p>
    <w:p w:rsidR="004F7D03" w:rsidRPr="00C14778" w:rsidRDefault="00C14778" w:rsidP="00C14778">
      <w:pPr>
        <w:pStyle w:val="Heading3"/>
      </w:pPr>
      <w:bookmarkStart w:id="21" w:name="_Toc481501561"/>
      <w:r w:rsidRPr="00C14778">
        <w:t>1.2.4</w:t>
      </w:r>
      <w:r w:rsidRPr="00C14778">
        <w:tab/>
      </w:r>
      <w:r w:rsidR="004F7D03" w:rsidRPr="00C14778">
        <w:t>Other major legislative frameworks that interact with building controls</w:t>
      </w:r>
      <w:bookmarkEnd w:id="21"/>
    </w:p>
    <w:p w:rsidR="00D615BC" w:rsidRPr="00FD633C" w:rsidRDefault="004F7D03" w:rsidP="00FD633C">
      <w:r w:rsidRPr="00FD633C">
        <w:t>The building system alone is not capable of providing for all desired outcomes and the legislation works by an integrated approach with planning, health</w:t>
      </w:r>
      <w:r w:rsidR="00AC1A59" w:rsidRPr="00AC1A59">
        <w:rPr>
          <w:szCs w:val="20"/>
        </w:rPr>
        <w:t xml:space="preserve"> and consumer law.</w:t>
      </w:r>
    </w:p>
    <w:p w:rsidR="00B717DD" w:rsidRPr="001B3094" w:rsidRDefault="00AC1A59">
      <w:r w:rsidRPr="001B3094">
        <w:t xml:space="preserve">Victoria's building regulatory system is governed by a number of laws and Regulations which do not fall within the scope of the </w:t>
      </w:r>
      <w:r w:rsidR="00FD633C" w:rsidRPr="001B3094">
        <w:t xml:space="preserve">this </w:t>
      </w:r>
      <w:r w:rsidR="004F7D03" w:rsidRPr="001B3094">
        <w:t xml:space="preserve">review of sunsetting </w:t>
      </w:r>
      <w:r w:rsidRPr="001B3094">
        <w:t>Regulations.</w:t>
      </w:r>
    </w:p>
    <w:p w:rsidR="00E657D7" w:rsidRDefault="004F7D03" w:rsidP="00C14778">
      <w:pPr>
        <w:pStyle w:val="Heading4"/>
      </w:pPr>
      <w:r w:rsidRPr="00427EE1">
        <w:t>Planning and Environment Act 1987</w:t>
      </w:r>
    </w:p>
    <w:p w:rsidR="00D615BC" w:rsidRPr="00427EE1" w:rsidRDefault="00AD76BC" w:rsidP="000469E0">
      <w:r w:rsidRPr="00427EE1">
        <w:t xml:space="preserve">The use and development of land is </w:t>
      </w:r>
      <w:r w:rsidR="004F7D03" w:rsidRPr="00427EE1">
        <w:t xml:space="preserve">controlled by the </w:t>
      </w:r>
      <w:r w:rsidR="004F7D03" w:rsidRPr="00427EE1">
        <w:rPr>
          <w:i/>
        </w:rPr>
        <w:t>Planning and Environment Act 198</w:t>
      </w:r>
      <w:r w:rsidRPr="00427EE1">
        <w:rPr>
          <w:i/>
        </w:rPr>
        <w:t>7</w:t>
      </w:r>
      <w:r w:rsidR="004F7D03" w:rsidRPr="00427EE1">
        <w:t xml:space="preserve">. </w:t>
      </w:r>
      <w:r w:rsidRPr="00427EE1">
        <w:t>A proposed use or development of land may trigger a requirement to obtain a planning permit under the Planning and Environment Act, depending on the requirements of the relevant planning scheme. A building permit is required to carry out building work on land under the Act, unless that building work is exempt from the requirement to obtain a building permit.</w:t>
      </w:r>
    </w:p>
    <w:p w:rsidR="004F7D03" w:rsidRPr="00427EE1" w:rsidRDefault="004F7D03" w:rsidP="000469E0">
      <w:r w:rsidRPr="00427EE1">
        <w:t xml:space="preserve">A planning permit allows land to be subdivided, developed or used for a particular purpose. Planning permits are issued by </w:t>
      </w:r>
      <w:r w:rsidR="00FD633C">
        <w:t xml:space="preserve">a </w:t>
      </w:r>
      <w:r w:rsidRPr="00427EE1">
        <w:t>council in accordance with their planning scheme</w:t>
      </w:r>
      <w:r w:rsidR="00AD76BC" w:rsidRPr="00427EE1">
        <w:t xml:space="preserve"> under the Planning and Environment Act.</w:t>
      </w:r>
      <w:r w:rsidRPr="00427EE1">
        <w:rPr>
          <w:vertAlign w:val="superscript"/>
        </w:rPr>
        <w:footnoteReference w:id="26"/>
      </w:r>
      <w:r w:rsidRPr="00427EE1">
        <w:t xml:space="preserve"> Building permits relate to the construction process and are issued by </w:t>
      </w:r>
      <w:r w:rsidR="00454D16" w:rsidRPr="00427EE1">
        <w:t xml:space="preserve">the </w:t>
      </w:r>
      <w:r w:rsidR="00AB414E">
        <w:t>RBS</w:t>
      </w:r>
      <w:r w:rsidRPr="00427EE1">
        <w:t xml:space="preserve"> under the </w:t>
      </w:r>
      <w:r w:rsidR="008911CB">
        <w:t>Regulations</w:t>
      </w:r>
      <w:r w:rsidRPr="00427EE1">
        <w:t>.</w:t>
      </w:r>
    </w:p>
    <w:p w:rsidR="004F7D03" w:rsidRPr="001B3094" w:rsidRDefault="00F65CB2" w:rsidP="000469E0">
      <w:r w:rsidRPr="001B3094">
        <w:t xml:space="preserve">If </w:t>
      </w:r>
      <w:r w:rsidR="00AC1A59" w:rsidRPr="001B3094">
        <w:t>a planning permit is required, it must be issued before the issue of a building permit. A building permit must be consistent with requirements of a planning permit.</w:t>
      </w:r>
    </w:p>
    <w:p w:rsidR="002D5E35" w:rsidRDefault="002D5E35">
      <w:pPr>
        <w:spacing w:after="0"/>
        <w:rPr>
          <w:b/>
          <w:color w:val="00B2A9" w:themeColor="accent1"/>
        </w:rPr>
      </w:pPr>
      <w:r>
        <w:rPr>
          <w:b/>
          <w:color w:val="00B2A9" w:themeColor="accent1"/>
        </w:rPr>
        <w:br w:type="page"/>
      </w:r>
    </w:p>
    <w:p w:rsidR="004F7D03" w:rsidRPr="00427EE1" w:rsidRDefault="004C29A2" w:rsidP="000469E0">
      <w:r w:rsidRPr="00DE6971">
        <w:rPr>
          <w:b/>
          <w:color w:val="00B2A9" w:themeColor="accent1"/>
        </w:rPr>
        <w:lastRenderedPageBreak/>
        <w:fldChar w:fldCharType="begin"/>
      </w:r>
      <w:r w:rsidRPr="004C29A2">
        <w:rPr>
          <w:b/>
          <w:color w:val="00B2A9" w:themeColor="accent1"/>
        </w:rPr>
        <w:instrText xml:space="preserve"> REF _Ref467139121 \h </w:instrText>
      </w:r>
      <w:r w:rsidRPr="006119D2">
        <w:rPr>
          <w:b/>
          <w:color w:val="00B2A9" w:themeColor="accent1"/>
        </w:rPr>
        <w:instrText xml:space="preserve"> \* MERGEFORMAT </w:instrText>
      </w:r>
      <w:r w:rsidRPr="00DE6971">
        <w:rPr>
          <w:b/>
          <w:color w:val="00B2A9" w:themeColor="accent1"/>
        </w:rPr>
      </w:r>
      <w:r w:rsidRPr="00DE6971">
        <w:rPr>
          <w:b/>
          <w:color w:val="00B2A9" w:themeColor="accent1"/>
        </w:rPr>
        <w:fldChar w:fldCharType="separate"/>
      </w:r>
      <w:r w:rsidR="00B30389" w:rsidRPr="00B30389">
        <w:rPr>
          <w:b/>
          <w:color w:val="00B2A9" w:themeColor="accent1"/>
        </w:rPr>
        <w:t>Table 1</w:t>
      </w:r>
      <w:r w:rsidRPr="00DE6971">
        <w:rPr>
          <w:b/>
          <w:color w:val="00B2A9" w:themeColor="accent1"/>
        </w:rPr>
        <w:fldChar w:fldCharType="end"/>
      </w:r>
      <w:r>
        <w:rPr>
          <w:b/>
          <w:color w:val="00B2A9" w:themeColor="accent1"/>
        </w:rPr>
        <w:t xml:space="preserve"> </w:t>
      </w:r>
      <w:r w:rsidR="004F7D03" w:rsidRPr="00427EE1">
        <w:t>sets out the key areas that are subject to planning controls and how those controls operate.</w:t>
      </w:r>
    </w:p>
    <w:p w:rsidR="004F7D03" w:rsidRPr="00427EE1" w:rsidRDefault="004F7D03" w:rsidP="0080262C">
      <w:pPr>
        <w:pStyle w:val="Caption"/>
      </w:pPr>
      <w:bookmarkStart w:id="22" w:name="_Ref467139121"/>
      <w:bookmarkStart w:id="23" w:name="_Toc481499856"/>
      <w:r w:rsidRPr="00427EE1">
        <w:t xml:space="preserve">Table </w:t>
      </w:r>
      <w:r w:rsidR="00AC1A59" w:rsidRPr="00427EE1">
        <w:fldChar w:fldCharType="begin"/>
      </w:r>
      <w:r w:rsidR="00E90082" w:rsidRPr="00427EE1">
        <w:instrText xml:space="preserve"> SEQ Table \* ARABIC </w:instrText>
      </w:r>
      <w:r w:rsidR="00AC1A59" w:rsidRPr="00427EE1">
        <w:fldChar w:fldCharType="separate"/>
      </w:r>
      <w:r w:rsidR="00B30389">
        <w:rPr>
          <w:noProof/>
        </w:rPr>
        <w:t>1</w:t>
      </w:r>
      <w:r w:rsidR="00AC1A59" w:rsidRPr="00427EE1">
        <w:fldChar w:fldCharType="end"/>
      </w:r>
      <w:bookmarkEnd w:id="22"/>
      <w:r w:rsidRPr="00427EE1">
        <w:t>: Planning and building responses to address natural and human</w:t>
      </w:r>
      <w:r w:rsidR="00FD633C">
        <w:t>-</w:t>
      </w:r>
      <w:r w:rsidRPr="00427EE1">
        <w:t>made hazards and access barriers</w:t>
      </w:r>
      <w:bookmarkEnd w:id="23"/>
    </w:p>
    <w:tbl>
      <w:tblPr>
        <w:tblStyle w:val="TableGrid"/>
        <w:tblW w:w="8290"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ook w:val="04A0" w:firstRow="1" w:lastRow="0" w:firstColumn="1" w:lastColumn="0" w:noHBand="0" w:noVBand="1"/>
      </w:tblPr>
      <w:tblGrid>
        <w:gridCol w:w="2763"/>
        <w:gridCol w:w="2763"/>
        <w:gridCol w:w="2764"/>
      </w:tblGrid>
      <w:tr w:rsidR="004F7D03" w:rsidRPr="00C14778" w:rsidTr="006768D4">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2763" w:type="dxa"/>
            <w:shd w:val="clear" w:color="auto" w:fill="00B2A9" w:themeFill="accent1"/>
          </w:tcPr>
          <w:p w:rsidR="004F7D03" w:rsidRPr="00C14778" w:rsidRDefault="004F7D03" w:rsidP="0080262C">
            <w:pPr>
              <w:pStyle w:val="Tablecolumnhead"/>
              <w:rPr>
                <w:sz w:val="18"/>
                <w:szCs w:val="18"/>
              </w:rPr>
            </w:pPr>
            <w:r w:rsidRPr="00C14778">
              <w:rPr>
                <w:sz w:val="18"/>
                <w:szCs w:val="18"/>
              </w:rPr>
              <w:t>Key areas</w:t>
            </w:r>
          </w:p>
        </w:tc>
        <w:tc>
          <w:tcPr>
            <w:tcW w:w="2763" w:type="dxa"/>
            <w:shd w:val="clear" w:color="auto" w:fill="00B2A9" w:themeFill="accent1"/>
          </w:tcPr>
          <w:p w:rsidR="004F7D03" w:rsidRPr="00C14778" w:rsidRDefault="004F7D03" w:rsidP="0080262C">
            <w:pPr>
              <w:pStyle w:val="Tablecolumnhead"/>
              <w:cnfStyle w:val="100000000000" w:firstRow="1" w:lastRow="0" w:firstColumn="0" w:lastColumn="0" w:oddVBand="0" w:evenVBand="0" w:oddHBand="0" w:evenHBand="0" w:firstRowFirstColumn="0" w:firstRowLastColumn="0" w:lastRowFirstColumn="0" w:lastRowLastColumn="0"/>
              <w:rPr>
                <w:sz w:val="18"/>
                <w:szCs w:val="18"/>
              </w:rPr>
            </w:pPr>
            <w:r w:rsidRPr="00C14778">
              <w:rPr>
                <w:sz w:val="18"/>
                <w:szCs w:val="18"/>
              </w:rPr>
              <w:t>Planning response</w:t>
            </w:r>
          </w:p>
        </w:tc>
        <w:tc>
          <w:tcPr>
            <w:tcW w:w="2764" w:type="dxa"/>
            <w:shd w:val="clear" w:color="auto" w:fill="00B2A9" w:themeFill="accent1"/>
          </w:tcPr>
          <w:p w:rsidR="004F7D03" w:rsidRPr="00C14778" w:rsidRDefault="004F7D03" w:rsidP="0080262C">
            <w:pPr>
              <w:pStyle w:val="Tablecolumnhead"/>
              <w:cnfStyle w:val="100000000000" w:firstRow="1" w:lastRow="0" w:firstColumn="0" w:lastColumn="0" w:oddVBand="0" w:evenVBand="0" w:oddHBand="0" w:evenHBand="0" w:firstRowFirstColumn="0" w:firstRowLastColumn="0" w:lastRowFirstColumn="0" w:lastRowLastColumn="0"/>
              <w:rPr>
                <w:sz w:val="18"/>
                <w:szCs w:val="18"/>
              </w:rPr>
            </w:pPr>
            <w:r w:rsidRPr="00C14778">
              <w:rPr>
                <w:sz w:val="18"/>
                <w:szCs w:val="18"/>
              </w:rPr>
              <w:t>Building response</w:t>
            </w:r>
          </w:p>
        </w:tc>
      </w:tr>
      <w:tr w:rsidR="004F7D03" w:rsidRPr="00C14778" w:rsidTr="006768D4">
        <w:tc>
          <w:tcPr>
            <w:tcW w:w="2763" w:type="dxa"/>
          </w:tcPr>
          <w:p w:rsidR="004F7D03" w:rsidRPr="00C14778" w:rsidRDefault="004F7D03" w:rsidP="0080262C">
            <w:pPr>
              <w:pStyle w:val="Tabletext"/>
              <w:rPr>
                <w:sz w:val="18"/>
                <w:szCs w:val="18"/>
                <w:lang w:val="en-AU"/>
              </w:rPr>
            </w:pPr>
            <w:r w:rsidRPr="00C14778">
              <w:rPr>
                <w:sz w:val="18"/>
                <w:szCs w:val="18"/>
                <w:lang w:val="en-AU"/>
              </w:rPr>
              <w:t>Siting (privacy, sight lines and access to sunlight)</w:t>
            </w:r>
          </w:p>
        </w:tc>
        <w:tc>
          <w:tcPr>
            <w:tcW w:w="2763" w:type="dxa"/>
          </w:tcPr>
          <w:p w:rsidR="004F7D03" w:rsidRPr="00C14778" w:rsidRDefault="004F7D03" w:rsidP="0080262C">
            <w:pPr>
              <w:pStyle w:val="Tabletext"/>
              <w:rPr>
                <w:sz w:val="18"/>
                <w:szCs w:val="18"/>
                <w:lang w:val="en-AU"/>
              </w:rPr>
            </w:pPr>
            <w:r w:rsidRPr="00C14778">
              <w:rPr>
                <w:sz w:val="18"/>
                <w:szCs w:val="18"/>
                <w:lang w:val="en-AU"/>
              </w:rPr>
              <w:t>Victoria Planning Provisions</w:t>
            </w:r>
          </w:p>
        </w:tc>
        <w:tc>
          <w:tcPr>
            <w:tcW w:w="2764" w:type="dxa"/>
          </w:tcPr>
          <w:p w:rsidR="004F7D03" w:rsidRPr="00C14778" w:rsidRDefault="00EF2008" w:rsidP="0080262C">
            <w:pPr>
              <w:pStyle w:val="Tabletext"/>
              <w:rPr>
                <w:sz w:val="18"/>
                <w:szCs w:val="18"/>
                <w:lang w:val="en-AU"/>
              </w:rPr>
            </w:pPr>
            <w:r>
              <w:rPr>
                <w:sz w:val="18"/>
                <w:szCs w:val="18"/>
                <w:lang w:val="en-AU"/>
              </w:rPr>
              <w:t>Pt</w:t>
            </w:r>
            <w:r w:rsidR="008911CB" w:rsidRPr="00C14778">
              <w:rPr>
                <w:sz w:val="18"/>
                <w:szCs w:val="18"/>
                <w:lang w:val="en-AU"/>
              </w:rPr>
              <w:t xml:space="preserve"> </w:t>
            </w:r>
            <w:r w:rsidR="004F7D03" w:rsidRPr="00C14778">
              <w:rPr>
                <w:sz w:val="18"/>
                <w:szCs w:val="18"/>
                <w:lang w:val="en-AU"/>
              </w:rPr>
              <w:t>4 of the Regulations replicate the siting provisions of the planning framework</w:t>
            </w:r>
          </w:p>
        </w:tc>
      </w:tr>
      <w:tr w:rsidR="004F7D03" w:rsidRPr="00C14778" w:rsidTr="006768D4">
        <w:tc>
          <w:tcPr>
            <w:tcW w:w="2763" w:type="dxa"/>
          </w:tcPr>
          <w:p w:rsidR="004F7D03" w:rsidRPr="00C14778" w:rsidRDefault="004F7D03" w:rsidP="0080262C">
            <w:pPr>
              <w:pStyle w:val="Tabletext"/>
              <w:rPr>
                <w:sz w:val="18"/>
                <w:szCs w:val="18"/>
                <w:lang w:val="en-AU"/>
              </w:rPr>
            </w:pPr>
            <w:r w:rsidRPr="00C14778">
              <w:rPr>
                <w:sz w:val="18"/>
                <w:szCs w:val="18"/>
                <w:lang w:val="en-AU"/>
              </w:rPr>
              <w:t>Bushfire management</w:t>
            </w:r>
          </w:p>
        </w:tc>
        <w:tc>
          <w:tcPr>
            <w:tcW w:w="2763" w:type="dxa"/>
          </w:tcPr>
          <w:p w:rsidR="004F7D03" w:rsidRPr="00C14778" w:rsidRDefault="004F7D03" w:rsidP="0080262C">
            <w:pPr>
              <w:pStyle w:val="Tabletext"/>
              <w:rPr>
                <w:sz w:val="18"/>
                <w:szCs w:val="18"/>
                <w:lang w:val="en-AU"/>
              </w:rPr>
            </w:pPr>
            <w:r w:rsidRPr="00C14778">
              <w:rPr>
                <w:sz w:val="18"/>
                <w:szCs w:val="18"/>
                <w:lang w:val="en-AU"/>
              </w:rPr>
              <w:t>Overlays</w:t>
            </w:r>
          </w:p>
          <w:p w:rsidR="004F7D03" w:rsidRPr="00C14778" w:rsidRDefault="004F7D03" w:rsidP="0080262C">
            <w:pPr>
              <w:pStyle w:val="Tabletext"/>
              <w:rPr>
                <w:sz w:val="18"/>
                <w:szCs w:val="18"/>
                <w:lang w:val="en-AU"/>
              </w:rPr>
            </w:pPr>
            <w:r w:rsidRPr="00C14778">
              <w:rPr>
                <w:sz w:val="18"/>
                <w:szCs w:val="18"/>
                <w:lang w:val="en-AU"/>
              </w:rPr>
              <w:t>Victoria Planning Provisions</w:t>
            </w:r>
          </w:p>
        </w:tc>
        <w:tc>
          <w:tcPr>
            <w:tcW w:w="2764" w:type="dxa"/>
          </w:tcPr>
          <w:p w:rsidR="00D615BC" w:rsidRPr="00C14778" w:rsidRDefault="004F7D03" w:rsidP="0080262C">
            <w:pPr>
              <w:pStyle w:val="Tabletext"/>
              <w:rPr>
                <w:sz w:val="18"/>
                <w:szCs w:val="18"/>
                <w:lang w:val="en-AU"/>
              </w:rPr>
            </w:pPr>
            <w:r w:rsidRPr="00C14778">
              <w:rPr>
                <w:sz w:val="18"/>
                <w:szCs w:val="18"/>
                <w:lang w:val="en-AU"/>
              </w:rPr>
              <w:t xml:space="preserve">BCA </w:t>
            </w:r>
            <w:r w:rsidR="00FD633C" w:rsidRPr="00C14778">
              <w:rPr>
                <w:sz w:val="18"/>
                <w:szCs w:val="18"/>
                <w:lang w:val="en-AU"/>
              </w:rPr>
              <w:t>b</w:t>
            </w:r>
            <w:r w:rsidRPr="00C14778">
              <w:rPr>
                <w:sz w:val="18"/>
                <w:szCs w:val="18"/>
                <w:lang w:val="en-AU"/>
              </w:rPr>
              <w:t>uilding standards</w:t>
            </w:r>
            <w:r w:rsidR="00D71A15" w:rsidRPr="00C14778">
              <w:rPr>
                <w:sz w:val="18"/>
                <w:szCs w:val="18"/>
                <w:lang w:val="en-AU"/>
              </w:rPr>
              <w:t xml:space="preserve"> </w:t>
            </w:r>
            <w:r w:rsidRPr="00C14778">
              <w:rPr>
                <w:sz w:val="18"/>
                <w:szCs w:val="18"/>
                <w:lang w:val="en-AU"/>
              </w:rPr>
              <w:t>for bushfire</w:t>
            </w:r>
            <w:r w:rsidR="007C5A88" w:rsidRPr="00C14778">
              <w:rPr>
                <w:sz w:val="18"/>
                <w:szCs w:val="18"/>
                <w:lang w:val="en-AU"/>
              </w:rPr>
              <w:t>-</w:t>
            </w:r>
            <w:r w:rsidRPr="00C14778">
              <w:rPr>
                <w:sz w:val="18"/>
                <w:szCs w:val="18"/>
                <w:lang w:val="en-AU"/>
              </w:rPr>
              <w:t>prone areas</w:t>
            </w:r>
          </w:p>
          <w:p w:rsidR="004F7D03" w:rsidRPr="00C14778" w:rsidRDefault="004F7D03" w:rsidP="0080262C">
            <w:pPr>
              <w:pStyle w:val="Tabletext"/>
              <w:rPr>
                <w:sz w:val="18"/>
                <w:szCs w:val="18"/>
                <w:lang w:val="en-AU"/>
              </w:rPr>
            </w:pPr>
            <w:r w:rsidRPr="00C14778">
              <w:rPr>
                <w:sz w:val="18"/>
                <w:szCs w:val="18"/>
                <w:lang w:val="en-AU"/>
              </w:rPr>
              <w:t>Firefighting services</w:t>
            </w:r>
          </w:p>
          <w:p w:rsidR="00D615BC" w:rsidRPr="00C14778" w:rsidRDefault="004F7D03" w:rsidP="0080262C">
            <w:pPr>
              <w:pStyle w:val="Tabletext"/>
              <w:rPr>
                <w:sz w:val="18"/>
                <w:szCs w:val="18"/>
                <w:lang w:val="en-AU"/>
              </w:rPr>
            </w:pPr>
            <w:r w:rsidRPr="00C14778">
              <w:rPr>
                <w:sz w:val="18"/>
                <w:szCs w:val="18"/>
                <w:lang w:val="en-AU"/>
              </w:rPr>
              <w:t>Report and consent</w:t>
            </w:r>
          </w:p>
          <w:p w:rsidR="004F7D03" w:rsidRPr="00C14778" w:rsidRDefault="004F7D03" w:rsidP="0080262C">
            <w:pPr>
              <w:pStyle w:val="Tabletext"/>
              <w:rPr>
                <w:sz w:val="18"/>
                <w:szCs w:val="18"/>
                <w:lang w:val="en-AU"/>
              </w:rPr>
            </w:pPr>
            <w:r w:rsidRPr="00C14778">
              <w:rPr>
                <w:sz w:val="18"/>
                <w:szCs w:val="18"/>
                <w:lang w:val="en-AU"/>
              </w:rPr>
              <w:t>Mapping</w:t>
            </w:r>
          </w:p>
        </w:tc>
      </w:tr>
      <w:tr w:rsidR="004F7D03" w:rsidRPr="00C14778" w:rsidTr="006768D4">
        <w:tc>
          <w:tcPr>
            <w:tcW w:w="2763" w:type="dxa"/>
          </w:tcPr>
          <w:p w:rsidR="004F7D03" w:rsidRPr="00C14778" w:rsidRDefault="004F7D03" w:rsidP="0080262C">
            <w:pPr>
              <w:pStyle w:val="Tabletext"/>
              <w:rPr>
                <w:sz w:val="18"/>
                <w:szCs w:val="18"/>
                <w:lang w:val="en-AU"/>
              </w:rPr>
            </w:pPr>
            <w:r w:rsidRPr="00C14778">
              <w:rPr>
                <w:sz w:val="18"/>
                <w:szCs w:val="18"/>
                <w:lang w:val="en-AU"/>
              </w:rPr>
              <w:t>Flood areas</w:t>
            </w:r>
          </w:p>
        </w:tc>
        <w:tc>
          <w:tcPr>
            <w:tcW w:w="2763" w:type="dxa"/>
          </w:tcPr>
          <w:p w:rsidR="00D615BC" w:rsidRPr="00C14778" w:rsidRDefault="004F7D03" w:rsidP="0080262C">
            <w:pPr>
              <w:pStyle w:val="Tabletext"/>
              <w:rPr>
                <w:sz w:val="18"/>
                <w:szCs w:val="18"/>
                <w:lang w:val="en-AU"/>
              </w:rPr>
            </w:pPr>
            <w:r w:rsidRPr="00C14778">
              <w:rPr>
                <w:sz w:val="18"/>
                <w:szCs w:val="18"/>
                <w:lang w:val="en-AU"/>
              </w:rPr>
              <w:t>Zoning</w:t>
            </w:r>
          </w:p>
          <w:p w:rsidR="004F7D03" w:rsidRPr="00C14778" w:rsidRDefault="004F7D03" w:rsidP="0080262C">
            <w:pPr>
              <w:pStyle w:val="Tabletext"/>
              <w:rPr>
                <w:sz w:val="18"/>
                <w:szCs w:val="18"/>
                <w:lang w:val="en-AU"/>
              </w:rPr>
            </w:pPr>
            <w:r w:rsidRPr="00C14778">
              <w:rPr>
                <w:sz w:val="18"/>
                <w:szCs w:val="18"/>
                <w:lang w:val="en-AU"/>
              </w:rPr>
              <w:t>Overlays</w:t>
            </w:r>
          </w:p>
        </w:tc>
        <w:tc>
          <w:tcPr>
            <w:tcW w:w="2764" w:type="dxa"/>
          </w:tcPr>
          <w:p w:rsidR="00D615BC" w:rsidRPr="00C14778" w:rsidRDefault="004F7D03" w:rsidP="0080262C">
            <w:pPr>
              <w:pStyle w:val="Tabletext"/>
              <w:rPr>
                <w:sz w:val="18"/>
                <w:szCs w:val="18"/>
                <w:lang w:val="en-AU"/>
              </w:rPr>
            </w:pPr>
            <w:r w:rsidRPr="00C14778">
              <w:rPr>
                <w:sz w:val="18"/>
                <w:szCs w:val="18"/>
                <w:lang w:val="en-AU"/>
              </w:rPr>
              <w:t xml:space="preserve">BCA </w:t>
            </w:r>
            <w:r w:rsidR="00FD633C" w:rsidRPr="00C14778">
              <w:rPr>
                <w:sz w:val="18"/>
                <w:szCs w:val="18"/>
                <w:lang w:val="en-AU"/>
              </w:rPr>
              <w:t>b</w:t>
            </w:r>
            <w:r w:rsidRPr="00C14778">
              <w:rPr>
                <w:sz w:val="18"/>
                <w:szCs w:val="18"/>
                <w:lang w:val="en-AU"/>
              </w:rPr>
              <w:t>uilding standards</w:t>
            </w:r>
          </w:p>
          <w:p w:rsidR="00D615BC" w:rsidRPr="00C14778" w:rsidRDefault="004F7D03" w:rsidP="0080262C">
            <w:pPr>
              <w:pStyle w:val="Tabletext"/>
              <w:rPr>
                <w:sz w:val="18"/>
                <w:szCs w:val="18"/>
                <w:lang w:val="en-AU"/>
              </w:rPr>
            </w:pPr>
            <w:r w:rsidRPr="00C14778">
              <w:rPr>
                <w:sz w:val="18"/>
                <w:szCs w:val="18"/>
                <w:lang w:val="en-AU"/>
              </w:rPr>
              <w:t>Report and consent</w:t>
            </w:r>
          </w:p>
          <w:p w:rsidR="004F7D03" w:rsidRPr="00C14778" w:rsidRDefault="004F7D03" w:rsidP="0080262C">
            <w:pPr>
              <w:pStyle w:val="Tabletext"/>
              <w:rPr>
                <w:sz w:val="18"/>
                <w:szCs w:val="18"/>
                <w:lang w:val="en-AU"/>
              </w:rPr>
            </w:pPr>
            <w:r w:rsidRPr="00C14778">
              <w:rPr>
                <w:sz w:val="18"/>
                <w:szCs w:val="18"/>
                <w:lang w:val="en-AU"/>
              </w:rPr>
              <w:t>Mapping</w:t>
            </w:r>
          </w:p>
        </w:tc>
      </w:tr>
      <w:tr w:rsidR="004F7D03" w:rsidRPr="00C14778" w:rsidTr="006768D4">
        <w:tc>
          <w:tcPr>
            <w:tcW w:w="2763" w:type="dxa"/>
          </w:tcPr>
          <w:p w:rsidR="004F7D03" w:rsidRPr="00C14778" w:rsidRDefault="004F7D03" w:rsidP="0080262C">
            <w:pPr>
              <w:pStyle w:val="Tabletext"/>
              <w:rPr>
                <w:sz w:val="18"/>
                <w:szCs w:val="18"/>
                <w:lang w:val="en-AU"/>
              </w:rPr>
            </w:pPr>
            <w:r w:rsidRPr="00C14778">
              <w:rPr>
                <w:sz w:val="18"/>
                <w:szCs w:val="18"/>
                <w:lang w:val="en-AU"/>
              </w:rPr>
              <w:t>Salinity management</w:t>
            </w:r>
          </w:p>
        </w:tc>
        <w:tc>
          <w:tcPr>
            <w:tcW w:w="2763" w:type="dxa"/>
          </w:tcPr>
          <w:p w:rsidR="004F7D03" w:rsidRPr="00C14778" w:rsidRDefault="004F7D03" w:rsidP="0080262C">
            <w:pPr>
              <w:pStyle w:val="Tabletext"/>
              <w:rPr>
                <w:sz w:val="18"/>
                <w:szCs w:val="18"/>
                <w:lang w:val="en-AU"/>
              </w:rPr>
            </w:pPr>
            <w:r w:rsidRPr="00C14778">
              <w:rPr>
                <w:sz w:val="18"/>
                <w:szCs w:val="18"/>
                <w:lang w:val="en-AU"/>
              </w:rPr>
              <w:t>Overlay</w:t>
            </w:r>
          </w:p>
        </w:tc>
        <w:tc>
          <w:tcPr>
            <w:tcW w:w="2764" w:type="dxa"/>
          </w:tcPr>
          <w:p w:rsidR="004F7D03" w:rsidRPr="00C14778" w:rsidRDefault="004F7D03" w:rsidP="0080262C">
            <w:pPr>
              <w:pStyle w:val="Tabletext"/>
              <w:rPr>
                <w:sz w:val="18"/>
                <w:szCs w:val="18"/>
                <w:lang w:val="en-AU"/>
              </w:rPr>
            </w:pPr>
            <w:r w:rsidRPr="00C14778">
              <w:rPr>
                <w:sz w:val="18"/>
                <w:szCs w:val="18"/>
                <w:lang w:val="en-AU"/>
              </w:rPr>
              <w:t xml:space="preserve">Not regulated </w:t>
            </w:r>
          </w:p>
        </w:tc>
      </w:tr>
      <w:tr w:rsidR="004F7D03" w:rsidRPr="00C14778" w:rsidTr="006768D4">
        <w:tc>
          <w:tcPr>
            <w:tcW w:w="2763" w:type="dxa"/>
          </w:tcPr>
          <w:p w:rsidR="004F7D03" w:rsidRPr="00C14778" w:rsidRDefault="004F7D03" w:rsidP="0080262C">
            <w:pPr>
              <w:pStyle w:val="Tabletext"/>
              <w:rPr>
                <w:sz w:val="18"/>
                <w:szCs w:val="18"/>
                <w:lang w:val="en-AU"/>
              </w:rPr>
            </w:pPr>
            <w:r w:rsidRPr="00C14778">
              <w:rPr>
                <w:sz w:val="18"/>
                <w:szCs w:val="18"/>
                <w:lang w:val="en-AU"/>
              </w:rPr>
              <w:t>Alpine areas</w:t>
            </w:r>
          </w:p>
          <w:p w:rsidR="004F7D03" w:rsidRPr="00C14778" w:rsidRDefault="004F7D03" w:rsidP="0080262C">
            <w:pPr>
              <w:pStyle w:val="Tabletext"/>
              <w:rPr>
                <w:sz w:val="18"/>
                <w:szCs w:val="18"/>
                <w:lang w:val="en-AU"/>
              </w:rPr>
            </w:pPr>
            <w:r w:rsidRPr="00C14778">
              <w:rPr>
                <w:sz w:val="18"/>
                <w:szCs w:val="18"/>
                <w:lang w:val="en-AU"/>
              </w:rPr>
              <w:t>Termite</w:t>
            </w:r>
            <w:r w:rsidR="00FD633C" w:rsidRPr="00C14778">
              <w:rPr>
                <w:sz w:val="18"/>
                <w:szCs w:val="18"/>
                <w:lang w:val="en-AU"/>
              </w:rPr>
              <w:t>-</w:t>
            </w:r>
            <w:r w:rsidRPr="00C14778">
              <w:rPr>
                <w:sz w:val="18"/>
                <w:szCs w:val="18"/>
                <w:lang w:val="en-AU"/>
              </w:rPr>
              <w:t>risk areas</w:t>
            </w:r>
          </w:p>
        </w:tc>
        <w:tc>
          <w:tcPr>
            <w:tcW w:w="2763" w:type="dxa"/>
          </w:tcPr>
          <w:p w:rsidR="004F7D03" w:rsidRPr="00C14778" w:rsidRDefault="004F7D03" w:rsidP="0080262C">
            <w:pPr>
              <w:pStyle w:val="Tabletext"/>
              <w:rPr>
                <w:sz w:val="18"/>
                <w:szCs w:val="18"/>
                <w:lang w:val="en-AU"/>
              </w:rPr>
            </w:pPr>
            <w:r w:rsidRPr="00C14778">
              <w:rPr>
                <w:sz w:val="18"/>
                <w:szCs w:val="18"/>
                <w:lang w:val="en-AU"/>
              </w:rPr>
              <w:t>Victoria Planning Provisions</w:t>
            </w:r>
          </w:p>
        </w:tc>
        <w:tc>
          <w:tcPr>
            <w:tcW w:w="2764" w:type="dxa"/>
          </w:tcPr>
          <w:p w:rsidR="00D615BC" w:rsidRPr="00C14778" w:rsidRDefault="004F7D03" w:rsidP="0080262C">
            <w:pPr>
              <w:pStyle w:val="Tabletext"/>
              <w:rPr>
                <w:sz w:val="18"/>
                <w:szCs w:val="18"/>
                <w:lang w:val="en-AU"/>
              </w:rPr>
            </w:pPr>
            <w:r w:rsidRPr="00C14778">
              <w:rPr>
                <w:sz w:val="18"/>
                <w:szCs w:val="18"/>
                <w:lang w:val="en-AU"/>
              </w:rPr>
              <w:t xml:space="preserve">BCA </w:t>
            </w:r>
            <w:r w:rsidR="00FD633C" w:rsidRPr="00C14778">
              <w:rPr>
                <w:sz w:val="18"/>
                <w:szCs w:val="18"/>
                <w:lang w:val="en-AU"/>
              </w:rPr>
              <w:t>b</w:t>
            </w:r>
            <w:r w:rsidRPr="00C14778">
              <w:rPr>
                <w:sz w:val="18"/>
                <w:szCs w:val="18"/>
                <w:lang w:val="en-AU"/>
              </w:rPr>
              <w:t>uilding standards</w:t>
            </w:r>
          </w:p>
          <w:p w:rsidR="004F7D03" w:rsidRPr="00C14778" w:rsidRDefault="004F7D03" w:rsidP="0080262C">
            <w:pPr>
              <w:pStyle w:val="Tabletext"/>
              <w:rPr>
                <w:sz w:val="18"/>
                <w:szCs w:val="18"/>
                <w:lang w:val="en-AU"/>
              </w:rPr>
            </w:pPr>
            <w:r w:rsidRPr="00C14778">
              <w:rPr>
                <w:sz w:val="18"/>
                <w:szCs w:val="18"/>
                <w:lang w:val="en-AU"/>
              </w:rPr>
              <w:t>Mapping</w:t>
            </w:r>
          </w:p>
        </w:tc>
      </w:tr>
      <w:tr w:rsidR="004F7D03" w:rsidRPr="00C14778" w:rsidTr="006768D4">
        <w:tc>
          <w:tcPr>
            <w:tcW w:w="2763" w:type="dxa"/>
          </w:tcPr>
          <w:p w:rsidR="004F7D03" w:rsidRPr="00060570" w:rsidRDefault="00AC1A59" w:rsidP="006119D2">
            <w:pPr>
              <w:pStyle w:val="Tabletext"/>
              <w:rPr>
                <w:sz w:val="18"/>
                <w:szCs w:val="18"/>
              </w:rPr>
            </w:pPr>
            <w:r w:rsidRPr="00060570">
              <w:rPr>
                <w:sz w:val="18"/>
                <w:szCs w:val="18"/>
              </w:rPr>
              <w:t>Noise (industry, live music, urban, roads, mining and wind industry)</w:t>
            </w:r>
          </w:p>
        </w:tc>
        <w:tc>
          <w:tcPr>
            <w:tcW w:w="2763" w:type="dxa"/>
          </w:tcPr>
          <w:p w:rsidR="004F7D03" w:rsidRPr="00060570" w:rsidRDefault="00AC1A59" w:rsidP="006119D2">
            <w:pPr>
              <w:pStyle w:val="Tabletext"/>
              <w:rPr>
                <w:sz w:val="18"/>
                <w:szCs w:val="18"/>
              </w:rPr>
            </w:pPr>
            <w:r w:rsidRPr="00060570">
              <w:rPr>
                <w:sz w:val="18"/>
                <w:szCs w:val="18"/>
              </w:rPr>
              <w:t>Noise attenuation</w:t>
            </w:r>
          </w:p>
          <w:p w:rsidR="004F7D03" w:rsidRPr="00060570" w:rsidRDefault="00AC1A59" w:rsidP="006119D2">
            <w:pPr>
              <w:pStyle w:val="Tabletext"/>
              <w:rPr>
                <w:sz w:val="18"/>
                <w:szCs w:val="18"/>
              </w:rPr>
            </w:pPr>
            <w:r w:rsidRPr="00060570">
              <w:rPr>
                <w:sz w:val="18"/>
                <w:szCs w:val="18"/>
              </w:rPr>
              <w:t>Buffers</w:t>
            </w:r>
          </w:p>
          <w:p w:rsidR="004F7D03" w:rsidRPr="00060570" w:rsidRDefault="00AC1A59" w:rsidP="006119D2">
            <w:pPr>
              <w:pStyle w:val="Tabletext"/>
              <w:rPr>
                <w:sz w:val="18"/>
                <w:szCs w:val="18"/>
              </w:rPr>
            </w:pPr>
            <w:r w:rsidRPr="00060570">
              <w:rPr>
                <w:sz w:val="18"/>
                <w:szCs w:val="18"/>
              </w:rPr>
              <w:t>Zoning</w:t>
            </w:r>
          </w:p>
          <w:p w:rsidR="004F7D03" w:rsidRPr="00060570" w:rsidRDefault="00AC1A59" w:rsidP="006119D2">
            <w:pPr>
              <w:pStyle w:val="Tabletext"/>
              <w:rPr>
                <w:sz w:val="18"/>
                <w:szCs w:val="18"/>
              </w:rPr>
            </w:pPr>
            <w:r w:rsidRPr="00060570">
              <w:rPr>
                <w:sz w:val="18"/>
                <w:szCs w:val="18"/>
              </w:rPr>
              <w:t>Provisions</w:t>
            </w:r>
          </w:p>
        </w:tc>
        <w:tc>
          <w:tcPr>
            <w:tcW w:w="2764" w:type="dxa"/>
          </w:tcPr>
          <w:p w:rsidR="004F7D03" w:rsidRPr="00060570" w:rsidRDefault="00AC1A59" w:rsidP="006119D2">
            <w:pPr>
              <w:pStyle w:val="Tabletext"/>
              <w:rPr>
                <w:sz w:val="18"/>
                <w:szCs w:val="18"/>
              </w:rPr>
            </w:pPr>
            <w:r w:rsidRPr="00060570">
              <w:rPr>
                <w:sz w:val="18"/>
                <w:szCs w:val="18"/>
              </w:rPr>
              <w:t xml:space="preserve">BCA </w:t>
            </w:r>
            <w:r w:rsidR="00FD633C" w:rsidRPr="00060570">
              <w:rPr>
                <w:sz w:val="18"/>
                <w:szCs w:val="18"/>
              </w:rPr>
              <w:t>b</w:t>
            </w:r>
            <w:r w:rsidRPr="00060570">
              <w:rPr>
                <w:sz w:val="18"/>
                <w:szCs w:val="18"/>
              </w:rPr>
              <w:t>uilding standards for noise attenuation to the internal perimeter walls of apartment dwellings</w:t>
            </w:r>
          </w:p>
        </w:tc>
      </w:tr>
      <w:tr w:rsidR="004F7D03" w:rsidRPr="00C14778" w:rsidTr="006768D4">
        <w:tc>
          <w:tcPr>
            <w:tcW w:w="2763" w:type="dxa"/>
          </w:tcPr>
          <w:p w:rsidR="004F7D03" w:rsidRPr="00C14778" w:rsidRDefault="004F7D03" w:rsidP="0080262C">
            <w:pPr>
              <w:pStyle w:val="Tabletext"/>
              <w:rPr>
                <w:sz w:val="18"/>
                <w:szCs w:val="18"/>
                <w:lang w:val="en-AU"/>
              </w:rPr>
            </w:pPr>
            <w:r w:rsidRPr="00C14778">
              <w:rPr>
                <w:sz w:val="18"/>
                <w:szCs w:val="18"/>
                <w:lang w:val="en-AU"/>
              </w:rPr>
              <w:t>Accessibility for people with a disability</w:t>
            </w:r>
          </w:p>
        </w:tc>
        <w:tc>
          <w:tcPr>
            <w:tcW w:w="2763" w:type="dxa"/>
          </w:tcPr>
          <w:p w:rsidR="004F7D03" w:rsidRPr="00C14778" w:rsidRDefault="004F7D03" w:rsidP="0080262C">
            <w:pPr>
              <w:pStyle w:val="Tabletext"/>
              <w:rPr>
                <w:sz w:val="18"/>
                <w:szCs w:val="18"/>
                <w:lang w:val="en-AU"/>
              </w:rPr>
            </w:pPr>
            <w:r w:rsidRPr="00C14778">
              <w:rPr>
                <w:sz w:val="18"/>
                <w:szCs w:val="18"/>
                <w:lang w:val="en-AU"/>
              </w:rPr>
              <w:t>Victoria Planning Provisions for access into residential buildings</w:t>
            </w:r>
          </w:p>
        </w:tc>
        <w:tc>
          <w:tcPr>
            <w:tcW w:w="2764" w:type="dxa"/>
          </w:tcPr>
          <w:p w:rsidR="004F7D03" w:rsidRPr="00C14778" w:rsidRDefault="004F7D03" w:rsidP="00FD633C">
            <w:pPr>
              <w:pStyle w:val="Tabletext"/>
              <w:rPr>
                <w:sz w:val="18"/>
                <w:szCs w:val="18"/>
                <w:lang w:val="en-AU"/>
              </w:rPr>
            </w:pPr>
            <w:r w:rsidRPr="00C14778">
              <w:rPr>
                <w:sz w:val="18"/>
                <w:szCs w:val="18"/>
                <w:lang w:val="en-AU"/>
              </w:rPr>
              <w:t xml:space="preserve">BCA building standards for </w:t>
            </w:r>
            <w:proofErr w:type="spellStart"/>
            <w:r w:rsidR="0023395A" w:rsidRPr="00C14778">
              <w:rPr>
                <w:sz w:val="18"/>
                <w:szCs w:val="18"/>
                <w:lang w:val="en-AU"/>
              </w:rPr>
              <w:t>non</w:t>
            </w:r>
            <w:r w:rsidRPr="00C14778">
              <w:rPr>
                <w:sz w:val="18"/>
                <w:szCs w:val="18"/>
                <w:lang w:val="en-AU"/>
              </w:rPr>
              <w:t>residential</w:t>
            </w:r>
            <w:proofErr w:type="spellEnd"/>
            <w:r w:rsidRPr="00C14778">
              <w:rPr>
                <w:sz w:val="18"/>
                <w:szCs w:val="18"/>
                <w:lang w:val="en-AU"/>
              </w:rPr>
              <w:t xml:space="preserve"> buildings based on the (</w:t>
            </w:r>
            <w:proofErr w:type="spellStart"/>
            <w:r w:rsidRPr="00C14778">
              <w:rPr>
                <w:sz w:val="18"/>
                <w:szCs w:val="18"/>
                <w:lang w:val="en-AU"/>
              </w:rPr>
              <w:t>C</w:t>
            </w:r>
            <w:r w:rsidR="00E754CA">
              <w:rPr>
                <w:sz w:val="18"/>
                <w:szCs w:val="18"/>
                <w:lang w:val="en-AU"/>
              </w:rPr>
              <w:t>'</w:t>
            </w:r>
            <w:r w:rsidRPr="00C14778">
              <w:rPr>
                <w:sz w:val="18"/>
                <w:szCs w:val="18"/>
                <w:lang w:val="en-AU"/>
              </w:rPr>
              <w:t>th</w:t>
            </w:r>
            <w:proofErr w:type="spellEnd"/>
            <w:r w:rsidRPr="00C14778">
              <w:rPr>
                <w:sz w:val="18"/>
                <w:szCs w:val="18"/>
                <w:lang w:val="en-AU"/>
              </w:rPr>
              <w:t xml:space="preserve">) </w:t>
            </w:r>
            <w:r w:rsidR="00FD633C" w:rsidRPr="00C14778">
              <w:rPr>
                <w:sz w:val="18"/>
                <w:szCs w:val="18"/>
                <w:lang w:val="en-AU"/>
              </w:rPr>
              <w:t>d</w:t>
            </w:r>
            <w:r w:rsidRPr="00C14778">
              <w:rPr>
                <w:sz w:val="18"/>
                <w:szCs w:val="18"/>
                <w:lang w:val="en-AU"/>
              </w:rPr>
              <w:t xml:space="preserve">isability </w:t>
            </w:r>
            <w:r w:rsidR="00FD633C" w:rsidRPr="00C14778">
              <w:rPr>
                <w:sz w:val="18"/>
                <w:szCs w:val="18"/>
                <w:lang w:val="en-AU"/>
              </w:rPr>
              <w:t>s</w:t>
            </w:r>
            <w:r w:rsidRPr="00C14778">
              <w:rPr>
                <w:sz w:val="18"/>
                <w:szCs w:val="18"/>
                <w:lang w:val="en-AU"/>
              </w:rPr>
              <w:t>tandards</w:t>
            </w:r>
          </w:p>
        </w:tc>
      </w:tr>
      <w:tr w:rsidR="004F7D03" w:rsidRPr="00C14778" w:rsidTr="006768D4">
        <w:tc>
          <w:tcPr>
            <w:tcW w:w="2763" w:type="dxa"/>
          </w:tcPr>
          <w:p w:rsidR="004F7D03" w:rsidRPr="00C14778" w:rsidRDefault="004F7D03" w:rsidP="0080262C">
            <w:pPr>
              <w:pStyle w:val="Tabletext"/>
              <w:rPr>
                <w:sz w:val="18"/>
                <w:szCs w:val="18"/>
                <w:lang w:val="en-AU"/>
              </w:rPr>
            </w:pPr>
            <w:r w:rsidRPr="00C14778">
              <w:rPr>
                <w:sz w:val="18"/>
                <w:szCs w:val="18"/>
                <w:lang w:val="en-AU"/>
              </w:rPr>
              <w:t>Licensed premises</w:t>
            </w:r>
          </w:p>
        </w:tc>
        <w:tc>
          <w:tcPr>
            <w:tcW w:w="2763" w:type="dxa"/>
          </w:tcPr>
          <w:p w:rsidR="004F7D03" w:rsidRPr="00C14778" w:rsidRDefault="004F7D03" w:rsidP="0080262C">
            <w:pPr>
              <w:pStyle w:val="Tabletext"/>
              <w:rPr>
                <w:sz w:val="18"/>
                <w:szCs w:val="18"/>
                <w:lang w:val="en-AU"/>
              </w:rPr>
            </w:pPr>
            <w:r w:rsidRPr="00C14778">
              <w:rPr>
                <w:sz w:val="18"/>
                <w:szCs w:val="18"/>
                <w:lang w:val="en-AU"/>
              </w:rPr>
              <w:t>Victoria Planning Provisions</w:t>
            </w:r>
          </w:p>
        </w:tc>
        <w:tc>
          <w:tcPr>
            <w:tcW w:w="2764" w:type="dxa"/>
          </w:tcPr>
          <w:p w:rsidR="004F7D03" w:rsidRPr="00C14778" w:rsidRDefault="004F7D03" w:rsidP="0080262C">
            <w:pPr>
              <w:pStyle w:val="Tabletext"/>
              <w:rPr>
                <w:sz w:val="18"/>
                <w:szCs w:val="18"/>
                <w:lang w:val="en-AU"/>
              </w:rPr>
            </w:pPr>
            <w:r w:rsidRPr="00C14778">
              <w:rPr>
                <w:sz w:val="18"/>
                <w:szCs w:val="18"/>
                <w:lang w:val="en-AU"/>
              </w:rPr>
              <w:t>BCA building standards</w:t>
            </w:r>
          </w:p>
        </w:tc>
      </w:tr>
      <w:tr w:rsidR="004F7D03" w:rsidRPr="00C14778" w:rsidTr="00FD633C">
        <w:trPr>
          <w:trHeight w:val="588"/>
        </w:trPr>
        <w:tc>
          <w:tcPr>
            <w:tcW w:w="2763" w:type="dxa"/>
          </w:tcPr>
          <w:p w:rsidR="004F7D03" w:rsidRPr="00C14778" w:rsidRDefault="004F7D03" w:rsidP="0080262C">
            <w:pPr>
              <w:pStyle w:val="Tabletext"/>
              <w:rPr>
                <w:sz w:val="18"/>
                <w:szCs w:val="18"/>
                <w:lang w:val="en-AU"/>
              </w:rPr>
            </w:pPr>
            <w:r w:rsidRPr="00C14778">
              <w:rPr>
                <w:sz w:val="18"/>
                <w:szCs w:val="18"/>
                <w:lang w:val="en-AU"/>
              </w:rPr>
              <w:t>Odour / air quality (feed lots, broiler industry, tips / waste, dust / asbestos</w:t>
            </w:r>
            <w:r w:rsidR="00FD633C" w:rsidRPr="00C14778">
              <w:rPr>
                <w:sz w:val="18"/>
                <w:szCs w:val="18"/>
                <w:lang w:val="en-AU"/>
              </w:rPr>
              <w:t>)</w:t>
            </w:r>
          </w:p>
        </w:tc>
        <w:tc>
          <w:tcPr>
            <w:tcW w:w="2763" w:type="dxa"/>
          </w:tcPr>
          <w:p w:rsidR="004F7D03" w:rsidRPr="00C14778" w:rsidRDefault="004F7D03" w:rsidP="0080262C">
            <w:pPr>
              <w:pStyle w:val="Tabletext"/>
              <w:rPr>
                <w:sz w:val="18"/>
                <w:szCs w:val="18"/>
                <w:lang w:val="en-AU"/>
              </w:rPr>
            </w:pPr>
            <w:r w:rsidRPr="00C14778">
              <w:rPr>
                <w:sz w:val="18"/>
                <w:szCs w:val="18"/>
                <w:lang w:val="en-AU"/>
              </w:rPr>
              <w:t>Buffers</w:t>
            </w:r>
          </w:p>
          <w:p w:rsidR="004F7D03" w:rsidRPr="00C14778" w:rsidRDefault="004F7D03" w:rsidP="0080262C">
            <w:pPr>
              <w:pStyle w:val="Tabletext"/>
              <w:rPr>
                <w:sz w:val="18"/>
                <w:szCs w:val="18"/>
                <w:lang w:val="en-AU"/>
              </w:rPr>
            </w:pPr>
            <w:r w:rsidRPr="00C14778">
              <w:rPr>
                <w:sz w:val="18"/>
                <w:szCs w:val="18"/>
                <w:lang w:val="en-AU"/>
              </w:rPr>
              <w:t>Zoning</w:t>
            </w:r>
          </w:p>
          <w:p w:rsidR="00E657D7" w:rsidRPr="00C14778" w:rsidRDefault="004F7D03">
            <w:pPr>
              <w:pStyle w:val="Tabletext"/>
              <w:rPr>
                <w:rFonts w:cs="Arial"/>
                <w:sz w:val="18"/>
                <w:szCs w:val="18"/>
                <w:lang w:val="en-AU"/>
              </w:rPr>
            </w:pPr>
            <w:r w:rsidRPr="00C14778">
              <w:rPr>
                <w:sz w:val="18"/>
                <w:szCs w:val="18"/>
                <w:lang w:val="en-AU"/>
              </w:rPr>
              <w:t>Overlays</w:t>
            </w:r>
          </w:p>
        </w:tc>
        <w:tc>
          <w:tcPr>
            <w:tcW w:w="2764" w:type="dxa"/>
          </w:tcPr>
          <w:p w:rsidR="00E657D7" w:rsidRPr="00C14778" w:rsidRDefault="004F7D03">
            <w:pPr>
              <w:pStyle w:val="Tabletext"/>
              <w:rPr>
                <w:rFonts w:eastAsiaTheme="majorEastAsia" w:cs="Arial"/>
                <w:b/>
                <w:sz w:val="18"/>
                <w:szCs w:val="18"/>
                <w:lang w:val="en-AU"/>
              </w:rPr>
            </w:pPr>
            <w:r w:rsidRPr="00C14778">
              <w:rPr>
                <w:sz w:val="18"/>
                <w:szCs w:val="18"/>
                <w:lang w:val="en-AU"/>
              </w:rPr>
              <w:t xml:space="preserve">Occupational health and safety </w:t>
            </w:r>
            <w:r w:rsidR="00C85843">
              <w:rPr>
                <w:sz w:val="18"/>
                <w:szCs w:val="18"/>
                <w:lang w:val="en-AU"/>
              </w:rPr>
              <w:t xml:space="preserve">(OHS) </w:t>
            </w:r>
            <w:r w:rsidRPr="00C14778">
              <w:rPr>
                <w:sz w:val="18"/>
                <w:szCs w:val="18"/>
                <w:lang w:val="en-AU"/>
              </w:rPr>
              <w:t>requirements</w:t>
            </w:r>
          </w:p>
        </w:tc>
      </w:tr>
    </w:tbl>
    <w:p w:rsidR="000469E0" w:rsidRPr="00427EE1" w:rsidRDefault="000469E0" w:rsidP="000469E0"/>
    <w:p w:rsidR="004F7D03" w:rsidRPr="00427EE1" w:rsidRDefault="004F7D03" w:rsidP="000469E0">
      <w:r w:rsidRPr="00427EE1">
        <w:t>A proportion of building work will require a planning permit.</w:t>
      </w:r>
      <w:r w:rsidRPr="00427EE1">
        <w:rPr>
          <w:rStyle w:val="FootnoteReference"/>
          <w:rFonts w:cstheme="minorHAnsi"/>
          <w:color w:val="auto"/>
        </w:rPr>
        <w:footnoteReference w:id="27"/>
      </w:r>
      <w:r w:rsidRPr="00427EE1">
        <w:t xml:space="preserve"> Decisions </w:t>
      </w:r>
      <w:r w:rsidR="00D90FC3">
        <w:t>about</w:t>
      </w:r>
      <w:r w:rsidRPr="00427EE1">
        <w:t xml:space="preserve"> planning permits should be consistent with the purpose and objectives of the Planning and Environment Act</w:t>
      </w:r>
      <w:r w:rsidRPr="00427EE1">
        <w:rPr>
          <w:i/>
        </w:rPr>
        <w:t xml:space="preserve"> </w:t>
      </w:r>
      <w:r w:rsidRPr="00427EE1">
        <w:t>relating to the use, development and protection of land. For example</w:t>
      </w:r>
      <w:r w:rsidR="00FD31DE">
        <w:t>,</w:t>
      </w:r>
      <w:r w:rsidRPr="00427EE1">
        <w:t xml:space="preserve"> achieving planning framework environmental and sustainability objectives in relation to buildings could be achieved by siting policies or provisions at the urban and allotment scale. Siting provisions could reduce energy use or stormwater run-off from an allotment and enable accessibility to a building.</w:t>
      </w:r>
    </w:p>
    <w:p w:rsidR="004F7D03" w:rsidRPr="00427EE1" w:rsidRDefault="004F7D03" w:rsidP="000469E0">
      <w:r w:rsidRPr="00427EE1">
        <w:t xml:space="preserve">In contrast, amenity objectives in the building framework and decisions </w:t>
      </w:r>
      <w:r w:rsidR="00D90FC3">
        <w:t>about</w:t>
      </w:r>
      <w:r w:rsidRPr="00427EE1">
        <w:t xml:space="preserve"> building permits relate to the building shell and facilities contained in the building including </w:t>
      </w:r>
      <w:r w:rsidR="002D4F87" w:rsidRPr="00427EE1">
        <w:t xml:space="preserve">that </w:t>
      </w:r>
      <w:r w:rsidRPr="00427EE1">
        <w:t>a structure facilitates an energy</w:t>
      </w:r>
      <w:r w:rsidR="007C5A88">
        <w:t>-</w:t>
      </w:r>
      <w:r w:rsidRPr="00427EE1">
        <w:t>efficient building, internal access to light and ventilation</w:t>
      </w:r>
      <w:r w:rsidR="00FD31DE">
        <w:t xml:space="preserve">, </w:t>
      </w:r>
      <w:r w:rsidRPr="00427EE1">
        <w:t>sanitary facilities and access for people with a disability.</w:t>
      </w:r>
    </w:p>
    <w:p w:rsidR="00E657D7" w:rsidRDefault="004F7D03">
      <w:pPr>
        <w:pStyle w:val="Heading4"/>
      </w:pPr>
      <w:r w:rsidRPr="00427EE1">
        <w:lastRenderedPageBreak/>
        <w:t>Consumer protection</w:t>
      </w:r>
    </w:p>
    <w:p w:rsidR="00D615BC" w:rsidRPr="00427EE1" w:rsidRDefault="00FD31DE" w:rsidP="000469E0">
      <w:pPr>
        <w:rPr>
          <w:rFonts w:eastAsia="Arial"/>
        </w:rPr>
      </w:pPr>
      <w:r>
        <w:t>T</w:t>
      </w:r>
      <w:r w:rsidR="004F7D03" w:rsidRPr="00427EE1">
        <w:t xml:space="preserve">he </w:t>
      </w:r>
      <w:r w:rsidR="004F7D03" w:rsidRPr="00427EE1">
        <w:rPr>
          <w:i/>
        </w:rPr>
        <w:t>Domestic Building Contracts Act 1995</w:t>
      </w:r>
      <w:r>
        <w:rPr>
          <w:i/>
        </w:rPr>
        <w:t xml:space="preserve"> </w:t>
      </w:r>
      <w:r w:rsidR="004F7D03" w:rsidRPr="00427EE1">
        <w:t xml:space="preserve">sets out the framework for regulating domestic building contracts and </w:t>
      </w:r>
      <w:r>
        <w:t xml:space="preserve">resolving </w:t>
      </w:r>
      <w:r w:rsidR="004F7D03" w:rsidRPr="00427EE1">
        <w:t xml:space="preserve">disputes. It also states that a builder must not enter into a major domestic building contract unless the </w:t>
      </w:r>
      <w:r w:rsidR="004F7D03" w:rsidRPr="00427EE1">
        <w:rPr>
          <w:rFonts w:eastAsia="Arial"/>
        </w:rPr>
        <w:t xml:space="preserve">contract sets out details of the required insurance under the </w:t>
      </w:r>
      <w:r>
        <w:rPr>
          <w:rFonts w:eastAsia="Arial"/>
        </w:rPr>
        <w:t xml:space="preserve">Building </w:t>
      </w:r>
      <w:r w:rsidR="004F7D03" w:rsidRPr="00427EE1">
        <w:rPr>
          <w:rFonts w:eastAsia="Arial"/>
        </w:rPr>
        <w:t>Act</w:t>
      </w:r>
      <w:r w:rsidR="004F7D03" w:rsidRPr="00427EE1">
        <w:rPr>
          <w:rFonts w:eastAsia="Arial"/>
          <w:i/>
        </w:rPr>
        <w:t xml:space="preserve"> </w:t>
      </w:r>
      <w:r w:rsidR="004F7D03" w:rsidRPr="00427EE1">
        <w:rPr>
          <w:rFonts w:eastAsia="Arial"/>
        </w:rPr>
        <w:t>that applies to the work to be carried out under the contract.</w:t>
      </w:r>
    </w:p>
    <w:p w:rsidR="00576F3F" w:rsidRPr="00427EE1" w:rsidRDefault="00576F3F" w:rsidP="000469E0">
      <w:pPr>
        <w:pStyle w:val="Normalpre-dotpoint"/>
      </w:pPr>
      <w:r w:rsidRPr="00427EE1">
        <w:t>C</w:t>
      </w:r>
      <w:r w:rsidR="00D87DE3" w:rsidRPr="00427EE1">
        <w:t xml:space="preserve">onsumer </w:t>
      </w:r>
      <w:r w:rsidRPr="00427EE1">
        <w:t>A</w:t>
      </w:r>
      <w:r w:rsidR="00D87DE3" w:rsidRPr="00427EE1">
        <w:t xml:space="preserve">ffairs </w:t>
      </w:r>
      <w:r w:rsidRPr="00427EE1">
        <w:t>V</w:t>
      </w:r>
      <w:r w:rsidR="00D87DE3" w:rsidRPr="00427EE1">
        <w:t>ictoria</w:t>
      </w:r>
      <w:r w:rsidRPr="00427EE1">
        <w:t xml:space="preserve"> </w:t>
      </w:r>
      <w:r w:rsidR="00666D12">
        <w:t xml:space="preserve">(CAV) </w:t>
      </w:r>
      <w:r w:rsidRPr="00427EE1">
        <w:t xml:space="preserve">has administrative responsibility for the </w:t>
      </w:r>
      <w:r w:rsidR="00454D16" w:rsidRPr="00427EE1">
        <w:t>Domestic Building Contracts Act</w:t>
      </w:r>
      <w:r w:rsidR="00FD31DE">
        <w:t>, t</w:t>
      </w:r>
      <w:r w:rsidRPr="00427EE1">
        <w:t xml:space="preserve">he objects of </w:t>
      </w:r>
      <w:r w:rsidR="00FD31DE">
        <w:t xml:space="preserve">which </w:t>
      </w:r>
      <w:r w:rsidRPr="00427EE1">
        <w:t>are</w:t>
      </w:r>
      <w:r w:rsidR="00FD31DE">
        <w:t xml:space="preserve"> to</w:t>
      </w:r>
      <w:r w:rsidRPr="00427EE1">
        <w:t>:</w:t>
      </w:r>
    </w:p>
    <w:p w:rsidR="00576F3F" w:rsidRPr="00427EE1" w:rsidRDefault="00576F3F" w:rsidP="000469E0">
      <w:pPr>
        <w:pStyle w:val="Dotpoint"/>
      </w:pPr>
      <w:r w:rsidRPr="00427EE1">
        <w:t>provide for the maintenance of proper standards in the carrying</w:t>
      </w:r>
      <w:r w:rsidR="00FD31DE">
        <w:t>-</w:t>
      </w:r>
      <w:r w:rsidRPr="00427EE1">
        <w:t>out of domestic building work in a way that is fair to both builders and building owners</w:t>
      </w:r>
    </w:p>
    <w:p w:rsidR="00576F3F" w:rsidRPr="00427EE1" w:rsidRDefault="00576F3F" w:rsidP="000469E0">
      <w:pPr>
        <w:pStyle w:val="Dotpoint"/>
      </w:pPr>
      <w:r w:rsidRPr="00427EE1">
        <w:t>enable disputes involving domestic building work to be resolved as quickly, efficiently and cheaply as possible</w:t>
      </w:r>
      <w:r w:rsidR="00FD31DE">
        <w:t>,</w:t>
      </w:r>
      <w:r w:rsidRPr="00427EE1">
        <w:t xml:space="preserve"> having regard to the need</w:t>
      </w:r>
      <w:r w:rsidR="00FD31DE">
        <w:t xml:space="preserve"> for</w:t>
      </w:r>
      <w:r w:rsidRPr="00427EE1">
        <w:t xml:space="preserve"> fairness</w:t>
      </w:r>
    </w:p>
    <w:p w:rsidR="00576F3F" w:rsidRPr="00427EE1" w:rsidRDefault="00576F3F" w:rsidP="000469E0">
      <w:pPr>
        <w:pStyle w:val="Dotpointlast"/>
      </w:pPr>
      <w:r w:rsidRPr="00427EE1">
        <w:t>enable building owners to have access to insurance funds if building work under a major domestic building contract is incomplete or defective.</w:t>
      </w:r>
    </w:p>
    <w:p w:rsidR="004F7D03" w:rsidRPr="00427EE1" w:rsidRDefault="00FD31DE" w:rsidP="000469E0">
      <w:pPr>
        <w:pStyle w:val="Normalpre-dotpoint"/>
        <w:rPr>
          <w:rFonts w:eastAsia="Arial"/>
        </w:rPr>
      </w:pPr>
      <w:r>
        <w:rPr>
          <w:rFonts w:eastAsia="Arial"/>
        </w:rPr>
        <w:t>R</w:t>
      </w:r>
      <w:r w:rsidR="004F7D03" w:rsidRPr="00427EE1">
        <w:rPr>
          <w:rFonts w:eastAsia="Arial"/>
        </w:rPr>
        <w:t>emedies which may be available for poor conduct or service in the delivery of consultancy or construction services</w:t>
      </w:r>
      <w:r>
        <w:rPr>
          <w:rFonts w:eastAsia="Arial"/>
        </w:rPr>
        <w:t xml:space="preserve"> are</w:t>
      </w:r>
      <w:r w:rsidR="004F7D03" w:rsidRPr="00427EE1">
        <w:rPr>
          <w:rFonts w:eastAsia="Arial"/>
        </w:rPr>
        <w:t>:</w:t>
      </w:r>
    </w:p>
    <w:p w:rsidR="004F7D03" w:rsidRPr="00427EE1" w:rsidRDefault="004F7D03" w:rsidP="000469E0">
      <w:pPr>
        <w:pStyle w:val="Dotpoint"/>
      </w:pPr>
      <w:r w:rsidRPr="00427EE1">
        <w:t>a person can refer a matter about the conduct or ability to practi</w:t>
      </w:r>
      <w:r w:rsidR="004E083D">
        <w:t>s</w:t>
      </w:r>
      <w:r w:rsidRPr="00427EE1">
        <w:t xml:space="preserve">e of a registered building practitioner to </w:t>
      </w:r>
      <w:r w:rsidR="00720C4E">
        <w:t>VBA</w:t>
      </w:r>
      <w:r w:rsidRPr="00427EE1">
        <w:t xml:space="preserve"> for an inquiry</w:t>
      </w:r>
      <w:r w:rsidRPr="00427EE1">
        <w:rPr>
          <w:rStyle w:val="FootnoteReference"/>
          <w:color w:val="auto"/>
        </w:rPr>
        <w:footnoteReference w:id="28"/>
      </w:r>
    </w:p>
    <w:p w:rsidR="003E649F" w:rsidRPr="00427EE1" w:rsidRDefault="003E649F" w:rsidP="000469E0">
      <w:pPr>
        <w:pStyle w:val="Dotpoint"/>
      </w:pPr>
      <w:r w:rsidRPr="00427EE1">
        <w:t xml:space="preserve">a person </w:t>
      </w:r>
      <w:r w:rsidR="00D87DE3" w:rsidRPr="00427EE1">
        <w:t>will be able to</w:t>
      </w:r>
      <w:r w:rsidRPr="00427EE1">
        <w:t xml:space="preserve"> engage in conciliation or </w:t>
      </w:r>
      <w:r w:rsidR="00D87DE3" w:rsidRPr="00427EE1">
        <w:t xml:space="preserve">to </w:t>
      </w:r>
      <w:r w:rsidRPr="00427EE1">
        <w:t xml:space="preserve">apply for a dispute resolution order from the chief dispute resolution officer </w:t>
      </w:r>
      <w:r w:rsidR="00D87DE3" w:rsidRPr="00427EE1">
        <w:t xml:space="preserve">once </w:t>
      </w:r>
      <w:r w:rsidRPr="00427EE1">
        <w:t xml:space="preserve">amendments to the </w:t>
      </w:r>
      <w:r w:rsidR="00454D16" w:rsidRPr="00427EE1">
        <w:t>Domestic Building Contracts Act</w:t>
      </w:r>
      <w:r w:rsidR="00454D16" w:rsidRPr="00427EE1">
        <w:rPr>
          <w:i/>
        </w:rPr>
        <w:t xml:space="preserve"> </w:t>
      </w:r>
      <w:r w:rsidR="00D87DE3" w:rsidRPr="00427EE1">
        <w:t>commence</w:t>
      </w:r>
    </w:p>
    <w:p w:rsidR="003E649F" w:rsidRPr="00427EE1" w:rsidRDefault="00724A27" w:rsidP="000469E0">
      <w:pPr>
        <w:pStyle w:val="Dotpointlast"/>
      </w:pPr>
      <w:r>
        <w:t xml:space="preserve">a person may claim </w:t>
      </w:r>
      <w:r w:rsidR="004F7D03" w:rsidRPr="00427EE1">
        <w:t>repair, refund or compensation under Australian Consumer Law administered by the Australian Competition and Consumer Commission</w:t>
      </w:r>
      <w:r w:rsidR="0041647B" w:rsidRPr="00427EE1">
        <w:t>.</w:t>
      </w:r>
      <w:r w:rsidR="004F7D03" w:rsidRPr="00427EE1">
        <w:rPr>
          <w:rStyle w:val="FootnoteReference"/>
          <w:color w:val="auto"/>
        </w:rPr>
        <w:footnoteReference w:id="29"/>
      </w:r>
    </w:p>
    <w:p w:rsidR="00576F3F" w:rsidRPr="00427EE1" w:rsidRDefault="0035176F" w:rsidP="000469E0">
      <w:r w:rsidRPr="00427EE1">
        <w:t>T</w:t>
      </w:r>
      <w:r w:rsidR="00576F3F" w:rsidRPr="00427EE1">
        <w:t xml:space="preserve">he </w:t>
      </w:r>
      <w:r w:rsidR="00454D16" w:rsidRPr="00427EE1">
        <w:t>Domestic Building Contracts Act</w:t>
      </w:r>
      <w:r w:rsidR="00454D16" w:rsidRPr="00427EE1">
        <w:rPr>
          <w:i/>
        </w:rPr>
        <w:t xml:space="preserve"> </w:t>
      </w:r>
      <w:r w:rsidR="0058451D" w:rsidRPr="00427EE1">
        <w:t xml:space="preserve">will continue to </w:t>
      </w:r>
      <w:r w:rsidR="00576F3F" w:rsidRPr="00427EE1">
        <w:t xml:space="preserve">provide for </w:t>
      </w:r>
      <w:r w:rsidR="00724A27">
        <w:t xml:space="preserve">CAV's </w:t>
      </w:r>
      <w:r w:rsidR="00576F3F" w:rsidRPr="00427EE1">
        <w:t>conciliation services in relation to domestic building disputes</w:t>
      </w:r>
      <w:r w:rsidRPr="00427EE1">
        <w:t xml:space="preserve"> until amendments made by the </w:t>
      </w:r>
      <w:r w:rsidR="00AC1A59" w:rsidRPr="00AC1A59">
        <w:rPr>
          <w:i/>
          <w:szCs w:val="20"/>
        </w:rPr>
        <w:t>Building Legislation Amendment (Consumer Protection) Act 2016</w:t>
      </w:r>
      <w:r w:rsidRPr="00427EE1">
        <w:t xml:space="preserve"> commence. These must commence on or before 1 July 2017</w:t>
      </w:r>
      <w:r w:rsidR="00576F3F" w:rsidRPr="00427EE1">
        <w:t xml:space="preserve">. </w:t>
      </w:r>
      <w:r w:rsidRPr="00427EE1">
        <w:t xml:space="preserve">Until </w:t>
      </w:r>
      <w:r w:rsidR="00724A27">
        <w:t>then</w:t>
      </w:r>
      <w:r w:rsidRPr="00427EE1">
        <w:t xml:space="preserve">, </w:t>
      </w:r>
      <w:r w:rsidR="00724A27">
        <w:t>CA</w:t>
      </w:r>
      <w:r w:rsidR="00BD12F1">
        <w:t>V</w:t>
      </w:r>
      <w:r w:rsidR="00724A27">
        <w:t xml:space="preserve"> </w:t>
      </w:r>
      <w:r w:rsidRPr="00427EE1">
        <w:t xml:space="preserve">may </w:t>
      </w:r>
      <w:r w:rsidR="00576F3F" w:rsidRPr="00427EE1">
        <w:t xml:space="preserve">only accept complaints or disputes for conciliation which are reasonably likely to be resolved. Under </w:t>
      </w:r>
      <w:r w:rsidR="008911CB">
        <w:t>pt.</w:t>
      </w:r>
      <w:r w:rsidR="0058451D" w:rsidRPr="00427EE1">
        <w:t xml:space="preserve"> 3A of </w:t>
      </w:r>
      <w:r w:rsidR="00576F3F" w:rsidRPr="00427EE1">
        <w:t xml:space="preserve">the </w:t>
      </w:r>
      <w:r w:rsidR="00454D16" w:rsidRPr="00427EE1">
        <w:t>Domestic Building Contracts Act</w:t>
      </w:r>
      <w:r w:rsidR="00576F3F" w:rsidRPr="00427EE1">
        <w:t xml:space="preserve">, participation in conciliation is voluntary and </w:t>
      </w:r>
      <w:r w:rsidR="00666D12">
        <w:t>CAV</w:t>
      </w:r>
      <w:r w:rsidR="00454D16" w:rsidRPr="00427EE1">
        <w:t xml:space="preserve"> </w:t>
      </w:r>
      <w:r w:rsidR="00576F3F" w:rsidRPr="00427EE1">
        <w:t xml:space="preserve">cannot enforce conciliation outcomes. While the </w:t>
      </w:r>
      <w:r w:rsidR="00454D16" w:rsidRPr="00427EE1">
        <w:t>Domestic Building Contracts Act</w:t>
      </w:r>
      <w:r w:rsidR="00454D16" w:rsidRPr="00427EE1">
        <w:rPr>
          <w:i/>
        </w:rPr>
        <w:t xml:space="preserve"> </w:t>
      </w:r>
      <w:r w:rsidR="00576F3F" w:rsidRPr="00427EE1">
        <w:t>aims for timely</w:t>
      </w:r>
      <w:r w:rsidR="00724A27">
        <w:t>,</w:t>
      </w:r>
      <w:r w:rsidR="00576F3F" w:rsidRPr="00427EE1">
        <w:t xml:space="preserve"> low</w:t>
      </w:r>
      <w:r w:rsidR="00724A27">
        <w:t>-</w:t>
      </w:r>
      <w:r w:rsidR="00576F3F" w:rsidRPr="00427EE1">
        <w:t>cost dispute resolution, in practice some building disputes are either not accepted for conciliation or not satisfactorily resolved through the conciliation process. In these cases</w:t>
      </w:r>
      <w:r w:rsidR="00724A27">
        <w:t>,</w:t>
      </w:r>
      <w:r w:rsidR="00576F3F" w:rsidRPr="00427EE1">
        <w:t xml:space="preserve"> the consumer or building practitioner's only remaining option </w:t>
      </w:r>
      <w:r w:rsidR="00724A27">
        <w:t xml:space="preserve">is </w:t>
      </w:r>
      <w:r w:rsidR="00576F3F" w:rsidRPr="00427EE1">
        <w:t xml:space="preserve">to pursue the matter through </w:t>
      </w:r>
      <w:r w:rsidR="001B067C">
        <w:t>the Victorian Civil &amp; Administrative Tribunal</w:t>
      </w:r>
      <w:r w:rsidR="001B067C" w:rsidRPr="00427EE1">
        <w:t xml:space="preserve"> </w:t>
      </w:r>
      <w:r w:rsidR="001B067C">
        <w:t>(</w:t>
      </w:r>
      <w:r w:rsidR="00576F3F" w:rsidRPr="00427EE1">
        <w:t>VCAT</w:t>
      </w:r>
      <w:r w:rsidR="001B067C">
        <w:t>)</w:t>
      </w:r>
      <w:r w:rsidR="00576F3F" w:rsidRPr="00427EE1">
        <w:t xml:space="preserve"> or</w:t>
      </w:r>
      <w:r w:rsidR="00454D16" w:rsidRPr="00427EE1">
        <w:t xml:space="preserve"> the</w:t>
      </w:r>
      <w:r w:rsidR="00576F3F" w:rsidRPr="00427EE1">
        <w:t xml:space="preserve"> court</w:t>
      </w:r>
      <w:r w:rsidR="00454D16" w:rsidRPr="00427EE1">
        <w:t>s</w:t>
      </w:r>
      <w:r w:rsidR="00576F3F" w:rsidRPr="00427EE1">
        <w:t>.</w:t>
      </w:r>
    </w:p>
    <w:p w:rsidR="00291A94" w:rsidRPr="00F322B8" w:rsidRDefault="0035176F" w:rsidP="000469E0">
      <w:r w:rsidRPr="00E657D7">
        <w:t xml:space="preserve">The </w:t>
      </w:r>
      <w:r w:rsidR="00AC1A59" w:rsidRPr="00E657D7">
        <w:rPr>
          <w:i/>
        </w:rPr>
        <w:t>Building Legislation Amendment (Consumer Protection) Act 2016</w:t>
      </w:r>
      <w:r w:rsidR="0058451D" w:rsidRPr="00E657D7">
        <w:t xml:space="preserve"> will</w:t>
      </w:r>
      <w:r w:rsidR="0058451D" w:rsidRPr="00BD12F1">
        <w:t xml:space="preserve"> replace the existing conciliation provisions in </w:t>
      </w:r>
      <w:r w:rsidR="008911CB" w:rsidRPr="002C173C">
        <w:t>pt.</w:t>
      </w:r>
      <w:r w:rsidR="0058451D" w:rsidRPr="002C173C">
        <w:t xml:space="preserve"> 3A and </w:t>
      </w:r>
      <w:r w:rsidR="008911CB" w:rsidRPr="002C173C">
        <w:t>pt.</w:t>
      </w:r>
      <w:r w:rsidR="0058451D" w:rsidRPr="00F322B8">
        <w:t xml:space="preserve"> 4 of the </w:t>
      </w:r>
      <w:r w:rsidR="00291A94" w:rsidRPr="00F322B8">
        <w:t xml:space="preserve">Domestic Building Contracts </w:t>
      </w:r>
      <w:r w:rsidR="0058451D" w:rsidRPr="00F322B8">
        <w:t>Act</w:t>
      </w:r>
      <w:r w:rsidRPr="00F322B8">
        <w:t xml:space="preserve"> not later than 1 July 2017</w:t>
      </w:r>
      <w:r w:rsidR="0058451D" w:rsidRPr="00F322B8">
        <w:t xml:space="preserve">. </w:t>
      </w:r>
    </w:p>
    <w:p w:rsidR="0058451D" w:rsidRPr="00427EE1" w:rsidRDefault="0058451D" w:rsidP="000469E0">
      <w:r w:rsidRPr="00427EE1">
        <w:t>The amendments will create a new process for the conciliation and resolution of disputes to be delivered by a new service to be known as Domestic Building Dispute Resolution Victoria.</w:t>
      </w:r>
      <w:r w:rsidR="00291A94">
        <w:t xml:space="preserve"> </w:t>
      </w:r>
      <w:r w:rsidRPr="00427EE1">
        <w:t xml:space="preserve">The new service will be headed by a person </w:t>
      </w:r>
      <w:r w:rsidR="00291A94">
        <w:t>titled C</w:t>
      </w:r>
      <w:r w:rsidRPr="00427EE1">
        <w:t xml:space="preserve">hief </w:t>
      </w:r>
      <w:r w:rsidR="00291A94">
        <w:t>D</w:t>
      </w:r>
      <w:r w:rsidRPr="00427EE1">
        <w:t xml:space="preserve">ispute </w:t>
      </w:r>
      <w:r w:rsidR="00291A94">
        <w:t>R</w:t>
      </w:r>
      <w:r w:rsidRPr="00427EE1">
        <w:t xml:space="preserve">esolution </w:t>
      </w:r>
      <w:r w:rsidR="00291A94">
        <w:t>O</w:t>
      </w:r>
      <w:r w:rsidRPr="00427EE1">
        <w:t xml:space="preserve">fficer who will be supported by suitably qualified conciliators and technical assessors capable of examining domestic building work. This new service will be funded from the existing Domestic Builders Fund, which is administered by </w:t>
      </w:r>
      <w:r w:rsidR="00291A94">
        <w:t>CAV</w:t>
      </w:r>
      <w:r w:rsidRPr="00427EE1">
        <w:t>.</w:t>
      </w:r>
    </w:p>
    <w:p w:rsidR="00D615BC" w:rsidRPr="00427EE1" w:rsidRDefault="0058451D" w:rsidP="000469E0">
      <w:r w:rsidRPr="00427EE1">
        <w:lastRenderedPageBreak/>
        <w:t>Conciliation at Domestic Building Dispute Resolution Victoria will be mandatory before an application can be made to VCAT or a court. Save for injunctive relief, participation in conciliation or the issue of a certificate stating that the dispute was not suitable for conciliation or could not be conciliated will be required before a party can access the more</w:t>
      </w:r>
      <w:r w:rsidR="00291A94">
        <w:t>-</w:t>
      </w:r>
      <w:r w:rsidRPr="00427EE1">
        <w:t xml:space="preserve">costly dispute resolution procedures associated with a full </w:t>
      </w:r>
      <w:r w:rsidR="00291A94" w:rsidRPr="00427EE1">
        <w:t xml:space="preserve">VCAT </w:t>
      </w:r>
      <w:r w:rsidRPr="00427EE1">
        <w:t>hearing.</w:t>
      </w:r>
    </w:p>
    <w:p w:rsidR="00D615BC" w:rsidRPr="00427EE1" w:rsidRDefault="00F1398E" w:rsidP="000469E0">
      <w:r w:rsidRPr="00427EE1">
        <w:t>W</w:t>
      </w:r>
      <w:r w:rsidR="0058451D" w:rsidRPr="00427EE1">
        <w:t>here the parties cannot reach</w:t>
      </w:r>
      <w:r w:rsidRPr="00427EE1">
        <w:t xml:space="preserve"> agreement through conciliation, the </w:t>
      </w:r>
      <w:r w:rsidR="00291A94">
        <w:t>C</w:t>
      </w:r>
      <w:r w:rsidRPr="00427EE1">
        <w:t xml:space="preserve">hief </w:t>
      </w:r>
      <w:r w:rsidR="00291A94">
        <w:t>D</w:t>
      </w:r>
      <w:r w:rsidRPr="00427EE1">
        <w:t xml:space="preserve">ispute </w:t>
      </w:r>
      <w:r w:rsidR="00291A94">
        <w:t>R</w:t>
      </w:r>
      <w:r w:rsidRPr="00427EE1">
        <w:t xml:space="preserve">esolution </w:t>
      </w:r>
      <w:r w:rsidR="00291A94">
        <w:t>O</w:t>
      </w:r>
      <w:r w:rsidRPr="00427EE1">
        <w:t>fficer may issue a</w:t>
      </w:r>
      <w:r w:rsidR="0058451D" w:rsidRPr="00427EE1">
        <w:t xml:space="preserve"> dispute resolution order. </w:t>
      </w:r>
      <w:r w:rsidRPr="00427EE1">
        <w:t>A d</w:t>
      </w:r>
      <w:r w:rsidR="0058451D" w:rsidRPr="00427EE1">
        <w:t>ispute resolution order</w:t>
      </w:r>
      <w:r w:rsidRPr="00427EE1">
        <w:t xml:space="preserve"> may </w:t>
      </w:r>
      <w:r w:rsidR="0058451D" w:rsidRPr="00427EE1">
        <w:t>require rectification of defective or incomplete work, or payment to a builder, or payment into a trust fund pending completion of rectification work.</w:t>
      </w:r>
    </w:p>
    <w:p w:rsidR="0058451D" w:rsidRPr="00427EE1" w:rsidRDefault="0058451D" w:rsidP="000469E0">
      <w:r w:rsidRPr="00427EE1">
        <w:t>In the most extreme cases, a dispute resolution order will also be able to be used to compel a builder to meet the cost of rectification by an alternative builder where the building work is so poor it would not be reasonable to allow the original builder to attempt rectification.</w:t>
      </w:r>
    </w:p>
    <w:p w:rsidR="0058451D" w:rsidRPr="00427EE1" w:rsidRDefault="0058451D" w:rsidP="000469E0">
      <w:r w:rsidRPr="00427EE1">
        <w:t xml:space="preserve">While a party who is required to comply with a dispute resolution order will have a right to seek review of the order at VCAT, there will be strong incentives to both parties to accept the outcomes of conciliation and the dispute resolution order, if one has been issued. VCAT will have the power to make costs orders if it finds the review application frivolous or lacking in substance, or if the party seeking review does not get a better outcome compared to that achieved through conciliation and the dispute resolution order. As a further incentive, breach of a dispute resolution order by a builder will also be a </w:t>
      </w:r>
      <w:r w:rsidR="003E649F" w:rsidRPr="00427EE1">
        <w:t>ground for disciplinary action.</w:t>
      </w:r>
    </w:p>
    <w:p w:rsidR="0058451D" w:rsidRPr="00427EE1" w:rsidRDefault="00666D12" w:rsidP="000469E0">
      <w:r>
        <w:t>CAV</w:t>
      </w:r>
      <w:r w:rsidR="0058451D" w:rsidRPr="00427EE1">
        <w:t xml:space="preserve"> also aims to assist Victorian builders, owner-builders and consumers to avoid home building disputes by providing information about domestic building contracts and through its compliance activities, including the Better Business Initiative. It aims to assist consumers and builders to work together to solve building disputes. Its services include advice and conciliation.</w:t>
      </w:r>
    </w:p>
    <w:p w:rsidR="00D615BC" w:rsidRPr="00427EE1" w:rsidRDefault="00AE7BE6" w:rsidP="000469E0">
      <w:pPr>
        <w:pStyle w:val="Normalpre-dotpoint"/>
      </w:pPr>
      <w:r w:rsidRPr="00427EE1">
        <w:t xml:space="preserve">Additionally, VCAT, established under the </w:t>
      </w:r>
      <w:r w:rsidRPr="00427EE1">
        <w:rPr>
          <w:i/>
        </w:rPr>
        <w:t xml:space="preserve">Victorian Civil and Administrative Tribunal Act </w:t>
      </w:r>
      <w:r w:rsidR="00E5237C" w:rsidRPr="00427EE1">
        <w:rPr>
          <w:i/>
        </w:rPr>
        <w:t>1998</w:t>
      </w:r>
      <w:r w:rsidR="00291A94">
        <w:t>,</w:t>
      </w:r>
      <w:r w:rsidRPr="00427EE1">
        <w:t xml:space="preserve"> has two main areas of involvement:</w:t>
      </w:r>
    </w:p>
    <w:p w:rsidR="00AE7BE6" w:rsidRPr="00427EE1" w:rsidRDefault="00AE7BE6" w:rsidP="000469E0">
      <w:pPr>
        <w:pStyle w:val="Dotpoint"/>
      </w:pPr>
      <w:r w:rsidRPr="00427EE1">
        <w:t>a domestic building list for handling disputes between home owners, builders, subcontractors, architects, engineers and other building practitioners</w:t>
      </w:r>
    </w:p>
    <w:p w:rsidR="00AE7BE6" w:rsidRPr="00427EE1" w:rsidRDefault="00AE7BE6" w:rsidP="000469E0">
      <w:pPr>
        <w:pStyle w:val="Dotpointlast"/>
      </w:pPr>
      <w:r w:rsidRPr="00427EE1">
        <w:t xml:space="preserve">hearing appeals of </w:t>
      </w:r>
      <w:r w:rsidR="00720C4E">
        <w:t>VBA</w:t>
      </w:r>
      <w:r w:rsidR="00F57C69" w:rsidRPr="00427EE1">
        <w:t>’s</w:t>
      </w:r>
      <w:r w:rsidRPr="00427EE1">
        <w:t xml:space="preserve"> practitioner registration and disciplinary decisions.</w:t>
      </w:r>
    </w:p>
    <w:p w:rsidR="00AE7BE6" w:rsidRPr="00427EE1" w:rsidRDefault="00AE7BE6" w:rsidP="000469E0">
      <w:r w:rsidRPr="00427EE1">
        <w:t xml:space="preserve">Regulations also impose costs on </w:t>
      </w:r>
      <w:r w:rsidR="00454D16" w:rsidRPr="00427EE1">
        <w:t xml:space="preserve">councils, </w:t>
      </w:r>
      <w:r w:rsidR="00296466">
        <w:t>MBS</w:t>
      </w:r>
      <w:r w:rsidR="00AC0013">
        <w:t>s</w:t>
      </w:r>
      <w:r w:rsidRPr="00427EE1">
        <w:t xml:space="preserve"> and fire authorities to undertake compliance and enforcement activities. This will largely be related to undertaking inspections and serving infringement notices where breaches are detected.</w:t>
      </w:r>
    </w:p>
    <w:p w:rsidR="00E657D7" w:rsidRDefault="004F7D03">
      <w:pPr>
        <w:pStyle w:val="Heading4"/>
      </w:pPr>
      <w:r w:rsidRPr="00427EE1">
        <w:t xml:space="preserve">Domestic </w:t>
      </w:r>
      <w:r w:rsidR="007837CC">
        <w:t>b</w:t>
      </w:r>
      <w:r w:rsidRPr="00427EE1">
        <w:t xml:space="preserve">uilding </w:t>
      </w:r>
      <w:r w:rsidR="007837CC">
        <w:t>i</w:t>
      </w:r>
      <w:r w:rsidRPr="00427EE1">
        <w:t>nsurance</w:t>
      </w:r>
    </w:p>
    <w:p w:rsidR="00C50858" w:rsidRPr="00427EE1" w:rsidRDefault="004F7D03" w:rsidP="000469E0">
      <w:pPr>
        <w:rPr>
          <w:rFonts w:eastAsia="Arial"/>
        </w:rPr>
      </w:pPr>
      <w:r w:rsidRPr="00427EE1">
        <w:rPr>
          <w:rFonts w:eastAsia="Arial"/>
        </w:rPr>
        <w:t xml:space="preserve">Builders in Victoria are required by law to take out domestic building insurance, also known as builder's warranty insurance, for work valued at more than $16,000. </w:t>
      </w:r>
      <w:r w:rsidR="00E5237C" w:rsidRPr="00427EE1">
        <w:rPr>
          <w:rFonts w:eastAsia="Arial"/>
        </w:rPr>
        <w:t xml:space="preserve">The Victorian Managed Insurance Authority has offered domestic building insurance in Victoria at the direction of the </w:t>
      </w:r>
      <w:r w:rsidR="00195602">
        <w:rPr>
          <w:rFonts w:eastAsia="Arial"/>
        </w:rPr>
        <w:t>s</w:t>
      </w:r>
      <w:r w:rsidR="00E5237C" w:rsidRPr="00427EE1">
        <w:rPr>
          <w:rFonts w:eastAsia="Arial"/>
        </w:rPr>
        <w:t xml:space="preserve">tate </w:t>
      </w:r>
      <w:r w:rsidR="00195602">
        <w:rPr>
          <w:rFonts w:eastAsia="Arial"/>
        </w:rPr>
        <w:t>g</w:t>
      </w:r>
      <w:r w:rsidR="00E5237C" w:rsidRPr="00427EE1">
        <w:rPr>
          <w:rFonts w:eastAsia="Arial"/>
        </w:rPr>
        <w:t>overnment since May 2010.</w:t>
      </w:r>
      <w:r w:rsidR="0035176F" w:rsidRPr="00427EE1">
        <w:rPr>
          <w:rFonts w:eastAsia="Arial"/>
          <w:vertAlign w:val="superscript"/>
        </w:rPr>
        <w:footnoteReference w:id="30"/>
      </w:r>
      <w:r w:rsidR="00E5237C" w:rsidRPr="00427EE1">
        <w:rPr>
          <w:rFonts w:eastAsia="Arial"/>
        </w:rPr>
        <w:t xml:space="preserve"> </w:t>
      </w:r>
      <w:r w:rsidRPr="00427EE1">
        <w:rPr>
          <w:rFonts w:eastAsia="Arial"/>
        </w:rPr>
        <w:t>Insurance provides cover to homeowners for incomplete or defective building work</w:t>
      </w:r>
      <w:r w:rsidR="0035176F" w:rsidRPr="00427EE1">
        <w:rPr>
          <w:rFonts w:eastAsia="Arial"/>
        </w:rPr>
        <w:t>.</w:t>
      </w:r>
      <w:r w:rsidRPr="00427EE1">
        <w:rPr>
          <w:rFonts w:eastAsia="Arial"/>
          <w:vertAlign w:val="superscript"/>
        </w:rPr>
        <w:footnoteReference w:id="31"/>
      </w:r>
    </w:p>
    <w:p w:rsidR="002D5E35" w:rsidRDefault="002D5E35">
      <w:pPr>
        <w:spacing w:after="0"/>
        <w:rPr>
          <w:rFonts w:asciiTheme="majorHAnsi" w:eastAsiaTheme="majorEastAsia" w:hAnsiTheme="majorHAnsi" w:cstheme="majorBidi"/>
          <w:b/>
          <w:bCs/>
          <w:i/>
          <w:iCs/>
          <w:color w:val="00B2A9" w:themeColor="accent1"/>
          <w:sz w:val="22"/>
        </w:rPr>
      </w:pPr>
      <w:r>
        <w:br w:type="page"/>
      </w:r>
    </w:p>
    <w:p w:rsidR="00E657D7" w:rsidRDefault="00E5237C">
      <w:pPr>
        <w:pStyle w:val="Heading4"/>
      </w:pPr>
      <w:r w:rsidRPr="00427EE1">
        <w:lastRenderedPageBreak/>
        <w:t>Public</w:t>
      </w:r>
      <w:r w:rsidR="00C50858" w:rsidRPr="00427EE1">
        <w:t xml:space="preserve"> </w:t>
      </w:r>
      <w:r w:rsidR="007837CC">
        <w:t>h</w:t>
      </w:r>
      <w:r w:rsidR="00C50858" w:rsidRPr="00427EE1">
        <w:t xml:space="preserve">ealth and </w:t>
      </w:r>
      <w:r w:rsidR="007837CC">
        <w:t>s</w:t>
      </w:r>
      <w:r w:rsidR="00C50858" w:rsidRPr="00427EE1">
        <w:t>afety</w:t>
      </w:r>
    </w:p>
    <w:p w:rsidR="00D615BC" w:rsidRPr="00427EE1" w:rsidRDefault="004F7D03" w:rsidP="000469E0">
      <w:r w:rsidRPr="00427EE1">
        <w:rPr>
          <w:rFonts w:eastAsia="Arial"/>
        </w:rPr>
        <w:t xml:space="preserve">There are public health controls which link </w:t>
      </w:r>
      <w:r w:rsidR="0035176F" w:rsidRPr="00427EE1">
        <w:rPr>
          <w:rFonts w:eastAsia="Arial"/>
        </w:rPr>
        <w:t xml:space="preserve">to </w:t>
      </w:r>
      <w:r w:rsidRPr="00427EE1">
        <w:rPr>
          <w:rFonts w:eastAsia="Arial"/>
        </w:rPr>
        <w:t xml:space="preserve">the use of a building. For example, </w:t>
      </w:r>
      <w:r w:rsidRPr="00427EE1">
        <w:t xml:space="preserve">a Class 1b or Class 3 building that is a rooming house </w:t>
      </w:r>
      <w:r w:rsidR="0035176F" w:rsidRPr="00427EE1">
        <w:t>must</w:t>
      </w:r>
      <w:r w:rsidRPr="00427EE1">
        <w:t xml:space="preserve"> be registered on the public register of rooming houses maintained by </w:t>
      </w:r>
      <w:r w:rsidR="00C1043D">
        <w:t xml:space="preserve">CAV </w:t>
      </w:r>
      <w:r w:rsidRPr="00427EE1">
        <w:t>and comply with standards and requirements for prescribed accommodation under the Public Health and Wellbeing Regulations 2009.</w:t>
      </w:r>
    </w:p>
    <w:p w:rsidR="00D615BC" w:rsidRPr="00427EE1" w:rsidRDefault="004F7D03" w:rsidP="000469E0">
      <w:pPr>
        <w:rPr>
          <w:rFonts w:eastAsia="Arial"/>
        </w:rPr>
      </w:pPr>
      <w:r w:rsidRPr="00427EE1">
        <w:rPr>
          <w:rFonts w:eastAsia="Arial"/>
        </w:rPr>
        <w:t>The interface between building controls and health controls are set out in</w:t>
      </w:r>
      <w:r w:rsidR="004C29A2">
        <w:rPr>
          <w:rFonts w:eastAsia="Arial"/>
          <w:b/>
          <w:color w:val="00B2A9" w:themeColor="accent1"/>
          <w:szCs w:val="20"/>
        </w:rPr>
        <w:t xml:space="preserve"> </w:t>
      </w:r>
      <w:r w:rsidR="004C29A2" w:rsidRPr="00DE6971">
        <w:rPr>
          <w:rFonts w:eastAsia="Arial"/>
          <w:b/>
          <w:color w:val="00B2A9" w:themeColor="accent1"/>
          <w:szCs w:val="20"/>
        </w:rPr>
        <w:fldChar w:fldCharType="begin"/>
      </w:r>
      <w:r w:rsidR="004C29A2" w:rsidRPr="004C29A2">
        <w:rPr>
          <w:rFonts w:eastAsia="Arial"/>
          <w:b/>
          <w:color w:val="00B2A9" w:themeColor="accent1"/>
          <w:szCs w:val="20"/>
        </w:rPr>
        <w:instrText xml:space="preserve"> REF _Ref467139277 \h  \* MERGEFORMAT </w:instrText>
      </w:r>
      <w:r w:rsidR="004C29A2" w:rsidRPr="00DE6971">
        <w:rPr>
          <w:rFonts w:eastAsia="Arial"/>
          <w:b/>
          <w:color w:val="00B2A9" w:themeColor="accent1"/>
          <w:szCs w:val="20"/>
        </w:rPr>
      </w:r>
      <w:r w:rsidR="004C29A2" w:rsidRPr="00DE6971">
        <w:rPr>
          <w:rFonts w:eastAsia="Arial"/>
          <w:b/>
          <w:color w:val="00B2A9" w:themeColor="accent1"/>
          <w:szCs w:val="20"/>
        </w:rPr>
        <w:fldChar w:fldCharType="separate"/>
      </w:r>
      <w:r w:rsidR="00B30389" w:rsidRPr="00B30389">
        <w:rPr>
          <w:b/>
          <w:color w:val="00B2A9" w:themeColor="accent1"/>
        </w:rPr>
        <w:t>Table 2</w:t>
      </w:r>
      <w:r w:rsidR="004C29A2" w:rsidRPr="00DE6971">
        <w:rPr>
          <w:rFonts w:eastAsia="Arial"/>
          <w:b/>
          <w:color w:val="00B2A9" w:themeColor="accent1"/>
          <w:szCs w:val="20"/>
        </w:rPr>
        <w:fldChar w:fldCharType="end"/>
      </w:r>
      <w:r w:rsidRPr="00427EE1">
        <w:rPr>
          <w:rFonts w:eastAsia="Arial"/>
        </w:rPr>
        <w:t>.</w:t>
      </w:r>
    </w:p>
    <w:p w:rsidR="004F7D03" w:rsidRPr="00427EE1" w:rsidRDefault="004F7D03" w:rsidP="00576F3F">
      <w:pPr>
        <w:pStyle w:val="Caption"/>
      </w:pPr>
      <w:bookmarkStart w:id="24" w:name="_Ref467139277"/>
      <w:bookmarkStart w:id="25" w:name="_Toc481499857"/>
      <w:r w:rsidRPr="00427EE1">
        <w:t xml:space="preserve">Table </w:t>
      </w:r>
      <w:r w:rsidR="00AC1A59" w:rsidRPr="00427EE1">
        <w:fldChar w:fldCharType="begin"/>
      </w:r>
      <w:r w:rsidR="00AC667E" w:rsidRPr="00427EE1">
        <w:instrText xml:space="preserve"> SEQ Table \* ARABIC </w:instrText>
      </w:r>
      <w:r w:rsidR="00AC1A59" w:rsidRPr="00427EE1">
        <w:fldChar w:fldCharType="separate"/>
      </w:r>
      <w:r w:rsidR="00B30389">
        <w:rPr>
          <w:noProof/>
        </w:rPr>
        <w:t>2</w:t>
      </w:r>
      <w:r w:rsidR="00AC1A59" w:rsidRPr="00427EE1">
        <w:fldChar w:fldCharType="end"/>
      </w:r>
      <w:bookmarkEnd w:id="24"/>
      <w:r w:rsidRPr="00427EE1">
        <w:t>: Building and health responses to address public health issues</w:t>
      </w:r>
      <w:bookmarkEnd w:id="25"/>
    </w:p>
    <w:tbl>
      <w:tblPr>
        <w:tblStyle w:val="TableGrid"/>
        <w:tblW w:w="8334" w:type="dxa"/>
        <w:tblInd w:w="108"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ook w:val="04A0" w:firstRow="1" w:lastRow="0" w:firstColumn="1" w:lastColumn="0" w:noHBand="0" w:noVBand="1"/>
      </w:tblPr>
      <w:tblGrid>
        <w:gridCol w:w="2410"/>
        <w:gridCol w:w="2409"/>
        <w:gridCol w:w="3515"/>
      </w:tblGrid>
      <w:tr w:rsidR="004F7D03" w:rsidRPr="00C14778" w:rsidTr="006768D4">
        <w:trPr>
          <w:cnfStyle w:val="100000000000" w:firstRow="1" w:lastRow="0" w:firstColumn="0" w:lastColumn="0" w:oddVBand="0" w:evenVBand="0" w:oddHBand="0" w:evenHBand="0" w:firstRowFirstColumn="0" w:firstRowLastColumn="0" w:lastRowFirstColumn="0" w:lastRowLastColumn="0"/>
          <w:cantSplit/>
          <w:tblHeader/>
        </w:trPr>
        <w:tc>
          <w:tcPr>
            <w:cnfStyle w:val="000000000100" w:firstRow="0" w:lastRow="0" w:firstColumn="0" w:lastColumn="0" w:oddVBand="0" w:evenVBand="0" w:oddHBand="0" w:evenHBand="0" w:firstRowFirstColumn="1" w:firstRowLastColumn="0" w:lastRowFirstColumn="0" w:lastRowLastColumn="0"/>
            <w:tcW w:w="2410" w:type="dxa"/>
            <w:shd w:val="clear" w:color="auto" w:fill="00B2A9" w:themeFill="accent1"/>
          </w:tcPr>
          <w:p w:rsidR="004F7D03" w:rsidRPr="00C14778" w:rsidRDefault="004F7D03" w:rsidP="0080262C">
            <w:pPr>
              <w:pStyle w:val="Tablecolumnhead"/>
              <w:rPr>
                <w:sz w:val="18"/>
                <w:szCs w:val="18"/>
              </w:rPr>
            </w:pPr>
            <w:r w:rsidRPr="00C14778">
              <w:rPr>
                <w:sz w:val="18"/>
                <w:szCs w:val="18"/>
              </w:rPr>
              <w:t>Key areas</w:t>
            </w:r>
          </w:p>
        </w:tc>
        <w:tc>
          <w:tcPr>
            <w:tcW w:w="2409" w:type="dxa"/>
            <w:shd w:val="clear" w:color="auto" w:fill="00B2A9" w:themeFill="accent1"/>
          </w:tcPr>
          <w:p w:rsidR="004F7D03" w:rsidRPr="00C14778" w:rsidRDefault="004F7D03" w:rsidP="0080262C">
            <w:pPr>
              <w:pStyle w:val="Tablecolumnhead"/>
              <w:cnfStyle w:val="100000000000" w:firstRow="1" w:lastRow="0" w:firstColumn="0" w:lastColumn="0" w:oddVBand="0" w:evenVBand="0" w:oddHBand="0" w:evenHBand="0" w:firstRowFirstColumn="0" w:firstRowLastColumn="0" w:lastRowFirstColumn="0" w:lastRowLastColumn="0"/>
              <w:rPr>
                <w:sz w:val="18"/>
                <w:szCs w:val="18"/>
              </w:rPr>
            </w:pPr>
            <w:r w:rsidRPr="00C14778">
              <w:rPr>
                <w:sz w:val="18"/>
                <w:szCs w:val="18"/>
              </w:rPr>
              <w:t xml:space="preserve">Building response </w:t>
            </w:r>
            <w:r w:rsidRPr="00C14778">
              <w:rPr>
                <w:rStyle w:val="FootnoteReference"/>
                <w:rFonts w:cstheme="minorHAnsi"/>
                <w:b w:val="0"/>
                <w:color w:val="EFE9F0" w:themeColor="background2"/>
                <w:sz w:val="18"/>
                <w:szCs w:val="18"/>
              </w:rPr>
              <w:footnoteReference w:id="32"/>
            </w:r>
          </w:p>
        </w:tc>
        <w:tc>
          <w:tcPr>
            <w:tcW w:w="3515" w:type="dxa"/>
            <w:shd w:val="clear" w:color="auto" w:fill="00B2A9" w:themeFill="accent1"/>
          </w:tcPr>
          <w:p w:rsidR="004F7D03" w:rsidRPr="00C14778" w:rsidRDefault="004F7D03" w:rsidP="0080262C">
            <w:pPr>
              <w:pStyle w:val="Tablecolumnhead"/>
              <w:cnfStyle w:val="100000000000" w:firstRow="1" w:lastRow="0" w:firstColumn="0" w:lastColumn="0" w:oddVBand="0" w:evenVBand="0" w:oddHBand="0" w:evenHBand="0" w:firstRowFirstColumn="0" w:firstRowLastColumn="0" w:lastRowFirstColumn="0" w:lastRowLastColumn="0"/>
              <w:rPr>
                <w:sz w:val="18"/>
                <w:szCs w:val="18"/>
              </w:rPr>
            </w:pPr>
            <w:r w:rsidRPr="00C14778">
              <w:rPr>
                <w:sz w:val="18"/>
                <w:szCs w:val="18"/>
              </w:rPr>
              <w:t xml:space="preserve">Health response </w:t>
            </w:r>
          </w:p>
        </w:tc>
      </w:tr>
      <w:tr w:rsidR="004F7D03" w:rsidRPr="00C14778" w:rsidTr="006768D4">
        <w:trPr>
          <w:cantSplit/>
        </w:trPr>
        <w:tc>
          <w:tcPr>
            <w:tcW w:w="2410" w:type="dxa"/>
          </w:tcPr>
          <w:p w:rsidR="004F7D03" w:rsidRPr="00C14778" w:rsidRDefault="004F7D03" w:rsidP="0080262C">
            <w:pPr>
              <w:pStyle w:val="Tabletext"/>
              <w:rPr>
                <w:sz w:val="18"/>
                <w:szCs w:val="18"/>
                <w:lang w:val="en-AU"/>
              </w:rPr>
            </w:pPr>
            <w:r w:rsidRPr="00C14778">
              <w:rPr>
                <w:sz w:val="18"/>
                <w:szCs w:val="18"/>
                <w:lang w:val="en-AU"/>
              </w:rPr>
              <w:t xml:space="preserve">Prescribed accommodation </w:t>
            </w:r>
            <w:r w:rsidRPr="00C14778">
              <w:rPr>
                <w:rStyle w:val="FootnoteReference"/>
                <w:rFonts w:cstheme="minorHAnsi"/>
                <w:color w:val="auto"/>
                <w:sz w:val="18"/>
                <w:szCs w:val="18"/>
                <w:lang w:val="en-AU"/>
              </w:rPr>
              <w:footnoteReference w:id="33"/>
            </w:r>
            <w:r w:rsidRPr="00C14778">
              <w:rPr>
                <w:sz w:val="18"/>
                <w:szCs w:val="18"/>
                <w:lang w:val="en-AU"/>
              </w:rPr>
              <w:t xml:space="preserve"> </w:t>
            </w:r>
          </w:p>
        </w:tc>
        <w:tc>
          <w:tcPr>
            <w:tcW w:w="2409" w:type="dxa"/>
          </w:tcPr>
          <w:p w:rsidR="004F7D03" w:rsidRPr="00C14778" w:rsidRDefault="004F7D03" w:rsidP="0080262C">
            <w:pPr>
              <w:pStyle w:val="Tabletext"/>
              <w:rPr>
                <w:sz w:val="18"/>
                <w:szCs w:val="18"/>
                <w:lang w:val="en-AU"/>
              </w:rPr>
            </w:pPr>
            <w:r w:rsidRPr="00C14778">
              <w:rPr>
                <w:sz w:val="18"/>
                <w:szCs w:val="18"/>
                <w:lang w:val="en-AU"/>
              </w:rPr>
              <w:t>BCA building standards for classes of buildings</w:t>
            </w:r>
          </w:p>
        </w:tc>
        <w:tc>
          <w:tcPr>
            <w:tcW w:w="3515" w:type="dxa"/>
          </w:tcPr>
          <w:p w:rsidR="004F7D03" w:rsidRPr="00C14778" w:rsidRDefault="004F7D03" w:rsidP="0080262C">
            <w:pPr>
              <w:pStyle w:val="Tabletext"/>
              <w:rPr>
                <w:sz w:val="18"/>
                <w:szCs w:val="18"/>
                <w:lang w:val="en-AU"/>
              </w:rPr>
            </w:pPr>
            <w:r w:rsidRPr="00C14778">
              <w:rPr>
                <w:sz w:val="18"/>
                <w:szCs w:val="18"/>
                <w:lang w:val="en-AU"/>
              </w:rPr>
              <w:t xml:space="preserve">Public health standards for facilities (resident numbers, room sizes, sanitary facilities, maintenance of facilities) </w:t>
            </w:r>
            <w:r w:rsidRPr="00C14778">
              <w:rPr>
                <w:rStyle w:val="FootnoteReference"/>
                <w:rFonts w:cstheme="minorHAnsi"/>
                <w:color w:val="auto"/>
                <w:sz w:val="18"/>
                <w:szCs w:val="18"/>
                <w:lang w:val="en-AU"/>
              </w:rPr>
              <w:footnoteReference w:id="34"/>
            </w:r>
          </w:p>
        </w:tc>
      </w:tr>
      <w:tr w:rsidR="004F7D03" w:rsidRPr="00C14778" w:rsidTr="006768D4">
        <w:trPr>
          <w:cantSplit/>
        </w:trPr>
        <w:tc>
          <w:tcPr>
            <w:tcW w:w="2410" w:type="dxa"/>
          </w:tcPr>
          <w:p w:rsidR="004F7D03" w:rsidRPr="00C14778" w:rsidRDefault="004F7D03" w:rsidP="0080262C">
            <w:pPr>
              <w:pStyle w:val="Tabletext"/>
              <w:rPr>
                <w:sz w:val="18"/>
                <w:szCs w:val="18"/>
                <w:lang w:val="en-AU"/>
              </w:rPr>
            </w:pPr>
            <w:r w:rsidRPr="00C14778">
              <w:rPr>
                <w:sz w:val="18"/>
                <w:szCs w:val="18"/>
                <w:lang w:val="en-AU"/>
              </w:rPr>
              <w:t xml:space="preserve">Rooming houses </w:t>
            </w:r>
            <w:r w:rsidRPr="00C14778">
              <w:rPr>
                <w:rStyle w:val="FootnoteReference"/>
                <w:rFonts w:cstheme="minorHAnsi"/>
                <w:color w:val="auto"/>
                <w:sz w:val="18"/>
                <w:szCs w:val="18"/>
                <w:lang w:val="en-AU"/>
              </w:rPr>
              <w:footnoteReference w:id="35"/>
            </w:r>
            <w:r w:rsidRPr="00C14778">
              <w:rPr>
                <w:sz w:val="18"/>
                <w:szCs w:val="18"/>
                <w:lang w:val="en-AU"/>
              </w:rPr>
              <w:t xml:space="preserve"> (building and fit-out)</w:t>
            </w:r>
          </w:p>
        </w:tc>
        <w:tc>
          <w:tcPr>
            <w:tcW w:w="2409" w:type="dxa"/>
          </w:tcPr>
          <w:p w:rsidR="004F7D03" w:rsidRPr="00C14778" w:rsidRDefault="00AC1A59" w:rsidP="0080262C">
            <w:pPr>
              <w:pStyle w:val="Tabletext"/>
              <w:keepNext/>
              <w:keepLines/>
              <w:numPr>
                <w:ilvl w:val="0"/>
                <w:numId w:val="7"/>
              </w:numPr>
              <w:ind w:right="0"/>
              <w:outlineLvl w:val="0"/>
              <w:rPr>
                <w:sz w:val="18"/>
                <w:szCs w:val="18"/>
              </w:rPr>
            </w:pPr>
            <w:r w:rsidRPr="00C14778">
              <w:rPr>
                <w:sz w:val="18"/>
                <w:szCs w:val="18"/>
              </w:rPr>
              <w:t>BCA building standards for classes of buildings</w:t>
            </w:r>
          </w:p>
        </w:tc>
        <w:tc>
          <w:tcPr>
            <w:tcW w:w="3515" w:type="dxa"/>
          </w:tcPr>
          <w:p w:rsidR="004F7D03" w:rsidRPr="00C14778" w:rsidRDefault="004F7D03" w:rsidP="0080262C">
            <w:pPr>
              <w:pStyle w:val="Tabletext"/>
              <w:rPr>
                <w:sz w:val="18"/>
                <w:szCs w:val="18"/>
                <w:lang w:val="en-AU"/>
              </w:rPr>
            </w:pPr>
            <w:r w:rsidRPr="00C14778">
              <w:rPr>
                <w:sz w:val="18"/>
                <w:szCs w:val="18"/>
                <w:lang w:val="en-AU"/>
              </w:rPr>
              <w:t>Registration</w:t>
            </w:r>
          </w:p>
          <w:p w:rsidR="004F7D03" w:rsidRPr="00C14778" w:rsidRDefault="004F7D03" w:rsidP="0080262C">
            <w:pPr>
              <w:pStyle w:val="Tabletext"/>
              <w:rPr>
                <w:sz w:val="18"/>
                <w:szCs w:val="18"/>
                <w:lang w:val="en-AU"/>
              </w:rPr>
            </w:pPr>
            <w:r w:rsidRPr="00C14778">
              <w:rPr>
                <w:sz w:val="18"/>
                <w:szCs w:val="18"/>
                <w:lang w:val="en-AU"/>
              </w:rPr>
              <w:t>Residential tenancy standards for fittings (locks, power, blinds, kitchen, lighting, security and maintenance of gas and electrical installations)</w:t>
            </w:r>
          </w:p>
        </w:tc>
      </w:tr>
      <w:tr w:rsidR="004F7D03" w:rsidRPr="00C14778" w:rsidTr="006768D4">
        <w:trPr>
          <w:cantSplit/>
        </w:trPr>
        <w:tc>
          <w:tcPr>
            <w:tcW w:w="2410" w:type="dxa"/>
          </w:tcPr>
          <w:p w:rsidR="004F7D03" w:rsidRPr="00C14778" w:rsidRDefault="004F7D03" w:rsidP="0080262C">
            <w:pPr>
              <w:pStyle w:val="Tabletext"/>
              <w:rPr>
                <w:sz w:val="18"/>
                <w:szCs w:val="18"/>
                <w:lang w:val="en-AU"/>
              </w:rPr>
            </w:pPr>
            <w:r w:rsidRPr="00C14778">
              <w:rPr>
                <w:sz w:val="18"/>
                <w:szCs w:val="18"/>
                <w:lang w:val="en-AU"/>
              </w:rPr>
              <w:t>Hazardous materials (asbestos)</w:t>
            </w:r>
          </w:p>
        </w:tc>
        <w:tc>
          <w:tcPr>
            <w:tcW w:w="2409" w:type="dxa"/>
          </w:tcPr>
          <w:p w:rsidR="004F7D03" w:rsidRPr="00C14778" w:rsidRDefault="004F7D03" w:rsidP="0080262C">
            <w:pPr>
              <w:pStyle w:val="Tabletext"/>
              <w:rPr>
                <w:sz w:val="18"/>
                <w:szCs w:val="18"/>
                <w:lang w:val="en-AU"/>
              </w:rPr>
            </w:pPr>
          </w:p>
        </w:tc>
        <w:tc>
          <w:tcPr>
            <w:tcW w:w="3515" w:type="dxa"/>
          </w:tcPr>
          <w:p w:rsidR="004F7D03" w:rsidRPr="00C14778" w:rsidRDefault="004F7D03" w:rsidP="0080262C">
            <w:pPr>
              <w:pStyle w:val="Tabletext"/>
              <w:rPr>
                <w:sz w:val="18"/>
                <w:szCs w:val="18"/>
                <w:lang w:val="en-AU"/>
              </w:rPr>
            </w:pPr>
            <w:r w:rsidRPr="00C14778">
              <w:rPr>
                <w:sz w:val="18"/>
                <w:szCs w:val="18"/>
                <w:lang w:val="en-AU"/>
              </w:rPr>
              <w:t>OHS</w:t>
            </w:r>
            <w:r w:rsidR="00C85843">
              <w:rPr>
                <w:sz w:val="18"/>
                <w:szCs w:val="18"/>
                <w:lang w:val="en-AU"/>
              </w:rPr>
              <w:t>-</w:t>
            </w:r>
            <w:r w:rsidRPr="00C14778">
              <w:rPr>
                <w:sz w:val="18"/>
                <w:szCs w:val="18"/>
                <w:lang w:val="en-AU"/>
              </w:rPr>
              <w:t>prohibited material</w:t>
            </w:r>
          </w:p>
          <w:p w:rsidR="00D615BC" w:rsidRPr="00C14778" w:rsidRDefault="004F7D03" w:rsidP="0080262C">
            <w:pPr>
              <w:pStyle w:val="Tabletext"/>
              <w:rPr>
                <w:sz w:val="18"/>
                <w:szCs w:val="18"/>
                <w:lang w:val="en-AU"/>
              </w:rPr>
            </w:pPr>
            <w:r w:rsidRPr="00C14778">
              <w:rPr>
                <w:sz w:val="18"/>
                <w:szCs w:val="18"/>
                <w:lang w:val="en-AU"/>
              </w:rPr>
              <w:t>Australian border protection</w:t>
            </w:r>
          </w:p>
          <w:p w:rsidR="004F7D03" w:rsidRPr="00C14778" w:rsidRDefault="004F7D03" w:rsidP="0080262C">
            <w:pPr>
              <w:pStyle w:val="Tabletext"/>
              <w:rPr>
                <w:sz w:val="18"/>
                <w:szCs w:val="18"/>
                <w:lang w:val="en-AU"/>
              </w:rPr>
            </w:pPr>
            <w:r w:rsidRPr="00C14778">
              <w:rPr>
                <w:sz w:val="18"/>
                <w:szCs w:val="18"/>
                <w:lang w:val="en-AU"/>
              </w:rPr>
              <w:t xml:space="preserve">State safety inspectors </w:t>
            </w:r>
            <w:r w:rsidRPr="00C14778">
              <w:rPr>
                <w:rStyle w:val="FootnoteReference"/>
                <w:rFonts w:cstheme="minorHAnsi"/>
                <w:color w:val="auto"/>
                <w:sz w:val="18"/>
                <w:szCs w:val="18"/>
                <w:lang w:val="en-AU"/>
              </w:rPr>
              <w:footnoteReference w:id="36"/>
            </w:r>
          </w:p>
        </w:tc>
      </w:tr>
    </w:tbl>
    <w:p w:rsidR="002D5E35" w:rsidRPr="002D5E35" w:rsidRDefault="002D5E35" w:rsidP="002D5E35">
      <w:pPr>
        <w:spacing w:after="0"/>
        <w:rPr>
          <w:sz w:val="16"/>
          <w:szCs w:val="16"/>
        </w:rPr>
      </w:pPr>
    </w:p>
    <w:p w:rsidR="004F7D03" w:rsidRPr="00427EE1" w:rsidRDefault="004F7D03" w:rsidP="000469E0">
      <w:r w:rsidRPr="00427EE1">
        <w:t xml:space="preserve">Decisions </w:t>
      </w:r>
      <w:r w:rsidR="00D90FC3">
        <w:t>about</w:t>
      </w:r>
      <w:r w:rsidRPr="00427EE1">
        <w:t xml:space="preserve"> the establishment and operation of a construction site must be informed the</w:t>
      </w:r>
      <w:r w:rsidR="002D6259" w:rsidRPr="00427EE1">
        <w:t xml:space="preserve"> requirements of the</w:t>
      </w:r>
      <w:r w:rsidRPr="00427EE1">
        <w:t xml:space="preserve"> </w:t>
      </w:r>
      <w:r w:rsidRPr="00427EE1">
        <w:rPr>
          <w:i/>
        </w:rPr>
        <w:t>Occupational Health and Safety Act 2004</w:t>
      </w:r>
      <w:r w:rsidRPr="00427EE1">
        <w:t xml:space="preserve"> and Occupational Health and Safety Regulations 2007 – see </w:t>
      </w:r>
      <w:r w:rsidR="004C29A2" w:rsidRPr="00DE6971">
        <w:rPr>
          <w:b/>
          <w:color w:val="00B2A9" w:themeColor="accent1"/>
          <w:szCs w:val="20"/>
        </w:rPr>
        <w:fldChar w:fldCharType="begin"/>
      </w:r>
      <w:r w:rsidR="004C29A2" w:rsidRPr="006119D2">
        <w:rPr>
          <w:b/>
          <w:color w:val="00B2A9" w:themeColor="accent1"/>
        </w:rPr>
        <w:instrText xml:space="preserve"> REF _Ref467142931 \h </w:instrText>
      </w:r>
      <w:r w:rsidR="004C29A2" w:rsidRPr="004C29A2">
        <w:rPr>
          <w:b/>
          <w:color w:val="00B2A9" w:themeColor="accent1"/>
          <w:szCs w:val="20"/>
        </w:rPr>
        <w:instrText xml:space="preserve"> \* MERGEFORMAT </w:instrText>
      </w:r>
      <w:r w:rsidR="004C29A2" w:rsidRPr="00DE6971">
        <w:rPr>
          <w:b/>
          <w:color w:val="00B2A9" w:themeColor="accent1"/>
          <w:szCs w:val="20"/>
        </w:rPr>
      </w:r>
      <w:r w:rsidR="004C29A2" w:rsidRPr="00DE6971">
        <w:rPr>
          <w:b/>
          <w:color w:val="00B2A9" w:themeColor="accent1"/>
          <w:szCs w:val="20"/>
        </w:rPr>
        <w:fldChar w:fldCharType="separate"/>
      </w:r>
      <w:r w:rsidR="00B30389" w:rsidRPr="00B30389">
        <w:rPr>
          <w:b/>
          <w:color w:val="00B2A9" w:themeColor="accent1"/>
        </w:rPr>
        <w:t>Table 3</w:t>
      </w:r>
      <w:r w:rsidR="004C29A2" w:rsidRPr="00DE6971">
        <w:rPr>
          <w:b/>
          <w:color w:val="00B2A9" w:themeColor="accent1"/>
          <w:szCs w:val="20"/>
        </w:rPr>
        <w:fldChar w:fldCharType="end"/>
      </w:r>
      <w:r w:rsidRPr="00427EE1">
        <w:t>.</w:t>
      </w:r>
    </w:p>
    <w:p w:rsidR="004F7D03" w:rsidRPr="00427EE1" w:rsidRDefault="004F7D03" w:rsidP="004F7D03">
      <w:pPr>
        <w:pStyle w:val="Caption"/>
      </w:pPr>
      <w:bookmarkStart w:id="26" w:name="_Ref467142931"/>
      <w:bookmarkStart w:id="27" w:name="_Toc481499858"/>
      <w:r w:rsidRPr="00427EE1">
        <w:t xml:space="preserve">Table </w:t>
      </w:r>
      <w:r w:rsidR="00AC1A59" w:rsidRPr="00427EE1">
        <w:fldChar w:fldCharType="begin"/>
      </w:r>
      <w:r w:rsidR="00AC667E" w:rsidRPr="00427EE1">
        <w:instrText xml:space="preserve"> SEQ Table \* ARABIC </w:instrText>
      </w:r>
      <w:r w:rsidR="00AC1A59" w:rsidRPr="00427EE1">
        <w:fldChar w:fldCharType="separate"/>
      </w:r>
      <w:r w:rsidR="00B30389">
        <w:rPr>
          <w:noProof/>
        </w:rPr>
        <w:t>3</w:t>
      </w:r>
      <w:r w:rsidR="00AC1A59" w:rsidRPr="00427EE1">
        <w:fldChar w:fldCharType="end"/>
      </w:r>
      <w:bookmarkEnd w:id="26"/>
      <w:r w:rsidR="0080262C" w:rsidRPr="00427EE1">
        <w:t xml:space="preserve">: </w:t>
      </w:r>
      <w:r w:rsidRPr="00427EE1">
        <w:t>OHS, health and local law responses to address construction site safety, health and amenity</w:t>
      </w:r>
      <w:bookmarkEnd w:id="27"/>
    </w:p>
    <w:tbl>
      <w:tblPr>
        <w:tblStyle w:val="TableGrid"/>
        <w:tblW w:w="0" w:type="auto"/>
        <w:tblInd w:w="108"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ook w:val="04A0" w:firstRow="1" w:lastRow="0" w:firstColumn="1" w:lastColumn="0" w:noHBand="0" w:noVBand="1"/>
      </w:tblPr>
      <w:tblGrid>
        <w:gridCol w:w="1253"/>
        <w:gridCol w:w="2341"/>
        <w:gridCol w:w="2217"/>
        <w:gridCol w:w="2312"/>
      </w:tblGrid>
      <w:tr w:rsidR="004F7D03" w:rsidRPr="00C14778" w:rsidTr="006768D4">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276" w:type="dxa"/>
            <w:shd w:val="clear" w:color="auto" w:fill="00B2A9" w:themeFill="accent1"/>
          </w:tcPr>
          <w:p w:rsidR="004F7D03" w:rsidRPr="00C14778" w:rsidRDefault="004F7D03" w:rsidP="0080262C">
            <w:pPr>
              <w:pStyle w:val="Tablecolumnhead"/>
              <w:rPr>
                <w:sz w:val="18"/>
                <w:szCs w:val="18"/>
              </w:rPr>
            </w:pPr>
            <w:r w:rsidRPr="00C14778">
              <w:rPr>
                <w:sz w:val="18"/>
                <w:szCs w:val="18"/>
              </w:rPr>
              <w:t>Key areas</w:t>
            </w:r>
          </w:p>
        </w:tc>
        <w:tc>
          <w:tcPr>
            <w:tcW w:w="2410" w:type="dxa"/>
            <w:shd w:val="clear" w:color="auto" w:fill="00B2A9" w:themeFill="accent1"/>
          </w:tcPr>
          <w:p w:rsidR="004F7D03" w:rsidRPr="00C14778" w:rsidRDefault="004F7D03" w:rsidP="0080262C">
            <w:pPr>
              <w:pStyle w:val="Tablecolumnhead"/>
              <w:cnfStyle w:val="100000000000" w:firstRow="1" w:lastRow="0" w:firstColumn="0" w:lastColumn="0" w:oddVBand="0" w:evenVBand="0" w:oddHBand="0" w:evenHBand="0" w:firstRowFirstColumn="0" w:firstRowLastColumn="0" w:lastRowFirstColumn="0" w:lastRowLastColumn="0"/>
              <w:rPr>
                <w:sz w:val="18"/>
                <w:szCs w:val="18"/>
              </w:rPr>
            </w:pPr>
            <w:r w:rsidRPr="00C14778">
              <w:rPr>
                <w:sz w:val="18"/>
                <w:szCs w:val="18"/>
              </w:rPr>
              <w:t>OHS response</w:t>
            </w:r>
          </w:p>
        </w:tc>
        <w:tc>
          <w:tcPr>
            <w:tcW w:w="2268" w:type="dxa"/>
            <w:shd w:val="clear" w:color="auto" w:fill="00B2A9" w:themeFill="accent1"/>
          </w:tcPr>
          <w:p w:rsidR="004F7D03" w:rsidRPr="00C14778" w:rsidRDefault="004F7D03" w:rsidP="0080262C">
            <w:pPr>
              <w:pStyle w:val="Tablecolumnhead"/>
              <w:cnfStyle w:val="100000000000" w:firstRow="1" w:lastRow="0" w:firstColumn="0" w:lastColumn="0" w:oddVBand="0" w:evenVBand="0" w:oddHBand="0" w:evenHBand="0" w:firstRowFirstColumn="0" w:firstRowLastColumn="0" w:lastRowFirstColumn="0" w:lastRowLastColumn="0"/>
              <w:rPr>
                <w:sz w:val="18"/>
                <w:szCs w:val="18"/>
              </w:rPr>
            </w:pPr>
            <w:r w:rsidRPr="00C14778">
              <w:rPr>
                <w:sz w:val="18"/>
                <w:szCs w:val="18"/>
              </w:rPr>
              <w:t>Health response</w:t>
            </w:r>
          </w:p>
        </w:tc>
        <w:tc>
          <w:tcPr>
            <w:tcW w:w="2375" w:type="dxa"/>
            <w:shd w:val="clear" w:color="auto" w:fill="00B2A9" w:themeFill="accent1"/>
          </w:tcPr>
          <w:p w:rsidR="004F7D03" w:rsidRPr="00C14778" w:rsidRDefault="004F7D03" w:rsidP="0080262C">
            <w:pPr>
              <w:pStyle w:val="Tablecolumnhead"/>
              <w:cnfStyle w:val="100000000000" w:firstRow="1" w:lastRow="0" w:firstColumn="0" w:lastColumn="0" w:oddVBand="0" w:evenVBand="0" w:oddHBand="0" w:evenHBand="0" w:firstRowFirstColumn="0" w:firstRowLastColumn="0" w:lastRowFirstColumn="0" w:lastRowLastColumn="0"/>
              <w:rPr>
                <w:sz w:val="18"/>
                <w:szCs w:val="18"/>
              </w:rPr>
            </w:pPr>
            <w:r w:rsidRPr="00C14778">
              <w:rPr>
                <w:sz w:val="18"/>
                <w:szCs w:val="18"/>
              </w:rPr>
              <w:t>Local laws response</w:t>
            </w:r>
          </w:p>
        </w:tc>
      </w:tr>
      <w:tr w:rsidR="004F7D03" w:rsidRPr="005719C2" w:rsidTr="006768D4">
        <w:tc>
          <w:tcPr>
            <w:tcW w:w="1276" w:type="dxa"/>
          </w:tcPr>
          <w:p w:rsidR="004F7D03" w:rsidRPr="005719C2" w:rsidRDefault="004F7D03" w:rsidP="0080262C">
            <w:pPr>
              <w:pStyle w:val="Tabletext"/>
              <w:rPr>
                <w:sz w:val="18"/>
                <w:szCs w:val="18"/>
                <w:lang w:val="en-AU"/>
              </w:rPr>
            </w:pPr>
            <w:r w:rsidRPr="005719C2">
              <w:rPr>
                <w:sz w:val="18"/>
                <w:szCs w:val="18"/>
                <w:lang w:val="en-AU"/>
              </w:rPr>
              <w:t>Safety</w:t>
            </w:r>
          </w:p>
          <w:p w:rsidR="004F7D03" w:rsidRPr="005719C2" w:rsidRDefault="004F7D03" w:rsidP="0080262C">
            <w:pPr>
              <w:pStyle w:val="Tabletext"/>
              <w:rPr>
                <w:sz w:val="18"/>
                <w:szCs w:val="18"/>
                <w:lang w:val="en-AU"/>
              </w:rPr>
            </w:pPr>
            <w:r w:rsidRPr="005719C2">
              <w:rPr>
                <w:sz w:val="18"/>
                <w:szCs w:val="18"/>
                <w:lang w:val="en-AU"/>
              </w:rPr>
              <w:t>Health</w:t>
            </w:r>
          </w:p>
          <w:p w:rsidR="004F7D03" w:rsidRPr="005719C2" w:rsidRDefault="004F7D03" w:rsidP="0080262C">
            <w:pPr>
              <w:pStyle w:val="Tabletext"/>
              <w:rPr>
                <w:sz w:val="18"/>
                <w:szCs w:val="18"/>
                <w:lang w:val="en-AU"/>
              </w:rPr>
            </w:pPr>
            <w:r w:rsidRPr="005719C2">
              <w:rPr>
                <w:sz w:val="18"/>
                <w:szCs w:val="18"/>
                <w:lang w:val="en-AU"/>
              </w:rPr>
              <w:t>Amenity</w:t>
            </w:r>
          </w:p>
        </w:tc>
        <w:tc>
          <w:tcPr>
            <w:tcW w:w="2410" w:type="dxa"/>
          </w:tcPr>
          <w:p w:rsidR="004F7D03" w:rsidRPr="005719C2" w:rsidRDefault="004F7D03" w:rsidP="0080262C">
            <w:pPr>
              <w:pStyle w:val="Tabletext"/>
              <w:rPr>
                <w:sz w:val="18"/>
                <w:szCs w:val="18"/>
                <w:lang w:val="en-AU"/>
              </w:rPr>
            </w:pPr>
            <w:r w:rsidRPr="005719C2">
              <w:rPr>
                <w:sz w:val="18"/>
                <w:szCs w:val="18"/>
                <w:lang w:val="en-AU"/>
              </w:rPr>
              <w:t>Head contractor to implement a health and safety co</w:t>
            </w:r>
            <w:r w:rsidR="007C5A88" w:rsidRPr="005719C2">
              <w:rPr>
                <w:sz w:val="18"/>
                <w:szCs w:val="18"/>
                <w:lang w:val="en-AU"/>
              </w:rPr>
              <w:t>ordination</w:t>
            </w:r>
            <w:r w:rsidRPr="005719C2">
              <w:rPr>
                <w:sz w:val="18"/>
                <w:szCs w:val="18"/>
                <w:lang w:val="en-AU"/>
              </w:rPr>
              <w:t xml:space="preserve"> plan for site activity</w:t>
            </w:r>
          </w:p>
          <w:p w:rsidR="004F7D03" w:rsidRPr="005719C2" w:rsidRDefault="004F7D03" w:rsidP="0080262C">
            <w:pPr>
              <w:pStyle w:val="Tabletext"/>
              <w:rPr>
                <w:sz w:val="18"/>
                <w:szCs w:val="18"/>
                <w:lang w:val="en-AU"/>
              </w:rPr>
            </w:pPr>
            <w:r w:rsidRPr="005719C2">
              <w:rPr>
                <w:sz w:val="18"/>
                <w:szCs w:val="18"/>
                <w:lang w:val="en-AU"/>
              </w:rPr>
              <w:t>Employers to prepare a safe work method statement for high-risk construction work</w:t>
            </w:r>
          </w:p>
        </w:tc>
        <w:tc>
          <w:tcPr>
            <w:tcW w:w="2268" w:type="dxa"/>
          </w:tcPr>
          <w:p w:rsidR="004F7D03" w:rsidRPr="005719C2" w:rsidRDefault="004F7D03" w:rsidP="0080262C">
            <w:pPr>
              <w:pStyle w:val="Tabletext"/>
              <w:rPr>
                <w:sz w:val="18"/>
                <w:szCs w:val="18"/>
                <w:lang w:val="en-AU"/>
              </w:rPr>
            </w:pPr>
            <w:r w:rsidRPr="005719C2">
              <w:rPr>
                <w:sz w:val="18"/>
                <w:szCs w:val="18"/>
                <w:lang w:val="en-AU"/>
              </w:rPr>
              <w:t xml:space="preserve">Asbestos a prohibited material which must not be manufactured, supplied, sold or fixed or installed in a building </w:t>
            </w:r>
            <w:r w:rsidRPr="005719C2">
              <w:rPr>
                <w:rStyle w:val="FootnoteReference"/>
                <w:rFonts w:cstheme="minorHAnsi"/>
                <w:color w:val="auto"/>
                <w:sz w:val="18"/>
                <w:szCs w:val="18"/>
                <w:lang w:val="en-AU"/>
              </w:rPr>
              <w:footnoteReference w:id="37"/>
            </w:r>
          </w:p>
          <w:p w:rsidR="004F7D03" w:rsidRPr="005719C2" w:rsidRDefault="004F7D03" w:rsidP="0080262C">
            <w:pPr>
              <w:pStyle w:val="Tabletext"/>
              <w:rPr>
                <w:sz w:val="18"/>
                <w:szCs w:val="18"/>
                <w:lang w:val="en-AU"/>
              </w:rPr>
            </w:pPr>
            <w:r w:rsidRPr="005719C2">
              <w:rPr>
                <w:sz w:val="18"/>
                <w:szCs w:val="18"/>
                <w:lang w:val="en-AU"/>
              </w:rPr>
              <w:t xml:space="preserve">Guidelines for </w:t>
            </w:r>
            <w:proofErr w:type="spellStart"/>
            <w:r w:rsidR="0023395A" w:rsidRPr="005719C2">
              <w:rPr>
                <w:sz w:val="18"/>
                <w:szCs w:val="18"/>
                <w:lang w:val="en-AU"/>
              </w:rPr>
              <w:t>non</w:t>
            </w:r>
            <w:r w:rsidRPr="005719C2">
              <w:rPr>
                <w:sz w:val="18"/>
                <w:szCs w:val="18"/>
                <w:lang w:val="en-AU"/>
              </w:rPr>
              <w:t>residential</w:t>
            </w:r>
            <w:proofErr w:type="spellEnd"/>
            <w:r w:rsidRPr="005719C2">
              <w:rPr>
                <w:sz w:val="18"/>
                <w:szCs w:val="18"/>
                <w:lang w:val="en-AU"/>
              </w:rPr>
              <w:t xml:space="preserve"> construction noise</w:t>
            </w:r>
          </w:p>
          <w:p w:rsidR="004F7D03" w:rsidRPr="005719C2" w:rsidRDefault="004F7D03" w:rsidP="0080262C">
            <w:pPr>
              <w:pStyle w:val="Tabletext"/>
              <w:rPr>
                <w:sz w:val="18"/>
                <w:szCs w:val="18"/>
                <w:lang w:val="en-AU"/>
              </w:rPr>
            </w:pPr>
            <w:r w:rsidRPr="005719C2">
              <w:rPr>
                <w:sz w:val="18"/>
                <w:szCs w:val="18"/>
                <w:lang w:val="en-AU"/>
              </w:rPr>
              <w:t>Offence to emit construction noise where it can be heard in residential premises</w:t>
            </w:r>
            <w:r w:rsidRPr="005719C2">
              <w:rPr>
                <w:rStyle w:val="FootnoteReference"/>
                <w:rFonts w:cstheme="minorHAnsi"/>
                <w:color w:val="auto"/>
                <w:sz w:val="18"/>
                <w:szCs w:val="18"/>
                <w:lang w:val="en-AU"/>
              </w:rPr>
              <w:footnoteReference w:id="38"/>
            </w:r>
          </w:p>
        </w:tc>
        <w:tc>
          <w:tcPr>
            <w:tcW w:w="2375" w:type="dxa"/>
          </w:tcPr>
          <w:p w:rsidR="00D615BC" w:rsidRPr="006119D2" w:rsidRDefault="00AC1A59" w:rsidP="006119D2">
            <w:pPr>
              <w:pStyle w:val="Tabletext"/>
              <w:rPr>
                <w:sz w:val="18"/>
                <w:szCs w:val="18"/>
                <w:lang w:val="en-AU"/>
              </w:rPr>
            </w:pPr>
            <w:r w:rsidRPr="006119D2">
              <w:rPr>
                <w:sz w:val="18"/>
                <w:szCs w:val="18"/>
                <w:lang w:val="en-AU"/>
              </w:rPr>
              <w:t xml:space="preserve">To protect adjoining land and assets, and </w:t>
            </w:r>
            <w:r w:rsidR="00C1043D" w:rsidRPr="006119D2">
              <w:rPr>
                <w:sz w:val="18"/>
                <w:szCs w:val="18"/>
                <w:lang w:val="en-AU"/>
              </w:rPr>
              <w:t xml:space="preserve">the </w:t>
            </w:r>
            <w:r w:rsidRPr="006119D2">
              <w:rPr>
                <w:sz w:val="18"/>
                <w:szCs w:val="18"/>
                <w:lang w:val="en-AU"/>
              </w:rPr>
              <w:t>health and safety of people who work on the site and the public</w:t>
            </w:r>
          </w:p>
          <w:p w:rsidR="004F7D03" w:rsidRPr="006119D2" w:rsidRDefault="00AC1A59" w:rsidP="006119D2">
            <w:pPr>
              <w:pStyle w:val="Tabletext"/>
              <w:rPr>
                <w:sz w:val="18"/>
                <w:szCs w:val="18"/>
                <w:lang w:val="en-AU"/>
              </w:rPr>
            </w:pPr>
            <w:r w:rsidRPr="006119D2">
              <w:rPr>
                <w:sz w:val="18"/>
                <w:szCs w:val="18"/>
                <w:lang w:val="en-AU"/>
              </w:rPr>
              <w:t xml:space="preserve">Asset </w:t>
            </w:r>
            <w:r w:rsidRPr="006119D2">
              <w:rPr>
                <w:sz w:val="18"/>
                <w:szCs w:val="18"/>
              </w:rPr>
              <w:t>protection</w:t>
            </w:r>
            <w:r w:rsidRPr="006119D2">
              <w:rPr>
                <w:sz w:val="18"/>
                <w:szCs w:val="18"/>
                <w:lang w:val="en-AU"/>
              </w:rPr>
              <w:t xml:space="preserve"> permit</w:t>
            </w:r>
          </w:p>
          <w:p w:rsidR="004F7D03" w:rsidRPr="005719C2" w:rsidRDefault="004F7D03" w:rsidP="0080262C">
            <w:pPr>
              <w:pStyle w:val="Tabletext"/>
              <w:rPr>
                <w:sz w:val="18"/>
                <w:szCs w:val="18"/>
                <w:lang w:val="en-AU"/>
              </w:rPr>
            </w:pPr>
            <w:r w:rsidRPr="005719C2">
              <w:rPr>
                <w:sz w:val="18"/>
                <w:szCs w:val="18"/>
                <w:lang w:val="en-AU"/>
              </w:rPr>
              <w:t xml:space="preserve">Bond for </w:t>
            </w:r>
            <w:r w:rsidR="004E083D" w:rsidRPr="005719C2">
              <w:rPr>
                <w:sz w:val="18"/>
                <w:szCs w:val="18"/>
                <w:lang w:val="en-AU"/>
              </w:rPr>
              <w:t>protecting</w:t>
            </w:r>
            <w:r w:rsidRPr="005719C2">
              <w:rPr>
                <w:sz w:val="18"/>
                <w:szCs w:val="18"/>
                <w:lang w:val="en-AU"/>
              </w:rPr>
              <w:t xml:space="preserve"> public infrastructure (</w:t>
            </w:r>
            <w:r w:rsidR="00D90FC3" w:rsidRPr="005719C2">
              <w:rPr>
                <w:sz w:val="18"/>
                <w:szCs w:val="18"/>
                <w:lang w:val="en-AU"/>
              </w:rPr>
              <w:t xml:space="preserve">such as </w:t>
            </w:r>
            <w:r w:rsidRPr="005719C2">
              <w:rPr>
                <w:sz w:val="18"/>
                <w:szCs w:val="18"/>
                <w:lang w:val="en-AU"/>
              </w:rPr>
              <w:t>roads</w:t>
            </w:r>
            <w:r w:rsidR="00D90FC3" w:rsidRPr="005719C2">
              <w:rPr>
                <w:sz w:val="18"/>
                <w:szCs w:val="18"/>
                <w:lang w:val="en-AU"/>
              </w:rPr>
              <w:t xml:space="preserve"> and</w:t>
            </w:r>
            <w:r w:rsidRPr="005719C2">
              <w:rPr>
                <w:sz w:val="18"/>
                <w:szCs w:val="18"/>
                <w:lang w:val="en-AU"/>
              </w:rPr>
              <w:t xml:space="preserve"> nature strips)</w:t>
            </w:r>
          </w:p>
          <w:p w:rsidR="004F7D03" w:rsidRPr="005719C2" w:rsidRDefault="004F7D03" w:rsidP="0080262C">
            <w:pPr>
              <w:pStyle w:val="Tabletext"/>
              <w:rPr>
                <w:sz w:val="18"/>
                <w:szCs w:val="18"/>
                <w:lang w:val="en-AU"/>
              </w:rPr>
            </w:pPr>
            <w:r w:rsidRPr="005719C2">
              <w:rPr>
                <w:sz w:val="18"/>
                <w:szCs w:val="18"/>
                <w:lang w:val="en-AU"/>
              </w:rPr>
              <w:t xml:space="preserve">Local laws (including to apply environment protection </w:t>
            </w:r>
            <w:r w:rsidR="008911CB" w:rsidRPr="005719C2">
              <w:rPr>
                <w:sz w:val="18"/>
                <w:szCs w:val="18"/>
                <w:lang w:val="en-AU"/>
              </w:rPr>
              <w:t>Regulations</w:t>
            </w:r>
            <w:r w:rsidRPr="005719C2">
              <w:rPr>
                <w:sz w:val="18"/>
                <w:szCs w:val="18"/>
                <w:lang w:val="en-AU"/>
              </w:rPr>
              <w:t>)</w:t>
            </w:r>
          </w:p>
        </w:tc>
      </w:tr>
    </w:tbl>
    <w:p w:rsidR="00D615BC" w:rsidRPr="00427EE1" w:rsidRDefault="00AC0013" w:rsidP="000469E0">
      <w:r>
        <w:lastRenderedPageBreak/>
        <w:t>C</w:t>
      </w:r>
      <w:r w:rsidR="004F7D03" w:rsidRPr="00427EE1">
        <w:t xml:space="preserve">ouncils can assist with concerns about asbestos and often enforce noise laws under permits and local laws as part of their administration of local laws. </w:t>
      </w:r>
      <w:proofErr w:type="spellStart"/>
      <w:r w:rsidR="004F7D03" w:rsidRPr="00427EE1">
        <w:t>WorkSafe</w:t>
      </w:r>
      <w:proofErr w:type="spellEnd"/>
      <w:r w:rsidR="004F7D03" w:rsidRPr="00427EE1">
        <w:t xml:space="preserve"> Victoria </w:t>
      </w:r>
      <w:r w:rsidR="00576F3F" w:rsidRPr="00427EE1">
        <w:t xml:space="preserve">is </w:t>
      </w:r>
      <w:r w:rsidR="004F7D03" w:rsidRPr="00427EE1">
        <w:t xml:space="preserve">responsible for </w:t>
      </w:r>
      <w:r w:rsidR="00C85843">
        <w:t>OHS</w:t>
      </w:r>
      <w:r w:rsidR="002D6259" w:rsidRPr="00427EE1">
        <w:t xml:space="preserve"> </w:t>
      </w:r>
      <w:r w:rsidR="004F7D03" w:rsidRPr="00427EE1">
        <w:t>compliance and onsite handling and transport of asbestos.</w:t>
      </w:r>
    </w:p>
    <w:p w:rsidR="004F7D03" w:rsidRPr="00427EE1" w:rsidRDefault="00C14778" w:rsidP="00C14778">
      <w:pPr>
        <w:pStyle w:val="Heading2"/>
      </w:pPr>
      <w:bookmarkStart w:id="28" w:name="_Toc481501562"/>
      <w:r>
        <w:t>1.3</w:t>
      </w:r>
      <w:r>
        <w:tab/>
      </w:r>
      <w:r w:rsidR="004F7D03" w:rsidRPr="00427EE1">
        <w:t>Rationale for government intervention</w:t>
      </w:r>
      <w:bookmarkEnd w:id="28"/>
    </w:p>
    <w:p w:rsidR="004F7D03" w:rsidRPr="00427EE1" w:rsidRDefault="004F7D03" w:rsidP="000469E0">
      <w:r w:rsidRPr="00427EE1">
        <w:t>Many of the harms associated with the building industry reflect classic problems with competitive markets in which consumers are poorly placed to make well</w:t>
      </w:r>
      <w:r w:rsidR="004E083D">
        <w:t>-</w:t>
      </w:r>
      <w:r w:rsidRPr="00427EE1">
        <w:t xml:space="preserve">informed decisions. Imperfect or asymmetric information and economic externalities are evident in the operations of the building sector and are discussed in detail in this section. </w:t>
      </w:r>
      <w:r w:rsidR="00477835" w:rsidRPr="00427EE1">
        <w:t>I</w:t>
      </w:r>
      <w:r w:rsidRPr="00427EE1">
        <w:t>ssues specifically related to</w:t>
      </w:r>
      <w:r w:rsidR="00477835" w:rsidRPr="00427EE1">
        <w:t xml:space="preserve"> </w:t>
      </w:r>
      <w:r w:rsidRPr="00427EE1">
        <w:t>each phase of building work (design, construction and completion</w:t>
      </w:r>
      <w:r w:rsidR="00E60957">
        <w:t xml:space="preserve"> </w:t>
      </w:r>
      <w:r w:rsidRPr="00427EE1">
        <w:t>/</w:t>
      </w:r>
      <w:r w:rsidR="00E60957">
        <w:t xml:space="preserve"> </w:t>
      </w:r>
      <w:r w:rsidRPr="00427EE1">
        <w:t xml:space="preserve">use) are </w:t>
      </w:r>
      <w:r w:rsidR="00C1043D">
        <w:t xml:space="preserve">explained </w:t>
      </w:r>
      <w:r w:rsidRPr="00427EE1">
        <w:t xml:space="preserve">in </w:t>
      </w:r>
      <w:r w:rsidR="004267C5">
        <w:t xml:space="preserve">RIS </w:t>
      </w:r>
      <w:r w:rsidRPr="00427EE1">
        <w:t>Part B and</w:t>
      </w:r>
      <w:r w:rsidR="00477835" w:rsidRPr="00427EE1">
        <w:t xml:space="preserve"> issues related to</w:t>
      </w:r>
      <w:r w:rsidRPr="00427EE1">
        <w:t xml:space="preserve"> building practitioners are </w:t>
      </w:r>
      <w:r w:rsidR="00C1043D">
        <w:t xml:space="preserve">explained </w:t>
      </w:r>
      <w:r w:rsidRPr="00427EE1">
        <w:t xml:space="preserve">in </w:t>
      </w:r>
      <w:r w:rsidR="004267C5">
        <w:t xml:space="preserve">RIS </w:t>
      </w:r>
      <w:r w:rsidRPr="00427EE1">
        <w:t>Part C.</w:t>
      </w:r>
    </w:p>
    <w:p w:rsidR="004F7D03" w:rsidRPr="00427EE1" w:rsidRDefault="00C1043D" w:rsidP="000469E0">
      <w:pPr>
        <w:pStyle w:val="Normalpre-dotpoint"/>
      </w:pPr>
      <w:r>
        <w:t>H</w:t>
      </w:r>
      <w:r w:rsidR="004F7D03" w:rsidRPr="00427EE1">
        <w:t xml:space="preserve">arms that may potentially </w:t>
      </w:r>
      <w:r>
        <w:t xml:space="preserve">concern </w:t>
      </w:r>
      <w:r w:rsidR="004F7D03" w:rsidRPr="00427EE1">
        <w:t>the building and construction process</w:t>
      </w:r>
      <w:r>
        <w:t xml:space="preserve"> can be</w:t>
      </w:r>
      <w:r w:rsidR="004F7D03" w:rsidRPr="00427EE1">
        <w:t>:</w:t>
      </w:r>
    </w:p>
    <w:p w:rsidR="004F7D03" w:rsidRPr="00427EE1" w:rsidRDefault="004F7D03" w:rsidP="000469E0">
      <w:pPr>
        <w:pStyle w:val="Dotpoint"/>
      </w:pPr>
      <w:r w:rsidRPr="00427EE1">
        <w:t>economic (</w:t>
      </w:r>
      <w:r w:rsidR="00C1043D">
        <w:t xml:space="preserve">such as </w:t>
      </w:r>
      <w:r w:rsidRPr="00427EE1">
        <w:t>property damage or financial loss)</w:t>
      </w:r>
    </w:p>
    <w:p w:rsidR="004F7D03" w:rsidRPr="00427EE1" w:rsidRDefault="004F7D03" w:rsidP="000469E0">
      <w:pPr>
        <w:pStyle w:val="Dotpoint"/>
      </w:pPr>
      <w:r w:rsidRPr="00427EE1">
        <w:t>health and safety (</w:t>
      </w:r>
      <w:r w:rsidR="00C1043D">
        <w:t xml:space="preserve">such as </w:t>
      </w:r>
      <w:r w:rsidRPr="00427EE1">
        <w:t>injury or loss of life)</w:t>
      </w:r>
    </w:p>
    <w:p w:rsidR="004F7D03" w:rsidRPr="00427EE1" w:rsidRDefault="004F7D03" w:rsidP="000469E0">
      <w:pPr>
        <w:pStyle w:val="Dotpoint"/>
      </w:pPr>
      <w:r w:rsidRPr="00427EE1">
        <w:t>environmental (</w:t>
      </w:r>
      <w:r w:rsidR="00C1043D">
        <w:t xml:space="preserve">such as </w:t>
      </w:r>
      <w:r w:rsidRPr="00427EE1">
        <w:t>pollution during or after construction)</w:t>
      </w:r>
    </w:p>
    <w:p w:rsidR="004F7D03" w:rsidRPr="00427EE1" w:rsidRDefault="004F7D03" w:rsidP="000469E0">
      <w:pPr>
        <w:pStyle w:val="Dotpoint"/>
      </w:pPr>
      <w:r w:rsidRPr="00427EE1">
        <w:t>social (</w:t>
      </w:r>
      <w:r w:rsidR="00D90FC3">
        <w:t>for example,</w:t>
      </w:r>
      <w:r w:rsidRPr="00427EE1">
        <w:t xml:space="preserve"> groups excluded from facilities or buildings)</w:t>
      </w:r>
    </w:p>
    <w:p w:rsidR="004F7D03" w:rsidRPr="00427EE1" w:rsidRDefault="004F7D03" w:rsidP="000469E0">
      <w:pPr>
        <w:pStyle w:val="Dotpoint"/>
      </w:pPr>
      <w:r w:rsidRPr="00427EE1">
        <w:t>cultural (</w:t>
      </w:r>
      <w:r w:rsidR="00D90FC3">
        <w:t>for example,</w:t>
      </w:r>
      <w:r w:rsidRPr="00427EE1">
        <w:t xml:space="preserve"> relating to the amenity of the streetscape)</w:t>
      </w:r>
    </w:p>
    <w:p w:rsidR="004F7D03" w:rsidRPr="00427EE1" w:rsidRDefault="004F7D03" w:rsidP="000469E0">
      <w:pPr>
        <w:pStyle w:val="Dotpointlast"/>
      </w:pPr>
      <w:r w:rsidRPr="00427EE1">
        <w:t>aesthetic.</w:t>
      </w:r>
    </w:p>
    <w:p w:rsidR="004F7D03" w:rsidRPr="00427EE1" w:rsidRDefault="004F7D03" w:rsidP="000469E0">
      <w:r w:rsidRPr="00427EE1">
        <w:t>These harms may arise because of market failures in the building industry.</w:t>
      </w:r>
    </w:p>
    <w:p w:rsidR="004F7D03" w:rsidRPr="00427EE1" w:rsidRDefault="004F7D03" w:rsidP="000469E0">
      <w:pPr>
        <w:pStyle w:val="Normalpre-dotpoint"/>
      </w:pPr>
      <w:r w:rsidRPr="00427EE1">
        <w:t xml:space="preserve">A range of </w:t>
      </w:r>
      <w:proofErr w:type="spellStart"/>
      <w:r w:rsidR="0023395A">
        <w:t>non</w:t>
      </w:r>
      <w:r w:rsidRPr="00427EE1">
        <w:t>regulatory</w:t>
      </w:r>
      <w:proofErr w:type="spellEnd"/>
      <w:r w:rsidRPr="00427EE1">
        <w:t xml:space="preserve"> solutions (or other legislative frameworks) may reduce the extent of these harms</w:t>
      </w:r>
      <w:r w:rsidR="00C1043D">
        <w:t>.</w:t>
      </w:r>
      <w:r w:rsidRPr="00427EE1">
        <w:t xml:space="preserve"> These </w:t>
      </w:r>
      <w:proofErr w:type="spellStart"/>
      <w:r w:rsidR="0023395A">
        <w:t>non</w:t>
      </w:r>
      <w:r w:rsidRPr="00427EE1">
        <w:t>regulatory</w:t>
      </w:r>
      <w:proofErr w:type="spellEnd"/>
      <w:r w:rsidRPr="00427EE1">
        <w:t xml:space="preserve"> solutions and overlapping legislative frameworks must be considered when identifying the residual problem to be addressed. In the building context, these responses might include:</w:t>
      </w:r>
    </w:p>
    <w:p w:rsidR="004F7D03" w:rsidRPr="00427EE1" w:rsidRDefault="004F7D03" w:rsidP="000469E0">
      <w:pPr>
        <w:pStyle w:val="Dotpoint"/>
      </w:pPr>
      <w:r w:rsidRPr="00427EE1">
        <w:t>consumers seeking expert advice (</w:t>
      </w:r>
      <w:r w:rsidR="00D90FC3">
        <w:t>for example,</w:t>
      </w:r>
      <w:r w:rsidRPr="00427EE1">
        <w:t xml:space="preserve"> </w:t>
      </w:r>
      <w:proofErr w:type="spellStart"/>
      <w:r w:rsidRPr="00427EE1">
        <w:t>ArchiCentre</w:t>
      </w:r>
      <w:proofErr w:type="spellEnd"/>
      <w:r w:rsidRPr="00427EE1">
        <w:t xml:space="preserve"> home inspections)</w:t>
      </w:r>
    </w:p>
    <w:p w:rsidR="004F7D03" w:rsidRPr="00427EE1" w:rsidRDefault="004F7D03" w:rsidP="000469E0">
      <w:pPr>
        <w:pStyle w:val="Dotpoint"/>
      </w:pPr>
      <w:r w:rsidRPr="00427EE1">
        <w:t>general consumer protection laws and warranties</w:t>
      </w:r>
    </w:p>
    <w:p w:rsidR="004F7D03" w:rsidRPr="00427EE1" w:rsidRDefault="004F7D03" w:rsidP="000469E0">
      <w:pPr>
        <w:pStyle w:val="Dotpoint"/>
      </w:pPr>
      <w:r w:rsidRPr="00427EE1">
        <w:t>reputation effects and word</w:t>
      </w:r>
      <w:r w:rsidR="00C1043D">
        <w:t>-</w:t>
      </w:r>
      <w:r w:rsidRPr="00427EE1">
        <w:t>of</w:t>
      </w:r>
      <w:r w:rsidR="00C1043D">
        <w:t>-</w:t>
      </w:r>
      <w:r w:rsidRPr="00427EE1">
        <w:t>mouth</w:t>
      </w:r>
    </w:p>
    <w:p w:rsidR="004F7D03" w:rsidRPr="00427EE1" w:rsidRDefault="004F7D03" w:rsidP="000469E0">
      <w:pPr>
        <w:pStyle w:val="Dotpoint"/>
      </w:pPr>
      <w:r w:rsidRPr="00427EE1">
        <w:t>branding</w:t>
      </w:r>
    </w:p>
    <w:p w:rsidR="004F7D03" w:rsidRPr="00427EE1" w:rsidRDefault="004F7D03" w:rsidP="000469E0">
      <w:pPr>
        <w:pStyle w:val="Dotpoint"/>
      </w:pPr>
      <w:r w:rsidRPr="00427EE1">
        <w:t xml:space="preserve">professional associations (to provide </w:t>
      </w:r>
      <w:r w:rsidR="00C1043D">
        <w:t xml:space="preserve">information about </w:t>
      </w:r>
      <w:r w:rsidRPr="00427EE1">
        <w:t>practitioner</w:t>
      </w:r>
      <w:r w:rsidR="00C1043D">
        <w:t>s'</w:t>
      </w:r>
      <w:r w:rsidRPr="00427EE1">
        <w:t xml:space="preserve"> quality)</w:t>
      </w:r>
    </w:p>
    <w:p w:rsidR="004F7D03" w:rsidRPr="00427EE1" w:rsidRDefault="004F7D03" w:rsidP="000469E0">
      <w:pPr>
        <w:pStyle w:val="Dotpointlast"/>
      </w:pPr>
      <w:r w:rsidRPr="00427EE1">
        <w:t>the resale market</w:t>
      </w:r>
      <w:r w:rsidR="00C1043D">
        <w:t>,</w:t>
      </w:r>
      <w:r w:rsidRPr="00427EE1">
        <w:t xml:space="preserve"> where any short-term cost</w:t>
      </w:r>
      <w:r w:rsidR="00C1043D">
        <w:t>-</w:t>
      </w:r>
      <w:r w:rsidRPr="00427EE1">
        <w:t>cutting that is evident in poor workmanship and lesser</w:t>
      </w:r>
      <w:r w:rsidR="00C1043D">
        <w:t>-</w:t>
      </w:r>
      <w:r w:rsidRPr="00427EE1">
        <w:t xml:space="preserve">quality building products </w:t>
      </w:r>
      <w:r w:rsidR="00C1043D">
        <w:t xml:space="preserve">is </w:t>
      </w:r>
      <w:r w:rsidRPr="00427EE1">
        <w:t xml:space="preserve">likely to be reflected in lower selling prices, </w:t>
      </w:r>
      <w:r w:rsidR="00C1043D">
        <w:t xml:space="preserve">although </w:t>
      </w:r>
      <w:r w:rsidRPr="00427EE1">
        <w:t>cost</w:t>
      </w:r>
      <w:r w:rsidR="00C1043D">
        <w:t>-</w:t>
      </w:r>
      <w:r w:rsidRPr="00427EE1">
        <w:t xml:space="preserve">cutting with health and safety implications may not be </w:t>
      </w:r>
      <w:r w:rsidR="00C1043D">
        <w:t xml:space="preserve">as </w:t>
      </w:r>
      <w:r w:rsidRPr="00427EE1">
        <w:t>evident as poor workmanship or lesser</w:t>
      </w:r>
      <w:r w:rsidR="00C1043D">
        <w:t>-</w:t>
      </w:r>
      <w:r w:rsidRPr="00427EE1">
        <w:t>quality building products.</w:t>
      </w:r>
    </w:p>
    <w:p w:rsidR="004F7D03" w:rsidRPr="00427EE1" w:rsidRDefault="00C14778" w:rsidP="00C14778">
      <w:pPr>
        <w:pStyle w:val="Heading3"/>
      </w:pPr>
      <w:bookmarkStart w:id="29" w:name="_Toc481501563"/>
      <w:r>
        <w:t>1.3.1</w:t>
      </w:r>
      <w:r>
        <w:tab/>
      </w:r>
      <w:r w:rsidR="004F7D03" w:rsidRPr="00427EE1">
        <w:t>Imperfect or asymmetric information</w:t>
      </w:r>
      <w:bookmarkEnd w:id="29"/>
    </w:p>
    <w:p w:rsidR="00D615BC" w:rsidRPr="00427EE1" w:rsidRDefault="004F7D03" w:rsidP="000469E0">
      <w:r w:rsidRPr="00427EE1">
        <w:t>Building occupants, home owners and end</w:t>
      </w:r>
      <w:r w:rsidR="00C1043D">
        <w:t>-</w:t>
      </w:r>
      <w:r w:rsidRPr="00427EE1">
        <w:t xml:space="preserve">users of public buildings typically represent a vast population that can potentially suffer from imperfect or asymmetric information with regard to the buildings they occupy. Asymmetric information can lead to problems </w:t>
      </w:r>
      <w:r w:rsidR="00D90FC3">
        <w:t xml:space="preserve">with </w:t>
      </w:r>
      <w:r w:rsidRPr="00427EE1">
        <w:t xml:space="preserve">safety and quality which are addressed through the Regulations. Although complaints and defects may arise from quality issues, the primary objectives of the Act relate to safety, health and amenity. Quality is a matter that is primarily related to a contractual transaction between a consumer and </w:t>
      </w:r>
      <w:r w:rsidR="001B6D85" w:rsidRPr="00427EE1">
        <w:t xml:space="preserve">a </w:t>
      </w:r>
      <w:r w:rsidRPr="00427EE1">
        <w:t>builder.</w:t>
      </w:r>
    </w:p>
    <w:p w:rsidR="004F7D03" w:rsidRPr="00427EE1" w:rsidRDefault="004F7D03" w:rsidP="000469E0">
      <w:r w:rsidRPr="00427EE1">
        <w:t>Builders are generally more informed than consumers about the features, quality and cost of building construction</w:t>
      </w:r>
      <w:r w:rsidR="00C1043D">
        <w:t>. F</w:t>
      </w:r>
      <w:r w:rsidRPr="00427EE1">
        <w:t>or example</w:t>
      </w:r>
      <w:r w:rsidR="00C1043D">
        <w:t>,</w:t>
      </w:r>
      <w:r w:rsidRPr="00427EE1">
        <w:t xml:space="preserve"> most consumers find it difficult to ascertain whether builders are providing the desired quality of service at a price that reflects the cost of delivering that service.</w:t>
      </w:r>
    </w:p>
    <w:p w:rsidR="004F7D03" w:rsidRPr="00427EE1" w:rsidRDefault="004F7D03" w:rsidP="000469E0">
      <w:r w:rsidRPr="00427EE1">
        <w:lastRenderedPageBreak/>
        <w:t xml:space="preserve">Consumers are likely to have less information than suppliers </w:t>
      </w:r>
      <w:r w:rsidR="00C1043D">
        <w:t xml:space="preserve">about </w:t>
      </w:r>
      <w:r w:rsidRPr="00427EE1">
        <w:t>key aspects of housing construction</w:t>
      </w:r>
      <w:r w:rsidR="00C1043D">
        <w:t xml:space="preserve"> </w:t>
      </w:r>
      <w:r w:rsidRPr="00427EE1">
        <w:t>includ</w:t>
      </w:r>
      <w:r w:rsidR="00C1043D">
        <w:t>ing</w:t>
      </w:r>
      <w:r w:rsidRPr="00427EE1">
        <w:t xml:space="preserve"> structural soundness, the effectiveness of protection against fire and the use and impact of materials that could damage the health of occupants.</w:t>
      </w:r>
    </w:p>
    <w:p w:rsidR="004F7D03" w:rsidRPr="00427EE1" w:rsidRDefault="004F7D03" w:rsidP="000469E0">
      <w:pPr>
        <w:pStyle w:val="Normalpre-dotpoint"/>
      </w:pPr>
      <w:r w:rsidRPr="00427EE1">
        <w:t>The purpose of actions targeting information asymmetries is to reduce transaction costs that are associated with acquiring the information needed to make an informed decision. Various reasons have been suggested as to why information asymmetries may be significant and/or persist within the building context. These include:</w:t>
      </w:r>
    </w:p>
    <w:p w:rsidR="004F7D03" w:rsidRPr="00427EE1" w:rsidRDefault="00C1043D" w:rsidP="000469E0">
      <w:pPr>
        <w:pStyle w:val="Dotpoint"/>
      </w:pPr>
      <w:r>
        <w:t>t</w:t>
      </w:r>
      <w:r w:rsidR="004F7D03" w:rsidRPr="00427EE1">
        <w:t>he long</w:t>
      </w:r>
      <w:r>
        <w:t>-</w:t>
      </w:r>
      <w:r w:rsidR="004F7D03" w:rsidRPr="00427EE1">
        <w:t xml:space="preserve">lived nature of building assets means flaws may </w:t>
      </w:r>
      <w:r>
        <w:t xml:space="preserve">only </w:t>
      </w:r>
      <w:r w:rsidR="004F7D03" w:rsidRPr="00427EE1">
        <w:t>become apparent in buildings several years after construction is completed</w:t>
      </w:r>
    </w:p>
    <w:p w:rsidR="004F7D03" w:rsidRPr="00427EE1" w:rsidRDefault="00C1043D" w:rsidP="000469E0">
      <w:pPr>
        <w:pStyle w:val="Dotpoint"/>
      </w:pPr>
      <w:r>
        <w:t>c</w:t>
      </w:r>
      <w:r w:rsidR="004F7D03" w:rsidRPr="00427EE1">
        <w:t>onsumers are mostly infrequent purchasers of housing construction services</w:t>
      </w:r>
      <w:r>
        <w:t>, and t</w:t>
      </w:r>
      <w:r w:rsidR="004F7D03" w:rsidRPr="00427EE1">
        <w:t xml:space="preserve">his lack of experience makes it more difficult for </w:t>
      </w:r>
      <w:r>
        <w:t xml:space="preserve">them </w:t>
      </w:r>
      <w:r w:rsidR="004F7D03" w:rsidRPr="00427EE1">
        <w:t>to assess and monitor the quality and cost of building work</w:t>
      </w:r>
    </w:p>
    <w:p w:rsidR="004F7D03" w:rsidRPr="00427EE1" w:rsidRDefault="00C1043D" w:rsidP="000469E0">
      <w:pPr>
        <w:pStyle w:val="Dotpoint"/>
      </w:pPr>
      <w:r>
        <w:t>c</w:t>
      </w:r>
      <w:r w:rsidR="004F7D03" w:rsidRPr="00427EE1">
        <w:t xml:space="preserve">onsumers may find it difficult to collect information about whether the areas they intend to build or purchase are subject to any hazard </w:t>
      </w:r>
      <w:r>
        <w:t>(</w:t>
      </w:r>
      <w:r w:rsidR="004F7D03" w:rsidRPr="00427EE1">
        <w:t>such as bushfire, flood or termites</w:t>
      </w:r>
      <w:r>
        <w:t>)</w:t>
      </w:r>
    </w:p>
    <w:p w:rsidR="004F7D03" w:rsidRPr="00427EE1" w:rsidRDefault="00C1043D" w:rsidP="000469E0">
      <w:pPr>
        <w:pStyle w:val="Dotpoint"/>
      </w:pPr>
      <w:r>
        <w:t>e</w:t>
      </w:r>
      <w:r w:rsidR="004F7D03" w:rsidRPr="00427EE1">
        <w:t>xpenditure to construct a building is relatively high compared to most consumer purchases</w:t>
      </w:r>
      <w:r>
        <w:t>,</w:t>
      </w:r>
      <w:r w:rsidR="004F7D03" w:rsidRPr="00427EE1">
        <w:t xml:space="preserve"> so consumers may be more inclined to purchase services that are lower</w:t>
      </w:r>
      <w:r>
        <w:t>-</w:t>
      </w:r>
      <w:r w:rsidR="004F7D03" w:rsidRPr="00427EE1">
        <w:t>cost</w:t>
      </w:r>
      <w:r>
        <w:t xml:space="preserve">, </w:t>
      </w:r>
      <w:r w:rsidR="004F7D03" w:rsidRPr="00427EE1">
        <w:t>especially where this would substantially lower the overall cost, without understanding fully the trade-off with lower quality</w:t>
      </w:r>
      <w:r>
        <w:t xml:space="preserve"> or </w:t>
      </w:r>
      <w:r w:rsidR="004F7D03" w:rsidRPr="00427EE1">
        <w:t>safety</w:t>
      </w:r>
    </w:p>
    <w:p w:rsidR="004F7D03" w:rsidRPr="00427EE1" w:rsidRDefault="00C1043D" w:rsidP="000469E0">
      <w:pPr>
        <w:pStyle w:val="Dotpoint"/>
      </w:pPr>
      <w:r>
        <w:t>l</w:t>
      </w:r>
      <w:r w:rsidR="004F7D03" w:rsidRPr="00427EE1">
        <w:t>ike many production processes, building construction is complex and involves a wide variety of skills and inputs</w:t>
      </w:r>
      <w:r>
        <w:t xml:space="preserve">, which </w:t>
      </w:r>
      <w:r w:rsidR="004F7D03" w:rsidRPr="00427EE1">
        <w:t>can make it harder for consumers to assess the quality and cost of building construction services because they are unable to compare the quality and costs of inputs that create the final product being purchased</w:t>
      </w:r>
    </w:p>
    <w:p w:rsidR="004F7D03" w:rsidRDefault="00C1043D" w:rsidP="000469E0">
      <w:pPr>
        <w:pStyle w:val="Dotpointlast"/>
      </w:pPr>
      <w:r>
        <w:t>d</w:t>
      </w:r>
      <w:r w:rsidR="004F7D03" w:rsidRPr="00427EE1">
        <w:t xml:space="preserve">ecisions about features of a building including the type of insulation, the orientation of the building and </w:t>
      </w:r>
      <w:r>
        <w:t xml:space="preserve">the </w:t>
      </w:r>
      <w:r w:rsidR="004F7D03" w:rsidRPr="00427EE1">
        <w:t>fittings may be based on upfront cost, which can be more influenced by the builder who may have less regard to lifetime operating costs.</w:t>
      </w:r>
    </w:p>
    <w:p w:rsidR="00E657D7" w:rsidRDefault="004F7D03">
      <w:r w:rsidRPr="00427EE1">
        <w:t xml:space="preserve">According to </w:t>
      </w:r>
      <w:r w:rsidR="001B067C">
        <w:t>the Victorian Competition and Efficiency Commission</w:t>
      </w:r>
      <w:r w:rsidR="006A7144">
        <w:t xml:space="preserve">, </w:t>
      </w:r>
      <w:r w:rsidRPr="00427EE1">
        <w:t>market institutions and strategies have evolved to help bridge the information disadvantage and reduce the resulting risks for consumers</w:t>
      </w:r>
      <w:r w:rsidR="006A7144">
        <w:t>.</w:t>
      </w:r>
    </w:p>
    <w:p w:rsidR="00E657D7" w:rsidRDefault="004F7D03">
      <w:r w:rsidRPr="00427EE1">
        <w:t>Private agents</w:t>
      </w:r>
      <w:r w:rsidR="006A7144">
        <w:t xml:space="preserve"> (</w:t>
      </w:r>
      <w:r w:rsidRPr="00427EE1">
        <w:t>such as architects and building surveyors</w:t>
      </w:r>
      <w:r w:rsidR="006A7144">
        <w:t>)</w:t>
      </w:r>
      <w:r w:rsidRPr="00427EE1">
        <w:t xml:space="preserve"> can represent the interests of consumers by negotiating with builders and/or monitoring their activities. But if many of the features of a building are difficult for anyone other than the builder to assess, then private agents may not be able to adequately assess some aspects of the construction process.</w:t>
      </w:r>
    </w:p>
    <w:p w:rsidR="00E657D7" w:rsidRDefault="004F7D03">
      <w:r w:rsidRPr="00427EE1">
        <w:t xml:space="preserve">Associations representing suppliers of housing construction services also have a strong incentive to expand housing markets </w:t>
      </w:r>
      <w:r w:rsidR="006A7144">
        <w:t>(</w:t>
      </w:r>
      <w:r w:rsidRPr="00427EE1">
        <w:t xml:space="preserve">for example, </w:t>
      </w:r>
      <w:r w:rsidR="006A7144">
        <w:t xml:space="preserve">by </w:t>
      </w:r>
      <w:r w:rsidRPr="00427EE1">
        <w:t>identifying good</w:t>
      </w:r>
      <w:r w:rsidR="006A7144">
        <w:t>-</w:t>
      </w:r>
      <w:r w:rsidRPr="00427EE1">
        <w:t>quality builders and reducing risks facing consumers</w:t>
      </w:r>
      <w:r w:rsidR="006A7144">
        <w:t>)</w:t>
      </w:r>
      <w:r w:rsidRPr="00427EE1">
        <w:t>. While the H</w:t>
      </w:r>
      <w:r w:rsidR="00454D16" w:rsidRPr="00427EE1">
        <w:t xml:space="preserve">ousing Institute of Australia </w:t>
      </w:r>
      <w:r w:rsidRPr="00427EE1">
        <w:t>and the Master Builders Association focus on providing services to members, both also provide information and advice to consumers.</w:t>
      </w:r>
    </w:p>
    <w:p w:rsidR="00E657D7" w:rsidRDefault="004F7D03">
      <w:r w:rsidRPr="00427EE1">
        <w:t>Many companies place a high commercial value on their reputations and market their services using testimonials from customers. Also, many consumers rely on the experience of family, friends and others in selecting suppliers. The housing construction sector, however, is considered to be different from many other markets because it comprises a large number of small</w:t>
      </w:r>
      <w:r w:rsidR="006A7144">
        <w:t>-</w:t>
      </w:r>
      <w:r w:rsidRPr="00427EE1">
        <w:t xml:space="preserve">scale producers. This difference may make it harder or more costly for consumers to obtain information </w:t>
      </w:r>
      <w:r w:rsidR="00D90FC3">
        <w:t>about</w:t>
      </w:r>
      <w:r w:rsidRPr="00427EE1">
        <w:t xml:space="preserve"> the reputation of suppliers, compared with consumers in other markets. Also, given the time that may elapse before some quality problems become evident, short</w:t>
      </w:r>
      <w:r w:rsidR="007C5A88">
        <w:t>-</w:t>
      </w:r>
      <w:r w:rsidRPr="00427EE1">
        <w:t>term reputation may be an imperfect indicator for consumers.</w:t>
      </w:r>
    </w:p>
    <w:p w:rsidR="002D5E35" w:rsidRDefault="002D5E35">
      <w:pPr>
        <w:spacing w:after="0"/>
      </w:pPr>
      <w:r>
        <w:br w:type="page"/>
      </w:r>
    </w:p>
    <w:p w:rsidR="00E657D7" w:rsidRDefault="004F7D03">
      <w:r w:rsidRPr="00427EE1">
        <w:lastRenderedPageBreak/>
        <w:t>To support their reputations, many companies voluntarily provide warranties for the services they provide. Warranties may help to reduce the risks facing consumers, but many consumers may place little value on voluntary warranties. A warranty may have limited value if, for example, it is particularly difficult for the consumer to show that housing defects stem from faulty work, or if suppliers faced with large claims can avoid responsibility by exiting the industry.</w:t>
      </w:r>
    </w:p>
    <w:p w:rsidR="00E657D7" w:rsidRDefault="004F7D03">
      <w:r w:rsidRPr="00427EE1">
        <w:t>Consumers can use a variety of dispute resolution mechanisms to seek redress for poor quality services.</w:t>
      </w:r>
    </w:p>
    <w:p w:rsidR="00D615BC" w:rsidRPr="00427EE1" w:rsidRDefault="004F7D03" w:rsidP="000469E0">
      <w:r w:rsidRPr="00427EE1">
        <w:t>These institutions and strategies can help address the information disadvantage facing consumers</w:t>
      </w:r>
      <w:r w:rsidR="006A7144">
        <w:t xml:space="preserve">, </w:t>
      </w:r>
      <w:r w:rsidR="006A7144" w:rsidRPr="00427EE1">
        <w:t>but may not overcome</w:t>
      </w:r>
      <w:r w:rsidR="006A7144">
        <w:t xml:space="preserve"> it</w:t>
      </w:r>
      <w:r w:rsidRPr="00427EE1">
        <w:t>. The reason for this limitation is that each mechanism may impose a considerable cost on consumers. Hiring a building surveyor or architect to vet quotes from builders and closely supervise construction, for example, may be too expensive for many consumers. And many consumers may place little value on the reputations or voluntary warranties of suppliers of housing construction services.</w:t>
      </w:r>
      <w:r w:rsidRPr="00427EE1">
        <w:rPr>
          <w:rStyle w:val="FootnoteReference"/>
          <w:rFonts w:cstheme="minorHAnsi"/>
          <w:color w:val="auto"/>
        </w:rPr>
        <w:footnoteReference w:id="39"/>
      </w:r>
    </w:p>
    <w:p w:rsidR="004F7D03" w:rsidRPr="00427EE1" w:rsidRDefault="00C14778" w:rsidP="00C14778">
      <w:pPr>
        <w:pStyle w:val="Heading3"/>
      </w:pPr>
      <w:bookmarkStart w:id="30" w:name="_Toc481501564"/>
      <w:r>
        <w:t>1.3.2</w:t>
      </w:r>
      <w:r>
        <w:tab/>
      </w:r>
      <w:r w:rsidR="004F7D03" w:rsidRPr="00427EE1">
        <w:t>Externalities</w:t>
      </w:r>
      <w:bookmarkEnd w:id="30"/>
    </w:p>
    <w:p w:rsidR="004F7D03" w:rsidRPr="00427EE1" w:rsidRDefault="004F7D03" w:rsidP="000469E0">
      <w:r w:rsidRPr="00427EE1">
        <w:t xml:space="preserve">Also known as a </w:t>
      </w:r>
      <w:proofErr w:type="spellStart"/>
      <w:r w:rsidRPr="00427EE1">
        <w:t>spillover</w:t>
      </w:r>
      <w:proofErr w:type="spellEnd"/>
      <w:r w:rsidRPr="00427EE1">
        <w:t xml:space="preserve"> effect, an externality is a harm felt by a third party, who is not involved in a building transaction. Third parties have no direct control over how a building is constructed, the materials that are used or the fittings and fixtures that are installed. For example, defective building work or unsuitable materials used in the construction of </w:t>
      </w:r>
      <w:r w:rsidR="006A7144">
        <w:t xml:space="preserve">a </w:t>
      </w:r>
      <w:r w:rsidRPr="00427EE1">
        <w:t xml:space="preserve">building may pose a significant risk to users or occupiers of </w:t>
      </w:r>
      <w:r w:rsidR="006A7144">
        <w:t xml:space="preserve">the </w:t>
      </w:r>
      <w:r w:rsidRPr="00427EE1">
        <w:t>building</w:t>
      </w:r>
      <w:r w:rsidR="006A7144">
        <w:t xml:space="preserve">, who </w:t>
      </w:r>
      <w:r w:rsidRPr="00427EE1">
        <w:t xml:space="preserve">were not a party to </w:t>
      </w:r>
      <w:r w:rsidR="006A7144">
        <w:t>the</w:t>
      </w:r>
      <w:r w:rsidR="006A7144" w:rsidRPr="00427EE1">
        <w:t xml:space="preserve"> </w:t>
      </w:r>
      <w:r w:rsidRPr="00427EE1">
        <w:t>building transaction.</w:t>
      </w:r>
    </w:p>
    <w:p w:rsidR="004F7D03" w:rsidRPr="00427EE1" w:rsidRDefault="004F7D03" w:rsidP="000469E0">
      <w:r w:rsidRPr="00427EE1">
        <w:t xml:space="preserve">The costs of using materials that provide building resilience to hazards </w:t>
      </w:r>
      <w:r w:rsidR="006A7144">
        <w:t>(</w:t>
      </w:r>
      <w:r w:rsidRPr="00427EE1">
        <w:t>such as fires</w:t>
      </w:r>
      <w:r w:rsidR="006A7144">
        <w:t>)</w:t>
      </w:r>
      <w:r w:rsidRPr="00427EE1">
        <w:t xml:space="preserve"> or the costs of installing safety features may increase the costs associated with constructing </w:t>
      </w:r>
      <w:r w:rsidR="006A7144">
        <w:t xml:space="preserve">a </w:t>
      </w:r>
      <w:r w:rsidRPr="00427EE1">
        <w:t>building. Consumers of building services</w:t>
      </w:r>
      <w:r w:rsidR="006A7144">
        <w:t xml:space="preserve"> (</w:t>
      </w:r>
      <w:r w:rsidRPr="00427EE1">
        <w:t>who will not be ongoing users of the building</w:t>
      </w:r>
      <w:r w:rsidR="006A7144">
        <w:t>)</w:t>
      </w:r>
      <w:r w:rsidRPr="00427EE1">
        <w:t xml:space="preserve"> and builders may be motivated to reduce the costs of </w:t>
      </w:r>
      <w:r w:rsidR="006A7144">
        <w:t xml:space="preserve">a </w:t>
      </w:r>
      <w:r w:rsidRPr="00427EE1">
        <w:t>building. Developers and investors may be less</w:t>
      </w:r>
      <w:r w:rsidR="006A7144">
        <w:t>-</w:t>
      </w:r>
      <w:r w:rsidRPr="00427EE1">
        <w:t xml:space="preserve">motivated to incur additional costs for safety features </w:t>
      </w:r>
      <w:r w:rsidR="006A7144">
        <w:t xml:space="preserve">from which </w:t>
      </w:r>
      <w:r w:rsidRPr="00427EE1">
        <w:t xml:space="preserve">they believe they will not benefit. The extent to which this is a problem or can lead to harm is more significant where a safety-related feature is not readily observable </w:t>
      </w:r>
      <w:proofErr w:type="spellStart"/>
      <w:r w:rsidRPr="00427EE1">
        <w:t>post</w:t>
      </w:r>
      <w:r w:rsidR="00296466">
        <w:t>construction</w:t>
      </w:r>
      <w:proofErr w:type="spellEnd"/>
      <w:r w:rsidRPr="00427EE1">
        <w:t>.</w:t>
      </w:r>
    </w:p>
    <w:p w:rsidR="004F7D03" w:rsidRPr="00427EE1" w:rsidRDefault="004F7D03" w:rsidP="000469E0">
      <w:r w:rsidRPr="00427EE1">
        <w:t>Consumers who are not the occupiers of a property or are simply a short-term investor (</w:t>
      </w:r>
      <w:r w:rsidR="006A7144">
        <w:t xml:space="preserve">such as a </w:t>
      </w:r>
      <w:r w:rsidRPr="00427EE1">
        <w:t>developer) may be less</w:t>
      </w:r>
      <w:r w:rsidR="006A7144">
        <w:t>-</w:t>
      </w:r>
      <w:r w:rsidRPr="00427EE1">
        <w:t xml:space="preserve">likely to invest in the supply of materials and fixtures that will provide benefits over the life of </w:t>
      </w:r>
      <w:r w:rsidR="006A7144">
        <w:t>a building</w:t>
      </w:r>
      <w:r w:rsidRPr="00427EE1">
        <w:t>.</w:t>
      </w:r>
    </w:p>
    <w:p w:rsidR="004F7D03" w:rsidRPr="00427EE1" w:rsidRDefault="004F7D03" w:rsidP="000469E0">
      <w:r w:rsidRPr="00427EE1">
        <w:t xml:space="preserve">Users of </w:t>
      </w:r>
      <w:r w:rsidR="006A7144">
        <w:t xml:space="preserve">a </w:t>
      </w:r>
      <w:r w:rsidRPr="00427EE1">
        <w:t xml:space="preserve">building who are at most risk of injury or death in the event of a hazard are often not party to </w:t>
      </w:r>
      <w:r w:rsidR="006A7144">
        <w:t xml:space="preserve">the </w:t>
      </w:r>
      <w:r w:rsidRPr="00427EE1">
        <w:t>building transaction.</w:t>
      </w:r>
    </w:p>
    <w:p w:rsidR="004F7D03" w:rsidRPr="00427EE1" w:rsidRDefault="00C14778" w:rsidP="00C14778">
      <w:pPr>
        <w:pStyle w:val="Heading3"/>
      </w:pPr>
      <w:bookmarkStart w:id="31" w:name="_Toc481501565"/>
      <w:r>
        <w:t>1.3.3</w:t>
      </w:r>
      <w:r>
        <w:tab/>
      </w:r>
      <w:r w:rsidR="004F7D03" w:rsidRPr="00427EE1">
        <w:t>Other rationales for intervention</w:t>
      </w:r>
      <w:bookmarkEnd w:id="31"/>
    </w:p>
    <w:p w:rsidR="004F7D03" w:rsidRPr="00427EE1" w:rsidRDefault="004F7D03" w:rsidP="000469E0">
      <w:r w:rsidRPr="00427EE1">
        <w:t>If there isn’t a market failure, then there may be other rationales for government intervention such as to improve social conditions or manage public risk.</w:t>
      </w:r>
    </w:p>
    <w:p w:rsidR="004F7D03" w:rsidRPr="00427EE1" w:rsidRDefault="004F7D03" w:rsidP="000469E0">
      <w:r w:rsidRPr="00E657D7">
        <w:t xml:space="preserve">The </w:t>
      </w:r>
      <w:r w:rsidR="00AC1A59" w:rsidRPr="00E657D7">
        <w:rPr>
          <w:i/>
        </w:rPr>
        <w:t>Victorian Guide to Regulation</w:t>
      </w:r>
      <w:r w:rsidRPr="00E657D7">
        <w:t xml:space="preserve"> identifies other </w:t>
      </w:r>
      <w:r w:rsidR="0023395A" w:rsidRPr="00E657D7">
        <w:t>non</w:t>
      </w:r>
      <w:r w:rsidRPr="00E657D7">
        <w:t>market criteria which may be an</w:t>
      </w:r>
      <w:r w:rsidRPr="00427EE1">
        <w:t xml:space="preserve"> appropriate rationale for government intervention including addressing social welfare objectives to achieve equity goals, promot</w:t>
      </w:r>
      <w:r w:rsidR="006A7144">
        <w:t>ing</w:t>
      </w:r>
      <w:r w:rsidRPr="00427EE1">
        <w:t xml:space="preserve"> public health and safety</w:t>
      </w:r>
      <w:r w:rsidR="006A7144">
        <w:t xml:space="preserve">, achieving </w:t>
      </w:r>
      <w:r w:rsidRPr="00427EE1">
        <w:t>cultural objectives</w:t>
      </w:r>
      <w:r w:rsidR="006A7144">
        <w:t xml:space="preserve"> </w:t>
      </w:r>
      <w:r w:rsidRPr="00427EE1">
        <w:t>and preserving and protecting environmental or historical resources.</w:t>
      </w:r>
      <w:r w:rsidRPr="00427EE1">
        <w:rPr>
          <w:rStyle w:val="FootnoteReference"/>
          <w:rFonts w:cstheme="minorHAnsi"/>
          <w:color w:val="auto"/>
        </w:rPr>
        <w:footnoteReference w:id="40"/>
      </w:r>
      <w:r w:rsidRPr="00427EE1">
        <w:t xml:space="preserve"> Other social policy objectives include human rights, protecting the vulnerable and disadvantaged and relieving geographic and social isolation.</w:t>
      </w:r>
    </w:p>
    <w:p w:rsidR="00E657D7" w:rsidRDefault="004F7D03">
      <w:pPr>
        <w:pStyle w:val="Normalpre-dotpoint"/>
      </w:pPr>
      <w:r w:rsidRPr="00427EE1">
        <w:lastRenderedPageBreak/>
        <w:t>In the building context, type</w:t>
      </w:r>
      <w:r w:rsidR="006A7144">
        <w:t>s</w:t>
      </w:r>
      <w:r w:rsidRPr="00427EE1">
        <w:t xml:space="preserve"> of goals that might be relevant to government intervention</w:t>
      </w:r>
      <w:r w:rsidR="006A7144">
        <w:t xml:space="preserve"> include:</w:t>
      </w:r>
    </w:p>
    <w:p w:rsidR="00E657D7" w:rsidRPr="00E657D7" w:rsidRDefault="00AC1A59">
      <w:pPr>
        <w:pStyle w:val="Dotpoint"/>
      </w:pPr>
      <w:r w:rsidRPr="00E657D7">
        <w:t>social inclusion</w:t>
      </w:r>
      <w:r w:rsidR="004267C5">
        <w:t xml:space="preserve"> </w:t>
      </w:r>
      <w:r w:rsidR="006A7144" w:rsidRPr="00E657D7">
        <w:t>(</w:t>
      </w:r>
      <w:r w:rsidR="00D90FC3" w:rsidRPr="00E657D7">
        <w:t>for example,</w:t>
      </w:r>
      <w:r w:rsidR="004F7D03" w:rsidRPr="00E657D7">
        <w:t xml:space="preserve"> in relation to people with mobility issues or other disabilities who face difficulties accessing facilities</w:t>
      </w:r>
      <w:r w:rsidR="006A7144" w:rsidRPr="00E657D7">
        <w:t xml:space="preserve"> and </w:t>
      </w:r>
      <w:r w:rsidR="004F7D03" w:rsidRPr="00E657D7">
        <w:t>buildings</w:t>
      </w:r>
      <w:r w:rsidR="006A7144" w:rsidRPr="00E657D7">
        <w:t>)</w:t>
      </w:r>
    </w:p>
    <w:p w:rsidR="00E657D7" w:rsidRPr="00E657D7" w:rsidRDefault="006A7144">
      <w:pPr>
        <w:pStyle w:val="Dotpoint"/>
      </w:pPr>
      <w:r w:rsidRPr="00E657D7">
        <w:t>c</w:t>
      </w:r>
      <w:r w:rsidR="00AC1A59" w:rsidRPr="00E657D7">
        <w:t>rime prevention</w:t>
      </w:r>
      <w:r w:rsidR="004F7D03" w:rsidRPr="00E657D7">
        <w:t xml:space="preserve"> </w:t>
      </w:r>
      <w:r w:rsidRPr="00E657D7">
        <w:t>(</w:t>
      </w:r>
      <w:r w:rsidR="00D90FC3" w:rsidRPr="00E657D7">
        <w:t>for example,</w:t>
      </w:r>
      <w:r w:rsidR="004F7D03" w:rsidRPr="00E657D7">
        <w:t xml:space="preserve"> in relation to lighting in buildings</w:t>
      </w:r>
      <w:r w:rsidRPr="00E657D7">
        <w:t>)</w:t>
      </w:r>
    </w:p>
    <w:p w:rsidR="00E657D7" w:rsidRPr="00E657D7" w:rsidRDefault="006A7144">
      <w:pPr>
        <w:pStyle w:val="Dotpointlast"/>
      </w:pPr>
      <w:r w:rsidRPr="00E657D7">
        <w:t>p</w:t>
      </w:r>
      <w:r w:rsidR="00AC1A59" w:rsidRPr="00E657D7">
        <w:t>ublic health and safety</w:t>
      </w:r>
      <w:r w:rsidR="004F7D03" w:rsidRPr="00E657D7">
        <w:t xml:space="preserve"> </w:t>
      </w:r>
      <w:r w:rsidRPr="00E657D7">
        <w:t>(</w:t>
      </w:r>
      <w:r w:rsidR="00D90FC3" w:rsidRPr="00E657D7">
        <w:t>for example,</w:t>
      </w:r>
      <w:r w:rsidR="004F7D03" w:rsidRPr="00E657D7">
        <w:t xml:space="preserve"> in relation to structures intended for use by the broader community</w:t>
      </w:r>
      <w:r w:rsidR="002B11AF" w:rsidRPr="00E657D7">
        <w:t xml:space="preserve"> such as rental accommodation and </w:t>
      </w:r>
      <w:proofErr w:type="spellStart"/>
      <w:r w:rsidRPr="00E657D7">
        <w:t>PoPEs</w:t>
      </w:r>
      <w:proofErr w:type="spellEnd"/>
      <w:r w:rsidRPr="00E657D7">
        <w:t>)</w:t>
      </w:r>
      <w:r w:rsidR="004F7D03" w:rsidRPr="00E657D7">
        <w:t>.</w:t>
      </w:r>
    </w:p>
    <w:p w:rsidR="00E657D7" w:rsidRDefault="003448D2" w:rsidP="003448D2">
      <w:pPr>
        <w:pStyle w:val="Heading2"/>
      </w:pPr>
      <w:bookmarkStart w:id="32" w:name="_Toc481501566"/>
      <w:r>
        <w:t>1.4</w:t>
      </w:r>
      <w:r>
        <w:tab/>
      </w:r>
      <w:r w:rsidR="00EE66E7">
        <w:t>Evidence of b</w:t>
      </w:r>
      <w:r w:rsidR="006A7144" w:rsidRPr="00427EE1">
        <w:t>uilding industry</w:t>
      </w:r>
      <w:r w:rsidR="006A7144">
        <w:t xml:space="preserve"> </w:t>
      </w:r>
      <w:r w:rsidR="004F7D03" w:rsidRPr="00427EE1">
        <w:t>problems</w:t>
      </w:r>
      <w:bookmarkEnd w:id="32"/>
    </w:p>
    <w:p w:rsidR="004F7D03" w:rsidRPr="00E657D7" w:rsidRDefault="004F7D03" w:rsidP="000469E0">
      <w:pPr>
        <w:rPr>
          <w:szCs w:val="20"/>
        </w:rPr>
      </w:pPr>
      <w:r w:rsidRPr="00E657D7">
        <w:rPr>
          <w:szCs w:val="20"/>
        </w:rPr>
        <w:t xml:space="preserve">According to the </w:t>
      </w:r>
      <w:r w:rsidR="006A7144" w:rsidRPr="00E657D7">
        <w:rPr>
          <w:szCs w:val="20"/>
        </w:rPr>
        <w:t xml:space="preserve">Victorian </w:t>
      </w:r>
      <w:r w:rsidRPr="00E657D7">
        <w:rPr>
          <w:szCs w:val="20"/>
        </w:rPr>
        <w:t>Auditor</w:t>
      </w:r>
      <w:r w:rsidR="006A7144" w:rsidRPr="00E657D7">
        <w:rPr>
          <w:szCs w:val="20"/>
        </w:rPr>
        <w:t>-</w:t>
      </w:r>
      <w:r w:rsidRPr="00E657D7">
        <w:rPr>
          <w:szCs w:val="20"/>
        </w:rPr>
        <w:t>General, a significant number of Victorian consumers experience problems with domestic building.</w:t>
      </w:r>
      <w:r w:rsidRPr="00E657D7">
        <w:rPr>
          <w:rStyle w:val="FootnoteReference"/>
          <w:rFonts w:cstheme="minorHAnsi"/>
          <w:color w:val="auto"/>
          <w:szCs w:val="20"/>
        </w:rPr>
        <w:footnoteReference w:id="41"/>
      </w:r>
      <w:r w:rsidRPr="00E657D7">
        <w:rPr>
          <w:szCs w:val="20"/>
        </w:rPr>
        <w:t xml:space="preserve"> Research by </w:t>
      </w:r>
      <w:r w:rsidR="006A7144" w:rsidRPr="00E657D7">
        <w:rPr>
          <w:szCs w:val="20"/>
        </w:rPr>
        <w:t xml:space="preserve">CAV </w:t>
      </w:r>
      <w:r w:rsidRPr="00E657D7">
        <w:rPr>
          <w:szCs w:val="20"/>
        </w:rPr>
        <w:t>in 2009 estimated that 16</w:t>
      </w:r>
      <w:r w:rsidR="00D90FC3" w:rsidRPr="00E657D7">
        <w:rPr>
          <w:szCs w:val="20"/>
        </w:rPr>
        <w:t>%</w:t>
      </w:r>
      <w:r w:rsidRPr="00E657D7">
        <w:rPr>
          <w:szCs w:val="20"/>
        </w:rPr>
        <w:t xml:space="preserve"> of consumers in the Victorian domestic building market experienced problems. This sector had the highest proportion of consumers reporting detriment across all sectors</w:t>
      </w:r>
      <w:r w:rsidR="0079458E" w:rsidRPr="00E657D7">
        <w:rPr>
          <w:szCs w:val="20"/>
        </w:rPr>
        <w:t>.</w:t>
      </w:r>
      <w:r w:rsidRPr="00E657D7">
        <w:rPr>
          <w:szCs w:val="20"/>
        </w:rPr>
        <w:t xml:space="preserve"> The </w:t>
      </w:r>
      <w:r w:rsidR="00AC1A59" w:rsidRPr="00E657D7">
        <w:rPr>
          <w:i/>
          <w:szCs w:val="20"/>
        </w:rPr>
        <w:t>2016 Australian Consumer Survey</w:t>
      </w:r>
      <w:r w:rsidRPr="00E657D7">
        <w:rPr>
          <w:szCs w:val="20"/>
        </w:rPr>
        <w:t xml:space="preserve"> found at least 17</w:t>
      </w:r>
      <w:r w:rsidR="004E083D" w:rsidRPr="00E657D7">
        <w:rPr>
          <w:szCs w:val="20"/>
        </w:rPr>
        <w:t>%</w:t>
      </w:r>
      <w:r w:rsidRPr="00E657D7">
        <w:rPr>
          <w:szCs w:val="20"/>
        </w:rPr>
        <w:t xml:space="preserve"> of consumers who had undertaken home building, renovations, repairs or maintenance in Victoria had experienced a problem</w:t>
      </w:r>
      <w:r w:rsidR="002D6259" w:rsidRPr="00E657D7">
        <w:rPr>
          <w:szCs w:val="20"/>
        </w:rPr>
        <w:t>.</w:t>
      </w:r>
      <w:r w:rsidR="004E5401" w:rsidRPr="00E657D7">
        <w:rPr>
          <w:rStyle w:val="FootnoteReference"/>
          <w:rFonts w:cstheme="minorHAnsi"/>
          <w:color w:val="auto"/>
          <w:szCs w:val="20"/>
        </w:rPr>
        <w:footnoteReference w:id="42"/>
      </w:r>
      <w:r w:rsidR="00D71A15" w:rsidRPr="00E657D7">
        <w:rPr>
          <w:szCs w:val="20"/>
        </w:rPr>
        <w:t xml:space="preserve"> </w:t>
      </w:r>
      <w:r w:rsidRPr="00E657D7">
        <w:rPr>
          <w:szCs w:val="20"/>
        </w:rPr>
        <w:t xml:space="preserve">Problems were likely to be related to poor workmanship and delays in getting </w:t>
      </w:r>
      <w:r w:rsidR="004E083D" w:rsidRPr="00E657D7">
        <w:rPr>
          <w:szCs w:val="20"/>
        </w:rPr>
        <w:t>sub</w:t>
      </w:r>
      <w:r w:rsidRPr="00E657D7">
        <w:rPr>
          <w:szCs w:val="20"/>
        </w:rPr>
        <w:t>standard work fixed.</w:t>
      </w:r>
      <w:r w:rsidR="00D71A15" w:rsidRPr="00E657D7">
        <w:rPr>
          <w:szCs w:val="20"/>
        </w:rPr>
        <w:t xml:space="preserve"> </w:t>
      </w:r>
      <w:r w:rsidRPr="00E657D7">
        <w:rPr>
          <w:szCs w:val="20"/>
        </w:rPr>
        <w:t xml:space="preserve">The average estimated cost to resolve </w:t>
      </w:r>
      <w:r w:rsidR="002D6259" w:rsidRPr="00E657D7">
        <w:rPr>
          <w:szCs w:val="20"/>
        </w:rPr>
        <w:t xml:space="preserve">a </w:t>
      </w:r>
      <w:r w:rsidRPr="00E657D7">
        <w:rPr>
          <w:szCs w:val="20"/>
        </w:rPr>
        <w:t>problem was $1,321.02.</w:t>
      </w:r>
    </w:p>
    <w:p w:rsidR="004F7D03" w:rsidRPr="00E657D7" w:rsidRDefault="004F7D03" w:rsidP="000469E0">
      <w:pPr>
        <w:pStyle w:val="Normalpre-dotpoint"/>
        <w:rPr>
          <w:szCs w:val="20"/>
        </w:rPr>
      </w:pPr>
      <w:r w:rsidRPr="00E657D7">
        <w:rPr>
          <w:szCs w:val="20"/>
        </w:rPr>
        <w:t>Different bodies are responsible for handling</w:t>
      </w:r>
      <w:r w:rsidR="00D71A15" w:rsidRPr="00E657D7">
        <w:rPr>
          <w:szCs w:val="20"/>
        </w:rPr>
        <w:t xml:space="preserve"> </w:t>
      </w:r>
      <w:r w:rsidRPr="00E657D7">
        <w:rPr>
          <w:szCs w:val="20"/>
        </w:rPr>
        <w:t>different types of issues:</w:t>
      </w:r>
    </w:p>
    <w:p w:rsidR="004F7D03" w:rsidRPr="00E657D7" w:rsidRDefault="004F7D03" w:rsidP="000469E0">
      <w:pPr>
        <w:pStyle w:val="Dotpoint"/>
        <w:rPr>
          <w:szCs w:val="20"/>
        </w:rPr>
      </w:pPr>
      <w:r w:rsidRPr="00E657D7">
        <w:rPr>
          <w:szCs w:val="20"/>
        </w:rPr>
        <w:t xml:space="preserve">building work on adjoining property </w:t>
      </w:r>
      <w:r w:rsidR="006A7144" w:rsidRPr="00E657D7">
        <w:rPr>
          <w:szCs w:val="20"/>
        </w:rPr>
        <w:t>(BAB)</w:t>
      </w:r>
    </w:p>
    <w:p w:rsidR="004F7D03" w:rsidRPr="00E657D7" w:rsidRDefault="004F7D03" w:rsidP="000469E0">
      <w:pPr>
        <w:pStyle w:val="Dotpoint"/>
        <w:rPr>
          <w:szCs w:val="20"/>
        </w:rPr>
      </w:pPr>
      <w:r w:rsidRPr="00E657D7">
        <w:rPr>
          <w:szCs w:val="20"/>
        </w:rPr>
        <w:t>practitioner function</w:t>
      </w:r>
      <w:r w:rsidR="006A7144" w:rsidRPr="00E657D7">
        <w:rPr>
          <w:szCs w:val="20"/>
        </w:rPr>
        <w:t xml:space="preserve">- and </w:t>
      </w:r>
      <w:r w:rsidRPr="00E657D7">
        <w:rPr>
          <w:szCs w:val="20"/>
        </w:rPr>
        <w:t>role</w:t>
      </w:r>
      <w:r w:rsidR="006A7144" w:rsidRPr="00E657D7">
        <w:rPr>
          <w:szCs w:val="20"/>
        </w:rPr>
        <w:t>-</w:t>
      </w:r>
      <w:r w:rsidRPr="00E657D7">
        <w:rPr>
          <w:szCs w:val="20"/>
        </w:rPr>
        <w:t xml:space="preserve">related issues </w:t>
      </w:r>
      <w:r w:rsidR="006A7144" w:rsidRPr="00E657D7">
        <w:rPr>
          <w:szCs w:val="20"/>
        </w:rPr>
        <w:t>(</w:t>
      </w:r>
      <w:r w:rsidR="00720C4E">
        <w:rPr>
          <w:szCs w:val="20"/>
        </w:rPr>
        <w:t>VBA</w:t>
      </w:r>
      <w:r w:rsidR="00C91B52" w:rsidRPr="00E657D7">
        <w:rPr>
          <w:szCs w:val="20"/>
        </w:rPr>
        <w:t>,</w:t>
      </w:r>
      <w:r w:rsidRPr="00E657D7">
        <w:rPr>
          <w:szCs w:val="20"/>
        </w:rPr>
        <w:t xml:space="preserve"> </w:t>
      </w:r>
      <w:r w:rsidR="006A7144" w:rsidRPr="00E657D7">
        <w:rPr>
          <w:szCs w:val="20"/>
        </w:rPr>
        <w:t>BAB)</w:t>
      </w:r>
    </w:p>
    <w:p w:rsidR="004F7D03" w:rsidRPr="00E657D7" w:rsidRDefault="004F7D03" w:rsidP="000469E0">
      <w:pPr>
        <w:pStyle w:val="Dotpoint"/>
        <w:rPr>
          <w:szCs w:val="20"/>
        </w:rPr>
      </w:pPr>
      <w:r w:rsidRPr="00E657D7">
        <w:rPr>
          <w:szCs w:val="20"/>
        </w:rPr>
        <w:t>building work</w:t>
      </w:r>
      <w:r w:rsidR="006A7144" w:rsidRPr="00E657D7">
        <w:rPr>
          <w:szCs w:val="20"/>
        </w:rPr>
        <w:t xml:space="preserve"> </w:t>
      </w:r>
      <w:r w:rsidRPr="00E657D7">
        <w:rPr>
          <w:szCs w:val="20"/>
        </w:rPr>
        <w:t>/</w:t>
      </w:r>
      <w:r w:rsidR="006A7144" w:rsidRPr="00E657D7">
        <w:rPr>
          <w:szCs w:val="20"/>
        </w:rPr>
        <w:t xml:space="preserve"> </w:t>
      </w:r>
      <w:r w:rsidRPr="00E657D7">
        <w:rPr>
          <w:szCs w:val="20"/>
        </w:rPr>
        <w:t xml:space="preserve">specific issues such as defective building work, </w:t>
      </w:r>
      <w:r w:rsidR="0023395A" w:rsidRPr="00E657D7">
        <w:rPr>
          <w:szCs w:val="20"/>
        </w:rPr>
        <w:t>non</w:t>
      </w:r>
      <w:r w:rsidRPr="00E657D7">
        <w:rPr>
          <w:szCs w:val="20"/>
        </w:rPr>
        <w:t xml:space="preserve">compliant building work or incomplete building work </w:t>
      </w:r>
      <w:r w:rsidR="006A7144" w:rsidRPr="00E657D7">
        <w:rPr>
          <w:szCs w:val="20"/>
        </w:rPr>
        <w:t>(</w:t>
      </w:r>
      <w:r w:rsidR="00720C4E">
        <w:rPr>
          <w:szCs w:val="20"/>
        </w:rPr>
        <w:t>VBA</w:t>
      </w:r>
      <w:r w:rsidRPr="00E657D7">
        <w:rPr>
          <w:szCs w:val="20"/>
        </w:rPr>
        <w:t xml:space="preserve"> </w:t>
      </w:r>
      <w:r w:rsidR="00C91B52" w:rsidRPr="00E657D7">
        <w:rPr>
          <w:szCs w:val="20"/>
        </w:rPr>
        <w:t xml:space="preserve">and </w:t>
      </w:r>
      <w:r w:rsidRPr="00E657D7">
        <w:rPr>
          <w:szCs w:val="20"/>
        </w:rPr>
        <w:t>Building Advice and Conciliation Victoria</w:t>
      </w:r>
      <w:r w:rsidR="006A7144" w:rsidRPr="00E657D7">
        <w:rPr>
          <w:szCs w:val="20"/>
        </w:rPr>
        <w:t xml:space="preserve">, </w:t>
      </w:r>
      <w:r w:rsidR="00C91B52" w:rsidRPr="00E657D7">
        <w:rPr>
          <w:szCs w:val="20"/>
        </w:rPr>
        <w:t>which is to be replaced by Domestic Building Dispute Resolution Victoria), VCAT</w:t>
      </w:r>
      <w:r w:rsidR="006A7144" w:rsidRPr="00E657D7">
        <w:rPr>
          <w:szCs w:val="20"/>
        </w:rPr>
        <w:t>)</w:t>
      </w:r>
    </w:p>
    <w:p w:rsidR="004F7D03" w:rsidRPr="00E657D7" w:rsidRDefault="004F7D03" w:rsidP="000469E0">
      <w:pPr>
        <w:pStyle w:val="Dotpointlast"/>
        <w:rPr>
          <w:szCs w:val="20"/>
        </w:rPr>
      </w:pPr>
      <w:r w:rsidRPr="00E657D7">
        <w:rPr>
          <w:szCs w:val="20"/>
        </w:rPr>
        <w:t xml:space="preserve">unregistered building practitioners </w:t>
      </w:r>
      <w:r w:rsidR="000415EA" w:rsidRPr="00E657D7">
        <w:rPr>
          <w:szCs w:val="20"/>
        </w:rPr>
        <w:t>(</w:t>
      </w:r>
      <w:r w:rsidR="00720C4E">
        <w:rPr>
          <w:szCs w:val="20"/>
        </w:rPr>
        <w:t>VBA</w:t>
      </w:r>
      <w:r w:rsidRPr="00E657D7">
        <w:rPr>
          <w:szCs w:val="20"/>
        </w:rPr>
        <w:t>, Magistrates Court</w:t>
      </w:r>
      <w:r w:rsidR="000415EA" w:rsidRPr="00E657D7">
        <w:rPr>
          <w:szCs w:val="20"/>
        </w:rPr>
        <w:t>)</w:t>
      </w:r>
      <w:r w:rsidRPr="00E657D7">
        <w:rPr>
          <w:szCs w:val="20"/>
        </w:rPr>
        <w:t>.</w:t>
      </w:r>
    </w:p>
    <w:p w:rsidR="00953062" w:rsidRPr="00427EE1" w:rsidRDefault="00953062" w:rsidP="000469E0">
      <w:r w:rsidRPr="00E657D7">
        <w:rPr>
          <w:szCs w:val="20"/>
        </w:rPr>
        <w:t>The high ranking of building industry complaints above those of many other regulated industries suggests that continu</w:t>
      </w:r>
      <w:r w:rsidR="002D6259" w:rsidRPr="00E657D7">
        <w:rPr>
          <w:szCs w:val="20"/>
        </w:rPr>
        <w:t>ed</w:t>
      </w:r>
      <w:r w:rsidRPr="00E657D7">
        <w:rPr>
          <w:szCs w:val="20"/>
        </w:rPr>
        <w:t xml:space="preserve"> regulation is warranted. Further, </w:t>
      </w:r>
      <w:r w:rsidR="00F65303" w:rsidRPr="00E657D7">
        <w:rPr>
          <w:szCs w:val="20"/>
        </w:rPr>
        <w:t xml:space="preserve">according to the </w:t>
      </w:r>
      <w:r w:rsidR="00AC1A59" w:rsidRPr="00E657D7">
        <w:rPr>
          <w:i/>
          <w:szCs w:val="20"/>
        </w:rPr>
        <w:t>2016 Australian Consumer Survey</w:t>
      </w:r>
      <w:r w:rsidR="00F65303" w:rsidRPr="00E657D7">
        <w:rPr>
          <w:szCs w:val="20"/>
        </w:rPr>
        <w:t xml:space="preserve">, </w:t>
      </w:r>
      <w:r w:rsidRPr="00E657D7">
        <w:rPr>
          <w:szCs w:val="20"/>
        </w:rPr>
        <w:t xml:space="preserve">over the </w:t>
      </w:r>
      <w:r w:rsidR="000415EA" w:rsidRPr="00E657D7">
        <w:rPr>
          <w:szCs w:val="20"/>
        </w:rPr>
        <w:t xml:space="preserve">five </w:t>
      </w:r>
      <w:r w:rsidRPr="00E657D7">
        <w:rPr>
          <w:szCs w:val="20"/>
        </w:rPr>
        <w:t>years to 2016 the level of complaints</w:t>
      </w:r>
      <w:r w:rsidRPr="00427EE1">
        <w:t xml:space="preserve"> dropped by only </w:t>
      </w:r>
      <w:r w:rsidR="00D90FC3">
        <w:t>1%</w:t>
      </w:r>
      <w:r w:rsidRPr="00427EE1">
        <w:t>.</w:t>
      </w:r>
    </w:p>
    <w:p w:rsidR="00E657D7" w:rsidRDefault="003448D2" w:rsidP="003448D2">
      <w:pPr>
        <w:pStyle w:val="Heading3"/>
      </w:pPr>
      <w:bookmarkStart w:id="33" w:name="_Toc481501567"/>
      <w:r>
        <w:t>1.4.1</w:t>
      </w:r>
      <w:r>
        <w:tab/>
      </w:r>
      <w:r w:rsidR="004F7D03" w:rsidRPr="00427EE1">
        <w:t>Defective building work</w:t>
      </w:r>
      <w:bookmarkEnd w:id="33"/>
    </w:p>
    <w:p w:rsidR="004F7D03" w:rsidRPr="00427EE1" w:rsidRDefault="004F7D03" w:rsidP="000469E0">
      <w:r w:rsidRPr="00427EE1">
        <w:t>Research shows that defective building work, particularly in residential buildings, continues to be an issue in Victoria and nationally.</w:t>
      </w:r>
      <w:r w:rsidRPr="00427EE1">
        <w:rPr>
          <w:rStyle w:val="FootnoteReference"/>
          <w:rFonts w:cstheme="minorHAnsi"/>
          <w:color w:val="auto"/>
        </w:rPr>
        <w:footnoteReference w:id="43"/>
      </w:r>
      <w:r w:rsidRPr="00427EE1">
        <w:t xml:space="preserve"> A defect is classified as a shortfall in performance rather than just any fault in construction. Therefore by definition a defect is avoidable and would be avoided if the work was completed at an expected level of quality.</w:t>
      </w:r>
    </w:p>
    <w:p w:rsidR="002D5E35" w:rsidRDefault="002D5E35">
      <w:pPr>
        <w:spacing w:after="0"/>
      </w:pPr>
      <w:r>
        <w:br w:type="page"/>
      </w:r>
    </w:p>
    <w:p w:rsidR="004F7D03" w:rsidRPr="00427EE1" w:rsidRDefault="004F7D03" w:rsidP="000469E0">
      <w:r w:rsidRPr="00427EE1">
        <w:lastRenderedPageBreak/>
        <w:t>Research conducted on all new housing constructed in Victoria over a 15</w:t>
      </w:r>
      <w:r w:rsidR="000415EA">
        <w:t>-</w:t>
      </w:r>
      <w:r w:rsidRPr="00427EE1">
        <w:t>year period between 1982</w:t>
      </w:r>
      <w:r w:rsidR="000415EA">
        <w:t>–</w:t>
      </w:r>
      <w:r w:rsidRPr="00427EE1">
        <w:t>1997 investigated the prevalence, type and cost of defects in residential construction.</w:t>
      </w:r>
      <w:r w:rsidR="005E581A" w:rsidRPr="00427EE1">
        <w:rPr>
          <w:rStyle w:val="FootnoteReference"/>
          <w:rFonts w:cstheme="minorHAnsi"/>
          <w:color w:val="auto"/>
        </w:rPr>
        <w:footnoteReference w:id="44"/>
      </w:r>
      <w:r w:rsidRPr="00427EE1">
        <w:t xml:space="preserve"> The</w:t>
      </w:r>
      <w:r w:rsidR="000415EA">
        <w:t xml:space="preserve"> research </w:t>
      </w:r>
      <w:r w:rsidRPr="00427EE1">
        <w:t>found a</w:t>
      </w:r>
      <w:r w:rsidR="00D90FC3">
        <w:t>bout</w:t>
      </w:r>
      <w:r w:rsidRPr="00427EE1">
        <w:t xml:space="preserve"> 12.5</w:t>
      </w:r>
      <w:r w:rsidR="00D90FC3">
        <w:t>%</w:t>
      </w:r>
      <w:r w:rsidRPr="00427EE1">
        <w:t xml:space="preserve"> of new residential properties reported defective work of some kind. The costs of defects were both the claim value (the amount paid to the plaintiff by order of a tribunal, calculated as the cost to rectify the defect) and the associated costs (costs incurred to win the claim value such as investigation and assessment to prove the defect).</w:t>
      </w:r>
    </w:p>
    <w:p w:rsidR="004F7D03" w:rsidRPr="00427EE1" w:rsidRDefault="004F7D03" w:rsidP="000469E0">
      <w:r w:rsidRPr="00427EE1">
        <w:t>Th</w:t>
      </w:r>
      <w:r w:rsidR="000415EA">
        <w:t>e</w:t>
      </w:r>
      <w:r w:rsidRPr="00427EE1">
        <w:t xml:space="preserve"> research found average defect costs were $4,245 (in 2006 terms</w:t>
      </w:r>
      <w:r w:rsidR="000415EA">
        <w:t xml:space="preserve"> or </w:t>
      </w:r>
      <w:r w:rsidRPr="00427EE1">
        <w:t>a</w:t>
      </w:r>
      <w:r w:rsidR="00D90FC3">
        <w:t>bout</w:t>
      </w:r>
      <w:r w:rsidRPr="00427EE1">
        <w:t xml:space="preserve"> $5,400 </w:t>
      </w:r>
      <w:r w:rsidR="00ED0AC9">
        <w:t>present value</w:t>
      </w:r>
      <w:r w:rsidRPr="00427EE1">
        <w:t>) per dwelling where a defect claim occurred.</w:t>
      </w:r>
      <w:r w:rsidRPr="00427EE1">
        <w:rPr>
          <w:rStyle w:val="FootnoteReference"/>
          <w:rFonts w:cstheme="minorHAnsi"/>
          <w:color w:val="auto"/>
        </w:rPr>
        <w:footnoteReference w:id="45"/>
      </w:r>
      <w:r w:rsidRPr="00427EE1">
        <w:t xml:space="preserve"> This represented a</w:t>
      </w:r>
      <w:r w:rsidR="00D90FC3">
        <w:t>bout</w:t>
      </w:r>
      <w:r w:rsidRPr="00427EE1">
        <w:t xml:space="preserve"> 4</w:t>
      </w:r>
      <w:r w:rsidR="00D90FC3">
        <w:t>%</w:t>
      </w:r>
      <w:r w:rsidRPr="00427EE1">
        <w:t xml:space="preserve"> of the contract value of a dwelling at the time. The study also found most buildings with defects had more than one type of problem, although the most significant individual causes of costs were water ingress and footings defects.</w:t>
      </w:r>
    </w:p>
    <w:p w:rsidR="004F7D03" w:rsidRPr="00427EE1" w:rsidRDefault="004F7D03" w:rsidP="000469E0">
      <w:r w:rsidRPr="00427EE1">
        <w:t>It was also found that the type of construction had an impact on the cost of defects. Generally, the more complex the construction, the higher the cost of any defects. The highest average total costs were for construction of an extension of an existing dwelling ($6,264 in 2006 terms or a</w:t>
      </w:r>
      <w:r w:rsidR="00D90FC3">
        <w:t>bout</w:t>
      </w:r>
      <w:r w:rsidRPr="00427EE1">
        <w:t xml:space="preserve"> $7,900 in </w:t>
      </w:r>
      <w:r w:rsidR="00ED0AC9">
        <w:t>present value</w:t>
      </w:r>
      <w:r w:rsidRPr="00427EE1">
        <w:t xml:space="preserve">) and </w:t>
      </w:r>
      <w:r w:rsidR="000415EA" w:rsidRPr="00427EE1">
        <w:t xml:space="preserve">subfloor </w:t>
      </w:r>
      <w:r w:rsidRPr="00427EE1">
        <w:t>improvements ($5,730 in 2006 terms, or a</w:t>
      </w:r>
      <w:r w:rsidR="00D90FC3">
        <w:t>bout</w:t>
      </w:r>
      <w:r w:rsidRPr="00427EE1">
        <w:t xml:space="preserve"> $7,200 in </w:t>
      </w:r>
      <w:r w:rsidR="000415EA">
        <w:t>present value</w:t>
      </w:r>
      <w:r w:rsidRPr="00427EE1">
        <w:t>).</w:t>
      </w:r>
      <w:r w:rsidRPr="00427EE1">
        <w:rPr>
          <w:rStyle w:val="FootnoteReference"/>
          <w:rFonts w:cstheme="minorHAnsi"/>
          <w:color w:val="auto"/>
        </w:rPr>
        <w:footnoteReference w:id="46"/>
      </w:r>
    </w:p>
    <w:p w:rsidR="004F7D03" w:rsidRPr="00427EE1" w:rsidRDefault="004F7D03" w:rsidP="000469E0">
      <w:pPr>
        <w:pStyle w:val="Normalpre-dotpoint"/>
      </w:pPr>
      <w:r w:rsidRPr="00427EE1">
        <w:t xml:space="preserve">Preliminary analysis by </w:t>
      </w:r>
      <w:r w:rsidR="0049530B">
        <w:t xml:space="preserve">the </w:t>
      </w:r>
      <w:r w:rsidR="00720C4E">
        <w:t>VBA</w:t>
      </w:r>
      <w:r w:rsidRPr="00427EE1">
        <w:t xml:space="preserve"> of investigation case files suggests that at face value, a large majority of defects and resulting disputes relate to the quality of workmanship rather tha</w:t>
      </w:r>
      <w:r w:rsidR="000415EA">
        <w:t>n</w:t>
      </w:r>
      <w:r w:rsidRPr="00427EE1">
        <w:t xml:space="preserve"> safety. Analysis of defects that were found following inspections as part of </w:t>
      </w:r>
      <w:r w:rsidR="00F57C69" w:rsidRPr="00427EE1">
        <w:t>Building Advice and Conciliation Victoria</w:t>
      </w:r>
      <w:r w:rsidRPr="00427EE1">
        <w:t xml:space="preserve"> matters highlighted the following most prevalent items involving defects:</w:t>
      </w:r>
    </w:p>
    <w:p w:rsidR="004F7D03" w:rsidRPr="00427EE1" w:rsidRDefault="000415EA" w:rsidP="000469E0">
      <w:pPr>
        <w:pStyle w:val="Dotpoint"/>
      </w:pPr>
      <w:r>
        <w:t>w</w:t>
      </w:r>
      <w:r w:rsidR="004F7D03" w:rsidRPr="00427EE1">
        <w:t>indows</w:t>
      </w:r>
      <w:r>
        <w:t xml:space="preserve"> and </w:t>
      </w:r>
      <w:r w:rsidR="004F7D03" w:rsidRPr="00427EE1">
        <w:t>doors (16</w:t>
      </w:r>
      <w:r w:rsidR="00D90FC3">
        <w:t>%</w:t>
      </w:r>
      <w:r w:rsidR="004F7D03" w:rsidRPr="00427EE1">
        <w:t xml:space="preserve"> overall)</w:t>
      </w:r>
      <w:r>
        <w:t xml:space="preserve">: the </w:t>
      </w:r>
      <w:r w:rsidR="004F7D03" w:rsidRPr="00427EE1">
        <w:t xml:space="preserve">top </w:t>
      </w:r>
      <w:r>
        <w:t xml:space="preserve">five </w:t>
      </w:r>
      <w:r w:rsidR="004F7D03" w:rsidRPr="00427EE1">
        <w:t xml:space="preserve">defects </w:t>
      </w:r>
      <w:r>
        <w:t xml:space="preserve">were </w:t>
      </w:r>
      <w:r w:rsidR="004F7D03" w:rsidRPr="00427EE1">
        <w:t>workmanship -</w:t>
      </w:r>
      <w:r w:rsidR="00D71A15" w:rsidRPr="00427EE1">
        <w:t xml:space="preserve"> </w:t>
      </w:r>
      <w:r w:rsidR="004F7D03" w:rsidRPr="00427EE1">
        <w:t>material damage, operation -</w:t>
      </w:r>
      <w:r w:rsidR="00D71A15" w:rsidRPr="00427EE1">
        <w:t xml:space="preserve"> </w:t>
      </w:r>
      <w:r w:rsidR="004F7D03" w:rsidRPr="00427EE1">
        <w:t>poor operation, workmanship - poorly installed, seals - inadequate fixing</w:t>
      </w:r>
      <w:r>
        <w:t xml:space="preserve"> and </w:t>
      </w:r>
      <w:r w:rsidR="004F7D03" w:rsidRPr="00427EE1">
        <w:t>workmanship -</w:t>
      </w:r>
      <w:r w:rsidR="00D71A15" w:rsidRPr="00427EE1">
        <w:t xml:space="preserve"> </w:t>
      </w:r>
      <w:r w:rsidR="004F7D03" w:rsidRPr="00427EE1">
        <w:t>incorrect gaps</w:t>
      </w:r>
    </w:p>
    <w:p w:rsidR="004F7D03" w:rsidRPr="00427EE1" w:rsidRDefault="000415EA" w:rsidP="000469E0">
      <w:pPr>
        <w:pStyle w:val="Dotpoint"/>
      </w:pPr>
      <w:r>
        <w:t>p</w:t>
      </w:r>
      <w:r w:rsidR="004F7D03" w:rsidRPr="00427EE1">
        <w:t>lastering (9</w:t>
      </w:r>
      <w:r w:rsidR="00D90FC3">
        <w:t>%</w:t>
      </w:r>
      <w:r w:rsidR="004F7D03" w:rsidRPr="00427EE1">
        <w:t xml:space="preserve"> overall)</w:t>
      </w:r>
      <w:r>
        <w:t xml:space="preserve">: the </w:t>
      </w:r>
      <w:r w:rsidR="004F7D03" w:rsidRPr="00427EE1">
        <w:t xml:space="preserve">top </w:t>
      </w:r>
      <w:r w:rsidR="00A92901">
        <w:t>four</w:t>
      </w:r>
      <w:r>
        <w:t xml:space="preserve"> </w:t>
      </w:r>
      <w:r w:rsidR="004F7D03" w:rsidRPr="00427EE1">
        <w:t xml:space="preserve">defects </w:t>
      </w:r>
      <w:r>
        <w:t xml:space="preserve">were </w:t>
      </w:r>
      <w:r w:rsidR="004F7D03" w:rsidRPr="00427EE1">
        <w:t>level of finish – damaged material, level of finish – incorrect level of finish, cracking – board/sheet</w:t>
      </w:r>
      <w:r>
        <w:t xml:space="preserve"> and </w:t>
      </w:r>
      <w:r w:rsidR="004F7D03" w:rsidRPr="00427EE1">
        <w:t>workmanship – poor finish, cracking – cornice</w:t>
      </w:r>
    </w:p>
    <w:p w:rsidR="004F7D03" w:rsidRPr="00427EE1" w:rsidRDefault="000415EA" w:rsidP="000469E0">
      <w:pPr>
        <w:pStyle w:val="Dotpointlast"/>
      </w:pPr>
      <w:r>
        <w:t>b</w:t>
      </w:r>
      <w:r w:rsidR="004F7D03" w:rsidRPr="00427EE1">
        <w:t>rickwork</w:t>
      </w:r>
      <w:r>
        <w:t xml:space="preserve"> and </w:t>
      </w:r>
      <w:r w:rsidR="004F7D03" w:rsidRPr="00427EE1">
        <w:t>masonry (8</w:t>
      </w:r>
      <w:r w:rsidR="00D90FC3">
        <w:t>%</w:t>
      </w:r>
      <w:r w:rsidR="004F7D03" w:rsidRPr="00427EE1">
        <w:t xml:space="preserve"> overall)</w:t>
      </w:r>
      <w:r>
        <w:t xml:space="preserve">: the </w:t>
      </w:r>
      <w:r w:rsidR="004F7D03" w:rsidRPr="00427EE1">
        <w:t xml:space="preserve">top </w:t>
      </w:r>
      <w:r w:rsidR="00A92901">
        <w:t>six</w:t>
      </w:r>
      <w:r>
        <w:t xml:space="preserve"> </w:t>
      </w:r>
      <w:r w:rsidR="004F7D03" w:rsidRPr="00427EE1">
        <w:t xml:space="preserve">defects </w:t>
      </w:r>
      <w:r>
        <w:t xml:space="preserve">were </w:t>
      </w:r>
      <w:r w:rsidR="004F7D03" w:rsidRPr="00427EE1">
        <w:t>workmanship – poorly laid, workmanship – cleaning, workmanship – damaged materials, cracks – brick coach, specifications – brick</w:t>
      </w:r>
      <w:r>
        <w:t xml:space="preserve"> and </w:t>
      </w:r>
      <w:r w:rsidR="004F7D03" w:rsidRPr="00427EE1">
        <w:t>mortar – mortar colour.</w:t>
      </w:r>
    </w:p>
    <w:p w:rsidR="00E657D7" w:rsidRDefault="003448D2" w:rsidP="003448D2">
      <w:pPr>
        <w:pStyle w:val="Heading3"/>
      </w:pPr>
      <w:bookmarkStart w:id="34" w:name="_Toc481501568"/>
      <w:r>
        <w:t>1.4.2</w:t>
      </w:r>
      <w:r>
        <w:tab/>
      </w:r>
      <w:r w:rsidR="004F7D03" w:rsidRPr="00427EE1">
        <w:t>Disputes</w:t>
      </w:r>
      <w:bookmarkEnd w:id="34"/>
    </w:p>
    <w:p w:rsidR="004F7D03" w:rsidRPr="00427EE1" w:rsidRDefault="004F7D03" w:rsidP="000469E0">
      <w:r w:rsidRPr="00427EE1">
        <w:t xml:space="preserve">While there is likely to be some level of disputes in any industry where parties are subject to contractual obligations, the prevalence of disputes and disagreements between parties involved in a building project can be seen as evidence of particular problems associated with this industry. The </w:t>
      </w:r>
      <w:r w:rsidR="0023395A">
        <w:t>non</w:t>
      </w:r>
      <w:r w:rsidRPr="00427EE1">
        <w:t>technical nature of consumers can be a cause of disputes, emphasising the effect that asymmetric information can have o</w:t>
      </w:r>
      <w:r w:rsidR="000415EA">
        <w:t>n</w:t>
      </w:r>
      <w:r w:rsidRPr="00427EE1">
        <w:t xml:space="preserve"> the practicalities of a building project.</w:t>
      </w:r>
    </w:p>
    <w:p w:rsidR="004F7D03" w:rsidRPr="00427EE1" w:rsidRDefault="004F7D03" w:rsidP="000469E0">
      <w:r w:rsidRPr="00427EE1">
        <w:lastRenderedPageBreak/>
        <w:t>Resolving a dispute can involve direct costs</w:t>
      </w:r>
      <w:r w:rsidR="000415EA">
        <w:t xml:space="preserve"> (</w:t>
      </w:r>
      <w:r w:rsidRPr="00427EE1">
        <w:t>such as lawyer or other professional fees, application or inspection costs</w:t>
      </w:r>
      <w:r w:rsidR="000415EA">
        <w:t>)</w:t>
      </w:r>
      <w:r w:rsidRPr="00427EE1">
        <w:t xml:space="preserve"> and indirect costs </w:t>
      </w:r>
      <w:r w:rsidR="000415EA">
        <w:t>(</w:t>
      </w:r>
      <w:r w:rsidRPr="00427EE1">
        <w:t>such as extra rent if completion is late or lost work due to the time required to resolve the issue</w:t>
      </w:r>
      <w:r w:rsidR="000415EA">
        <w:t>)</w:t>
      </w:r>
      <w:r w:rsidRPr="00427EE1">
        <w:t>.</w:t>
      </w:r>
      <w:r w:rsidRPr="00427EE1">
        <w:rPr>
          <w:rStyle w:val="FootnoteReference"/>
          <w:rFonts w:cstheme="minorHAnsi"/>
          <w:color w:val="auto"/>
        </w:rPr>
        <w:footnoteReference w:id="47"/>
      </w:r>
    </w:p>
    <w:p w:rsidR="004F7D03" w:rsidRPr="00427EE1" w:rsidRDefault="004F7D03" w:rsidP="000469E0">
      <w:r w:rsidRPr="00427EE1">
        <w:t>The cost of building project disputes in Victoria was estimated to total $513 million a year in a 2005 study</w:t>
      </w:r>
      <w:r w:rsidR="0049530B">
        <w:t>.</w:t>
      </w:r>
      <w:r w:rsidRPr="00427EE1">
        <w:rPr>
          <w:rStyle w:val="FootnoteReference"/>
          <w:rFonts w:cstheme="minorHAnsi"/>
          <w:color w:val="auto"/>
        </w:rPr>
        <w:footnoteReference w:id="48"/>
      </w:r>
      <w:r w:rsidR="00BF05D7">
        <w:t xml:space="preserve"> A</w:t>
      </w:r>
      <w:r w:rsidR="00D90FC3">
        <w:t>bout</w:t>
      </w:r>
      <w:r w:rsidRPr="00427EE1">
        <w:t xml:space="preserve"> half the total</w:t>
      </w:r>
      <w:r w:rsidR="00BF05D7">
        <w:t xml:space="preserve"> – </w:t>
      </w:r>
      <w:r w:rsidRPr="00427EE1">
        <w:t>$258 million</w:t>
      </w:r>
      <w:r w:rsidR="00BF05D7">
        <w:t xml:space="preserve"> – </w:t>
      </w:r>
      <w:r w:rsidRPr="00427EE1">
        <w:t>was attributed to domestic building contracts and half</w:t>
      </w:r>
      <w:r w:rsidR="004267C5">
        <w:t xml:space="preserve"> </w:t>
      </w:r>
      <w:r w:rsidR="00BF05D7">
        <w:t xml:space="preserve">– </w:t>
      </w:r>
      <w:r w:rsidRPr="00427EE1">
        <w:t>$255 million</w:t>
      </w:r>
      <w:r w:rsidR="00BF05D7">
        <w:t xml:space="preserve"> – </w:t>
      </w:r>
      <w:r w:rsidRPr="00427EE1">
        <w:t>to commercial contracts. The report expressed these costs in 2003</w:t>
      </w:r>
      <w:r w:rsidR="00BF05D7">
        <w:t>–</w:t>
      </w:r>
      <w:r w:rsidRPr="00427EE1">
        <w:t xml:space="preserve">04 dollars so in </w:t>
      </w:r>
      <w:r w:rsidR="00BF05D7">
        <w:t>present</w:t>
      </w:r>
      <w:r w:rsidR="00BF05D7" w:rsidRPr="00427EE1">
        <w:t xml:space="preserve"> </w:t>
      </w:r>
      <w:r w:rsidRPr="00427EE1">
        <w:t>20</w:t>
      </w:r>
      <w:r w:rsidR="0023395A">
        <w:t>15–</w:t>
      </w:r>
      <w:r w:rsidRPr="00427EE1">
        <w:t xml:space="preserve">16 terms the costs of building project disputes calculated on the same basis (without adjustment for different levels of building activity) would be a total $691 million, with $348 million in the domestic sector and </w:t>
      </w:r>
      <w:r w:rsidR="00ED0AC9">
        <w:t>the lesser half</w:t>
      </w:r>
      <w:r w:rsidRPr="00427EE1">
        <w:t xml:space="preserve"> in the commercial sector.</w:t>
      </w:r>
      <w:r w:rsidRPr="00427EE1">
        <w:rPr>
          <w:rStyle w:val="FootnoteReference"/>
          <w:rFonts w:cstheme="minorHAnsi"/>
          <w:color w:val="auto"/>
        </w:rPr>
        <w:footnoteReference w:id="49"/>
      </w:r>
    </w:p>
    <w:p w:rsidR="00AC4E58" w:rsidRPr="00427EE1" w:rsidRDefault="004F7D03" w:rsidP="000469E0">
      <w:r w:rsidRPr="00E657D7">
        <w:rPr>
          <w:szCs w:val="20"/>
        </w:rPr>
        <w:t>These costs estimates are detailed in</w:t>
      </w:r>
      <w:r w:rsidRPr="00E657D7">
        <w:rPr>
          <w:b/>
          <w:color w:val="00B2A9" w:themeColor="accent1"/>
          <w:szCs w:val="20"/>
        </w:rPr>
        <w:t xml:space="preserve"> </w:t>
      </w:r>
      <w:r w:rsidR="00DE6971">
        <w:fldChar w:fldCharType="begin"/>
      </w:r>
      <w:r w:rsidR="00DE6971">
        <w:instrText xml:space="preserve"> REF _Ref422243232 \h  \* MERGEFORMAT </w:instrText>
      </w:r>
      <w:r w:rsidR="00DE6971">
        <w:fldChar w:fldCharType="separate"/>
      </w:r>
      <w:r w:rsidR="00B30389" w:rsidRPr="00B30389">
        <w:rPr>
          <w:b/>
          <w:color w:val="00B2A9" w:themeColor="accent1"/>
          <w:szCs w:val="20"/>
        </w:rPr>
        <w:t>Figure 3</w:t>
      </w:r>
      <w:r w:rsidR="00DE6971">
        <w:fldChar w:fldCharType="end"/>
      </w:r>
      <w:r w:rsidR="00BF05D7" w:rsidRPr="00E657D7">
        <w:rPr>
          <w:szCs w:val="20"/>
        </w:rPr>
        <w:t xml:space="preserve"> </w:t>
      </w:r>
      <w:r w:rsidRPr="00E657D7">
        <w:rPr>
          <w:szCs w:val="20"/>
        </w:rPr>
        <w:t>by type of dispute and have been presented in 20</w:t>
      </w:r>
      <w:r w:rsidR="0023395A" w:rsidRPr="00E657D7">
        <w:rPr>
          <w:szCs w:val="20"/>
        </w:rPr>
        <w:t>15–</w:t>
      </w:r>
      <w:r w:rsidRPr="00E657D7">
        <w:rPr>
          <w:szCs w:val="20"/>
        </w:rPr>
        <w:t xml:space="preserve">16 values for currency and clarity in the current context. </w:t>
      </w:r>
      <w:r w:rsidR="00DE6971">
        <w:fldChar w:fldCharType="begin"/>
      </w:r>
      <w:r w:rsidR="00DE6971">
        <w:instrText xml:space="preserve"> REF _Ref422243232 \h  \* MERGEFORMAT </w:instrText>
      </w:r>
      <w:r w:rsidR="00DE6971">
        <w:fldChar w:fldCharType="separate"/>
      </w:r>
      <w:r w:rsidR="00B30389" w:rsidRPr="00B30389">
        <w:rPr>
          <w:b/>
          <w:color w:val="00B2A9" w:themeColor="accent1"/>
          <w:szCs w:val="20"/>
        </w:rPr>
        <w:t>Figure 3</w:t>
      </w:r>
      <w:r w:rsidR="00DE6971">
        <w:fldChar w:fldCharType="end"/>
      </w:r>
      <w:r w:rsidRPr="00E657D7">
        <w:rPr>
          <w:b/>
          <w:color w:val="00B2A9" w:themeColor="accent1"/>
          <w:szCs w:val="20"/>
        </w:rPr>
        <w:t xml:space="preserve"> </w:t>
      </w:r>
      <w:r w:rsidRPr="00E657D7">
        <w:rPr>
          <w:szCs w:val="20"/>
        </w:rPr>
        <w:t>shows there are different levels of issues that can arise in a building project and the level of issue can impact the costs involved. For example, the most serious issues are defined as ‘dispute’ and</w:t>
      </w:r>
      <w:r w:rsidRPr="00427EE1">
        <w:t xml:space="preserve"> ‘conflict’ and are considerably more costly because they introduc</w:t>
      </w:r>
      <w:r w:rsidR="00BF05D7">
        <w:t>e</w:t>
      </w:r>
      <w:r w:rsidRPr="00427EE1">
        <w:t xml:space="preserve"> a third party to the issue, usually a lawyer or mediator. However, even a ‘concern’</w:t>
      </w:r>
      <w:r w:rsidR="00BF05D7">
        <w:t>,</w:t>
      </w:r>
      <w:r w:rsidRPr="00427EE1">
        <w:t xml:space="preserve"> which is a worry or anxiety about the project held by one party but not raised with the other</w:t>
      </w:r>
      <w:r w:rsidR="00BF05D7">
        <w:t>,</w:t>
      </w:r>
      <w:r w:rsidRPr="00427EE1">
        <w:t xml:space="preserve"> </w:t>
      </w:r>
      <w:r w:rsidR="00BF05D7">
        <w:t xml:space="preserve">can </w:t>
      </w:r>
      <w:r w:rsidRPr="00427EE1">
        <w:t>still impose a cost.</w:t>
      </w:r>
    </w:p>
    <w:p w:rsidR="004F7D03" w:rsidRPr="00427EE1" w:rsidRDefault="004F7D03" w:rsidP="00FB5841">
      <w:pPr>
        <w:pStyle w:val="Normalpre-dotpoint"/>
      </w:pPr>
      <w:r w:rsidRPr="00427EE1">
        <w:rPr>
          <w:noProof/>
        </w:rPr>
        <w:drawing>
          <wp:inline distT="0" distB="0" distL="0" distR="0" wp14:anchorId="65328192" wp14:editId="5DA1BD7E">
            <wp:extent cx="5220335" cy="3452895"/>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7667" t="7358"/>
                    <a:stretch/>
                  </pic:blipFill>
                  <pic:spPr bwMode="auto">
                    <a:xfrm>
                      <a:off x="0" y="0"/>
                      <a:ext cx="5220335" cy="3452895"/>
                    </a:xfrm>
                    <a:prstGeom prst="rect">
                      <a:avLst/>
                    </a:prstGeom>
                    <a:noFill/>
                    <a:ln>
                      <a:noFill/>
                    </a:ln>
                    <a:effectLst/>
                    <a:extLst/>
                  </pic:spPr>
                </pic:pic>
              </a:graphicData>
            </a:graphic>
          </wp:inline>
        </w:drawing>
      </w:r>
    </w:p>
    <w:p w:rsidR="004F7D03" w:rsidRPr="00427EE1" w:rsidRDefault="004F7D03" w:rsidP="00DE6971">
      <w:pPr>
        <w:pStyle w:val="Caption"/>
        <w:jc w:val="center"/>
      </w:pPr>
      <w:bookmarkStart w:id="35" w:name="_Ref422243232"/>
      <w:bookmarkStart w:id="36" w:name="_Toc481499859"/>
      <w:r w:rsidRPr="00427EE1">
        <w:t xml:space="preserve">Figure </w:t>
      </w:r>
      <w:r w:rsidR="00AC1A59" w:rsidRPr="00427EE1">
        <w:fldChar w:fldCharType="begin"/>
      </w:r>
      <w:r w:rsidR="00AC667E" w:rsidRPr="00427EE1">
        <w:instrText xml:space="preserve"> SEQ Figure \* ARABIC </w:instrText>
      </w:r>
      <w:r w:rsidR="00AC1A59" w:rsidRPr="00427EE1">
        <w:fldChar w:fldCharType="separate"/>
      </w:r>
      <w:r w:rsidR="00B30389">
        <w:rPr>
          <w:noProof/>
        </w:rPr>
        <w:t>3</w:t>
      </w:r>
      <w:r w:rsidR="00AC1A59" w:rsidRPr="00427EE1">
        <w:fldChar w:fldCharType="end"/>
      </w:r>
      <w:bookmarkEnd w:id="35"/>
      <w:r w:rsidR="0080262C" w:rsidRPr="00427EE1">
        <w:t xml:space="preserve">: </w:t>
      </w:r>
      <w:r w:rsidRPr="00427EE1">
        <w:t>Prevalence, type and cost of building project disputes</w:t>
      </w:r>
      <w:bookmarkEnd w:id="36"/>
    </w:p>
    <w:p w:rsidR="004F7D03" w:rsidRPr="00427EE1" w:rsidRDefault="004F7D03" w:rsidP="006119D2">
      <w:pPr>
        <w:pStyle w:val="Source"/>
        <w:jc w:val="center"/>
      </w:pPr>
      <w:r w:rsidRPr="00427EE1">
        <w:t>Source: Victoria Building Commission</w:t>
      </w:r>
      <w:r w:rsidR="00BF05D7">
        <w:t xml:space="preserve"> </w:t>
      </w:r>
      <w:r w:rsidRPr="00427EE1">
        <w:t>2005</w:t>
      </w:r>
      <w:r w:rsidR="00BF05D7">
        <w:t xml:space="preserve">, </w:t>
      </w:r>
      <w:r w:rsidR="00AC1A59" w:rsidRPr="00AC1A59">
        <w:rPr>
          <w:i/>
          <w:szCs w:val="20"/>
        </w:rPr>
        <w:t>Dispute reduction research summary report</w:t>
      </w:r>
      <w:r w:rsidRPr="00427EE1">
        <w:t>, March 2005.</w:t>
      </w:r>
    </w:p>
    <w:p w:rsidR="008E61C7" w:rsidRPr="00427EE1" w:rsidRDefault="008E61C7" w:rsidP="008E61C7"/>
    <w:p w:rsidR="00E657D7" w:rsidRDefault="003448D2" w:rsidP="003448D2">
      <w:pPr>
        <w:pStyle w:val="Heading3"/>
      </w:pPr>
      <w:bookmarkStart w:id="37" w:name="_Toc481501569"/>
      <w:r>
        <w:lastRenderedPageBreak/>
        <w:t>1.4.3</w:t>
      </w:r>
      <w:r>
        <w:tab/>
      </w:r>
      <w:r w:rsidR="004F7D03" w:rsidRPr="00427EE1">
        <w:t>Complaints and investigations</w:t>
      </w:r>
      <w:bookmarkEnd w:id="37"/>
    </w:p>
    <w:p w:rsidR="00D615BC" w:rsidRPr="00427EE1" w:rsidRDefault="00A14EA0" w:rsidP="000469E0">
      <w:r>
        <w:t>VBA</w:t>
      </w:r>
      <w:r w:rsidR="004F7D03" w:rsidRPr="00427EE1">
        <w:t xml:space="preserve"> received a total of 3,887 building</w:t>
      </w:r>
      <w:r w:rsidR="007C5A88">
        <w:t>-</w:t>
      </w:r>
      <w:r w:rsidR="004F7D03" w:rsidRPr="00427EE1">
        <w:t xml:space="preserve">related complaints </w:t>
      </w:r>
      <w:r w:rsidR="00E41006">
        <w:t xml:space="preserve">from </w:t>
      </w:r>
      <w:r w:rsidR="004F7D03" w:rsidRPr="00427EE1">
        <w:t>July 2010 to June 2015. </w:t>
      </w:r>
      <w:r w:rsidR="00D90FC3">
        <w:t>10%</w:t>
      </w:r>
      <w:r w:rsidR="004F7D03" w:rsidRPr="00427EE1">
        <w:t xml:space="preserve"> of these complaints were chosen randomly for further analysis, with roughly equal proportions from each year, resulting in a final sample of 370 files. This excludes any </w:t>
      </w:r>
      <w:r w:rsidR="00195602">
        <w:t>b</w:t>
      </w:r>
      <w:r w:rsidR="004F7D03" w:rsidRPr="00427EE1">
        <w:t xml:space="preserve">uilding </w:t>
      </w:r>
      <w:r w:rsidR="00195602">
        <w:t>o</w:t>
      </w:r>
      <w:r w:rsidR="004F7D03" w:rsidRPr="00427EE1">
        <w:t>rder referrals.</w:t>
      </w:r>
    </w:p>
    <w:p w:rsidR="004F7D03" w:rsidRPr="00427EE1" w:rsidRDefault="00060570" w:rsidP="000469E0">
      <w:pPr>
        <w:pStyle w:val="Normalpre-dotpoint"/>
      </w:pPr>
      <w:r w:rsidRPr="006119D2">
        <w:rPr>
          <w:b/>
          <w:color w:val="00B2A9" w:themeColor="accent1"/>
          <w:szCs w:val="20"/>
        </w:rPr>
        <w:fldChar w:fldCharType="begin"/>
      </w:r>
      <w:r w:rsidRPr="006119D2">
        <w:rPr>
          <w:b/>
          <w:color w:val="00B2A9" w:themeColor="accent1"/>
          <w:szCs w:val="20"/>
        </w:rPr>
        <w:instrText xml:space="preserve"> REF _Ref457304734 \h </w:instrText>
      </w:r>
      <w:r w:rsidRPr="00060570">
        <w:rPr>
          <w:b/>
          <w:color w:val="00B2A9" w:themeColor="accent1"/>
          <w:szCs w:val="20"/>
        </w:rPr>
        <w:instrText xml:space="preserve"> \* MERGEFORMAT </w:instrText>
      </w:r>
      <w:r w:rsidRPr="006119D2">
        <w:rPr>
          <w:b/>
          <w:color w:val="00B2A9" w:themeColor="accent1"/>
          <w:szCs w:val="20"/>
        </w:rPr>
      </w:r>
      <w:r w:rsidRPr="006119D2">
        <w:rPr>
          <w:b/>
          <w:color w:val="00B2A9" w:themeColor="accent1"/>
          <w:szCs w:val="20"/>
        </w:rPr>
        <w:fldChar w:fldCharType="separate"/>
      </w:r>
      <w:r w:rsidR="00B30389" w:rsidRPr="00B30389">
        <w:rPr>
          <w:b/>
          <w:color w:val="00B2A9" w:themeColor="accent1"/>
        </w:rPr>
        <w:t>Figure 4</w:t>
      </w:r>
      <w:r w:rsidRPr="006119D2">
        <w:rPr>
          <w:b/>
          <w:color w:val="00B2A9" w:themeColor="accent1"/>
          <w:szCs w:val="20"/>
        </w:rPr>
        <w:fldChar w:fldCharType="end"/>
      </w:r>
      <w:r>
        <w:rPr>
          <w:b/>
          <w:szCs w:val="20"/>
        </w:rPr>
        <w:t xml:space="preserve"> </w:t>
      </w:r>
      <w:r w:rsidR="004F7D03" w:rsidRPr="00427EE1">
        <w:t>shows the types of issues raised, with the most common relating to:</w:t>
      </w:r>
    </w:p>
    <w:p w:rsidR="004F7D03" w:rsidRPr="00427EE1" w:rsidRDefault="004F7D03" w:rsidP="000469E0">
      <w:pPr>
        <w:pStyle w:val="Dotpoint"/>
      </w:pPr>
      <w:r w:rsidRPr="00427EE1">
        <w:t>building work in adjoining properties (46</w:t>
      </w:r>
      <w:r w:rsidR="00D90FC3">
        <w:t>%</w:t>
      </w:r>
      <w:r w:rsidRPr="00427EE1">
        <w:t xml:space="preserve"> of complaints </w:t>
      </w:r>
      <w:r w:rsidR="00E41006">
        <w:t xml:space="preserve">and </w:t>
      </w:r>
      <w:r w:rsidRPr="00427EE1">
        <w:t>including siting, resulting damage and protection work)</w:t>
      </w:r>
    </w:p>
    <w:p w:rsidR="004F7D03" w:rsidRPr="00427EE1" w:rsidRDefault="004F7D03" w:rsidP="000469E0">
      <w:pPr>
        <w:pStyle w:val="Dotpoint"/>
      </w:pPr>
      <w:r w:rsidRPr="00427EE1">
        <w:t>practitioner function</w:t>
      </w:r>
      <w:r w:rsidR="00E41006">
        <w:t xml:space="preserve">- and </w:t>
      </w:r>
      <w:r w:rsidRPr="00427EE1">
        <w:t>role</w:t>
      </w:r>
      <w:r w:rsidR="00E41006">
        <w:t>-</w:t>
      </w:r>
      <w:r w:rsidRPr="00427EE1">
        <w:t>related issues (29</w:t>
      </w:r>
      <w:r w:rsidR="00D90FC3">
        <w:t>%</w:t>
      </w:r>
      <w:r w:rsidRPr="00427EE1">
        <w:t xml:space="preserve"> of complaints</w:t>
      </w:r>
      <w:r w:rsidR="00E41006">
        <w:t xml:space="preserve"> and </w:t>
      </w:r>
      <w:r w:rsidRPr="00427EE1">
        <w:t xml:space="preserve">primarily relating to the </w:t>
      </w:r>
      <w:r w:rsidR="00ED0AC9">
        <w:t>RBS</w:t>
      </w:r>
      <w:r w:rsidRPr="00427EE1">
        <w:t xml:space="preserve"> and builder</w:t>
      </w:r>
      <w:r w:rsidR="00E41006">
        <w:t>)</w:t>
      </w:r>
    </w:p>
    <w:p w:rsidR="004F7D03" w:rsidRPr="00427EE1" w:rsidRDefault="004F7D03" w:rsidP="000469E0">
      <w:pPr>
        <w:pStyle w:val="Dotpointlast"/>
      </w:pPr>
      <w:r w:rsidRPr="00427EE1">
        <w:t>building</w:t>
      </w:r>
      <w:r w:rsidR="00E83796">
        <w:t>-</w:t>
      </w:r>
      <w:r w:rsidRPr="00427EE1">
        <w:t>work</w:t>
      </w:r>
      <w:r w:rsidR="00E83796">
        <w:t>-</w:t>
      </w:r>
      <w:r w:rsidRPr="00427EE1">
        <w:t xml:space="preserve">specific issues (most commonly relating to defective, </w:t>
      </w:r>
      <w:r w:rsidR="0023395A">
        <w:t>non</w:t>
      </w:r>
      <w:r w:rsidRPr="00427EE1">
        <w:t>compliant and incomplete building work).</w:t>
      </w:r>
    </w:p>
    <w:p w:rsidR="004F7D03" w:rsidRPr="00427EE1" w:rsidRDefault="004F7D03" w:rsidP="000469E0">
      <w:pPr>
        <w:pStyle w:val="Normalpre-dotpoint"/>
      </w:pPr>
      <w:r w:rsidRPr="00427EE1">
        <w:t>Specifically, the most commonly raised issues relate to:</w:t>
      </w:r>
    </w:p>
    <w:p w:rsidR="004F7D03" w:rsidRPr="00427EE1" w:rsidRDefault="004F7D03" w:rsidP="000469E0">
      <w:pPr>
        <w:pStyle w:val="Dotpoint"/>
      </w:pPr>
      <w:r w:rsidRPr="00427EE1">
        <w:t>siting (19</w:t>
      </w:r>
      <w:r w:rsidR="00D90FC3">
        <w:t>%</w:t>
      </w:r>
      <w:r w:rsidRPr="00427EE1">
        <w:t xml:space="preserve"> of complaints)</w:t>
      </w:r>
    </w:p>
    <w:p w:rsidR="004F7D03" w:rsidRPr="00427EE1" w:rsidRDefault="00E83796" w:rsidP="000469E0">
      <w:pPr>
        <w:pStyle w:val="Dotpoint"/>
      </w:pPr>
      <w:r>
        <w:t xml:space="preserve">the </w:t>
      </w:r>
      <w:r w:rsidR="004F7D03" w:rsidRPr="00427EE1">
        <w:t xml:space="preserve">function / role of the </w:t>
      </w:r>
      <w:r w:rsidR="00ED0AC9">
        <w:t>RBS</w:t>
      </w:r>
      <w:r w:rsidR="004F7D03" w:rsidRPr="00427EE1">
        <w:t xml:space="preserve"> (16</w:t>
      </w:r>
      <w:r w:rsidR="00D90FC3">
        <w:t>%</w:t>
      </w:r>
      <w:r w:rsidR="004F7D03" w:rsidRPr="00427EE1">
        <w:t xml:space="preserve"> of complaints)</w:t>
      </w:r>
    </w:p>
    <w:p w:rsidR="004F7D03" w:rsidRPr="00427EE1" w:rsidRDefault="004F7D03" w:rsidP="000469E0">
      <w:pPr>
        <w:pStyle w:val="Dotpoint"/>
      </w:pPr>
      <w:r w:rsidRPr="00427EE1">
        <w:t>damage to adjoining properties (14</w:t>
      </w:r>
      <w:r w:rsidR="00D90FC3">
        <w:t>%</w:t>
      </w:r>
      <w:r w:rsidRPr="00427EE1">
        <w:t xml:space="preserve"> of complaints)</w:t>
      </w:r>
    </w:p>
    <w:p w:rsidR="004F7D03" w:rsidRPr="00427EE1" w:rsidRDefault="00E83796" w:rsidP="000469E0">
      <w:pPr>
        <w:pStyle w:val="Dotpointlast"/>
      </w:pPr>
      <w:r>
        <w:t xml:space="preserve">the </w:t>
      </w:r>
      <w:r w:rsidR="004F7D03" w:rsidRPr="00427EE1">
        <w:t>function / role of the builder (12</w:t>
      </w:r>
      <w:r w:rsidR="00D90FC3">
        <w:t>%</w:t>
      </w:r>
      <w:r w:rsidR="004F7D03" w:rsidRPr="00427EE1">
        <w:t xml:space="preserve"> of complaints)</w:t>
      </w:r>
      <w:r>
        <w:t>.</w:t>
      </w:r>
    </w:p>
    <w:p w:rsidR="004F7D03" w:rsidRPr="00427EE1" w:rsidRDefault="004F7D03" w:rsidP="000469E0">
      <w:r w:rsidRPr="00427EE1">
        <w:t>Together, these four issues comprise over 60</w:t>
      </w:r>
      <w:r w:rsidR="00D90FC3">
        <w:t>%</w:t>
      </w:r>
      <w:r w:rsidRPr="00427EE1">
        <w:t xml:space="preserve"> of all complaints in the sample.</w:t>
      </w:r>
    </w:p>
    <w:p w:rsidR="004F7D03" w:rsidRPr="00427EE1" w:rsidRDefault="00513F42" w:rsidP="000469E0">
      <w:r w:rsidRPr="00427EE1">
        <w:t xml:space="preserve">In relation to the </w:t>
      </w:r>
      <w:r w:rsidR="00E83796">
        <w:t>b</w:t>
      </w:r>
      <w:r w:rsidRPr="00427EE1">
        <w:t>uilding</w:t>
      </w:r>
      <w:r w:rsidR="00E83796">
        <w:t>-w</w:t>
      </w:r>
      <w:r w:rsidRPr="00427EE1">
        <w:t>ork</w:t>
      </w:r>
      <w:r w:rsidR="00E83796">
        <w:t>-s</w:t>
      </w:r>
      <w:r w:rsidRPr="00427EE1">
        <w:t xml:space="preserve">pecific </w:t>
      </w:r>
      <w:r w:rsidR="00E83796">
        <w:t>i</w:t>
      </w:r>
      <w:r w:rsidRPr="00427EE1">
        <w:t xml:space="preserve">ssues in </w:t>
      </w:r>
      <w:r w:rsidR="00DE6971">
        <w:fldChar w:fldCharType="begin"/>
      </w:r>
      <w:r w:rsidR="00DE6971">
        <w:instrText xml:space="preserve"> REF _Ref457304734 \h  \* MERGEFORMAT </w:instrText>
      </w:r>
      <w:r w:rsidR="00DE6971">
        <w:fldChar w:fldCharType="separate"/>
      </w:r>
      <w:r w:rsidR="00B30389" w:rsidRPr="00B30389">
        <w:rPr>
          <w:b/>
          <w:color w:val="00B2A9" w:themeColor="accent1"/>
          <w:szCs w:val="20"/>
        </w:rPr>
        <w:t>Figure 4</w:t>
      </w:r>
      <w:r w:rsidR="00DE6971">
        <w:fldChar w:fldCharType="end"/>
      </w:r>
      <w:r w:rsidRPr="00427EE1">
        <w:t xml:space="preserve">, a distinction has been drawn between </w:t>
      </w:r>
      <w:r w:rsidR="003B634E" w:rsidRPr="00427EE1">
        <w:t>non</w:t>
      </w:r>
      <w:r w:rsidRPr="00427EE1">
        <w:t>compliant building work</w:t>
      </w:r>
      <w:r w:rsidR="003B634E" w:rsidRPr="00427EE1">
        <w:t xml:space="preserve"> and defective building work</w:t>
      </w:r>
      <w:r w:rsidRPr="00427EE1">
        <w:t xml:space="preserve">. In </w:t>
      </w:r>
      <w:r w:rsidR="00DE6971">
        <w:fldChar w:fldCharType="begin"/>
      </w:r>
      <w:r w:rsidR="00DE6971">
        <w:instrText xml:space="preserve"> REF _Ref457304734 \h  \* MERGEFORMAT </w:instrText>
      </w:r>
      <w:r w:rsidR="00DE6971">
        <w:fldChar w:fldCharType="separate"/>
      </w:r>
      <w:r w:rsidR="00B30389" w:rsidRPr="00B30389">
        <w:rPr>
          <w:b/>
          <w:color w:val="00B2A9" w:themeColor="accent1"/>
        </w:rPr>
        <w:t>Figure 4</w:t>
      </w:r>
      <w:r w:rsidR="00DE6971">
        <w:fldChar w:fldCharType="end"/>
      </w:r>
      <w:r w:rsidRPr="00427EE1">
        <w:t xml:space="preserve">, </w:t>
      </w:r>
      <w:r w:rsidR="0023395A">
        <w:t>non</w:t>
      </w:r>
      <w:r w:rsidRPr="00427EE1">
        <w:t xml:space="preserve">compliant building work is building work that contravenes </w:t>
      </w:r>
      <w:r w:rsidR="004F7D03" w:rsidRPr="00427EE1">
        <w:t xml:space="preserve">the </w:t>
      </w:r>
      <w:r w:rsidRPr="00427EE1">
        <w:t xml:space="preserve">Act or </w:t>
      </w:r>
      <w:r w:rsidR="008911CB">
        <w:t>Regulations</w:t>
      </w:r>
      <w:r w:rsidRPr="00427EE1">
        <w:t xml:space="preserve"> and d</w:t>
      </w:r>
      <w:r w:rsidR="004F7D03" w:rsidRPr="00427EE1">
        <w:t xml:space="preserve">efective building work </w:t>
      </w:r>
      <w:r w:rsidRPr="00427EE1">
        <w:t xml:space="preserve">is building work that contravenes a building </w:t>
      </w:r>
      <w:r w:rsidR="004F7D03" w:rsidRPr="00427EE1">
        <w:t>contract</w:t>
      </w:r>
      <w:r w:rsidRPr="00427EE1">
        <w:t xml:space="preserve"> other than by way of a breach of the</w:t>
      </w:r>
      <w:r w:rsidR="00854EF0" w:rsidRPr="00427EE1">
        <w:t xml:space="preserve"> </w:t>
      </w:r>
      <w:r w:rsidRPr="00427EE1">
        <w:t xml:space="preserve">Act or </w:t>
      </w:r>
      <w:r w:rsidR="008911CB">
        <w:t>Regulations</w:t>
      </w:r>
      <w:r w:rsidR="004F7D03" w:rsidRPr="00427EE1">
        <w:t>.</w:t>
      </w:r>
    </w:p>
    <w:p w:rsidR="004F7D03" w:rsidRPr="00427EE1" w:rsidRDefault="004F7D03" w:rsidP="00FB5841">
      <w:pPr>
        <w:pStyle w:val="Normalpre-dotpoint"/>
      </w:pPr>
      <w:r w:rsidRPr="00427EE1">
        <w:rPr>
          <w:noProof/>
        </w:rPr>
        <w:lastRenderedPageBreak/>
        <w:drawing>
          <wp:inline distT="0" distB="0" distL="0" distR="0" wp14:anchorId="03D0170B" wp14:editId="6110B49F">
            <wp:extent cx="4863336" cy="387326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14015" r="12792"/>
                    <a:stretch/>
                  </pic:blipFill>
                  <pic:spPr bwMode="auto">
                    <a:xfrm>
                      <a:off x="0" y="0"/>
                      <a:ext cx="4866100" cy="3875461"/>
                    </a:xfrm>
                    <a:prstGeom prst="rect">
                      <a:avLst/>
                    </a:prstGeom>
                    <a:noFill/>
                    <a:ln>
                      <a:noFill/>
                    </a:ln>
                    <a:extLst>
                      <a:ext uri="{53640926-AAD7-44D8-BBD7-CCE9431645EC}">
                        <a14:shadowObscured xmlns:a14="http://schemas.microsoft.com/office/drawing/2010/main"/>
                      </a:ext>
                    </a:extLst>
                  </pic:spPr>
                </pic:pic>
              </a:graphicData>
            </a:graphic>
          </wp:inline>
        </w:drawing>
      </w:r>
    </w:p>
    <w:p w:rsidR="004F7D03" w:rsidRPr="00427EE1" w:rsidRDefault="004F7D03" w:rsidP="00DE6971">
      <w:pPr>
        <w:pStyle w:val="Caption"/>
        <w:jc w:val="center"/>
      </w:pPr>
      <w:bookmarkStart w:id="38" w:name="_Ref457304734"/>
      <w:bookmarkStart w:id="39" w:name="_Toc481499860"/>
      <w:r w:rsidRPr="00427EE1">
        <w:t xml:space="preserve">Figure </w:t>
      </w:r>
      <w:r w:rsidR="00AC1A59" w:rsidRPr="00427EE1">
        <w:fldChar w:fldCharType="begin"/>
      </w:r>
      <w:r w:rsidR="00AC667E" w:rsidRPr="00427EE1">
        <w:instrText xml:space="preserve"> SEQ Figure \* ARABIC </w:instrText>
      </w:r>
      <w:r w:rsidR="00AC1A59" w:rsidRPr="00427EE1">
        <w:fldChar w:fldCharType="separate"/>
      </w:r>
      <w:r w:rsidR="00B30389">
        <w:rPr>
          <w:noProof/>
        </w:rPr>
        <w:t>4</w:t>
      </w:r>
      <w:r w:rsidR="00AC1A59" w:rsidRPr="00427EE1">
        <w:fldChar w:fldCharType="end"/>
      </w:r>
      <w:bookmarkEnd w:id="38"/>
      <w:r w:rsidRPr="00427EE1">
        <w:t>: Breakdown of complaints</w:t>
      </w:r>
      <w:r w:rsidR="006757E8">
        <w:t xml:space="preserve"> to VBA</w:t>
      </w:r>
      <w:r w:rsidRPr="00427EE1">
        <w:t xml:space="preserve">, July 2010 </w:t>
      </w:r>
      <w:r w:rsidR="00302ACB">
        <w:t xml:space="preserve">to </w:t>
      </w:r>
      <w:r w:rsidRPr="00427EE1">
        <w:t>June 2015</w:t>
      </w:r>
      <w:r w:rsidRPr="00427EE1">
        <w:rPr>
          <w:rStyle w:val="FootnoteReference"/>
        </w:rPr>
        <w:footnoteReference w:id="50"/>
      </w:r>
      <w:bookmarkEnd w:id="39"/>
    </w:p>
    <w:p w:rsidR="00E657D7" w:rsidRDefault="00E657D7" w:rsidP="000469E0">
      <w:pPr>
        <w:pStyle w:val="Normalpre-dotpoint"/>
      </w:pPr>
    </w:p>
    <w:p w:rsidR="004F7D03" w:rsidRPr="00427EE1" w:rsidRDefault="004F7D03" w:rsidP="000469E0">
      <w:pPr>
        <w:pStyle w:val="Normalpre-dotpoint"/>
      </w:pPr>
      <w:r w:rsidRPr="00427EE1">
        <w:t xml:space="preserve">In addition to complaints </w:t>
      </w:r>
      <w:r w:rsidR="00302ACB">
        <w:t xml:space="preserve">made </w:t>
      </w:r>
      <w:r w:rsidRPr="00427EE1">
        <w:t xml:space="preserve">to </w:t>
      </w:r>
      <w:r w:rsidR="00720C4E">
        <w:t>VBA</w:t>
      </w:r>
      <w:r w:rsidRPr="00427EE1">
        <w:t xml:space="preserve">, there were 1,620 appeals or disputes received by </w:t>
      </w:r>
      <w:r w:rsidR="00302ACB">
        <w:t xml:space="preserve">BAB </w:t>
      </w:r>
      <w:r w:rsidRPr="00427EE1">
        <w:t>between 2009</w:t>
      </w:r>
      <w:r w:rsidR="00302ACB">
        <w:t>–</w:t>
      </w:r>
      <w:r w:rsidRPr="00427EE1">
        <w:t>13 of which:</w:t>
      </w:r>
    </w:p>
    <w:p w:rsidR="004F7D03" w:rsidRPr="00427EE1" w:rsidRDefault="004F7D03" w:rsidP="000469E0">
      <w:pPr>
        <w:pStyle w:val="Dotpoint"/>
      </w:pPr>
      <w:r w:rsidRPr="00427EE1">
        <w:t>46</w:t>
      </w:r>
      <w:r w:rsidR="00D90FC3">
        <w:t>%</w:t>
      </w:r>
      <w:r w:rsidRPr="00427EE1">
        <w:t xml:space="preserve"> related to siting issues</w:t>
      </w:r>
    </w:p>
    <w:p w:rsidR="004F7D03" w:rsidRPr="00427EE1" w:rsidRDefault="004F7D03" w:rsidP="000469E0">
      <w:pPr>
        <w:pStyle w:val="Dotpoint"/>
      </w:pPr>
      <w:r w:rsidRPr="00427EE1">
        <w:t>25</w:t>
      </w:r>
      <w:r w:rsidR="00D90FC3">
        <w:t>%</w:t>
      </w:r>
      <w:r w:rsidRPr="00427EE1">
        <w:t xml:space="preserve"> related to building work</w:t>
      </w:r>
    </w:p>
    <w:p w:rsidR="004F7D03" w:rsidRPr="00427EE1" w:rsidRDefault="004F7D03" w:rsidP="000469E0">
      <w:pPr>
        <w:pStyle w:val="Dotpoint"/>
      </w:pPr>
      <w:r w:rsidRPr="00427EE1">
        <w:t>16</w:t>
      </w:r>
      <w:r w:rsidR="00D90FC3">
        <w:t>%</w:t>
      </w:r>
      <w:r w:rsidRPr="00427EE1">
        <w:t xml:space="preserve"> related to protection work</w:t>
      </w:r>
    </w:p>
    <w:p w:rsidR="004F7D03" w:rsidRPr="00427EE1" w:rsidRDefault="004F7D03" w:rsidP="000469E0">
      <w:pPr>
        <w:pStyle w:val="Dotpoint"/>
      </w:pPr>
      <w:r w:rsidRPr="00427EE1">
        <w:t>11</w:t>
      </w:r>
      <w:r w:rsidR="00D90FC3">
        <w:t>%</w:t>
      </w:r>
      <w:r w:rsidRPr="00427EE1">
        <w:t xml:space="preserve"> related to </w:t>
      </w:r>
      <w:r w:rsidR="00513F42" w:rsidRPr="00427EE1">
        <w:t xml:space="preserve">decisions of the Building Practitioners Board (which </w:t>
      </w:r>
      <w:r w:rsidR="00B27F8D" w:rsidRPr="00427EE1">
        <w:t>was</w:t>
      </w:r>
      <w:r w:rsidR="00513F42" w:rsidRPr="00427EE1">
        <w:t xml:space="preserve"> </w:t>
      </w:r>
      <w:r w:rsidR="00B27F8D" w:rsidRPr="00427EE1">
        <w:t>abolished</w:t>
      </w:r>
      <w:r w:rsidR="00513F42" w:rsidRPr="00427EE1">
        <w:t xml:space="preserve"> and its functions transferred to </w:t>
      </w:r>
      <w:r w:rsidR="00720C4E">
        <w:t>VBA</w:t>
      </w:r>
      <w:r w:rsidR="00513F42" w:rsidRPr="00427EE1">
        <w:t xml:space="preserve"> on 1 September 2016)</w:t>
      </w:r>
    </w:p>
    <w:p w:rsidR="004F7D03" w:rsidRPr="00427EE1" w:rsidRDefault="004F7D03" w:rsidP="000469E0">
      <w:pPr>
        <w:pStyle w:val="Dotpointlast"/>
      </w:pPr>
      <w:r w:rsidRPr="00427EE1">
        <w:t>1</w:t>
      </w:r>
      <w:r w:rsidR="00D90FC3">
        <w:t>%</w:t>
      </w:r>
      <w:r w:rsidRPr="00427EE1">
        <w:t xml:space="preserve"> related to permits.</w:t>
      </w:r>
    </w:p>
    <w:p w:rsidR="004F7D03" w:rsidRPr="00427EE1" w:rsidRDefault="00D74D16" w:rsidP="000469E0">
      <w:r w:rsidRPr="00427EE1">
        <w:t>T</w:t>
      </w:r>
      <w:r w:rsidR="004F7D03" w:rsidRPr="00427EE1">
        <w:t xml:space="preserve">his indicates that siting </w:t>
      </w:r>
      <w:r w:rsidRPr="00427EE1">
        <w:t xml:space="preserve">complaints </w:t>
      </w:r>
      <w:r w:rsidR="004F7D03" w:rsidRPr="00427EE1">
        <w:t xml:space="preserve">are common with respect to the </w:t>
      </w:r>
      <w:r w:rsidR="008911CB">
        <w:t>Regulations</w:t>
      </w:r>
      <w:r w:rsidRPr="00427EE1">
        <w:t>, al</w:t>
      </w:r>
      <w:r w:rsidR="004F7D03" w:rsidRPr="00427EE1">
        <w:t xml:space="preserve">though it should be noted that siting disputes may </w:t>
      </w:r>
      <w:r w:rsidRPr="00427EE1">
        <w:t xml:space="preserve">arise </w:t>
      </w:r>
      <w:r w:rsidR="004F7D03" w:rsidRPr="00427EE1">
        <w:t xml:space="preserve">in relation to the planning system as well as the </w:t>
      </w:r>
      <w:r w:rsidR="008911CB">
        <w:t>Regulations</w:t>
      </w:r>
      <w:r w:rsidR="004F7D03" w:rsidRPr="00427EE1">
        <w:t xml:space="preserve">. Building work issues (relating to defective, </w:t>
      </w:r>
      <w:r w:rsidR="0023395A">
        <w:t>non</w:t>
      </w:r>
      <w:r w:rsidR="004F7D03" w:rsidRPr="00427EE1">
        <w:t xml:space="preserve">compliant or incomplete work) comprised a higher share of appeals </w:t>
      </w:r>
      <w:r w:rsidRPr="00427EE1">
        <w:t>and</w:t>
      </w:r>
      <w:r w:rsidR="004F7D03" w:rsidRPr="00427EE1">
        <w:t xml:space="preserve"> disputes to </w:t>
      </w:r>
      <w:r w:rsidR="00302ACB">
        <w:t xml:space="preserve">BAB </w:t>
      </w:r>
      <w:r w:rsidR="004F7D03" w:rsidRPr="00427EE1">
        <w:t xml:space="preserve">compared to complaints made to </w:t>
      </w:r>
      <w:r w:rsidR="00720C4E">
        <w:t>VBA</w:t>
      </w:r>
      <w:r w:rsidR="004F7D03" w:rsidRPr="00427EE1">
        <w:t xml:space="preserve"> (25</w:t>
      </w:r>
      <w:r w:rsidR="004E083D">
        <w:t>%</w:t>
      </w:r>
      <w:r w:rsidR="004F7D03" w:rsidRPr="00427EE1">
        <w:t xml:space="preserve"> compared to 14</w:t>
      </w:r>
      <w:r w:rsidR="004E083D">
        <w:t>%</w:t>
      </w:r>
      <w:r w:rsidR="004F7D03" w:rsidRPr="00427EE1">
        <w:t>).</w:t>
      </w:r>
    </w:p>
    <w:p w:rsidR="005D52B9" w:rsidRDefault="005D52B9" w:rsidP="00FB5841">
      <w:pPr>
        <w:pStyle w:val="Normalpre-dotpoint"/>
      </w:pPr>
    </w:p>
    <w:p w:rsidR="004242BD" w:rsidRPr="00427EE1" w:rsidRDefault="004242BD" w:rsidP="00FB5841">
      <w:pPr>
        <w:pStyle w:val="Normalpre-dotpoint"/>
        <w:sectPr w:rsidR="004242BD" w:rsidRPr="00427EE1" w:rsidSect="004242BD">
          <w:footerReference w:type="default" r:id="rId27"/>
          <w:pgSz w:w="11907" w:h="16840" w:code="9"/>
          <w:pgMar w:top="1418" w:right="1843" w:bottom="1134" w:left="1843" w:header="567" w:footer="684" w:gutter="0"/>
          <w:pgNumType w:start="1"/>
          <w:cols w:space="227"/>
          <w:docGrid w:linePitch="286"/>
        </w:sectPr>
      </w:pPr>
    </w:p>
    <w:p w:rsidR="004F7D03" w:rsidRPr="00427EE1" w:rsidRDefault="003448D2" w:rsidP="003448D2">
      <w:pPr>
        <w:pStyle w:val="Heading1"/>
      </w:pPr>
      <w:bookmarkStart w:id="40" w:name="_Toc476063796"/>
      <w:bookmarkStart w:id="41" w:name="_Toc476064157"/>
      <w:bookmarkStart w:id="42" w:name="_Toc473724574"/>
      <w:bookmarkStart w:id="43" w:name="_Toc476064158"/>
      <w:bookmarkStart w:id="44" w:name="_Toc481501570"/>
      <w:bookmarkEnd w:id="40"/>
      <w:bookmarkEnd w:id="41"/>
      <w:r>
        <w:lastRenderedPageBreak/>
        <w:t>2</w:t>
      </w:r>
      <w:r>
        <w:tab/>
      </w:r>
      <w:r w:rsidR="004F7D03" w:rsidRPr="00427EE1">
        <w:t xml:space="preserve">Objectives and </w:t>
      </w:r>
      <w:r w:rsidR="007837CC">
        <w:t>a</w:t>
      </w:r>
      <w:r w:rsidR="004F7D03" w:rsidRPr="00427EE1">
        <w:t xml:space="preserve">reas of </w:t>
      </w:r>
      <w:r w:rsidR="007837CC">
        <w:t>f</w:t>
      </w:r>
      <w:r w:rsidR="004F7D03" w:rsidRPr="00427EE1">
        <w:t>ocus</w:t>
      </w:r>
      <w:bookmarkEnd w:id="42"/>
      <w:bookmarkEnd w:id="43"/>
      <w:bookmarkEnd w:id="44"/>
    </w:p>
    <w:p w:rsidR="004F7D03" w:rsidRPr="00427EE1" w:rsidRDefault="003448D2" w:rsidP="00C14778">
      <w:pPr>
        <w:pStyle w:val="Heading2"/>
      </w:pPr>
      <w:bookmarkStart w:id="45" w:name="_Toc481501571"/>
      <w:r>
        <w:t>2.1</w:t>
      </w:r>
      <w:r>
        <w:tab/>
      </w:r>
      <w:r w:rsidR="004F7D03" w:rsidRPr="00427EE1">
        <w:t>Objectives of the proposed Regulations</w:t>
      </w:r>
      <w:bookmarkEnd w:id="45"/>
    </w:p>
    <w:p w:rsidR="004F7D03" w:rsidRPr="00427EE1" w:rsidRDefault="004F7D03" w:rsidP="00185580">
      <w:pPr>
        <w:pStyle w:val="Normalpre-dotpoint"/>
      </w:pPr>
      <w:r w:rsidRPr="00427EE1">
        <w:t xml:space="preserve">The </w:t>
      </w:r>
      <w:r w:rsidR="00AC1A59" w:rsidRPr="00AC1A59">
        <w:rPr>
          <w:i/>
          <w:szCs w:val="20"/>
        </w:rPr>
        <w:t>Victorian Guide to Regulation</w:t>
      </w:r>
      <w:r w:rsidRPr="00427EE1">
        <w:t xml:space="preserve"> requires that regulation is:</w:t>
      </w:r>
    </w:p>
    <w:p w:rsidR="004F7D03" w:rsidRPr="00427EE1" w:rsidRDefault="006A1733" w:rsidP="00185580">
      <w:pPr>
        <w:pStyle w:val="Dotpoint"/>
      </w:pPr>
      <w:r>
        <w:t>e</w:t>
      </w:r>
      <w:r w:rsidR="004F7D03" w:rsidRPr="00427EE1">
        <w:t>ffective in addressing the underlying causes of harm</w:t>
      </w:r>
    </w:p>
    <w:p w:rsidR="004F7D03" w:rsidRPr="00427EE1" w:rsidRDefault="006A1733" w:rsidP="00185580">
      <w:pPr>
        <w:pStyle w:val="Dotpoint"/>
      </w:pPr>
      <w:r>
        <w:t>c</w:t>
      </w:r>
      <w:r w:rsidR="004F7D03" w:rsidRPr="00427EE1">
        <w:t>ost</w:t>
      </w:r>
      <w:r w:rsidR="007C5A88">
        <w:t>-</w:t>
      </w:r>
      <w:r w:rsidR="004F7D03" w:rsidRPr="00427EE1">
        <w:t>effective</w:t>
      </w:r>
    </w:p>
    <w:p w:rsidR="004F7D03" w:rsidRPr="00427EE1" w:rsidRDefault="006A1733" w:rsidP="00185580">
      <w:pPr>
        <w:pStyle w:val="Dotpoint"/>
      </w:pPr>
      <w:r>
        <w:t>p</w:t>
      </w:r>
      <w:r w:rsidR="004F7D03" w:rsidRPr="00427EE1">
        <w:t>roportionate to the harm or risk to the community</w:t>
      </w:r>
    </w:p>
    <w:p w:rsidR="004F7D03" w:rsidRPr="00427EE1" w:rsidRDefault="006A1733" w:rsidP="00185580">
      <w:pPr>
        <w:pStyle w:val="Dotpoint"/>
      </w:pPr>
      <w:r>
        <w:t>f</w:t>
      </w:r>
      <w:r w:rsidR="004F7D03" w:rsidRPr="00427EE1">
        <w:t>lexible to accommodate changes in technology, markets, risks and community views</w:t>
      </w:r>
    </w:p>
    <w:p w:rsidR="004F7D03" w:rsidRPr="00427EE1" w:rsidRDefault="006A1733" w:rsidP="00185580">
      <w:pPr>
        <w:pStyle w:val="Dotpoint"/>
      </w:pPr>
      <w:r>
        <w:t>c</w:t>
      </w:r>
      <w:r w:rsidR="004F7D03" w:rsidRPr="00427EE1">
        <w:t xml:space="preserve">onsistent with </w:t>
      </w:r>
      <w:r>
        <w:t>the g</w:t>
      </w:r>
      <w:r w:rsidR="004F7D03" w:rsidRPr="00427EE1">
        <w:t>overnment’s priorities to enhance Victoria’s liveability and growth in productivity and employment</w:t>
      </w:r>
    </w:p>
    <w:p w:rsidR="004F7D03" w:rsidRPr="00427EE1" w:rsidRDefault="006A1733" w:rsidP="00185580">
      <w:pPr>
        <w:pStyle w:val="Dotpoint"/>
      </w:pPr>
      <w:r>
        <w:t>c</w:t>
      </w:r>
      <w:r w:rsidR="004F7D03" w:rsidRPr="00427EE1">
        <w:t xml:space="preserve">onsistent across </w:t>
      </w:r>
      <w:r>
        <w:t>the g</w:t>
      </w:r>
      <w:r w:rsidR="004F7D03" w:rsidRPr="00427EE1">
        <w:t>overnment to avoid unnecessary overlap and duplication</w:t>
      </w:r>
    </w:p>
    <w:p w:rsidR="004F7D03" w:rsidRPr="00427EE1" w:rsidRDefault="006A1733" w:rsidP="00185580">
      <w:pPr>
        <w:pStyle w:val="Dotpointlast"/>
      </w:pPr>
      <w:r>
        <w:t>c</w:t>
      </w:r>
      <w:r w:rsidR="004F7D03" w:rsidRPr="00427EE1">
        <w:t xml:space="preserve">lear and easily </w:t>
      </w:r>
      <w:r>
        <w:t xml:space="preserve">to understand </w:t>
      </w:r>
      <w:r w:rsidR="004F7D03" w:rsidRPr="00427EE1">
        <w:t xml:space="preserve">by business and </w:t>
      </w:r>
      <w:r>
        <w:t xml:space="preserve">the </w:t>
      </w:r>
      <w:r w:rsidR="004F7D03" w:rsidRPr="00427EE1">
        <w:t>community.</w:t>
      </w:r>
    </w:p>
    <w:p w:rsidR="004F7D03" w:rsidRPr="00427EE1" w:rsidRDefault="004F7D03" w:rsidP="00185580">
      <w:pPr>
        <w:pStyle w:val="Normalpre-dotpoint"/>
      </w:pPr>
      <w:r w:rsidRPr="00427EE1">
        <w:t>The regulatory analysis supporting th</w:t>
      </w:r>
      <w:r w:rsidR="005E2285">
        <w:t>e</w:t>
      </w:r>
      <w:r w:rsidRPr="00427EE1">
        <w:t xml:space="preserve"> RIS has examined the effectiveness of the </w:t>
      </w:r>
      <w:r w:rsidR="008911CB">
        <w:t>current</w:t>
      </w:r>
      <w:r w:rsidR="008911CB" w:rsidRPr="00427EE1">
        <w:t xml:space="preserve"> </w:t>
      </w:r>
      <w:r w:rsidR="008911CB">
        <w:t>Regulations</w:t>
      </w:r>
      <w:r w:rsidR="00D71A15" w:rsidRPr="00427EE1">
        <w:t xml:space="preserve"> </w:t>
      </w:r>
      <w:r w:rsidRPr="00427EE1">
        <w:t xml:space="preserve">in the context of the broader building framework and objectives </w:t>
      </w:r>
      <w:r w:rsidR="006A1733">
        <w:t>in</w:t>
      </w:r>
      <w:r w:rsidRPr="00427EE1">
        <w:t xml:space="preserve"> the Act, which are</w:t>
      </w:r>
      <w:r w:rsidR="006A1733">
        <w:t xml:space="preserve"> to</w:t>
      </w:r>
      <w:r w:rsidRPr="00427EE1">
        <w:t>:</w:t>
      </w:r>
    </w:p>
    <w:p w:rsidR="00E657D7" w:rsidRDefault="004F7D03">
      <w:pPr>
        <w:pStyle w:val="Dotpoint"/>
      </w:pPr>
      <w:r w:rsidRPr="00427EE1">
        <w:t xml:space="preserve">protect the safety and health of people who use </w:t>
      </w:r>
      <w:hyperlink r:id="rId28" w:anchor="building" w:history="1">
        <w:r w:rsidRPr="00427EE1">
          <w:t>buildings</w:t>
        </w:r>
      </w:hyperlink>
      <w:r w:rsidRPr="00427EE1">
        <w:t xml:space="preserve"> and </w:t>
      </w:r>
      <w:proofErr w:type="spellStart"/>
      <w:r w:rsidR="006A1733">
        <w:t>PoPEs</w:t>
      </w:r>
      <w:proofErr w:type="spellEnd"/>
      <w:r w:rsidR="006A1733">
        <w:t xml:space="preserve"> </w:t>
      </w:r>
    </w:p>
    <w:p w:rsidR="00E657D7" w:rsidRDefault="006A1733">
      <w:pPr>
        <w:pStyle w:val="Dotpoint"/>
      </w:pPr>
      <w:r>
        <w:t>e</w:t>
      </w:r>
      <w:r w:rsidR="004F7D03" w:rsidRPr="00427EE1">
        <w:t xml:space="preserve">nhance the amenity of </w:t>
      </w:r>
      <w:hyperlink r:id="rId29" w:anchor="building" w:history="1">
        <w:r w:rsidR="004F7D03" w:rsidRPr="00427EE1">
          <w:t>buildings</w:t>
        </w:r>
      </w:hyperlink>
    </w:p>
    <w:p w:rsidR="00E657D7" w:rsidRDefault="004F7D03">
      <w:pPr>
        <w:pStyle w:val="Dotpoint"/>
      </w:pPr>
      <w:r w:rsidRPr="00427EE1">
        <w:t xml:space="preserve">facilitate the adoption and efficient application of national </w:t>
      </w:r>
      <w:hyperlink r:id="rId30" w:anchor="building" w:history="1">
        <w:r w:rsidRPr="00427EE1">
          <w:t>building</w:t>
        </w:r>
      </w:hyperlink>
      <w:r w:rsidRPr="00427EE1">
        <w:t xml:space="preserve"> standards</w:t>
      </w:r>
      <w:r w:rsidR="00E93C02" w:rsidRPr="00427EE1">
        <w:t>;</w:t>
      </w:r>
    </w:p>
    <w:p w:rsidR="00E657D7" w:rsidRDefault="004F7D03">
      <w:pPr>
        <w:pStyle w:val="Dotpoint"/>
      </w:pPr>
      <w:r w:rsidRPr="00427EE1">
        <w:t>facilitate the cost</w:t>
      </w:r>
      <w:r w:rsidR="007C5A88">
        <w:t>-</w:t>
      </w:r>
      <w:r w:rsidRPr="00427EE1">
        <w:t xml:space="preserve">effective </w:t>
      </w:r>
      <w:hyperlink r:id="rId31" w:anchor="construct" w:history="1">
        <w:r w:rsidRPr="00427EE1">
          <w:t>construction</w:t>
        </w:r>
      </w:hyperlink>
      <w:r w:rsidRPr="00427EE1">
        <w:t xml:space="preserve"> and maintenance of </w:t>
      </w:r>
      <w:hyperlink r:id="rId32" w:anchor="building" w:history="1">
        <w:r w:rsidRPr="00427EE1">
          <w:t>building</w:t>
        </w:r>
      </w:hyperlink>
      <w:r w:rsidRPr="00427EE1">
        <w:t xml:space="preserve"> (and plumbing) systems</w:t>
      </w:r>
    </w:p>
    <w:p w:rsidR="00E657D7" w:rsidRDefault="004F7D03">
      <w:pPr>
        <w:pStyle w:val="Dotpoint"/>
      </w:pPr>
      <w:r w:rsidRPr="00427EE1">
        <w:t xml:space="preserve">facilitate the </w:t>
      </w:r>
      <w:hyperlink r:id="rId33" w:anchor="construct" w:history="1">
        <w:r w:rsidRPr="00427EE1">
          <w:t>construction</w:t>
        </w:r>
      </w:hyperlink>
      <w:r w:rsidRPr="00427EE1">
        <w:t xml:space="preserve"> of environmentally and energy</w:t>
      </w:r>
      <w:r w:rsidR="007C5A88">
        <w:t>-</w:t>
      </w:r>
      <w:r w:rsidRPr="00427EE1">
        <w:t xml:space="preserve">efficient </w:t>
      </w:r>
      <w:hyperlink r:id="rId34" w:anchor="building" w:history="1">
        <w:r w:rsidRPr="00427EE1">
          <w:t>buildings</w:t>
        </w:r>
      </w:hyperlink>
    </w:p>
    <w:p w:rsidR="00E657D7" w:rsidRDefault="004F7D03">
      <w:pPr>
        <w:pStyle w:val="Dotpointlast"/>
      </w:pPr>
      <w:r w:rsidRPr="00427EE1">
        <w:t xml:space="preserve">aid the achievement of an efficient and competitive </w:t>
      </w:r>
      <w:hyperlink r:id="rId35" w:anchor="building" w:history="1">
        <w:r w:rsidRPr="00427EE1">
          <w:t>building</w:t>
        </w:r>
      </w:hyperlink>
      <w:r w:rsidRPr="00427EE1">
        <w:t xml:space="preserve"> (and plumbing) industry.</w:t>
      </w:r>
    </w:p>
    <w:p w:rsidR="00D615BC" w:rsidRPr="00427EE1" w:rsidRDefault="00854EF0" w:rsidP="00185580">
      <w:r w:rsidRPr="00427EE1">
        <w:t>The b</w:t>
      </w:r>
      <w:r w:rsidR="004F7D03" w:rsidRPr="00427EE1">
        <w:t xml:space="preserve">uilding </w:t>
      </w:r>
      <w:r w:rsidR="008911CB">
        <w:t>Regulations</w:t>
      </w:r>
      <w:r w:rsidR="004F7D03" w:rsidRPr="00427EE1">
        <w:t xml:space="preserve"> do not regulate matters relating to plumbing. These are dealt with in the Plumbing Regulations 2008.</w:t>
      </w:r>
    </w:p>
    <w:p w:rsidR="004F7D03" w:rsidRPr="00427EE1" w:rsidRDefault="003448D2" w:rsidP="00C14778">
      <w:pPr>
        <w:pStyle w:val="Heading2"/>
      </w:pPr>
      <w:bookmarkStart w:id="46" w:name="_Toc481501572"/>
      <w:r>
        <w:t>2.2</w:t>
      </w:r>
      <w:r>
        <w:tab/>
      </w:r>
      <w:r w:rsidR="008475D9">
        <w:t>RIS a</w:t>
      </w:r>
      <w:r w:rsidR="004F7D03" w:rsidRPr="00427EE1">
        <w:t>reas of focus</w:t>
      </w:r>
      <w:bookmarkEnd w:id="46"/>
    </w:p>
    <w:p w:rsidR="00D615BC" w:rsidRPr="00427EE1" w:rsidRDefault="004F7D03" w:rsidP="00185580">
      <w:r w:rsidRPr="00427EE1">
        <w:t xml:space="preserve">‘Sunsetting’ requires a </w:t>
      </w:r>
      <w:r w:rsidR="008911CB">
        <w:t>R</w:t>
      </w:r>
      <w:r w:rsidRPr="00427EE1">
        <w:t xml:space="preserve">egulation to </w:t>
      </w:r>
      <w:r w:rsidRPr="00427EE1">
        <w:rPr>
          <w:rFonts w:eastAsia="Calibri"/>
        </w:rPr>
        <w:t>be</w:t>
      </w:r>
      <w:r w:rsidRPr="00427EE1">
        <w:t xml:space="preserve"> re</w:t>
      </w:r>
      <w:r w:rsidR="007C5A88">
        <w:t>made</w:t>
      </w:r>
      <w:r w:rsidRPr="00427EE1">
        <w:t xml:space="preserve"> after 10 years or it </w:t>
      </w:r>
      <w:r w:rsidR="0017064E">
        <w:t>is</w:t>
      </w:r>
      <w:r w:rsidR="0017064E" w:rsidRPr="00427EE1">
        <w:t xml:space="preserve"> </w:t>
      </w:r>
      <w:r w:rsidRPr="00427EE1">
        <w:t xml:space="preserve">automatically </w:t>
      </w:r>
      <w:r w:rsidR="0017064E">
        <w:t>revoked</w:t>
      </w:r>
      <w:r w:rsidRPr="00427EE1">
        <w:t xml:space="preserve">. In Victoria, all </w:t>
      </w:r>
      <w:r w:rsidR="008911CB">
        <w:t>Regulations</w:t>
      </w:r>
      <w:r w:rsidRPr="00427EE1">
        <w:t xml:space="preserve"> </w:t>
      </w:r>
      <w:r w:rsidR="0017064E">
        <w:t xml:space="preserve">are </w:t>
      </w:r>
      <w:r w:rsidRPr="00427EE1">
        <w:t>automatically revoke</w:t>
      </w:r>
      <w:r w:rsidR="0017064E">
        <w:t>d</w:t>
      </w:r>
      <w:r w:rsidRPr="00427EE1">
        <w:t xml:space="preserve"> after </w:t>
      </w:r>
      <w:r w:rsidR="00E754CA">
        <w:t>10</w:t>
      </w:r>
      <w:r w:rsidR="00E754CA" w:rsidRPr="00427EE1">
        <w:t xml:space="preserve"> </w:t>
      </w:r>
      <w:r w:rsidRPr="00427EE1">
        <w:t xml:space="preserve">years in accordance with </w:t>
      </w:r>
      <w:r w:rsidR="0023395A">
        <w:t xml:space="preserve">s </w:t>
      </w:r>
      <w:r w:rsidRPr="00427EE1">
        <w:t xml:space="preserve">5 of the </w:t>
      </w:r>
      <w:r w:rsidRPr="00427EE1">
        <w:rPr>
          <w:i/>
        </w:rPr>
        <w:t>Subordinate Legislation Act 1994</w:t>
      </w:r>
      <w:r w:rsidRPr="00427EE1">
        <w:t>.</w:t>
      </w:r>
    </w:p>
    <w:p w:rsidR="00D615BC" w:rsidRPr="00427EE1" w:rsidRDefault="004F7D03" w:rsidP="00185580">
      <w:r w:rsidRPr="00427EE1">
        <w:t xml:space="preserve">The </w:t>
      </w:r>
      <w:r w:rsidR="0017064E">
        <w:t>c</w:t>
      </w:r>
      <w:r w:rsidR="00195602">
        <w:t>urrent Regulations</w:t>
      </w:r>
      <w:r w:rsidRPr="00427EE1">
        <w:rPr>
          <w:i/>
        </w:rPr>
        <w:t xml:space="preserve"> </w:t>
      </w:r>
      <w:r w:rsidRPr="00427EE1">
        <w:t xml:space="preserve">were due to sunset on 6 June 2016. </w:t>
      </w:r>
      <w:r w:rsidRPr="00427EE1">
        <w:rPr>
          <w:rFonts w:eastAsia="Calibri"/>
          <w:sz w:val="22"/>
        </w:rPr>
        <w:t>I</w:t>
      </w:r>
      <w:r w:rsidRPr="00427EE1">
        <w:rPr>
          <w:sz w:val="22"/>
        </w:rPr>
        <w:t xml:space="preserve">n </w:t>
      </w:r>
      <w:r w:rsidRPr="00427EE1">
        <w:t>February 2016, the Subordinate Legislation (Building Regulations) Extension Regulations 2016 were made</w:t>
      </w:r>
      <w:r w:rsidR="0017064E">
        <w:t>,</w:t>
      </w:r>
      <w:r w:rsidRPr="00427EE1">
        <w:t xml:space="preserve"> extending the operation of the </w:t>
      </w:r>
      <w:r w:rsidR="00E657D7">
        <w:t>c</w:t>
      </w:r>
      <w:r w:rsidR="00195602">
        <w:t>urrent Regulations</w:t>
      </w:r>
      <w:r w:rsidR="00854EF0" w:rsidRPr="00427EE1">
        <w:t xml:space="preserve"> </w:t>
      </w:r>
      <w:r w:rsidRPr="00427EE1">
        <w:t xml:space="preserve">until </w:t>
      </w:r>
      <w:r w:rsidRPr="00427EE1">
        <w:rPr>
          <w:bCs/>
        </w:rPr>
        <w:t>5 June 2017</w:t>
      </w:r>
      <w:r w:rsidRPr="00427EE1">
        <w:t>.</w:t>
      </w:r>
      <w:r w:rsidR="00546F98">
        <w:t xml:space="preserve"> Interim Regulations are being prepared to extend these Regulations until 5 June 2018. However, the government intends </w:t>
      </w:r>
      <w:r w:rsidR="00546F98" w:rsidRPr="00E84AF4">
        <w:t xml:space="preserve">to </w:t>
      </w:r>
      <w:r w:rsidR="00546F98">
        <w:t>make</w:t>
      </w:r>
      <w:r w:rsidR="00546F98" w:rsidRPr="00E84AF4">
        <w:t xml:space="preserve"> </w:t>
      </w:r>
      <w:r w:rsidR="00546F98">
        <w:t>replacement Regulations</w:t>
      </w:r>
      <w:r w:rsidR="00546F98" w:rsidRPr="00533372">
        <w:t xml:space="preserve"> </w:t>
      </w:r>
      <w:r w:rsidR="00546F98">
        <w:t>well ahead of the June 2018 expiry of the interim Regulations.</w:t>
      </w:r>
    </w:p>
    <w:p w:rsidR="004F7D03" w:rsidRPr="00427EE1" w:rsidRDefault="004F7D03" w:rsidP="00185580">
      <w:r w:rsidRPr="00427EE1">
        <w:t xml:space="preserve">The rationale </w:t>
      </w:r>
      <w:r w:rsidR="0017064E">
        <w:t xml:space="preserve">for </w:t>
      </w:r>
      <w:r w:rsidRPr="00427EE1">
        <w:t>sunsetting is that much regulation inevitably has a use</w:t>
      </w:r>
      <w:r w:rsidR="00181511">
        <w:t>-by date</w:t>
      </w:r>
      <w:r w:rsidRPr="00427EE1">
        <w:t xml:space="preserve">, when it is no longer needed or will require significant modification. </w:t>
      </w:r>
      <w:r w:rsidRPr="00427EE1">
        <w:rPr>
          <w:rFonts w:eastAsia="Calibri"/>
        </w:rPr>
        <w:t>Regulations</w:t>
      </w:r>
      <w:r w:rsidRPr="00427EE1">
        <w:t xml:space="preserve"> may easily become out</w:t>
      </w:r>
      <w:r w:rsidR="0017064E">
        <w:t>-</w:t>
      </w:r>
      <w:r w:rsidRPr="00427EE1">
        <w:t>of</w:t>
      </w:r>
      <w:r w:rsidR="0017064E">
        <w:t>-</w:t>
      </w:r>
      <w:r w:rsidRPr="00427EE1">
        <w:t>date and create unnecessary burdens on citizens and businesses.</w:t>
      </w:r>
      <w:r w:rsidRPr="00427EE1">
        <w:rPr>
          <w:sz w:val="21"/>
          <w:vertAlign w:val="superscript"/>
        </w:rPr>
        <w:footnoteReference w:id="51"/>
      </w:r>
    </w:p>
    <w:p w:rsidR="00D615BC" w:rsidRPr="00427EE1" w:rsidRDefault="004F7D03" w:rsidP="00185580">
      <w:r w:rsidRPr="00427EE1">
        <w:lastRenderedPageBreak/>
        <w:t xml:space="preserve">The objective of a mandated ten-year sunsetting provision is to ensure </w:t>
      </w:r>
      <w:r w:rsidR="0017064E">
        <w:t xml:space="preserve">every </w:t>
      </w:r>
      <w:r w:rsidR="008911CB">
        <w:t>Regulation</w:t>
      </w:r>
      <w:r w:rsidRPr="00427EE1">
        <w:t xml:space="preserve"> </w:t>
      </w:r>
      <w:r w:rsidR="0017064E">
        <w:t xml:space="preserve">is </w:t>
      </w:r>
      <w:r w:rsidRPr="00427EE1">
        <w:t xml:space="preserve">regularly reviewed in order to </w:t>
      </w:r>
      <w:r w:rsidR="0017064E">
        <w:t xml:space="preserve">examine if it </w:t>
      </w:r>
      <w:r w:rsidRPr="00427EE1">
        <w:t xml:space="preserve">is still required and, if it is, how it might be </w:t>
      </w:r>
      <w:r w:rsidRPr="00427EE1">
        <w:rPr>
          <w:rFonts w:eastAsia="Calibri"/>
        </w:rPr>
        <w:t>improved</w:t>
      </w:r>
      <w:r w:rsidRPr="00427EE1">
        <w:t xml:space="preserve"> to better achieve the desired benefits and/or reduce the cost it imposes.</w:t>
      </w:r>
    </w:p>
    <w:p w:rsidR="004F7D03" w:rsidRPr="00E657D7" w:rsidRDefault="004F7D03" w:rsidP="00185580">
      <w:pPr>
        <w:rPr>
          <w:rFonts w:eastAsia="Calibri"/>
          <w:szCs w:val="20"/>
        </w:rPr>
      </w:pPr>
      <w:r w:rsidRPr="00E657D7">
        <w:rPr>
          <w:rFonts w:eastAsia="Calibri"/>
          <w:szCs w:val="20"/>
        </w:rPr>
        <w:t xml:space="preserve">A RIS for sunsetting </w:t>
      </w:r>
      <w:r w:rsidR="008911CB" w:rsidRPr="00E657D7">
        <w:rPr>
          <w:rFonts w:eastAsia="Calibri"/>
          <w:szCs w:val="20"/>
        </w:rPr>
        <w:t>Regulations</w:t>
      </w:r>
      <w:r w:rsidRPr="00E657D7">
        <w:rPr>
          <w:rFonts w:eastAsia="Calibri"/>
          <w:szCs w:val="20"/>
        </w:rPr>
        <w:t xml:space="preserve"> should contain sufficient information to allow a decision to be made about whether the existing regulatory measure is still required, </w:t>
      </w:r>
      <w:r w:rsidR="0017064E" w:rsidRPr="00E657D7">
        <w:rPr>
          <w:rFonts w:eastAsia="Calibri"/>
          <w:szCs w:val="20"/>
        </w:rPr>
        <w:t xml:space="preserve">or </w:t>
      </w:r>
      <w:r w:rsidRPr="00E657D7">
        <w:rPr>
          <w:rFonts w:eastAsia="Calibri"/>
          <w:szCs w:val="20"/>
        </w:rPr>
        <w:t>should be modified, or whether other options are more appropriate.</w:t>
      </w:r>
      <w:r w:rsidRPr="00E657D7">
        <w:rPr>
          <w:rFonts w:eastAsia="Calibri"/>
          <w:szCs w:val="20"/>
          <w:vertAlign w:val="superscript"/>
        </w:rPr>
        <w:footnoteReference w:id="52"/>
      </w:r>
      <w:r w:rsidR="00D71A15" w:rsidRPr="00E657D7">
        <w:rPr>
          <w:rFonts w:eastAsia="Calibri"/>
          <w:szCs w:val="20"/>
        </w:rPr>
        <w:t xml:space="preserve"> </w:t>
      </w:r>
      <w:r w:rsidR="00AC1A59" w:rsidRPr="00E657D7">
        <w:rPr>
          <w:rFonts w:eastAsia="Calibri"/>
          <w:szCs w:val="20"/>
        </w:rPr>
        <w:t>Given the scale and scope of the current Regulations</w:t>
      </w:r>
      <w:r w:rsidR="0017064E" w:rsidRPr="00E657D7">
        <w:rPr>
          <w:rFonts w:eastAsia="Calibri"/>
          <w:szCs w:val="20"/>
        </w:rPr>
        <w:t>,</w:t>
      </w:r>
      <w:r w:rsidR="00AC1A59" w:rsidRPr="00E657D7">
        <w:rPr>
          <w:rFonts w:eastAsia="Calibri"/>
          <w:szCs w:val="20"/>
        </w:rPr>
        <w:t xml:space="preserve"> </w:t>
      </w:r>
      <w:r w:rsidR="0017064E" w:rsidRPr="00E657D7">
        <w:rPr>
          <w:rFonts w:eastAsia="Calibri"/>
          <w:szCs w:val="20"/>
        </w:rPr>
        <w:t xml:space="preserve">and </w:t>
      </w:r>
      <w:r w:rsidR="00AC1A59" w:rsidRPr="00E657D7">
        <w:rPr>
          <w:rFonts w:eastAsia="Calibri"/>
          <w:szCs w:val="20"/>
        </w:rPr>
        <w:t xml:space="preserve">that </w:t>
      </w:r>
      <w:r w:rsidR="0017064E" w:rsidRPr="00E657D7">
        <w:rPr>
          <w:rFonts w:eastAsia="Calibri"/>
          <w:szCs w:val="20"/>
        </w:rPr>
        <w:t xml:space="preserve">some </w:t>
      </w:r>
      <w:r w:rsidR="00AC1A59" w:rsidRPr="00E657D7">
        <w:rPr>
          <w:rFonts w:eastAsia="Calibri"/>
          <w:szCs w:val="20"/>
        </w:rPr>
        <w:t>the Regulations are</w:t>
      </w:r>
      <w:r w:rsidRPr="00E657D7">
        <w:rPr>
          <w:rFonts w:eastAsia="Calibri"/>
          <w:szCs w:val="20"/>
        </w:rPr>
        <w:t xml:space="preserve"> more recent and reflect changes to the NCC, it was not considered appropriate to quantify each and every </w:t>
      </w:r>
      <w:r w:rsidR="008911CB" w:rsidRPr="00E657D7">
        <w:rPr>
          <w:rFonts w:eastAsia="Calibri"/>
          <w:szCs w:val="20"/>
        </w:rPr>
        <w:t>R</w:t>
      </w:r>
      <w:r w:rsidRPr="00E657D7">
        <w:rPr>
          <w:rFonts w:eastAsia="Calibri"/>
          <w:szCs w:val="20"/>
        </w:rPr>
        <w:t>egulation. A range of factors</w:t>
      </w:r>
      <w:r w:rsidR="0017064E" w:rsidRPr="00E657D7">
        <w:rPr>
          <w:rFonts w:eastAsia="Calibri"/>
          <w:szCs w:val="20"/>
        </w:rPr>
        <w:t xml:space="preserve">, </w:t>
      </w:r>
      <w:r w:rsidR="00DB713E" w:rsidRPr="00E657D7">
        <w:rPr>
          <w:rFonts w:eastAsia="Calibri"/>
          <w:szCs w:val="20"/>
        </w:rPr>
        <w:t xml:space="preserve">illustrated in </w:t>
      </w:r>
      <w:r w:rsidR="00DE6971">
        <w:fldChar w:fldCharType="begin"/>
      </w:r>
      <w:r w:rsidR="00DE6971">
        <w:instrText xml:space="preserve"> REF _Ref480965645 \h  \* MERGEFORMAT </w:instrText>
      </w:r>
      <w:r w:rsidR="00DE6971">
        <w:fldChar w:fldCharType="separate"/>
      </w:r>
      <w:r w:rsidR="00B30389" w:rsidRPr="00B30389">
        <w:rPr>
          <w:b/>
          <w:color w:val="00B2A9" w:themeColor="accent1"/>
          <w:szCs w:val="20"/>
        </w:rPr>
        <w:t>Figure 5</w:t>
      </w:r>
      <w:r w:rsidR="00DE6971">
        <w:fldChar w:fldCharType="end"/>
      </w:r>
      <w:r w:rsidR="0017064E" w:rsidRPr="00E657D7">
        <w:rPr>
          <w:rFonts w:eastAsia="Calibri"/>
          <w:szCs w:val="20"/>
        </w:rPr>
        <w:t>,</w:t>
      </w:r>
      <w:r w:rsidRPr="00E657D7">
        <w:rPr>
          <w:rFonts w:eastAsia="Calibri"/>
          <w:szCs w:val="20"/>
        </w:rPr>
        <w:t xml:space="preserve"> influenced the determination of what the key areas of focus should be in the RIS. </w:t>
      </w:r>
    </w:p>
    <w:p w:rsidR="00D615BC" w:rsidRPr="00E657D7" w:rsidRDefault="004F7D03" w:rsidP="00185580">
      <w:pPr>
        <w:rPr>
          <w:szCs w:val="20"/>
        </w:rPr>
      </w:pPr>
      <w:r w:rsidRPr="00E657D7">
        <w:rPr>
          <w:szCs w:val="20"/>
        </w:rPr>
        <w:t>The Regulations are substantial in volume and complex and cover a range of topics relating to the design, construction</w:t>
      </w:r>
      <w:r w:rsidR="0017064E" w:rsidRPr="00E657D7">
        <w:rPr>
          <w:szCs w:val="20"/>
        </w:rPr>
        <w:t xml:space="preserve"> / </w:t>
      </w:r>
      <w:r w:rsidRPr="00E657D7">
        <w:rPr>
          <w:szCs w:val="20"/>
        </w:rPr>
        <w:t xml:space="preserve">use and safety of buildings and </w:t>
      </w:r>
      <w:proofErr w:type="spellStart"/>
      <w:r w:rsidR="00A030CC" w:rsidRPr="00E657D7">
        <w:rPr>
          <w:szCs w:val="20"/>
        </w:rPr>
        <w:t>PoPEs</w:t>
      </w:r>
      <w:proofErr w:type="spellEnd"/>
      <w:r w:rsidRPr="00E657D7">
        <w:rPr>
          <w:szCs w:val="20"/>
        </w:rPr>
        <w:t xml:space="preserve">. The </w:t>
      </w:r>
      <w:r w:rsidR="008911CB" w:rsidRPr="00E657D7">
        <w:rPr>
          <w:szCs w:val="20"/>
        </w:rPr>
        <w:t>Regulations</w:t>
      </w:r>
      <w:r w:rsidRPr="00E657D7">
        <w:rPr>
          <w:szCs w:val="20"/>
        </w:rPr>
        <w:t xml:space="preserve"> also provide detailed specifications relating to building permits, building inspections, occupancy permits, maintenance requirements and enforcement procedures. </w:t>
      </w:r>
      <w:r w:rsidR="00DB713E" w:rsidRPr="00E657D7">
        <w:rPr>
          <w:szCs w:val="20"/>
        </w:rPr>
        <w:t>T</w:t>
      </w:r>
      <w:r w:rsidRPr="00E657D7">
        <w:rPr>
          <w:szCs w:val="20"/>
        </w:rPr>
        <w:t xml:space="preserve">he </w:t>
      </w:r>
      <w:r w:rsidR="008911CB" w:rsidRPr="00E657D7">
        <w:rPr>
          <w:szCs w:val="20"/>
        </w:rPr>
        <w:t>Regulations</w:t>
      </w:r>
      <w:r w:rsidRPr="00E657D7">
        <w:rPr>
          <w:szCs w:val="20"/>
        </w:rPr>
        <w:t xml:space="preserve"> also prescribe qualifications and other matters relating to </w:t>
      </w:r>
      <w:r w:rsidR="00DB713E" w:rsidRPr="00E657D7">
        <w:rPr>
          <w:szCs w:val="20"/>
        </w:rPr>
        <w:t xml:space="preserve">the </w:t>
      </w:r>
      <w:r w:rsidRPr="00E657D7">
        <w:rPr>
          <w:szCs w:val="20"/>
        </w:rPr>
        <w:t>registration of building practitioners.</w:t>
      </w:r>
    </w:p>
    <w:p w:rsidR="004F7D03" w:rsidRPr="00427EE1" w:rsidRDefault="004F7D03" w:rsidP="004F7D03">
      <w:pPr>
        <w:spacing w:before="120" w:after="120"/>
        <w:ind w:left="992"/>
        <w:rPr>
          <w:rFonts w:asciiTheme="majorHAnsi" w:eastAsia="Calibri" w:hAnsiTheme="majorHAnsi"/>
          <w:color w:val="00B2A9" w:themeColor="accent1"/>
        </w:rPr>
      </w:pPr>
      <w:r w:rsidRPr="00427EE1">
        <w:rPr>
          <w:rFonts w:asciiTheme="majorHAnsi" w:eastAsia="Calibri" w:hAnsiTheme="majorHAnsi"/>
          <w:noProof/>
          <w:color w:val="00B2A9" w:themeColor="accent1"/>
          <w:shd w:val="clear" w:color="auto" w:fill="00B2A9" w:themeFill="accent1"/>
        </w:rPr>
        <w:drawing>
          <wp:inline distT="0" distB="0" distL="0" distR="0" wp14:anchorId="5DE7ED2D" wp14:editId="2582B6F5">
            <wp:extent cx="3870252" cy="2307265"/>
            <wp:effectExtent l="0" t="0" r="0" b="0"/>
            <wp:docPr id="55" name="Diagram 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AC4E58" w:rsidRPr="00427EE1" w:rsidRDefault="004F7D03" w:rsidP="00DE6971">
      <w:pPr>
        <w:pStyle w:val="Caption"/>
        <w:jc w:val="center"/>
      </w:pPr>
      <w:bookmarkStart w:id="47" w:name="_Ref480965645"/>
      <w:bookmarkStart w:id="48" w:name="_Toc481499861"/>
      <w:r w:rsidRPr="00427EE1">
        <w:t xml:space="preserve">Figure </w:t>
      </w:r>
      <w:r w:rsidR="00AC1A59" w:rsidRPr="00427EE1">
        <w:fldChar w:fldCharType="begin"/>
      </w:r>
      <w:r w:rsidRPr="00427EE1">
        <w:instrText xml:space="preserve"> SEQ Figure \* ARABIC </w:instrText>
      </w:r>
      <w:r w:rsidR="00AC1A59" w:rsidRPr="00427EE1">
        <w:fldChar w:fldCharType="separate"/>
      </w:r>
      <w:r w:rsidR="00B30389">
        <w:rPr>
          <w:noProof/>
        </w:rPr>
        <w:t>5</w:t>
      </w:r>
      <w:r w:rsidR="00AC1A59" w:rsidRPr="00427EE1">
        <w:fldChar w:fldCharType="end"/>
      </w:r>
      <w:bookmarkEnd w:id="47"/>
      <w:r w:rsidRPr="00427EE1">
        <w:t xml:space="preserve">: </w:t>
      </w:r>
      <w:r w:rsidR="00DB713E">
        <w:t>F</w:t>
      </w:r>
      <w:r w:rsidRPr="00427EE1">
        <w:t xml:space="preserve">actors considered in determining </w:t>
      </w:r>
      <w:r w:rsidR="00DB713E">
        <w:t xml:space="preserve">RIS </w:t>
      </w:r>
      <w:r w:rsidRPr="00427EE1">
        <w:t xml:space="preserve">focus </w:t>
      </w:r>
      <w:r w:rsidR="00DB713E">
        <w:t>areas</w:t>
      </w:r>
      <w:bookmarkEnd w:id="48"/>
    </w:p>
    <w:p w:rsidR="00E657D7" w:rsidRDefault="00E657D7" w:rsidP="00E657D7"/>
    <w:p w:rsidR="004F7D03" w:rsidRPr="00427EE1" w:rsidRDefault="003448D2" w:rsidP="00C14778">
      <w:pPr>
        <w:pStyle w:val="Heading3"/>
      </w:pPr>
      <w:bookmarkStart w:id="49" w:name="_Toc481501573"/>
      <w:r>
        <w:t>2.2.1</w:t>
      </w:r>
      <w:r>
        <w:tab/>
      </w:r>
      <w:r w:rsidR="004F7D03" w:rsidRPr="00427EE1">
        <w:t xml:space="preserve">Building </w:t>
      </w:r>
      <w:r w:rsidR="00DB713E">
        <w:t>r</w:t>
      </w:r>
      <w:r w:rsidR="004F7D03" w:rsidRPr="00427EE1">
        <w:t xml:space="preserve">eform </w:t>
      </w:r>
      <w:r w:rsidR="00DB713E">
        <w:t>p</w:t>
      </w:r>
      <w:r w:rsidR="004F7D03" w:rsidRPr="00427EE1">
        <w:t>rogram</w:t>
      </w:r>
      <w:bookmarkEnd w:id="49"/>
    </w:p>
    <w:p w:rsidR="004F7D03" w:rsidRPr="00427EE1" w:rsidRDefault="004F7D03" w:rsidP="00185580">
      <w:r w:rsidRPr="00427EE1">
        <w:t>Th</w:t>
      </w:r>
      <w:r w:rsidR="00DB713E">
        <w:t>is</w:t>
      </w:r>
      <w:r w:rsidRPr="00427EE1">
        <w:t xml:space="preserve"> review of the </w:t>
      </w:r>
      <w:r w:rsidR="008911CB">
        <w:t>Regulations</w:t>
      </w:r>
      <w:r w:rsidRPr="00427EE1">
        <w:t xml:space="preserve"> has occurred during a period of intense reform activity and in the context of </w:t>
      </w:r>
      <w:r w:rsidR="00195602">
        <w:t>g</w:t>
      </w:r>
      <w:r w:rsidRPr="00427EE1">
        <w:t xml:space="preserve">overnment’s commitment to increase protection </w:t>
      </w:r>
      <w:r w:rsidR="00DB713E">
        <w:t xml:space="preserve">for </w:t>
      </w:r>
      <w:r w:rsidRPr="00427EE1">
        <w:t>Victorian consumers from building malpractice</w:t>
      </w:r>
      <w:r w:rsidR="0049530B">
        <w:t>.</w:t>
      </w:r>
      <w:r w:rsidRPr="00427EE1">
        <w:rPr>
          <w:sz w:val="21"/>
          <w:vertAlign w:val="superscript"/>
        </w:rPr>
        <w:footnoteReference w:id="53"/>
      </w:r>
      <w:r w:rsidR="004267C5">
        <w:t xml:space="preserve"> </w:t>
      </w:r>
      <w:r w:rsidR="00DB713E">
        <w:t xml:space="preserve">The </w:t>
      </w:r>
      <w:r w:rsidRPr="00427EE1">
        <w:t xml:space="preserve">building reform program </w:t>
      </w:r>
      <w:r w:rsidR="00DB713E">
        <w:t xml:space="preserve">started </w:t>
      </w:r>
      <w:r w:rsidRPr="00427EE1">
        <w:t xml:space="preserve">with the development of legislation in 2015 to give effect to this commitment and to respond to the findings of </w:t>
      </w:r>
      <w:r w:rsidR="003A6013">
        <w:t xml:space="preserve">the Victorian Auditor-General's </w:t>
      </w:r>
      <w:r w:rsidRPr="00427EE1">
        <w:t xml:space="preserve">performance audit </w:t>
      </w:r>
      <w:r w:rsidR="003A6013">
        <w:t xml:space="preserve">that </w:t>
      </w:r>
      <w:r w:rsidRPr="00427EE1">
        <w:t>found the existing domestic building consumer protection framework does not adequately protect consumers.</w:t>
      </w:r>
    </w:p>
    <w:p w:rsidR="002D5E35" w:rsidRDefault="002D5E35">
      <w:pPr>
        <w:spacing w:after="0"/>
        <w:rPr>
          <w:rFonts w:eastAsia="Calibri"/>
        </w:rPr>
      </w:pPr>
      <w:r>
        <w:rPr>
          <w:rFonts w:eastAsia="Calibri"/>
        </w:rPr>
        <w:br w:type="page"/>
      </w:r>
    </w:p>
    <w:p w:rsidR="004F7D03" w:rsidRPr="00427EE1" w:rsidRDefault="004F7D03" w:rsidP="00185580">
      <w:pPr>
        <w:pStyle w:val="Normalpre-dotpoint"/>
        <w:rPr>
          <w:rFonts w:eastAsia="Calibri"/>
        </w:rPr>
      </w:pPr>
      <w:r w:rsidRPr="00427EE1">
        <w:rPr>
          <w:rFonts w:eastAsia="Calibri"/>
        </w:rPr>
        <w:lastRenderedPageBreak/>
        <w:t xml:space="preserve">The </w:t>
      </w:r>
      <w:r w:rsidRPr="00427EE1">
        <w:rPr>
          <w:rFonts w:eastAsia="Calibri"/>
          <w:i/>
        </w:rPr>
        <w:t>Building Legislation Amendment (Consumer Protection) Act 2016</w:t>
      </w:r>
      <w:r w:rsidRPr="00427EE1">
        <w:rPr>
          <w:rFonts w:eastAsia="Calibri"/>
        </w:rPr>
        <w:t xml:space="preserve"> passed through the parliament in April 2016 and includes amendments </w:t>
      </w:r>
      <w:r w:rsidR="003A6013">
        <w:rPr>
          <w:rFonts w:eastAsia="Calibri"/>
        </w:rPr>
        <w:t>to</w:t>
      </w:r>
      <w:r w:rsidRPr="00427EE1">
        <w:rPr>
          <w:rFonts w:eastAsia="Calibri"/>
        </w:rPr>
        <w:t>:</w:t>
      </w:r>
    </w:p>
    <w:p w:rsidR="004F7D03" w:rsidRPr="00427EE1" w:rsidRDefault="004F7D03" w:rsidP="00185580">
      <w:pPr>
        <w:pStyle w:val="Dotpoint"/>
      </w:pPr>
      <w:r w:rsidRPr="00427EE1">
        <w:t>restor</w:t>
      </w:r>
      <w:r w:rsidR="003A6013">
        <w:t>e</w:t>
      </w:r>
      <w:r w:rsidRPr="00427EE1">
        <w:t xml:space="preserve"> confidence for consumers and building practitioners and underpin further growth in the state’s $2.8 billion building industry</w:t>
      </w:r>
    </w:p>
    <w:p w:rsidR="004F7D03" w:rsidRPr="00427EE1" w:rsidRDefault="004F7D03" w:rsidP="00185580">
      <w:pPr>
        <w:pStyle w:val="Dotpoint"/>
      </w:pPr>
      <w:r w:rsidRPr="00427EE1">
        <w:t>achiev</w:t>
      </w:r>
      <w:r w:rsidR="003A6013">
        <w:t>e</w:t>
      </w:r>
      <w:r w:rsidRPr="00427EE1">
        <w:t xml:space="preserve"> quality built outcomes</w:t>
      </w:r>
    </w:p>
    <w:p w:rsidR="004F7D03" w:rsidRPr="00427EE1" w:rsidRDefault="004F7D03" w:rsidP="00185580">
      <w:pPr>
        <w:pStyle w:val="Dotpoint"/>
      </w:pPr>
      <w:r w:rsidRPr="00427EE1">
        <w:t>ensur</w:t>
      </w:r>
      <w:r w:rsidR="003A6013">
        <w:t>e</w:t>
      </w:r>
      <w:r w:rsidRPr="00427EE1">
        <w:t xml:space="preserve"> timeliness in all processes</w:t>
      </w:r>
    </w:p>
    <w:p w:rsidR="00D615BC" w:rsidRPr="00427EE1" w:rsidRDefault="004F7D03" w:rsidP="00185580">
      <w:pPr>
        <w:pStyle w:val="Dotpointlast"/>
      </w:pPr>
      <w:r w:rsidRPr="00427EE1">
        <w:t>delive</w:t>
      </w:r>
      <w:r w:rsidR="003A6013">
        <w:t>r</w:t>
      </w:r>
      <w:r w:rsidRPr="00427EE1">
        <w:t xml:space="preserve"> clear and accessible pathways for consumers to resolve disputes and ensure their homes are built to the required standard.</w:t>
      </w:r>
    </w:p>
    <w:p w:rsidR="004F7D03" w:rsidRPr="00427EE1" w:rsidRDefault="004F7D03" w:rsidP="00185580">
      <w:pPr>
        <w:pStyle w:val="Normalpre-dotpoint"/>
        <w:rPr>
          <w:rFonts w:eastAsia="Calibri"/>
        </w:rPr>
      </w:pPr>
      <w:r w:rsidRPr="00427EE1">
        <w:rPr>
          <w:rFonts w:eastAsia="Calibri"/>
        </w:rPr>
        <w:t>In summary</w:t>
      </w:r>
      <w:r w:rsidR="003A6013">
        <w:rPr>
          <w:rFonts w:eastAsia="Calibri"/>
        </w:rPr>
        <w:t>,</w:t>
      </w:r>
      <w:r w:rsidRPr="00427EE1">
        <w:rPr>
          <w:rFonts w:eastAsia="Calibri"/>
        </w:rPr>
        <w:t xml:space="preserve"> the </w:t>
      </w:r>
      <w:r w:rsidR="00854EF0" w:rsidRPr="00427EE1">
        <w:rPr>
          <w:rFonts w:eastAsia="Calibri"/>
        </w:rPr>
        <w:t>Building Legislation Amendment (Consumer Protection)</w:t>
      </w:r>
      <w:r w:rsidR="00854EF0" w:rsidRPr="00427EE1">
        <w:rPr>
          <w:rFonts w:eastAsia="Calibri"/>
          <w:i/>
        </w:rPr>
        <w:t xml:space="preserve"> </w:t>
      </w:r>
      <w:r w:rsidRPr="00427EE1">
        <w:rPr>
          <w:rFonts w:eastAsia="Calibri"/>
        </w:rPr>
        <w:t>Act includes provisions</w:t>
      </w:r>
      <w:r w:rsidR="003A6013">
        <w:rPr>
          <w:rFonts w:eastAsia="Calibri"/>
        </w:rPr>
        <w:t xml:space="preserve"> to</w:t>
      </w:r>
      <w:r w:rsidRPr="00427EE1">
        <w:rPr>
          <w:rFonts w:eastAsia="Calibri"/>
        </w:rPr>
        <w:t>:</w:t>
      </w:r>
    </w:p>
    <w:p w:rsidR="004F7D03" w:rsidRPr="00427EE1" w:rsidRDefault="004F7D03" w:rsidP="00185580">
      <w:pPr>
        <w:pStyle w:val="Dotpoint"/>
      </w:pPr>
      <w:r w:rsidRPr="00427EE1">
        <w:t>improve dispute resolution</w:t>
      </w:r>
      <w:r w:rsidR="003A6013">
        <w:t>,</w:t>
      </w:r>
      <w:r w:rsidRPr="00427EE1">
        <w:t xml:space="preserve"> with a new Domestic Building Dispute Resolution Victoria Service, mandatory conciliation of disputes and enforceable dispute resolution orders</w:t>
      </w:r>
    </w:p>
    <w:p w:rsidR="004F7D03" w:rsidRPr="00427EE1" w:rsidRDefault="004F7D03" w:rsidP="00185580">
      <w:pPr>
        <w:pStyle w:val="Dotpoint"/>
      </w:pPr>
      <w:r w:rsidRPr="00427EE1">
        <w:t>aboli</w:t>
      </w:r>
      <w:r w:rsidR="003A6013">
        <w:t>sh</w:t>
      </w:r>
      <w:r w:rsidRPr="00427EE1">
        <w:t xml:space="preserve"> the B</w:t>
      </w:r>
      <w:r w:rsidR="00F57C69" w:rsidRPr="00427EE1">
        <w:t xml:space="preserve">uilding </w:t>
      </w:r>
      <w:r w:rsidRPr="00427EE1">
        <w:t>P</w:t>
      </w:r>
      <w:r w:rsidR="00F57C69" w:rsidRPr="00427EE1">
        <w:t xml:space="preserve">ractitioner </w:t>
      </w:r>
      <w:r w:rsidRPr="00427EE1">
        <w:t>B</w:t>
      </w:r>
      <w:r w:rsidR="00F57C69" w:rsidRPr="00427EE1">
        <w:t>oard</w:t>
      </w:r>
      <w:r w:rsidRPr="00427EE1">
        <w:t xml:space="preserve"> and transfer </w:t>
      </w:r>
      <w:r w:rsidR="003A6013">
        <w:t xml:space="preserve">its </w:t>
      </w:r>
      <w:r w:rsidRPr="00427EE1">
        <w:t>registration and disciplin</w:t>
      </w:r>
      <w:r w:rsidR="003A6013">
        <w:t>ary</w:t>
      </w:r>
      <w:r w:rsidRPr="00427EE1">
        <w:t xml:space="preserve"> functions to </w:t>
      </w:r>
      <w:r w:rsidR="00720C4E">
        <w:t>VBA</w:t>
      </w:r>
    </w:p>
    <w:p w:rsidR="004F7D03" w:rsidRPr="00427EE1" w:rsidRDefault="004F7D03" w:rsidP="00185580">
      <w:pPr>
        <w:pStyle w:val="Dotpoint"/>
      </w:pPr>
      <w:r w:rsidRPr="00427EE1">
        <w:t xml:space="preserve">improve registration standards including </w:t>
      </w:r>
      <w:r w:rsidR="003A6013">
        <w:t xml:space="preserve">by </w:t>
      </w:r>
      <w:r w:rsidRPr="00427EE1">
        <w:t>introduc</w:t>
      </w:r>
      <w:r w:rsidR="003A6013">
        <w:t>ing</w:t>
      </w:r>
      <w:r w:rsidRPr="00427EE1">
        <w:t xml:space="preserve"> time-limited registrations with the requirement to demonstrate maintenance of competence on renewal of registration</w:t>
      </w:r>
    </w:p>
    <w:p w:rsidR="004F7D03" w:rsidRPr="00427EE1" w:rsidRDefault="004F7D03" w:rsidP="00185580">
      <w:pPr>
        <w:pStyle w:val="Dotpoint"/>
      </w:pPr>
      <w:r w:rsidRPr="00427EE1">
        <w:t>improve oversight of building surveyors and building work</w:t>
      </w:r>
    </w:p>
    <w:p w:rsidR="004F7D03" w:rsidRPr="00427EE1" w:rsidRDefault="004F7D03" w:rsidP="00185580">
      <w:pPr>
        <w:pStyle w:val="Dotpoint"/>
      </w:pPr>
      <w:r w:rsidRPr="00427EE1">
        <w:t>strengthen regulation of owner-builders</w:t>
      </w:r>
    </w:p>
    <w:p w:rsidR="00755649" w:rsidRDefault="004F7D03" w:rsidP="00755649">
      <w:pPr>
        <w:pStyle w:val="Dotpoint"/>
      </w:pPr>
      <w:r w:rsidRPr="00427EE1">
        <w:t>expand grounds for discipline</w:t>
      </w:r>
    </w:p>
    <w:p w:rsidR="00755649" w:rsidRDefault="004F7D03" w:rsidP="00755649">
      <w:pPr>
        <w:pStyle w:val="Dotpoint"/>
      </w:pPr>
      <w:r w:rsidRPr="00427EE1">
        <w:t xml:space="preserve">address the potential conflict of interest </w:t>
      </w:r>
      <w:r w:rsidR="003A6013">
        <w:t>of</w:t>
      </w:r>
      <w:r w:rsidR="003A6013" w:rsidRPr="00427EE1">
        <w:t xml:space="preserve"> </w:t>
      </w:r>
      <w:r w:rsidRPr="00427EE1">
        <w:t>building surveyors</w:t>
      </w:r>
    </w:p>
    <w:p w:rsidR="004F7D03" w:rsidRPr="00427EE1" w:rsidRDefault="00755649" w:rsidP="00755649">
      <w:pPr>
        <w:pStyle w:val="Dotpointlast"/>
      </w:pPr>
      <w:r>
        <w:t xml:space="preserve">improved and timely disciplinary process and new disciplinary </w:t>
      </w:r>
      <w:proofErr w:type="spellStart"/>
      <w:r>
        <w:t>santions</w:t>
      </w:r>
      <w:proofErr w:type="spellEnd"/>
      <w:r w:rsidR="004F7D03" w:rsidRPr="00427EE1">
        <w:t>.</w:t>
      </w:r>
    </w:p>
    <w:p w:rsidR="00BA0238" w:rsidRPr="00427EE1" w:rsidRDefault="003A6013" w:rsidP="00185580">
      <w:pPr>
        <w:pStyle w:val="Normalpre-dotpoint"/>
      </w:pPr>
      <w:r>
        <w:t>F</w:t>
      </w:r>
      <w:r w:rsidR="00BA0238" w:rsidRPr="00427EE1">
        <w:t xml:space="preserve">urther reforms were introduced into parliament in December 2016 by the Building Amendment (Enforcement and Other Measures) Bill 2016. </w:t>
      </w:r>
      <w:r w:rsidR="009D6F30">
        <w:t xml:space="preserve">This Bill was passed by parliament on 11 May 2017 and will come into operation after it receives Royal Assent. </w:t>
      </w:r>
      <w:r w:rsidR="00BA0238" w:rsidRPr="00427EE1">
        <w:t xml:space="preserve">This Bill continues the reforms to Victoria's building system </w:t>
      </w:r>
      <w:r>
        <w:t xml:space="preserve">that started </w:t>
      </w:r>
      <w:r w:rsidR="00BA0238" w:rsidRPr="00427EE1">
        <w:t>with the Building Legislation Amendment (Consumer Protection) Act. It provides for:</w:t>
      </w:r>
    </w:p>
    <w:p w:rsidR="00755649" w:rsidRDefault="00755649" w:rsidP="00185580">
      <w:pPr>
        <w:pStyle w:val="Dotpoint"/>
      </w:pPr>
      <w:r>
        <w:t>making information for consumers better-quality and more available</w:t>
      </w:r>
    </w:p>
    <w:p w:rsidR="00D615BC" w:rsidRPr="00427EE1" w:rsidRDefault="00BA0238" w:rsidP="00185580">
      <w:pPr>
        <w:pStyle w:val="Dotpoint"/>
      </w:pPr>
      <w:r w:rsidRPr="00427EE1">
        <w:t>reforms to practitioner registration including corporate registration, and for personal and financial probity requirements</w:t>
      </w:r>
    </w:p>
    <w:p w:rsidR="00BA0238" w:rsidRPr="00427EE1" w:rsidRDefault="00BA0238" w:rsidP="00185580">
      <w:pPr>
        <w:pStyle w:val="Dotpoint"/>
      </w:pPr>
      <w:r w:rsidRPr="00427EE1">
        <w:t>increased flexibility in the regulation of building surveyors including facilitating transfers of building surveyors once appointed</w:t>
      </w:r>
    </w:p>
    <w:p w:rsidR="00BA0238" w:rsidRPr="00427EE1" w:rsidRDefault="00BA0238" w:rsidP="00185580">
      <w:pPr>
        <w:pStyle w:val="Dotpoint"/>
      </w:pPr>
      <w:r w:rsidRPr="00427EE1">
        <w:t>publication of building practitioner</w:t>
      </w:r>
      <w:r w:rsidR="003A6013">
        <w:t>s'</w:t>
      </w:r>
      <w:r w:rsidRPr="00427EE1">
        <w:t xml:space="preserve"> registration and disciplinary history to support informed consumer choice and promote confidence in the industry</w:t>
      </w:r>
    </w:p>
    <w:p w:rsidR="00BA0238" w:rsidRPr="00427EE1" w:rsidRDefault="00BA0238" w:rsidP="00185580">
      <w:pPr>
        <w:pStyle w:val="Dotpoint"/>
      </w:pPr>
      <w:r w:rsidRPr="00427EE1">
        <w:t>reforms to the building permit system and building permit levy</w:t>
      </w:r>
    </w:p>
    <w:p w:rsidR="00BA0238" w:rsidRPr="00427EE1" w:rsidRDefault="00BA0238" w:rsidP="00185580">
      <w:pPr>
        <w:pStyle w:val="Dotpoint"/>
      </w:pPr>
      <w:r w:rsidRPr="00427EE1">
        <w:t xml:space="preserve">reforms to make </w:t>
      </w:r>
      <w:r w:rsidR="003A6013">
        <w:t xml:space="preserve">a </w:t>
      </w:r>
      <w:r w:rsidRPr="00427EE1">
        <w:t xml:space="preserve">builder named on </w:t>
      </w:r>
      <w:r w:rsidR="003A6013">
        <w:t xml:space="preserve">a </w:t>
      </w:r>
      <w:r w:rsidRPr="00427EE1">
        <w:t>building permit responsible for compliance</w:t>
      </w:r>
    </w:p>
    <w:p w:rsidR="00BA0238" w:rsidRPr="00427EE1" w:rsidRDefault="00BA0238" w:rsidP="00185580">
      <w:pPr>
        <w:pStyle w:val="Dotpoint"/>
      </w:pPr>
      <w:r w:rsidRPr="00427EE1">
        <w:t>new indictable offences</w:t>
      </w:r>
    </w:p>
    <w:p w:rsidR="00BA0238" w:rsidRPr="00427EE1" w:rsidRDefault="00BA0238" w:rsidP="00185580">
      <w:pPr>
        <w:pStyle w:val="Dotpoint"/>
      </w:pPr>
      <w:r w:rsidRPr="00427EE1">
        <w:t>better regulation of building inspections to provide greater assurance to consumers that the person who carries out an inspection of building work is qualified to do so</w:t>
      </w:r>
    </w:p>
    <w:p w:rsidR="00BA0238" w:rsidRPr="00427EE1" w:rsidRDefault="00BA0238" w:rsidP="00185580">
      <w:pPr>
        <w:pStyle w:val="Dotpoint"/>
      </w:pPr>
      <w:r w:rsidRPr="00427EE1">
        <w:t>stronger entry and information</w:t>
      </w:r>
      <w:r w:rsidR="003A6013">
        <w:t>-</w:t>
      </w:r>
      <w:r w:rsidRPr="00427EE1">
        <w:t xml:space="preserve">gathering powers to enhance the ability of </w:t>
      </w:r>
      <w:r w:rsidR="00720C4E">
        <w:t>VBA</w:t>
      </w:r>
      <w:r w:rsidRPr="00427EE1">
        <w:t xml:space="preserve"> and councils to be strong and effective regulators</w:t>
      </w:r>
    </w:p>
    <w:p w:rsidR="00D615BC" w:rsidRPr="00427EE1" w:rsidRDefault="00BA0238" w:rsidP="00185580">
      <w:pPr>
        <w:pStyle w:val="Dotpoint"/>
      </w:pPr>
      <w:r w:rsidRPr="00427EE1">
        <w:t>clarification of the role of local government in administering and enforcing the Act</w:t>
      </w:r>
    </w:p>
    <w:p w:rsidR="00BA0238" w:rsidRPr="00427EE1" w:rsidRDefault="00BA0238" w:rsidP="00185580">
      <w:pPr>
        <w:pStyle w:val="Dotpointlast"/>
      </w:pPr>
      <w:r w:rsidRPr="00427EE1">
        <w:t>reformed building notice and building order provisions.</w:t>
      </w:r>
    </w:p>
    <w:p w:rsidR="002D5E35" w:rsidRDefault="002D5E35">
      <w:pPr>
        <w:spacing w:after="0"/>
        <w:rPr>
          <w:rFonts w:eastAsia="Calibri"/>
        </w:rPr>
      </w:pPr>
      <w:r>
        <w:rPr>
          <w:rFonts w:eastAsia="Calibri"/>
        </w:rPr>
        <w:br w:type="page"/>
      </w:r>
    </w:p>
    <w:p w:rsidR="00D615BC" w:rsidRPr="00427EE1" w:rsidRDefault="009D6F30" w:rsidP="00185580">
      <w:r>
        <w:rPr>
          <w:rFonts w:eastAsia="Calibri"/>
        </w:rPr>
        <w:lastRenderedPageBreak/>
        <w:t>F</w:t>
      </w:r>
      <w:r w:rsidRPr="00427EE1">
        <w:rPr>
          <w:rFonts w:eastAsia="Calibri"/>
        </w:rPr>
        <w:t xml:space="preserve">urther amendments will be made to </w:t>
      </w:r>
      <w:r>
        <w:rPr>
          <w:rFonts w:eastAsia="Calibri"/>
        </w:rPr>
        <w:t>the Regulations</w:t>
      </w:r>
      <w:r w:rsidRPr="00427EE1" w:rsidDel="009D6F30">
        <w:rPr>
          <w:rFonts w:eastAsia="Calibri"/>
        </w:rPr>
        <w:t xml:space="preserve"> </w:t>
      </w:r>
      <w:r>
        <w:rPr>
          <w:rFonts w:eastAsia="Calibri"/>
        </w:rPr>
        <w:t xml:space="preserve">after </w:t>
      </w:r>
      <w:r w:rsidR="00BA0238" w:rsidRPr="00427EE1">
        <w:rPr>
          <w:rFonts w:eastAsia="Calibri"/>
        </w:rPr>
        <w:t>the Building Amendment (Enforcement and Other Measures) Bill 2016</w:t>
      </w:r>
      <w:r>
        <w:rPr>
          <w:rFonts w:eastAsia="Calibri"/>
        </w:rPr>
        <w:t xml:space="preserve"> receives Royal Assent and comes into operation</w:t>
      </w:r>
      <w:r w:rsidR="00BA0238" w:rsidRPr="00427EE1">
        <w:rPr>
          <w:rFonts w:eastAsia="Calibri"/>
        </w:rPr>
        <w:t xml:space="preserve">. These will further </w:t>
      </w:r>
      <w:r w:rsidR="003A6013">
        <w:rPr>
          <w:rFonts w:eastAsia="Calibri"/>
        </w:rPr>
        <w:t xml:space="preserve">improve the </w:t>
      </w:r>
      <w:r w:rsidR="00BA0238" w:rsidRPr="00427EE1">
        <w:rPr>
          <w:rFonts w:eastAsia="Calibri"/>
        </w:rPr>
        <w:t>system</w:t>
      </w:r>
      <w:r w:rsidR="003A6013">
        <w:rPr>
          <w:rFonts w:eastAsia="Calibri"/>
        </w:rPr>
        <w:t>,</w:t>
      </w:r>
      <w:r w:rsidR="00BA0238" w:rsidRPr="00427EE1">
        <w:rPr>
          <w:rFonts w:eastAsia="Calibri"/>
        </w:rPr>
        <w:t xml:space="preserve"> and it is expected that as the reforms progress new or amended </w:t>
      </w:r>
      <w:r w:rsidR="008911CB">
        <w:rPr>
          <w:rFonts w:eastAsia="Calibri"/>
        </w:rPr>
        <w:t>Regulations</w:t>
      </w:r>
      <w:r w:rsidR="00BA0238" w:rsidRPr="00427EE1">
        <w:rPr>
          <w:rFonts w:eastAsia="Calibri"/>
        </w:rPr>
        <w:t xml:space="preserve"> will be developed to operationalise the changes. </w:t>
      </w:r>
      <w:r w:rsidR="00BA0238" w:rsidRPr="00427EE1">
        <w:t xml:space="preserve">Appropriate transition periods will be provided to allow for the orderly </w:t>
      </w:r>
      <w:r w:rsidR="00054147" w:rsidRPr="00427EE1">
        <w:t>implementation</w:t>
      </w:r>
      <w:r w:rsidR="00BA0238" w:rsidRPr="00427EE1">
        <w:t xml:space="preserve"> of changes.</w:t>
      </w:r>
    </w:p>
    <w:p w:rsidR="004F7D03" w:rsidRPr="00427EE1" w:rsidRDefault="008911CB" w:rsidP="00185580">
      <w:pPr>
        <w:rPr>
          <w:rFonts w:eastAsia="Calibri" w:cs="Times New Roman"/>
        </w:rPr>
      </w:pPr>
      <w:r>
        <w:rPr>
          <w:rFonts w:eastAsia="Calibri"/>
        </w:rPr>
        <w:t>Regulations</w:t>
      </w:r>
      <w:r w:rsidR="00BA0238" w:rsidRPr="00427EE1">
        <w:rPr>
          <w:rFonts w:eastAsia="Calibri"/>
        </w:rPr>
        <w:t xml:space="preserve"> that appear to be affected by the reforms proposed by </w:t>
      </w:r>
      <w:r w:rsidR="00854EF0" w:rsidRPr="00427EE1">
        <w:rPr>
          <w:rFonts w:eastAsia="Calibri"/>
        </w:rPr>
        <w:t xml:space="preserve">the Building Amendment (Enforcement and Other Measures) Bill </w:t>
      </w:r>
      <w:r w:rsidR="00BA0238" w:rsidRPr="00427EE1">
        <w:rPr>
          <w:rFonts w:eastAsia="Calibri"/>
        </w:rPr>
        <w:t>will be remade in substantially the same form</w:t>
      </w:r>
      <w:r w:rsidR="009D6F30">
        <w:rPr>
          <w:rFonts w:eastAsia="Calibri"/>
        </w:rPr>
        <w:t xml:space="preserve"> until</w:t>
      </w:r>
      <w:r w:rsidR="00BA0238" w:rsidRPr="00427EE1">
        <w:rPr>
          <w:rFonts w:eastAsia="Calibri"/>
        </w:rPr>
        <w:t xml:space="preserve"> </w:t>
      </w:r>
      <w:r w:rsidR="009D6F30">
        <w:rPr>
          <w:rFonts w:eastAsia="Calibri"/>
        </w:rPr>
        <w:t xml:space="preserve">after </w:t>
      </w:r>
      <w:r w:rsidR="00BA0238" w:rsidRPr="00427EE1">
        <w:rPr>
          <w:rFonts w:eastAsia="Calibri"/>
        </w:rPr>
        <w:t xml:space="preserve">the </w:t>
      </w:r>
      <w:r w:rsidR="00054147" w:rsidRPr="00427EE1">
        <w:rPr>
          <w:rFonts w:eastAsia="Calibri"/>
        </w:rPr>
        <w:t>Bill</w:t>
      </w:r>
      <w:r w:rsidR="009D6F30">
        <w:rPr>
          <w:rFonts w:eastAsia="Calibri"/>
        </w:rPr>
        <w:t xml:space="preserve"> receives Royal Assent and comes into operation</w:t>
      </w:r>
      <w:r w:rsidR="00054147" w:rsidRPr="00427EE1">
        <w:rPr>
          <w:rFonts w:eastAsia="Calibri"/>
        </w:rPr>
        <w:t>.</w:t>
      </w:r>
      <w:r w:rsidR="00054147" w:rsidRPr="00427EE1">
        <w:rPr>
          <w:rFonts w:eastAsia="Calibri" w:cs="Times New Roman"/>
        </w:rPr>
        <w:t xml:space="preserve"> This</w:t>
      </w:r>
      <w:r w:rsidR="004F7D03" w:rsidRPr="00427EE1">
        <w:rPr>
          <w:rFonts w:eastAsia="Calibri" w:cs="Times New Roman"/>
        </w:rPr>
        <w:t xml:space="preserve"> approach will have the benefit of avoiding any undue costs being incurred by practitioners and consumers in implementing regulatory change that may become redundant and will allow for a more streamlined implementation of reforms.</w:t>
      </w:r>
    </w:p>
    <w:p w:rsidR="004F7D03" w:rsidRPr="00427EE1" w:rsidRDefault="003448D2" w:rsidP="00C14778">
      <w:pPr>
        <w:pStyle w:val="Heading3"/>
      </w:pPr>
      <w:bookmarkStart w:id="50" w:name="_Toc481501574"/>
      <w:r>
        <w:t>2.2.2</w:t>
      </w:r>
      <w:r>
        <w:tab/>
      </w:r>
      <w:r w:rsidR="004F7D03" w:rsidRPr="00427EE1">
        <w:t>Stakeholder input</w:t>
      </w:r>
      <w:bookmarkEnd w:id="50"/>
    </w:p>
    <w:p w:rsidR="004F7D03" w:rsidRPr="00427EE1" w:rsidRDefault="004F7D03" w:rsidP="00185580">
      <w:pPr>
        <w:rPr>
          <w:rFonts w:eastAsia="Calibri"/>
        </w:rPr>
      </w:pPr>
      <w:r w:rsidRPr="00427EE1">
        <w:rPr>
          <w:rFonts w:eastAsia="Calibri"/>
        </w:rPr>
        <w:t>Stakeholder input and feedback was an important factor in understanding how the current regulatory system was working and determining key areas of focus for the RIS.</w:t>
      </w:r>
    </w:p>
    <w:p w:rsidR="004F7D03" w:rsidRPr="00427EE1" w:rsidRDefault="0049530B" w:rsidP="00185580">
      <w:pPr>
        <w:rPr>
          <w:rFonts w:eastAsia="Calibri"/>
        </w:rPr>
      </w:pPr>
      <w:r>
        <w:rPr>
          <w:rFonts w:eastAsia="Calibri"/>
        </w:rPr>
        <w:t>T</w:t>
      </w:r>
      <w:r w:rsidR="00854EF0" w:rsidRPr="00427EE1">
        <w:rPr>
          <w:rFonts w:eastAsia="Calibri"/>
        </w:rPr>
        <w:t xml:space="preserve">he </w:t>
      </w:r>
      <w:r w:rsidR="00195602">
        <w:rPr>
          <w:rFonts w:eastAsia="Calibri"/>
        </w:rPr>
        <w:t>d</w:t>
      </w:r>
      <w:r w:rsidR="004F7D03" w:rsidRPr="00427EE1">
        <w:rPr>
          <w:rFonts w:eastAsia="Calibri"/>
        </w:rPr>
        <w:t xml:space="preserve">epartment invited public submissions, with stakeholders asked to comment specifically on the </w:t>
      </w:r>
      <w:r w:rsidR="008911CB">
        <w:rPr>
          <w:rFonts w:eastAsia="Calibri"/>
        </w:rPr>
        <w:t>Regulations</w:t>
      </w:r>
      <w:r w:rsidR="004F7D03" w:rsidRPr="00427EE1">
        <w:rPr>
          <w:rFonts w:eastAsia="Calibri"/>
        </w:rPr>
        <w:t xml:space="preserve"> </w:t>
      </w:r>
      <w:r w:rsidR="000F16AC">
        <w:rPr>
          <w:rFonts w:eastAsia="Calibri"/>
        </w:rPr>
        <w:t xml:space="preserve">they </w:t>
      </w:r>
      <w:r w:rsidR="004F7D03" w:rsidRPr="00427EE1">
        <w:rPr>
          <w:rFonts w:eastAsia="Calibri"/>
        </w:rPr>
        <w:t xml:space="preserve">considered to be working well, </w:t>
      </w:r>
      <w:r w:rsidR="000F16AC">
        <w:rPr>
          <w:rFonts w:eastAsia="Calibri"/>
        </w:rPr>
        <w:t xml:space="preserve">on </w:t>
      </w:r>
      <w:r w:rsidR="004F7D03" w:rsidRPr="00427EE1">
        <w:rPr>
          <w:rFonts w:eastAsia="Calibri"/>
        </w:rPr>
        <w:t xml:space="preserve">those not working well and </w:t>
      </w:r>
      <w:r w:rsidR="000F16AC">
        <w:rPr>
          <w:rFonts w:eastAsia="Calibri"/>
        </w:rPr>
        <w:t xml:space="preserve">on </w:t>
      </w:r>
      <w:r w:rsidR="004F7D03" w:rsidRPr="00427EE1">
        <w:rPr>
          <w:rFonts w:eastAsia="Calibri"/>
        </w:rPr>
        <w:t>changes that could be considered.</w:t>
      </w:r>
    </w:p>
    <w:p w:rsidR="004F7D03" w:rsidRPr="00427EE1" w:rsidRDefault="004F7D03" w:rsidP="00185580">
      <w:pPr>
        <w:pStyle w:val="Normalpre-dotpoint"/>
        <w:rPr>
          <w:rFonts w:eastAsia="Calibri"/>
        </w:rPr>
      </w:pPr>
      <w:r w:rsidRPr="00427EE1">
        <w:rPr>
          <w:rFonts w:eastAsia="Calibri"/>
        </w:rPr>
        <w:t>From this process</w:t>
      </w:r>
      <w:r w:rsidR="000F16AC">
        <w:rPr>
          <w:rFonts w:eastAsia="Calibri"/>
        </w:rPr>
        <w:t>,</w:t>
      </w:r>
      <w:r w:rsidRPr="00427EE1">
        <w:rPr>
          <w:rFonts w:eastAsia="Calibri"/>
        </w:rPr>
        <w:t xml:space="preserve"> a total of 374 submissions </w:t>
      </w:r>
      <w:r w:rsidR="00EC0E22" w:rsidRPr="00427EE1">
        <w:rPr>
          <w:rFonts w:eastAsia="Calibri"/>
        </w:rPr>
        <w:t xml:space="preserve">points </w:t>
      </w:r>
      <w:r w:rsidRPr="00427EE1">
        <w:rPr>
          <w:rFonts w:eastAsia="Calibri"/>
        </w:rPr>
        <w:t xml:space="preserve">were received </w:t>
      </w:r>
      <w:r w:rsidR="00EC0E22" w:rsidRPr="00427EE1">
        <w:rPr>
          <w:rFonts w:eastAsia="Calibri"/>
        </w:rPr>
        <w:t xml:space="preserve">on the current </w:t>
      </w:r>
      <w:r w:rsidR="008911CB">
        <w:rPr>
          <w:rFonts w:eastAsia="Calibri"/>
        </w:rPr>
        <w:t>Regulations</w:t>
      </w:r>
      <w:r w:rsidR="00EC0E22" w:rsidRPr="00427EE1">
        <w:rPr>
          <w:rFonts w:eastAsia="Calibri"/>
        </w:rPr>
        <w:t xml:space="preserve"> </w:t>
      </w:r>
      <w:r w:rsidRPr="00427EE1">
        <w:rPr>
          <w:rFonts w:eastAsia="Calibri"/>
        </w:rPr>
        <w:t>from 44 stakeholders. Submissions were received from a wide range of industry stakeholders including:</w:t>
      </w:r>
    </w:p>
    <w:p w:rsidR="004F7D03" w:rsidRPr="00427EE1" w:rsidRDefault="004F7D03" w:rsidP="00185580">
      <w:pPr>
        <w:pStyle w:val="Dotpoint"/>
        <w:rPr>
          <w:rFonts w:eastAsia="Calibri"/>
        </w:rPr>
      </w:pPr>
      <w:r w:rsidRPr="00427EE1">
        <w:rPr>
          <w:rFonts w:eastAsia="Calibri"/>
        </w:rPr>
        <w:t>peak industry bodies</w:t>
      </w:r>
    </w:p>
    <w:p w:rsidR="004F7D03" w:rsidRPr="00427EE1" w:rsidRDefault="004F7D03" w:rsidP="00185580">
      <w:pPr>
        <w:pStyle w:val="Dotpoint"/>
        <w:rPr>
          <w:rFonts w:eastAsia="Calibri"/>
        </w:rPr>
      </w:pPr>
      <w:r w:rsidRPr="00427EE1">
        <w:rPr>
          <w:rFonts w:eastAsia="Calibri"/>
        </w:rPr>
        <w:t>fire authorities</w:t>
      </w:r>
    </w:p>
    <w:p w:rsidR="004F7D03" w:rsidRPr="00427EE1" w:rsidRDefault="000F16AC" w:rsidP="00185580">
      <w:pPr>
        <w:pStyle w:val="Dotpoint"/>
        <w:rPr>
          <w:rFonts w:eastAsia="Calibri"/>
        </w:rPr>
      </w:pPr>
      <w:r>
        <w:rPr>
          <w:rFonts w:eastAsia="Calibri"/>
        </w:rPr>
        <w:t xml:space="preserve">councils </w:t>
      </w:r>
    </w:p>
    <w:p w:rsidR="004F7D03" w:rsidRPr="00427EE1" w:rsidRDefault="004F7D03" w:rsidP="00185580">
      <w:pPr>
        <w:pStyle w:val="Dotpointlast"/>
        <w:rPr>
          <w:rFonts w:eastAsia="Calibri"/>
        </w:rPr>
      </w:pPr>
      <w:r w:rsidRPr="00427EE1">
        <w:rPr>
          <w:rFonts w:eastAsia="Calibri"/>
        </w:rPr>
        <w:t>individual practitioners</w:t>
      </w:r>
      <w:r w:rsidR="00BA0238" w:rsidRPr="00427EE1">
        <w:rPr>
          <w:rFonts w:eastAsia="Calibri"/>
        </w:rPr>
        <w:t>.</w:t>
      </w:r>
    </w:p>
    <w:p w:rsidR="004F7D03" w:rsidRPr="00427EE1" w:rsidRDefault="004F7D03" w:rsidP="00185580">
      <w:pPr>
        <w:rPr>
          <w:rFonts w:eastAsia="Calibri"/>
        </w:rPr>
      </w:pPr>
      <w:r w:rsidRPr="00427EE1">
        <w:rPr>
          <w:rFonts w:eastAsia="Calibri"/>
        </w:rPr>
        <w:t xml:space="preserve">Each submission was reviewed by </w:t>
      </w:r>
      <w:r w:rsidR="00195602">
        <w:rPr>
          <w:rFonts w:eastAsia="Calibri"/>
        </w:rPr>
        <w:t>d</w:t>
      </w:r>
      <w:r w:rsidRPr="00427EE1">
        <w:rPr>
          <w:rFonts w:eastAsia="Calibri"/>
        </w:rPr>
        <w:t>epartment officers and a preliminary response to each submission was developed in consultation with technical advis</w:t>
      </w:r>
      <w:r w:rsidR="004E083D">
        <w:rPr>
          <w:rFonts w:eastAsia="Calibri"/>
        </w:rPr>
        <w:t>e</w:t>
      </w:r>
      <w:r w:rsidRPr="00427EE1">
        <w:rPr>
          <w:rFonts w:eastAsia="Calibri"/>
        </w:rPr>
        <w:t xml:space="preserve">rs from </w:t>
      </w:r>
      <w:r w:rsidR="0049530B">
        <w:rPr>
          <w:rFonts w:eastAsia="Calibri"/>
        </w:rPr>
        <w:t xml:space="preserve">the </w:t>
      </w:r>
      <w:r w:rsidR="00720C4E">
        <w:rPr>
          <w:rFonts w:eastAsia="Calibri"/>
        </w:rPr>
        <w:t>VBA</w:t>
      </w:r>
      <w:r w:rsidRPr="00427EE1">
        <w:rPr>
          <w:rFonts w:eastAsia="Calibri"/>
        </w:rPr>
        <w:t>.</w:t>
      </w:r>
    </w:p>
    <w:p w:rsidR="004F7D03" w:rsidRPr="00427EE1" w:rsidRDefault="004F7D03" w:rsidP="00185580">
      <w:pPr>
        <w:pStyle w:val="Normalpre-dotpoint"/>
        <w:rPr>
          <w:rFonts w:eastAsia="Calibri"/>
        </w:rPr>
      </w:pPr>
      <w:r w:rsidRPr="00427EE1">
        <w:rPr>
          <w:rFonts w:eastAsia="Calibri"/>
        </w:rPr>
        <w:t xml:space="preserve">The submission process confirmed that stakeholders (industry and regulators) support regulation and thought the current Regulations were generally working well. However, </w:t>
      </w:r>
      <w:r w:rsidR="000F16AC">
        <w:rPr>
          <w:rFonts w:eastAsia="Calibri"/>
        </w:rPr>
        <w:t xml:space="preserve">the </w:t>
      </w:r>
      <w:r w:rsidRPr="00427EE1">
        <w:rPr>
          <w:rFonts w:eastAsia="Calibri"/>
        </w:rPr>
        <w:t>assessment of submissions indicated there was scope to:</w:t>
      </w:r>
    </w:p>
    <w:p w:rsidR="004F7D03" w:rsidRPr="00427EE1" w:rsidRDefault="004F7D03" w:rsidP="00185580">
      <w:pPr>
        <w:pStyle w:val="Dotpoint"/>
      </w:pPr>
      <w:r w:rsidRPr="00427EE1">
        <w:t>move to a more risk-based approach to regulating buildings and building work</w:t>
      </w:r>
    </w:p>
    <w:p w:rsidR="00D615BC" w:rsidRPr="00427EE1" w:rsidRDefault="004F7D03" w:rsidP="00185580">
      <w:pPr>
        <w:pStyle w:val="Dotpoint"/>
      </w:pPr>
      <w:r w:rsidRPr="00427EE1">
        <w:t>reduce the complexity and inflexibility of regulatory requirements</w:t>
      </w:r>
    </w:p>
    <w:p w:rsidR="004F7D03" w:rsidRPr="00427EE1" w:rsidRDefault="004F7D03" w:rsidP="00185580">
      <w:pPr>
        <w:pStyle w:val="Dotpoint"/>
      </w:pPr>
      <w:r w:rsidRPr="00427EE1">
        <w:t>streamline administrative processes</w:t>
      </w:r>
    </w:p>
    <w:p w:rsidR="004F7D03" w:rsidRPr="00427EE1" w:rsidRDefault="004F7D03" w:rsidP="00185580">
      <w:pPr>
        <w:pStyle w:val="Dotpoint"/>
      </w:pPr>
      <w:r w:rsidRPr="00427EE1">
        <w:t xml:space="preserve">improve the design of the </w:t>
      </w:r>
      <w:r w:rsidR="008911CB">
        <w:t>Regulations</w:t>
      </w:r>
      <w:r w:rsidRPr="00427EE1">
        <w:t xml:space="preserve"> </w:t>
      </w:r>
    </w:p>
    <w:p w:rsidR="00E657D7" w:rsidRDefault="004F7D03">
      <w:pPr>
        <w:pStyle w:val="Dotpointlast"/>
      </w:pPr>
      <w:r w:rsidRPr="00427EE1">
        <w:t xml:space="preserve">recognise that </w:t>
      </w:r>
      <w:proofErr w:type="spellStart"/>
      <w:r w:rsidR="0023395A">
        <w:t>non</w:t>
      </w:r>
      <w:r w:rsidRPr="00427EE1">
        <w:t>regulatory</w:t>
      </w:r>
      <w:proofErr w:type="spellEnd"/>
      <w:r w:rsidRPr="00427EE1">
        <w:t xml:space="preserve"> options may be better at</w:t>
      </w:r>
      <w:r w:rsidR="000F16AC">
        <w:t xml:space="preserve"> addressing </w:t>
      </w:r>
      <w:r w:rsidRPr="00427EE1">
        <w:t>harms</w:t>
      </w:r>
      <w:r w:rsidR="000F16AC">
        <w:t xml:space="preserve"> </w:t>
      </w:r>
      <w:r w:rsidRPr="00427EE1">
        <w:t>and</w:t>
      </w:r>
      <w:r w:rsidR="000F16AC">
        <w:t xml:space="preserve"> </w:t>
      </w:r>
      <w:r w:rsidRPr="00427EE1">
        <w:t>improving outcomes.</w:t>
      </w:r>
    </w:p>
    <w:p w:rsidR="00E657D7" w:rsidRPr="003448D2" w:rsidRDefault="004F7D03">
      <w:pPr>
        <w:pStyle w:val="Normalpre-dotpoint"/>
        <w:rPr>
          <w:rFonts w:eastAsia="Calibri"/>
          <w:szCs w:val="20"/>
        </w:rPr>
      </w:pPr>
      <w:r w:rsidRPr="00427EE1">
        <w:rPr>
          <w:rFonts w:eastAsia="Calibri"/>
        </w:rPr>
        <w:t>The policy areas that were the subject of a high volume of submissions related to</w:t>
      </w:r>
      <w:r w:rsidR="007D176F" w:rsidRPr="00427EE1">
        <w:rPr>
          <w:rFonts w:eastAsia="Calibri"/>
        </w:rPr>
        <w:t xml:space="preserve"> </w:t>
      </w:r>
      <w:r w:rsidR="008911CB" w:rsidRPr="003448D2">
        <w:rPr>
          <w:rFonts w:eastAsia="Calibri"/>
          <w:szCs w:val="20"/>
        </w:rPr>
        <w:t>Regulations</w:t>
      </w:r>
      <w:r w:rsidR="007D176F" w:rsidRPr="003448D2">
        <w:rPr>
          <w:rFonts w:eastAsia="Calibri"/>
          <w:szCs w:val="20"/>
        </w:rPr>
        <w:t xml:space="preserve"> asse</w:t>
      </w:r>
      <w:r w:rsidR="00E66F04" w:rsidRPr="003448D2">
        <w:rPr>
          <w:rFonts w:eastAsia="Calibri"/>
          <w:szCs w:val="20"/>
        </w:rPr>
        <w:t>ssed</w:t>
      </w:r>
      <w:r w:rsidR="007D176F" w:rsidRPr="003448D2">
        <w:rPr>
          <w:rFonts w:eastAsia="Calibri"/>
          <w:szCs w:val="20"/>
        </w:rPr>
        <w:t xml:space="preserve"> in </w:t>
      </w:r>
      <w:r w:rsidR="004267C5" w:rsidRPr="003448D2">
        <w:rPr>
          <w:rFonts w:eastAsia="Calibri"/>
          <w:szCs w:val="20"/>
        </w:rPr>
        <w:t xml:space="preserve">RIS </w:t>
      </w:r>
      <w:r w:rsidR="007D176F" w:rsidRPr="003448D2">
        <w:rPr>
          <w:rFonts w:eastAsia="Calibri"/>
          <w:szCs w:val="20"/>
        </w:rPr>
        <w:t>Part B</w:t>
      </w:r>
      <w:r w:rsidR="000F16AC" w:rsidRPr="003448D2">
        <w:rPr>
          <w:rFonts w:eastAsia="Calibri"/>
          <w:szCs w:val="20"/>
        </w:rPr>
        <w:t>:</w:t>
      </w:r>
    </w:p>
    <w:p w:rsidR="00E657D7" w:rsidRPr="003448D2" w:rsidRDefault="00AC1A59">
      <w:pPr>
        <w:pStyle w:val="Dotpoint"/>
        <w:rPr>
          <w:rFonts w:eastAsia="Calibri"/>
          <w:szCs w:val="20"/>
        </w:rPr>
      </w:pPr>
      <w:r w:rsidRPr="003448D2">
        <w:rPr>
          <w:rFonts w:eastAsia="Calibri"/>
          <w:szCs w:val="20"/>
        </w:rPr>
        <w:t xml:space="preserve">in the design phase, </w:t>
      </w:r>
      <w:r w:rsidR="004F7D03" w:rsidRPr="003448D2">
        <w:rPr>
          <w:rFonts w:eastAsia="Calibri"/>
          <w:szCs w:val="20"/>
        </w:rPr>
        <w:t xml:space="preserve">building permits, report and consent </w:t>
      </w:r>
      <w:r w:rsidRPr="003448D2">
        <w:rPr>
          <w:rFonts w:eastAsia="Calibri"/>
          <w:szCs w:val="20"/>
        </w:rPr>
        <w:t>and mandatory notifications for stages of building work</w:t>
      </w:r>
    </w:p>
    <w:p w:rsidR="00E657D7" w:rsidRPr="003448D2" w:rsidRDefault="00AC1A59">
      <w:pPr>
        <w:pStyle w:val="Dotpoint"/>
        <w:rPr>
          <w:rFonts w:eastAsia="Calibri"/>
          <w:szCs w:val="20"/>
        </w:rPr>
      </w:pPr>
      <w:r w:rsidRPr="003448D2">
        <w:rPr>
          <w:rFonts w:eastAsia="Calibri"/>
          <w:szCs w:val="20"/>
        </w:rPr>
        <w:t>in the construction phase</w:t>
      </w:r>
      <w:r w:rsidR="000F16AC" w:rsidRPr="003448D2">
        <w:rPr>
          <w:rFonts w:eastAsia="Calibri"/>
          <w:szCs w:val="20"/>
        </w:rPr>
        <w:t xml:space="preserve">, </w:t>
      </w:r>
      <w:r w:rsidR="004F7D03" w:rsidRPr="003448D2">
        <w:rPr>
          <w:rFonts w:eastAsia="Calibri"/>
          <w:szCs w:val="20"/>
        </w:rPr>
        <w:t>qualifications and protection work</w:t>
      </w:r>
    </w:p>
    <w:p w:rsidR="00E657D7" w:rsidRPr="003448D2" w:rsidRDefault="00AC1A59">
      <w:pPr>
        <w:pStyle w:val="Dotpointlast"/>
        <w:rPr>
          <w:rFonts w:eastAsia="Calibri"/>
          <w:szCs w:val="20"/>
        </w:rPr>
      </w:pPr>
      <w:r w:rsidRPr="003448D2">
        <w:rPr>
          <w:rFonts w:eastAsia="Calibri"/>
          <w:szCs w:val="20"/>
        </w:rPr>
        <w:t xml:space="preserve">in the completion / use stage, </w:t>
      </w:r>
      <w:r w:rsidR="004F7D03" w:rsidRPr="003448D2">
        <w:rPr>
          <w:rFonts w:eastAsia="Calibri"/>
          <w:szCs w:val="20"/>
        </w:rPr>
        <w:t>essential safety measures</w:t>
      </w:r>
      <w:r w:rsidR="00666D12">
        <w:rPr>
          <w:rFonts w:eastAsia="Calibri"/>
          <w:szCs w:val="20"/>
        </w:rPr>
        <w:t xml:space="preserve"> (ESMs)</w:t>
      </w:r>
      <w:r w:rsidR="004F7D03" w:rsidRPr="003448D2">
        <w:rPr>
          <w:rFonts w:eastAsia="Calibri"/>
          <w:szCs w:val="20"/>
        </w:rPr>
        <w:t xml:space="preserve"> and </w:t>
      </w:r>
      <w:proofErr w:type="spellStart"/>
      <w:r w:rsidR="00A030CC" w:rsidRPr="003448D2">
        <w:rPr>
          <w:rFonts w:eastAsia="Calibri"/>
          <w:szCs w:val="20"/>
        </w:rPr>
        <w:t>PoPEs</w:t>
      </w:r>
      <w:proofErr w:type="spellEnd"/>
      <w:r w:rsidRPr="003448D2">
        <w:rPr>
          <w:rFonts w:eastAsia="Calibri"/>
          <w:szCs w:val="20"/>
        </w:rPr>
        <w:t>.</w:t>
      </w:r>
    </w:p>
    <w:p w:rsidR="002D5E35" w:rsidRDefault="002D5E35">
      <w:pPr>
        <w:spacing w:after="0"/>
        <w:rPr>
          <w:rFonts w:eastAsia="Calibri"/>
          <w:szCs w:val="20"/>
        </w:rPr>
      </w:pPr>
      <w:r>
        <w:rPr>
          <w:rFonts w:eastAsia="Calibri"/>
          <w:szCs w:val="20"/>
        </w:rPr>
        <w:br w:type="page"/>
      </w:r>
    </w:p>
    <w:p w:rsidR="004F7D03" w:rsidRPr="003448D2" w:rsidRDefault="004F7D03" w:rsidP="00185580">
      <w:pPr>
        <w:rPr>
          <w:rFonts w:eastAsia="Calibri"/>
          <w:szCs w:val="20"/>
        </w:rPr>
      </w:pPr>
      <w:r w:rsidRPr="003448D2">
        <w:rPr>
          <w:rFonts w:eastAsia="Calibri"/>
          <w:szCs w:val="20"/>
        </w:rPr>
        <w:lastRenderedPageBreak/>
        <w:t>The submission process also highlighted opportunities to reduce red tape, resulting in amendments having al</w:t>
      </w:r>
      <w:r w:rsidR="00854EF0" w:rsidRPr="003448D2">
        <w:rPr>
          <w:rFonts w:eastAsia="Calibri"/>
          <w:szCs w:val="20"/>
        </w:rPr>
        <w:t xml:space="preserve">ready been made to the current </w:t>
      </w:r>
      <w:r w:rsidR="008911CB" w:rsidRPr="003448D2">
        <w:rPr>
          <w:rFonts w:eastAsia="Calibri"/>
          <w:szCs w:val="20"/>
        </w:rPr>
        <w:t>Regulations</w:t>
      </w:r>
      <w:r w:rsidRPr="003448D2">
        <w:rPr>
          <w:rFonts w:eastAsia="Calibri"/>
          <w:szCs w:val="20"/>
        </w:rPr>
        <w:t>. These include aligning building permit timeframes for swimming pools</w:t>
      </w:r>
      <w:r w:rsidRPr="003448D2">
        <w:rPr>
          <w:rFonts w:eastAsia="Calibri"/>
          <w:szCs w:val="20"/>
          <w:vertAlign w:val="superscript"/>
        </w:rPr>
        <w:footnoteReference w:id="54"/>
      </w:r>
      <w:r w:rsidRPr="003448D2">
        <w:rPr>
          <w:rFonts w:eastAsia="Calibri"/>
          <w:szCs w:val="20"/>
        </w:rPr>
        <w:t>, enabling building owners to maintain fire</w:t>
      </w:r>
      <w:r w:rsidR="007C5A88" w:rsidRPr="003448D2">
        <w:rPr>
          <w:rFonts w:eastAsia="Calibri"/>
          <w:szCs w:val="20"/>
        </w:rPr>
        <w:t>-</w:t>
      </w:r>
      <w:r w:rsidRPr="003448D2">
        <w:rPr>
          <w:rFonts w:eastAsia="Calibri"/>
          <w:szCs w:val="20"/>
        </w:rPr>
        <w:t xml:space="preserve">related </w:t>
      </w:r>
      <w:r w:rsidR="001E51A6" w:rsidRPr="003448D2">
        <w:rPr>
          <w:rFonts w:eastAsia="Calibri"/>
          <w:szCs w:val="20"/>
        </w:rPr>
        <w:t xml:space="preserve">ESMs </w:t>
      </w:r>
      <w:r w:rsidRPr="003448D2">
        <w:rPr>
          <w:rFonts w:eastAsia="Calibri"/>
          <w:szCs w:val="20"/>
        </w:rPr>
        <w:t>in accordance with the most current technical standard</w:t>
      </w:r>
      <w:r w:rsidRPr="003448D2">
        <w:rPr>
          <w:rFonts w:eastAsia="Calibri"/>
          <w:szCs w:val="20"/>
          <w:vertAlign w:val="superscript"/>
        </w:rPr>
        <w:footnoteReference w:id="55"/>
      </w:r>
      <w:r w:rsidRPr="003448D2">
        <w:rPr>
          <w:rFonts w:eastAsia="Calibri"/>
          <w:szCs w:val="20"/>
        </w:rPr>
        <w:t xml:space="preserve"> and enabling </w:t>
      </w:r>
      <w:r w:rsidR="00F65303" w:rsidRPr="003448D2">
        <w:rPr>
          <w:rFonts w:eastAsia="Calibri"/>
          <w:szCs w:val="20"/>
        </w:rPr>
        <w:t>better alignment of siting and set</w:t>
      </w:r>
      <w:r w:rsidR="007C5A88" w:rsidRPr="003448D2">
        <w:rPr>
          <w:rFonts w:eastAsia="Calibri"/>
          <w:szCs w:val="20"/>
        </w:rPr>
        <w:t>back</w:t>
      </w:r>
      <w:r w:rsidR="00F65303" w:rsidRPr="003448D2">
        <w:rPr>
          <w:rFonts w:eastAsia="Calibri"/>
          <w:szCs w:val="20"/>
        </w:rPr>
        <w:t xml:space="preserve"> requirements across </w:t>
      </w:r>
      <w:r w:rsidR="00195602" w:rsidRPr="003448D2">
        <w:rPr>
          <w:rFonts w:eastAsia="Calibri"/>
          <w:szCs w:val="20"/>
        </w:rPr>
        <w:t>c</w:t>
      </w:r>
      <w:r w:rsidR="00F65303" w:rsidRPr="003448D2">
        <w:rPr>
          <w:rFonts w:eastAsia="Calibri"/>
          <w:szCs w:val="20"/>
        </w:rPr>
        <w:t>ouncil planning schemes in relation to irregular</w:t>
      </w:r>
      <w:r w:rsidR="001E51A6" w:rsidRPr="003448D2">
        <w:rPr>
          <w:rFonts w:eastAsia="Calibri"/>
          <w:szCs w:val="20"/>
        </w:rPr>
        <w:t xml:space="preserve">ly </w:t>
      </w:r>
      <w:r w:rsidR="00F65303" w:rsidRPr="003448D2">
        <w:rPr>
          <w:rFonts w:eastAsia="Calibri"/>
          <w:szCs w:val="20"/>
        </w:rPr>
        <w:t xml:space="preserve">shaped </w:t>
      </w:r>
      <w:r w:rsidR="00E5237C" w:rsidRPr="003448D2">
        <w:rPr>
          <w:rFonts w:eastAsia="Calibri"/>
          <w:szCs w:val="20"/>
        </w:rPr>
        <w:t>blocks</w:t>
      </w:r>
      <w:r w:rsidR="0049530B">
        <w:rPr>
          <w:rFonts w:eastAsia="Calibri"/>
          <w:szCs w:val="20"/>
        </w:rPr>
        <w:t>.</w:t>
      </w:r>
      <w:r w:rsidRPr="003448D2">
        <w:rPr>
          <w:rFonts w:eastAsia="Calibri"/>
          <w:szCs w:val="20"/>
          <w:vertAlign w:val="superscript"/>
        </w:rPr>
        <w:footnoteReference w:id="56"/>
      </w:r>
    </w:p>
    <w:p w:rsidR="00D615BC" w:rsidRPr="00427EE1" w:rsidRDefault="004F7D03" w:rsidP="00185580">
      <w:pPr>
        <w:rPr>
          <w:rFonts w:eastAsia="Calibri"/>
        </w:rPr>
      </w:pPr>
      <w:r w:rsidRPr="00427EE1">
        <w:rPr>
          <w:rFonts w:eastAsia="Calibri"/>
        </w:rPr>
        <w:t xml:space="preserve">The </w:t>
      </w:r>
      <w:r w:rsidR="00195602">
        <w:rPr>
          <w:rFonts w:eastAsia="Calibri"/>
        </w:rPr>
        <w:t>department</w:t>
      </w:r>
      <w:r w:rsidRPr="00427EE1">
        <w:rPr>
          <w:rFonts w:eastAsia="Calibri"/>
        </w:rPr>
        <w:t xml:space="preserve"> also review</w:t>
      </w:r>
      <w:r w:rsidR="001E51A6">
        <w:rPr>
          <w:rFonts w:eastAsia="Calibri"/>
        </w:rPr>
        <w:t>ed</w:t>
      </w:r>
      <w:r w:rsidRPr="00427EE1">
        <w:rPr>
          <w:rFonts w:eastAsia="Calibri"/>
        </w:rPr>
        <w:t xml:space="preserve"> </w:t>
      </w:r>
      <w:r w:rsidR="008911CB">
        <w:rPr>
          <w:rFonts w:eastAsia="Calibri"/>
        </w:rPr>
        <w:t>m</w:t>
      </w:r>
      <w:r w:rsidRPr="00427EE1">
        <w:rPr>
          <w:rFonts w:eastAsia="Calibri"/>
        </w:rPr>
        <w:t>inisterial correspondence received between 2007</w:t>
      </w:r>
      <w:r w:rsidR="001E51A6">
        <w:rPr>
          <w:rFonts w:eastAsia="Calibri"/>
        </w:rPr>
        <w:t>–</w:t>
      </w:r>
      <w:r w:rsidRPr="00427EE1">
        <w:rPr>
          <w:rFonts w:eastAsia="Calibri"/>
        </w:rPr>
        <w:t xml:space="preserve">11 to determine whether there were any particular issues associated with policy areas that were raised with the Minister via correspondence. In total, 673 pieces of correspondence were identified and a desktop analysis </w:t>
      </w:r>
      <w:r w:rsidR="001E51A6">
        <w:rPr>
          <w:rFonts w:eastAsia="Calibri"/>
        </w:rPr>
        <w:t xml:space="preserve">of </w:t>
      </w:r>
      <w:r w:rsidRPr="00427EE1">
        <w:rPr>
          <w:rFonts w:eastAsia="Calibri"/>
        </w:rPr>
        <w:t xml:space="preserve">each </w:t>
      </w:r>
      <w:r w:rsidR="00DC56A5">
        <w:rPr>
          <w:rFonts w:eastAsia="Calibri"/>
        </w:rPr>
        <w:t xml:space="preserve">was </w:t>
      </w:r>
      <w:r w:rsidRPr="00427EE1">
        <w:rPr>
          <w:rFonts w:eastAsia="Calibri"/>
        </w:rPr>
        <w:t>undertaken to assess the quality of the evidence in relation to each issue.</w:t>
      </w:r>
    </w:p>
    <w:p w:rsidR="004F7D03" w:rsidRPr="00427EE1" w:rsidRDefault="004F7D03" w:rsidP="00DC56A5">
      <w:pPr>
        <w:pStyle w:val="Normalpre-dotpoint"/>
        <w:rPr>
          <w:rFonts w:eastAsia="Calibri"/>
        </w:rPr>
      </w:pPr>
      <w:r w:rsidRPr="00427EE1">
        <w:rPr>
          <w:rFonts w:eastAsia="Calibri"/>
        </w:rPr>
        <w:t xml:space="preserve">This assessment identified </w:t>
      </w:r>
      <w:r w:rsidR="00DC56A5">
        <w:rPr>
          <w:rFonts w:eastAsia="Calibri"/>
        </w:rPr>
        <w:t xml:space="preserve">the main </w:t>
      </w:r>
      <w:r w:rsidRPr="00427EE1">
        <w:rPr>
          <w:rFonts w:eastAsia="Calibri"/>
        </w:rPr>
        <w:t xml:space="preserve">issues </w:t>
      </w:r>
      <w:r w:rsidR="00DC56A5">
        <w:rPr>
          <w:rFonts w:eastAsia="Calibri"/>
        </w:rPr>
        <w:t xml:space="preserve">raised in </w:t>
      </w:r>
      <w:r w:rsidRPr="00427EE1">
        <w:rPr>
          <w:rFonts w:eastAsia="Calibri"/>
        </w:rPr>
        <w:t xml:space="preserve">ministerial correspondence in relation to the current </w:t>
      </w:r>
      <w:r w:rsidR="008911CB">
        <w:rPr>
          <w:rFonts w:eastAsia="Calibri"/>
        </w:rPr>
        <w:t>Regulations</w:t>
      </w:r>
      <w:r w:rsidRPr="00427EE1">
        <w:rPr>
          <w:rFonts w:eastAsia="Calibri"/>
        </w:rPr>
        <w:t xml:space="preserve"> </w:t>
      </w:r>
      <w:r w:rsidR="00DC56A5">
        <w:rPr>
          <w:rFonts w:eastAsia="Calibri"/>
        </w:rPr>
        <w:t>were</w:t>
      </w:r>
      <w:r w:rsidRPr="00427EE1">
        <w:rPr>
          <w:rFonts w:eastAsia="Calibri"/>
        </w:rPr>
        <w:t>:</w:t>
      </w:r>
    </w:p>
    <w:p w:rsidR="004F7D03" w:rsidRPr="00E657D7" w:rsidRDefault="00AC1A59" w:rsidP="00185580">
      <w:pPr>
        <w:pStyle w:val="Dotpoint"/>
        <w:rPr>
          <w:rFonts w:eastAsia="Calibri"/>
        </w:rPr>
      </w:pPr>
      <w:r w:rsidRPr="00E657D7">
        <w:rPr>
          <w:rFonts w:eastAsia="Calibri"/>
        </w:rPr>
        <w:t xml:space="preserve">in the design phase, </w:t>
      </w:r>
      <w:r w:rsidR="004F7D03" w:rsidRPr="00E657D7">
        <w:rPr>
          <w:rFonts w:eastAsia="Calibri"/>
        </w:rPr>
        <w:t>report and consent, construction requirements associated with bushfires</w:t>
      </w:r>
      <w:r w:rsidR="00DC56A5" w:rsidRPr="00E657D7">
        <w:rPr>
          <w:rFonts w:eastAsia="Calibri"/>
        </w:rPr>
        <w:t xml:space="preserve"> and </w:t>
      </w:r>
      <w:r w:rsidRPr="00E657D7">
        <w:rPr>
          <w:rFonts w:eastAsia="Calibri"/>
        </w:rPr>
        <w:t>stormwater drainage</w:t>
      </w:r>
    </w:p>
    <w:p w:rsidR="004F7D03" w:rsidRPr="00E657D7" w:rsidRDefault="00AC1A59" w:rsidP="00185580">
      <w:pPr>
        <w:pStyle w:val="Dotpoint"/>
        <w:rPr>
          <w:rFonts w:eastAsia="Calibri"/>
        </w:rPr>
      </w:pPr>
      <w:r w:rsidRPr="00E657D7">
        <w:rPr>
          <w:rFonts w:eastAsia="Calibri"/>
        </w:rPr>
        <w:t xml:space="preserve">in the construction phase, </w:t>
      </w:r>
      <w:r w:rsidR="004F7D03" w:rsidRPr="00E657D7">
        <w:rPr>
          <w:rFonts w:eastAsia="Calibri"/>
        </w:rPr>
        <w:t>building work on adjoining property (particularly in relation to residential development and protection work), prescribed qualifications, energy efficiency and owner</w:t>
      </w:r>
      <w:r w:rsidR="007C5A88" w:rsidRPr="00E657D7">
        <w:rPr>
          <w:rFonts w:eastAsia="Calibri"/>
        </w:rPr>
        <w:t>-</w:t>
      </w:r>
      <w:r w:rsidRPr="00E657D7">
        <w:rPr>
          <w:rFonts w:eastAsia="Calibri"/>
        </w:rPr>
        <w:t>builder requirements</w:t>
      </w:r>
    </w:p>
    <w:p w:rsidR="004F7D03" w:rsidRPr="00E657D7" w:rsidRDefault="00AC1A59" w:rsidP="00185580">
      <w:pPr>
        <w:pStyle w:val="Dotpointlast"/>
        <w:rPr>
          <w:rFonts w:eastAsia="Calibri"/>
        </w:rPr>
      </w:pPr>
      <w:r w:rsidRPr="00E657D7">
        <w:rPr>
          <w:rFonts w:eastAsia="Calibri"/>
        </w:rPr>
        <w:t xml:space="preserve">in the completion / use phase, </w:t>
      </w:r>
      <w:r w:rsidR="004F7D03" w:rsidRPr="00E657D7">
        <w:rPr>
          <w:rFonts w:eastAsia="Calibri"/>
        </w:rPr>
        <w:t>swimming pool barriers and disputes associated with defective building work.</w:t>
      </w:r>
    </w:p>
    <w:p w:rsidR="004F7D03" w:rsidRPr="00427EE1" w:rsidRDefault="003448D2" w:rsidP="00C14778">
      <w:pPr>
        <w:pStyle w:val="Heading3"/>
      </w:pPr>
      <w:bookmarkStart w:id="51" w:name="_Toc481501575"/>
      <w:r>
        <w:t>2.2.3</w:t>
      </w:r>
      <w:r>
        <w:tab/>
      </w:r>
      <w:r w:rsidR="004F7D03" w:rsidRPr="00427EE1">
        <w:t>Risk and impact assessment</w:t>
      </w:r>
      <w:bookmarkEnd w:id="51"/>
    </w:p>
    <w:p w:rsidR="004F7D03" w:rsidRPr="00427EE1" w:rsidRDefault="004F7D03" w:rsidP="00FE7837">
      <w:pPr>
        <w:rPr>
          <w:rFonts w:eastAsia="Calibri"/>
        </w:rPr>
      </w:pPr>
      <w:r w:rsidRPr="00427EE1">
        <w:rPr>
          <w:rFonts w:eastAsia="Calibri"/>
        </w:rPr>
        <w:t xml:space="preserve">The </w:t>
      </w:r>
      <w:r w:rsidR="00195602">
        <w:rPr>
          <w:rFonts w:eastAsia="Calibri"/>
        </w:rPr>
        <w:t>department</w:t>
      </w:r>
      <w:r w:rsidRPr="00427EE1">
        <w:rPr>
          <w:rFonts w:eastAsia="Calibri"/>
        </w:rPr>
        <w:t xml:space="preserve"> undertook a pre</w:t>
      </w:r>
      <w:r w:rsidR="00854EF0" w:rsidRPr="00427EE1">
        <w:rPr>
          <w:rFonts w:eastAsia="Calibri"/>
        </w:rPr>
        <w:t xml:space="preserve">liminary review of the </w:t>
      </w:r>
      <w:r w:rsidR="00DC56A5">
        <w:rPr>
          <w:rFonts w:eastAsia="Calibri"/>
        </w:rPr>
        <w:t>c</w:t>
      </w:r>
      <w:r w:rsidR="00195602">
        <w:rPr>
          <w:rFonts w:eastAsia="Calibri"/>
        </w:rPr>
        <w:t>urrent Regulations</w:t>
      </w:r>
      <w:r w:rsidR="00854EF0" w:rsidRPr="00427EE1">
        <w:rPr>
          <w:rFonts w:eastAsia="Calibri"/>
        </w:rPr>
        <w:t xml:space="preserve"> </w:t>
      </w:r>
      <w:r w:rsidRPr="00427EE1">
        <w:rPr>
          <w:rFonts w:eastAsia="Calibri"/>
        </w:rPr>
        <w:t>to determine the need for the</w:t>
      </w:r>
      <w:r w:rsidR="00DC56A5">
        <w:rPr>
          <w:rFonts w:eastAsia="Calibri"/>
        </w:rPr>
        <w:t>m</w:t>
      </w:r>
      <w:r w:rsidRPr="00427EE1">
        <w:rPr>
          <w:rFonts w:eastAsia="Calibri"/>
        </w:rPr>
        <w:t xml:space="preserve">, whether any needed to be modified or new ones added </w:t>
      </w:r>
      <w:r w:rsidR="00DC56A5">
        <w:rPr>
          <w:rFonts w:eastAsia="Calibri"/>
        </w:rPr>
        <w:t xml:space="preserve">and </w:t>
      </w:r>
      <w:r w:rsidRPr="00427EE1">
        <w:rPr>
          <w:rFonts w:eastAsia="Calibri"/>
        </w:rPr>
        <w:t xml:space="preserve">whether there are better alternative solutions. This was undertaken </w:t>
      </w:r>
      <w:r w:rsidR="00DC56A5">
        <w:rPr>
          <w:rFonts w:eastAsia="Calibri"/>
        </w:rPr>
        <w:t xml:space="preserve">as </w:t>
      </w:r>
      <w:r w:rsidRPr="00427EE1">
        <w:rPr>
          <w:rFonts w:eastAsia="Calibri"/>
        </w:rPr>
        <w:t>a risk and impact assessment</w:t>
      </w:r>
      <w:r w:rsidR="00DC56A5">
        <w:rPr>
          <w:rFonts w:eastAsia="Calibri"/>
        </w:rPr>
        <w:t>.</w:t>
      </w:r>
      <w:r w:rsidR="004267C5">
        <w:rPr>
          <w:rFonts w:eastAsia="Calibri"/>
        </w:rPr>
        <w:t xml:space="preserve"> </w:t>
      </w:r>
      <w:r w:rsidR="00DE6971">
        <w:fldChar w:fldCharType="begin"/>
      </w:r>
      <w:r w:rsidR="00DE6971">
        <w:instrText xml:space="preserve"> REF _Ref480966510 \h  \* MERGEFORMAT </w:instrText>
      </w:r>
      <w:r w:rsidR="00DE6971">
        <w:fldChar w:fldCharType="separate"/>
      </w:r>
      <w:r w:rsidR="00B30389" w:rsidRPr="00B30389">
        <w:rPr>
          <w:b/>
          <w:color w:val="00B2A9" w:themeColor="accent1"/>
          <w:szCs w:val="20"/>
        </w:rPr>
        <w:t>Figure 6</w:t>
      </w:r>
      <w:r w:rsidR="00DE6971">
        <w:fldChar w:fldCharType="end"/>
      </w:r>
      <w:r w:rsidR="00DC56A5">
        <w:rPr>
          <w:rFonts w:eastAsia="Calibri"/>
        </w:rPr>
        <w:t xml:space="preserve"> </w:t>
      </w:r>
      <w:r w:rsidRPr="00427EE1">
        <w:rPr>
          <w:rFonts w:eastAsia="Calibri"/>
        </w:rPr>
        <w:t>summarises the methodology used for the assessment.</w:t>
      </w:r>
    </w:p>
    <w:p w:rsidR="004F7D03" w:rsidRPr="00427EE1" w:rsidRDefault="00AA4331" w:rsidP="00E657D7">
      <w:pPr>
        <w:pStyle w:val="Caption"/>
        <w:jc w:val="center"/>
        <w:rPr>
          <w:rFonts w:eastAsia="Calibri"/>
          <w:color w:val="642667" w:themeColor="text2"/>
        </w:rPr>
      </w:pPr>
      <w:bookmarkStart w:id="52" w:name="_Ref480966510"/>
      <w:r>
        <w:rPr>
          <w:rFonts w:eastAsia="Calibri"/>
        </w:rPr>
        <w:pict>
          <v:group id="Canvas 1058" o:spid="_x0000_s1079" style="position:absolute;left:0;text-align:left;margin-left:10.55pt;margin-top:2.05pt;width:411.05pt;height:174.7pt;z-index:251665408" coordsize="52203,2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0" type="#_x0000_t75" style="position:absolute;width:52203;height:22186;visibility:visible">
              <v:fill o:detectmouseclick="t"/>
              <v:path o:connecttype="none"/>
            </v:shape>
            <v:rect id="Rectangle 5" o:spid="_x0000_s1081" style="position:absolute;left:184;top:184;width:8712;height:45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p/cQA&#10;AADbAAAADwAAAGRycy9kb3ducmV2LnhtbESPQWvCQBSE74L/YXlCb7pRUErqKkEoFXsQo2CPz+wz&#10;G5J9G7JrTP99t1DocZiZb5j1drCN6KnzlWMF81kCgrhwuuJSweX8Pn0F4QOyxsYxKfgmD9vNeLTG&#10;VLsnn6jPQykihH2KCkwIbSqlLwxZ9DPXEkfv7jqLIcqulLrDZ4TbRi6SZCUtVhwXDLa0M1TU+cMq&#10;2H9l4eNwexzcNTvV+ac59nV9VOplMmRvIAIN4T/8195rBcsV/H6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vqf3EAAAA2wAAAA8AAAAAAAAAAAAAAAAAmAIAAGRycy9k&#10;b3ducmV2LnhtbFBLBQYAAAAABAAEAPUAAACJAwAAAAA=&#10;" fillcolor="#00b2a9 [3204]" stroked="f"/>
            <v:rect id="Rectangle 6" o:spid="_x0000_s1082" style="position:absolute;left:184;top:184;width:8712;height:45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lj/MMA&#10;AADbAAAADwAAAGRycy9kb3ducmV2LnhtbESPQWvCQBSE7wX/w/IEb3WjYBuiq0iMtCdBI4K3R/aZ&#10;BLNvQ3aN6b/vFoQeh5n5hlltBtOInjpXW1Ywm0YgiAuray4VnPP9ewzCeWSNjWVS8EMONuvR2woT&#10;bZ98pP7kSxEg7BJUUHnfJlK6oiKDbmpb4uDdbGfQB9mVUnf4DHDTyHkUfUiDNYeFCltKKyrup4dR&#10;4L+uPaXZcZu1N2tyvY8Pl12h1GQ8bJcgPA3+P/xqf2sFi0/4+x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lj/MMAAADbAAAADwAAAAAAAAAAAAAAAACYAgAAZHJzL2Rv&#10;d25yZXYueG1sUEsFBgAAAAAEAAQA9QAAAIgDAAAAAA==&#10;" filled="f" strokecolor="white">
              <v:stroke joinstyle="round" endcap="round"/>
            </v:rect>
            <v:rect id="Rectangle 7" o:spid="_x0000_s1083" style="position:absolute;left:667;top:667;width:5600;height:558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S4KsIA&#10;AADcAAAADwAAAGRycy9kb3ducmV2LnhtbESPzYoCMRCE74LvEFrwphkVRWaNIoKgixfHfYBm0vOD&#10;SWdIss7s228WFjwWVfUVtTsM1ogX+dA6VrCYZyCIS6dbrhV8Pc6zLYgQkTUax6TghwIc9uPRDnPt&#10;er7Tq4i1SBAOOSpoYuxyKUPZkMUwdx1x8irnLcYkfS21xz7BrZHLLNtIiy2nhQY7OjVUPotvq0A+&#10;inO/LYzP3Oeyupnr5V6RU2o6GY4fICIN8R3+b1+0gtVqD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xLgqwgAAANwAAAAPAAAAAAAAAAAAAAAAAJgCAABkcnMvZG93&#10;bnJldi54bWxQSwUGAAAAAAQABAD1AAAAhwMAAAAA&#10;" filled="f" stroked="f">
              <v:textbox style="mso-fit-shape-to-text:t" inset="0,0,0,0">
                <w:txbxContent>
                  <w:p w:rsidR="008915F8" w:rsidRDefault="008915F8" w:rsidP="004F7D03">
                    <w:pPr>
                      <w:rPr>
                        <w:rFonts w:cs="Georgia"/>
                        <w:b/>
                        <w:bCs/>
                        <w:i/>
                        <w:iCs/>
                        <w:color w:val="FFFFFF"/>
                        <w:sz w:val="16"/>
                        <w:szCs w:val="16"/>
                        <w:lang w:val="en-US"/>
                      </w:rPr>
                    </w:pPr>
                    <w:r>
                      <w:rPr>
                        <w:rFonts w:cs="Georgia"/>
                        <w:b/>
                        <w:bCs/>
                        <w:i/>
                        <w:iCs/>
                        <w:color w:val="FFFFFF"/>
                        <w:sz w:val="16"/>
                        <w:szCs w:val="16"/>
                        <w:lang w:val="en-US"/>
                      </w:rPr>
                      <w:t>Preliminary</w:t>
                    </w:r>
                  </w:p>
                  <w:p w:rsidR="008915F8" w:rsidRDefault="008915F8" w:rsidP="004F7D03"/>
                </w:txbxContent>
              </v:textbox>
            </v:rect>
            <v:rect id="Rectangle 8" o:spid="_x0000_s1084" style="position:absolute;left:667;top:1848;width:5880;height:279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DxsIA&#10;AADcAAAADwAAAGRycy9kb3ducmV2LnhtbESPzYoCMRCE74LvEFrwphkVVGaNIoKgixfHfYBm0vOD&#10;SWdIss7s228WFjwWVfUVtTsM1ogX+dA6VrCYZyCIS6dbrhV8Pc6zLYgQkTUax6TghwIc9uPRDnPt&#10;er7Tq4i1SBAOOSpoYuxyKUPZkMUwdx1x8irnLcYkfS21xz7BrZHLLFtLiy2nhQY7OjVUPotvq0A+&#10;inO/LYzP3Oeyupnr5V6RU2o6GY4fICIN8R3+b1+0gtVqA3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oPGwgAAANwAAAAPAAAAAAAAAAAAAAAAAJgCAABkcnMvZG93&#10;bnJldi54bWxQSwUGAAAAAAQABAD1AAAAhwMAAAAA&#10;" filled="f" stroked="f">
              <v:textbox inset="0,0,0,0">
                <w:txbxContent>
                  <w:p w:rsidR="008915F8" w:rsidRDefault="008915F8" w:rsidP="004F7D03">
                    <w:r>
                      <w:rPr>
                        <w:rFonts w:cs="Georgia"/>
                        <w:b/>
                        <w:bCs/>
                        <w:i/>
                        <w:iCs/>
                        <w:color w:val="FFFFFF"/>
                        <w:sz w:val="16"/>
                        <w:szCs w:val="16"/>
                        <w:lang w:val="en-US"/>
                      </w:rPr>
                      <w:t>assessment</w:t>
                    </w:r>
                  </w:p>
                </w:txbxContent>
              </v:textbox>
            </v:rect>
            <v:shape id="Freeform 9" o:spid="_x0000_s1085" style="position:absolute;left:1384;top:5073;width:8719;height:15500;visibility:visible;mso-wrap-style:square;v-text-anchor:top" coordsize="1890,3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KWJcQA&#10;AADcAAAADwAAAGRycy9kb3ducmV2LnhtbERPy2rCQBTdF/yH4QrdFJ3YgEh0IhooiLQUHwvdXTI3&#10;D8zcSTPTJP37zqLQ5eG8N9vRNKKnztWWFSzmEQji3OqaSwXXy9tsBcJ5ZI2NZVLwQw626eRpg4m2&#10;A5+oP/tShBB2CSqovG8TKV1ekUE3ty1x4ArbGfQBdqXUHQ4h3DTyNYqW0mDNoaHClrKK8sf52yjI&#10;XvaHKFu+u+Z43F++itv9Y/i8K/U8HXdrEJ5G/y/+cx+0gjgOa8OZcAR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CliXEAAAA3AAAAA8AAAAAAAAAAAAAAAAAmAIAAGRycy9k&#10;b3ducmV2LnhtbFBLBQYAAAAABAAEAPUAAACJAwAAAAA=&#10;" path="m189,3362r1512,c1806,3362,1890,3278,1890,3173v,,,,,l1890,3173r,-2984c1890,84,1806,,1701,l189,c85,,,84,,189r,l,3173v,105,85,189,189,189xe" fillcolor="white [3201]" strokecolor="#00b2a9 [3204]" strokeweight="2pt">
              <v:path arrowok="t" o:connecttype="custom" o:connectlocs="87186,1550035;784670,1550035;871855,1462897;871855,1462897;871855,1462897;871855,87138;784670,0;87186,0;0,87138;0,87138;0,1462897;87186,1550035" o:connectangles="0,0,0,0,0,0,0,0,0,0,0,0"/>
            </v:shape>
            <v:shape id="Freeform 10" o:spid="_x0000_s1086" style="position:absolute;left:1924;top:4286;width:8718;height:15500;visibility:visible;mso-wrap-style:square;v-text-anchor:top" coordsize="1890,3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17QcYA&#10;AADcAAAADwAAAGRycy9kb3ducmV2LnhtbESPQWvCQBSE74L/YXlCb3WjkdKmriJCqxdpq/bg7Zl9&#10;JsHs27C7jdFf3y0UPA4z8w0znXemFi05X1lWMBomIIhzqysuFOx3b4/PIHxA1lhbJgVX8jCf9XtT&#10;zLS98Be121CICGGfoYIyhCaT0uclGfRD2xBH72SdwRClK6R2eIlwU8txkjxJgxXHhRIbWpaUn7c/&#10;RsGuOL5P6GNz+z6cD26Fn+l6366Uehh0i1cQgbpwD/+311pBmr7A35l4BO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17QcYAAADcAAAADwAAAAAAAAAAAAAAAACYAgAAZHJz&#10;L2Rvd25yZXYueG1sUEsFBgAAAAAEAAQA9QAAAIsDAAAAAA==&#10;" path="m189,3362r1512,c1806,3362,1890,3278,1890,3173v,,,,,l1890,3173r,-2984c1890,84,1806,,1701,l189,c85,,,84,,189r,l,3173v,105,85,189,189,189xe" filled="f" strokecolor="white">
              <v:stroke endcap="round"/>
              <v:path arrowok="t" o:connecttype="custom" o:connectlocs="87186,1550035;784670,1550035;871855,1462897;871855,1462897;871855,1462897;871855,87138;784670,0;87186,0;0,87138;0,87138;0,1462897;87186,1550035" o:connectangles="0,0,0,0,0,0,0,0,0,0,0,0"/>
            </v:shape>
            <v:rect id="Rectangle 11" o:spid="_x0000_s1087" style="position:absolute;left:2432;top:4718;width:470;height:279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Voz78A&#10;AADcAAAADwAAAGRycy9kb3ducmV2LnhtbERPy4rCMBTdC/MP4Q7MTtNREa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tWjPvwAAANwAAAAPAAAAAAAAAAAAAAAAAJgCAABkcnMvZG93bnJl&#10;di54bWxQSwUGAAAAAAQABAD1AAAAhAMAAAAA&#10;" filled="f" stroked="f">
              <v:textbox style="mso-fit-shape-to-text:t" inset="0,0,0,0">
                <w:txbxContent>
                  <w:p w:rsidR="008915F8" w:rsidRDefault="008915F8" w:rsidP="004F7D03">
                    <w:r>
                      <w:rPr>
                        <w:rFonts w:ascii="Symbol" w:hAnsi="Symbol" w:cs="Symbol"/>
                        <w:color w:val="000000"/>
                        <w:sz w:val="16"/>
                        <w:szCs w:val="16"/>
                        <w:lang w:val="en-US"/>
                      </w:rPr>
                      <w:t></w:t>
                    </w:r>
                  </w:p>
                </w:txbxContent>
              </v:textbox>
            </v:rect>
            <v:rect id="Rectangle 12" o:spid="_x0000_s1088" style="position:absolute;left:3099;top:4794;width:7004;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nNVMIA&#10;AADcAAAADwAAAGRycy9kb3ducmV2LnhtbESPzYoCMRCE74LvEFrwphl/WGQ0igiCu3hx9AGaSc8P&#10;Jp0hic7s228WFvZYVNVX1O4wWCPe5EPrWMFinoEgLp1uuVbwuJ9nGxAhIms0jknBNwU47MejHeba&#10;9XyjdxFrkSAcclTQxNjlUoayIYth7jri5FXOW4xJ+lpqj32CWyOXWfYhLbacFhrs6NRQ+SxeVoG8&#10;F+d+Uxifua9ldTWfl1tFTqnpZDhuQUQa4n/4r33RClbrBfyeSU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c1UwgAAANwAAAAPAAAAAAAAAAAAAAAAAJgCAABkcnMvZG93&#10;bnJldi54bWxQSwUGAAAAAAQABAD1AAAAhwMAAAAA&#10;" filled="f" stroked="f">
              <v:textbox style="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The regulations</w:t>
                    </w:r>
                  </w:p>
                  <w:p w:rsidR="008915F8" w:rsidRDefault="008915F8" w:rsidP="004F7D03"/>
                </w:txbxContent>
              </v:textbox>
            </v:rect>
            <v:rect id="Rectangle 13" o:spid="_x0000_s1089" style="position:absolute;left:3099;top:5975;width:6159;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tTI8IA&#10;AADcAAAADwAAAGRycy9kb3ducmV2LnhtbESP3WoCMRSE7wXfIRzBO826liKrUUQQbOmNqw9w2Jz9&#10;weRkSaK7ffumUOjlMDPfMLvDaI14kQ+dYwWrZQaCuHK640bB/XZebECEiKzROCYF3xTgsJ9Odlho&#10;N/CVXmVsRIJwKFBBG2NfSBmqliyGpeuJk1c7bzEm6RupPQ4Jbo3Ms+xdWuw4LbTY06ml6lE+rQJ5&#10;K8/DpjQ+c595/WU+LteanFLz2Xjcgog0xv/wX/uiFazfcv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K1MjwgAAANwAAAAPAAAAAAAAAAAAAAAAAJgCAABkcnMvZG93&#10;bnJldi54bWxQSwUGAAAAAAQABAD1AAAAhwMAAAAA&#10;" filled="f" stroked="f">
              <v:textbox style="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in each policy</w:t>
                    </w:r>
                  </w:p>
                  <w:p w:rsidR="008915F8" w:rsidRDefault="008915F8" w:rsidP="004F7D03"/>
                </w:txbxContent>
              </v:textbox>
            </v:rect>
            <v:rect id="Rectangle 14" o:spid="_x0000_s1090" style="position:absolute;left:3099;top:7156;width:4521;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f2uMIA&#10;AADcAAAADwAAAGRycy9kb3ducmV2LnhtbESPzYoCMRCE74LvEFrwphl/EJk1igiCLl4c9wGaSc8P&#10;Jp0hyTqzb79ZWPBYVNVX1O4wWCNe5EPrWMFinoEgLp1uuVbw9TjPtiBCRNZoHJOCHwpw2I9HO8y1&#10;6/lOryLWIkE45KigibHLpQxlQxbD3HXEyauctxiT9LXUHvsEt0Yus2wjLbacFhrs6NRQ+Sy+rQL5&#10;KM79tjA+c5/L6maul3tFTqnpZDh+gIg0xHf4v33RClbr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Z/a4wgAAANwAAAAPAAAAAAAAAAAAAAAAAJgCAABkcnMvZG93&#10;bnJldi54bWxQSwUGAAAAAAQABAD1AAAAhwMAAAAA&#10;" filled="f" stroked="f">
              <v:textbox style="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area were</w:t>
                    </w:r>
                  </w:p>
                  <w:p w:rsidR="008915F8" w:rsidRDefault="008915F8" w:rsidP="004F7D03"/>
                </w:txbxContent>
              </v:textbox>
            </v:rect>
            <v:rect id="Rectangle 15" o:spid="_x0000_s1091" style="position:absolute;left:3099;top:8337;width:5200;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5uzMIA&#10;AADcAAAADwAAAGRycy9kb3ducmV2LnhtbESPzYoCMRCE74LvEFrYm2b8YZFZo4ggqHhx3AdoJj0/&#10;mHSGJOvMvv1GEPZYVNVX1GY3WCOe5EPrWMF8loEgLp1uuVbwfT9O1yBCRNZoHJOCXwqw245HG8y1&#10;6/lGzyLWIkE45KigibHLpQxlQxbDzHXEyauctxiT9LXUHvsEt0YusuxTWmw5LTTY0aGh8lH8WAXy&#10;Xhz7dWF85i6L6mrOp1tFTqmPybD/AhFpiP/hd/ukFSxXK3idS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m7MwgAAANwAAAAPAAAAAAAAAAAAAAAAAJgCAABkcnMvZG93&#10;bnJldi54bWxQSwUGAAAAAAQABAD1AAAAhwMAAAAA&#10;" filled="f" stroked="f">
              <v:textbox style="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reviewed to</w:t>
                    </w:r>
                  </w:p>
                  <w:p w:rsidR="008915F8" w:rsidRDefault="008915F8" w:rsidP="004F7D03"/>
                </w:txbxContent>
              </v:textbox>
            </v:rect>
            <v:rect id="Rectangle 16" o:spid="_x0000_s1092" style="position:absolute;left:3099;top:9518;width:7004;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LLV8IA&#10;AADcAAAADwAAAGRycy9kb3ducmV2LnhtbESP3WoCMRSE7wu+QziCdzWrVpHVKFIQbPHG1Qc4bM7+&#10;YHKyJKm7ffumIHg5zMw3zHY/WCMe5EPrWMFsmoEgLp1uuVZwux7f1yBCRNZoHJOCXwqw343etphr&#10;1/OFHkWsRYJwyFFBE2OXSxnKhiyGqeuIk1c5bzEm6WupPfYJbo2cZ9lKWmw5LTTY0WdD5b34sQrk&#10;tTj268L4zH3Pq7P5Ol0qckpNxsNhAyLSEF/hZ/ukFSw+l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wstXwgAAANwAAAAPAAAAAAAAAAAAAAAAAJgCAABkcnMvZG93&#10;bnJldi54bWxQSwUGAAAAAAQABAD1AAAAhwMAAAAA&#10;" filled="f" stroked="f">
              <v:textbox style="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determine if the</w:t>
                    </w:r>
                  </w:p>
                  <w:p w:rsidR="008915F8" w:rsidRDefault="008915F8" w:rsidP="004F7D03"/>
                </w:txbxContent>
              </v:textbox>
            </v:rect>
            <v:rect id="Rectangle 17" o:spid="_x0000_s1093" style="position:absolute;left:3099;top:10699;width:6553;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BVIMIA&#10;AADcAAAADwAAAGRycy9kb3ducmV2LnhtbESPzYoCMRCE74LvEFrwphl1EZk1igiCLl4c9wGaSc8P&#10;Jp0hyTqzb28WhD0WVfUVtd0P1ogn+dA6VrCYZyCIS6dbrhV830+zDYgQkTUax6TglwLsd+PRFnPt&#10;er7Rs4i1SBAOOSpoYuxyKUPZkMUwdx1x8irnLcYkfS21xz7BrZHLLFtLiy2nhQY7OjZUPoofq0De&#10;i1O/KYzP3NeyuprL+VaRU2o6GQ6fICIN8T/8bp+1gtXH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EFUgwgAAANwAAAAPAAAAAAAAAAAAAAAAAJgCAABkcnMvZG93&#10;bnJldi54bWxQSwUGAAAAAAQABAD1AAAAhwMAAAAA&#10;" filled="f" stroked="f">
              <v:textbox style="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regulation was</w:t>
                    </w:r>
                  </w:p>
                  <w:p w:rsidR="008915F8" w:rsidRDefault="008915F8" w:rsidP="004F7D03"/>
                </w:txbxContent>
              </v:textbox>
            </v:rect>
            <v:rect id="Rectangle 18" o:spid="_x0000_s1094" style="position:absolute;left:3099;top:11874;width:6381;height:279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zwu8IA&#10;AADcAAAADwAAAGRycy9kb3ducmV2LnhtbESP3WoCMRSE7wu+QziCdzWrFpXVKFIQbPHG1Qc4bM7+&#10;YHKyJKm7ffumIHg5zMw3zHY/WCMe5EPrWMFsmoEgLp1uuVZwux7f1yBCRNZoHJOCXwqw343etphr&#10;1/OFHkWsRYJwyFFBE2OXSxnKhiyGqeuIk1c5bzEm6WupPfYJbo2cZ9lSWmw5LTTY0WdD5b34sQrk&#10;tTj268L4zH3Pq7P5Ol0qckpNxsNhAyLSEF/hZ/ukFSw+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XPC7wgAAANwAAAAPAAAAAAAAAAAAAAAAAJgCAABkcnMvZG93&#10;bnJldi54bWxQSwUGAAAAAAQABAD1AAAAhwMAAAAA&#10;" filled="f" stroked="f">
              <v:textbox style="mso-fit-shape-to-text:t" inset="0,0,0,0">
                <w:txbxContent>
                  <w:p w:rsidR="008915F8" w:rsidRDefault="008915F8" w:rsidP="004F7D03">
                    <w:r>
                      <w:rPr>
                        <w:rFonts w:cs="Georgia"/>
                        <w:color w:val="000000"/>
                        <w:sz w:val="16"/>
                        <w:szCs w:val="16"/>
                        <w:lang w:val="en-US"/>
                      </w:rPr>
                      <w:t>still necessary</w:t>
                    </w:r>
                  </w:p>
                </w:txbxContent>
              </v:textbox>
            </v:rect>
            <v:rect id="Rectangle 19" o:spid="_x0000_s1095" style="position:absolute;left:10642;top:184;width:8712;height:45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9a98IA&#10;AADcAAAADwAAAGRycy9kb3ducmV2LnhtbERPz2vCMBS+D/wfwhvsNtNtIlKNUoQx0YNYBT2+NW9N&#10;afNSmli7/94cBI8f3+/FarCN6KnzlWMFH+MEBHHhdMWlgtPx+30GwgdkjY1jUvBPHlbL0csCU+1u&#10;fKA+D6WIIexTVGBCaFMpfWHIoh+7ljhyf66zGCLsSqk7vMVw28jPJJlKixXHBoMtrQ0VdX61CjaX&#10;LPxsf69bd84Odb4z+76u90q9vQ7ZHESgITzFD/dGK/iaxLXxTDwCc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j1r3wgAAANwAAAAPAAAAAAAAAAAAAAAAAJgCAABkcnMvZG93&#10;bnJldi54bWxQSwUGAAAAAAQABAD1AAAAhwMAAAAA&#10;" fillcolor="#00b2a9 [3204]" stroked="f"/>
            <v:rect id="Rectangle 20" o:spid="_x0000_s1096" style="position:absolute;left:10642;top:184;width:8712;height:45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rXJMQA&#10;AADcAAAADwAAAGRycy9kb3ducmV2LnhtbESPS4vCQBCE74L/YWjBm050RTRmFPGBexLURfDWZDoP&#10;zPSEzGyM/35nYWGPRVV9RSWbzlSipcaVlhVMxhEI4tTqknMFX7fjaAHCeWSNlWVS8CYHm3W/l2Cs&#10;7Ysv1F59LgKEXYwKCu/rWEqXFmTQjW1NHLzMNgZ9kE0udYOvADeVnEbRXBosOSwUWNOuoPR5/TYK&#10;/OnR0u5w2R7qzJqbPi7O932q1HDQbVcgPHX+P/zX/tQKPmZL+D0Tj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a1yTEAAAA3AAAAA8AAAAAAAAAAAAAAAAAmAIAAGRycy9k&#10;b3ducmV2LnhtbFBLBQYAAAAABAAEAPUAAACJAwAAAAA=&#10;" filled="f" strokecolor="white">
              <v:stroke joinstyle="round" endcap="round"/>
            </v:rect>
            <v:rect id="Rectangle 21" o:spid="_x0000_s1097" style="position:absolute;left:11138;top:667;width:2203;height:558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Er8A&#10;AADcAAAADwAAAGRycy9kb3ducmV2LnhtbERPy4rCMBTdC/MP4Q7MTtNRFK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bP4SvwAAANwAAAAPAAAAAAAAAAAAAAAAAJgCAABkcnMvZG93bnJl&#10;di54bWxQSwUGAAAAAAQABAD1AAAAhAMAAAAA&#10;" filled="f" stroked="f">
              <v:textbox style="mso-fit-shape-to-text:t" inset="0,0,0,0">
                <w:txbxContent>
                  <w:p w:rsidR="008915F8" w:rsidRDefault="008915F8" w:rsidP="004F7D03">
                    <w:pPr>
                      <w:rPr>
                        <w:rFonts w:cs="Georgia"/>
                        <w:b/>
                        <w:bCs/>
                        <w:i/>
                        <w:iCs/>
                        <w:color w:val="FFFFFF"/>
                        <w:sz w:val="16"/>
                        <w:szCs w:val="16"/>
                        <w:lang w:val="en-US"/>
                      </w:rPr>
                    </w:pPr>
                    <w:r>
                      <w:rPr>
                        <w:rFonts w:cs="Georgia"/>
                        <w:b/>
                        <w:bCs/>
                        <w:i/>
                        <w:iCs/>
                        <w:color w:val="FFFFFF"/>
                        <w:sz w:val="16"/>
                        <w:szCs w:val="16"/>
                        <w:lang w:val="en-US"/>
                      </w:rPr>
                      <w:t>Data</w:t>
                    </w:r>
                  </w:p>
                  <w:p w:rsidR="008915F8" w:rsidRDefault="008915F8" w:rsidP="004F7D03"/>
                </w:txbxContent>
              </v:textbox>
            </v:rect>
            <v:rect id="Rectangle 22" o:spid="_x0000_s1098" style="position:absolute;left:11138;top:1848;width:4743;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BbicIA&#10;AADcAAAADwAAAGRycy9kb3ducmV2LnhtbESPzYoCMRCE74LvEFrwphkVFxmNIoLgLl4cfYBm0vOD&#10;SWdIojP79puFhT0WVfUVtTsM1og3+dA6VrCYZyCIS6dbrhU87ufZBkSIyBqNY1LwTQEO+/Foh7l2&#10;Pd/oXcRaJAiHHBU0MXa5lKFsyGKYu444eZXzFmOSvpbaY5/g1shlln1Iiy2nhQY7OjVUPouXVSDv&#10;xbnfFMZn7mtZXc3n5VaRU2o6GY5bEJGG+B/+a1+0gtV6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IFuJwgAAANwAAAAPAAAAAAAAAAAAAAAAAJgCAABkcnMvZG93&#10;bnJldi54bWxQSwUGAAAAAAQABAD1AAAAhwMAAAAA&#10;" filled="f" stroked="f">
              <v:textbox style="mso-fit-shape-to-text:t" inset="0,0,0,0">
                <w:txbxContent>
                  <w:p w:rsidR="008915F8" w:rsidRDefault="008915F8" w:rsidP="004F7D03">
                    <w:pPr>
                      <w:rPr>
                        <w:rFonts w:cs="Georgia"/>
                        <w:b/>
                        <w:bCs/>
                        <w:i/>
                        <w:iCs/>
                        <w:color w:val="FFFFFF"/>
                        <w:sz w:val="16"/>
                        <w:szCs w:val="16"/>
                        <w:lang w:val="en-US"/>
                      </w:rPr>
                    </w:pPr>
                    <w:r>
                      <w:rPr>
                        <w:rFonts w:cs="Georgia"/>
                        <w:b/>
                        <w:bCs/>
                        <w:i/>
                        <w:iCs/>
                        <w:color w:val="FFFFFF"/>
                        <w:sz w:val="16"/>
                        <w:szCs w:val="16"/>
                        <w:lang w:val="en-US"/>
                      </w:rPr>
                      <w:t>collection</w:t>
                    </w:r>
                  </w:p>
                  <w:p w:rsidR="008915F8" w:rsidRDefault="008915F8" w:rsidP="004F7D03"/>
                </w:txbxContent>
              </v:textbox>
            </v:rect>
            <v:rect id="Rectangle 23" o:spid="_x0000_s1099" style="position:absolute;left:11138;top:3029;width:2654;height:279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DmosAA&#10;AADdAAAADwAAAGRycy9kb3ducmV2LnhtbERP22oCMRB9F/oPYQp906SLiKxGkYJgpS+ufsCwmb1g&#10;MlmS1N3+fVMo+DaHc53tfnJWPCjE3rOG94UCQVx703Or4XY9ztcgYkI2aD2Thh+KsN+9zLZYGj/y&#10;hR5VakUO4Viihi6loZQy1h05jAs/EGeu8cFhyjC00gQcc7izslBqJR32nBs6HOijo/pefTsN8lod&#10;x3Vlg/Lnovmyn6dLQ17rt9fpsAGRaEpP8b/7ZPJ8VSzh75t8gt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kDmosAAAADdAAAADwAAAAAAAAAAAAAAAACYAgAAZHJzL2Rvd25y&#10;ZXYueG1sUEsFBgAAAAAEAAQA9QAAAIUDAAAAAA==&#10;" filled="f" stroked="f">
              <v:textbox style="mso-fit-shape-to-text:t" inset="0,0,0,0">
                <w:txbxContent>
                  <w:p w:rsidR="008915F8" w:rsidRDefault="008915F8" w:rsidP="004F7D03">
                    <w:r>
                      <w:rPr>
                        <w:rFonts w:cs="Georgia"/>
                        <w:b/>
                        <w:bCs/>
                        <w:i/>
                        <w:iCs/>
                        <w:color w:val="FFFFFF"/>
                        <w:sz w:val="16"/>
                        <w:szCs w:val="16"/>
                        <w:lang w:val="en-US"/>
                      </w:rPr>
                      <w:t>plans</w:t>
                    </w:r>
                  </w:p>
                </w:txbxContent>
              </v:textbox>
            </v:rect>
            <v:shape id="Freeform 24" o:spid="_x0000_s1100" style="position:absolute;left:12382;top:4286;width:8712;height:15500;visibility:visible;mso-wrap-style:square;v-text-anchor:top" coordsize="1890,3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WzLsIA&#10;AADdAAAADwAAAGRycy9kb3ducmV2LnhtbERPTYvCMBC9C/6HMIKXZU1V6krXKCJKPa7Vi7fZZmyL&#10;zaQ0Ueu/NwsL3ubxPmex6kwt7tS6yrKC8SgCQZxbXXGh4HTcfc5BOI+ssbZMCp7kYLXs9xaYaPvg&#10;A90zX4gQwi5BBaX3TSKly0sy6Ea2IQ7cxbYGfYBtIXWLjxBuajmJopk0WHFoKLGhTUn5NbsZBT8f&#10;3qXVmM0lu06/fs91nKbbWKnhoFt/g/DU+bf4373XYX40ieHvm3CC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BbMuwgAAAN0AAAAPAAAAAAAAAAAAAAAAAJgCAABkcnMvZG93&#10;bnJldi54bWxQSwUGAAAAAAQABAD1AAAAhwMAAAAA&#10;" path="m189,3362r1512,c1805,3362,1890,3278,1890,3173v,,,,,l1890,3173r,-2984c1890,84,1805,,1701,l189,c85,,,84,,189r,l,3173v,105,85,189,189,189xe" fillcolor="#f7dce1" strokeweight="0">
              <v:path arrowok="t" o:connecttype="custom" o:connectlocs="87122,1550035;784098,1550035;871220,1462897;871220,1462897;871220,1462897;871220,87138;784098,0;87122,0;0,87138;0,87138;0,1462897;87122,1550035" o:connectangles="0,0,0,0,0,0,0,0,0,0,0,0"/>
            </v:shape>
            <v:shape id="Freeform 25" o:spid="_x0000_s1101" style="position:absolute;left:12382;top:4286;width:8712;height:15500;visibility:visible;mso-wrap-style:square;v-text-anchor:top" coordsize="1890,3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1SC8UA&#10;AADdAAAADwAAAGRycy9kb3ducmV2LnhtbERPTWvCQBC9F/oflin0InVXD1aiq9RAQUQpag96G7Jj&#10;EpqdjdnVxH/vCkJv83ifM513thJXanzpWMOgr0AQZ86UnGv43X9/jEH4gGywckwabuRhPnt9mWJi&#10;XMtbuu5CLmII+wQ1FCHUiZQ+K8ii77uaOHIn11gMETa5NA22MdxWcqjUSFosOTYUWFNaUPa3u1gN&#10;aW+xVOlo7avVarE/nw7HTftz1Pr9rfuagAjUhX/x0700cb4afsLjm3iC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jVILxQAAAN0AAAAPAAAAAAAAAAAAAAAAAJgCAABkcnMv&#10;ZG93bnJldi54bWxQSwUGAAAAAAQABAD1AAAAigMAAAAA&#10;" path="m189,3362r1512,c1805,3362,1890,3278,1890,3173v,,,,,l1890,3173r,-2984c1890,84,1805,,1701,l189,c85,,,84,,189r,l,3173v,105,85,189,189,189xe" fillcolor="white [3201]" strokecolor="#00b2a9 [3204]" strokeweight="2pt">
              <v:path arrowok="t" o:connecttype="custom" o:connectlocs="87122,1550035;784098,1550035;871220,1462897;871220,1462897;871220,1462897;871220,87138;784098,0;87122,0;0,87138;0,87138;0,1462897;87122,1550035" o:connectangles="0,0,0,0,0,0,0,0,0,0,0,0"/>
            </v:shape>
            <v:rect id="Rectangle 26" o:spid="_x0000_s1102" style="position:absolute;left:12909;top:4718;width:470;height:279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3sp8MA&#10;AADdAAAADwAAAGRycy9kb3ducmV2LnhtbESPzWoDMQyE74W8g1Ght8buHkrYxgmlEEhDL9n0AcRa&#10;+0NtebGd7Pbto0OhN4kZzXza7pfg1Y1SHiNbeFkbUMRtdCP3Fr4vh+cNqFyQHfrIZOGXMux3q4ct&#10;1i7OfKZbU3olIZxrtDCUMtVa53aggHkdJ2LRupgCFllTr13CWcKD15UxrzrgyNIw4EQfA7U/zTVY&#10;0JfmMG8an0w8Vd2X/zyeO4rWPj0u72+gCi3l3/x3fXSCbyrBlW9kBL2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3sp8MAAADdAAAADwAAAAAAAAAAAAAAAACYAgAAZHJzL2Rv&#10;d25yZXYueG1sUEsFBgAAAAAEAAQA9QAAAIgDAAAAAA==&#10;" filled="f" stroked="f">
              <v:textbox style="mso-fit-shape-to-text:t" inset="0,0,0,0">
                <w:txbxContent>
                  <w:p w:rsidR="008915F8" w:rsidRDefault="008915F8" w:rsidP="004F7D03">
                    <w:r>
                      <w:rPr>
                        <w:rFonts w:ascii="Symbol" w:hAnsi="Symbol" w:cs="Symbol"/>
                        <w:color w:val="000000"/>
                        <w:sz w:val="16"/>
                        <w:szCs w:val="16"/>
                        <w:lang w:val="en-US"/>
                      </w:rPr>
                      <w:t></w:t>
                    </w:r>
                  </w:p>
                </w:txbxContent>
              </v:textbox>
            </v:rect>
            <v:rect id="Rectangle 27" o:spid="_x0000_s1103" style="position:absolute;left:13570;top:4794;width:6839;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FJPMAA&#10;AADdAAAADwAAAGRycy9kb3ducmV2LnhtbERPzWoCMRC+C32HMIXeNOkeRFejSEGw0ourDzBsZn8w&#10;mSxJ6m7fvikUvM3H9zvb/eSseFCIvWcN7wsFgrj2pudWw+16nK9AxIRs0HomDT8UYb97mW2xNH7k&#10;Cz2q1IocwrFEDV1KQyllrDtyGBd+IM5c44PDlGFopQk45nBnZaHUUjrsOTd0ONBHR/W9+nYa5LU6&#10;jqvKBuXPRfNlP0+XhrzWb6/TYQMi0ZSe4n/3yeT5qljD3zf5BL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EFJPMAAAADdAAAADwAAAAAAAAAAAAAAAACYAgAAZHJzL2Rvd25y&#10;ZXYueG1sUEsFBgAAAAAEAAQA9QAAAIUDAAAAAA==&#10;" filled="f" stroked="f">
              <v:textbox style="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Identification of</w:t>
                    </w:r>
                  </w:p>
                  <w:p w:rsidR="008915F8" w:rsidRDefault="008915F8" w:rsidP="004F7D03"/>
                </w:txbxContent>
              </v:textbox>
            </v:rect>
            <v:rect id="Rectangle 28" o:spid="_x0000_s1104" style="position:absolute;left:13570;top:5975;width:4070;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J2fMMA&#10;AADdAAAADwAAAGRycy9kb3ducmV2LnhtbESPzWoDMQyE74W8g1Ght8ZuCiVs4oRSCKSll2zyAGKt&#10;/SG2vNhOdvv21aHQm8SMZj5t93Pw6k4pD5EtvCwNKOImuoE7C5fz4XkNKhdkhz4yWfihDPvd4mGL&#10;lYsTn+hel05JCOcKLfSljJXWuekpYF7GkVi0NqaARdbUaZdwkvDg9cqYNx1wYGnocaSPnpprfQsW&#10;9Lk+TOvaJxO/Vu23/zyeWorWPj3O7xtQhebyb/67PjrBN6/CL9/IC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J2fMMAAADdAAAADwAAAAAAAAAAAAAAAACYAgAAZHJzL2Rv&#10;d25yZXYueG1sUEsFBgAAAAAEAAQA9QAAAIgDAAAAAA==&#10;" filled="f" stroked="f">
              <v:textbox style="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evidence</w:t>
                    </w:r>
                  </w:p>
                  <w:p w:rsidR="008915F8" w:rsidRDefault="008915F8" w:rsidP="004F7D03"/>
                </w:txbxContent>
              </v:textbox>
            </v:rect>
            <v:rect id="Rectangle 29" o:spid="_x0000_s1105" style="position:absolute;left:13570;top:7156;width:5708;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T58EA&#10;AADdAAAADwAAAGRycy9kb3ducmV2LnhtbERP22oCMRB9F/oPYQp902QVimyNiwiClb64+gHDZvZC&#10;k8mSpO7275tCoW9zONfZVbOz4kEhDp41FCsFgrjxZuBOw/12Wm5BxIRs0HomDd8Uodo/LXZYGj/x&#10;lR516kQO4Viihj6lsZQyNj05jCs/Emeu9cFhyjB00gSccrizcq3Uq3Q4cG7ocaRjT81n/eU0yFt9&#10;mra1Dcpf1u2HfT9fW/JavzzPhzcQieb0L/5zn02erzYF/H6TT5D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u0+fBAAAA3QAAAA8AAAAAAAAAAAAAAAAAmAIAAGRycy9kb3du&#10;cmV2LnhtbFBLBQYAAAAABAAEAPUAAACGAwAAAAA=&#10;" filled="f" stroked="f">
              <v:textbox style="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required and</w:t>
                    </w:r>
                  </w:p>
                  <w:p w:rsidR="008915F8" w:rsidRDefault="008915F8" w:rsidP="004F7D03"/>
                </w:txbxContent>
              </v:textbox>
            </v:rect>
            <v:rect id="Rectangle 30" o:spid="_x0000_s1106" style="position:absolute;left:13570;top:8337;width:3734;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xNkMAA&#10;AADdAAAADwAAAGRycy9kb3ducmV2LnhtbERP22oCMRB9F/oPYQp906QriKxGkYJgpS+ufsCwmb1g&#10;MlmS1N3+fVMo+DaHc53tfnJWPCjE3rOG94UCQVx703Or4XY9ztcgYkI2aD2Thh+KsN+9zLZYGj/y&#10;hR5VakUO4Viihi6loZQy1h05jAs/EGeu8cFhyjC00gQcc7izslBqJR32nBs6HOijo/pefTsN8lod&#10;x3Vlg/Lnovmyn6dLQ17rt9fpsAGRaEpP8b/7ZPJ8tSzg75t8gt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zxNkMAAAADdAAAADwAAAAAAAAAAAAAAAACYAgAAZHJzL2Rvd25y&#10;ZXYueG1sUEsFBgAAAAAEAAQA9QAAAIUDAAAAAA==&#10;" filled="f" stroked="f">
              <v:textbox style="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possible</w:t>
                    </w:r>
                  </w:p>
                  <w:p w:rsidR="008915F8" w:rsidRDefault="008915F8" w:rsidP="004F7D03"/>
                </w:txbxContent>
              </v:textbox>
            </v:rect>
            <v:rect id="Rectangle 31" o:spid="_x0000_s1107" style="position:absolute;left:13570;top:9518;width:4692;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oC8AA&#10;AADdAAAADwAAAGRycy9kb3ducmV2LnhtbERP22oCMRB9F/oPYYS+aaKCyNYoIghW+uLqBwyb2QtN&#10;JkuSutu/N4WCb3M419nuR2fFg0LsPGtYzBUI4sqbjhsN99tptgERE7JB65k0/FKE/e5tssXC+IGv&#10;9ChTI3IIxwI1tCn1hZSxaslhnPueOHO1Dw5ThqGRJuCQw52VS6XW0mHHuaHFno4tVd/lj9Mgb+Vp&#10;2JQ2KH9Z1l/283ytyWv9Ph0PHyASjekl/nefTZ6vViv4+yafIH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oC8AAAADdAAAADwAAAAAAAAAAAAAAAACYAgAAZHJzL2Rvd25y&#10;ZXYueG1sUEsFBgAAAAAEAAQA9QAAAIUDAAAAAA==&#10;" filled="f" stroked="f">
              <v:textbox style="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sources of</w:t>
                    </w:r>
                  </w:p>
                  <w:p w:rsidR="008915F8" w:rsidRDefault="008915F8" w:rsidP="004F7D03"/>
                </w:txbxContent>
              </v:textbox>
            </v:rect>
            <v:rect id="Rectangle 32" o:spid="_x0000_s1108" style="position:absolute;left:13570;top:10699;width:5200;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lwf8AA&#10;AADdAAAADwAAAGRycy9kb3ducmV2LnhtbERP22oCMRB9F/oPYQp900QrRbZGEUGw4ourHzBsZi80&#10;mSxJdLd/bwqFvs3hXGe9HZ0VDwqx86xhPlMgiCtvOm403K6H6QpETMgGrWfS8EMRtpuXyRoL4we+&#10;0KNMjcghHAvU0KbUF1LGqiWHceZ74szVPjhMGYZGmoBDDndWLpT6kA47zg0t9rRvqfou706DvJaH&#10;YVXaoPxpUZ/t1/FSk9f67XXcfYJINKZ/8Z/7aPJ89b6E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5lwf8AAAADdAAAADwAAAAAAAAAAAAAAAACYAgAAZHJzL2Rvd25y&#10;ZXYueG1sUEsFBgAAAAAEAAQA9QAAAIUDAAAAAA==&#10;" filled="f" stroked="f">
              <v:textbox style="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evidence to</w:t>
                    </w:r>
                  </w:p>
                  <w:p w:rsidR="008915F8" w:rsidRDefault="008915F8" w:rsidP="004F7D03"/>
                </w:txbxContent>
              </v:textbox>
            </v:rect>
            <v:rect id="Rectangle 33" o:spid="_x0000_s1109" style="position:absolute;left:13570;top:11874;width:4750;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XV5MAA&#10;AADdAAAADwAAAGRycy9kb3ducmV2LnhtbERP22oCMRB9F/oPYQp900SLRbZGEUGw4ourHzBsZi80&#10;mSxJdLd/bwqFvs3hXGe9HZ0VDwqx86xhPlMgiCtvOm403K6H6QpETMgGrWfS8EMRtpuXyRoL4we+&#10;0KNMjcghHAvU0KbUF1LGqiWHceZ74szVPjhMGYZGmoBDDndWLpT6kA47zg0t9rRvqfou706DvJaH&#10;YVXaoPxpUZ/t1/FSk9f67XXcfYJINKZ/8Z/7aPJ89b6E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NXV5MAAAADdAAAADwAAAAAAAAAAAAAAAACYAgAAZHJzL2Rvd25y&#10;ZXYueG1sUEsFBgAAAAAEAAQA9QAAAIUDAAAAAA==&#10;" filled="f" stroked="f">
              <v:textbox style="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enable the</w:t>
                    </w:r>
                  </w:p>
                  <w:p w:rsidR="008915F8" w:rsidRDefault="008915F8" w:rsidP="004F7D03"/>
                </w:txbxContent>
              </v:textbox>
            </v:rect>
            <v:rect id="Rectangle 34" o:spid="_x0000_s1110" style="position:absolute;left:13570;top:13055;width:6102;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dLk8AA&#10;AADdAAAADwAAAGRycy9kb3ducmV2LnhtbERP22oCMRB9F/oPYYS+aaIFka1RRBCs9MXVDxg2sxea&#10;TJYkdbd/bwqCb3M419nsRmfFnULsPGtYzBUI4sqbjhsNt+txtgYRE7JB65k0/FGE3fZtssHC+IEv&#10;dC9TI3IIxwI1tCn1hZSxaslhnPueOHO1Dw5ThqGRJuCQw52VS6VW0mHHuaHFng4tVT/lr9Mgr+Vx&#10;WJc2KH9e1t/263SpyWv9Ph33nyASjeklfrpPJs9XHyv4/yafIL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AdLk8AAAADdAAAADwAAAAAAAAAAAAAAAACYAgAAZHJzL2Rvd25y&#10;ZXYueG1sUEsFBgAAAAAEAAQA9QAAAIUDAAAAAA==&#10;" filled="f" stroked="f">
              <v:textbox style="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regulations to</w:t>
                    </w:r>
                  </w:p>
                  <w:p w:rsidR="008915F8" w:rsidRDefault="008915F8" w:rsidP="004F7D03"/>
                </w:txbxContent>
              </v:textbox>
            </v:rect>
            <v:rect id="Rectangle 35" o:spid="_x0000_s1111" style="position:absolute;left:13570;top:14236;width:6553;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vuCMAA&#10;AADdAAAADwAAAGRycy9kb3ducmV2LnhtbERP22oCMRB9F/oPYQp900QLVrZGEUGw4ourHzBsZi80&#10;mSxJdLd/bwqFvs3hXGe9HZ0VDwqx86xhPlMgiCtvOm403K6H6QpETMgGrWfS8EMRtpuXyRoL4we+&#10;0KNMjcghHAvU0KbUF1LGqiWHceZ74szVPjhMGYZGmoBDDndWLpRaSocd54YWe9q3VH2Xd6dBXsvD&#10;sCptUP60qM/263ipyWv99jruPkEkGtO/+M99NHm+ev+A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0vuCMAAAADdAAAADwAAAAAAAAAAAAAAAACYAgAAZHJzL2Rvd25y&#10;ZXYueG1sUEsFBgAAAAAEAAQA9QAAAIUDAAAAAA==&#10;" filled="f" stroked="f">
              <v:textbox style="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be reviewed in</w:t>
                    </w:r>
                  </w:p>
                  <w:p w:rsidR="008915F8" w:rsidRDefault="008915F8" w:rsidP="004F7D03"/>
                </w:txbxContent>
              </v:textbox>
            </v:rect>
            <v:rect id="Rectangle 36" o:spid="_x0000_s1112" style="position:absolute;left:13570;top:15417;width:5258;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R6esMA&#10;AADdAAAADwAAAGRycy9kb3ducmV2LnhtbESPzWoDMQyE74W8g1Ght8ZuCiVs4oRSCKSll2zyAGKt&#10;/SG2vNhOdvv21aHQm8SMZj5t93Pw6k4pD5EtvCwNKOImuoE7C5fz4XkNKhdkhz4yWfihDPvd4mGL&#10;lYsTn+hel05JCOcKLfSljJXWuekpYF7GkVi0NqaARdbUaZdwkvDg9cqYNx1wYGnocaSPnpprfQsW&#10;9Lk+TOvaJxO/Vu23/zyeWorWPj3O7xtQhebyb/67PjrBN6+CK9/IC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R6esMAAADdAAAADwAAAAAAAAAAAAAAAACYAgAAZHJzL2Rv&#10;d25yZXYueG1sUEsFBgAAAAAEAAQA9QAAAIgDAAAAAA==&#10;" filled="f" stroked="f">
              <v:textbox style="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accordance</w:t>
                    </w:r>
                  </w:p>
                  <w:p w:rsidR="008915F8" w:rsidRDefault="008915F8" w:rsidP="004F7D03"/>
                </w:txbxContent>
              </v:textbox>
            </v:rect>
            <v:rect id="Rectangle 37" o:spid="_x0000_s1113" style="position:absolute;left:13570;top:16598;width:6496;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jf4cAA&#10;AADdAAAADwAAAGRycy9kb3ducmV2LnhtbERP22oCMRB9F/oPYQq+aVILYrdGkYJgpS+ufsCwmb1g&#10;MlmS1N3+vREKvs3hXGe9HZ0VNwqx86zhba5AEFfedNxouJz3sxWImJANWs+k4Y8ibDcvkzUWxg98&#10;oluZGpFDOBaooU2pL6SMVUsO49z3xJmrfXCYMgyNNAGHHO6sXCi1lA47zg0t9vTVUnUtf50GeS73&#10;w6q0Qfnjov6x34dTTV7r6eu4+wSRaExP8b/7YPJ89f4Bj2/yC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Zjf4cAAAADdAAAADwAAAAAAAAAAAAAAAACYAgAAZHJzL2Rvd25y&#10;ZXYueG1sUEsFBgAAAAAEAAQA9QAAAIUDAAAAAA==&#10;" filled="f" stroked="f">
              <v:textbox style="mso-next-textbox:#Rectangle 37;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with the Guide</w:t>
                    </w:r>
                  </w:p>
                  <w:p w:rsidR="008915F8" w:rsidRDefault="008915F8" w:rsidP="004F7D03">
                    <w:pPr>
                      <w:pStyle w:val="NormalWeb"/>
                      <w:jc w:val="center"/>
                      <w:textAlignment w:val="baseline"/>
                    </w:pPr>
                    <w:r>
                      <w:rPr>
                        <w:rFonts w:asciiTheme="majorHAnsi" w:hAnsi="Georgia" w:cs="Arial"/>
                        <w:color w:val="161616"/>
                        <w:kern w:val="24"/>
                        <w:sz w:val="16"/>
                        <w:szCs w:val="16"/>
                      </w:rPr>
                      <w:t>Inspections</w:t>
                    </w:r>
                  </w:p>
                </w:txbxContent>
              </v:textbox>
            </v:rect>
            <v:rect id="Rectangle 38" o:spid="_x0000_s1114" style="position:absolute;left:13570;top:17779;width:5988;height:279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QFAcMA&#10;AADdAAAADwAAAGRycy9kb3ducmV2LnhtbESPzWoDMQyE74W8g1Ght8ZuKCVs4oRSCKSll2zyAGKt&#10;/SG2vNhOdvv21aHQm8SMZj5t93Pw6k4pD5EtvCwNKOImuoE7C5fz4XkNKhdkhz4yWfihDPvd4mGL&#10;lYsTn+hel05JCOcKLfSljJXWuekpYF7GkVi0NqaARdbUaZdwkvDg9cqYNx1wYGnocaSPnpprfQsW&#10;9Lk+TOvaJxO/Vu23/zyeWorWPj3O7xtQhebyb/67PjrBN6/CL9/IC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QFAcMAAADdAAAADwAAAAAAAAAAAAAAAACYAgAAZHJzL2Rv&#10;d25yZXYueG1sUEsFBgAAAAAEAAQA9QAAAIgDAAAAAA==&#10;" filled="f" stroked="f">
              <v:textbox style="mso-fit-shape-to-text:t" inset="0,0,0,0">
                <w:txbxContent>
                  <w:p w:rsidR="008915F8" w:rsidRDefault="008915F8" w:rsidP="004F7D03">
                    <w:r>
                      <w:rPr>
                        <w:rFonts w:cs="Georgia"/>
                        <w:color w:val="000000"/>
                        <w:sz w:val="16"/>
                        <w:szCs w:val="16"/>
                        <w:lang w:val="en-US"/>
                      </w:rPr>
                      <w:t>to Regulation</w:t>
                    </w:r>
                  </w:p>
                </w:txbxContent>
              </v:textbox>
            </v:rect>
            <v:rect id="Rectangle 39" o:spid="_x0000_s1115" style="position:absolute;left:21094;top:184;width:8712;height:45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Lf8MA&#10;AADdAAAADwAAAGRycy9kb3ducmV2LnhtbERPTWvCQBC9F/wPyxS81Y1FSomuEgpS0YMYBT1Os9Ns&#10;SHY2ZNcY/31XEHqbx/ucxWqwjeip85VjBdNJAoK4cLriUsHpuH77BOEDssbGMSm4k4fVcvSywFS7&#10;Gx+oz0MpYgj7FBWYENpUSl8YsugnriWO3K/rLIYIu1LqDm8x3DbyPUk+pMWKY4PBlr4MFXV+tQo2&#10;lyx8b3+uW3fODnW+M/u+rvdKjV+HbA4i0BD+xU/3Rsf5yWwKj2/iC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hLf8MAAADdAAAADwAAAAAAAAAAAAAAAACYAgAAZHJzL2Rv&#10;d25yZXYueG1sUEsFBgAAAAAEAAQA9QAAAIgDAAAAAA==&#10;" fillcolor="#00b2a9 [3204]" stroked="f"/>
            <v:rect id="Rectangle 40" o:spid="_x0000_s1116" style="position:absolute;left:21094;top:184;width:8712;height:45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L0RL8A&#10;AADdAAAADwAAAGRycy9kb3ducmV2LnhtbERPyQrCMBC9C/5DGMGbpoqIVKOIC3oSXBC8Dc3YFptJ&#10;aWKtf28Ewds83jqzRWMKUVPlcssKBv0IBHFidc6pgst525uAcB5ZY2GZFLzJwWLebs0w1vbFR6pP&#10;PhUhhF2MCjLvy1hKl2Rk0PVtSRy4u60M+gCrVOoKXyHcFHIYRWNpMOfQkGFJq4ySx+lpFPjdrabV&#10;5rjclHdrzno7OVzXiVLdTrOcgvDU+L/4597rMD8aDeH7TThB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gvREvwAAAN0AAAAPAAAAAAAAAAAAAAAAAJgCAABkcnMvZG93bnJl&#10;di54bWxQSwUGAAAAAAQABAD1AAAAhAMAAAAA&#10;" filled="f" strokecolor="white">
              <v:stroke joinstyle="round" endcap="round"/>
            </v:rect>
            <v:rect id="Rectangle 41" o:spid="_x0000_s1117" style="position:absolute;left:21609;top:667;width:5816;height:558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abdsAA&#10;AADdAAAADwAAAGRycy9kb3ducmV2LnhtbERP22oCMRB9F/oPYQp900QrRbZGEUGw4ourHzBsZi80&#10;mSxJdLd/bwqFvs3hXGe9HZ0VDwqx86xhPlMgiCtvOm403K6H6QpETMgGrWfS8EMRtpuXyRoL4we+&#10;0KNMjcghHAvU0KbUF1LGqiWHceZ74szVPjhMGYZGmoBDDndWLpT6kA47zg0t9rRvqfou706DvJaH&#10;YVXaoPxpUZ/t1/FSk9f67XXcfYJINKZ/8Z/7aPJ8tXyH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HabdsAAAADdAAAADwAAAAAAAAAAAAAAAACYAgAAZHJzL2Rvd25y&#10;ZXYueG1sUEsFBgAAAAAEAAQA9QAAAIUDAAAAAA==&#10;" filled="f" stroked="f">
              <v:textbox style="mso-fit-shape-to-text:t" inset="0,0,0,0">
                <w:txbxContent>
                  <w:p w:rsidR="008915F8" w:rsidRDefault="008915F8" w:rsidP="004F7D03">
                    <w:pPr>
                      <w:rPr>
                        <w:rFonts w:cs="Georgia"/>
                        <w:b/>
                        <w:bCs/>
                        <w:i/>
                        <w:iCs/>
                        <w:color w:val="FFFFFF"/>
                        <w:sz w:val="16"/>
                        <w:szCs w:val="16"/>
                        <w:lang w:val="en-US"/>
                      </w:rPr>
                    </w:pPr>
                    <w:r>
                      <w:rPr>
                        <w:rFonts w:cs="Georgia"/>
                        <w:b/>
                        <w:bCs/>
                        <w:i/>
                        <w:iCs/>
                        <w:color w:val="FFFFFF"/>
                        <w:sz w:val="16"/>
                        <w:szCs w:val="16"/>
                        <w:lang w:val="en-US"/>
                      </w:rPr>
                      <w:t>Stakeholder</w:t>
                    </w:r>
                  </w:p>
                  <w:p w:rsidR="008915F8" w:rsidRDefault="008915F8" w:rsidP="004F7D03"/>
                </w:txbxContent>
              </v:textbox>
            </v:rect>
            <v:rect id="Rectangle 42" o:spid="_x0000_s1118" style="position:absolute;left:21609;top:1848;width:6217;height:279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8DAsAA&#10;AADdAAAADwAAAGRycy9kb3ducmV2LnhtbERP22oCMRB9F/oPYYS+aaKIyNYoIghW+uLqBwyb2QtN&#10;JkuSutu/N4WCb3M419nuR2fFg0LsPGtYzBUI4sqbjhsN99tptgERE7JB65k0/FKE/e5tssXC+IGv&#10;9ChTI3IIxwI1tCn1hZSxaslhnPueOHO1Dw5ThqGRJuCQw52VS6XW0mHHuaHFno4tVd/lj9Mgb+Vp&#10;2JQ2KH9Z1l/283ytyWv9Ph0PHyASjekl/nefTZ6vViv4+yafIH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58DAsAAAADdAAAADwAAAAAAAAAAAAAAAACYAgAAZHJzL2Rvd25y&#10;ZXYueG1sUEsFBgAAAAAEAAQA9QAAAIUDAAAAAA==&#10;" filled="f" stroked="f">
              <v:textbox style="mso-fit-shape-to-text:t" inset="0,0,0,0">
                <w:txbxContent>
                  <w:p w:rsidR="008915F8" w:rsidRDefault="008915F8" w:rsidP="004F7D03">
                    <w:r>
                      <w:rPr>
                        <w:rFonts w:cs="Georgia"/>
                        <w:b/>
                        <w:bCs/>
                        <w:i/>
                        <w:iCs/>
                        <w:color w:val="FFFFFF"/>
                        <w:sz w:val="16"/>
                        <w:szCs w:val="16"/>
                        <w:lang w:val="en-US"/>
                      </w:rPr>
                      <w:t>submissions</w:t>
                    </w:r>
                  </w:p>
                </w:txbxContent>
              </v:textbox>
            </v:rect>
            <v:shape id="Freeform 43" o:spid="_x0000_s1119" style="position:absolute;left:22834;top:4286;width:8719;height:15500;visibility:visible;mso-wrap-style:square;v-text-anchor:top" coordsize="1890,3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invMUA&#10;AADdAAAADwAAAGRycy9kb3ducmV2LnhtbERPS2vCQBC+F/wPywjedGPVUlJXkYKPS7GN9uBtmp0m&#10;wexs2N3GtL/eFYTe5uN7znzZmVq05HxlWcF4lIAgzq2uuFBwPKyHzyB8QNZYWyYFv+Rhueg9zDHV&#10;9sIf1GahEDGEfYoKyhCaVEqfl2TQj2xDHLlv6wyGCF0htcNLDDe1fEySJ2mw4thQYkOvJeXn7Mco&#10;OBRfmynt3/4+T+eT2+L7ZHdst0oN+t3qBUSgLvyL7+6djvOT6Qxu38QT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yKe8xQAAAN0AAAAPAAAAAAAAAAAAAAAAAJgCAABkcnMv&#10;ZG93bnJldi54bWxQSwUGAAAAAAQABAD1AAAAigMAAAAA&#10;" path="m189,3362r1512,c1805,3362,1890,3278,1890,3173v,,,,,l1890,189c1890,84,1805,,1701,l189,c84,,,84,,189r,l,3173v,105,84,189,189,189xe" filled="f" strokecolor="white">
              <v:stroke endcap="round"/>
              <v:path arrowok="t" o:connecttype="custom" o:connectlocs="87186,1550035;784670,1550035;871855,1462897;871855,1462897;871855,87138;784670,0;87186,0;0,87138;0,87138;0,1462897;87186,1550035" o:connectangles="0,0,0,0,0,0,0,0,0,0,0"/>
            </v:shape>
            <v:shape id="Freeform 44" o:spid="_x0000_s1120" style="position:absolute;left:22834;top:4286;width:8719;height:15500;visibility:visible;mso-wrap-style:square;v-text-anchor:top" coordsize="1890,3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4SMMUA&#10;AADdAAAADwAAAGRycy9kb3ducmV2LnhtbERPTWvCQBC9C/6HZQq9lLprkVBSV6kBQUQpag/1NmTH&#10;JDQ7G7Orif/eLRS8zeN9znTe21pcqfWVYw3jkQJBnDtTcaHh+7B8fQfhA7LB2jFpuJGH+Ww4mGJq&#10;XMc7uu5DIWII+xQ1lCE0qZQ+L8miH7mGOHIn11oMEbaFNC12MdzW8k2pRFqsODaU2FBWUv67v1gN&#10;2ctipbJk4+v1enE4n36O2+7rqPXzU//5ASJQHx7if/fKxPlqksDfN/EE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HhIwxQAAAN0AAAAPAAAAAAAAAAAAAAAAAJgCAABkcnMv&#10;ZG93bnJldi54bWxQSwUGAAAAAAQABAD1AAAAigMAAAAA&#10;" path="m189,3362r1512,c1805,3362,1890,3278,1890,3173v,,,,,l1890,189c1890,84,1805,,1701,l189,c84,,,84,,189r,l,3173v,105,84,189,189,189xe" fillcolor="white [3201]" strokecolor="#00b2a9 [3204]" strokeweight="2pt">
              <v:path arrowok="t" o:connecttype="custom" o:connectlocs="87186,1550035;784670,1550035;871855,1462897;871855,1462897;871855,87138;784670,0;87186,0;0,87138;0,87138;0,1462897;87186,1550035" o:connectangles="0,0,0,0,0,0,0,0,0,0,0"/>
            </v:shape>
            <v:rect id="Rectangle 45" o:spid="_x0000_s1121" style="position:absolute;left:23311;top:4718;width:470;height:279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2ddcAA&#10;AADdAAAADwAAAGRycy9kb3ducmV2LnhtbERP22oCMRB9F/oPYQp900QpVrZGEUGw4ourHzBsZi80&#10;mSxJdLd/bwqFvs3hXGe9HZ0VDwqx86xhPlMgiCtvOm403K6H6QpETMgGrWfS8EMRtpuXyRoL4we+&#10;0KNMjcghHAvU0KbUF1LGqiWHceZ74szVPjhMGYZGmoBDDndWLpRaSocd54YWe9q3VH2Xd6dBXsvD&#10;sCptUP60qM/263ipyWv99jruPkEkGtO/+M99NHm+ev+A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02ddcAAAADdAAAADwAAAAAAAAAAAAAAAACYAgAAZHJzL2Rvd25y&#10;ZXYueG1sUEsFBgAAAAAEAAQA9QAAAIUDAAAAAA==&#10;" filled="f" stroked="f">
              <v:textbox style="mso-fit-shape-to-text:t" inset="0,0,0,0">
                <w:txbxContent>
                  <w:p w:rsidR="008915F8" w:rsidRDefault="008915F8" w:rsidP="004F7D03">
                    <w:r>
                      <w:rPr>
                        <w:rFonts w:ascii="Symbol" w:hAnsi="Symbol" w:cs="Symbol"/>
                        <w:color w:val="000000"/>
                        <w:sz w:val="16"/>
                        <w:szCs w:val="16"/>
                        <w:lang w:val="en-US"/>
                      </w:rPr>
                      <w:t></w:t>
                    </w:r>
                  </w:p>
                </w:txbxContent>
              </v:textbox>
            </v:rect>
            <v:rect id="Rectangle 46" o:spid="_x0000_s1122" style="position:absolute;left:24047;top:4794;width:2318;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IJB8MA&#10;AADdAAAADwAAAGRycy9kb3ducmV2LnhtbESPzWoDMQyE74W8g1Ght8ZuKCVs4oRSCKSll2zyAGKt&#10;/SG2vNhOdvv21aHQm8SMZj5t93Pw6k4pD5EtvCwNKOImuoE7C5fz4XkNKhdkhz4yWfihDPvd4mGL&#10;lYsTn+hel05JCOcKLfSljJXWuekpYF7GkVi0NqaARdbUaZdwkvDg9cqYNx1wYGnocaSPnpprfQsW&#10;9Lk+TOvaJxO/Vu23/zyeWorWPj3O7xtQhebyb/67PjrBN6+CK9/IC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IJB8MAAADdAAAADwAAAAAAAAAAAAAAAACYAgAAZHJzL2Rv&#10;d25yZXYueG1sUEsFBgAAAAAEAAQA9QAAAIgDAAAAAA==&#10;" filled="f" stroked="f">
              <v:textbox style="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Each</w:t>
                    </w:r>
                  </w:p>
                  <w:p w:rsidR="008915F8" w:rsidRDefault="008915F8" w:rsidP="004F7D03"/>
                </w:txbxContent>
              </v:textbox>
            </v:rect>
            <v:rect id="Rectangle 47" o:spid="_x0000_s1123" style="position:absolute;left:24047;top:5975;width:6496;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6snMAA&#10;AADdAAAADwAAAGRycy9kb3ducmV2LnhtbERP22oCMRB9F/oPYQq+aVIpYrdGkYJgpS+ufsCwmb1g&#10;MlmS1N3+vREKvs3hXGe9HZ0VNwqx86zhba5AEFfedNxouJz3sxWImJANWs+k4Y8ibDcvkzUWxg98&#10;oluZGpFDOBaooU2pL6SMVUsO49z3xJmrfXCYMgyNNAGHHO6sXCi1lA47zg0t9vTVUnUtf50GeS73&#10;w6q0Qfnjov6x34dTTV7r6eu4+wSRaExP8b/7YPJ89f4Bj2/yC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Z6snMAAAADdAAAADwAAAAAAAAAAAAAAAACYAgAAZHJzL2Rvd25y&#10;ZXYueG1sUEsFBgAAAAAEAAQA9QAAAIUDAAAAAA==&#10;" filled="f" stroked="f">
              <v:textbox style="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submission on</w:t>
                    </w:r>
                  </w:p>
                  <w:p w:rsidR="008915F8" w:rsidRDefault="008915F8" w:rsidP="004F7D03"/>
                </w:txbxContent>
              </v:textbox>
            </v:rect>
            <v:rect id="Rectangle 48" o:spid="_x0000_s1124" style="position:absolute;left:24047;top:7156;width:6611;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2T3MMA&#10;AADdAAAADwAAAGRycy9kb3ducmV2LnhtbESPzWoDMQyE74W8g1Ght8ZuoCVs4oRSCKSll2zyAGKt&#10;/SG2vNhOdvv21aHQm8SMZj5t93Pw6k4pD5EtvCwNKOImuoE7C5fz4XkNKhdkhz4yWfihDPvd4mGL&#10;lYsTn+hel05JCOcKLfSljJXWuekpYF7GkVi0NqaARdbUaZdwkvDg9cqYNx1wYGnocaSPnpprfQsW&#10;9Lk+TOvaJxO/Vu23/zyeWorWPj3O7xtQhebyb/67PjrBN6/CL9/IC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2T3MMAAADdAAAADwAAAAAAAAAAAAAAAACYAgAAZHJzL2Rv&#10;d25yZXYueG1sUEsFBgAAAAAEAAQA9QAAAIgDAAAAAA==&#10;" filled="f" stroked="f">
              <v:textbox style="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the policy area</w:t>
                    </w:r>
                  </w:p>
                  <w:p w:rsidR="008915F8" w:rsidRDefault="008915F8" w:rsidP="004F7D03"/>
                </w:txbxContent>
              </v:textbox>
            </v:rect>
            <v:rect id="Rectangle 49" o:spid="_x0000_s1125" style="position:absolute;left:24047;top:8337;width:6160;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E2R8EA&#10;AADdAAAADwAAAGRycy9kb3ducmV2LnhtbERP22oCMRB9F/oPYQp902QFi2yNiwiClb64+gHDZvZC&#10;k8mSpO7275tCoW9zONfZVbOz4kEhDp41FCsFgrjxZuBOw/12Wm5BxIRs0HomDd8Uodo/LXZYGj/x&#10;lR516kQO4Viihj6lsZQyNj05jCs/Emeu9cFhyjB00gSccrizcq3Uq3Q4cG7ocaRjT81n/eU0yFt9&#10;mra1Dcpf1u2HfT9fW/JavzzPhzcQieb0L/5zn02erzYF/H6TT5D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xNkfBAAAA3QAAAA8AAAAAAAAAAAAAAAAAmAIAAGRycy9kb3du&#10;cmV2LnhtbFBLBQYAAAAABAAEAPUAAACGAwAAAAA=&#10;" filled="f" stroked="f">
              <v:textbox style="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was reviewed</w:t>
                    </w:r>
                  </w:p>
                  <w:p w:rsidR="008915F8" w:rsidRDefault="008915F8" w:rsidP="004F7D03"/>
                </w:txbxContent>
              </v:textbox>
            </v:rect>
            <v:rect id="Rectangle 50" o:spid="_x0000_s1126" style="position:absolute;left:31553;top:184;width:8706;height:45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ND1cMA&#10;AADdAAAADwAAAGRycy9kb3ducmV2LnhtbERPTWvCQBC9F/wPywje6qaCpURXCQVR9CBGQY/T7DQb&#10;kp0N2TXGf98tFHqbx/uc5Xqwjeip85VjBW/TBARx4XTFpYLLefP6AcIHZI2NY1LwJA/r1ehlial2&#10;Dz5Rn4dSxBD2KSowIbSplL4wZNFPXUscuW/XWQwRdqXUHT5iuG3kLEnepcWKY4PBlj4NFXV+twp2&#10;tyxs91/3vbtmpzo/mGNf10elJuMhW4AINIR/8Z97p+P8ZD6D32/iC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ND1cMAAADdAAAADwAAAAAAAAAAAAAAAACYAgAAZHJzL2Rv&#10;d25yZXYueG1sUEsFBgAAAAAEAAQA9QAAAIgDAAAAAA==&#10;" fillcolor="#00b2a9 [3204]" stroked="f"/>
            <v:rect id="Rectangle 51" o:spid="_x0000_s1127" style="position:absolute;left:31553;top:184;width:8706;height:45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fHAsEA&#10;AADdAAAADwAAAGRycy9kb3ducmV2LnhtbERPy6rCMBDdC/5DGMGdpipXpBpFfHBdCVYR3A3N2Bab&#10;SWli7f17c0FwN4fznMWqNaVoqHaFZQWjYQSCOLW64EzB5bwfzEA4j6yxtEwK/sjBatntLDDW9sUn&#10;ahKfiRDCLkYFufdVLKVLczLohrYiDtzd1gZ9gHUmdY2vEG5KOY6iqTRYcGjIsaJNTukjeRoF/vfW&#10;0GZ3Wu+quzVnvZ8dr9tUqX6vXc9BeGr9V/xxH3SYH/1M4P+bcIJ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XxwLBAAAA3QAAAA8AAAAAAAAAAAAAAAAAmAIAAGRycy9kb3du&#10;cmV2LnhtbFBLBQYAAAAABAAEAPUAAACGAwAAAAA=&#10;" filled="f" strokecolor="white">
              <v:stroke joinstyle="round" endcap="round"/>
            </v:rect>
            <v:rect id="Rectangle 52" o:spid="_x0000_s1128" style="position:absolute;left:32010;top:667;width:5309;height:558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aV38AA&#10;AADdAAAADwAAAGRycy9kb3ducmV2LnhtbERP22oCMRB9F/oPYQp900SpRbZGEUGw4ourHzBsZi80&#10;mSxJdLd/bwqFvs3hXGe9HZ0VDwqx86xhPlMgiCtvOm403K6H6QpETMgGrWfS8EMRtpuXyRoL4we+&#10;0KNMjcghHAvU0KbUF1LGqiWHceZ74szVPjhMGYZGmoBDDndWLpT6kA47zg0t9rRvqfou706DvJaH&#10;YVXaoPxpUZ/t1/FSk9f67XXcfYJINKZ/8Z/7aPJ8tXyH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aV38AAAADdAAAADwAAAAAAAAAAAAAAAACYAgAAZHJzL2Rvd25y&#10;ZXYueG1sUEsFBgAAAAAEAAQA9QAAAIUDAAAAAA==&#10;" filled="f" stroked="f">
              <v:textbox style="mso-fit-shape-to-text:t" inset="0,0,0,0">
                <w:txbxContent>
                  <w:p w:rsidR="008915F8" w:rsidRDefault="008915F8" w:rsidP="004F7D03">
                    <w:pPr>
                      <w:rPr>
                        <w:rFonts w:cs="Georgia"/>
                        <w:b/>
                        <w:bCs/>
                        <w:i/>
                        <w:iCs/>
                        <w:color w:val="FFFFFF"/>
                        <w:sz w:val="16"/>
                        <w:szCs w:val="16"/>
                        <w:lang w:val="en-US"/>
                      </w:rPr>
                    </w:pPr>
                    <w:r>
                      <w:rPr>
                        <w:rFonts w:cs="Georgia"/>
                        <w:b/>
                        <w:bCs/>
                        <w:i/>
                        <w:iCs/>
                        <w:color w:val="FFFFFF"/>
                        <w:sz w:val="16"/>
                        <w:szCs w:val="16"/>
                        <w:lang w:val="en-US"/>
                      </w:rPr>
                      <w:t>Nature and</w:t>
                    </w:r>
                  </w:p>
                  <w:p w:rsidR="008915F8" w:rsidRDefault="008915F8" w:rsidP="004F7D03"/>
                </w:txbxContent>
              </v:textbox>
            </v:rect>
            <v:rect id="Rectangle 53" o:spid="_x0000_s1129" style="position:absolute;left:32010;top:1848;width:6045;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owRMAA&#10;AADdAAAADwAAAGRycy9kb3ducmV2LnhtbERP22oCMRB9F/oPYYS+aaKgyNYoIghW+uLqBwyb2QtN&#10;JkuSutu/N4WCb3M419nuR2fFg0LsPGtYzBUI4sqbjhsN99tptgERE7JB65k0/FKE/e5tssXC+IGv&#10;9ChTI3IIxwI1tCn1hZSxaslhnPueOHO1Dw5ThqGRJuCQw52VS6XW0mHHuaHFno4tVd/lj9Mgb+Vp&#10;2JQ2KH9Z1l/283ytyWv9Ph0PHyASjekl/nefTZ6vViv4+yafIH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QowRMAAAADdAAAADwAAAAAAAAAAAAAAAACYAgAAZHJzL2Rvd25y&#10;ZXYueG1sUEsFBgAAAAAEAAQA9QAAAIUDAAAAAA==&#10;" filled="f" stroked="f">
              <v:textbox style="mso-fit-shape-to-text:t" inset="0,0,0,0">
                <w:txbxContent>
                  <w:p w:rsidR="008915F8" w:rsidRDefault="008915F8" w:rsidP="004F7D03">
                    <w:pPr>
                      <w:rPr>
                        <w:rFonts w:cs="Georgia"/>
                        <w:b/>
                        <w:bCs/>
                        <w:i/>
                        <w:iCs/>
                        <w:color w:val="FFFFFF"/>
                        <w:sz w:val="16"/>
                        <w:szCs w:val="16"/>
                        <w:lang w:val="en-US"/>
                      </w:rPr>
                    </w:pPr>
                    <w:r>
                      <w:rPr>
                        <w:rFonts w:cs="Georgia"/>
                        <w:b/>
                        <w:bCs/>
                        <w:i/>
                        <w:iCs/>
                        <w:color w:val="FFFFFF"/>
                        <w:sz w:val="16"/>
                        <w:szCs w:val="16"/>
                        <w:lang w:val="en-US"/>
                      </w:rPr>
                      <w:t>extent of the</w:t>
                    </w:r>
                  </w:p>
                  <w:p w:rsidR="008915F8" w:rsidRDefault="008915F8" w:rsidP="004F7D03"/>
                </w:txbxContent>
              </v:textbox>
            </v:rect>
            <v:rect id="Rectangle 54" o:spid="_x0000_s1130" style="position:absolute;left:32010;top:3029;width:4013;height:279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viMMA&#10;AADcAAAADwAAAGRycy9kb3ducmV2LnhtbESPzWrDMBCE74W+g9hCbo1cH0pwo4RSMLillzh5gMVa&#10;/1BpZSQ1dt++ewjktsvMzny7P67eqSvFNAU28LItQBF3wU48GLic6+cdqJSRLbrAZOCPEhwPjw97&#10;rGxY+ETXNg9KQjhVaGDMea60Tt1IHtM2zMSi9SF6zLLGQduIi4R7p8uieNUeJ5aGEWf6GKn7aX+9&#10;AX1u62XXuliEr7L/dp/NqadgzOZpfX8DlWnNd/PturGCXwqt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jviMMAAADcAAAADwAAAAAAAAAAAAAAAACYAgAAZHJzL2Rv&#10;d25yZXYueG1sUEsFBgAAAAAEAAQA9QAAAIgDAAAAAA==&#10;" filled="f" stroked="f">
              <v:textbox style="mso-fit-shape-to-text:t" inset="0,0,0,0">
                <w:txbxContent>
                  <w:p w:rsidR="008915F8" w:rsidRDefault="008915F8" w:rsidP="004F7D03">
                    <w:r>
                      <w:rPr>
                        <w:rFonts w:cs="Georgia"/>
                        <w:b/>
                        <w:bCs/>
                        <w:i/>
                        <w:iCs/>
                        <w:color w:val="FFFFFF"/>
                        <w:sz w:val="16"/>
                        <w:szCs w:val="16"/>
                        <w:lang w:val="en-US"/>
                      </w:rPr>
                      <w:t>problem</w:t>
                    </w:r>
                  </w:p>
                </w:txbxContent>
              </v:textbox>
            </v:rect>
            <v:shape id="Freeform 55" o:spid="_x0000_s1131" style="position:absolute;left:33293;top:4286;width:8705;height:15500;visibility:visible;mso-wrap-style:square;v-text-anchor:top" coordsize="1889,3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85vcEA&#10;AADcAAAADwAAAGRycy9kb3ducmV2LnhtbERPTUsDMRC9C/6HMIIXsdntoda1aZGiUG/aFnodNmOy&#10;uJksydhu/70pFLzN433OYjWGXh0p5S6ygXpSgSJuo+3YGdjv3h/noLIgW+wjk4EzZVgtb28W2Nh4&#10;4i86bsWpEsK5QQNeZGi0zq2ngHkSB+LCfccUUApMTtuEpxIeej2tqpkO2HFp8DjQ2lP7s/0NBta1&#10;+3j6PMQZnjdvycle6gdvjbm/G19fQAmN8i++uje2zJ8+w+WZcoF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Ob3BAAAA3AAAAA8AAAAAAAAAAAAAAAAAmAIAAGRycy9kb3du&#10;cmV2LnhtbFBLBQYAAAAABAAEAPUAAACGAwAAAAA=&#10;" path="m189,3362r1511,c1805,3362,1889,3278,1889,3173v,,,,,l1889,189c1889,84,1805,,1700,l189,c84,,,84,,189r,l,3173v,105,84,189,189,189xe" fillcolor="white [3201]" strokecolor="#00b2a9 [3204]" strokeweight="2pt">
              <v:path arrowok="t" o:connecttype="custom" o:connectlocs="87105,1550035;783480,1550035;870585,1462897;870585,1462897;870585,87138;783480,0;87105,0;0,87138;0,87138;0,1462897;87105,1550035" o:connectangles="0,0,0,0,0,0,0,0,0,0,0"/>
            </v:shape>
            <v:shape id="Freeform 56" o:spid="_x0000_s1132" style="position:absolute;left:33293;top:4286;width:8705;height:15500;visibility:visible;mso-wrap-style:square;v-text-anchor:top" coordsize="1889,3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lChsMA&#10;AADcAAAADwAAAGRycy9kb3ducmV2LnhtbESPQWvCQBCF7wX/wzIFb3VThWKjq4ggEW+NhfY4Zsck&#10;mJ0Nu6vGf985FLzN8N68981yPbhO3SjE1rOB90kGirjytuXawPdx9zYHFROyxc4zGXhQhPVq9LLE&#10;3Po7f9GtTLWSEI45GmhS6nOtY9WQwzjxPbFoZx8cJllDrW3Au4S7Tk+z7EM7bFkaGuxp21B1Ka/O&#10;wOBPj3gM9af+KX6LQ7nj6amYGTN+HTYLUImG9DT/X++t4M8EX56RCf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lChsMAAADcAAAADwAAAAAAAAAAAAAAAACYAgAAZHJzL2Rv&#10;d25yZXYueG1sUEsFBgAAAAAEAAQA9QAAAIgDAAAAAA==&#10;" path="m189,3362r1511,c1805,3362,1889,3278,1889,3173v,,,,,l1889,189c1889,84,1805,,1700,l189,c84,,,84,,189r,l,3173v,105,84,189,189,189xe" filled="f" strokecolor="white">
              <v:stroke endcap="round"/>
              <v:path arrowok="t" o:connecttype="custom" o:connectlocs="87105,1550035;783480,1550035;870585,1462897;870585,1462897;870585,87138;783480,0;87105,0;0,87138;0,87138;0,1462897;87105,1550035" o:connectangles="0,0,0,0,0,0,0,0,0,0,0"/>
            </v:shape>
            <v:rect id="Rectangle 57" o:spid="_x0000_s1133" style="position:absolute;left:33782;top:4718;width:470;height:279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vQyL4A&#10;AADcAAAADwAAAGRycy9kb3ducmV2LnhtbERP24rCMBB9X/Afwgi+raku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k70Mi+AAAA3AAAAA8AAAAAAAAAAAAAAAAAmAIAAGRycy9kb3ducmV2&#10;LnhtbFBLBQYAAAAABAAEAPUAAACDAwAAAAA=&#10;" filled="f" stroked="f">
              <v:textbox style="mso-fit-shape-to-text:t" inset="0,0,0,0">
                <w:txbxContent>
                  <w:p w:rsidR="008915F8" w:rsidRDefault="008915F8" w:rsidP="004F7D03">
                    <w:r>
                      <w:rPr>
                        <w:rFonts w:ascii="Symbol" w:hAnsi="Symbol" w:cs="Symbol"/>
                        <w:color w:val="000000"/>
                        <w:sz w:val="16"/>
                        <w:szCs w:val="16"/>
                        <w:lang w:val="en-US"/>
                      </w:rPr>
                      <w:t></w:t>
                    </w:r>
                  </w:p>
                </w:txbxContent>
              </v:textbox>
            </v:rect>
            <v:rect id="Rectangle 58" o:spid="_x0000_s1134" style="position:absolute;left:34442;top:4794;width:5931;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Ov78A&#10;AADcAAAADwAAAGRycy9kb3ducmV2LnhtbERP24rCMBB9F/yHMMK+aWqF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6U6/vwAAANwAAAAPAAAAAAAAAAAAAAAAAJgCAABkcnMvZG93bnJl&#10;di54bWxQSwUGAAAAAAQABAD1AAAAhAMAAAAA&#10;" filled="f" stroked="f">
              <v:textbox style="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Collation and</w:t>
                    </w:r>
                  </w:p>
                  <w:p w:rsidR="008915F8" w:rsidRDefault="008915F8" w:rsidP="004F7D03"/>
                </w:txbxContent>
              </v:textbox>
            </v:rect>
            <v:rect id="Rectangle 59" o:spid="_x0000_s1135" style="position:absolute;left:34442;top:5975;width:4801;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rJL4A&#10;AADcAAAADwAAAGRycy9kb3ducmV2LnhtbERP24rCMBB9X/Afwgi+rakK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l6yS+AAAA3AAAAA8AAAAAAAAAAAAAAAAAmAIAAGRycy9kb3ducmV2&#10;LnhtbFBLBQYAAAAABAAEAPUAAACDAwAAAAA=&#10;" filled="f" stroked="f">
              <v:textbox style="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analysis of</w:t>
                    </w:r>
                  </w:p>
                  <w:p w:rsidR="008915F8" w:rsidRDefault="008915F8" w:rsidP="004F7D03"/>
                </w:txbxContent>
              </v:textbox>
            </v:rect>
            <v:rect id="Rectangle 60" o:spid="_x0000_s1136" style="position:absolute;left:34442;top:7156;width:4013;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xzUL8A&#10;AADcAAAADwAAAGRycy9kb3ducmV2LnhtbERP24rCMBB9F/yHMIJvmqrL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HNQvwAAANwAAAAPAAAAAAAAAAAAAAAAAJgCAABkcnMvZG93bnJl&#10;di54bWxQSwUGAAAAAAQABAD1AAAAhAMAAAAA&#10;" filled="f" stroked="f">
              <v:textbox style="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available</w:t>
                    </w:r>
                  </w:p>
                  <w:p w:rsidR="008915F8" w:rsidRDefault="008915F8" w:rsidP="004F7D03"/>
                </w:txbxContent>
              </v:textbox>
            </v:rect>
            <v:rect id="Rectangle 61" o:spid="_x0000_s1137" style="position:absolute;left:34442;top:8337;width:5201;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Wy78A&#10;AADcAAAADwAAAGRycy9kb3ducmV2LnhtbERP24rCMBB9F/yHMIJvmqrs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ANbLvwAAANwAAAAPAAAAAAAAAAAAAAAAAJgCAABkcnMvZG93bnJl&#10;di54bWxQSwUGAAAAAAQABAD1AAAAhAMAAAAA&#10;" filled="f" stroked="f">
              <v:textbox style="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evidence to</w:t>
                    </w:r>
                  </w:p>
                  <w:p w:rsidR="008915F8" w:rsidRDefault="008915F8" w:rsidP="004F7D03"/>
                </w:txbxContent>
              </v:textbox>
            </v:rect>
            <v:rect id="Rectangle 62" o:spid="_x0000_s1138" style="position:absolute;left:34442;top:9518;width:6217;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IvL4A&#10;AADcAAAADwAAAGRycy9kb3ducmV2LnhtbERP24rCMBB9X/Afwgi+rakK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bSSLy+AAAA3AAAAA8AAAAAAAAAAAAAAAAAmAIAAGRycy9kb3ducmV2&#10;LnhtbFBLBQYAAAAABAAEAPUAAACDAwAAAAA=&#10;" filled="f" stroked="f">
              <v:textbox style="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determine the</w:t>
                    </w:r>
                  </w:p>
                  <w:p w:rsidR="008915F8" w:rsidRDefault="008915F8" w:rsidP="004F7D03"/>
                </w:txbxContent>
              </v:textbox>
            </v:rect>
            <v:rect id="Rectangle 63" o:spid="_x0000_s1139" style="position:absolute;left:34442;top:10699;width:4864;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7tJ78A&#10;AADcAAAADwAAAGRycy9kb3ducmV2LnhtbERP24rCMBB9F/yHMIJvmqqw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nu0nvwAAANwAAAAPAAAAAAAAAAAAAAAAAJgCAABkcnMvZG93bnJl&#10;di54bWxQSwUGAAAAAAQABAD1AAAAhAMAAAAA&#10;" filled="f" stroked="f">
              <v:textbox style="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nature and</w:t>
                    </w:r>
                  </w:p>
                  <w:p w:rsidR="008915F8" w:rsidRDefault="008915F8" w:rsidP="004F7D03"/>
                </w:txbxContent>
              </v:textbox>
            </v:rect>
            <v:rect id="Rectangle 64" o:spid="_x0000_s1140" style="position:absolute;left:34442;top:11874;width:3899;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5Vc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5VcMAAADcAAAADwAAAAAAAAAAAAAAAACYAgAAZHJzL2Rv&#10;d25yZXYueG1sUEsFBgAAAAAEAAQA9QAAAIgDAAAAAA==&#10;" filled="f" stroked="f">
              <v:textbox style="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extent of</w:t>
                    </w:r>
                  </w:p>
                  <w:p w:rsidR="008915F8" w:rsidRDefault="008915F8" w:rsidP="004F7D03"/>
                </w:txbxContent>
              </v:textbox>
            </v:rect>
            <v:rect id="Rectangle 65" o:spid="_x0000_s1141" style="position:absolute;left:34442;top:13055;width:5652;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3czr8A&#10;AADcAAAADwAAAGRycy9kb3ducmV2LnhtbERP24rCMBB9X/Afwgi+rakK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TdzOvwAAANwAAAAPAAAAAAAAAAAAAAAAAJgCAABkcnMvZG93bnJl&#10;di54bWxQSwUGAAAAAAQABAD1AAAAhAMAAAAA&#10;" filled="f" stroked="f">
              <v:textbox style="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problem and</w:t>
                    </w:r>
                  </w:p>
                  <w:p w:rsidR="008915F8" w:rsidRDefault="008915F8" w:rsidP="004F7D03"/>
                </w:txbxContent>
              </v:textbox>
            </v:rect>
            <v:rect id="Rectangle 66" o:spid="_x0000_s1142" style="position:absolute;left:34442;top:14236;width:5931;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Ls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GLsMAAADcAAAADwAAAAAAAAAAAAAAAACYAgAAZHJzL2Rv&#10;d25yZXYueG1sUEsFBgAAAAAEAAQA9QAAAIgDAAAAAA==&#10;" filled="f" stroked="f">
              <v:textbox style="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the likelihood</w:t>
                    </w:r>
                  </w:p>
                  <w:p w:rsidR="008915F8" w:rsidRDefault="008915F8" w:rsidP="004F7D03"/>
                </w:txbxContent>
              </v:textbox>
            </v:rect>
            <v:rect id="Rectangle 67" o:spid="_x0000_s1143" style="position:absolute;left:34442;top:15417;width:6496;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2jtb4A&#10;AADcAAAADwAAAGRycy9kb3ducmV2LnhtbERP24rCMBB9X/Afwgi+ramy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E9o7W+AAAA3AAAAA8AAAAAAAAAAAAAAAAAmAIAAGRycy9kb3ducmV2&#10;LnhtbFBLBQYAAAAABAAEAPUAAACDAwAAAAA=&#10;" filled="f" stroked="f">
              <v:textbox style="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of the problem</w:t>
                    </w:r>
                  </w:p>
                  <w:p w:rsidR="008915F8" w:rsidRDefault="008915F8" w:rsidP="004F7D03"/>
                </w:txbxContent>
              </v:textbox>
            </v:rect>
            <v:rect id="Rectangle 68" o:spid="_x0000_s1144" style="position:absolute;left:34442;top:16598;width:4185;height:279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89wr8A&#10;AADcAAAADwAAAGRycy9kb3ducmV2LnhtbERP24rCMBB9F/yHMMK+aWqR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7z3CvwAAANwAAAAPAAAAAAAAAAAAAAAAAJgCAABkcnMvZG93bnJl&#10;di54bWxQSwUGAAAAAAQABAD1AAAAhAMAAAAA&#10;" filled="f" stroked="f">
              <v:textbox style="mso-fit-shape-to-text:t" inset="0,0,0,0">
                <w:txbxContent>
                  <w:p w:rsidR="008915F8" w:rsidRDefault="008915F8" w:rsidP="004F7D03">
                    <w:r>
                      <w:rPr>
                        <w:rFonts w:cs="Georgia"/>
                        <w:color w:val="000000"/>
                        <w:sz w:val="16"/>
                        <w:szCs w:val="16"/>
                        <w:lang w:val="en-US"/>
                      </w:rPr>
                      <w:t>occurring</w:t>
                    </w:r>
                  </w:p>
                </w:txbxContent>
              </v:textbox>
            </v:rect>
            <v:rect id="Rectangle 69" o:spid="_x0000_s1145" style="position:absolute;left:41567;top:184;width:8712;height:45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Z8MA&#10;AADcAAAADwAAAGRycy9kb3ducmV2LnhtbERPS2vCQBC+C/6HZQq96aYPRKKrBKFU7EGMhXocs2M2&#10;JDsbsmtM/323IHibj+85y/VgG9FT5yvHCl6mCQjiwumKSwXfx4/JHIQPyBobx6TglzysV+PRElPt&#10;bnygPg+liCHsU1RgQmhTKX1hyKKfupY4chfXWQwRdqXUHd5iuG3ka5LMpMWKY4PBljaGijq/WgXb&#10;UxY+d+frzv1khzr/Mvu+rvdKPT8N2QJEoCE8xHf3Vsf572/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Z8MAAADcAAAADwAAAAAAAAAAAAAAAACYAgAAZHJzL2Rv&#10;d25yZXYueG1sUEsFBgAAAAAEAAQA9QAAAIgDAAAAAA==&#10;" fillcolor="#00b2a9 [3204]" stroked="f"/>
            <v:rect id="Rectangle 70" o:spid="_x0000_s1146" style="position:absolute;left:41567;top:184;width:8712;height:45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8WW74A&#10;AADcAAAADwAAAGRycy9kb3ducmV2LnhtbERPyQrCMBC9C/5DGMGbpoqIVKOIC3oSXBC8Dc3YFptJ&#10;aWKtf28Ewds83jqzRWMKUVPlcssKBv0IBHFidc6pgst525uAcB5ZY2GZFLzJwWLebs0w1vbFR6pP&#10;PhUhhF2MCjLvy1hKl2Rk0PVtSRy4u60M+gCrVOoKXyHcFHIYRWNpMOfQkGFJq4ySx+lpFPjdrabV&#10;5rjclHdrzno7OVzXiVLdTrOcgvDU+L/4597rMH80gu8z4QI5/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1fFlu+AAAA3AAAAA8AAAAAAAAAAAAAAAAAmAIAAGRycy9kb3ducmV2&#10;LnhtbFBLBQYAAAAABAAEAPUAAACDAwAAAAA=&#10;" filled="f" strokecolor="white">
              <v:stroke joinstyle="round" endcap="round"/>
            </v:rect>
            <v:rect id="Rectangle 71" o:spid="_x0000_s1147" style="position:absolute;left:42043;top:667;width:3842;height:558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altr8A&#10;AADcAAAADwAAAGRycy9kb3ducmV2LnhtbERP24rCMBB9F/yHMIJvmiru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BqW2vwAAANwAAAAPAAAAAAAAAAAAAAAAAJgCAABkcnMvZG93bnJl&#10;di54bWxQSwUGAAAAAAQABAD1AAAAhAMAAAAA&#10;" filled="f" stroked="f">
              <v:textbox style="mso-fit-shape-to-text:t" inset="0,0,0,0">
                <w:txbxContent>
                  <w:p w:rsidR="008915F8" w:rsidRDefault="008915F8" w:rsidP="004F7D03">
                    <w:pPr>
                      <w:rPr>
                        <w:rFonts w:cs="Georgia"/>
                        <w:b/>
                        <w:bCs/>
                        <w:i/>
                        <w:iCs/>
                        <w:color w:val="FFFFFF"/>
                        <w:sz w:val="16"/>
                        <w:szCs w:val="16"/>
                        <w:lang w:val="en-US"/>
                      </w:rPr>
                    </w:pPr>
                    <w:r>
                      <w:rPr>
                        <w:rFonts w:cs="Georgia"/>
                        <w:b/>
                        <w:bCs/>
                        <w:i/>
                        <w:iCs/>
                        <w:color w:val="FFFFFF"/>
                        <w:sz w:val="16"/>
                        <w:szCs w:val="16"/>
                        <w:lang w:val="en-US"/>
                      </w:rPr>
                      <w:t>Options</w:t>
                    </w:r>
                  </w:p>
                  <w:p w:rsidR="008915F8" w:rsidRDefault="008915F8" w:rsidP="004F7D03"/>
                </w:txbxContent>
              </v:textbox>
            </v:rect>
            <v:rect id="Rectangle 72" o:spid="_x0000_s1148" style="position:absolute;left:42043;top:1848;width:4013;height:279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7wb4A&#10;AADcAAAADwAAAGRycy9kb3ducmV2LnhtbERP24rCMBB9X/Afwgi+raki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7UO8G+AAAA3AAAAA8AAAAAAAAAAAAAAAAAmAIAAGRycy9kb3ducmV2&#10;LnhtbFBLBQYAAAAABAAEAPUAAACDAwAAAAA=&#10;" filled="f" stroked="f">
              <v:textbox style="mso-fit-shape-to-text:t" inset="0,0,0,0">
                <w:txbxContent>
                  <w:p w:rsidR="008915F8" w:rsidRDefault="008915F8" w:rsidP="004F7D03">
                    <w:r>
                      <w:rPr>
                        <w:rFonts w:cs="Georgia"/>
                        <w:b/>
                        <w:bCs/>
                        <w:i/>
                        <w:iCs/>
                        <w:color w:val="FFFFFF"/>
                        <w:sz w:val="16"/>
                        <w:szCs w:val="16"/>
                        <w:lang w:val="en-US"/>
                      </w:rPr>
                      <w:t>analysis</w:t>
                    </w:r>
                  </w:p>
                </w:txbxContent>
              </v:textbox>
            </v:rect>
            <v:shape id="Freeform 73" o:spid="_x0000_s1149" style="position:absolute;left:43313;top:4286;width:8712;height:15500;visibility:visible;mso-wrap-style:square;v-text-anchor:top" coordsize="1890,3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8fy8UA&#10;AADcAAAADwAAAGRycy9kb3ducmV2LnhtbERPTWvCQBC9F/wPyxR6Kc2mUlRiVtGAIKKUxh70NmTH&#10;JDQ7m2a3Jv33rlDobR7vc9LlYBpxpc7VlhW8RjEI4sLqmksFn8fNywyE88gaG8uk4JccLBejhxQT&#10;bXv+oGvuSxFC2CWooPK+TaR0RUUGXWRb4sBdbGfQB9iVUnfYh3DTyHEcT6TBmkNDhS1lFRVf+Y9R&#10;kD2vt3E22btmt1sfvy+n86F/Pyv19Dis5iA8Df5f/Ofe6jD/bQr3Z8IF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nx/LxQAAANwAAAAPAAAAAAAAAAAAAAAAAJgCAABkcnMv&#10;ZG93bnJldi54bWxQSwUGAAAAAAQABAD1AAAAigMAAAAA&#10;" path="m189,3362r1512,c1805,3362,1890,3278,1890,3173v,,,,,l1890,189c1890,84,1805,,1701,l189,c84,,,84,,189r,l,3173v,105,84,189,189,189xe" fillcolor="white [3201]" strokecolor="#00b2a9 [3204]" strokeweight="2pt">
              <v:path arrowok="t" o:connecttype="custom" o:connectlocs="87122,1550035;784098,1550035;871220,1462897;871220,1462897;871220,87138;784098,0;87122,0;0,87138;0,87138;0,1462897;87122,1550035" o:connectangles="0,0,0,0,0,0,0,0,0,0,0"/>
            </v:shape>
            <v:shape id="Freeform 74" o:spid="_x0000_s1150" style="position:absolute;left:43313;top:4286;width:8712;height:15500;visibility:visible;mso-wrap-style:square;v-text-anchor:top" coordsize="1890,3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PDRscA&#10;AADcAAAADwAAAGRycy9kb3ducmV2LnhtbESPT2/CMAzF75P2HSJP4jbSDTRNhYCmSQMuE+PPDtxM&#10;47UVjVMloXR8+vkwiZut9/zez9N57xrVUYi1ZwNPwwwUceFtzaWB/e7j8RVUTMgWG89k4JcizGf3&#10;d1PMrb/whrptKpWEcMzRQJVSm2sdi4ocxqFviUX78cFhkjWU2ga8SLhr9HOWvWiHNUtDhS29V1Sc&#10;tmdnYFceF2Naf16/D6dDWOLXaLXvlsYMHvq3CahEfbqZ/69XVvDHQivPyAR6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JDw0bHAAAA3AAAAA8AAAAAAAAAAAAAAAAAmAIAAGRy&#10;cy9kb3ducmV2LnhtbFBLBQYAAAAABAAEAPUAAACMAwAAAAA=&#10;" path="m189,3362r1512,c1805,3362,1890,3278,1890,3173v,,,,,l1890,189c1890,84,1805,,1701,l189,c84,,,84,,189r,l,3173v,105,84,189,189,189xe" filled="f" strokecolor="white">
              <v:stroke endcap="round"/>
              <v:path arrowok="t" o:connecttype="custom" o:connectlocs="87122,1550035;784098,1550035;871220,1462897;871220,1462897;871220,87138;784098,0;87122,0;0,87138;0,87138;0,1462897;87122,1550035" o:connectangles="0,0,0,0,0,0,0,0,0,0,0"/>
            </v:shape>
            <v:rect id="Rectangle 75" o:spid="_x0000_s1151" style="position:absolute;left:43815;top:4718;width:470;height:279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uvs78A&#10;AADcAAAADwAAAGRycy9kb3ducmV2LnhtbERP24rCMBB9X/Afwgi+raki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S6+zvwAAANwAAAAPAAAAAAAAAAAAAAAAAJgCAABkcnMvZG93bnJl&#10;di54bWxQSwUGAAAAAAQABAD1AAAAhAMAAAAA&#10;" filled="f" stroked="f">
              <v:textbox style="mso-fit-shape-to-text:t" inset="0,0,0,0">
                <w:txbxContent>
                  <w:p w:rsidR="008915F8" w:rsidRDefault="008915F8" w:rsidP="004F7D03">
                    <w:r>
                      <w:rPr>
                        <w:rFonts w:ascii="Symbol" w:hAnsi="Symbol" w:cs="Symbol"/>
                        <w:color w:val="000000"/>
                        <w:sz w:val="16"/>
                        <w:szCs w:val="16"/>
                        <w:lang w:val="en-US"/>
                      </w:rPr>
                      <w:t></w:t>
                    </w:r>
                  </w:p>
                </w:txbxContent>
              </v:textbox>
            </v:rect>
            <v:rect id="Rectangle 76" o:spid="_x0000_s1152" style="position:absolute;left:44475;top:4794;width:6668;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iQ88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iQ88MAAADcAAAADwAAAAAAAAAAAAAAAACYAgAAZHJzL2Rv&#10;d25yZXYueG1sUEsFBgAAAAAEAAQA9QAAAIgDAAAAAA==&#10;" filled="f" stroked="f">
              <v:textbox style="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Assessment of</w:t>
                    </w:r>
                  </w:p>
                  <w:p w:rsidR="008915F8" w:rsidRDefault="008915F8" w:rsidP="004F7D03"/>
                </w:txbxContent>
              </v:textbox>
            </v:rect>
            <v:rect id="Rectangle 77" o:spid="_x0000_s1153" style="position:absolute;left:44475;top:5975;width:4407;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Q1aL4A&#10;AADcAAAADwAAAGRycy9kb3ducmV2LnhtbERP24rCMBB9X/Afwgi+ranCLl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TkNWi+AAAA3AAAAA8AAAAAAAAAAAAAAAAAmAIAAGRycy9kb3ducmV2&#10;LnhtbFBLBQYAAAAABAAEAPUAAACDAwAAAAA=&#10;" filled="f" stroked="f">
              <v:textbox style="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options to</w:t>
                    </w:r>
                  </w:p>
                  <w:p w:rsidR="008915F8" w:rsidRDefault="008915F8" w:rsidP="004F7D03"/>
                </w:txbxContent>
              </v:textbox>
            </v:rect>
            <v:rect id="Rectangle 78" o:spid="_x0000_s1154" style="position:absolute;left:44475;top:7156;width:6217;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rH78A&#10;AADcAAAADwAAAGRycy9kb3ducmV2LnhtbERP24rCMBB9F/yHMMK+aWrB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NqsfvwAAANwAAAAPAAAAAAAAAAAAAAAAAJgCAABkcnMvZG93bnJl&#10;di54bWxQSwUGAAAAAAQABAD1AAAAhAMAAAAA&#10;" filled="f" stroked="f">
              <v:textbox style="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determine the</w:t>
                    </w:r>
                  </w:p>
                  <w:p w:rsidR="008915F8" w:rsidRDefault="008915F8" w:rsidP="004F7D03"/>
                </w:txbxContent>
              </v:textbox>
            </v:rect>
            <v:rect id="Rectangle 79" o:spid="_x0000_s1155" style="position:absolute;left:44475;top:8337;width:3277;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W8L8A&#10;AADcAAAADwAAAGRycy9kb3ducmV2LnhtbERP24rCMBB9F/yHMIJvmiru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k5bwvwAAANwAAAAPAAAAAAAAAAAAAAAAAJgCAABkcnMvZG93bnJl&#10;di54bWxQSwUGAAAAAAQABAD1AAAAhAMAAAAA&#10;" filled="f" stroked="f">
              <v:textbox style="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optimal</w:t>
                    </w:r>
                  </w:p>
                  <w:p w:rsidR="008915F8" w:rsidRDefault="008915F8" w:rsidP="004F7D03"/>
                </w:txbxContent>
              </v:textbox>
            </v:rect>
            <v:rect id="Rectangle 80" o:spid="_x0000_s1156" style="position:absolute;left:44475;top:9518;width:5372;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8za74A&#10;AADcAAAADwAAAGRycy9kb3ducmV2LnhtbERP24rCMBB9X/Afwgi+ramC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fM2u+AAAA3AAAAA8AAAAAAAAAAAAAAAAAmAIAAGRycy9kb3ducmV2&#10;LnhtbFBLBQYAAAAABAAEAPUAAACDAwAAAAA=&#10;" filled="f" stroked="f">
              <v:textbox style="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approach to</w:t>
                    </w:r>
                  </w:p>
                  <w:p w:rsidR="008915F8" w:rsidRDefault="008915F8" w:rsidP="004F7D03"/>
                </w:txbxContent>
              </v:textbox>
            </v:rect>
            <v:rect id="Rectangle 81" o:spid="_x0000_s1157" style="position:absolute;left:44475;top:10699;width:6668;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2tHL4A&#10;AADcAAAADwAAAGRycy9kb3ducmV2LnhtbERP24rCMBB9X/Afwgi+ramC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sNrRy+AAAA3AAAAA8AAAAAAAAAAAAAAAAAmAIAAGRycy9kb3ducmV2&#10;LnhtbFBLBQYAAAAABAAEAPUAAACDAwAAAAA=&#10;" filled="f" stroked="f">
              <v:textbox style="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addressing the</w:t>
                    </w:r>
                  </w:p>
                  <w:p w:rsidR="008915F8" w:rsidRDefault="008915F8" w:rsidP="004F7D03"/>
                </w:txbxContent>
              </v:textbox>
            </v:rect>
            <v:rect id="Rectangle 82" o:spid="_x0000_s1158" style="position:absolute;left:44475;top:11874;width:5537;height:558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EIh78A&#10;AADcAAAADwAAAGRycy9kb3ducmV2LnhtbERP24rCMBB9F/yHMIJvmiq4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QQiHvwAAANwAAAAPAAAAAAAAAAAAAAAAAJgCAABkcnMvZG93bnJl&#10;di54bWxQSwUGAAAAAAQABAD1AAAAhAMAAAAA&#10;" filled="f" stroked="f">
              <v:textbox style="mso-fit-shape-to-text:t" inset="0,0,0,0">
                <w:txbxContent>
                  <w:p w:rsidR="008915F8" w:rsidRDefault="008915F8" w:rsidP="004F7D03">
                    <w:pPr>
                      <w:rPr>
                        <w:rFonts w:cs="Georgia"/>
                        <w:color w:val="000000"/>
                        <w:sz w:val="16"/>
                        <w:szCs w:val="16"/>
                        <w:lang w:val="en-US"/>
                      </w:rPr>
                    </w:pPr>
                    <w:r>
                      <w:rPr>
                        <w:rFonts w:cs="Georgia"/>
                        <w:color w:val="000000"/>
                        <w:sz w:val="16"/>
                        <w:szCs w:val="16"/>
                        <w:lang w:val="en-US"/>
                      </w:rPr>
                      <w:t>cause of the</w:t>
                    </w:r>
                  </w:p>
                  <w:p w:rsidR="008915F8" w:rsidRDefault="008915F8" w:rsidP="004F7D03"/>
                </w:txbxContent>
              </v:textbox>
            </v:rect>
            <v:rect id="Rectangle 83" o:spid="_x0000_s1159" style="position:absolute;left:44475;top:13055;width:3677;height:279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6c9c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6c9cMAAADcAAAADwAAAAAAAAAAAAAAAACYAgAAZHJzL2Rv&#10;d25yZXYueG1sUEsFBgAAAAAEAAQA9QAAAIgDAAAAAA==&#10;" filled="f" stroked="f">
              <v:textbox style="mso-fit-shape-to-text:t" inset="0,0,0,0">
                <w:txbxContent>
                  <w:p w:rsidR="008915F8" w:rsidRDefault="008915F8" w:rsidP="004F7D03">
                    <w:r>
                      <w:rPr>
                        <w:rFonts w:cs="Georgia"/>
                        <w:color w:val="000000"/>
                        <w:sz w:val="16"/>
                        <w:szCs w:val="16"/>
                        <w:lang w:val="en-US"/>
                      </w:rPr>
                      <w:t>problem</w:t>
                    </w:r>
                  </w:p>
                </w:txbxContent>
              </v:textbox>
            </v:rect>
            <v:shape id="Freeform 84" o:spid="_x0000_s1160" style="position:absolute;left:9899;top:11074;width:3226;height:3924;visibility:visible;mso-wrap-style:square;v-text-anchor:top" coordsize="508,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RRV8IA&#10;AADcAAAADwAAAGRycy9kb3ducmV2LnhtbERPTWvCQBC9C/0PyxS8SN0oGGrqKkUJeOkhqVC8Ddlp&#10;EpqdXbJrjP++Kwje5vE+Z7MbTScG6n1rWcFinoAgrqxuuVZw+s7f3kH4gKyxs0wKbuRht32ZbDDT&#10;9soFDWWoRQxhn6GCJgSXSemrhgz6uXXEkfu1vcEQYV9L3eM1hptOLpMklQZbjg0NOto3VP2VF6Pg&#10;nBd2/XUafuws5b0/tGd2F6fU9HX8/AARaAxP8cN91HH+ag33Z+IFc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5FFXwgAAANwAAAAPAAAAAAAAAAAAAAAAAJgCAABkcnMvZG93&#10;bnJldi54bWxQSwUGAAAAAAQABAD1AAAAhwMAAAAA&#10;" path="m,618r254,l508,309,254,,,,254,309,,618xe" fillcolor="#201547 [3206]" strokecolor="#00b2a9 [3204]">
              <v:path arrowok="t" o:connecttype="custom" o:connectlocs="0,392430;161290,392430;322580,196215;161290,0;0,0;161290,196215;0,392430" o:connectangles="0,0,0,0,0,0,0"/>
            </v:shape>
            <v:shape id="Freeform 85" o:spid="_x0000_s1161" style="position:absolute;left:9899;top:11074;width:3226;height:3924;visibility:visible;mso-wrap-style:square;v-text-anchor:top" coordsize="508,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14KsMA&#10;AADcAAAADwAAAGRycy9kb3ducmV2LnhtbERPS2sCMRC+C/6HMIXeNFsPtW6NUloFKUJ1+6DHYTPd&#10;BDeTJYm6/femUPA2H99z5sveteJEIVrPCu7GBQji2mvLjYKP9/XoAURMyBpbz6TglyIsF8PBHEvt&#10;z7ynU5UakUM4lqjApNSVUsbakMM49h1x5n58cJgyDI3UAc853LVyUhT30qHl3GCwo2dD9aE6OgVx&#10;9zXddq8raz9N9V3Jt+kMX4JStzf90yOIRH26iv/dG53nzybw90y+QC4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14KsMAAADcAAAADwAAAAAAAAAAAAAAAACYAgAAZHJzL2Rv&#10;d25yZXYueG1sUEsFBgAAAAAEAAQA9QAAAIgDAAAAAA==&#10;" path="m,618r254,l508,309,254,,,,254,309,,618xe" fillcolor="#00b2a9 [3204]" strokecolor="#00b2a9 [3204]" strokeweight="2pt">
              <v:path arrowok="t" o:connecttype="custom" o:connectlocs="0,392430;161290,392430;322580,196215;161290,0;0,0;161290,196215;0,392430" o:connectangles="0,0,0,0,0,0,0"/>
            </v:shape>
            <v:shape id="Freeform 90" o:spid="_x0000_s1162" style="position:absolute;left:40887;top:11074;width:3220;height:3924;visibility:visible;mso-wrap-style:square;v-text-anchor:top" coordsize="507,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LjCsIA&#10;AADdAAAADwAAAGRycy9kb3ducmV2LnhtbERPTYvCMBC9L/gfwgje1kRBkWoUFQoqK8uq4HVoxrbY&#10;TGoTtf77jbCwt3m8z5ktWluJBzW+dKxh0FcgiDNnSs41nI7p5wSED8gGK8ek4UUeFvPOxwwT4578&#10;Q49DyEUMYZ+ghiKEOpHSZwVZ9H1XE0fu4hqLIcIml6bBZwy3lRwqNZYWS44NBda0Lii7Hu5Ww2R3&#10;vS3dVqX+fE756/u4qvf5Sutet11OQQRqw7/4z70xcb4ajeH9TTxBz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uMKwgAAAN0AAAAPAAAAAAAAAAAAAAAAAJgCAABkcnMvZG93&#10;bnJldi54bWxQSwUGAAAAAAQABAD1AAAAhwMAAAAA&#10;" path="m,618r253,l507,309,253,,,,253,309,,618xe" fillcolor="#7d1a2b" stroked="f">
              <v:path arrowok="t" o:connecttype="custom" o:connectlocs="0,392430;160655,392430;321945,196215;160655,0;0,0;160655,196215;0,392430" o:connectangles="0,0,0,0,0,0,0"/>
            </v:shape>
            <v:shape id="Freeform 91" o:spid="_x0000_s1163" style="position:absolute;left:40887;top:11074;width:3220;height:3924;visibility:visible;mso-wrap-style:square;v-text-anchor:top" coordsize="507,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ycKMQA&#10;AADdAAAADwAAAGRycy9kb3ducmV2LnhtbERPTWsCMRC9F/wPYYTealahVlezIpYWD0KpCuJt2Iy7&#10;y24mIUl17a9vCoXe5vE+Z7nqTSeu5ENjWcF4lIEgLq1uuFJwPLw9zUCEiKyxs0wK7hRgVQwelphr&#10;e+NPuu5jJVIIhxwV1DG6XMpQ1mQwjKwjTtzFeoMxQV9J7fGWwk0nJ1k2lQYbTg01OtrUVLb7L6Og&#10;nU9f32fl7vvD7Y7Gnsf+NHFeqcdhv16AiNTHf/Gfe6vT/Oz5BX6/SSfI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snCjEAAAA3QAAAA8AAAAAAAAAAAAAAAAAmAIAAGRycy9k&#10;b3ducmV2LnhtbFBLBQYAAAAABAAEAPUAAACJAwAAAAA=&#10;" path="m,618r253,l507,309,253,,,,253,309,,618xe" fillcolor="#00b2a9 [3204]" strokecolor="#00b2a9 [3204]" strokeweight="2pt">
              <v:path arrowok="t" o:connecttype="custom" o:connectlocs="0,392430;160655,392430;321945,196215;160655,0;0,0;160655,196215;0,392430" o:connectangles="0,0,0,0,0,0,0"/>
            </v:shape>
            <v:shape id="Freeform 170" o:spid="_x0000_s1164" style="position:absolute;left:20734;top:11035;width:3226;height:3924;visibility:visible;mso-wrap-style:square;v-text-anchor:top" coordsize="508,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oYhcMA&#10;AADcAAAADwAAAGRycy9kb3ducmV2LnhtbESPQWvCQBCF7wX/wzJCb3WjB5XoKiIUilJE2x8wZMck&#10;Jjsbs2uS/vvOQfA2j3nfmzfr7eBq1VEbSs8GppMEFHHmbcm5gd+fz48lqBCRLdaeycAfBdhuRm9r&#10;TK3v+UzdJeZKQjikaKCIsUm1DllBDsPEN8Syu/rWYRTZ5tq22Eu4q/UsSebaYclyocCG9gVl1eXh&#10;DMwEvh26/amy37cj99Xpel92xryPh90KVKQhvsxP+stK/YXUl2dkAr3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oYhcMAAADcAAAADwAAAAAAAAAAAAAAAACYAgAAZHJzL2Rv&#10;d25yZXYueG1sUEsFBgAAAAAEAAQA9QAAAIgDAAAAAA==&#10;" path="m,618r254,l508,309,254,,,,254,309,,618xe" fillcolor="#00b2a9" strokecolor="#00b2a9" strokeweight="2pt">
              <v:path arrowok="t" o:connecttype="custom" o:connectlocs="0,392430;161290,392430;322580,196215;161290,0;0,0;161290,196215;0,392430" o:connectangles="0,0,0,0,0,0,0"/>
            </v:shape>
            <v:shape id="Freeform 171" o:spid="_x0000_s1165" style="position:absolute;left:30067;top:10764;width:3226;height:3925;visibility:visible;mso-wrap-style:square;v-text-anchor:top" coordsize="508,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a9HsQA&#10;AADcAAAADwAAAGRycy9kb3ducmV2LnhtbESP0WrCQBBF34X+wzIF38xGH1TSrFIEobSIVP2AITtm&#10;Y7KzMbtN4t+7hULfZrj33LmTb0fbiJ46XzlWME9SEMSF0xWXCi7n/WwNwgdkjY1jUvAgD9vNyyTH&#10;TLuBv6k/hVLEEPYZKjAhtJmUvjBk0SeuJY7a1XUWQ1y7UuoOhxhuG7lI06W0WHG8YLClnaGiPv1Y&#10;BYsI3z773bHWh9sXD/Xxel/3Sk1fx/c3EIHG8G/+oz90rL+aw+8zcQK5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WvR7EAAAA3AAAAA8AAAAAAAAAAAAAAAAAmAIAAGRycy9k&#10;b3ducmV2LnhtbFBLBQYAAAAABAAEAPUAAACJAwAAAAA=&#10;" path="m,618r254,l508,309,254,,,,254,309,,618xe" fillcolor="#00b2a9" strokecolor="#00b2a9" strokeweight="2pt">
              <v:path arrowok="t" o:connecttype="custom" o:connectlocs="0,392430;161290,392430;322580,196215;161290,0;0,0;161290,196215;0,392430" o:connectangles="0,0,0,0,0,0,0"/>
            </v:shape>
            <w10:wrap type="topAndBottom"/>
          </v:group>
        </w:pict>
      </w:r>
      <w:bookmarkStart w:id="53" w:name="_Toc481499862"/>
      <w:r w:rsidR="004F7D03" w:rsidRPr="00427EE1">
        <w:t xml:space="preserve">Figure </w:t>
      </w:r>
      <w:r w:rsidR="00AC1A59" w:rsidRPr="00427EE1">
        <w:fldChar w:fldCharType="begin"/>
      </w:r>
      <w:r w:rsidR="004F7D03" w:rsidRPr="00427EE1">
        <w:instrText xml:space="preserve"> SEQ Figure \* ARABIC </w:instrText>
      </w:r>
      <w:r w:rsidR="00AC1A59" w:rsidRPr="00427EE1">
        <w:fldChar w:fldCharType="separate"/>
      </w:r>
      <w:r w:rsidR="00B30389">
        <w:rPr>
          <w:noProof/>
        </w:rPr>
        <w:t>6</w:t>
      </w:r>
      <w:r w:rsidR="00AC1A59" w:rsidRPr="00427EE1">
        <w:fldChar w:fldCharType="end"/>
      </w:r>
      <w:bookmarkEnd w:id="52"/>
      <w:r w:rsidR="004F7D03" w:rsidRPr="00427EE1">
        <w:t>: Process flow of risk and impact assessment</w:t>
      </w:r>
      <w:bookmarkEnd w:id="53"/>
    </w:p>
    <w:p w:rsidR="00E657D7" w:rsidRDefault="00E657D7" w:rsidP="00FE7837">
      <w:pPr>
        <w:rPr>
          <w:rFonts w:eastAsia="Calibri"/>
        </w:rPr>
      </w:pPr>
    </w:p>
    <w:p w:rsidR="00D615BC" w:rsidRPr="00E657D7" w:rsidRDefault="004F7D03" w:rsidP="00FE7837">
      <w:pPr>
        <w:rPr>
          <w:rFonts w:eastAsia="Calibri"/>
          <w:szCs w:val="20"/>
        </w:rPr>
      </w:pPr>
      <w:r w:rsidRPr="00E657D7">
        <w:rPr>
          <w:rFonts w:eastAsia="Calibri"/>
          <w:szCs w:val="20"/>
        </w:rPr>
        <w:t>To facilitate this process</w:t>
      </w:r>
      <w:r w:rsidR="00DC56A5" w:rsidRPr="00E657D7">
        <w:rPr>
          <w:rFonts w:eastAsia="Calibri"/>
          <w:szCs w:val="20"/>
        </w:rPr>
        <w:t>,</w:t>
      </w:r>
      <w:r w:rsidRPr="00E657D7">
        <w:rPr>
          <w:rFonts w:eastAsia="Calibri"/>
          <w:szCs w:val="20"/>
        </w:rPr>
        <w:t xml:space="preserve"> the </w:t>
      </w:r>
      <w:r w:rsidR="008911CB" w:rsidRPr="00E657D7">
        <w:rPr>
          <w:rFonts w:eastAsia="Calibri"/>
          <w:szCs w:val="20"/>
        </w:rPr>
        <w:t>Regulations</w:t>
      </w:r>
      <w:r w:rsidR="00854EF0" w:rsidRPr="00E657D7">
        <w:rPr>
          <w:rFonts w:eastAsia="Calibri"/>
          <w:szCs w:val="20"/>
        </w:rPr>
        <w:t xml:space="preserve"> </w:t>
      </w:r>
      <w:r w:rsidRPr="00E657D7">
        <w:rPr>
          <w:rFonts w:eastAsia="Calibri"/>
          <w:szCs w:val="20"/>
        </w:rPr>
        <w:t>were divided into policy areas</w:t>
      </w:r>
      <w:r w:rsidR="00DC56A5" w:rsidRPr="00E657D7">
        <w:rPr>
          <w:rFonts w:eastAsia="Calibri"/>
          <w:szCs w:val="20"/>
        </w:rPr>
        <w:t>,</w:t>
      </w:r>
      <w:r w:rsidRPr="00E657D7">
        <w:rPr>
          <w:rFonts w:eastAsia="Calibri"/>
          <w:szCs w:val="20"/>
        </w:rPr>
        <w:t xml:space="preserve"> to organise </w:t>
      </w:r>
      <w:r w:rsidR="00DC56A5" w:rsidRPr="00E657D7">
        <w:rPr>
          <w:rFonts w:eastAsia="Calibri"/>
          <w:szCs w:val="20"/>
        </w:rPr>
        <w:t xml:space="preserve">them </w:t>
      </w:r>
      <w:r w:rsidRPr="00E657D7">
        <w:rPr>
          <w:rFonts w:eastAsia="Calibri"/>
          <w:szCs w:val="20"/>
        </w:rPr>
        <w:t xml:space="preserve">into groups </w:t>
      </w:r>
      <w:r w:rsidR="00DC56A5" w:rsidRPr="00E657D7">
        <w:rPr>
          <w:rFonts w:eastAsia="Calibri"/>
          <w:szCs w:val="20"/>
        </w:rPr>
        <w:t xml:space="preserve">with </w:t>
      </w:r>
      <w:r w:rsidRPr="00E657D7">
        <w:rPr>
          <w:rFonts w:eastAsia="Calibri"/>
          <w:szCs w:val="20"/>
        </w:rPr>
        <w:t>a common underlying purpose or theme.</w:t>
      </w:r>
    </w:p>
    <w:p w:rsidR="004F7D03" w:rsidRPr="00E657D7" w:rsidRDefault="004F7D03" w:rsidP="00FE7837">
      <w:pPr>
        <w:rPr>
          <w:rFonts w:eastAsia="Calibri"/>
          <w:szCs w:val="20"/>
        </w:rPr>
      </w:pPr>
      <w:r w:rsidRPr="00E657D7">
        <w:rPr>
          <w:rFonts w:eastAsia="Calibri"/>
          <w:szCs w:val="20"/>
        </w:rPr>
        <w:lastRenderedPageBreak/>
        <w:t xml:space="preserve">Each policy area was subject to preliminary assessment </w:t>
      </w:r>
      <w:r w:rsidR="00DC56A5" w:rsidRPr="00E657D7">
        <w:rPr>
          <w:rFonts w:eastAsia="Calibri"/>
          <w:szCs w:val="20"/>
        </w:rPr>
        <w:t xml:space="preserve">to </w:t>
      </w:r>
      <w:r w:rsidRPr="00E657D7">
        <w:rPr>
          <w:rFonts w:eastAsia="Calibri"/>
          <w:szCs w:val="20"/>
        </w:rPr>
        <w:t xml:space="preserve">identify what evidence would be </w:t>
      </w:r>
      <w:r w:rsidR="00E5237C" w:rsidRPr="00E657D7">
        <w:rPr>
          <w:rFonts w:eastAsia="Calibri"/>
          <w:szCs w:val="20"/>
        </w:rPr>
        <w:t>required</w:t>
      </w:r>
      <w:r w:rsidRPr="00E657D7">
        <w:rPr>
          <w:rFonts w:eastAsia="Calibri"/>
          <w:szCs w:val="20"/>
        </w:rPr>
        <w:t xml:space="preserve"> to review the </w:t>
      </w:r>
      <w:r w:rsidR="008911CB" w:rsidRPr="00E657D7">
        <w:rPr>
          <w:rFonts w:eastAsia="Calibri"/>
          <w:szCs w:val="20"/>
        </w:rPr>
        <w:t>Regulations</w:t>
      </w:r>
      <w:r w:rsidRPr="00E657D7">
        <w:rPr>
          <w:rFonts w:eastAsia="Calibri"/>
          <w:szCs w:val="20"/>
        </w:rPr>
        <w:t xml:space="preserve"> in accordance with the </w:t>
      </w:r>
      <w:r w:rsidR="00AC1A59" w:rsidRPr="00E657D7">
        <w:rPr>
          <w:rFonts w:eastAsia="Calibri"/>
          <w:i/>
          <w:szCs w:val="20"/>
        </w:rPr>
        <w:t>Victorian Guide to Regulation</w:t>
      </w:r>
      <w:r w:rsidRPr="00E657D7">
        <w:rPr>
          <w:rFonts w:eastAsia="Calibri"/>
          <w:szCs w:val="20"/>
        </w:rPr>
        <w:t>. The evidence identified was then formatted into a data</w:t>
      </w:r>
      <w:r w:rsidR="00181511">
        <w:rPr>
          <w:rFonts w:eastAsia="Calibri"/>
          <w:szCs w:val="20"/>
        </w:rPr>
        <w:t>-</w:t>
      </w:r>
      <w:r w:rsidRPr="00E657D7">
        <w:rPr>
          <w:rFonts w:eastAsia="Calibri"/>
          <w:szCs w:val="20"/>
        </w:rPr>
        <w:t xml:space="preserve">collection plan and provided to </w:t>
      </w:r>
      <w:r w:rsidR="00720C4E">
        <w:rPr>
          <w:rFonts w:eastAsia="Calibri"/>
          <w:szCs w:val="20"/>
        </w:rPr>
        <w:t>VBA</w:t>
      </w:r>
      <w:r w:rsidRPr="00E657D7">
        <w:rPr>
          <w:rFonts w:eastAsia="Calibri"/>
          <w:szCs w:val="20"/>
        </w:rPr>
        <w:t xml:space="preserve"> as a preliminary data request.</w:t>
      </w:r>
    </w:p>
    <w:p w:rsidR="00D615BC" w:rsidRPr="00E657D7" w:rsidRDefault="00A14EA0" w:rsidP="00FE7837">
      <w:pPr>
        <w:rPr>
          <w:rFonts w:eastAsia="Calibri"/>
          <w:szCs w:val="20"/>
        </w:rPr>
      </w:pPr>
      <w:r>
        <w:rPr>
          <w:rFonts w:eastAsia="Calibri"/>
          <w:szCs w:val="20"/>
        </w:rPr>
        <w:t>VBA</w:t>
      </w:r>
      <w:r w:rsidR="004F7D03" w:rsidRPr="00E657D7">
        <w:rPr>
          <w:rFonts w:eastAsia="Calibri"/>
          <w:szCs w:val="20"/>
        </w:rPr>
        <w:t xml:space="preserve"> then reviewed all the data</w:t>
      </w:r>
      <w:r w:rsidR="00181511">
        <w:rPr>
          <w:rFonts w:eastAsia="Calibri"/>
          <w:szCs w:val="20"/>
        </w:rPr>
        <w:t>-</w:t>
      </w:r>
      <w:r w:rsidR="004F7D03" w:rsidRPr="00E657D7">
        <w:rPr>
          <w:rFonts w:eastAsia="Calibri"/>
          <w:szCs w:val="20"/>
        </w:rPr>
        <w:t>collection plans and categorised the requests into quantitative and qualitative data groups, identified the data owners, possible data sources and where necessary possible proxies that could be used in the absence of evidence. This stage of the process highlighted there were barriers to collecting and collating data to support the policy work.</w:t>
      </w:r>
    </w:p>
    <w:p w:rsidR="00D615BC" w:rsidRPr="00E657D7" w:rsidRDefault="004F7D03" w:rsidP="00FE7837">
      <w:pPr>
        <w:rPr>
          <w:rFonts w:asciiTheme="majorHAnsi" w:hAnsiTheme="majorHAnsi"/>
          <w:szCs w:val="20"/>
        </w:rPr>
      </w:pPr>
      <w:r w:rsidRPr="00E657D7">
        <w:rPr>
          <w:rFonts w:asciiTheme="majorHAnsi" w:hAnsiTheme="majorHAnsi"/>
          <w:szCs w:val="20"/>
        </w:rPr>
        <w:t xml:space="preserve">Most data </w:t>
      </w:r>
      <w:r w:rsidR="00DC56A5" w:rsidRPr="00E657D7">
        <w:rPr>
          <w:rFonts w:asciiTheme="majorHAnsi" w:hAnsiTheme="majorHAnsi"/>
          <w:szCs w:val="20"/>
        </w:rPr>
        <w:t xml:space="preserve">were </w:t>
      </w:r>
      <w:r w:rsidRPr="00E657D7">
        <w:rPr>
          <w:rFonts w:asciiTheme="majorHAnsi" w:hAnsiTheme="majorHAnsi"/>
          <w:szCs w:val="20"/>
        </w:rPr>
        <w:t xml:space="preserve">held externally </w:t>
      </w:r>
      <w:r w:rsidR="00DC56A5" w:rsidRPr="00E657D7">
        <w:rPr>
          <w:rFonts w:asciiTheme="majorHAnsi" w:hAnsiTheme="majorHAnsi"/>
          <w:szCs w:val="20"/>
        </w:rPr>
        <w:t xml:space="preserve">to </w:t>
      </w:r>
      <w:r w:rsidRPr="00E657D7">
        <w:rPr>
          <w:rFonts w:asciiTheme="majorHAnsi" w:hAnsiTheme="majorHAnsi"/>
          <w:szCs w:val="20"/>
        </w:rPr>
        <w:t>the department</w:t>
      </w:r>
      <w:r w:rsidR="00195602" w:rsidRPr="00E657D7">
        <w:rPr>
          <w:rFonts w:asciiTheme="majorHAnsi" w:hAnsiTheme="majorHAnsi"/>
          <w:szCs w:val="20"/>
        </w:rPr>
        <w:t>.</w:t>
      </w:r>
      <w:r w:rsidRPr="00E657D7">
        <w:rPr>
          <w:rFonts w:asciiTheme="majorHAnsi" w:hAnsiTheme="majorHAnsi"/>
          <w:szCs w:val="20"/>
        </w:rPr>
        <w:t xml:space="preserve"> Data owners include </w:t>
      </w:r>
      <w:r w:rsidR="00720C4E">
        <w:rPr>
          <w:rFonts w:asciiTheme="majorHAnsi" w:hAnsiTheme="majorHAnsi"/>
          <w:szCs w:val="20"/>
        </w:rPr>
        <w:t>VBA</w:t>
      </w:r>
      <w:r w:rsidRPr="00E657D7">
        <w:rPr>
          <w:rFonts w:asciiTheme="majorHAnsi" w:hAnsiTheme="majorHAnsi"/>
          <w:szCs w:val="20"/>
        </w:rPr>
        <w:t xml:space="preserve">, </w:t>
      </w:r>
      <w:r w:rsidR="00DC56A5" w:rsidRPr="00E657D7">
        <w:rPr>
          <w:rFonts w:asciiTheme="majorHAnsi" w:hAnsiTheme="majorHAnsi"/>
          <w:szCs w:val="20"/>
        </w:rPr>
        <w:t>CAV</w:t>
      </w:r>
      <w:r w:rsidRPr="00E657D7">
        <w:rPr>
          <w:rFonts w:asciiTheme="majorHAnsi" w:hAnsiTheme="majorHAnsi"/>
          <w:szCs w:val="20"/>
        </w:rPr>
        <w:t xml:space="preserve">, </w:t>
      </w:r>
      <w:r w:rsidR="00854EF0" w:rsidRPr="00E657D7">
        <w:rPr>
          <w:rFonts w:asciiTheme="majorHAnsi" w:hAnsiTheme="majorHAnsi"/>
          <w:szCs w:val="20"/>
        </w:rPr>
        <w:t>m</w:t>
      </w:r>
      <w:r w:rsidRPr="00E657D7">
        <w:rPr>
          <w:rFonts w:asciiTheme="majorHAnsi" w:hAnsiTheme="majorHAnsi"/>
          <w:szCs w:val="20"/>
        </w:rPr>
        <w:t xml:space="preserve">unicipal </w:t>
      </w:r>
      <w:r w:rsidR="00854EF0" w:rsidRPr="00E657D7">
        <w:rPr>
          <w:rFonts w:asciiTheme="majorHAnsi" w:hAnsiTheme="majorHAnsi"/>
          <w:szCs w:val="20"/>
        </w:rPr>
        <w:t>c</w:t>
      </w:r>
      <w:r w:rsidRPr="00E657D7">
        <w:rPr>
          <w:rFonts w:asciiTheme="majorHAnsi" w:hAnsiTheme="majorHAnsi"/>
          <w:szCs w:val="20"/>
        </w:rPr>
        <w:t xml:space="preserve">ouncils and </w:t>
      </w:r>
      <w:r w:rsidR="00296466" w:rsidRPr="00E657D7">
        <w:rPr>
          <w:rFonts w:asciiTheme="majorHAnsi" w:hAnsiTheme="majorHAnsi"/>
          <w:szCs w:val="20"/>
        </w:rPr>
        <w:t>PBSs</w:t>
      </w:r>
      <w:r w:rsidRPr="00E657D7">
        <w:rPr>
          <w:rFonts w:asciiTheme="majorHAnsi" w:hAnsiTheme="majorHAnsi"/>
          <w:szCs w:val="20"/>
        </w:rPr>
        <w:t xml:space="preserve">. Not all data </w:t>
      </w:r>
      <w:r w:rsidR="00DC56A5" w:rsidRPr="00E657D7">
        <w:rPr>
          <w:rFonts w:asciiTheme="majorHAnsi" w:hAnsiTheme="majorHAnsi"/>
          <w:szCs w:val="20"/>
        </w:rPr>
        <w:t xml:space="preserve">were </w:t>
      </w:r>
      <w:r w:rsidRPr="00E657D7">
        <w:rPr>
          <w:rFonts w:asciiTheme="majorHAnsi" w:hAnsiTheme="majorHAnsi"/>
          <w:szCs w:val="20"/>
        </w:rPr>
        <w:t xml:space="preserve">held electronically by the relevant bodies and was often difficult to access, manipulate and analyse. Much evidence could only be collected </w:t>
      </w:r>
      <w:r w:rsidR="00DC56A5" w:rsidRPr="00E657D7">
        <w:rPr>
          <w:rFonts w:asciiTheme="majorHAnsi" w:hAnsiTheme="majorHAnsi"/>
          <w:szCs w:val="20"/>
        </w:rPr>
        <w:t xml:space="preserve">by </w:t>
      </w:r>
      <w:r w:rsidRPr="00E657D7">
        <w:rPr>
          <w:rFonts w:asciiTheme="majorHAnsi" w:hAnsiTheme="majorHAnsi"/>
          <w:szCs w:val="20"/>
        </w:rPr>
        <w:t>hard</w:t>
      </w:r>
      <w:r w:rsidR="00DC56A5" w:rsidRPr="00E657D7">
        <w:rPr>
          <w:rFonts w:asciiTheme="majorHAnsi" w:hAnsiTheme="majorHAnsi"/>
          <w:szCs w:val="20"/>
        </w:rPr>
        <w:t>-</w:t>
      </w:r>
      <w:r w:rsidRPr="00E657D7">
        <w:rPr>
          <w:rFonts w:asciiTheme="majorHAnsi" w:hAnsiTheme="majorHAnsi"/>
          <w:szCs w:val="20"/>
        </w:rPr>
        <w:t xml:space="preserve">file reviews or </w:t>
      </w:r>
      <w:r w:rsidR="00DC56A5" w:rsidRPr="00E657D7">
        <w:rPr>
          <w:rFonts w:asciiTheme="majorHAnsi" w:hAnsiTheme="majorHAnsi"/>
          <w:szCs w:val="20"/>
        </w:rPr>
        <w:t xml:space="preserve">by </w:t>
      </w:r>
      <w:r w:rsidRPr="00E657D7">
        <w:rPr>
          <w:rFonts w:asciiTheme="majorHAnsi" w:hAnsiTheme="majorHAnsi"/>
          <w:szCs w:val="20"/>
        </w:rPr>
        <w:t>reconciling different databases, both resource</w:t>
      </w:r>
      <w:r w:rsidR="00DC56A5" w:rsidRPr="00E657D7">
        <w:rPr>
          <w:rFonts w:asciiTheme="majorHAnsi" w:hAnsiTheme="majorHAnsi"/>
          <w:szCs w:val="20"/>
        </w:rPr>
        <w:t>-</w:t>
      </w:r>
      <w:r w:rsidRPr="00E657D7">
        <w:rPr>
          <w:rFonts w:asciiTheme="majorHAnsi" w:hAnsiTheme="majorHAnsi"/>
          <w:szCs w:val="20"/>
        </w:rPr>
        <w:t>intensive exercises. Ultimately, the best available option was building permit levy data.</w:t>
      </w:r>
    </w:p>
    <w:p w:rsidR="00D615BC" w:rsidRPr="00E657D7" w:rsidRDefault="004F7D03" w:rsidP="00FE7837">
      <w:pPr>
        <w:rPr>
          <w:rFonts w:eastAsia="Calibri"/>
          <w:szCs w:val="20"/>
        </w:rPr>
      </w:pPr>
      <w:r w:rsidRPr="00427EE1">
        <w:rPr>
          <w:rFonts w:eastAsia="Calibri"/>
        </w:rPr>
        <w:t xml:space="preserve">Councils were identified as a source of significant qualitative and quantitative evidence. However, discussions with councils and reviews of available data indicated differences in the detail available and ease of </w:t>
      </w:r>
      <w:r w:rsidR="00DC56A5">
        <w:rPr>
          <w:rFonts w:eastAsia="Calibri"/>
        </w:rPr>
        <w:t xml:space="preserve">its </w:t>
      </w:r>
      <w:r w:rsidRPr="00427EE1">
        <w:rPr>
          <w:rFonts w:eastAsia="Calibri"/>
        </w:rPr>
        <w:t xml:space="preserve">use </w:t>
      </w:r>
      <w:r w:rsidR="00DC56A5">
        <w:rPr>
          <w:rFonts w:eastAsia="Calibri"/>
        </w:rPr>
        <w:t xml:space="preserve">and </w:t>
      </w:r>
      <w:r w:rsidRPr="00427EE1">
        <w:rPr>
          <w:rFonts w:eastAsia="Calibri"/>
        </w:rPr>
        <w:t>manipulation, making consistent comparisons across councils difficult. In addition, councils had limited resources available to support the data</w:t>
      </w:r>
      <w:r w:rsidR="00DC56A5">
        <w:rPr>
          <w:rFonts w:eastAsia="Calibri"/>
        </w:rPr>
        <w:t>-</w:t>
      </w:r>
      <w:r w:rsidRPr="00427EE1">
        <w:rPr>
          <w:rFonts w:eastAsia="Calibri"/>
        </w:rPr>
        <w:t xml:space="preserve">collection process, particularly where data needed to be extracted, redacted and sorted. </w:t>
      </w:r>
      <w:r w:rsidRPr="00E657D7">
        <w:rPr>
          <w:rFonts w:eastAsia="Calibri"/>
          <w:szCs w:val="20"/>
        </w:rPr>
        <w:t xml:space="preserve">Much of the evidence made available by councils was consolidated, making any detailed analysis difficult (particularly comparing findings across councils). However, the data that were obtained have been used to </w:t>
      </w:r>
      <w:r w:rsidR="00DC56A5" w:rsidRPr="00E657D7">
        <w:rPr>
          <w:rFonts w:eastAsia="Calibri"/>
          <w:szCs w:val="20"/>
        </w:rPr>
        <w:t xml:space="preserve">the </w:t>
      </w:r>
      <w:r w:rsidRPr="00E657D7">
        <w:rPr>
          <w:rFonts w:eastAsia="Calibri"/>
          <w:szCs w:val="20"/>
        </w:rPr>
        <w:t xml:space="preserve">extent possible to support assessment of the current </w:t>
      </w:r>
      <w:r w:rsidR="008911CB" w:rsidRPr="00E657D7">
        <w:rPr>
          <w:rFonts w:eastAsia="Calibri"/>
          <w:szCs w:val="20"/>
        </w:rPr>
        <w:t>Regulations</w:t>
      </w:r>
      <w:r w:rsidRPr="00E657D7">
        <w:rPr>
          <w:rFonts w:eastAsia="Calibri"/>
          <w:szCs w:val="20"/>
        </w:rPr>
        <w:t>.</w:t>
      </w:r>
    </w:p>
    <w:p w:rsidR="00D615BC" w:rsidRPr="00E657D7" w:rsidRDefault="004F7D03" w:rsidP="00FE7837">
      <w:pPr>
        <w:rPr>
          <w:rFonts w:eastAsia="Calibri"/>
          <w:szCs w:val="20"/>
        </w:rPr>
      </w:pPr>
      <w:r w:rsidRPr="00E657D7">
        <w:rPr>
          <w:rFonts w:eastAsia="Calibri"/>
          <w:szCs w:val="20"/>
        </w:rPr>
        <w:t>The first stage of the evidence</w:t>
      </w:r>
      <w:r w:rsidR="00DC56A5" w:rsidRPr="00E657D7">
        <w:rPr>
          <w:rFonts w:eastAsia="Calibri"/>
          <w:szCs w:val="20"/>
        </w:rPr>
        <w:t>-</w:t>
      </w:r>
      <w:r w:rsidRPr="00E657D7">
        <w:rPr>
          <w:rFonts w:eastAsia="Calibri"/>
          <w:szCs w:val="20"/>
        </w:rPr>
        <w:t xml:space="preserve">based policy analysis was identifying the </w:t>
      </w:r>
      <w:r w:rsidR="00AC1A59" w:rsidRPr="00E657D7">
        <w:rPr>
          <w:rFonts w:eastAsia="Calibri"/>
          <w:szCs w:val="20"/>
        </w:rPr>
        <w:t>nature</w:t>
      </w:r>
      <w:r w:rsidRPr="00E657D7">
        <w:rPr>
          <w:rFonts w:eastAsia="Calibri"/>
          <w:szCs w:val="20"/>
        </w:rPr>
        <w:t xml:space="preserve"> and </w:t>
      </w:r>
      <w:r w:rsidR="00AC1A59" w:rsidRPr="00E657D7">
        <w:rPr>
          <w:rFonts w:eastAsia="Calibri"/>
          <w:szCs w:val="20"/>
        </w:rPr>
        <w:t>extent</w:t>
      </w:r>
      <w:r w:rsidRPr="00E657D7">
        <w:rPr>
          <w:rFonts w:eastAsia="Calibri"/>
          <w:szCs w:val="20"/>
        </w:rPr>
        <w:t xml:space="preserve"> of the problem to be addressed. This is a threshold issue in the process of evaluating the need for government action or for continuing government intervention (</w:t>
      </w:r>
      <w:r w:rsidR="00D90FC3" w:rsidRPr="00E657D7">
        <w:rPr>
          <w:rFonts w:eastAsia="Calibri"/>
          <w:szCs w:val="20"/>
        </w:rPr>
        <w:t>for example,</w:t>
      </w:r>
      <w:r w:rsidRPr="00E657D7">
        <w:rPr>
          <w:rFonts w:eastAsia="Calibri"/>
          <w:szCs w:val="20"/>
        </w:rPr>
        <w:t xml:space="preserve"> in the case of sunsetting </w:t>
      </w:r>
      <w:r w:rsidR="008911CB" w:rsidRPr="00E657D7">
        <w:rPr>
          <w:rFonts w:eastAsia="Calibri"/>
          <w:szCs w:val="20"/>
        </w:rPr>
        <w:t>Regulations</w:t>
      </w:r>
      <w:r w:rsidRPr="00E657D7">
        <w:rPr>
          <w:rFonts w:eastAsia="Calibri"/>
          <w:szCs w:val="20"/>
        </w:rPr>
        <w:t>).</w:t>
      </w:r>
    </w:p>
    <w:p w:rsidR="00D615BC" w:rsidRPr="00E657D7" w:rsidRDefault="004F7D03" w:rsidP="00FE7837">
      <w:pPr>
        <w:rPr>
          <w:rFonts w:eastAsia="Calibri"/>
          <w:szCs w:val="20"/>
        </w:rPr>
      </w:pPr>
      <w:r w:rsidRPr="00E657D7">
        <w:rPr>
          <w:rFonts w:eastAsia="Calibri"/>
          <w:szCs w:val="20"/>
        </w:rPr>
        <w:t xml:space="preserve">The </w:t>
      </w:r>
      <w:r w:rsidR="00195602" w:rsidRPr="00E657D7">
        <w:rPr>
          <w:rFonts w:eastAsia="Calibri"/>
          <w:szCs w:val="20"/>
        </w:rPr>
        <w:t>department</w:t>
      </w:r>
      <w:r w:rsidRPr="00E657D7">
        <w:rPr>
          <w:rFonts w:eastAsia="Calibri"/>
          <w:szCs w:val="20"/>
        </w:rPr>
        <w:t xml:space="preserve"> identified the broad problem and market failure and then used the evidence available to understand the cause of </w:t>
      </w:r>
      <w:r w:rsidR="00DC56A5" w:rsidRPr="00E657D7">
        <w:rPr>
          <w:rFonts w:eastAsia="Calibri"/>
          <w:szCs w:val="20"/>
        </w:rPr>
        <w:t xml:space="preserve">a </w:t>
      </w:r>
      <w:r w:rsidRPr="00E657D7">
        <w:rPr>
          <w:rFonts w:eastAsia="Calibri"/>
          <w:szCs w:val="20"/>
        </w:rPr>
        <w:t>problem. Once this was identified, a risk assessment was conducted to determine the likelihood of the problem occurring and to quantify the impacts if the problem if it did occur.</w:t>
      </w:r>
    </w:p>
    <w:p w:rsidR="00D615BC" w:rsidRPr="00E657D7" w:rsidRDefault="004F7D03" w:rsidP="00FE7837">
      <w:pPr>
        <w:rPr>
          <w:rFonts w:eastAsia="Calibri"/>
          <w:szCs w:val="20"/>
        </w:rPr>
      </w:pPr>
      <w:r w:rsidRPr="00E657D7">
        <w:rPr>
          <w:rFonts w:eastAsia="Calibri"/>
          <w:szCs w:val="20"/>
        </w:rPr>
        <w:t xml:space="preserve">Based on this analysis, if there was clear evidence of </w:t>
      </w:r>
      <w:r w:rsidR="00DC56A5" w:rsidRPr="00E657D7">
        <w:rPr>
          <w:rFonts w:eastAsia="Calibri"/>
          <w:szCs w:val="20"/>
        </w:rPr>
        <w:t xml:space="preserve">a </w:t>
      </w:r>
      <w:r w:rsidRPr="00E657D7">
        <w:rPr>
          <w:rFonts w:eastAsia="Calibri"/>
          <w:szCs w:val="20"/>
        </w:rPr>
        <w:t xml:space="preserve">problem, the </w:t>
      </w:r>
      <w:r w:rsidR="00195602" w:rsidRPr="00E657D7">
        <w:rPr>
          <w:rFonts w:eastAsia="Calibri"/>
          <w:szCs w:val="20"/>
        </w:rPr>
        <w:t>department</w:t>
      </w:r>
      <w:r w:rsidRPr="00E657D7">
        <w:rPr>
          <w:rFonts w:eastAsia="Calibri"/>
          <w:szCs w:val="20"/>
        </w:rPr>
        <w:t xml:space="preserve"> conducted an options analysis to determine the best approach to address the cause of the problem and determine if there was sufficient justification for government intervention through regulation.</w:t>
      </w:r>
    </w:p>
    <w:p w:rsidR="004F7D03" w:rsidRPr="00E657D7" w:rsidRDefault="004F7D03" w:rsidP="00FE7837">
      <w:pPr>
        <w:rPr>
          <w:rFonts w:eastAsia="Calibri"/>
          <w:szCs w:val="20"/>
        </w:rPr>
      </w:pPr>
      <w:r w:rsidRPr="00E657D7">
        <w:rPr>
          <w:rFonts w:eastAsia="Calibri"/>
          <w:szCs w:val="20"/>
        </w:rPr>
        <w:t xml:space="preserve">This assessment was undertaken by considering the </w:t>
      </w:r>
      <w:r w:rsidR="00AC1A59" w:rsidRPr="00E657D7">
        <w:rPr>
          <w:rFonts w:eastAsia="Calibri"/>
          <w:szCs w:val="20"/>
        </w:rPr>
        <w:t>options</w:t>
      </w:r>
      <w:r w:rsidRPr="00E657D7">
        <w:rPr>
          <w:rFonts w:eastAsia="Calibri"/>
          <w:szCs w:val="20"/>
        </w:rPr>
        <w:t xml:space="preserve"> available to address the problem, including an assessment of the market failures.</w:t>
      </w:r>
    </w:p>
    <w:p w:rsidR="00D615BC" w:rsidRPr="00E657D7" w:rsidRDefault="004F7D03" w:rsidP="00FE7837">
      <w:pPr>
        <w:rPr>
          <w:rFonts w:eastAsia="Calibri"/>
          <w:szCs w:val="20"/>
        </w:rPr>
      </w:pPr>
      <w:r w:rsidRPr="00E657D7">
        <w:rPr>
          <w:rFonts w:eastAsia="Calibri"/>
          <w:szCs w:val="20"/>
        </w:rPr>
        <w:t xml:space="preserve">This process resulted in the development of policy position papers, which largely consisted of a desktop analysis, targeted consultation with relevant stakeholders and data that were able to be readily accessed, either from </w:t>
      </w:r>
      <w:r w:rsidR="00720C4E">
        <w:rPr>
          <w:rFonts w:eastAsia="Calibri"/>
          <w:szCs w:val="20"/>
        </w:rPr>
        <w:t>VBA</w:t>
      </w:r>
      <w:r w:rsidRPr="00E657D7">
        <w:rPr>
          <w:rFonts w:eastAsia="Calibri"/>
          <w:szCs w:val="20"/>
        </w:rPr>
        <w:t xml:space="preserve"> or </w:t>
      </w:r>
      <w:r w:rsidR="00854EF0" w:rsidRPr="00E657D7">
        <w:rPr>
          <w:rFonts w:eastAsia="Calibri"/>
          <w:szCs w:val="20"/>
        </w:rPr>
        <w:t>from c</w:t>
      </w:r>
      <w:r w:rsidRPr="00E657D7">
        <w:rPr>
          <w:rFonts w:eastAsia="Calibri"/>
          <w:szCs w:val="20"/>
        </w:rPr>
        <w:t>ouncils. In addition, early stakeholder submissions also provided an insight into the need to retain, amend or to sunset</w:t>
      </w:r>
      <w:r w:rsidR="00DC56A5" w:rsidRPr="00E657D7">
        <w:rPr>
          <w:rFonts w:eastAsia="Calibri"/>
          <w:szCs w:val="20"/>
        </w:rPr>
        <w:t xml:space="preserve"> c</w:t>
      </w:r>
      <w:r w:rsidR="00195602" w:rsidRPr="00E657D7">
        <w:rPr>
          <w:rFonts w:eastAsia="Calibri"/>
          <w:szCs w:val="20"/>
        </w:rPr>
        <w:t>urrent Regulations</w:t>
      </w:r>
      <w:r w:rsidRPr="00E657D7">
        <w:rPr>
          <w:rFonts w:eastAsia="Calibri"/>
          <w:szCs w:val="20"/>
        </w:rPr>
        <w:t>.</w:t>
      </w:r>
    </w:p>
    <w:p w:rsidR="002D5E35" w:rsidRDefault="002D5E35">
      <w:pPr>
        <w:spacing w:after="0"/>
        <w:rPr>
          <w:rFonts w:eastAsia="Calibri"/>
          <w:szCs w:val="20"/>
        </w:rPr>
      </w:pPr>
      <w:r>
        <w:rPr>
          <w:rFonts w:eastAsia="Calibri"/>
          <w:szCs w:val="20"/>
        </w:rPr>
        <w:br w:type="page"/>
      </w:r>
    </w:p>
    <w:p w:rsidR="004F7D03" w:rsidRPr="00E657D7" w:rsidRDefault="00BA0238" w:rsidP="00FE7837">
      <w:pPr>
        <w:rPr>
          <w:rFonts w:eastAsia="Calibri"/>
          <w:szCs w:val="20"/>
        </w:rPr>
      </w:pPr>
      <w:r w:rsidRPr="00E657D7">
        <w:rPr>
          <w:rFonts w:eastAsia="Calibri"/>
          <w:szCs w:val="20"/>
        </w:rPr>
        <w:lastRenderedPageBreak/>
        <w:t xml:space="preserve">The </w:t>
      </w:r>
      <w:r w:rsidR="00195602" w:rsidRPr="00E657D7">
        <w:rPr>
          <w:rFonts w:eastAsia="Calibri"/>
          <w:szCs w:val="20"/>
        </w:rPr>
        <w:t>department</w:t>
      </w:r>
      <w:r w:rsidR="004F7D03" w:rsidRPr="00E657D7">
        <w:rPr>
          <w:rFonts w:eastAsia="Calibri"/>
          <w:szCs w:val="20"/>
        </w:rPr>
        <w:t xml:space="preserve">’s review of the current </w:t>
      </w:r>
      <w:r w:rsidR="008911CB" w:rsidRPr="00E657D7">
        <w:rPr>
          <w:rFonts w:eastAsia="Calibri"/>
          <w:szCs w:val="20"/>
        </w:rPr>
        <w:t>Regulations</w:t>
      </w:r>
      <w:r w:rsidR="004F7D03" w:rsidRPr="00E657D7">
        <w:rPr>
          <w:rFonts w:eastAsia="Calibri"/>
          <w:szCs w:val="20"/>
        </w:rPr>
        <w:t xml:space="preserve">, which is set out in the policy position papers, has been collated into a summary table </w:t>
      </w:r>
      <w:r w:rsidR="004267C5">
        <w:rPr>
          <w:rFonts w:eastAsia="Calibri"/>
          <w:szCs w:val="20"/>
        </w:rPr>
        <w:t>in Chapter A5 Regulatory change summary</w:t>
      </w:r>
      <w:r w:rsidR="004F7D03" w:rsidRPr="00E657D7">
        <w:rPr>
          <w:rFonts w:eastAsia="Calibri"/>
          <w:szCs w:val="20"/>
        </w:rPr>
        <w:t xml:space="preserve">. </w:t>
      </w:r>
      <w:r w:rsidR="00DE6971">
        <w:fldChar w:fldCharType="begin"/>
      </w:r>
      <w:r w:rsidR="00DE6971">
        <w:instrText xml:space="preserve"> REF _Ref467142838 \h  \* MERGEFORMAT </w:instrText>
      </w:r>
      <w:r w:rsidR="00DE6971">
        <w:fldChar w:fldCharType="separate"/>
      </w:r>
      <w:r w:rsidR="00B30389" w:rsidRPr="00B30389">
        <w:rPr>
          <w:b/>
          <w:color w:val="00B2A9" w:themeColor="accent1"/>
          <w:szCs w:val="20"/>
        </w:rPr>
        <w:t>Table 4</w:t>
      </w:r>
      <w:r w:rsidR="00DE6971">
        <w:fldChar w:fldCharType="end"/>
      </w:r>
      <w:r w:rsidR="00AC1A59" w:rsidRPr="00E657D7">
        <w:rPr>
          <w:rFonts w:eastAsia="Calibri"/>
          <w:b/>
          <w:color w:val="00B2A9" w:themeColor="accent1"/>
          <w:szCs w:val="20"/>
        </w:rPr>
        <w:t xml:space="preserve"> </w:t>
      </w:r>
      <w:r w:rsidR="004F7D03" w:rsidRPr="00E657D7">
        <w:rPr>
          <w:rFonts w:eastAsia="Calibri"/>
          <w:szCs w:val="20"/>
        </w:rPr>
        <w:t xml:space="preserve">sets out the context of the </w:t>
      </w:r>
      <w:r w:rsidR="008911CB" w:rsidRPr="00E657D7">
        <w:rPr>
          <w:rFonts w:eastAsia="Calibri"/>
          <w:szCs w:val="20"/>
        </w:rPr>
        <w:t>R</w:t>
      </w:r>
      <w:r w:rsidR="004F7D03" w:rsidRPr="00E657D7">
        <w:rPr>
          <w:rFonts w:eastAsia="Calibri"/>
          <w:szCs w:val="20"/>
        </w:rPr>
        <w:t>egulation and explains if it is still required and, if it is, how it might be improved to better achieve the desired benefits and/or reduce the cost it imposes.</w:t>
      </w:r>
    </w:p>
    <w:p w:rsidR="004F7D03" w:rsidRPr="00427EE1" w:rsidRDefault="004F7D03" w:rsidP="00427EE1">
      <w:pPr>
        <w:pStyle w:val="Caption"/>
        <w:rPr>
          <w:rFonts w:eastAsia="Calibri"/>
        </w:rPr>
      </w:pPr>
      <w:bookmarkStart w:id="54" w:name="_Ref467142838"/>
      <w:bookmarkStart w:id="55" w:name="_Toc481499863"/>
      <w:r w:rsidRPr="00427EE1">
        <w:t xml:space="preserve">Table </w:t>
      </w:r>
      <w:r w:rsidR="00AC1A59" w:rsidRPr="00427EE1">
        <w:fldChar w:fldCharType="begin"/>
      </w:r>
      <w:r w:rsidRPr="00427EE1">
        <w:instrText xml:space="preserve"> SEQ Table \* ARABIC </w:instrText>
      </w:r>
      <w:r w:rsidR="00AC1A59" w:rsidRPr="00427EE1">
        <w:fldChar w:fldCharType="separate"/>
      </w:r>
      <w:r w:rsidR="00B30389">
        <w:rPr>
          <w:noProof/>
        </w:rPr>
        <w:t>4</w:t>
      </w:r>
      <w:r w:rsidR="00AC1A59" w:rsidRPr="00427EE1">
        <w:fldChar w:fldCharType="end"/>
      </w:r>
      <w:bookmarkEnd w:id="54"/>
      <w:r w:rsidRPr="00427EE1">
        <w:t xml:space="preserve">: Key to summary table in </w:t>
      </w:r>
      <w:r w:rsidR="004267C5">
        <w:rPr>
          <w:rFonts w:eastAsia="Calibri"/>
          <w:szCs w:val="20"/>
        </w:rPr>
        <w:t>Chapter A5 Regulatory change summary</w:t>
      </w:r>
      <w:bookmarkEnd w:id="55"/>
    </w:p>
    <w:tbl>
      <w:tblPr>
        <w:tblStyle w:val="MediumGrid3-Accent1"/>
        <w:tblW w:w="8080"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ook w:val="04A0" w:firstRow="1" w:lastRow="0" w:firstColumn="1" w:lastColumn="0" w:noHBand="0" w:noVBand="1"/>
      </w:tblPr>
      <w:tblGrid>
        <w:gridCol w:w="1616"/>
        <w:gridCol w:w="1616"/>
        <w:gridCol w:w="1616"/>
        <w:gridCol w:w="1616"/>
        <w:gridCol w:w="1616"/>
      </w:tblGrid>
      <w:tr w:rsidR="004F7D03" w:rsidRPr="003448D2" w:rsidTr="0024336C">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616" w:type="dxa"/>
            <w:tcBorders>
              <w:top w:val="none" w:sz="0" w:space="0" w:color="auto"/>
              <w:left w:val="none" w:sz="0" w:space="0" w:color="auto"/>
              <w:bottom w:val="none" w:sz="0" w:space="0" w:color="auto"/>
              <w:right w:val="none" w:sz="0" w:space="0" w:color="auto"/>
            </w:tcBorders>
            <w:vAlign w:val="center"/>
          </w:tcPr>
          <w:p w:rsidR="00E657D7" w:rsidRPr="003448D2" w:rsidRDefault="004F7D03">
            <w:pPr>
              <w:pStyle w:val="Tablecolumnhead"/>
              <w:rPr>
                <w:rFonts w:asciiTheme="majorHAnsi" w:eastAsia="Calibri" w:hAnsiTheme="majorHAnsi" w:cstheme="majorBidi"/>
                <w:bCs w:val="0"/>
                <w:kern w:val="32"/>
                <w:sz w:val="18"/>
                <w:szCs w:val="18"/>
              </w:rPr>
            </w:pPr>
            <w:r w:rsidRPr="003448D2">
              <w:rPr>
                <w:rFonts w:eastAsia="Calibri"/>
                <w:sz w:val="18"/>
                <w:szCs w:val="18"/>
              </w:rPr>
              <w:t>Revoke</w:t>
            </w:r>
          </w:p>
        </w:tc>
        <w:tc>
          <w:tcPr>
            <w:tcW w:w="1616" w:type="dxa"/>
            <w:tcBorders>
              <w:top w:val="none" w:sz="0" w:space="0" w:color="auto"/>
              <w:left w:val="none" w:sz="0" w:space="0" w:color="auto"/>
              <w:bottom w:val="none" w:sz="0" w:space="0" w:color="auto"/>
              <w:right w:val="none" w:sz="0" w:space="0" w:color="auto"/>
            </w:tcBorders>
            <w:vAlign w:val="center"/>
          </w:tcPr>
          <w:p w:rsidR="00E657D7" w:rsidRPr="003448D2" w:rsidRDefault="004F7D03">
            <w:pPr>
              <w:pStyle w:val="Tablecolumnhead"/>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Bidi"/>
                <w:bCs w:val="0"/>
                <w:kern w:val="32"/>
                <w:sz w:val="18"/>
                <w:szCs w:val="18"/>
              </w:rPr>
            </w:pPr>
            <w:r w:rsidRPr="003448D2">
              <w:rPr>
                <w:rFonts w:eastAsia="Calibri"/>
                <w:sz w:val="18"/>
                <w:szCs w:val="18"/>
              </w:rPr>
              <w:t>No change</w:t>
            </w:r>
          </w:p>
        </w:tc>
        <w:tc>
          <w:tcPr>
            <w:tcW w:w="1616" w:type="dxa"/>
            <w:tcBorders>
              <w:top w:val="none" w:sz="0" w:space="0" w:color="auto"/>
              <w:left w:val="none" w:sz="0" w:space="0" w:color="auto"/>
              <w:bottom w:val="none" w:sz="0" w:space="0" w:color="auto"/>
              <w:right w:val="none" w:sz="0" w:space="0" w:color="auto"/>
            </w:tcBorders>
            <w:vAlign w:val="center"/>
          </w:tcPr>
          <w:p w:rsidR="00E657D7" w:rsidRPr="003448D2" w:rsidRDefault="004F7D03">
            <w:pPr>
              <w:pStyle w:val="Tablecolumnhead"/>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Bidi"/>
                <w:bCs w:val="0"/>
                <w:kern w:val="32"/>
                <w:sz w:val="18"/>
                <w:szCs w:val="18"/>
              </w:rPr>
            </w:pPr>
            <w:r w:rsidRPr="003448D2">
              <w:rPr>
                <w:rFonts w:eastAsia="Calibri"/>
                <w:sz w:val="18"/>
                <w:szCs w:val="18"/>
              </w:rPr>
              <w:t>Update</w:t>
            </w:r>
          </w:p>
        </w:tc>
        <w:tc>
          <w:tcPr>
            <w:tcW w:w="1616" w:type="dxa"/>
            <w:tcBorders>
              <w:top w:val="none" w:sz="0" w:space="0" w:color="auto"/>
              <w:left w:val="none" w:sz="0" w:space="0" w:color="auto"/>
              <w:bottom w:val="none" w:sz="0" w:space="0" w:color="auto"/>
              <w:right w:val="none" w:sz="0" w:space="0" w:color="auto"/>
            </w:tcBorders>
            <w:vAlign w:val="center"/>
          </w:tcPr>
          <w:p w:rsidR="00E657D7" w:rsidRPr="003448D2" w:rsidRDefault="004F7D03">
            <w:pPr>
              <w:pStyle w:val="Tablecolumnhead"/>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Bidi"/>
                <w:bCs w:val="0"/>
                <w:kern w:val="32"/>
                <w:sz w:val="18"/>
                <w:szCs w:val="18"/>
              </w:rPr>
            </w:pPr>
            <w:r w:rsidRPr="003448D2">
              <w:rPr>
                <w:rFonts w:eastAsia="Calibri"/>
                <w:sz w:val="18"/>
                <w:szCs w:val="18"/>
              </w:rPr>
              <w:t>Reduce</w:t>
            </w:r>
          </w:p>
        </w:tc>
        <w:tc>
          <w:tcPr>
            <w:tcW w:w="1616" w:type="dxa"/>
            <w:tcBorders>
              <w:top w:val="none" w:sz="0" w:space="0" w:color="auto"/>
              <w:left w:val="none" w:sz="0" w:space="0" w:color="auto"/>
              <w:bottom w:val="none" w:sz="0" w:space="0" w:color="auto"/>
              <w:right w:val="none" w:sz="0" w:space="0" w:color="auto"/>
            </w:tcBorders>
            <w:vAlign w:val="center"/>
          </w:tcPr>
          <w:p w:rsidR="00E657D7" w:rsidRPr="003448D2" w:rsidRDefault="004F7D03">
            <w:pPr>
              <w:pStyle w:val="Tablecolumnhead"/>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Bidi"/>
                <w:bCs w:val="0"/>
                <w:kern w:val="32"/>
                <w:sz w:val="18"/>
                <w:szCs w:val="18"/>
              </w:rPr>
            </w:pPr>
            <w:r w:rsidRPr="003448D2">
              <w:rPr>
                <w:rFonts w:eastAsia="Calibri"/>
                <w:sz w:val="18"/>
                <w:szCs w:val="18"/>
              </w:rPr>
              <w:t>Strengthen</w:t>
            </w:r>
          </w:p>
        </w:tc>
      </w:tr>
      <w:tr w:rsidR="004F7D03" w:rsidRPr="003448D2" w:rsidTr="00100D72">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616" w:type="dxa"/>
            <w:tcBorders>
              <w:top w:val="none" w:sz="0" w:space="0" w:color="auto"/>
              <w:left w:val="none" w:sz="0" w:space="0" w:color="auto"/>
              <w:bottom w:val="none" w:sz="0" w:space="0" w:color="auto"/>
              <w:right w:val="none" w:sz="0" w:space="0" w:color="auto"/>
            </w:tcBorders>
            <w:shd w:val="clear" w:color="auto" w:fill="FFFFFF" w:themeFill="background1"/>
          </w:tcPr>
          <w:p w:rsidR="00E657D7" w:rsidRPr="005719C2" w:rsidRDefault="004F7D03">
            <w:pPr>
              <w:pStyle w:val="Tabletext"/>
              <w:rPr>
                <w:rFonts w:asciiTheme="majorHAnsi" w:eastAsia="Calibri" w:hAnsiTheme="majorHAnsi" w:cstheme="majorBidi"/>
                <w:b w:val="0"/>
                <w:bCs w:val="0"/>
                <w:sz w:val="18"/>
                <w:szCs w:val="18"/>
              </w:rPr>
            </w:pPr>
            <w:r w:rsidRPr="005719C2">
              <w:rPr>
                <w:rFonts w:eastAsia="Calibri"/>
                <w:sz w:val="18"/>
                <w:szCs w:val="18"/>
              </w:rPr>
              <w:t xml:space="preserve">The existing </w:t>
            </w:r>
            <w:r w:rsidR="008911CB" w:rsidRPr="005719C2">
              <w:rPr>
                <w:rFonts w:eastAsia="Calibri"/>
                <w:sz w:val="18"/>
                <w:szCs w:val="18"/>
              </w:rPr>
              <w:t>R</w:t>
            </w:r>
            <w:r w:rsidRPr="005719C2">
              <w:rPr>
                <w:rFonts w:eastAsia="Calibri"/>
                <w:sz w:val="18"/>
                <w:szCs w:val="18"/>
              </w:rPr>
              <w:t>egulation will be deleted</w:t>
            </w:r>
            <w:r w:rsidR="00731DF4" w:rsidRPr="005719C2">
              <w:rPr>
                <w:rFonts w:eastAsia="Calibri"/>
                <w:sz w:val="18"/>
                <w:szCs w:val="18"/>
              </w:rPr>
              <w:t>.</w:t>
            </w:r>
            <w:r w:rsidRPr="005719C2">
              <w:rPr>
                <w:rFonts w:eastAsia="Calibri"/>
                <w:sz w:val="18"/>
                <w:szCs w:val="18"/>
              </w:rPr>
              <w:t xml:space="preserve"> </w:t>
            </w:r>
          </w:p>
        </w:tc>
        <w:tc>
          <w:tcPr>
            <w:tcW w:w="1616" w:type="dxa"/>
            <w:tcBorders>
              <w:top w:val="none" w:sz="0" w:space="0" w:color="auto"/>
              <w:left w:val="none" w:sz="0" w:space="0" w:color="auto"/>
              <w:bottom w:val="none" w:sz="0" w:space="0" w:color="auto"/>
              <w:right w:val="none" w:sz="0" w:space="0" w:color="auto"/>
            </w:tcBorders>
            <w:shd w:val="clear" w:color="auto" w:fill="FFFFFF" w:themeFill="background1"/>
          </w:tcPr>
          <w:p w:rsidR="00E657D7" w:rsidRPr="003448D2" w:rsidRDefault="004F7D03">
            <w:pPr>
              <w:pStyle w:val="Tabletex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Bidi"/>
                <w:b/>
                <w:sz w:val="18"/>
                <w:szCs w:val="18"/>
              </w:rPr>
            </w:pPr>
            <w:r w:rsidRPr="003448D2">
              <w:rPr>
                <w:rFonts w:eastAsia="Calibri"/>
                <w:sz w:val="18"/>
                <w:szCs w:val="18"/>
              </w:rPr>
              <w:t xml:space="preserve">No change to the </w:t>
            </w:r>
            <w:r w:rsidR="008911CB" w:rsidRPr="003448D2">
              <w:rPr>
                <w:rFonts w:eastAsia="Calibri"/>
                <w:sz w:val="18"/>
                <w:szCs w:val="18"/>
              </w:rPr>
              <w:t>R</w:t>
            </w:r>
            <w:r w:rsidRPr="003448D2">
              <w:rPr>
                <w:rFonts w:eastAsia="Calibri"/>
                <w:sz w:val="18"/>
                <w:szCs w:val="18"/>
              </w:rPr>
              <w:t>egulation is</w:t>
            </w:r>
            <w:r w:rsidR="00E05466" w:rsidRPr="003448D2">
              <w:rPr>
                <w:rFonts w:eastAsia="Calibri"/>
                <w:sz w:val="18"/>
                <w:szCs w:val="18"/>
              </w:rPr>
              <w:t xml:space="preserve"> </w:t>
            </w:r>
            <w:r w:rsidRPr="003448D2">
              <w:rPr>
                <w:rFonts w:eastAsia="Calibri"/>
                <w:sz w:val="18"/>
                <w:szCs w:val="18"/>
              </w:rPr>
              <w:t>proposed</w:t>
            </w:r>
            <w:r w:rsidR="00731DF4" w:rsidRPr="003448D2">
              <w:rPr>
                <w:rFonts w:eastAsia="Calibri"/>
                <w:sz w:val="18"/>
                <w:szCs w:val="18"/>
              </w:rPr>
              <w:t>.</w:t>
            </w:r>
          </w:p>
        </w:tc>
        <w:tc>
          <w:tcPr>
            <w:tcW w:w="1616" w:type="dxa"/>
            <w:tcBorders>
              <w:top w:val="none" w:sz="0" w:space="0" w:color="auto"/>
              <w:left w:val="none" w:sz="0" w:space="0" w:color="auto"/>
              <w:bottom w:val="none" w:sz="0" w:space="0" w:color="auto"/>
              <w:right w:val="none" w:sz="0" w:space="0" w:color="auto"/>
            </w:tcBorders>
            <w:shd w:val="clear" w:color="auto" w:fill="FFFFFF" w:themeFill="background1"/>
          </w:tcPr>
          <w:p w:rsidR="00E657D7" w:rsidRPr="003448D2" w:rsidRDefault="004F7D03">
            <w:pPr>
              <w:pStyle w:val="Tabletex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Bidi"/>
                <w:b/>
                <w:sz w:val="18"/>
                <w:szCs w:val="18"/>
              </w:rPr>
            </w:pPr>
            <w:r w:rsidRPr="003448D2">
              <w:rPr>
                <w:rFonts w:eastAsia="Calibri"/>
                <w:sz w:val="18"/>
                <w:szCs w:val="18"/>
              </w:rPr>
              <w:t xml:space="preserve">An existing </w:t>
            </w:r>
            <w:r w:rsidR="008911CB" w:rsidRPr="003448D2">
              <w:rPr>
                <w:rFonts w:eastAsia="Calibri"/>
                <w:sz w:val="18"/>
                <w:szCs w:val="18"/>
              </w:rPr>
              <w:t>R</w:t>
            </w:r>
            <w:r w:rsidRPr="003448D2">
              <w:rPr>
                <w:rFonts w:eastAsia="Calibri"/>
                <w:sz w:val="18"/>
                <w:szCs w:val="18"/>
              </w:rPr>
              <w:t xml:space="preserve">egulation has been amended to clarify, improve, remove ambiguity and/or reinforce the policy intent of the </w:t>
            </w:r>
            <w:r w:rsidR="008911CB" w:rsidRPr="003448D2">
              <w:rPr>
                <w:rFonts w:eastAsia="Calibri"/>
                <w:sz w:val="18"/>
                <w:szCs w:val="18"/>
              </w:rPr>
              <w:t>R</w:t>
            </w:r>
            <w:r w:rsidRPr="003448D2">
              <w:rPr>
                <w:rFonts w:eastAsia="Calibri"/>
                <w:sz w:val="18"/>
                <w:szCs w:val="18"/>
              </w:rPr>
              <w:t xml:space="preserve">egulation. </w:t>
            </w:r>
          </w:p>
        </w:tc>
        <w:tc>
          <w:tcPr>
            <w:tcW w:w="1616" w:type="dxa"/>
            <w:tcBorders>
              <w:top w:val="none" w:sz="0" w:space="0" w:color="auto"/>
              <w:left w:val="none" w:sz="0" w:space="0" w:color="auto"/>
              <w:bottom w:val="none" w:sz="0" w:space="0" w:color="auto"/>
              <w:right w:val="none" w:sz="0" w:space="0" w:color="auto"/>
            </w:tcBorders>
            <w:shd w:val="clear" w:color="auto" w:fill="BCFFFB" w:themeFill="accent1" w:themeFillTint="33"/>
          </w:tcPr>
          <w:p w:rsidR="00E657D7" w:rsidRPr="003448D2" w:rsidRDefault="004F7D03">
            <w:pPr>
              <w:pStyle w:val="Tabletex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Bidi"/>
                <w:b/>
                <w:sz w:val="18"/>
                <w:szCs w:val="18"/>
              </w:rPr>
            </w:pPr>
            <w:r w:rsidRPr="003448D2">
              <w:rPr>
                <w:rFonts w:eastAsia="Calibri"/>
                <w:sz w:val="18"/>
                <w:szCs w:val="18"/>
              </w:rPr>
              <w:t xml:space="preserve">An existing </w:t>
            </w:r>
            <w:r w:rsidR="008911CB" w:rsidRPr="003448D2">
              <w:rPr>
                <w:rFonts w:eastAsia="Calibri"/>
                <w:sz w:val="18"/>
                <w:szCs w:val="18"/>
              </w:rPr>
              <w:t>R</w:t>
            </w:r>
            <w:r w:rsidRPr="003448D2">
              <w:rPr>
                <w:rFonts w:eastAsia="Calibri"/>
                <w:sz w:val="18"/>
                <w:szCs w:val="18"/>
              </w:rPr>
              <w:t>egulation has been amended to reduce the burden (compliance, administrative and other costs)</w:t>
            </w:r>
            <w:r w:rsidR="00731DF4" w:rsidRPr="003448D2">
              <w:rPr>
                <w:rFonts w:eastAsia="Calibri"/>
                <w:sz w:val="18"/>
                <w:szCs w:val="18"/>
              </w:rPr>
              <w:t>.</w:t>
            </w:r>
          </w:p>
        </w:tc>
        <w:tc>
          <w:tcPr>
            <w:tcW w:w="1616" w:type="dxa"/>
            <w:tcBorders>
              <w:top w:val="none" w:sz="0" w:space="0" w:color="auto"/>
              <w:left w:val="none" w:sz="0" w:space="0" w:color="auto"/>
              <w:bottom w:val="none" w:sz="0" w:space="0" w:color="auto"/>
              <w:right w:val="none" w:sz="0" w:space="0" w:color="auto"/>
            </w:tcBorders>
            <w:shd w:val="clear" w:color="auto" w:fill="7AFFF8" w:themeFill="accent1" w:themeFillTint="66"/>
          </w:tcPr>
          <w:p w:rsidR="00E657D7" w:rsidRPr="003448D2" w:rsidRDefault="004F7D03">
            <w:pPr>
              <w:pStyle w:val="Tabletex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Bidi"/>
                <w:b/>
                <w:sz w:val="18"/>
                <w:szCs w:val="18"/>
              </w:rPr>
            </w:pPr>
            <w:r w:rsidRPr="003448D2">
              <w:rPr>
                <w:rFonts w:eastAsia="Calibri"/>
                <w:sz w:val="18"/>
                <w:szCs w:val="18"/>
              </w:rPr>
              <w:t xml:space="preserve">An existing </w:t>
            </w:r>
            <w:r w:rsidR="008911CB" w:rsidRPr="003448D2">
              <w:rPr>
                <w:rFonts w:eastAsia="Calibri"/>
                <w:sz w:val="18"/>
                <w:szCs w:val="18"/>
              </w:rPr>
              <w:t>R</w:t>
            </w:r>
            <w:r w:rsidRPr="003448D2">
              <w:rPr>
                <w:rFonts w:eastAsia="Calibri"/>
                <w:sz w:val="18"/>
                <w:szCs w:val="18"/>
              </w:rPr>
              <w:t xml:space="preserve">egulation has been amended, or a new </w:t>
            </w:r>
            <w:r w:rsidR="008911CB" w:rsidRPr="003448D2">
              <w:rPr>
                <w:rFonts w:eastAsia="Calibri"/>
                <w:sz w:val="18"/>
                <w:szCs w:val="18"/>
              </w:rPr>
              <w:t>R</w:t>
            </w:r>
            <w:r w:rsidRPr="003448D2">
              <w:rPr>
                <w:rFonts w:eastAsia="Calibri"/>
                <w:sz w:val="18"/>
                <w:szCs w:val="18"/>
              </w:rPr>
              <w:t>egulation introduced, to respond to</w:t>
            </w:r>
            <w:r w:rsidR="007E01B8" w:rsidRPr="003448D2">
              <w:rPr>
                <w:rFonts w:eastAsia="Calibri"/>
                <w:sz w:val="18"/>
                <w:szCs w:val="18"/>
              </w:rPr>
              <w:t xml:space="preserve"> the problem</w:t>
            </w:r>
            <w:r w:rsidR="00731DF4" w:rsidRPr="003448D2">
              <w:rPr>
                <w:rFonts w:eastAsia="Calibri"/>
                <w:sz w:val="18"/>
                <w:szCs w:val="18"/>
              </w:rPr>
              <w:t>.</w:t>
            </w:r>
          </w:p>
        </w:tc>
      </w:tr>
    </w:tbl>
    <w:p w:rsidR="00427EE1" w:rsidRDefault="00427EE1" w:rsidP="00427EE1"/>
    <w:p w:rsidR="004F7D03" w:rsidRDefault="003448D2" w:rsidP="00C14778">
      <w:pPr>
        <w:pStyle w:val="Heading2"/>
      </w:pPr>
      <w:bookmarkStart w:id="56" w:name="_Toc481501576"/>
      <w:r>
        <w:t>2.3</w:t>
      </w:r>
      <w:r>
        <w:tab/>
      </w:r>
      <w:r w:rsidR="004F7D03" w:rsidRPr="00427EE1">
        <w:t>Choice of options</w:t>
      </w:r>
      <w:bookmarkEnd w:id="56"/>
    </w:p>
    <w:p w:rsidR="00C438D3" w:rsidRDefault="004267C5">
      <w:r>
        <w:t>RIS p</w:t>
      </w:r>
      <w:r w:rsidR="004F7D03" w:rsidRPr="00427EE1">
        <w:t xml:space="preserve">arts B and C contain practical alternatives to achieve the desired objectives of the </w:t>
      </w:r>
      <w:r w:rsidR="008911CB">
        <w:t>Regulations</w:t>
      </w:r>
      <w:r w:rsidR="004F7D03" w:rsidRPr="00427EE1">
        <w:t>, in full or in part, and options to address any new issues arising in the building industry. These alternatives have been shaped in part by reference to building regulation in other jurisdictions, particularly less</w:t>
      </w:r>
      <w:r w:rsidR="00BF6294">
        <w:t>-</w:t>
      </w:r>
      <w:r w:rsidR="004F7D03" w:rsidRPr="00427EE1">
        <w:t>onerous approaches.</w:t>
      </w:r>
    </w:p>
    <w:p w:rsidR="004F7D03" w:rsidRPr="00427EE1" w:rsidRDefault="004F7D03" w:rsidP="00FE7837">
      <w:pPr>
        <w:pStyle w:val="Normalpre-dotpoint"/>
      </w:pPr>
      <w:r w:rsidRPr="00427EE1">
        <w:t>Each of the options will have a range of impacts on stakeholders</w:t>
      </w:r>
      <w:r w:rsidR="00BF6294">
        <w:t>,</w:t>
      </w:r>
      <w:r w:rsidRPr="00427EE1">
        <w:t xml:space="preserve"> which </w:t>
      </w:r>
      <w:r w:rsidR="00953062" w:rsidRPr="00427EE1">
        <w:t>have been</w:t>
      </w:r>
      <w:r w:rsidRPr="00427EE1">
        <w:t xml:space="preserve"> discussed in the cost</w:t>
      </w:r>
      <w:r w:rsidR="007C5A88">
        <w:t>–</w:t>
      </w:r>
      <w:r w:rsidRPr="00427EE1">
        <w:t xml:space="preserve">benefit analysis. These </w:t>
      </w:r>
      <w:r w:rsidR="00953062" w:rsidRPr="00427EE1">
        <w:t>have been</w:t>
      </w:r>
      <w:r w:rsidRPr="00427EE1">
        <w:t xml:space="preserve"> calculated as incremental costs or benefits on top of the base case.</w:t>
      </w:r>
    </w:p>
    <w:p w:rsidR="00E657D7" w:rsidRPr="00E657D7" w:rsidRDefault="004F7D03">
      <w:pPr>
        <w:rPr>
          <w:szCs w:val="20"/>
        </w:rPr>
      </w:pPr>
      <w:r w:rsidRPr="00E657D7">
        <w:rPr>
          <w:szCs w:val="20"/>
        </w:rPr>
        <w:t xml:space="preserve">The base case used </w:t>
      </w:r>
      <w:r w:rsidR="00D90FC3" w:rsidRPr="00E657D7">
        <w:rPr>
          <w:szCs w:val="20"/>
        </w:rPr>
        <w:t>for</w:t>
      </w:r>
      <w:r w:rsidRPr="00E657D7">
        <w:rPr>
          <w:szCs w:val="20"/>
        </w:rPr>
        <w:t xml:space="preserve"> this analysis assumes that the existing Regulations are not re</w:t>
      </w:r>
      <w:r w:rsidR="007C5A88" w:rsidRPr="00E657D7">
        <w:rPr>
          <w:szCs w:val="20"/>
        </w:rPr>
        <w:t>made</w:t>
      </w:r>
      <w:r w:rsidRPr="00E657D7">
        <w:rPr>
          <w:szCs w:val="20"/>
        </w:rPr>
        <w:t xml:space="preserve"> nor are any new </w:t>
      </w:r>
      <w:r w:rsidR="008911CB" w:rsidRPr="00E657D7">
        <w:rPr>
          <w:szCs w:val="20"/>
        </w:rPr>
        <w:t>Regulations</w:t>
      </w:r>
      <w:r w:rsidRPr="00E657D7">
        <w:rPr>
          <w:szCs w:val="20"/>
        </w:rPr>
        <w:t xml:space="preserve"> created.</w:t>
      </w:r>
    </w:p>
    <w:p w:rsidR="00E657D7" w:rsidRPr="00E657D7" w:rsidRDefault="004F7D03">
      <w:pPr>
        <w:rPr>
          <w:szCs w:val="20"/>
        </w:rPr>
      </w:pPr>
      <w:r w:rsidRPr="00E657D7">
        <w:rPr>
          <w:szCs w:val="20"/>
        </w:rPr>
        <w:t>Under this scenario</w:t>
      </w:r>
      <w:r w:rsidR="00BF6294" w:rsidRPr="00E657D7">
        <w:rPr>
          <w:szCs w:val="20"/>
        </w:rPr>
        <w:t>,</w:t>
      </w:r>
      <w:r w:rsidRPr="00E657D7">
        <w:rPr>
          <w:szCs w:val="20"/>
        </w:rPr>
        <w:t xml:space="preserve"> building industry participants would still be governed by the Act</w:t>
      </w:r>
      <w:r w:rsidRPr="00E657D7">
        <w:rPr>
          <w:i/>
          <w:szCs w:val="20"/>
        </w:rPr>
        <w:t xml:space="preserve"> </w:t>
      </w:r>
      <w:r w:rsidRPr="00E657D7">
        <w:rPr>
          <w:szCs w:val="20"/>
        </w:rPr>
        <w:t xml:space="preserve">and other relevant legislation </w:t>
      </w:r>
      <w:r w:rsidR="00BF6294" w:rsidRPr="00E657D7">
        <w:rPr>
          <w:szCs w:val="20"/>
        </w:rPr>
        <w:t>(</w:t>
      </w:r>
      <w:r w:rsidRPr="00E657D7">
        <w:rPr>
          <w:szCs w:val="20"/>
        </w:rPr>
        <w:t>such as the Occupational Health and Safety Act</w:t>
      </w:r>
      <w:r w:rsidRPr="00E657D7">
        <w:rPr>
          <w:i/>
          <w:szCs w:val="20"/>
        </w:rPr>
        <w:t xml:space="preserve"> </w:t>
      </w:r>
      <w:r w:rsidRPr="00E657D7">
        <w:rPr>
          <w:szCs w:val="20"/>
        </w:rPr>
        <w:t>and the Planning and Environment Act</w:t>
      </w:r>
      <w:r w:rsidR="00BF6294" w:rsidRPr="00E657D7">
        <w:rPr>
          <w:szCs w:val="20"/>
        </w:rPr>
        <w:t>) would still apply</w:t>
      </w:r>
      <w:r w:rsidRPr="00E657D7">
        <w:rPr>
          <w:i/>
          <w:szCs w:val="20"/>
        </w:rPr>
        <w:t xml:space="preserve">. </w:t>
      </w:r>
      <w:r w:rsidRPr="00E657D7">
        <w:rPr>
          <w:szCs w:val="20"/>
        </w:rPr>
        <w:t xml:space="preserve">The NCC would be the primary source of guidance to building industry participants but breaches of the </w:t>
      </w:r>
      <w:r w:rsidR="00EA3F3C" w:rsidRPr="00E657D7">
        <w:rPr>
          <w:szCs w:val="20"/>
        </w:rPr>
        <w:t xml:space="preserve">NCC </w:t>
      </w:r>
      <w:r w:rsidRPr="00E657D7">
        <w:rPr>
          <w:szCs w:val="20"/>
        </w:rPr>
        <w:t>would not be enforceable under Victorian law</w:t>
      </w:r>
      <w:r w:rsidR="00EA3F3C" w:rsidRPr="00E657D7">
        <w:rPr>
          <w:szCs w:val="20"/>
        </w:rPr>
        <w:t xml:space="preserve"> because the NCC is adopted by </w:t>
      </w:r>
      <w:r w:rsidRPr="00E657D7">
        <w:rPr>
          <w:szCs w:val="20"/>
        </w:rPr>
        <w:t xml:space="preserve">the </w:t>
      </w:r>
      <w:r w:rsidR="008911CB" w:rsidRPr="00E657D7">
        <w:rPr>
          <w:szCs w:val="20"/>
        </w:rPr>
        <w:t>Regulations</w:t>
      </w:r>
      <w:r w:rsidRPr="00E657D7">
        <w:rPr>
          <w:szCs w:val="20"/>
        </w:rPr>
        <w:t>.</w:t>
      </w:r>
    </w:p>
    <w:p w:rsidR="00E657D7" w:rsidRPr="00E657D7" w:rsidRDefault="004267C5">
      <w:pPr>
        <w:rPr>
          <w:szCs w:val="20"/>
        </w:rPr>
      </w:pPr>
      <w:r w:rsidRPr="00E657D7">
        <w:rPr>
          <w:szCs w:val="20"/>
        </w:rPr>
        <w:t xml:space="preserve">RIS </w:t>
      </w:r>
      <w:r>
        <w:rPr>
          <w:szCs w:val="20"/>
        </w:rPr>
        <w:t>p</w:t>
      </w:r>
      <w:r w:rsidR="004F7D03" w:rsidRPr="00E657D7">
        <w:rPr>
          <w:szCs w:val="20"/>
        </w:rPr>
        <w:t>art</w:t>
      </w:r>
      <w:r w:rsidR="00BF6294" w:rsidRPr="00E657D7">
        <w:rPr>
          <w:szCs w:val="20"/>
        </w:rPr>
        <w:t>s</w:t>
      </w:r>
      <w:r w:rsidR="004F7D03" w:rsidRPr="00E657D7">
        <w:rPr>
          <w:szCs w:val="20"/>
        </w:rPr>
        <w:t xml:space="preserve"> B and C provide more detail as to how the base case would operate in relation to certain topics dealt with by the Regulations.</w:t>
      </w:r>
    </w:p>
    <w:p w:rsidR="004F7D03" w:rsidRPr="00E657D7" w:rsidRDefault="004F7D03" w:rsidP="00FE7837">
      <w:pPr>
        <w:rPr>
          <w:szCs w:val="20"/>
        </w:rPr>
      </w:pPr>
      <w:r w:rsidRPr="00E657D7">
        <w:rPr>
          <w:szCs w:val="20"/>
        </w:rPr>
        <w:t>The analysis has been split into topic areas and options have been considered for each topic, which generally align with</w:t>
      </w:r>
      <w:r w:rsidR="00F82514" w:rsidRPr="00E657D7">
        <w:rPr>
          <w:szCs w:val="20"/>
        </w:rPr>
        <w:t xml:space="preserve"> either</w:t>
      </w:r>
      <w:r w:rsidR="00BF6294" w:rsidRPr="00E657D7">
        <w:rPr>
          <w:szCs w:val="20"/>
        </w:rPr>
        <w:t xml:space="preserve"> of the following.</w:t>
      </w:r>
    </w:p>
    <w:p w:rsidR="004F7D03" w:rsidRPr="00E657D7" w:rsidRDefault="00AC1A59" w:rsidP="00FE7837">
      <w:pPr>
        <w:rPr>
          <w:szCs w:val="20"/>
        </w:rPr>
      </w:pPr>
      <w:r w:rsidRPr="00E657D7">
        <w:rPr>
          <w:szCs w:val="20"/>
        </w:rPr>
        <w:t>Option 1</w:t>
      </w:r>
      <w:r w:rsidR="00BF6294" w:rsidRPr="00E657D7">
        <w:rPr>
          <w:szCs w:val="20"/>
        </w:rPr>
        <w:t xml:space="preserve"> –</w:t>
      </w:r>
      <w:r w:rsidR="007E01B8" w:rsidRPr="00E657D7">
        <w:rPr>
          <w:szCs w:val="20"/>
        </w:rPr>
        <w:t xml:space="preserve"> </w:t>
      </w:r>
      <w:r w:rsidRPr="00E657D7">
        <w:rPr>
          <w:szCs w:val="20"/>
        </w:rPr>
        <w:t>Remake the current Regulations</w:t>
      </w:r>
      <w:r w:rsidR="00BF6294" w:rsidRPr="00E657D7">
        <w:rPr>
          <w:szCs w:val="20"/>
        </w:rPr>
        <w:t>: t</w:t>
      </w:r>
      <w:r w:rsidR="004F7D03" w:rsidRPr="00E657D7">
        <w:rPr>
          <w:szCs w:val="20"/>
        </w:rPr>
        <w:t>his option involves re</w:t>
      </w:r>
      <w:r w:rsidR="007C5A88" w:rsidRPr="00E657D7">
        <w:rPr>
          <w:szCs w:val="20"/>
        </w:rPr>
        <w:t>making</w:t>
      </w:r>
      <w:r w:rsidR="004F7D03" w:rsidRPr="00E657D7">
        <w:rPr>
          <w:szCs w:val="20"/>
        </w:rPr>
        <w:t xml:space="preserve"> the </w:t>
      </w:r>
      <w:r w:rsidR="008911CB" w:rsidRPr="00E657D7">
        <w:rPr>
          <w:szCs w:val="20"/>
        </w:rPr>
        <w:t>current Regulations</w:t>
      </w:r>
      <w:r w:rsidR="004F7D03" w:rsidRPr="00E657D7">
        <w:rPr>
          <w:szCs w:val="20"/>
        </w:rPr>
        <w:t xml:space="preserve"> without any changes. Without material changes to the </w:t>
      </w:r>
      <w:r w:rsidR="008911CB" w:rsidRPr="00E657D7">
        <w:rPr>
          <w:szCs w:val="20"/>
        </w:rPr>
        <w:t>current Regulations</w:t>
      </w:r>
      <w:r w:rsidR="00BF6294" w:rsidRPr="00E657D7">
        <w:rPr>
          <w:szCs w:val="20"/>
        </w:rPr>
        <w:t>,</w:t>
      </w:r>
      <w:r w:rsidR="004F7D03" w:rsidRPr="00E657D7">
        <w:rPr>
          <w:szCs w:val="20"/>
        </w:rPr>
        <w:t xml:space="preserve"> it is not expected </w:t>
      </w:r>
      <w:r w:rsidR="00EA3F3C" w:rsidRPr="00E657D7">
        <w:rPr>
          <w:szCs w:val="20"/>
        </w:rPr>
        <w:t xml:space="preserve">that </w:t>
      </w:r>
      <w:r w:rsidR="004F7D03" w:rsidRPr="00E657D7">
        <w:rPr>
          <w:szCs w:val="20"/>
        </w:rPr>
        <w:t>any significant additional costs or benefits would be incurred by the building industry. This option provides costs and benefits that equate to the situation today.</w:t>
      </w:r>
    </w:p>
    <w:p w:rsidR="004F7D03" w:rsidRPr="00E657D7" w:rsidRDefault="00AC1A59" w:rsidP="00FE7837">
      <w:pPr>
        <w:rPr>
          <w:szCs w:val="20"/>
        </w:rPr>
      </w:pPr>
      <w:r w:rsidRPr="00E657D7">
        <w:rPr>
          <w:szCs w:val="20"/>
        </w:rPr>
        <w:t xml:space="preserve">Option </w:t>
      </w:r>
      <w:r w:rsidR="007E01B8" w:rsidRPr="00E657D7">
        <w:rPr>
          <w:szCs w:val="20"/>
        </w:rPr>
        <w:t xml:space="preserve">1.1 </w:t>
      </w:r>
      <w:r w:rsidR="00BF6294" w:rsidRPr="00E657D7">
        <w:rPr>
          <w:szCs w:val="20"/>
        </w:rPr>
        <w:t xml:space="preserve">– </w:t>
      </w:r>
      <w:r w:rsidRPr="00E657D7">
        <w:rPr>
          <w:szCs w:val="20"/>
        </w:rPr>
        <w:t>Remake the existing Regulations with topic-specific changes</w:t>
      </w:r>
      <w:r w:rsidR="00BF6294" w:rsidRPr="00E657D7">
        <w:rPr>
          <w:szCs w:val="20"/>
        </w:rPr>
        <w:t>: t</w:t>
      </w:r>
      <w:r w:rsidR="004F7D03" w:rsidRPr="00E657D7">
        <w:rPr>
          <w:szCs w:val="20"/>
        </w:rPr>
        <w:t xml:space="preserve">his option involves remaking the </w:t>
      </w:r>
      <w:r w:rsidR="008911CB" w:rsidRPr="00E657D7">
        <w:rPr>
          <w:szCs w:val="20"/>
        </w:rPr>
        <w:t>current Regulations</w:t>
      </w:r>
      <w:r w:rsidR="004F7D03" w:rsidRPr="00E657D7">
        <w:rPr>
          <w:szCs w:val="20"/>
        </w:rPr>
        <w:t xml:space="preserve"> with a variety of topic-specific changes, which are considered to be substantial. The topic</w:t>
      </w:r>
      <w:r w:rsidR="007C5A88" w:rsidRPr="00E657D7">
        <w:rPr>
          <w:szCs w:val="20"/>
        </w:rPr>
        <w:t>-</w:t>
      </w:r>
      <w:r w:rsidR="004F7D03" w:rsidRPr="00E657D7">
        <w:rPr>
          <w:szCs w:val="20"/>
        </w:rPr>
        <w:t>specific changes under each option are not mutually exclusive in all cases. Given broader reform and limited data availability to underpin the evidence base for change, options analysis is focused on topic</w:t>
      </w:r>
      <w:r w:rsidR="007C5A88" w:rsidRPr="00E657D7">
        <w:rPr>
          <w:szCs w:val="20"/>
        </w:rPr>
        <w:t>-</w:t>
      </w:r>
      <w:r w:rsidR="004F7D03" w:rsidRPr="00E657D7">
        <w:rPr>
          <w:szCs w:val="20"/>
        </w:rPr>
        <w:t xml:space="preserve">specific incremental changes to existing </w:t>
      </w:r>
      <w:r w:rsidR="008911CB" w:rsidRPr="00E657D7">
        <w:rPr>
          <w:szCs w:val="20"/>
        </w:rPr>
        <w:t>Regulations</w:t>
      </w:r>
      <w:r w:rsidR="004F7D03" w:rsidRPr="00E657D7">
        <w:rPr>
          <w:szCs w:val="20"/>
        </w:rPr>
        <w:t xml:space="preserve"> and addressing specific risks or reducing unnecessary regulatory obligations.</w:t>
      </w:r>
    </w:p>
    <w:p w:rsidR="004F7D03" w:rsidRPr="00E657D7" w:rsidRDefault="004F7D03" w:rsidP="00FE7837">
      <w:pPr>
        <w:rPr>
          <w:szCs w:val="20"/>
        </w:rPr>
      </w:pPr>
      <w:r w:rsidRPr="00E657D7">
        <w:rPr>
          <w:szCs w:val="20"/>
        </w:rPr>
        <w:lastRenderedPageBreak/>
        <w:t>Alternatives considered in th</w:t>
      </w:r>
      <w:r w:rsidR="005E2285">
        <w:rPr>
          <w:szCs w:val="20"/>
        </w:rPr>
        <w:t>e</w:t>
      </w:r>
      <w:r w:rsidRPr="00E657D7">
        <w:rPr>
          <w:szCs w:val="20"/>
        </w:rPr>
        <w:t xml:space="preserve"> RIS are confined to those which are within the scope of the </w:t>
      </w:r>
      <w:r w:rsidR="008911CB" w:rsidRPr="00E657D7">
        <w:rPr>
          <w:szCs w:val="20"/>
        </w:rPr>
        <w:t>Regulations</w:t>
      </w:r>
      <w:r w:rsidRPr="00E657D7">
        <w:rPr>
          <w:szCs w:val="20"/>
        </w:rPr>
        <w:t xml:space="preserve"> being reviewed. That is, alternative options that require amendments to the Act or any other Acts or </w:t>
      </w:r>
      <w:r w:rsidR="008911CB" w:rsidRPr="00E657D7">
        <w:rPr>
          <w:szCs w:val="20"/>
        </w:rPr>
        <w:t>Regulations</w:t>
      </w:r>
      <w:r w:rsidRPr="00E657D7">
        <w:rPr>
          <w:szCs w:val="20"/>
        </w:rPr>
        <w:t xml:space="preserve"> that impact on building regulation are outside the scope of </w:t>
      </w:r>
      <w:r w:rsidR="005E2285">
        <w:rPr>
          <w:szCs w:val="20"/>
        </w:rPr>
        <w:t>the RIS</w:t>
      </w:r>
      <w:r w:rsidRPr="00E657D7">
        <w:rPr>
          <w:szCs w:val="20"/>
        </w:rPr>
        <w:t xml:space="preserve"> and have not been considered.</w:t>
      </w:r>
    </w:p>
    <w:p w:rsidR="00D615BC" w:rsidRPr="00427EE1" w:rsidRDefault="004F7D03" w:rsidP="00FE7837">
      <w:r w:rsidRPr="00427EE1">
        <w:t>More specifically, potential options that have not been considered in detail are listed below.</w:t>
      </w:r>
    </w:p>
    <w:p w:rsidR="00E657D7" w:rsidRDefault="004F7D03">
      <w:r w:rsidRPr="00427EE1">
        <w:t>Industry guidelines</w:t>
      </w:r>
      <w:r w:rsidR="00BF6294">
        <w:t>: u</w:t>
      </w:r>
      <w:r w:rsidR="00854EF0" w:rsidRPr="00427EE1">
        <w:t>nder this option</w:t>
      </w:r>
      <w:r w:rsidR="00BF6294">
        <w:t>,</w:t>
      </w:r>
      <w:r w:rsidR="00854EF0" w:rsidRPr="00427EE1">
        <w:t xml:space="preserve"> t</w:t>
      </w:r>
      <w:r w:rsidRPr="00427EE1">
        <w:t xml:space="preserve">he </w:t>
      </w:r>
      <w:r w:rsidR="008911CB">
        <w:t>Regulations</w:t>
      </w:r>
      <w:r w:rsidRPr="00427EE1">
        <w:t xml:space="preserve"> </w:t>
      </w:r>
      <w:r w:rsidR="00854EF0" w:rsidRPr="00427EE1">
        <w:t xml:space="preserve">would </w:t>
      </w:r>
      <w:r w:rsidRPr="00427EE1">
        <w:t xml:space="preserve">not </w:t>
      </w:r>
      <w:r w:rsidR="00854EF0" w:rsidRPr="00427EE1">
        <w:t xml:space="preserve">be </w:t>
      </w:r>
      <w:r w:rsidRPr="00427EE1">
        <w:t>re</w:t>
      </w:r>
      <w:r w:rsidR="007C5A88">
        <w:t>made</w:t>
      </w:r>
      <w:r w:rsidRPr="00427EE1">
        <w:t xml:space="preserve"> but instead industry guidelines </w:t>
      </w:r>
      <w:r w:rsidR="00854EF0" w:rsidRPr="00427EE1">
        <w:t xml:space="preserve">would </w:t>
      </w:r>
      <w:r w:rsidRPr="00427EE1">
        <w:t xml:space="preserve">set out codes of best practice that would be likely to reflect most of the requirements in the </w:t>
      </w:r>
      <w:r w:rsidR="008911CB">
        <w:t>Regulations</w:t>
      </w:r>
      <w:r w:rsidRPr="00427EE1">
        <w:t xml:space="preserve">. This alternative was considered but discounted </w:t>
      </w:r>
      <w:r w:rsidR="00D90FC3">
        <w:t>because</w:t>
      </w:r>
      <w:r w:rsidRPr="00427EE1">
        <w:t xml:space="preserve"> even with the </w:t>
      </w:r>
      <w:r w:rsidR="008911CB">
        <w:t>Regulations</w:t>
      </w:r>
      <w:r w:rsidRPr="00427EE1">
        <w:t xml:space="preserve"> there continues to be the problem of significant </w:t>
      </w:r>
      <w:r w:rsidR="0023395A">
        <w:t>non</w:t>
      </w:r>
      <w:r w:rsidRPr="00427EE1">
        <w:t xml:space="preserve">compliance with the Act and </w:t>
      </w:r>
      <w:r w:rsidR="008911CB">
        <w:t>Regulations</w:t>
      </w:r>
      <w:r w:rsidRPr="00427EE1">
        <w:t xml:space="preserve">. It is reasonable to expect that </w:t>
      </w:r>
      <w:r w:rsidR="0023395A">
        <w:t>non</w:t>
      </w:r>
      <w:r w:rsidR="00854EF0" w:rsidRPr="00427EE1">
        <w:t xml:space="preserve">compliance </w:t>
      </w:r>
      <w:r w:rsidRPr="00427EE1">
        <w:t xml:space="preserve">would </w:t>
      </w:r>
      <w:r w:rsidR="00854EF0" w:rsidRPr="00427EE1">
        <w:t xml:space="preserve">increase </w:t>
      </w:r>
      <w:r w:rsidRPr="00427EE1">
        <w:t xml:space="preserve">if the </w:t>
      </w:r>
      <w:r w:rsidR="008911CB">
        <w:t>Regulations</w:t>
      </w:r>
      <w:r w:rsidR="00854EF0" w:rsidRPr="00427EE1">
        <w:t xml:space="preserve"> were replaced with unenforceable </w:t>
      </w:r>
      <w:r w:rsidRPr="00427EE1">
        <w:t>guidelines.</w:t>
      </w:r>
    </w:p>
    <w:p w:rsidR="00BF6294" w:rsidRDefault="004F7D03" w:rsidP="00BF6294">
      <w:r w:rsidRPr="00427EE1">
        <w:t>Reliance on market mechanisms to overcome information asymmetry</w:t>
      </w:r>
      <w:r w:rsidR="00BF6294">
        <w:t xml:space="preserve">: </w:t>
      </w:r>
      <w:r w:rsidRPr="00427EE1">
        <w:t>reliance on market mechanisms would require analysis of the broader legislative framework</w:t>
      </w:r>
      <w:r w:rsidR="00BF6294">
        <w:t>,</w:t>
      </w:r>
      <w:r w:rsidRPr="00427EE1">
        <w:t xml:space="preserve"> which is beyond the scope of </w:t>
      </w:r>
      <w:r w:rsidR="005E2285">
        <w:t>the RIS</w:t>
      </w:r>
      <w:r w:rsidR="00BF6294">
        <w:t>. T</w:t>
      </w:r>
      <w:r w:rsidRPr="00427EE1">
        <w:t>herefore</w:t>
      </w:r>
      <w:r w:rsidR="00BF6294">
        <w:t>,</w:t>
      </w:r>
      <w:r w:rsidRPr="00427EE1">
        <w:t xml:space="preserve"> this alternative has not been addressed. It is also very unlikely that market mechanisms would be sufficient to address the problems identified and remove the need for government intervention to assure public and private health and safety protection. However</w:t>
      </w:r>
      <w:r w:rsidR="00D90FC3">
        <w:t>,</w:t>
      </w:r>
      <w:r w:rsidRPr="00427EE1">
        <w:t xml:space="preserve"> it may </w:t>
      </w:r>
      <w:r w:rsidR="00854EF0" w:rsidRPr="00427EE1">
        <w:t xml:space="preserve">be </w:t>
      </w:r>
      <w:r w:rsidRPr="00427EE1">
        <w:t>that market mechanisms are suitable for some areas or subgroups.</w:t>
      </w:r>
    </w:p>
    <w:p w:rsidR="00BF6294" w:rsidRDefault="00BF6294" w:rsidP="00BF6294"/>
    <w:p w:rsidR="00BF6294" w:rsidRDefault="00BF6294">
      <w:pPr>
        <w:spacing w:after="0"/>
      </w:pPr>
      <w:r>
        <w:br w:type="page"/>
      </w:r>
    </w:p>
    <w:p w:rsidR="004F7D03" w:rsidRPr="003448D2" w:rsidRDefault="003448D2" w:rsidP="003448D2">
      <w:pPr>
        <w:pStyle w:val="Heading1"/>
      </w:pPr>
      <w:bookmarkStart w:id="57" w:name="_Toc476043559"/>
      <w:bookmarkStart w:id="58" w:name="_Toc476063798"/>
      <w:bookmarkStart w:id="59" w:name="_Toc476064159"/>
      <w:bookmarkStart w:id="60" w:name="_Toc476043560"/>
      <w:bookmarkStart w:id="61" w:name="_Toc476063799"/>
      <w:bookmarkStart w:id="62" w:name="_Toc476064160"/>
      <w:bookmarkStart w:id="63" w:name="_Toc475021554"/>
      <w:bookmarkStart w:id="64" w:name="_Toc475021555"/>
      <w:bookmarkStart w:id="65" w:name="_Toc475021556"/>
      <w:bookmarkStart w:id="66" w:name="_Toc475021557"/>
      <w:bookmarkStart w:id="67" w:name="_Toc475021558"/>
      <w:bookmarkStart w:id="68" w:name="_Toc475021559"/>
      <w:bookmarkStart w:id="69" w:name="_Toc475021560"/>
      <w:bookmarkStart w:id="70" w:name="_Toc475021561"/>
      <w:bookmarkStart w:id="71" w:name="_Toc475021562"/>
      <w:bookmarkStart w:id="72" w:name="_Toc475021563"/>
      <w:bookmarkStart w:id="73" w:name="_Toc475021564"/>
      <w:bookmarkStart w:id="74" w:name="_Toc475021565"/>
      <w:bookmarkStart w:id="75" w:name="_Toc475021586"/>
      <w:bookmarkStart w:id="76" w:name="_Toc475021587"/>
      <w:bookmarkStart w:id="77" w:name="_Toc475021588"/>
      <w:bookmarkStart w:id="78" w:name="_Toc475021589"/>
      <w:bookmarkStart w:id="79" w:name="_Toc475021590"/>
      <w:bookmarkStart w:id="80" w:name="_Toc475021591"/>
      <w:bookmarkStart w:id="81" w:name="_Toc475021592"/>
      <w:bookmarkStart w:id="82" w:name="_Toc475021593"/>
      <w:bookmarkStart w:id="83" w:name="_Toc475021594"/>
      <w:bookmarkStart w:id="84" w:name="_Toc475021595"/>
      <w:bookmarkStart w:id="85" w:name="_Toc475021596"/>
      <w:bookmarkStart w:id="86" w:name="_Toc475021597"/>
      <w:bookmarkStart w:id="87" w:name="_Toc475021598"/>
      <w:bookmarkStart w:id="88" w:name="_Toc475021599"/>
      <w:bookmarkStart w:id="89" w:name="_Toc475021600"/>
      <w:bookmarkStart w:id="90" w:name="_Toc475021601"/>
      <w:bookmarkStart w:id="91" w:name="_Toc475021602"/>
      <w:bookmarkStart w:id="92" w:name="_Toc475021603"/>
      <w:bookmarkStart w:id="93" w:name="_Toc475021604"/>
      <w:bookmarkStart w:id="94" w:name="_Toc475021605"/>
      <w:bookmarkStart w:id="95" w:name="_Toc475021606"/>
      <w:bookmarkStart w:id="96" w:name="_Toc475021607"/>
      <w:bookmarkStart w:id="97" w:name="_Toc475021608"/>
      <w:bookmarkStart w:id="98" w:name="_Toc475021609"/>
      <w:bookmarkStart w:id="99" w:name="_Toc475021610"/>
      <w:bookmarkStart w:id="100" w:name="_Toc475021611"/>
      <w:bookmarkStart w:id="101" w:name="_Toc475021612"/>
      <w:bookmarkStart w:id="102" w:name="_Toc475021613"/>
      <w:bookmarkStart w:id="103" w:name="_Toc475021614"/>
      <w:bookmarkStart w:id="104" w:name="_Toc475021615"/>
      <w:bookmarkStart w:id="105" w:name="_Toc475021616"/>
      <w:bookmarkStart w:id="106" w:name="_Toc475021617"/>
      <w:bookmarkStart w:id="107" w:name="_Toc475021618"/>
      <w:bookmarkStart w:id="108" w:name="_Toc475021619"/>
      <w:bookmarkStart w:id="109" w:name="_Toc475021620"/>
      <w:bookmarkStart w:id="110" w:name="_Toc475021621"/>
      <w:bookmarkStart w:id="111" w:name="_Toc475021622"/>
      <w:bookmarkStart w:id="112" w:name="_Toc475021623"/>
      <w:bookmarkStart w:id="113" w:name="_Toc475021624"/>
      <w:bookmarkStart w:id="114" w:name="_Toc475021625"/>
      <w:bookmarkStart w:id="115" w:name="_Toc475021626"/>
      <w:bookmarkStart w:id="116" w:name="_Toc475021627"/>
      <w:bookmarkStart w:id="117" w:name="_Toc475021628"/>
      <w:bookmarkStart w:id="118" w:name="_Toc475021629"/>
      <w:bookmarkStart w:id="119" w:name="_Toc475021630"/>
      <w:bookmarkStart w:id="120" w:name="_Toc475021631"/>
      <w:bookmarkStart w:id="121" w:name="_Toc475021632"/>
      <w:bookmarkStart w:id="122" w:name="_Toc475021633"/>
      <w:bookmarkStart w:id="123" w:name="_Toc475021634"/>
      <w:bookmarkStart w:id="124" w:name="_Toc475021635"/>
      <w:bookmarkStart w:id="125" w:name="_Toc475021636"/>
      <w:bookmarkStart w:id="126" w:name="_Toc475021637"/>
      <w:bookmarkStart w:id="127" w:name="_Toc475021638"/>
      <w:bookmarkStart w:id="128" w:name="_Toc475021640"/>
      <w:bookmarkStart w:id="129" w:name="_Toc475021641"/>
      <w:bookmarkStart w:id="130" w:name="_Toc475021642"/>
      <w:bookmarkStart w:id="131" w:name="_Toc475021643"/>
      <w:bookmarkStart w:id="132" w:name="_Toc475021644"/>
      <w:bookmarkStart w:id="133" w:name="_Toc475021645"/>
      <w:bookmarkStart w:id="134" w:name="_Toc475021646"/>
      <w:bookmarkStart w:id="135" w:name="_Toc475021647"/>
      <w:bookmarkStart w:id="136" w:name="_Toc475021648"/>
      <w:bookmarkStart w:id="137" w:name="_Toc475021649"/>
      <w:bookmarkStart w:id="138" w:name="_Toc469389018"/>
      <w:bookmarkStart w:id="139" w:name="_Toc473724576"/>
      <w:bookmarkStart w:id="140" w:name="_Toc476064161"/>
      <w:bookmarkStart w:id="141" w:name="_Toc481501577"/>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3448D2">
        <w:lastRenderedPageBreak/>
        <w:t>3</w:t>
      </w:r>
      <w:r w:rsidRPr="003448D2">
        <w:tab/>
      </w:r>
      <w:r w:rsidR="00D91213" w:rsidRPr="003448D2">
        <w:t xml:space="preserve">Assessment of the </w:t>
      </w:r>
      <w:r w:rsidR="007837CC" w:rsidRPr="003448D2">
        <w:t>p</w:t>
      </w:r>
      <w:r w:rsidR="00D91213" w:rsidRPr="003448D2">
        <w:t xml:space="preserve">roposed </w:t>
      </w:r>
      <w:bookmarkEnd w:id="138"/>
      <w:bookmarkEnd w:id="139"/>
      <w:bookmarkEnd w:id="140"/>
      <w:r w:rsidR="008911CB" w:rsidRPr="003448D2">
        <w:t>Regulations</w:t>
      </w:r>
      <w:bookmarkEnd w:id="141"/>
    </w:p>
    <w:p w:rsidR="004F7D03" w:rsidRPr="00427EE1" w:rsidRDefault="003448D2" w:rsidP="00C14778">
      <w:pPr>
        <w:pStyle w:val="Heading2"/>
      </w:pPr>
      <w:bookmarkStart w:id="142" w:name="_Toc481501578"/>
      <w:r>
        <w:t>3.1</w:t>
      </w:r>
      <w:r>
        <w:tab/>
      </w:r>
      <w:r w:rsidR="004F7D03" w:rsidRPr="00427EE1">
        <w:t>Summary of preferred option</w:t>
      </w:r>
      <w:r w:rsidR="00C13476">
        <w:t>s</w:t>
      </w:r>
      <w:bookmarkEnd w:id="142"/>
    </w:p>
    <w:p w:rsidR="0062128D" w:rsidRPr="00427EE1" w:rsidRDefault="0062128D" w:rsidP="00FE7837">
      <w:r w:rsidRPr="00427EE1">
        <w:t xml:space="preserve">The major changes proposed in the Regulations are set out below. </w:t>
      </w:r>
      <w:r w:rsidR="004267C5">
        <w:t>RIS p</w:t>
      </w:r>
      <w:r w:rsidR="00C13476">
        <w:t xml:space="preserve">arts B and C explain </w:t>
      </w:r>
      <w:r w:rsidRPr="00427EE1">
        <w:t>these changes and other minor changes.</w:t>
      </w:r>
    </w:p>
    <w:p w:rsidR="0062128D" w:rsidRPr="00427EE1" w:rsidRDefault="003448D2" w:rsidP="00C14778">
      <w:pPr>
        <w:pStyle w:val="Heading3"/>
      </w:pPr>
      <w:bookmarkStart w:id="143" w:name="_Toc481501579"/>
      <w:r>
        <w:t>3.1.1</w:t>
      </w:r>
      <w:r>
        <w:tab/>
      </w:r>
      <w:r w:rsidR="0062128D" w:rsidRPr="00427EE1">
        <w:t>Design</w:t>
      </w:r>
      <w:bookmarkEnd w:id="143"/>
    </w:p>
    <w:p w:rsidR="00D615BC" w:rsidRPr="00427EE1" w:rsidRDefault="0062128D" w:rsidP="00FE7837">
      <w:r w:rsidRPr="00427EE1">
        <w:t xml:space="preserve">The proposed changes to </w:t>
      </w:r>
      <w:r w:rsidR="00E248CA" w:rsidRPr="00427EE1">
        <w:t xml:space="preserve">building </w:t>
      </w:r>
      <w:r w:rsidR="008911CB">
        <w:t>Regulations</w:t>
      </w:r>
      <w:r w:rsidRPr="00427EE1">
        <w:t xml:space="preserve"> covering the design phase are intended to give greater effect to recent amendments to the Act that make </w:t>
      </w:r>
      <w:r w:rsidR="006A761F">
        <w:t xml:space="preserve">a </w:t>
      </w:r>
      <w:r w:rsidRPr="00427EE1">
        <w:t xml:space="preserve">building surveyor more accountable for assessment decisions when issuing a permit and lodging documents with </w:t>
      </w:r>
      <w:r w:rsidR="006A761F">
        <w:t xml:space="preserve">a </w:t>
      </w:r>
      <w:r w:rsidR="00E248CA" w:rsidRPr="00427EE1">
        <w:t>c</w:t>
      </w:r>
      <w:r w:rsidRPr="00427EE1">
        <w:t>ouncil.</w:t>
      </w:r>
    </w:p>
    <w:p w:rsidR="0062128D" w:rsidRPr="00427EE1" w:rsidRDefault="00E248CA" w:rsidP="00FE7837">
      <w:r w:rsidRPr="00427EE1">
        <w:t>Stakeholder feedback and e</w:t>
      </w:r>
      <w:r w:rsidR="0062128D" w:rsidRPr="00427EE1">
        <w:t xml:space="preserve">vidence held by </w:t>
      </w:r>
      <w:r w:rsidR="00720C4E">
        <w:t>VBA</w:t>
      </w:r>
      <w:r w:rsidR="0062128D" w:rsidRPr="00427EE1">
        <w:t xml:space="preserve"> indicate that a universal </w:t>
      </w:r>
      <w:r w:rsidRPr="00427EE1">
        <w:t xml:space="preserve">minimum </w:t>
      </w:r>
      <w:r w:rsidR="0062128D" w:rsidRPr="00427EE1">
        <w:t xml:space="preserve">requirement for documentation of building work could be excessive. Additional administrative burden </w:t>
      </w:r>
      <w:r w:rsidRPr="00427EE1">
        <w:t xml:space="preserve">would be </w:t>
      </w:r>
      <w:r w:rsidR="0062128D" w:rsidRPr="00427EE1">
        <w:t xml:space="preserve">placed on applicants and </w:t>
      </w:r>
      <w:r w:rsidR="006A761F">
        <w:t xml:space="preserve">on </w:t>
      </w:r>
      <w:r w:rsidR="0062128D" w:rsidRPr="00427EE1">
        <w:t xml:space="preserve">building surveyors due to the need to provide and consider a standard set of information and documents, even when they are not required for a specific application to approve building work because of the nature of that particular building work. The proposed </w:t>
      </w:r>
      <w:r w:rsidR="008911CB">
        <w:t>Regulations</w:t>
      </w:r>
      <w:r w:rsidR="0062128D" w:rsidRPr="00427EE1">
        <w:t xml:space="preserve"> enable the </w:t>
      </w:r>
      <w:r w:rsidR="006A761F">
        <w:t xml:space="preserve">RBS </w:t>
      </w:r>
      <w:r w:rsidR="0062128D" w:rsidRPr="00427EE1">
        <w:t>to make a professional judgement about what documents are required to assess a particular permit application.</w:t>
      </w:r>
    </w:p>
    <w:p w:rsidR="0062128D" w:rsidRPr="00427EE1" w:rsidRDefault="0062128D" w:rsidP="00FE7837">
      <w:r w:rsidRPr="00427EE1">
        <w:t>Currently, there is considerable variance in the proportion of building permits submitted on</w:t>
      </w:r>
      <w:r w:rsidR="007C5A88">
        <w:t>line</w:t>
      </w:r>
      <w:r w:rsidRPr="00427EE1">
        <w:t xml:space="preserve">. The current </w:t>
      </w:r>
      <w:r w:rsidR="000D60C8" w:rsidRPr="00427EE1">
        <w:t xml:space="preserve">building </w:t>
      </w:r>
      <w:r w:rsidR="008911CB">
        <w:t>Regulations</w:t>
      </w:r>
      <w:r w:rsidRPr="00427EE1">
        <w:t xml:space="preserve"> are geared to manual lodgement of documents. Therefore, reducing the number of hard</w:t>
      </w:r>
      <w:r w:rsidR="004267C5">
        <w:t xml:space="preserve"> </w:t>
      </w:r>
      <w:r w:rsidRPr="00427EE1">
        <w:t>copies required will better support electronic lodgement and should result in time and cost efficiencies.</w:t>
      </w:r>
    </w:p>
    <w:p w:rsidR="0062128D" w:rsidRPr="00427EE1" w:rsidRDefault="000D60C8" w:rsidP="00FE7837">
      <w:r w:rsidRPr="00427EE1">
        <w:t>I</w:t>
      </w:r>
      <w:r w:rsidR="0062128D" w:rsidRPr="00427EE1">
        <w:t xml:space="preserve">n order to ensure high levels of accountability, it is proposed to require building surveyors to provide more current and targeted information to </w:t>
      </w:r>
      <w:r w:rsidR="00720C4E">
        <w:t>VBA</w:t>
      </w:r>
      <w:r w:rsidR="0062128D" w:rsidRPr="00427EE1">
        <w:t>. The additional information relates to timeframes for building work and to specific obligations relevant to the work being carried out. This will include information related to mandatory inspections, exemptions and consents granted and whether the work relates to change of use or requirements for protection work.</w:t>
      </w:r>
    </w:p>
    <w:p w:rsidR="00E657D7" w:rsidRDefault="000D60C8">
      <w:r w:rsidRPr="00427EE1">
        <w:t>B</w:t>
      </w:r>
      <w:r w:rsidR="0062128D" w:rsidRPr="00427EE1">
        <w:t xml:space="preserve">uilding inspectors will be required to provide information setting out time limits for building work, details of approved alternative solutions and </w:t>
      </w:r>
      <w:r w:rsidR="006A761F">
        <w:t xml:space="preserve">BAB </w:t>
      </w:r>
      <w:r w:rsidRPr="00427EE1">
        <w:t>determinations.</w:t>
      </w:r>
      <w:r w:rsidR="0062128D" w:rsidRPr="00427EE1">
        <w:t xml:space="preserve"> </w:t>
      </w:r>
      <w:r w:rsidRPr="00427EE1">
        <w:t xml:space="preserve">These will </w:t>
      </w:r>
      <w:r w:rsidR="0062128D" w:rsidRPr="00427EE1">
        <w:t>include</w:t>
      </w:r>
      <w:r w:rsidR="006A761F">
        <w:t xml:space="preserve"> the following.</w:t>
      </w:r>
    </w:p>
    <w:p w:rsidR="00E657D7" w:rsidRDefault="006A761F">
      <w:pPr>
        <w:pStyle w:val="Dotpointlast"/>
      </w:pPr>
      <w:r>
        <w:t>A</w:t>
      </w:r>
      <w:r w:rsidR="0062128D" w:rsidRPr="00427EE1">
        <w:t xml:space="preserve"> clear statement in the building permit form (</w:t>
      </w:r>
      <w:r w:rsidR="002D4F87" w:rsidRPr="00427EE1">
        <w:t xml:space="preserve">current </w:t>
      </w:r>
      <w:r w:rsidR="00195602">
        <w:t>f</w:t>
      </w:r>
      <w:r w:rsidR="0062128D" w:rsidRPr="00427EE1">
        <w:t>orm 2</w:t>
      </w:r>
      <w:r w:rsidR="002D4F87" w:rsidRPr="00427EE1">
        <w:t xml:space="preserve">, proposed </w:t>
      </w:r>
      <w:r w:rsidR="00195602">
        <w:t>f</w:t>
      </w:r>
      <w:r w:rsidR="002D4F87" w:rsidRPr="00427EE1">
        <w:t>orm 4</w:t>
      </w:r>
      <w:r w:rsidR="0062128D" w:rsidRPr="00427EE1">
        <w:t>) that describes when a building permit lapses and the consequences of this</w:t>
      </w:r>
      <w:r>
        <w:t>. T</w:t>
      </w:r>
      <w:r w:rsidR="0062128D" w:rsidRPr="00427EE1">
        <w:t>his amendment is designed to improve compliance by owners and building practitioners with regulatory timeframes for construction projects and</w:t>
      </w:r>
      <w:r w:rsidR="000D60C8" w:rsidRPr="00427EE1">
        <w:t xml:space="preserve"> to</w:t>
      </w:r>
      <w:r w:rsidR="0062128D" w:rsidRPr="00427EE1">
        <w:t xml:space="preserve"> reduce the likelihood of a building permit lapsing inadvertently, which might give rise to the need to apply for a new building permit or building work continuing in the absence of a valid building permit and in breach of the Act.</w:t>
      </w:r>
      <w:r w:rsidR="0062128D" w:rsidRPr="00427EE1">
        <w:rPr>
          <w:vertAlign w:val="superscript"/>
        </w:rPr>
        <w:footnoteReference w:id="57"/>
      </w:r>
    </w:p>
    <w:p w:rsidR="002D5E35" w:rsidRDefault="002D5E35">
      <w:pPr>
        <w:spacing w:after="0"/>
        <w:rPr>
          <w:rFonts w:cstheme="minorHAnsi"/>
        </w:rPr>
      </w:pPr>
      <w:r>
        <w:br w:type="page"/>
      </w:r>
    </w:p>
    <w:p w:rsidR="00E657D7" w:rsidRDefault="006A761F">
      <w:pPr>
        <w:pStyle w:val="Dotpointlast"/>
      </w:pPr>
      <w:r>
        <w:lastRenderedPageBreak/>
        <w:t>M</w:t>
      </w:r>
      <w:r w:rsidR="0062128D" w:rsidRPr="00427EE1">
        <w:t>ore</w:t>
      </w:r>
      <w:r w:rsidR="00181511">
        <w:t>-</w:t>
      </w:r>
      <w:r w:rsidR="0062128D" w:rsidRPr="00427EE1">
        <w:t>specific details of performance solutions</w:t>
      </w:r>
      <w:r w:rsidR="00FE06E0">
        <w:t>. T</w:t>
      </w:r>
      <w:r>
        <w:t xml:space="preserve">hese will be </w:t>
      </w:r>
      <w:r w:rsidR="0062128D" w:rsidRPr="00427EE1">
        <w:t>categorised in table form for ease of reference according to whether they relate to fire performance, bushfire performance or other matters. Details to be included relate to the method of approval, date of approval and details of applicable materials, systems, methods of building, procedures, specifications and other relevant requirements necessary to provide transparency and compliance in relation to the nature of the building solution that comprises the performance solution.</w:t>
      </w:r>
    </w:p>
    <w:p w:rsidR="00C438D3" w:rsidRDefault="006A761F">
      <w:pPr>
        <w:pStyle w:val="Dotpointlast"/>
      </w:pPr>
      <w:r>
        <w:t>M</w:t>
      </w:r>
      <w:r w:rsidR="0062128D" w:rsidRPr="00427EE1">
        <w:t>ore</w:t>
      </w:r>
      <w:r>
        <w:t>-</w:t>
      </w:r>
      <w:r w:rsidR="0062128D" w:rsidRPr="00427EE1">
        <w:t>specific</w:t>
      </w:r>
      <w:r>
        <w:t xml:space="preserve">, </w:t>
      </w:r>
      <w:r w:rsidR="0062128D" w:rsidRPr="00427EE1">
        <w:t xml:space="preserve">targeted details of </w:t>
      </w:r>
      <w:r>
        <w:t xml:space="preserve">BAB </w:t>
      </w:r>
      <w:r w:rsidR="0062128D" w:rsidRPr="00427EE1">
        <w:t>determinations relevant to the building work (for example, in relation to protection works) where these are made before a building permit is issued. As with the details provided for alternative solutions, the inclusion of such details will provide transparency that such a determination has been made and also the nature of the determination</w:t>
      </w:r>
      <w:r w:rsidR="00FE06E0">
        <w:t xml:space="preserve"> (</w:t>
      </w:r>
      <w:r w:rsidR="0062128D" w:rsidRPr="00427EE1">
        <w:t xml:space="preserve">for example, by identifying whether any building </w:t>
      </w:r>
      <w:r w:rsidR="008911CB">
        <w:t>Regulations</w:t>
      </w:r>
      <w:r w:rsidR="0062128D" w:rsidRPr="00427EE1">
        <w:t xml:space="preserve"> have been varied in relation to the building work</w:t>
      </w:r>
      <w:r w:rsidR="00FE06E0">
        <w:t>)</w:t>
      </w:r>
      <w:r w:rsidR="0062128D" w:rsidRPr="00427EE1">
        <w:t>.</w:t>
      </w:r>
    </w:p>
    <w:p w:rsidR="00D615BC" w:rsidRPr="00427EE1" w:rsidRDefault="0062128D" w:rsidP="00FE7837">
      <w:r w:rsidRPr="00427EE1">
        <w:t>Projections can pose a risk to larger</w:t>
      </w:r>
      <w:r w:rsidR="00FE06E0">
        <w:t>-</w:t>
      </w:r>
      <w:r w:rsidRPr="00427EE1">
        <w:t xml:space="preserve">vehicle traffic (such as trucks). In order to reduce </w:t>
      </w:r>
      <w:r w:rsidR="000D60C8" w:rsidRPr="00427EE1">
        <w:t xml:space="preserve">the </w:t>
      </w:r>
      <w:r w:rsidRPr="00427EE1">
        <w:t>risk</w:t>
      </w:r>
      <w:r w:rsidR="000D60C8" w:rsidRPr="00427EE1">
        <w:t>s</w:t>
      </w:r>
      <w:r w:rsidRPr="00427EE1">
        <w:t xml:space="preserve">, the proposed </w:t>
      </w:r>
      <w:r w:rsidR="008911CB">
        <w:t>Regulations</w:t>
      </w:r>
      <w:r w:rsidRPr="00427EE1">
        <w:t xml:space="preserve"> require </w:t>
      </w:r>
      <w:r w:rsidR="000D60C8" w:rsidRPr="00427EE1">
        <w:t xml:space="preserve">a uniform </w:t>
      </w:r>
      <w:r w:rsidRPr="00427EE1">
        <w:t xml:space="preserve">vertical clearance for a projection </w:t>
      </w:r>
      <w:r w:rsidR="00D90FC3">
        <w:t>near</w:t>
      </w:r>
      <w:r w:rsidRPr="00427EE1">
        <w:t xml:space="preserve"> pedestrian traffic (for example, over a footpath) and a second</w:t>
      </w:r>
      <w:r w:rsidR="00FE06E0">
        <w:t>,</w:t>
      </w:r>
      <w:r w:rsidRPr="00427EE1">
        <w:t xml:space="preserve"> higher</w:t>
      </w:r>
      <w:r w:rsidR="00FE06E0">
        <w:t>,</w:t>
      </w:r>
      <w:r w:rsidRPr="00427EE1">
        <w:t xml:space="preserve"> minimum acceptable vertical clearance for a projection proposed </w:t>
      </w:r>
      <w:r w:rsidR="00D90FC3">
        <w:t>near</w:t>
      </w:r>
      <w:r w:rsidRPr="00427EE1">
        <w:t xml:space="preserve"> vehicle traffic (for example, over a road). Where the </w:t>
      </w:r>
      <w:r w:rsidR="008911CB">
        <w:t>Regulations</w:t>
      </w:r>
      <w:r w:rsidRPr="00427EE1">
        <w:t xml:space="preserve"> provide a permitted clearance over the street alignment that is sufficiently long enough to mean that a truck or other larger vehicle could pass near or under the projection, the minimum height clearance for the projection is proposed to be raised from 2.7</w:t>
      </w:r>
      <w:r w:rsidR="00296466">
        <w:t> m</w:t>
      </w:r>
      <w:r w:rsidRPr="00427EE1">
        <w:t xml:space="preserve"> to 5</w:t>
      </w:r>
      <w:r w:rsidR="00296466">
        <w:t> m</w:t>
      </w:r>
      <w:r w:rsidRPr="00427EE1">
        <w:t>. Amending to 5</w:t>
      </w:r>
      <w:r w:rsidR="00296466">
        <w:t> m</w:t>
      </w:r>
      <w:r w:rsidRPr="00427EE1">
        <w:t xml:space="preserve"> brings Victoria’s standard in line with what local governments in other jurisdictions allow for. </w:t>
      </w:r>
    </w:p>
    <w:p w:rsidR="0062128D" w:rsidRPr="00427EE1" w:rsidRDefault="0062128D" w:rsidP="00FE7837">
      <w:pPr>
        <w:pStyle w:val="Normalpre-dotpoint"/>
      </w:pPr>
      <w:r w:rsidRPr="00427EE1">
        <w:t>Other minor changes are proposed to facilitate the efficient administration of the building permit system through:</w:t>
      </w:r>
    </w:p>
    <w:p w:rsidR="0062128D" w:rsidRPr="00427EE1" w:rsidRDefault="0062128D" w:rsidP="00FE7837">
      <w:pPr>
        <w:pStyle w:val="Dotpoint"/>
      </w:pPr>
      <w:r w:rsidRPr="00427EE1">
        <w:t>mandated application of forms for applying for a building permit that require disclosure of any relevant planning permits and proposals for ESMs</w:t>
      </w:r>
    </w:p>
    <w:p w:rsidR="0062128D" w:rsidRPr="00427EE1" w:rsidRDefault="0062128D" w:rsidP="00FE7837">
      <w:pPr>
        <w:pStyle w:val="Dotpoint"/>
      </w:pPr>
      <w:r w:rsidRPr="00427EE1">
        <w:t xml:space="preserve">writing into </w:t>
      </w:r>
      <w:r w:rsidR="008911CB">
        <w:t>Regulations</w:t>
      </w:r>
      <w:r w:rsidRPr="00427EE1">
        <w:t xml:space="preserve"> the NCC requirement for a building surveyor to document the assessment of proposed performance solutions</w:t>
      </w:r>
    </w:p>
    <w:p w:rsidR="0062128D" w:rsidRPr="00427EE1" w:rsidRDefault="0062128D" w:rsidP="00FE7837">
      <w:pPr>
        <w:pStyle w:val="Dotpoint"/>
      </w:pPr>
      <w:r w:rsidRPr="00427EE1">
        <w:t>requiring a builder to have relevant information onsite (rather than just taking reasonable steps to provide such information)</w:t>
      </w:r>
    </w:p>
    <w:p w:rsidR="0062128D" w:rsidRPr="00427EE1" w:rsidRDefault="0062128D" w:rsidP="00FE7837">
      <w:pPr>
        <w:pStyle w:val="Dotpoint"/>
      </w:pPr>
      <w:r w:rsidRPr="00427EE1">
        <w:t xml:space="preserve">permitting the retention of documents by </w:t>
      </w:r>
      <w:r w:rsidR="000D60C8" w:rsidRPr="00427EE1">
        <w:t>c</w:t>
      </w:r>
      <w:r w:rsidRPr="00427EE1">
        <w:t>ouncils in electronic form rather than in their original forms</w:t>
      </w:r>
    </w:p>
    <w:p w:rsidR="0062128D" w:rsidRPr="00427EE1" w:rsidRDefault="0062128D" w:rsidP="00FE7837">
      <w:pPr>
        <w:pStyle w:val="Dotpoint"/>
      </w:pPr>
      <w:r w:rsidRPr="00427EE1">
        <w:t>requir</w:t>
      </w:r>
      <w:r w:rsidR="00FE06E0">
        <w:t>ing</w:t>
      </w:r>
      <w:r w:rsidRPr="00427EE1">
        <w:t xml:space="preserve"> building surveyors to forward a copy of a building permit to a builder and for builders to notify building surveyors of changes in their details</w:t>
      </w:r>
    </w:p>
    <w:p w:rsidR="0062128D" w:rsidRPr="00427EE1" w:rsidRDefault="0062128D" w:rsidP="00FE7837">
      <w:pPr>
        <w:pStyle w:val="Dotpoint"/>
      </w:pPr>
      <w:r w:rsidRPr="00427EE1">
        <w:t>clarifying the wording related to setbacks</w:t>
      </w:r>
    </w:p>
    <w:p w:rsidR="0062128D" w:rsidRPr="00427EE1" w:rsidRDefault="0062128D" w:rsidP="00FE7837">
      <w:pPr>
        <w:pStyle w:val="Dotpoint"/>
      </w:pPr>
      <w:r w:rsidRPr="00427EE1">
        <w:t>changing the way the average height of a wall is calculated to avoid the impact of the use of dwarf walls in calculating average height</w:t>
      </w:r>
    </w:p>
    <w:p w:rsidR="0062128D" w:rsidRPr="00427EE1" w:rsidRDefault="0062128D" w:rsidP="00FE7837">
      <w:pPr>
        <w:pStyle w:val="Dotpoint"/>
      </w:pPr>
      <w:r w:rsidRPr="00427EE1">
        <w:t xml:space="preserve">clarifying fencing options for right </w:t>
      </w:r>
      <w:r w:rsidR="009B5860">
        <w:t xml:space="preserve">of ways or laneways and </w:t>
      </w:r>
      <w:r w:rsidRPr="00427EE1">
        <w:t>farming allotments</w:t>
      </w:r>
    </w:p>
    <w:p w:rsidR="0062128D" w:rsidRPr="00427EE1" w:rsidRDefault="0062128D" w:rsidP="00FE7837">
      <w:pPr>
        <w:pStyle w:val="Dotpointlast"/>
      </w:pPr>
      <w:r w:rsidRPr="00427EE1">
        <w:t>improv</w:t>
      </w:r>
      <w:r w:rsidR="004A34BC">
        <w:t>ing</w:t>
      </w:r>
      <w:r w:rsidRPr="00427EE1">
        <w:t xml:space="preserve"> the Regulations in relation to projections</w:t>
      </w:r>
      <w:r w:rsidR="004A34BC">
        <w:t xml:space="preserve"> (</w:t>
      </w:r>
      <w:r w:rsidRPr="00427EE1">
        <w:t xml:space="preserve">such as </w:t>
      </w:r>
      <w:r w:rsidR="004A34BC">
        <w:t xml:space="preserve">by </w:t>
      </w:r>
      <w:r w:rsidRPr="00427EE1">
        <w:t xml:space="preserve">separating distinct design standards by street width and </w:t>
      </w:r>
      <w:r w:rsidR="002772EE">
        <w:t xml:space="preserve">by </w:t>
      </w:r>
      <w:r w:rsidRPr="00427EE1">
        <w:t>providing for new and improved guidance material</w:t>
      </w:r>
      <w:r w:rsidR="004A34BC">
        <w:t>)</w:t>
      </w:r>
      <w:r w:rsidRPr="00427EE1">
        <w:t>.</w:t>
      </w:r>
    </w:p>
    <w:p w:rsidR="0062128D" w:rsidRPr="00427EE1" w:rsidRDefault="003448D2" w:rsidP="00C14778">
      <w:pPr>
        <w:pStyle w:val="Heading3"/>
      </w:pPr>
      <w:bookmarkStart w:id="144" w:name="_Toc481501580"/>
      <w:r>
        <w:t>3.1.2</w:t>
      </w:r>
      <w:r>
        <w:tab/>
      </w:r>
      <w:r w:rsidR="0062128D" w:rsidRPr="00427EE1">
        <w:t>Construction</w:t>
      </w:r>
      <w:bookmarkEnd w:id="144"/>
    </w:p>
    <w:p w:rsidR="0062128D" w:rsidRPr="00427EE1" w:rsidRDefault="0062128D" w:rsidP="00FE7837">
      <w:r w:rsidRPr="00427EE1">
        <w:t>Regulations controlling the construction phase of a building are designed to ensure the satisfactory completion of building work</w:t>
      </w:r>
      <w:r w:rsidR="00DA2F1B" w:rsidRPr="00427EE1">
        <w:t xml:space="preserve"> and</w:t>
      </w:r>
      <w:r w:rsidRPr="00427EE1">
        <w:t xml:space="preserve"> cover among other things time limits for building and mandatory inspections designed to ensure building work is both timely and </w:t>
      </w:r>
      <w:r w:rsidR="00DA2F1B" w:rsidRPr="00427EE1">
        <w:t xml:space="preserve">protects </w:t>
      </w:r>
      <w:r w:rsidR="002772EE">
        <w:t xml:space="preserve">the </w:t>
      </w:r>
      <w:r w:rsidR="002772EE" w:rsidRPr="00427EE1">
        <w:t xml:space="preserve">health and safety </w:t>
      </w:r>
      <w:r w:rsidR="002772EE">
        <w:t xml:space="preserve">of the </w:t>
      </w:r>
      <w:r w:rsidRPr="00427EE1">
        <w:t>public and occupants.</w:t>
      </w:r>
    </w:p>
    <w:p w:rsidR="0062128D" w:rsidRPr="00427EE1" w:rsidRDefault="0062128D" w:rsidP="00FE7837">
      <w:r w:rsidRPr="00427EE1">
        <w:t xml:space="preserve">Proposed changes to the </w:t>
      </w:r>
      <w:r w:rsidR="00DA2F1B" w:rsidRPr="00427EE1">
        <w:t xml:space="preserve">building </w:t>
      </w:r>
      <w:r w:rsidR="008911CB">
        <w:t>Regulations</w:t>
      </w:r>
      <w:r w:rsidRPr="00427EE1">
        <w:t xml:space="preserve"> relating to the construction phase </w:t>
      </w:r>
      <w:r w:rsidR="002772EE">
        <w:t>address</w:t>
      </w:r>
      <w:r w:rsidR="004267C5">
        <w:t xml:space="preserve"> </w:t>
      </w:r>
      <w:r w:rsidRPr="00427EE1">
        <w:t xml:space="preserve">issues related to incomplete building work, protection work on adjoining properties, mandatory notification stages and mandatory inspections of </w:t>
      </w:r>
      <w:r w:rsidR="0023395A">
        <w:t>non</w:t>
      </w:r>
      <w:r w:rsidRPr="00427EE1">
        <w:t>domestic building work.</w:t>
      </w:r>
    </w:p>
    <w:p w:rsidR="00D615BC" w:rsidRPr="00427EE1" w:rsidRDefault="0062128D" w:rsidP="00FE7837">
      <w:r w:rsidRPr="00427EE1">
        <w:lastRenderedPageBreak/>
        <w:t xml:space="preserve">In order to limit the inadvertent lapsing of a building permit that results in building work being undertaken illegally, the proposed </w:t>
      </w:r>
      <w:r w:rsidR="008911CB">
        <w:t>Regulations</w:t>
      </w:r>
      <w:r w:rsidRPr="00427EE1">
        <w:t xml:space="preserve"> require </w:t>
      </w:r>
      <w:r w:rsidR="00AB414E">
        <w:t>RBS</w:t>
      </w:r>
      <w:r w:rsidRPr="00427EE1">
        <w:t xml:space="preserve">s to send the owner and builder a notice of the imminent lapse of a building permit, in certain circumstances, three months before the permit is due to lapse. This practice is currently a best practice but voluntary step. The </w:t>
      </w:r>
      <w:r w:rsidR="00195602">
        <w:t>department</w:t>
      </w:r>
      <w:r w:rsidRPr="00427EE1">
        <w:t xml:space="preserve"> </w:t>
      </w:r>
      <w:r w:rsidR="002772EE">
        <w:t>estimates</w:t>
      </w:r>
      <w:r w:rsidR="004267C5">
        <w:t xml:space="preserve"> </w:t>
      </w:r>
      <w:r w:rsidRPr="00427EE1">
        <w:t xml:space="preserve">an additional 8,000 such notices </w:t>
      </w:r>
      <w:r w:rsidR="002772EE">
        <w:t xml:space="preserve">will </w:t>
      </w:r>
      <w:r w:rsidRPr="00427EE1">
        <w:t xml:space="preserve">be issued annually. The notice will also need to be sent to </w:t>
      </w:r>
      <w:r w:rsidR="00720C4E">
        <w:t>VBA</w:t>
      </w:r>
      <w:r w:rsidRPr="00427EE1">
        <w:t xml:space="preserve"> and the relevant </w:t>
      </w:r>
      <w:r w:rsidR="00195602">
        <w:t>c</w:t>
      </w:r>
      <w:r w:rsidRPr="00427EE1">
        <w:t xml:space="preserve">ouncil. The proposed </w:t>
      </w:r>
      <w:r w:rsidR="008911CB">
        <w:t>Regulations</w:t>
      </w:r>
      <w:r w:rsidRPr="00427EE1">
        <w:t xml:space="preserve"> also allow an applicant to apply in writing for an extension to prevent a permit lapsing.</w:t>
      </w:r>
    </w:p>
    <w:p w:rsidR="0062128D" w:rsidRPr="00427EE1" w:rsidRDefault="0062128D" w:rsidP="00FE7837">
      <w:pPr>
        <w:pStyle w:val="Normalpre-dotpoint"/>
      </w:pPr>
      <w:r w:rsidRPr="00427EE1">
        <w:t>Owners of propert</w:t>
      </w:r>
      <w:r w:rsidR="002772EE">
        <w:t>y</w:t>
      </w:r>
      <w:r w:rsidRPr="00427EE1">
        <w:t xml:space="preserve"> adjoining building works often have insufficient information about protection work</w:t>
      </w:r>
      <w:r w:rsidR="002772EE">
        <w:t xml:space="preserve">, which </w:t>
      </w:r>
      <w:r w:rsidRPr="00427EE1">
        <w:t xml:space="preserve">can lead to delays in the building process. This problem can be addressed by providing additional information to </w:t>
      </w:r>
      <w:r w:rsidR="002772EE">
        <w:t xml:space="preserve">what is </w:t>
      </w:r>
      <w:r w:rsidRPr="00427EE1">
        <w:t>required under the current Regulations, including:</w:t>
      </w:r>
    </w:p>
    <w:p w:rsidR="0062128D" w:rsidRPr="00427EE1" w:rsidRDefault="006757E8" w:rsidP="00FE7837">
      <w:pPr>
        <w:pStyle w:val="Dotpoint"/>
      </w:pPr>
      <w:r>
        <w:t>VBA</w:t>
      </w:r>
      <w:r w:rsidR="002772EE">
        <w:t>-</w:t>
      </w:r>
      <w:r w:rsidR="0062128D" w:rsidRPr="00427EE1">
        <w:t>approved guidance material that clearly explains the operation of the protection work process and the procedure for resolution of any dispute arising as a result of a breakdown in this process</w:t>
      </w:r>
    </w:p>
    <w:p w:rsidR="0062128D" w:rsidRPr="00427EE1" w:rsidRDefault="0062128D" w:rsidP="00FE7837">
      <w:pPr>
        <w:pStyle w:val="Dotpoint"/>
      </w:pPr>
      <w:r w:rsidRPr="00427EE1">
        <w:t>a copy of an allotment plan showing the physical relationship of proposed building work to an adjoining property</w:t>
      </w:r>
    </w:p>
    <w:p w:rsidR="0062128D" w:rsidRPr="00427EE1" w:rsidRDefault="0062128D" w:rsidP="00FE7837">
      <w:pPr>
        <w:pStyle w:val="Dotpointlast"/>
      </w:pPr>
      <w:r w:rsidRPr="00427EE1">
        <w:t>plans and specifications showing how the proposed building work may impact on adjoining property and how the protection work proposed addresses this risk.</w:t>
      </w:r>
    </w:p>
    <w:p w:rsidR="0062128D" w:rsidRPr="00427EE1" w:rsidRDefault="0062128D" w:rsidP="00FE7837">
      <w:pPr>
        <w:pStyle w:val="Normalpre-dotpoint"/>
      </w:pPr>
      <w:r w:rsidRPr="00427EE1">
        <w:t xml:space="preserve">In order to address common building defects related to </w:t>
      </w:r>
      <w:r w:rsidR="002772EE">
        <w:t xml:space="preserve">the </w:t>
      </w:r>
      <w:r w:rsidRPr="00427EE1">
        <w:t xml:space="preserve">construction of a new building, the alteration of an existing building, the demolition or removal of a building </w:t>
      </w:r>
      <w:r w:rsidR="002772EE">
        <w:t xml:space="preserve">or </w:t>
      </w:r>
      <w:r w:rsidRPr="00427EE1">
        <w:t>the construction of a swimming pool, three new mandatory notification stages (increasing the number of such stages from four to seven) will address concerns raise</w:t>
      </w:r>
      <w:r w:rsidR="002772EE">
        <w:t>d</w:t>
      </w:r>
      <w:r w:rsidRPr="00427EE1">
        <w:t xml:space="preserve"> by stakeholders and the high incidence of defects related to waterproofing, fire rating requirements and stormwater drainage systems. The three new mandatory notification stages are:</w:t>
      </w:r>
    </w:p>
    <w:p w:rsidR="0062128D" w:rsidRPr="00427EE1" w:rsidRDefault="00D90FC3" w:rsidP="00FE7837">
      <w:pPr>
        <w:pStyle w:val="Dotpoint"/>
      </w:pPr>
      <w:r>
        <w:t>before</w:t>
      </w:r>
      <w:r w:rsidR="0062128D" w:rsidRPr="00427EE1">
        <w:t xml:space="preserve"> covering walls, floors or ceilings, </w:t>
      </w:r>
      <w:r w:rsidR="002772EE">
        <w:t xml:space="preserve">to check </w:t>
      </w:r>
      <w:r w:rsidR="0062128D" w:rsidRPr="00427EE1">
        <w:t>fire</w:t>
      </w:r>
      <w:r w:rsidR="002772EE">
        <w:t>-</w:t>
      </w:r>
      <w:r w:rsidR="0062128D" w:rsidRPr="00427EE1">
        <w:t>resistance levels comply with the BCA and the structural integrity of the framework has been retained as a result of subsequent work (for example</w:t>
      </w:r>
      <w:r w:rsidR="002772EE">
        <w:t>,</w:t>
      </w:r>
      <w:r w:rsidR="0062128D" w:rsidRPr="00427EE1">
        <w:t xml:space="preserve"> electrical and plumbing work)</w:t>
      </w:r>
    </w:p>
    <w:p w:rsidR="0062128D" w:rsidRPr="00427EE1" w:rsidRDefault="00D90FC3" w:rsidP="00FE7837">
      <w:pPr>
        <w:pStyle w:val="Dotpoint"/>
      </w:pPr>
      <w:r>
        <w:t>before</w:t>
      </w:r>
      <w:r w:rsidR="002D4F87" w:rsidRPr="00427EE1">
        <w:t xml:space="preserve"> </w:t>
      </w:r>
      <w:r w:rsidR="0062128D" w:rsidRPr="00427EE1">
        <w:t>covering waterproofing in wet areas</w:t>
      </w:r>
    </w:p>
    <w:p w:rsidR="0062128D" w:rsidRDefault="0062128D" w:rsidP="00FE7837">
      <w:pPr>
        <w:pStyle w:val="Dotpointlast"/>
      </w:pPr>
      <w:r w:rsidRPr="00427EE1">
        <w:t>completion of any external drainage</w:t>
      </w:r>
      <w:r w:rsidR="002772EE">
        <w:t xml:space="preserve"> </w:t>
      </w:r>
      <w:r w:rsidRPr="00427EE1">
        <w:t>/</w:t>
      </w:r>
      <w:r w:rsidR="002772EE">
        <w:t xml:space="preserve"> </w:t>
      </w:r>
      <w:r w:rsidRPr="00427EE1">
        <w:t>stormwater</w:t>
      </w:r>
      <w:r w:rsidR="008F2FAD">
        <w:t xml:space="preserve"> </w:t>
      </w:r>
      <w:r w:rsidR="008F2FAD" w:rsidRPr="0003768B">
        <w:t>drainage system</w:t>
      </w:r>
      <w:r w:rsidRPr="00427EE1">
        <w:t>.</w:t>
      </w:r>
    </w:p>
    <w:p w:rsidR="0062128D" w:rsidRPr="00427EE1" w:rsidRDefault="0062128D" w:rsidP="00FE7837">
      <w:r w:rsidRPr="00427EE1">
        <w:t>As indicated above, the proposed changes to notification stages aim to address high levels of defects that are evident in contemporary building works. Th</w:t>
      </w:r>
      <w:r w:rsidR="008F2FAD">
        <w:t xml:space="preserve">ey are </w:t>
      </w:r>
      <w:r w:rsidRPr="00427EE1">
        <w:t>proposed even though information available to the department suggests that the decrease in the number of defects that would be needed to balance the additional cost of the Regulation is unlikely to be achieved</w:t>
      </w:r>
      <w:r w:rsidR="008F2FAD">
        <w:t>.</w:t>
      </w:r>
    </w:p>
    <w:p w:rsidR="0062128D" w:rsidRPr="00427EE1" w:rsidRDefault="0062128D" w:rsidP="00FE7837">
      <w:pPr>
        <w:pStyle w:val="Normalpre-dotpoint"/>
      </w:pPr>
      <w:r w:rsidRPr="00427EE1">
        <w:t>Other minor amendments include:</w:t>
      </w:r>
    </w:p>
    <w:p w:rsidR="0062128D" w:rsidRPr="00427EE1" w:rsidRDefault="0062128D" w:rsidP="00FE7837">
      <w:pPr>
        <w:pStyle w:val="Dotpoint"/>
      </w:pPr>
      <w:r w:rsidRPr="00427EE1">
        <w:t>increasing the bond value to $10,000</w:t>
      </w:r>
    </w:p>
    <w:p w:rsidR="0062128D" w:rsidRPr="00427EE1" w:rsidRDefault="00DA2F1B" w:rsidP="00FE7837">
      <w:pPr>
        <w:pStyle w:val="Dotpoint"/>
      </w:pPr>
      <w:r w:rsidRPr="00427EE1">
        <w:t xml:space="preserve">rewording </w:t>
      </w:r>
      <w:r w:rsidR="008911CB">
        <w:t>Regulations</w:t>
      </w:r>
      <w:r w:rsidR="0062128D" w:rsidRPr="00427EE1">
        <w:t xml:space="preserve"> related to specific matters a building surveyor must take into account when deciding if protection work is required and the relationship between the need for protection work and the provision of a </w:t>
      </w:r>
      <w:r w:rsidR="0023395A">
        <w:t xml:space="preserve">s </w:t>
      </w:r>
      <w:r w:rsidR="0062128D" w:rsidRPr="00427EE1">
        <w:t>238 certificate</w:t>
      </w:r>
    </w:p>
    <w:p w:rsidR="0062128D" w:rsidRPr="00427EE1" w:rsidRDefault="0062128D" w:rsidP="00FE7837">
      <w:pPr>
        <w:pStyle w:val="Dotpointlast"/>
      </w:pPr>
      <w:r w:rsidRPr="00427EE1">
        <w:t>requiring additional information in emergency orders</w:t>
      </w:r>
      <w:r w:rsidR="00DA2F1B" w:rsidRPr="00427EE1">
        <w:t>.</w:t>
      </w:r>
    </w:p>
    <w:p w:rsidR="00D615BC" w:rsidRPr="00427EE1" w:rsidRDefault="003448D2" w:rsidP="00C14778">
      <w:pPr>
        <w:pStyle w:val="Heading3"/>
      </w:pPr>
      <w:bookmarkStart w:id="145" w:name="_Toc481501581"/>
      <w:r>
        <w:t>3.1.3</w:t>
      </w:r>
      <w:r>
        <w:tab/>
      </w:r>
      <w:r w:rsidR="0062128D" w:rsidRPr="00427EE1">
        <w:t>Completion</w:t>
      </w:r>
      <w:r w:rsidR="00E60957">
        <w:t xml:space="preserve"> </w:t>
      </w:r>
      <w:r w:rsidR="0062128D" w:rsidRPr="00427EE1">
        <w:t>/</w:t>
      </w:r>
      <w:r w:rsidR="00E60957">
        <w:t xml:space="preserve"> u</w:t>
      </w:r>
      <w:r w:rsidR="0062128D" w:rsidRPr="00427EE1">
        <w:t>se</w:t>
      </w:r>
      <w:bookmarkEnd w:id="145"/>
    </w:p>
    <w:p w:rsidR="00D615BC" w:rsidRPr="00427EE1" w:rsidRDefault="0062128D" w:rsidP="00FE7837">
      <w:r w:rsidRPr="00427EE1">
        <w:t xml:space="preserve">Occupancy certificates or certificates of final inspection variously determine when a building can be occupied, how a building is used and when and how the use of a building may change. </w:t>
      </w:r>
      <w:r w:rsidR="00DA2F1B" w:rsidRPr="00427EE1">
        <w:t xml:space="preserve">An occupancy certificate is necessary if required by a building permit, and a certificate of final inspection is issued where an occupancy certificate is not required. These </w:t>
      </w:r>
      <w:r w:rsidRPr="00427EE1">
        <w:t>certificates are only required for buildings or places that require a building permit.</w:t>
      </w:r>
    </w:p>
    <w:p w:rsidR="0062128D" w:rsidRPr="00427EE1" w:rsidRDefault="0062128D" w:rsidP="00FE7837">
      <w:r w:rsidRPr="00427EE1">
        <w:lastRenderedPageBreak/>
        <w:t xml:space="preserve">The current requirements for </w:t>
      </w:r>
      <w:proofErr w:type="spellStart"/>
      <w:r w:rsidR="00A030CC">
        <w:t>PoPEs</w:t>
      </w:r>
      <w:proofErr w:type="spellEnd"/>
      <w:r w:rsidRPr="00427EE1">
        <w:t xml:space="preserve"> capture ‘</w:t>
      </w:r>
      <w:r w:rsidR="008F2FAD">
        <w:t>p</w:t>
      </w:r>
      <w:r w:rsidRPr="00427EE1">
        <w:t>laces’ that may include a natural or fenced enclosure. Stakeholders have submitted that building surveyors are not well</w:t>
      </w:r>
      <w:r w:rsidR="004E083D">
        <w:t>-</w:t>
      </w:r>
      <w:r w:rsidRPr="00427EE1">
        <w:t xml:space="preserve">placed to assess applications </w:t>
      </w:r>
      <w:r w:rsidR="008F2FAD">
        <w:t xml:space="preserve">about </w:t>
      </w:r>
      <w:r w:rsidRPr="00427EE1">
        <w:t>gatherings and events held in open spaces</w:t>
      </w:r>
      <w:r w:rsidR="008F2FAD">
        <w:t xml:space="preserve"> (</w:t>
      </w:r>
      <w:r w:rsidRPr="00427EE1">
        <w:t>such as parks and gardens</w:t>
      </w:r>
      <w:r w:rsidR="008F2FAD">
        <w:t>)</w:t>
      </w:r>
      <w:r w:rsidRPr="00427EE1">
        <w:t>.</w:t>
      </w:r>
    </w:p>
    <w:p w:rsidR="00D615BC" w:rsidRPr="00427EE1" w:rsidRDefault="0062128D" w:rsidP="00FE7837">
      <w:r w:rsidRPr="00427EE1">
        <w:t xml:space="preserve">Research during the planning stage for the proposed </w:t>
      </w:r>
      <w:r w:rsidR="008911CB">
        <w:t>Regulations</w:t>
      </w:r>
      <w:r w:rsidRPr="00427EE1">
        <w:t xml:space="preserve"> found a lack of understanding </w:t>
      </w:r>
      <w:r w:rsidR="00EB3C72">
        <w:t xml:space="preserve">by </w:t>
      </w:r>
      <w:r w:rsidRPr="00427EE1">
        <w:t>building owners of their maintenance obligations and a lack of compliance with annual reporting requirements.</w:t>
      </w:r>
      <w:r w:rsidR="00D71A15" w:rsidRPr="00427EE1">
        <w:t xml:space="preserve"> </w:t>
      </w:r>
      <w:r w:rsidRPr="00427EE1">
        <w:t xml:space="preserve">These shortcomings arise from complex </w:t>
      </w:r>
      <w:r w:rsidR="008911CB">
        <w:t>Regulations</w:t>
      </w:r>
      <w:r w:rsidRPr="00427EE1">
        <w:t xml:space="preserve"> and lack of clarity around annual reporting.</w:t>
      </w:r>
    </w:p>
    <w:p w:rsidR="0062128D" w:rsidRPr="00427EE1" w:rsidRDefault="0062128D" w:rsidP="00FE7837">
      <w:pPr>
        <w:pStyle w:val="Normalpre-dotpoint"/>
      </w:pPr>
      <w:r w:rsidRPr="00427EE1">
        <w:t xml:space="preserve">The proposed </w:t>
      </w:r>
      <w:r w:rsidR="008911CB">
        <w:t>Regulations</w:t>
      </w:r>
      <w:r w:rsidRPr="00427EE1">
        <w:t>:</w:t>
      </w:r>
    </w:p>
    <w:p w:rsidR="0062128D" w:rsidRPr="00427EE1" w:rsidRDefault="0062128D" w:rsidP="00FE7837">
      <w:pPr>
        <w:pStyle w:val="Dotpoint"/>
      </w:pPr>
      <w:r w:rsidRPr="00427EE1">
        <w:t>set uniform requirements for all buildings by removing historic differences for pre</w:t>
      </w:r>
      <w:r w:rsidR="00EB3C72">
        <w:t>-</w:t>
      </w:r>
      <w:r w:rsidRPr="00427EE1">
        <w:t xml:space="preserve"> and post</w:t>
      </w:r>
      <w:r w:rsidR="00EB3C72">
        <w:t>-</w:t>
      </w:r>
      <w:r w:rsidRPr="00427EE1">
        <w:t>1984 buildings</w:t>
      </w:r>
    </w:p>
    <w:p w:rsidR="0062128D" w:rsidRPr="00427EE1" w:rsidRDefault="0062128D" w:rsidP="00FE7837">
      <w:pPr>
        <w:pStyle w:val="Dotpoint"/>
      </w:pPr>
      <w:r w:rsidRPr="00427EE1">
        <w:t>establish a requirement for a stand-alone maintenance schedule (separate from conditions attached to an occupancy certificate) when an occupancy certificate is issued or amended or a maintenance determination has been issued</w:t>
      </w:r>
    </w:p>
    <w:p w:rsidR="0062128D" w:rsidRPr="00427EE1" w:rsidRDefault="0062128D" w:rsidP="00FE7837">
      <w:pPr>
        <w:pStyle w:val="Dotpoint"/>
      </w:pPr>
      <w:r w:rsidRPr="00427EE1">
        <w:t>provide for approved forms and prescribed information requirements for annual reporting</w:t>
      </w:r>
      <w:r w:rsidR="00EB3C72">
        <w:t>,</w:t>
      </w:r>
      <w:r w:rsidRPr="00427EE1">
        <w:t xml:space="preserve"> in order to streamline reporting and reduce administrative burden</w:t>
      </w:r>
    </w:p>
    <w:p w:rsidR="0062128D" w:rsidRPr="00427EE1" w:rsidRDefault="0062128D" w:rsidP="00FE7837">
      <w:pPr>
        <w:pStyle w:val="Dotpointlast"/>
      </w:pPr>
      <w:r w:rsidRPr="00427EE1">
        <w:t xml:space="preserve">provide for approved forms for the stand-alone </w:t>
      </w:r>
      <w:r w:rsidR="00EB3C72">
        <w:t>m</w:t>
      </w:r>
      <w:r w:rsidRPr="00427EE1">
        <w:t xml:space="preserve">aintenance </w:t>
      </w:r>
      <w:r w:rsidR="00EB3C72">
        <w:t>s</w:t>
      </w:r>
      <w:r w:rsidRPr="00427EE1">
        <w:t>chedule to reduce administrative burden.</w:t>
      </w:r>
    </w:p>
    <w:p w:rsidR="0062128D" w:rsidRPr="00427EE1" w:rsidRDefault="0062128D" w:rsidP="00FE7837">
      <w:r w:rsidRPr="00427EE1">
        <w:t>Further, stakeholder consultation</w:t>
      </w:r>
      <w:r w:rsidR="00EB3C72">
        <w:t>s</w:t>
      </w:r>
      <w:r w:rsidRPr="00427EE1">
        <w:t xml:space="preserve"> indicate that, while reliable information does not exist as to the location, age, state and type of swimming pool and spa barriers in Victoria, swimming pool and spa barrier requirements are complex and confusing with three design standards for pool</w:t>
      </w:r>
      <w:r w:rsidR="00EB3C72">
        <w:t>s</w:t>
      </w:r>
      <w:r w:rsidRPr="00427EE1">
        <w:t xml:space="preserve"> and spa barriers applying in Victoria</w:t>
      </w:r>
      <w:r w:rsidR="00EB3C72">
        <w:t>,</w:t>
      </w:r>
      <w:r w:rsidRPr="00427EE1">
        <w:t xml:space="preserve"> depending on when the pool or spa was constructed</w:t>
      </w:r>
      <w:r w:rsidR="00EB3C72">
        <w:t>.</w:t>
      </w:r>
    </w:p>
    <w:p w:rsidR="0062128D" w:rsidRPr="00427EE1" w:rsidRDefault="00DA2F1B" w:rsidP="00FE7837">
      <w:r w:rsidRPr="00427EE1">
        <w:t xml:space="preserve">The proposed </w:t>
      </w:r>
      <w:r w:rsidR="008911CB">
        <w:t>Regulations</w:t>
      </w:r>
      <w:r w:rsidR="0062128D" w:rsidRPr="00427EE1">
        <w:t xml:space="preserve"> </w:t>
      </w:r>
      <w:r w:rsidRPr="00427EE1">
        <w:t xml:space="preserve">will </w:t>
      </w:r>
      <w:r w:rsidR="0062128D" w:rsidRPr="00427EE1">
        <w:t>require all pools and spas to erect a barrier that complies with the most recent Australian Standard, AS 1926.1-2007 (a four-sided isolation barrier). Existing barriers that do not comply with AS 1926.1-</w:t>
      </w:r>
      <w:r w:rsidR="0062128D" w:rsidRPr="00EB3C72">
        <w:t>2007 would</w:t>
      </w:r>
      <w:r w:rsidR="0062128D" w:rsidRPr="00427EE1">
        <w:t xml:space="preserve"> need to be replaced or substantially updated to comply with the requirements </w:t>
      </w:r>
      <w:r w:rsidR="00EB3C72">
        <w:t xml:space="preserve">of </w:t>
      </w:r>
      <w:r w:rsidR="0062128D" w:rsidRPr="00427EE1">
        <w:t>the Australian Standard</w:t>
      </w:r>
      <w:r w:rsidR="00480D93" w:rsidRPr="00427EE1">
        <w:t>.</w:t>
      </w:r>
    </w:p>
    <w:p w:rsidR="0062128D" w:rsidRPr="00427EE1" w:rsidRDefault="0062128D" w:rsidP="00FE7837">
      <w:pPr>
        <w:pStyle w:val="Normalpre-dotpoint"/>
      </w:pPr>
      <w:r w:rsidRPr="00427EE1">
        <w:t>Other minor changes include:</w:t>
      </w:r>
    </w:p>
    <w:p w:rsidR="0062128D" w:rsidRPr="00427EE1" w:rsidRDefault="0062128D" w:rsidP="00FE7837">
      <w:pPr>
        <w:pStyle w:val="Dotpoint"/>
      </w:pPr>
      <w:r w:rsidRPr="00427EE1">
        <w:t>clarifying obligations in the</w:t>
      </w:r>
      <w:r w:rsidR="00DA2F1B" w:rsidRPr="00427EE1">
        <w:t xml:space="preserve"> </w:t>
      </w:r>
      <w:r w:rsidRPr="00427EE1">
        <w:t xml:space="preserve">Act and </w:t>
      </w:r>
      <w:r w:rsidR="008911CB">
        <w:t>Regulations</w:t>
      </w:r>
      <w:r w:rsidRPr="00427EE1">
        <w:t xml:space="preserve"> </w:t>
      </w:r>
      <w:r w:rsidR="00DA2F1B" w:rsidRPr="00427EE1">
        <w:t xml:space="preserve">which </w:t>
      </w:r>
      <w:r w:rsidRPr="00427EE1">
        <w:t>r</w:t>
      </w:r>
      <w:r w:rsidR="00DA2F1B" w:rsidRPr="00427EE1">
        <w:t>equire</w:t>
      </w:r>
      <w:r w:rsidRPr="00427EE1">
        <w:t xml:space="preserve"> additional information to be lodged with </w:t>
      </w:r>
      <w:r w:rsidR="00EB3C72">
        <w:t xml:space="preserve">a </w:t>
      </w:r>
      <w:r w:rsidRPr="00427EE1">
        <w:t>council</w:t>
      </w:r>
    </w:p>
    <w:p w:rsidR="00D615BC" w:rsidRPr="00427EE1" w:rsidRDefault="0062128D" w:rsidP="00FE7837">
      <w:pPr>
        <w:pStyle w:val="Dotpoint"/>
      </w:pPr>
      <w:r w:rsidRPr="00427EE1">
        <w:t xml:space="preserve">improvements to current </w:t>
      </w:r>
      <w:r w:rsidR="00EB3C72">
        <w:t>f</w:t>
      </w:r>
      <w:r w:rsidRPr="00427EE1">
        <w:t xml:space="preserve">orm 5 (Application for an </w:t>
      </w:r>
      <w:r w:rsidR="00EB3C72">
        <w:t>o</w:t>
      </w:r>
      <w:r w:rsidRPr="00427EE1">
        <w:t xml:space="preserve">ccupancy </w:t>
      </w:r>
      <w:r w:rsidR="00EB3C72">
        <w:t>p</w:t>
      </w:r>
      <w:r w:rsidRPr="00427EE1">
        <w:t xml:space="preserve">ermit), </w:t>
      </w:r>
      <w:r w:rsidR="00EB3C72">
        <w:t>f</w:t>
      </w:r>
      <w:r w:rsidRPr="00427EE1">
        <w:t xml:space="preserve">orm 6 (Occupancy </w:t>
      </w:r>
      <w:r w:rsidR="00EB3C72">
        <w:t>p</w:t>
      </w:r>
      <w:r w:rsidRPr="00427EE1">
        <w:t xml:space="preserve">ermit) and </w:t>
      </w:r>
      <w:r w:rsidR="00EB3C72">
        <w:t>f</w:t>
      </w:r>
      <w:r w:rsidRPr="00427EE1">
        <w:t xml:space="preserve">orm 7 (Certificate of </w:t>
      </w:r>
      <w:r w:rsidR="00EB3C72">
        <w:t>f</w:t>
      </w:r>
      <w:r w:rsidRPr="00427EE1">
        <w:t xml:space="preserve">inal </w:t>
      </w:r>
      <w:r w:rsidR="00EB3C72">
        <w:t>i</w:t>
      </w:r>
      <w:r w:rsidRPr="00427EE1">
        <w:t>nspection).</w:t>
      </w:r>
    </w:p>
    <w:p w:rsidR="0062128D" w:rsidRPr="00427EE1" w:rsidRDefault="0062128D" w:rsidP="00FE7837">
      <w:pPr>
        <w:pStyle w:val="Dotpointlast"/>
      </w:pPr>
      <w:r w:rsidRPr="00427EE1">
        <w:t xml:space="preserve">removing the Melbourne Cricket Ground as a prescribed </w:t>
      </w:r>
      <w:proofErr w:type="spellStart"/>
      <w:r w:rsidR="00EB3C72">
        <w:t>PoPE</w:t>
      </w:r>
      <w:proofErr w:type="spellEnd"/>
      <w:r w:rsidR="00EB3C72">
        <w:t xml:space="preserve"> </w:t>
      </w:r>
      <w:r w:rsidRPr="00427EE1">
        <w:t xml:space="preserve">under </w:t>
      </w:r>
      <w:proofErr w:type="spellStart"/>
      <w:r w:rsidR="003902AD">
        <w:t>reg</w:t>
      </w:r>
      <w:proofErr w:type="spellEnd"/>
      <w:r w:rsidR="003902AD">
        <w:t xml:space="preserve"> 1</w:t>
      </w:r>
      <w:r w:rsidRPr="00427EE1">
        <w:t xml:space="preserve">103(b) </w:t>
      </w:r>
      <w:r w:rsidR="00DA2F1B" w:rsidRPr="00427EE1">
        <w:t xml:space="preserve">of the </w:t>
      </w:r>
      <w:r w:rsidR="008911CB">
        <w:t>c</w:t>
      </w:r>
      <w:r w:rsidR="00195602">
        <w:t>urrent Regulations</w:t>
      </w:r>
      <w:r w:rsidR="00DA2F1B" w:rsidRPr="00427EE1">
        <w:t xml:space="preserve"> </w:t>
      </w:r>
      <w:r w:rsidRPr="00427EE1">
        <w:t>to provide for consistency with the treatment of other sports grounds</w:t>
      </w:r>
      <w:r w:rsidR="00EB3C72">
        <w:t>.</w:t>
      </w:r>
    </w:p>
    <w:p w:rsidR="0062128D" w:rsidRPr="00427EE1" w:rsidRDefault="003448D2" w:rsidP="00C14778">
      <w:pPr>
        <w:pStyle w:val="Heading3"/>
      </w:pPr>
      <w:bookmarkStart w:id="146" w:name="_Toc481501582"/>
      <w:r>
        <w:t>3.1.4</w:t>
      </w:r>
      <w:r>
        <w:tab/>
      </w:r>
      <w:r w:rsidR="0062128D" w:rsidRPr="00427EE1">
        <w:t xml:space="preserve">Building </w:t>
      </w:r>
      <w:r w:rsidR="007837CC">
        <w:t>p</w:t>
      </w:r>
      <w:r w:rsidR="0062128D" w:rsidRPr="00427EE1">
        <w:t xml:space="preserve">ractitioner </w:t>
      </w:r>
      <w:r w:rsidR="007837CC">
        <w:t>r</w:t>
      </w:r>
      <w:r w:rsidR="0062128D" w:rsidRPr="00427EE1">
        <w:t>egistration</w:t>
      </w:r>
      <w:bookmarkEnd w:id="146"/>
    </w:p>
    <w:p w:rsidR="0062128D" w:rsidRPr="00427EE1" w:rsidRDefault="0062128D" w:rsidP="00FE7837">
      <w:r w:rsidRPr="00427EE1">
        <w:t xml:space="preserve">The proposed </w:t>
      </w:r>
      <w:r w:rsidR="008911CB">
        <w:t>Regulations</w:t>
      </w:r>
      <w:r w:rsidRPr="00427EE1">
        <w:t xml:space="preserve"> aim to minimise the need for </w:t>
      </w:r>
      <w:r w:rsidR="00720C4E">
        <w:t>VBA</w:t>
      </w:r>
      <w:r w:rsidRPr="00427EE1">
        <w:t xml:space="preserve"> to request additional information from applicants for registration by providing a form </w:t>
      </w:r>
      <w:r w:rsidR="00D90FC3">
        <w:t>for</w:t>
      </w:r>
      <w:r w:rsidRPr="00427EE1">
        <w:t xml:space="preserve"> applying for registration and stipulating the information that must be provided with the form including matters such as proof of identity, work or employment history and certified copies of certificates.</w:t>
      </w:r>
    </w:p>
    <w:p w:rsidR="0062128D" w:rsidRPr="003448D2" w:rsidRDefault="00C76C4C" w:rsidP="00FE7837">
      <w:pPr>
        <w:rPr>
          <w:szCs w:val="20"/>
        </w:rPr>
      </w:pPr>
      <w:r w:rsidRPr="003448D2">
        <w:rPr>
          <w:szCs w:val="20"/>
        </w:rPr>
        <w:t>F</w:t>
      </w:r>
      <w:r w:rsidR="0062128D" w:rsidRPr="003448D2">
        <w:rPr>
          <w:szCs w:val="20"/>
        </w:rPr>
        <w:t xml:space="preserve">urther changes to </w:t>
      </w:r>
      <w:r w:rsidR="008911CB" w:rsidRPr="003448D2">
        <w:rPr>
          <w:szCs w:val="20"/>
        </w:rPr>
        <w:t>Regulations</w:t>
      </w:r>
      <w:r w:rsidR="0062128D" w:rsidRPr="003448D2">
        <w:rPr>
          <w:szCs w:val="20"/>
        </w:rPr>
        <w:t xml:space="preserve"> related to building practitioner registration will come into effect on 1 July 2017 </w:t>
      </w:r>
      <w:r w:rsidR="00480D93" w:rsidRPr="003448D2">
        <w:rPr>
          <w:szCs w:val="20"/>
        </w:rPr>
        <w:t xml:space="preserve">following the </w:t>
      </w:r>
      <w:r w:rsidR="00D90FC3" w:rsidRPr="003448D2">
        <w:rPr>
          <w:szCs w:val="20"/>
        </w:rPr>
        <w:t>start</w:t>
      </w:r>
      <w:r w:rsidR="00480D93" w:rsidRPr="003448D2">
        <w:rPr>
          <w:szCs w:val="20"/>
        </w:rPr>
        <w:t xml:space="preserve"> of the balance of the </w:t>
      </w:r>
      <w:r w:rsidR="00AC1A59" w:rsidRPr="003448D2">
        <w:rPr>
          <w:i/>
          <w:szCs w:val="20"/>
        </w:rPr>
        <w:t>Building Legislation Amendment (Enforcement and Other Measures) Act 2016</w:t>
      </w:r>
      <w:r w:rsidR="0062128D" w:rsidRPr="003448D2">
        <w:rPr>
          <w:szCs w:val="20"/>
        </w:rPr>
        <w:t>.</w:t>
      </w:r>
    </w:p>
    <w:p w:rsidR="002D5E35" w:rsidRDefault="002D5E35">
      <w:pPr>
        <w:spacing w:after="0"/>
        <w:rPr>
          <w:szCs w:val="20"/>
        </w:rPr>
      </w:pPr>
      <w:r>
        <w:rPr>
          <w:szCs w:val="20"/>
        </w:rPr>
        <w:br w:type="page"/>
      </w:r>
    </w:p>
    <w:p w:rsidR="0062128D" w:rsidRPr="00427EE1" w:rsidRDefault="00C85828" w:rsidP="00FE7837">
      <w:r w:rsidRPr="003448D2">
        <w:rPr>
          <w:szCs w:val="20"/>
        </w:rPr>
        <w:lastRenderedPageBreak/>
        <w:t xml:space="preserve">Currently the fees and charges in relation to building practitioners are being remade, as they currently are in the </w:t>
      </w:r>
      <w:r w:rsidR="00C76C4C" w:rsidRPr="003448D2">
        <w:rPr>
          <w:szCs w:val="20"/>
        </w:rPr>
        <w:t>c</w:t>
      </w:r>
      <w:r w:rsidR="00195602" w:rsidRPr="003448D2">
        <w:rPr>
          <w:szCs w:val="20"/>
        </w:rPr>
        <w:t>urrent Regulations</w:t>
      </w:r>
      <w:r w:rsidRPr="003448D2">
        <w:rPr>
          <w:szCs w:val="20"/>
        </w:rPr>
        <w:t xml:space="preserve">, without any changes. Once these changes have come into effect and </w:t>
      </w:r>
      <w:r w:rsidR="00720C4E">
        <w:rPr>
          <w:szCs w:val="20"/>
        </w:rPr>
        <w:t>VBA</w:t>
      </w:r>
      <w:r w:rsidRPr="003448D2">
        <w:rPr>
          <w:szCs w:val="20"/>
        </w:rPr>
        <w:t xml:space="preserve"> has undertaken a review of services, taking into account</w:t>
      </w:r>
      <w:r w:rsidRPr="00427EE1">
        <w:t xml:space="preserve"> </w:t>
      </w:r>
      <w:r w:rsidR="0079412C" w:rsidRPr="00427EE1">
        <w:t xml:space="preserve">the efficiencies derived </w:t>
      </w:r>
      <w:r w:rsidR="00C76C4C">
        <w:t xml:space="preserve">by </w:t>
      </w:r>
      <w:r w:rsidR="0079412C" w:rsidRPr="00427EE1">
        <w:t>establishing a modern information technology platform to manage business information requirements</w:t>
      </w:r>
      <w:r w:rsidRPr="00427EE1">
        <w:t xml:space="preserve">, </w:t>
      </w:r>
      <w:r w:rsidR="0079412C" w:rsidRPr="00427EE1">
        <w:t xml:space="preserve">consideration of fees and charges relating to the registration </w:t>
      </w:r>
      <w:r w:rsidR="00C76C4C">
        <w:t xml:space="preserve">of </w:t>
      </w:r>
      <w:r w:rsidR="0079412C" w:rsidRPr="00427EE1">
        <w:t>building practitioner</w:t>
      </w:r>
      <w:r w:rsidR="00C76C4C">
        <w:t>s</w:t>
      </w:r>
      <w:r w:rsidR="0079412C" w:rsidRPr="00427EE1">
        <w:t xml:space="preserve"> </w:t>
      </w:r>
      <w:r w:rsidRPr="00427EE1">
        <w:t xml:space="preserve">will be assessed. This review is part of the proposed work </w:t>
      </w:r>
      <w:r w:rsidR="00C76C4C">
        <w:t xml:space="preserve">explained </w:t>
      </w:r>
      <w:r w:rsidRPr="00427EE1">
        <w:t xml:space="preserve">in Chapter </w:t>
      </w:r>
      <w:r w:rsidR="001D5119">
        <w:t>A</w:t>
      </w:r>
      <w:r w:rsidRPr="00427EE1">
        <w:t>3.</w:t>
      </w:r>
      <w:r w:rsidR="001D5119">
        <w:t>7</w:t>
      </w:r>
      <w:r w:rsidRPr="00427EE1">
        <w:t xml:space="preserve"> </w:t>
      </w:r>
      <w:r w:rsidR="001D5119">
        <w:t>Regulatory fee review</w:t>
      </w:r>
      <w:r w:rsidRPr="00427EE1">
        <w:t>.</w:t>
      </w:r>
    </w:p>
    <w:p w:rsidR="004F7D03" w:rsidRPr="00427EE1" w:rsidRDefault="003448D2" w:rsidP="00C14778">
      <w:pPr>
        <w:pStyle w:val="Heading2"/>
      </w:pPr>
      <w:bookmarkStart w:id="147" w:name="_Toc481501583"/>
      <w:r>
        <w:t>3.2</w:t>
      </w:r>
      <w:r>
        <w:tab/>
      </w:r>
      <w:r w:rsidR="004F7D03" w:rsidRPr="00427EE1">
        <w:t>Summary of proposed Regulations</w:t>
      </w:r>
      <w:bookmarkEnd w:id="147"/>
    </w:p>
    <w:p w:rsidR="00C94110" w:rsidRDefault="004267C5" w:rsidP="00FE7837">
      <w:r>
        <w:t xml:space="preserve">RIS </w:t>
      </w:r>
      <w:r w:rsidR="00FC2736" w:rsidRPr="00427EE1">
        <w:t xml:space="preserve">Parts B and C </w:t>
      </w:r>
      <w:r w:rsidR="004F7D03" w:rsidRPr="00427EE1">
        <w:t xml:space="preserve">demonstrate the </w:t>
      </w:r>
      <w:r w:rsidR="00195602">
        <w:t>department</w:t>
      </w:r>
      <w:r w:rsidR="005A6761" w:rsidRPr="00427EE1">
        <w:t xml:space="preserve"> </w:t>
      </w:r>
      <w:r w:rsidR="00C94110">
        <w:t xml:space="preserve">considers </w:t>
      </w:r>
      <w:r w:rsidR="005A6761" w:rsidRPr="00427EE1">
        <w:t xml:space="preserve">the </w:t>
      </w:r>
      <w:r w:rsidR="008911CB">
        <w:t>proposed Regulations</w:t>
      </w:r>
      <w:r w:rsidR="004F7D03" w:rsidRPr="00427EE1">
        <w:t xml:space="preserve"> </w:t>
      </w:r>
      <w:r w:rsidR="005A6761" w:rsidRPr="00427EE1">
        <w:t xml:space="preserve">will </w:t>
      </w:r>
      <w:r w:rsidR="004F7D03" w:rsidRPr="00427EE1">
        <w:t>have the highest net benefit of all the options</w:t>
      </w:r>
      <w:r w:rsidR="005A6761" w:rsidRPr="00427EE1">
        <w:t xml:space="preserve"> examined</w:t>
      </w:r>
      <w:r w:rsidR="002943BB" w:rsidRPr="00427EE1">
        <w:t xml:space="preserve">. While </w:t>
      </w:r>
      <w:r w:rsidR="005A6761" w:rsidRPr="00427EE1">
        <w:t xml:space="preserve">data are lacking in many cases, this conclusion reflects various judgements and assumptions made </w:t>
      </w:r>
      <w:r w:rsidR="00E5237C" w:rsidRPr="00427EE1">
        <w:t>by</w:t>
      </w:r>
      <w:r w:rsidR="005A6761" w:rsidRPr="00427EE1">
        <w:t xml:space="preserve"> the </w:t>
      </w:r>
      <w:r w:rsidR="00195602">
        <w:t>department</w:t>
      </w:r>
      <w:r w:rsidR="004F7D03" w:rsidRPr="00427EE1">
        <w:t xml:space="preserve">. </w:t>
      </w:r>
    </w:p>
    <w:p w:rsidR="00E657D7" w:rsidRDefault="004F7D03">
      <w:pPr>
        <w:tabs>
          <w:tab w:val="left" w:pos="3686"/>
        </w:tabs>
      </w:pPr>
      <w:r w:rsidRPr="00427EE1">
        <w:t>This section summarises the proposed Regulations.</w:t>
      </w:r>
    </w:p>
    <w:p w:rsidR="00E657D7" w:rsidRDefault="004267C5">
      <w:pPr>
        <w:pStyle w:val="Heading5"/>
      </w:pPr>
      <w:r>
        <w:t xml:space="preserve">Pt </w:t>
      </w:r>
      <w:r w:rsidR="004F7D03" w:rsidRPr="00427EE1">
        <w:t xml:space="preserve">1 </w:t>
      </w:r>
      <w:r w:rsidR="0023395A" w:rsidRPr="00427EE1">
        <w:t xml:space="preserve">– </w:t>
      </w:r>
      <w:r w:rsidR="004F7D03" w:rsidRPr="00427EE1">
        <w:t>Preliminary</w:t>
      </w:r>
    </w:p>
    <w:p w:rsidR="00D615BC" w:rsidRPr="00427EE1" w:rsidRDefault="004267C5" w:rsidP="00FE7837">
      <w:r>
        <w:t xml:space="preserve">Pt </w:t>
      </w:r>
      <w:r w:rsidR="004F7D03" w:rsidRPr="00427EE1">
        <w:t xml:space="preserve">1 sets out the objectives of the </w:t>
      </w:r>
      <w:r w:rsidR="008911CB">
        <w:t>proposed Regulations</w:t>
      </w:r>
      <w:r w:rsidR="004F7D03" w:rsidRPr="00427EE1">
        <w:t xml:space="preserve">, defines terms </w:t>
      </w:r>
      <w:r w:rsidR="00D764E7" w:rsidRPr="00427EE1">
        <w:t xml:space="preserve">used in the </w:t>
      </w:r>
      <w:r w:rsidR="008911CB">
        <w:t>Regulations</w:t>
      </w:r>
      <w:r w:rsidR="00D764E7" w:rsidRPr="00427EE1">
        <w:t xml:space="preserve"> and provide for the application of the </w:t>
      </w:r>
      <w:r w:rsidR="008911CB">
        <w:t>proposed Regulations</w:t>
      </w:r>
      <w:r w:rsidR="00D764E7" w:rsidRPr="00427EE1">
        <w:t xml:space="preserve"> subject to industry</w:t>
      </w:r>
      <w:r w:rsidR="00C94110">
        <w:t>-</w:t>
      </w:r>
      <w:r w:rsidR="00D764E7" w:rsidRPr="00427EE1">
        <w:t>standard tolerances.</w:t>
      </w:r>
    </w:p>
    <w:p w:rsidR="00E657D7" w:rsidRDefault="004267C5">
      <w:pPr>
        <w:pStyle w:val="Heading5"/>
      </w:pPr>
      <w:r>
        <w:t xml:space="preserve">Pt </w:t>
      </w:r>
      <w:r w:rsidR="0087397A" w:rsidRPr="00427EE1">
        <w:t>2 – Building Code of Australia</w:t>
      </w:r>
    </w:p>
    <w:p w:rsidR="00D615BC" w:rsidRPr="00427EE1" w:rsidRDefault="004267C5" w:rsidP="00FE7837">
      <w:r>
        <w:t xml:space="preserve">Pt </w:t>
      </w:r>
      <w:r w:rsidR="00D764E7" w:rsidRPr="00427EE1">
        <w:t xml:space="preserve">2 provides for the adoption of the </w:t>
      </w:r>
      <w:r w:rsidR="00C94110">
        <w:t xml:space="preserve">BCA </w:t>
      </w:r>
      <w:r w:rsidR="00D764E7" w:rsidRPr="00427EE1">
        <w:t>and the classification of buildings.</w:t>
      </w:r>
    </w:p>
    <w:p w:rsidR="00E657D7" w:rsidRDefault="004267C5">
      <w:pPr>
        <w:pStyle w:val="Heading5"/>
      </w:pPr>
      <w:r>
        <w:t xml:space="preserve">Pt </w:t>
      </w:r>
      <w:r w:rsidR="0087397A" w:rsidRPr="00427EE1">
        <w:t>3</w:t>
      </w:r>
      <w:r w:rsidR="004F7D03" w:rsidRPr="00427EE1">
        <w:t xml:space="preserve"> – Owner-</w:t>
      </w:r>
      <w:r w:rsidR="007837CC">
        <w:t>b</w:t>
      </w:r>
      <w:r w:rsidR="004F7D03" w:rsidRPr="00427EE1">
        <w:t>uilders</w:t>
      </w:r>
    </w:p>
    <w:p w:rsidR="004F7D03" w:rsidRPr="00427EE1" w:rsidRDefault="004267C5" w:rsidP="00D06608">
      <w:r>
        <w:t xml:space="preserve">Pt </w:t>
      </w:r>
      <w:r w:rsidR="00C94110">
        <w:t>3</w:t>
      </w:r>
      <w:r w:rsidR="004F7D03" w:rsidRPr="00427EE1">
        <w:t xml:space="preserve"> sets out the information </w:t>
      </w:r>
      <w:r w:rsidR="00D764E7" w:rsidRPr="00427EE1">
        <w:t xml:space="preserve">requirements </w:t>
      </w:r>
      <w:r w:rsidR="004F7D03" w:rsidRPr="00427EE1">
        <w:t>for certificate</w:t>
      </w:r>
      <w:r w:rsidR="00D764E7" w:rsidRPr="00427EE1">
        <w:t>s</w:t>
      </w:r>
      <w:r w:rsidR="004F7D03" w:rsidRPr="00427EE1">
        <w:t xml:space="preserve"> of consent, application fee</w:t>
      </w:r>
      <w:r w:rsidR="00D764E7" w:rsidRPr="00427EE1">
        <w:t>s</w:t>
      </w:r>
      <w:r w:rsidR="004F7D03" w:rsidRPr="00427EE1">
        <w:t xml:space="preserve"> for a certificate of consent</w:t>
      </w:r>
      <w:r w:rsidR="00D764E7" w:rsidRPr="00427EE1">
        <w:t xml:space="preserve"> and the knowledge requirements for owner-builders. </w:t>
      </w:r>
      <w:r w:rsidR="004F7D03" w:rsidRPr="00427EE1">
        <w:t xml:space="preserve">It also </w:t>
      </w:r>
      <w:r w:rsidR="00D764E7" w:rsidRPr="00427EE1">
        <w:t xml:space="preserve">provides for </w:t>
      </w:r>
      <w:r w:rsidR="00720C4E">
        <w:t>VBA</w:t>
      </w:r>
      <w:r w:rsidR="00D764E7" w:rsidRPr="00427EE1">
        <w:t xml:space="preserve"> </w:t>
      </w:r>
      <w:r w:rsidR="004F7D03" w:rsidRPr="00427EE1">
        <w:t>to keep a register of certificates of consent.</w:t>
      </w:r>
    </w:p>
    <w:p w:rsidR="00E657D7" w:rsidRDefault="004267C5">
      <w:pPr>
        <w:pStyle w:val="Heading5"/>
      </w:pPr>
      <w:r>
        <w:t xml:space="preserve">Pt </w:t>
      </w:r>
      <w:r w:rsidR="0087397A" w:rsidRPr="00427EE1">
        <w:t>4 – Combined allotments</w:t>
      </w:r>
    </w:p>
    <w:p w:rsidR="0087397A" w:rsidRPr="00427EE1" w:rsidRDefault="004267C5" w:rsidP="00D06608">
      <w:r>
        <w:t xml:space="preserve">Pt </w:t>
      </w:r>
      <w:r w:rsidR="00C94110">
        <w:t xml:space="preserve">4 </w:t>
      </w:r>
      <w:r w:rsidR="00D764E7" w:rsidRPr="00427EE1">
        <w:t xml:space="preserve">provides for applications to treat combined allotments as a single allotment. It </w:t>
      </w:r>
      <w:r w:rsidR="0087397A" w:rsidRPr="00427EE1">
        <w:t xml:space="preserve">sets out design requirements and the responsibilities of </w:t>
      </w:r>
      <w:r w:rsidR="00AC0013">
        <w:t xml:space="preserve">a </w:t>
      </w:r>
      <w:r w:rsidR="00296466">
        <w:t>MBS</w:t>
      </w:r>
      <w:r w:rsidR="0087397A" w:rsidRPr="00427EE1">
        <w:t xml:space="preserve"> relating to combined allotments</w:t>
      </w:r>
      <w:r w:rsidR="001F1194" w:rsidRPr="00427EE1">
        <w:t>.</w:t>
      </w:r>
    </w:p>
    <w:p w:rsidR="00E657D7" w:rsidRDefault="004267C5">
      <w:pPr>
        <w:pStyle w:val="Heading5"/>
      </w:pPr>
      <w:r>
        <w:t xml:space="preserve">Pt </w:t>
      </w:r>
      <w:r w:rsidR="0087397A" w:rsidRPr="00427EE1">
        <w:t>5</w:t>
      </w:r>
      <w:r w:rsidR="004F7D03" w:rsidRPr="00427EE1">
        <w:t xml:space="preserve"> – Building </w:t>
      </w:r>
      <w:r w:rsidR="007837CC">
        <w:t>p</w:t>
      </w:r>
      <w:r w:rsidR="004F7D03" w:rsidRPr="00427EE1">
        <w:t>ermits</w:t>
      </w:r>
    </w:p>
    <w:p w:rsidR="004F7D03" w:rsidRPr="00427EE1" w:rsidRDefault="004267C5" w:rsidP="00D06608">
      <w:pPr>
        <w:pStyle w:val="Normalpre-dotpoint"/>
      </w:pPr>
      <w:r>
        <w:t xml:space="preserve">Pt </w:t>
      </w:r>
      <w:r w:rsidR="00C94110">
        <w:t xml:space="preserve">5 </w:t>
      </w:r>
      <w:r w:rsidR="004F7D03" w:rsidRPr="00427EE1">
        <w:t>relat</w:t>
      </w:r>
      <w:r w:rsidR="00C94110">
        <w:t>es</w:t>
      </w:r>
      <w:r w:rsidR="004F7D03" w:rsidRPr="00427EE1">
        <w:t xml:space="preserve"> to building permits, including:</w:t>
      </w:r>
    </w:p>
    <w:p w:rsidR="004F7D03" w:rsidRPr="00427EE1" w:rsidRDefault="004F7D03" w:rsidP="00D06608">
      <w:pPr>
        <w:pStyle w:val="Dotpoint"/>
      </w:pPr>
      <w:r w:rsidRPr="00427EE1">
        <w:t>applications for building permits and the prescribed form for applications</w:t>
      </w:r>
    </w:p>
    <w:p w:rsidR="004F7D03" w:rsidRPr="00427EE1" w:rsidRDefault="004F7D03" w:rsidP="00D06608">
      <w:pPr>
        <w:pStyle w:val="Dotpoint"/>
      </w:pPr>
      <w:r w:rsidRPr="00427EE1">
        <w:t>exemptions for building permits for a stage of building work</w:t>
      </w:r>
    </w:p>
    <w:p w:rsidR="00B2432A" w:rsidRPr="00427EE1" w:rsidRDefault="00B2432A" w:rsidP="00D06608">
      <w:pPr>
        <w:pStyle w:val="Dotpoint"/>
      </w:pPr>
      <w:r w:rsidRPr="00427EE1">
        <w:t>report or consent of reporting authorities</w:t>
      </w:r>
    </w:p>
    <w:p w:rsidR="004F7D03" w:rsidRPr="00427EE1" w:rsidRDefault="004F7D03" w:rsidP="00D06608">
      <w:pPr>
        <w:pStyle w:val="Dotpoint"/>
      </w:pPr>
      <w:r w:rsidRPr="00427EE1">
        <w:t xml:space="preserve">prescribed </w:t>
      </w:r>
      <w:r w:rsidR="00B2432A" w:rsidRPr="00427EE1">
        <w:t xml:space="preserve">reporting </w:t>
      </w:r>
      <w:r w:rsidRPr="00427EE1">
        <w:t>authorities</w:t>
      </w:r>
    </w:p>
    <w:p w:rsidR="00B2432A" w:rsidRPr="00427EE1" w:rsidRDefault="00B2432A" w:rsidP="00D06608">
      <w:pPr>
        <w:pStyle w:val="Dotpoint"/>
      </w:pPr>
      <w:r w:rsidRPr="00427EE1">
        <w:t>the issue of building permits</w:t>
      </w:r>
    </w:p>
    <w:p w:rsidR="00B2432A" w:rsidRPr="00427EE1" w:rsidRDefault="00B2432A" w:rsidP="00D06608">
      <w:pPr>
        <w:pStyle w:val="Dotpoint"/>
      </w:pPr>
      <w:r w:rsidRPr="00427EE1">
        <w:t>requirements to make permits and related documents available and to display permit information at the allotment concerned</w:t>
      </w:r>
    </w:p>
    <w:p w:rsidR="004F7D03" w:rsidRPr="00427EE1" w:rsidRDefault="004F7D03" w:rsidP="00D06608">
      <w:pPr>
        <w:pStyle w:val="Dotpoint"/>
      </w:pPr>
      <w:r w:rsidRPr="00427EE1">
        <w:t xml:space="preserve">the duties of </w:t>
      </w:r>
      <w:r w:rsidR="00C94110">
        <w:t xml:space="preserve">a </w:t>
      </w:r>
      <w:r w:rsidRPr="00427EE1">
        <w:t xml:space="preserve">building surveyor in </w:t>
      </w:r>
      <w:r w:rsidR="00B2432A" w:rsidRPr="00427EE1">
        <w:t xml:space="preserve">relation </w:t>
      </w:r>
      <w:r w:rsidRPr="00427EE1">
        <w:t>to documents, fees and permit details</w:t>
      </w:r>
    </w:p>
    <w:p w:rsidR="00B2432A" w:rsidRPr="00427EE1" w:rsidRDefault="00B2432A" w:rsidP="00D06608">
      <w:pPr>
        <w:pStyle w:val="Dotpoint"/>
      </w:pPr>
      <w:r w:rsidRPr="00427EE1">
        <w:t xml:space="preserve">the duties of </w:t>
      </w:r>
      <w:r w:rsidR="00C94110">
        <w:t xml:space="preserve">a </w:t>
      </w:r>
      <w:r w:rsidRPr="00427EE1">
        <w:t>council to keep and make records and information available, and the fees for those requests</w:t>
      </w:r>
    </w:p>
    <w:p w:rsidR="00B2432A" w:rsidRPr="00427EE1" w:rsidRDefault="00B2432A" w:rsidP="00D06608">
      <w:pPr>
        <w:pStyle w:val="Dotpoint"/>
      </w:pPr>
      <w:r w:rsidRPr="00427EE1">
        <w:t>time limits for the commencement and completion of building work and building permits</w:t>
      </w:r>
    </w:p>
    <w:p w:rsidR="004F7D03" w:rsidRPr="00427EE1" w:rsidRDefault="004F7D03" w:rsidP="00D06608">
      <w:pPr>
        <w:pStyle w:val="Dotpoint"/>
      </w:pPr>
      <w:r w:rsidRPr="00427EE1">
        <w:t>lodgement fees</w:t>
      </w:r>
    </w:p>
    <w:p w:rsidR="004F7D03" w:rsidRPr="00427EE1" w:rsidRDefault="004F7D03" w:rsidP="00D06608">
      <w:pPr>
        <w:pStyle w:val="Dotpointlast"/>
      </w:pPr>
      <w:r w:rsidRPr="00427EE1">
        <w:t>guarantees and bonds in the case of demolition, removal or re-erection of a building</w:t>
      </w:r>
      <w:r w:rsidR="00C94110">
        <w:t>.</w:t>
      </w:r>
    </w:p>
    <w:p w:rsidR="00E657D7" w:rsidRDefault="004267C5">
      <w:pPr>
        <w:pStyle w:val="Heading5"/>
      </w:pPr>
      <w:r>
        <w:lastRenderedPageBreak/>
        <w:t xml:space="preserve">Pt </w:t>
      </w:r>
      <w:r w:rsidR="0087397A" w:rsidRPr="00427EE1">
        <w:t>6</w:t>
      </w:r>
      <w:r w:rsidR="004F7D03" w:rsidRPr="00427EE1">
        <w:t xml:space="preserve"> </w:t>
      </w:r>
      <w:r w:rsidR="0023395A" w:rsidRPr="00427EE1">
        <w:t xml:space="preserve">– </w:t>
      </w:r>
      <w:r w:rsidR="004F7D03" w:rsidRPr="00427EE1">
        <w:t>Siting</w:t>
      </w:r>
    </w:p>
    <w:p w:rsidR="004F7D03" w:rsidRPr="00427EE1" w:rsidRDefault="004267C5" w:rsidP="00D06608">
      <w:pPr>
        <w:pStyle w:val="Normalpre-dotpoint"/>
      </w:pPr>
      <w:r>
        <w:t xml:space="preserve">Pt </w:t>
      </w:r>
      <w:r w:rsidR="00C94110">
        <w:t xml:space="preserve">6 </w:t>
      </w:r>
      <w:r w:rsidR="004F7D03" w:rsidRPr="00427EE1">
        <w:t>defines terms and imposes siting requirements for particular classes of buildings in relation to:</w:t>
      </w:r>
    </w:p>
    <w:p w:rsidR="004F7D03" w:rsidRPr="00427EE1" w:rsidRDefault="004F7D03" w:rsidP="00423C20">
      <w:pPr>
        <w:pStyle w:val="Dotpoint"/>
      </w:pPr>
      <w:r w:rsidRPr="00427EE1">
        <w:t>maximum and minimum street setbacks and side and rear setbacks</w:t>
      </w:r>
    </w:p>
    <w:p w:rsidR="004F7D03" w:rsidRPr="00427EE1" w:rsidRDefault="004F7D03" w:rsidP="00D06608">
      <w:pPr>
        <w:pStyle w:val="Dotpoint"/>
      </w:pPr>
      <w:r w:rsidRPr="00427EE1">
        <w:t>building height</w:t>
      </w:r>
    </w:p>
    <w:p w:rsidR="004F7D03" w:rsidRPr="00427EE1" w:rsidRDefault="004F7D03" w:rsidP="00D06608">
      <w:pPr>
        <w:pStyle w:val="Dotpoint"/>
      </w:pPr>
      <w:r w:rsidRPr="00427EE1">
        <w:t>site coverage</w:t>
      </w:r>
      <w:r w:rsidR="00A14104" w:rsidRPr="00427EE1">
        <w:t xml:space="preserve">, </w:t>
      </w:r>
      <w:r w:rsidRPr="00427EE1">
        <w:t>permeability</w:t>
      </w:r>
      <w:r w:rsidR="00A14104" w:rsidRPr="00427EE1">
        <w:t xml:space="preserve"> and private open space</w:t>
      </w:r>
    </w:p>
    <w:p w:rsidR="004F7D03" w:rsidRPr="00427EE1" w:rsidRDefault="004F7D03" w:rsidP="00D06608">
      <w:pPr>
        <w:pStyle w:val="Dotpoint"/>
      </w:pPr>
      <w:r w:rsidRPr="00427EE1">
        <w:t>car parking</w:t>
      </w:r>
    </w:p>
    <w:p w:rsidR="004F7D03" w:rsidRPr="00427EE1" w:rsidRDefault="004F7D03" w:rsidP="00D06608">
      <w:pPr>
        <w:pStyle w:val="Dotpoint"/>
      </w:pPr>
      <w:r w:rsidRPr="00427EE1">
        <w:t xml:space="preserve">walls </w:t>
      </w:r>
      <w:r w:rsidR="00B2432A" w:rsidRPr="00427EE1">
        <w:t xml:space="preserve">and carports </w:t>
      </w:r>
      <w:r w:rsidRPr="00427EE1">
        <w:t>on boundaries</w:t>
      </w:r>
    </w:p>
    <w:p w:rsidR="004F7D03" w:rsidRPr="00427EE1" w:rsidRDefault="004F7D03" w:rsidP="00D06608">
      <w:pPr>
        <w:pStyle w:val="Dotpoint"/>
      </w:pPr>
      <w:r w:rsidRPr="00427EE1">
        <w:t xml:space="preserve">daylight and solar access to </w:t>
      </w:r>
      <w:r w:rsidR="00B2432A" w:rsidRPr="00427EE1">
        <w:t xml:space="preserve">habitable </w:t>
      </w:r>
      <w:r w:rsidRPr="00427EE1">
        <w:t>room windows</w:t>
      </w:r>
    </w:p>
    <w:p w:rsidR="004F7D03" w:rsidRPr="00427EE1" w:rsidRDefault="004F7D03" w:rsidP="00D06608">
      <w:pPr>
        <w:pStyle w:val="Dotpoint"/>
      </w:pPr>
      <w:r w:rsidRPr="00427EE1">
        <w:t>overshadowing and overlooking</w:t>
      </w:r>
    </w:p>
    <w:p w:rsidR="004F7D03" w:rsidRPr="00427EE1" w:rsidRDefault="004F7D03" w:rsidP="00D06608">
      <w:pPr>
        <w:pStyle w:val="Dotpointlast"/>
      </w:pPr>
      <w:r w:rsidRPr="00427EE1">
        <w:t>fences</w:t>
      </w:r>
      <w:r w:rsidR="00A14104" w:rsidRPr="00427EE1">
        <w:t xml:space="preserve">, </w:t>
      </w:r>
      <w:r w:rsidRPr="00427EE1">
        <w:t xml:space="preserve">masts, poles </w:t>
      </w:r>
      <w:r w:rsidR="00A14104" w:rsidRPr="00427EE1">
        <w:t xml:space="preserve">and </w:t>
      </w:r>
      <w:r w:rsidR="00195602">
        <w:t>C</w:t>
      </w:r>
      <w:r w:rsidR="00A14104" w:rsidRPr="00427EE1">
        <w:t>lass 10b structures</w:t>
      </w:r>
      <w:r w:rsidRPr="00427EE1">
        <w:t>.</w:t>
      </w:r>
    </w:p>
    <w:p w:rsidR="004F7D03" w:rsidRPr="00427EE1" w:rsidRDefault="004267C5" w:rsidP="00D06608">
      <w:r>
        <w:t xml:space="preserve">Pt </w:t>
      </w:r>
      <w:r w:rsidR="00A14104" w:rsidRPr="00427EE1">
        <w:t xml:space="preserve">6 </w:t>
      </w:r>
      <w:r w:rsidR="004F7D03" w:rsidRPr="00427EE1">
        <w:t xml:space="preserve">allows </w:t>
      </w:r>
      <w:r w:rsidR="00F80681">
        <w:t xml:space="preserve">the </w:t>
      </w:r>
      <w:r w:rsidR="004F7D03" w:rsidRPr="00427EE1">
        <w:t xml:space="preserve">relevant council to provide consent to applications for building permits in relation to designs that do not comply with </w:t>
      </w:r>
      <w:r w:rsidR="008911CB">
        <w:t>Regulations</w:t>
      </w:r>
      <w:r w:rsidR="004F7D03" w:rsidRPr="00427EE1">
        <w:t xml:space="preserve"> in relation to the above matters.</w:t>
      </w:r>
    </w:p>
    <w:p w:rsidR="00E657D7" w:rsidRDefault="004267C5">
      <w:pPr>
        <w:pStyle w:val="Heading5"/>
      </w:pPr>
      <w:r>
        <w:t xml:space="preserve">Pt </w:t>
      </w:r>
      <w:r w:rsidR="0087397A" w:rsidRPr="00427EE1">
        <w:t>7</w:t>
      </w:r>
      <w:r w:rsidR="004F7D03" w:rsidRPr="00427EE1">
        <w:t xml:space="preserve"> – </w:t>
      </w:r>
      <w:r w:rsidR="0087397A" w:rsidRPr="00427EE1">
        <w:t>Projections beyond street alignment</w:t>
      </w:r>
    </w:p>
    <w:p w:rsidR="004F7D03" w:rsidRPr="00427EE1" w:rsidRDefault="004267C5" w:rsidP="00D06608">
      <w:pPr>
        <w:pStyle w:val="Normalpre-dotpoint"/>
      </w:pPr>
      <w:r>
        <w:t xml:space="preserve">Pt </w:t>
      </w:r>
      <w:r w:rsidR="00F80681">
        <w:t xml:space="preserve">7 </w:t>
      </w:r>
      <w:r w:rsidR="004F7D03" w:rsidRPr="00427EE1">
        <w:t>sets out detailed design requirements relating to projections beyond the street alignment and:</w:t>
      </w:r>
    </w:p>
    <w:p w:rsidR="004F7D03" w:rsidRPr="00427EE1" w:rsidRDefault="004F7D03" w:rsidP="00D06608">
      <w:pPr>
        <w:pStyle w:val="Dotpoint"/>
      </w:pPr>
      <w:r w:rsidRPr="00427EE1">
        <w:t>architectural features</w:t>
      </w:r>
    </w:p>
    <w:p w:rsidR="004F7D03" w:rsidRPr="00427EE1" w:rsidRDefault="004F7D03" w:rsidP="00D06608">
      <w:pPr>
        <w:pStyle w:val="Dotpoint"/>
      </w:pPr>
      <w:r w:rsidRPr="00427EE1">
        <w:t>windows and balconies</w:t>
      </w:r>
    </w:p>
    <w:p w:rsidR="004F7D03" w:rsidRPr="00427EE1" w:rsidRDefault="004F7D03" w:rsidP="00D06608">
      <w:pPr>
        <w:pStyle w:val="Dotpoint"/>
      </w:pPr>
      <w:r w:rsidRPr="00427EE1">
        <w:t>verandahs</w:t>
      </w:r>
      <w:r w:rsidR="00A14104" w:rsidRPr="00427EE1">
        <w:t xml:space="preserve">, </w:t>
      </w:r>
      <w:r w:rsidRPr="00427EE1">
        <w:t>sunblinds and awnings</w:t>
      </w:r>
    </w:p>
    <w:p w:rsidR="004F7D03" w:rsidRPr="00427EE1" w:rsidRDefault="004F7D03" w:rsidP="00D06608">
      <w:pPr>
        <w:pStyle w:val="Dotpoint"/>
      </w:pPr>
      <w:r w:rsidRPr="00427EE1">
        <w:t>service pipes and rainwater heads</w:t>
      </w:r>
    </w:p>
    <w:p w:rsidR="004F7D03" w:rsidRPr="00427EE1" w:rsidRDefault="004F7D03" w:rsidP="00D06608">
      <w:pPr>
        <w:pStyle w:val="Dotpoint"/>
      </w:pPr>
      <w:r w:rsidRPr="00427EE1">
        <w:t>window shutters</w:t>
      </w:r>
    </w:p>
    <w:p w:rsidR="004F7D03" w:rsidRPr="00427EE1" w:rsidRDefault="004F7D03" w:rsidP="00D06608">
      <w:pPr>
        <w:pStyle w:val="Dotpoint"/>
      </w:pPr>
      <w:r w:rsidRPr="00427EE1">
        <w:t>signs</w:t>
      </w:r>
    </w:p>
    <w:p w:rsidR="004F7D03" w:rsidRPr="00427EE1" w:rsidRDefault="004F7D03" w:rsidP="00D06608">
      <w:pPr>
        <w:pStyle w:val="Dotpointlast"/>
      </w:pPr>
      <w:r w:rsidRPr="00427EE1">
        <w:t>service cabinet doors.</w:t>
      </w:r>
    </w:p>
    <w:p w:rsidR="004F7D03" w:rsidRPr="00427EE1" w:rsidRDefault="004F7D03" w:rsidP="00D06608">
      <w:r w:rsidRPr="00427EE1">
        <w:t xml:space="preserve">The </w:t>
      </w:r>
      <w:r w:rsidR="008911CB">
        <w:t>p</w:t>
      </w:r>
      <w:r w:rsidRPr="00427EE1">
        <w:t>art requires a report and consent of the relevant council must be obtained if any of the above parts of a building project do not comply with the Regulations.</w:t>
      </w:r>
    </w:p>
    <w:p w:rsidR="00E657D7" w:rsidRDefault="004267C5">
      <w:pPr>
        <w:pStyle w:val="Heading5"/>
      </w:pPr>
      <w:r>
        <w:t xml:space="preserve">Pt </w:t>
      </w:r>
      <w:r w:rsidR="0087397A" w:rsidRPr="00427EE1">
        <w:t>8 – Protection of adjoining property and the public</w:t>
      </w:r>
    </w:p>
    <w:p w:rsidR="00921D71" w:rsidRPr="00427EE1" w:rsidRDefault="004267C5" w:rsidP="00D06608">
      <w:pPr>
        <w:pStyle w:val="Normalpre-dotpoint"/>
      </w:pPr>
      <w:r>
        <w:t xml:space="preserve">Pt </w:t>
      </w:r>
      <w:r w:rsidR="00A14104" w:rsidRPr="00427EE1">
        <w:t>8 provides for the safety of adjoining property and the public</w:t>
      </w:r>
      <w:r w:rsidR="00A14EA0">
        <w:t>.</w:t>
      </w:r>
      <w:r w:rsidR="00A14104" w:rsidRPr="00427EE1">
        <w:t xml:space="preserve"> It provides for requirements for:</w:t>
      </w:r>
    </w:p>
    <w:p w:rsidR="00A14104" w:rsidRPr="00427EE1" w:rsidRDefault="00A14104" w:rsidP="00D06608">
      <w:pPr>
        <w:pStyle w:val="Dotpoint"/>
      </w:pPr>
      <w:r w:rsidRPr="00427EE1">
        <w:t>protection work that must be undertaken in respect of an adjoining property and exceptions to carrying out this work</w:t>
      </w:r>
    </w:p>
    <w:p w:rsidR="00A14104" w:rsidRPr="00427EE1" w:rsidRDefault="00A14104" w:rsidP="00D06608">
      <w:pPr>
        <w:pStyle w:val="Dotpoint"/>
      </w:pPr>
      <w:r w:rsidRPr="00427EE1">
        <w:t>precautions that must be undertaken before and during building work to protect public safety</w:t>
      </w:r>
    </w:p>
    <w:p w:rsidR="00A14104" w:rsidRPr="00427EE1" w:rsidRDefault="00A14104" w:rsidP="00D06608">
      <w:pPr>
        <w:pStyle w:val="Dotpoint"/>
      </w:pPr>
      <w:r w:rsidRPr="00427EE1">
        <w:t>excavations</w:t>
      </w:r>
    </w:p>
    <w:p w:rsidR="00A14104" w:rsidRPr="00427EE1" w:rsidRDefault="00A14104" w:rsidP="00D06608">
      <w:pPr>
        <w:pStyle w:val="Dotpoint"/>
      </w:pPr>
      <w:r w:rsidRPr="00427EE1">
        <w:t>retaining walls</w:t>
      </w:r>
    </w:p>
    <w:p w:rsidR="00A14104" w:rsidRPr="00427EE1" w:rsidRDefault="00A14104" w:rsidP="00D06608">
      <w:pPr>
        <w:pStyle w:val="Dotpointlast"/>
      </w:pPr>
      <w:r w:rsidRPr="00427EE1">
        <w:t>demolitions.</w:t>
      </w:r>
    </w:p>
    <w:p w:rsidR="00E657D7" w:rsidRDefault="004267C5">
      <w:pPr>
        <w:pStyle w:val="Heading5"/>
      </w:pPr>
      <w:r>
        <w:t xml:space="preserve">Pt </w:t>
      </w:r>
      <w:r w:rsidR="00921D71" w:rsidRPr="00427EE1">
        <w:t>9</w:t>
      </w:r>
      <w:r w:rsidR="004F7D03" w:rsidRPr="00427EE1">
        <w:t xml:space="preserve"> – Building work</w:t>
      </w:r>
    </w:p>
    <w:p w:rsidR="004F7D03" w:rsidRPr="00427EE1" w:rsidRDefault="004267C5" w:rsidP="00D06608">
      <w:pPr>
        <w:pStyle w:val="Normalpre-dotpoint"/>
      </w:pPr>
      <w:r>
        <w:t xml:space="preserve">Pt </w:t>
      </w:r>
      <w:r w:rsidR="00A14104" w:rsidRPr="00427EE1">
        <w:t xml:space="preserve">9 </w:t>
      </w:r>
      <w:r w:rsidR="004F7D03" w:rsidRPr="00427EE1">
        <w:t>sets out a range of general requirements in relation to:</w:t>
      </w:r>
    </w:p>
    <w:p w:rsidR="004F7D03" w:rsidRPr="00427EE1" w:rsidRDefault="004F7D03" w:rsidP="00D06608">
      <w:pPr>
        <w:pStyle w:val="Dotpoint"/>
      </w:pPr>
      <w:r w:rsidRPr="00427EE1">
        <w:t>the testing of materials</w:t>
      </w:r>
    </w:p>
    <w:p w:rsidR="00BA21A7" w:rsidRPr="00427EE1" w:rsidRDefault="00BA21A7" w:rsidP="00D06608">
      <w:pPr>
        <w:pStyle w:val="Dotpoint"/>
      </w:pPr>
      <w:r w:rsidRPr="00427EE1">
        <w:t>fire</w:t>
      </w:r>
      <w:r w:rsidR="00F80681">
        <w:t>-</w:t>
      </w:r>
      <w:r w:rsidRPr="00427EE1">
        <w:t>performance requirements and fire</w:t>
      </w:r>
      <w:r w:rsidR="00F80681">
        <w:t>-</w:t>
      </w:r>
      <w:r w:rsidRPr="00427EE1">
        <w:t>safety matters</w:t>
      </w:r>
    </w:p>
    <w:p w:rsidR="00BA21A7" w:rsidRPr="00427EE1" w:rsidRDefault="00BA21A7" w:rsidP="00D06608">
      <w:pPr>
        <w:pStyle w:val="Dotpoint"/>
      </w:pPr>
      <w:r w:rsidRPr="00427EE1">
        <w:t>certificates of compliance</w:t>
      </w:r>
    </w:p>
    <w:p w:rsidR="00BA21A7" w:rsidRPr="00427EE1" w:rsidRDefault="00BA21A7" w:rsidP="00D06608">
      <w:pPr>
        <w:pStyle w:val="Dotpoint"/>
      </w:pPr>
      <w:r w:rsidRPr="00427EE1">
        <w:t>records of pile-driving</w:t>
      </w:r>
    </w:p>
    <w:p w:rsidR="00D615BC" w:rsidRPr="00427EE1" w:rsidRDefault="00BA21A7" w:rsidP="00D06608">
      <w:pPr>
        <w:pStyle w:val="Dotpoint"/>
      </w:pPr>
      <w:r w:rsidRPr="00427EE1">
        <w:lastRenderedPageBreak/>
        <w:t>branding of timber</w:t>
      </w:r>
    </w:p>
    <w:p w:rsidR="00BA21A7" w:rsidRPr="00427EE1" w:rsidRDefault="00BA21A7" w:rsidP="00D06608">
      <w:pPr>
        <w:pStyle w:val="Dotpoint"/>
      </w:pPr>
      <w:r w:rsidRPr="00427EE1">
        <w:t>stormwater drainage</w:t>
      </w:r>
    </w:p>
    <w:p w:rsidR="00BA21A7" w:rsidRPr="00427EE1" w:rsidRDefault="00BA21A7" w:rsidP="00D06608">
      <w:pPr>
        <w:pStyle w:val="Dotpointlast"/>
      </w:pPr>
      <w:r w:rsidRPr="00427EE1">
        <w:t xml:space="preserve">reports or consents for building over easements, buildings above or below certain public facilities, in relation to septic tank systems, and for electricity </w:t>
      </w:r>
      <w:r w:rsidR="004E083D">
        <w:t>sub</w:t>
      </w:r>
      <w:r w:rsidRPr="00427EE1">
        <w:t>stations.</w:t>
      </w:r>
    </w:p>
    <w:p w:rsidR="00E657D7" w:rsidRDefault="004267C5">
      <w:pPr>
        <w:pStyle w:val="Heading5"/>
      </w:pPr>
      <w:r>
        <w:t xml:space="preserve">Pt </w:t>
      </w:r>
      <w:r w:rsidR="00921D71" w:rsidRPr="00427EE1">
        <w:t>10</w:t>
      </w:r>
      <w:r w:rsidR="004F7D03" w:rsidRPr="00427EE1">
        <w:t xml:space="preserve"> – Building </w:t>
      </w:r>
      <w:r w:rsidR="00921D71" w:rsidRPr="00427EE1">
        <w:t>w</w:t>
      </w:r>
      <w:r w:rsidR="004F7D03" w:rsidRPr="00427EE1">
        <w:t xml:space="preserve">ork – </w:t>
      </w:r>
      <w:r w:rsidR="00921D71" w:rsidRPr="00427EE1">
        <w:t>s</w:t>
      </w:r>
      <w:r w:rsidR="004F7D03" w:rsidRPr="00427EE1">
        <w:t xml:space="preserve">afety </w:t>
      </w:r>
      <w:r w:rsidR="00921D71" w:rsidRPr="00427EE1">
        <w:t>r</w:t>
      </w:r>
      <w:r w:rsidR="004F7D03" w:rsidRPr="00427EE1">
        <w:t>equirements</w:t>
      </w:r>
    </w:p>
    <w:p w:rsidR="004F7D03" w:rsidRPr="00427EE1" w:rsidRDefault="004267C5" w:rsidP="00D06608">
      <w:pPr>
        <w:pStyle w:val="Normalpre-dotpoint"/>
      </w:pPr>
      <w:r>
        <w:t xml:space="preserve">Pt </w:t>
      </w:r>
      <w:r w:rsidR="00BA21A7" w:rsidRPr="00427EE1">
        <w:t xml:space="preserve">10 </w:t>
      </w:r>
      <w:r w:rsidR="004F7D03" w:rsidRPr="00427EE1">
        <w:t xml:space="preserve">sets out </w:t>
      </w:r>
      <w:r w:rsidR="00B91E9F">
        <w:t xml:space="preserve">building work </w:t>
      </w:r>
      <w:r w:rsidR="004F7D03" w:rsidRPr="00427EE1">
        <w:t>safety requirements for:</w:t>
      </w:r>
    </w:p>
    <w:p w:rsidR="004F7D03" w:rsidRPr="00427EE1" w:rsidRDefault="004F7D03" w:rsidP="00D06608">
      <w:pPr>
        <w:pStyle w:val="Dotpoint"/>
      </w:pPr>
      <w:r w:rsidRPr="00427EE1">
        <w:t xml:space="preserve">barriers </w:t>
      </w:r>
      <w:r w:rsidR="00FB4D4B" w:rsidRPr="00427EE1">
        <w:t xml:space="preserve">for </w:t>
      </w:r>
      <w:r w:rsidRPr="00427EE1">
        <w:t xml:space="preserve">swimming pools </w:t>
      </w:r>
      <w:r w:rsidR="00FB4D4B" w:rsidRPr="00427EE1">
        <w:t xml:space="preserve">and spas including </w:t>
      </w:r>
      <w:r w:rsidR="00B91E9F">
        <w:t xml:space="preserve">the </w:t>
      </w:r>
      <w:r w:rsidR="00FB4D4B" w:rsidRPr="00427EE1">
        <w:t>maintenance and operation of barriers and the new requirement to upgrade certain swimming pool barriers by 1 October 2020</w:t>
      </w:r>
    </w:p>
    <w:p w:rsidR="00FB4D4B" w:rsidRPr="00427EE1" w:rsidRDefault="00FB4D4B" w:rsidP="00D06608">
      <w:pPr>
        <w:pStyle w:val="Dotpointlast"/>
      </w:pPr>
      <w:r w:rsidRPr="00427EE1">
        <w:t>fire</w:t>
      </w:r>
      <w:r w:rsidR="00B91E9F">
        <w:t>-</w:t>
      </w:r>
      <w:r w:rsidRPr="00427EE1">
        <w:t>safety requirements including a requirement to install a smoke alarm and sprinkler system in certain existing residential buildings</w:t>
      </w:r>
      <w:r w:rsidR="00B91E9F">
        <w:t>.</w:t>
      </w:r>
    </w:p>
    <w:p w:rsidR="00E657D7" w:rsidRDefault="004267C5">
      <w:pPr>
        <w:pStyle w:val="Heading5"/>
      </w:pPr>
      <w:r>
        <w:t xml:space="preserve">Pt </w:t>
      </w:r>
      <w:r w:rsidR="00921D71" w:rsidRPr="00427EE1">
        <w:t>11 – Designation of special areas for building work</w:t>
      </w:r>
    </w:p>
    <w:p w:rsidR="00921D71" w:rsidRPr="00427EE1" w:rsidRDefault="004267C5" w:rsidP="002612E2">
      <w:r>
        <w:t xml:space="preserve">Pt </w:t>
      </w:r>
      <w:r w:rsidR="00B91E9F">
        <w:t xml:space="preserve">11 </w:t>
      </w:r>
      <w:r w:rsidR="00FB4D4B" w:rsidRPr="00427EE1">
        <w:t xml:space="preserve">provides for the designation and mapping of special </w:t>
      </w:r>
      <w:r w:rsidR="00C85828" w:rsidRPr="00427EE1">
        <w:t>areas</w:t>
      </w:r>
      <w:r w:rsidR="00FB4D4B" w:rsidRPr="00427EE1">
        <w:t xml:space="preserve"> and sets </w:t>
      </w:r>
      <w:r w:rsidR="00921D71" w:rsidRPr="00427EE1">
        <w:t xml:space="preserve">out </w:t>
      </w:r>
      <w:r w:rsidR="00FB4D4B" w:rsidRPr="00427EE1">
        <w:t xml:space="preserve">the </w:t>
      </w:r>
      <w:r w:rsidR="00921D71" w:rsidRPr="00427EE1">
        <w:t>requirements in relation to building work in special areas</w:t>
      </w:r>
      <w:r w:rsidR="00FB4D4B" w:rsidRPr="00427EE1">
        <w:t>.</w:t>
      </w:r>
      <w:r w:rsidR="00B91E9F">
        <w:t xml:space="preserve"> It </w:t>
      </w:r>
      <w:r w:rsidR="00921D71" w:rsidRPr="00427EE1">
        <w:t xml:space="preserve">also provides </w:t>
      </w:r>
      <w:r w:rsidR="00FB4D4B" w:rsidRPr="00427EE1">
        <w:t xml:space="preserve">for </w:t>
      </w:r>
      <w:r w:rsidR="00921D71" w:rsidRPr="00427EE1">
        <w:t>land that is liable to be flooded, or in which buildings are likely to be subject to attack by termites, or are likely to be subject to significant snowfalls.</w:t>
      </w:r>
    </w:p>
    <w:p w:rsidR="00E657D7" w:rsidRDefault="004267C5">
      <w:pPr>
        <w:pStyle w:val="Heading5"/>
      </w:pPr>
      <w:r>
        <w:t xml:space="preserve">Pt </w:t>
      </w:r>
      <w:r w:rsidR="00921D71" w:rsidRPr="00427EE1">
        <w:t>12 – Bushfire safety</w:t>
      </w:r>
    </w:p>
    <w:p w:rsidR="00C438D3" w:rsidRDefault="004267C5">
      <w:r>
        <w:t xml:space="preserve">Pt </w:t>
      </w:r>
      <w:r w:rsidR="00BE532A">
        <w:t xml:space="preserve">12 </w:t>
      </w:r>
      <w:r w:rsidR="00921D71" w:rsidRPr="00427EE1">
        <w:t>sets out requirements in relation to bushfire-prone areas. It provides for the designation of bushfire-prone areas</w:t>
      </w:r>
      <w:r w:rsidR="00FB4D4B" w:rsidRPr="00427EE1">
        <w:t>, for construction</w:t>
      </w:r>
      <w:r w:rsidR="00921D71" w:rsidRPr="00427EE1">
        <w:t xml:space="preserve"> standards in designated bushfire</w:t>
      </w:r>
      <w:r w:rsidR="007C5A88">
        <w:t>-</w:t>
      </w:r>
      <w:r w:rsidR="00921D71" w:rsidRPr="00427EE1">
        <w:t>prone areas, requirements for replacing buildings destroyed in the 2009 bushfires and for the construction, maintenance and operation of private bushfire shelters.</w:t>
      </w:r>
    </w:p>
    <w:p w:rsidR="00E657D7" w:rsidRDefault="004267C5">
      <w:pPr>
        <w:pStyle w:val="Heading5"/>
      </w:pPr>
      <w:r>
        <w:t xml:space="preserve">Pt </w:t>
      </w:r>
      <w:r w:rsidR="00921D71" w:rsidRPr="00427EE1">
        <w:t>13</w:t>
      </w:r>
      <w:r w:rsidR="004F7D03" w:rsidRPr="00427EE1">
        <w:t xml:space="preserve"> – Inspection notices and orders</w:t>
      </w:r>
    </w:p>
    <w:p w:rsidR="004F7D03" w:rsidRPr="00427EE1" w:rsidRDefault="004267C5" w:rsidP="00AF771E">
      <w:r>
        <w:t xml:space="preserve">Pt </w:t>
      </w:r>
      <w:r w:rsidR="00BE532A" w:rsidRPr="00427EE1">
        <w:t xml:space="preserve">13 </w:t>
      </w:r>
      <w:r w:rsidR="004F7D03" w:rsidRPr="00427EE1">
        <w:t xml:space="preserve">sets out the requirements for mandatory notification stages for </w:t>
      </w:r>
      <w:r w:rsidR="00BE532A">
        <w:t xml:space="preserve">the </w:t>
      </w:r>
      <w:r w:rsidR="00FB4D4B" w:rsidRPr="00427EE1">
        <w:t xml:space="preserve">construction or alteration of </w:t>
      </w:r>
      <w:r w:rsidR="00BE532A">
        <w:t xml:space="preserve">a </w:t>
      </w:r>
      <w:r w:rsidR="00FB4D4B" w:rsidRPr="00427EE1">
        <w:t xml:space="preserve">building, </w:t>
      </w:r>
      <w:r w:rsidR="00BE532A">
        <w:t xml:space="preserve">the </w:t>
      </w:r>
      <w:r w:rsidR="00FB4D4B" w:rsidRPr="00427EE1">
        <w:t xml:space="preserve">demolition or removal of a </w:t>
      </w:r>
      <w:r w:rsidR="00C85828" w:rsidRPr="00427EE1">
        <w:t>building and</w:t>
      </w:r>
      <w:r w:rsidR="00FB4D4B" w:rsidRPr="00427EE1">
        <w:t xml:space="preserve"> for the construction of swimming pools</w:t>
      </w:r>
      <w:r w:rsidR="00AF771E" w:rsidRPr="00427EE1">
        <w:t>.</w:t>
      </w:r>
      <w:r w:rsidR="00BE532A">
        <w:t xml:space="preserve"> It </w:t>
      </w:r>
      <w:r w:rsidR="00FB4D4B" w:rsidRPr="00427EE1">
        <w:t xml:space="preserve">also </w:t>
      </w:r>
      <w:r w:rsidR="004F7D03" w:rsidRPr="00427EE1">
        <w:t>sets out the information requirements for emergency orders, building notices, building orders and amendments or cancellations of a building order.</w:t>
      </w:r>
    </w:p>
    <w:p w:rsidR="00E657D7" w:rsidRDefault="004267C5">
      <w:pPr>
        <w:pStyle w:val="Heading5"/>
      </w:pPr>
      <w:r>
        <w:t xml:space="preserve">Pt </w:t>
      </w:r>
      <w:r w:rsidR="004F7D03" w:rsidRPr="00427EE1">
        <w:t>1</w:t>
      </w:r>
      <w:r w:rsidR="00921D71" w:rsidRPr="00427EE1">
        <w:t>4</w:t>
      </w:r>
      <w:r w:rsidR="004F7D03" w:rsidRPr="00427EE1">
        <w:t xml:space="preserve"> – Occupancy permits and certificates of final inspection</w:t>
      </w:r>
    </w:p>
    <w:p w:rsidR="004F7D03" w:rsidRPr="00427EE1" w:rsidRDefault="004267C5" w:rsidP="00AF771E">
      <w:pPr>
        <w:pStyle w:val="Normalpre-dotpoint"/>
      </w:pPr>
      <w:r>
        <w:t xml:space="preserve">Pt </w:t>
      </w:r>
      <w:r w:rsidR="00921D71" w:rsidRPr="00427EE1">
        <w:t xml:space="preserve">14 </w:t>
      </w:r>
      <w:r w:rsidR="004F7D03" w:rsidRPr="00427EE1">
        <w:t xml:space="preserve">sets out </w:t>
      </w:r>
      <w:r w:rsidR="00921D71" w:rsidRPr="00427EE1">
        <w:t xml:space="preserve">the requirements </w:t>
      </w:r>
      <w:r w:rsidR="004F7D03" w:rsidRPr="00427EE1">
        <w:t>in relation to occupancy permits</w:t>
      </w:r>
      <w:r w:rsidR="00247E94" w:rsidRPr="00427EE1">
        <w:t>,</w:t>
      </w:r>
      <w:r w:rsidR="004F7D03" w:rsidRPr="00427EE1">
        <w:t xml:space="preserve"> certificates of final inspection</w:t>
      </w:r>
      <w:r w:rsidR="00247E94" w:rsidRPr="00427EE1">
        <w:t xml:space="preserve"> and </w:t>
      </w:r>
      <w:r w:rsidR="0023395A">
        <w:t>record-keeping</w:t>
      </w:r>
      <w:r w:rsidR="004F7D03" w:rsidRPr="00427EE1">
        <w:t>, including:</w:t>
      </w:r>
    </w:p>
    <w:p w:rsidR="00D430B2" w:rsidRPr="00427EE1" w:rsidRDefault="00D430B2" w:rsidP="00AF771E">
      <w:pPr>
        <w:pStyle w:val="Dotpoint"/>
      </w:pPr>
      <w:r w:rsidRPr="00427EE1">
        <w:t xml:space="preserve">the prescribed form and information for permits including the requirement to include conditions relating to the maintenance of </w:t>
      </w:r>
      <w:r w:rsidR="00296466">
        <w:t>ESMs</w:t>
      </w:r>
      <w:r w:rsidRPr="00427EE1">
        <w:t xml:space="preserve"> on the occupancy permit</w:t>
      </w:r>
    </w:p>
    <w:p w:rsidR="00D430B2" w:rsidRPr="00427EE1" w:rsidRDefault="00D430B2" w:rsidP="00AF771E">
      <w:pPr>
        <w:pStyle w:val="Dotpoint"/>
      </w:pPr>
      <w:r w:rsidRPr="00427EE1">
        <w:t>mak</w:t>
      </w:r>
      <w:r w:rsidR="00BE532A">
        <w:t>ing</w:t>
      </w:r>
      <w:r w:rsidRPr="00427EE1">
        <w:t xml:space="preserve"> it a condition of an occupancy permit to comply with a maintenance determination if one is issued in accordance with </w:t>
      </w:r>
      <w:proofErr w:type="spellStart"/>
      <w:r w:rsidR="00BE532A">
        <w:t>pt</w:t>
      </w:r>
      <w:proofErr w:type="spellEnd"/>
      <w:r w:rsidR="00BE532A">
        <w:t xml:space="preserve"> </w:t>
      </w:r>
      <w:r w:rsidRPr="00427EE1">
        <w:t xml:space="preserve">16 of the </w:t>
      </w:r>
      <w:r w:rsidR="008911CB">
        <w:t>proposed Regulations</w:t>
      </w:r>
    </w:p>
    <w:p w:rsidR="004F7D03" w:rsidRPr="00427EE1" w:rsidRDefault="004F7D03" w:rsidP="00AF771E">
      <w:pPr>
        <w:pStyle w:val="Dotpoint"/>
      </w:pPr>
      <w:r w:rsidRPr="00427EE1">
        <w:t>time limits</w:t>
      </w:r>
    </w:p>
    <w:p w:rsidR="004F7D03" w:rsidRPr="00427EE1" w:rsidRDefault="004F7D03" w:rsidP="00AF771E">
      <w:pPr>
        <w:pStyle w:val="Dotpoint"/>
      </w:pPr>
      <w:r w:rsidRPr="00427EE1">
        <w:t>form</w:t>
      </w:r>
      <w:r w:rsidR="00247E94" w:rsidRPr="00427EE1">
        <w:t>s</w:t>
      </w:r>
      <w:r w:rsidRPr="00427EE1">
        <w:t xml:space="preserve"> for permits and certificates of final inspection</w:t>
      </w:r>
    </w:p>
    <w:p w:rsidR="004F7D03" w:rsidRPr="00427EE1" w:rsidRDefault="004F7D03" w:rsidP="00AF771E">
      <w:pPr>
        <w:pStyle w:val="Dotpoint"/>
      </w:pPr>
      <w:r w:rsidRPr="00427EE1">
        <w:t>requirements to display permits and to make permits available for inspection</w:t>
      </w:r>
    </w:p>
    <w:p w:rsidR="004F7D03" w:rsidRPr="00427EE1" w:rsidRDefault="004F7D03" w:rsidP="00AF771E">
      <w:pPr>
        <w:pStyle w:val="Dotpoint"/>
      </w:pPr>
      <w:r w:rsidRPr="00427EE1">
        <w:t xml:space="preserve">requirement for </w:t>
      </w:r>
      <w:r w:rsidR="00FC0352">
        <w:t xml:space="preserve">a </w:t>
      </w:r>
      <w:r w:rsidRPr="00427EE1">
        <w:t>council to keep a register of occupancy records</w:t>
      </w:r>
    </w:p>
    <w:p w:rsidR="004F7D03" w:rsidRPr="00427EE1" w:rsidRDefault="004F7D03" w:rsidP="00AF771E">
      <w:pPr>
        <w:pStyle w:val="Dotpointlast"/>
      </w:pPr>
      <w:r w:rsidRPr="00427EE1">
        <w:t xml:space="preserve">responsibilities of building surveyors in relation to supplying information to </w:t>
      </w:r>
      <w:r w:rsidR="00FC0352">
        <w:t xml:space="preserve">a </w:t>
      </w:r>
      <w:r w:rsidRPr="00427EE1">
        <w:t xml:space="preserve">council and notifying </w:t>
      </w:r>
      <w:r w:rsidR="00AC0013">
        <w:t xml:space="preserve">a </w:t>
      </w:r>
      <w:r w:rsidRPr="00427EE1">
        <w:t xml:space="preserve">chief officer of </w:t>
      </w:r>
      <w:r w:rsidR="00AC0013">
        <w:t xml:space="preserve">the </w:t>
      </w:r>
      <w:r w:rsidRPr="00427EE1">
        <w:t>issue of certificates of final inspection.</w:t>
      </w:r>
    </w:p>
    <w:p w:rsidR="00E657D7" w:rsidRDefault="004267C5">
      <w:pPr>
        <w:pStyle w:val="Heading5"/>
      </w:pPr>
      <w:r>
        <w:t xml:space="preserve">Pt </w:t>
      </w:r>
      <w:r w:rsidR="004F7D03" w:rsidRPr="00427EE1">
        <w:t>1</w:t>
      </w:r>
      <w:r w:rsidR="00921D71" w:rsidRPr="00427EE1">
        <w:t>5</w:t>
      </w:r>
      <w:r w:rsidR="004F7D03" w:rsidRPr="00427EE1">
        <w:t xml:space="preserve"> – Places of public entertainment</w:t>
      </w:r>
    </w:p>
    <w:p w:rsidR="004F7D03" w:rsidRPr="00427EE1" w:rsidRDefault="004267C5" w:rsidP="00AF771E">
      <w:r>
        <w:t xml:space="preserve">Pt </w:t>
      </w:r>
      <w:r w:rsidR="00FC0352">
        <w:t xml:space="preserve">15 </w:t>
      </w:r>
      <w:r w:rsidR="00921D71" w:rsidRPr="00427EE1">
        <w:t xml:space="preserve">prescribes </w:t>
      </w:r>
      <w:proofErr w:type="spellStart"/>
      <w:r w:rsidR="00A030CC">
        <w:t>PoPEs</w:t>
      </w:r>
      <w:proofErr w:type="spellEnd"/>
      <w:r w:rsidR="004F7D03" w:rsidRPr="00427EE1">
        <w:t xml:space="preserve"> for the purposes of the Act and sets out the conditions of use for these places.</w:t>
      </w:r>
      <w:r w:rsidR="00FC0352">
        <w:t xml:space="preserve"> </w:t>
      </w:r>
      <w:r w:rsidR="004F7D03" w:rsidRPr="00427EE1">
        <w:t>It also defines prescribed temporary structures and sets out a requirement relating to the design of such structures.</w:t>
      </w:r>
    </w:p>
    <w:p w:rsidR="00E657D7" w:rsidRDefault="004267C5">
      <w:pPr>
        <w:pStyle w:val="Heading5"/>
      </w:pPr>
      <w:r>
        <w:lastRenderedPageBreak/>
        <w:t xml:space="preserve">Pt </w:t>
      </w:r>
      <w:r w:rsidR="00EE7542" w:rsidRPr="00427EE1">
        <w:t>16 – Maintenance of buildings and places of public entertainment</w:t>
      </w:r>
    </w:p>
    <w:p w:rsidR="00FC0352" w:rsidRDefault="004267C5" w:rsidP="00AF771E">
      <w:r>
        <w:t xml:space="preserve">Pt </w:t>
      </w:r>
      <w:r w:rsidR="00EE7542" w:rsidRPr="00427EE1">
        <w:t>16</w:t>
      </w:r>
      <w:r w:rsidR="00FC0352">
        <w:t xml:space="preserve"> </w:t>
      </w:r>
      <w:r w:rsidR="00EE7542" w:rsidRPr="00427EE1">
        <w:t>sets out how</w:t>
      </w:r>
      <w:r w:rsidR="00DA0F0A" w:rsidRPr="00427EE1">
        <w:t xml:space="preserve"> </w:t>
      </w:r>
      <w:r w:rsidR="00EE7542" w:rsidRPr="00427EE1">
        <w:t xml:space="preserve">maintenance requirements for </w:t>
      </w:r>
      <w:r w:rsidR="00296466">
        <w:t>ESMs</w:t>
      </w:r>
      <w:r w:rsidR="00EE7542" w:rsidRPr="00427EE1">
        <w:t xml:space="preserve"> must be recorded on a maintenance determination and in a maintenance schedule</w:t>
      </w:r>
      <w:r w:rsidR="00FC0352">
        <w:t xml:space="preserve"> and </w:t>
      </w:r>
      <w:r w:rsidR="00EE7542" w:rsidRPr="00427EE1">
        <w:t>requires maintenance schedules to be prepared for existing buildings in certain circumstances</w:t>
      </w:r>
      <w:r w:rsidR="00FC0352">
        <w:t xml:space="preserve">. It also </w:t>
      </w:r>
      <w:r w:rsidR="00EE7542" w:rsidRPr="00427EE1">
        <w:t xml:space="preserve">requires annual reporting of </w:t>
      </w:r>
      <w:r w:rsidR="00C85828" w:rsidRPr="00427EE1">
        <w:t>maintenance</w:t>
      </w:r>
      <w:r w:rsidR="00EE7542" w:rsidRPr="00427EE1">
        <w:t xml:space="preserve"> </w:t>
      </w:r>
      <w:r w:rsidR="00FC0352">
        <w:t xml:space="preserve">of </w:t>
      </w:r>
      <w:r w:rsidR="00296466">
        <w:t>ESMs</w:t>
      </w:r>
      <w:r w:rsidR="00EE7542" w:rsidRPr="00427EE1">
        <w:t xml:space="preserve"> and</w:t>
      </w:r>
      <w:r w:rsidR="00FC0352">
        <w:t xml:space="preserve"> </w:t>
      </w:r>
      <w:r w:rsidR="00EE7542" w:rsidRPr="00427EE1">
        <w:t xml:space="preserve">sets out </w:t>
      </w:r>
      <w:r w:rsidR="00FC0352">
        <w:t xml:space="preserve">some </w:t>
      </w:r>
      <w:r w:rsidR="00EE7542" w:rsidRPr="00427EE1">
        <w:t xml:space="preserve">general requirements </w:t>
      </w:r>
      <w:r w:rsidR="00FC0352">
        <w:t xml:space="preserve">for </w:t>
      </w:r>
      <w:r w:rsidR="00296466">
        <w:t>ESMs</w:t>
      </w:r>
      <w:r w:rsidR="00EE7542" w:rsidRPr="00427EE1">
        <w:t xml:space="preserve"> including</w:t>
      </w:r>
      <w:r w:rsidR="00E657D7">
        <w:t xml:space="preserve"> </w:t>
      </w:r>
      <w:r w:rsidR="00EE7542" w:rsidRPr="00427EE1">
        <w:t xml:space="preserve">not to remove an </w:t>
      </w:r>
      <w:r w:rsidR="00FC0352">
        <w:t xml:space="preserve">ESM </w:t>
      </w:r>
      <w:r w:rsidR="00EE7542" w:rsidRPr="00427EE1">
        <w:t xml:space="preserve">from </w:t>
      </w:r>
      <w:r w:rsidR="00FC0352">
        <w:t xml:space="preserve">a </w:t>
      </w:r>
      <w:r w:rsidR="00EE7542" w:rsidRPr="00427EE1">
        <w:t>approved location and to make records available in certain circumstances.</w:t>
      </w:r>
      <w:r w:rsidR="00FC0352">
        <w:t xml:space="preserve"> It also sets out </w:t>
      </w:r>
      <w:r w:rsidR="00EE7542" w:rsidRPr="00427EE1">
        <w:t xml:space="preserve">the obligations </w:t>
      </w:r>
      <w:r w:rsidR="00FC0352">
        <w:t xml:space="preserve">of the </w:t>
      </w:r>
      <w:r w:rsidR="00EE7542" w:rsidRPr="00427EE1">
        <w:t xml:space="preserve">building </w:t>
      </w:r>
      <w:r w:rsidR="00FC0352">
        <w:t xml:space="preserve">occupier </w:t>
      </w:r>
      <w:r w:rsidR="00EE7542" w:rsidRPr="00427EE1">
        <w:t xml:space="preserve">with regards to exits. </w:t>
      </w:r>
    </w:p>
    <w:p w:rsidR="00E657D7" w:rsidRDefault="004267C5">
      <w:pPr>
        <w:pStyle w:val="Heading5"/>
      </w:pPr>
      <w:r>
        <w:t xml:space="preserve">Pt </w:t>
      </w:r>
      <w:r w:rsidR="00EE7542" w:rsidRPr="00427EE1">
        <w:t xml:space="preserve">17– Existing </w:t>
      </w:r>
      <w:r w:rsidR="00DD30F6" w:rsidRPr="00427EE1">
        <w:t>b</w:t>
      </w:r>
      <w:r w:rsidR="00EE7542" w:rsidRPr="00427EE1">
        <w:t>uildings</w:t>
      </w:r>
    </w:p>
    <w:p w:rsidR="00EE7542" w:rsidRPr="00427EE1" w:rsidRDefault="004267C5" w:rsidP="00AF771E">
      <w:r>
        <w:t xml:space="preserve">Pt </w:t>
      </w:r>
      <w:r w:rsidR="00FC0352">
        <w:t xml:space="preserve">17 </w:t>
      </w:r>
      <w:r w:rsidR="00EE7542" w:rsidRPr="00427EE1">
        <w:t>set</w:t>
      </w:r>
      <w:r w:rsidR="00FC0352">
        <w:t>s</w:t>
      </w:r>
      <w:r w:rsidR="00EE7542" w:rsidRPr="00427EE1">
        <w:t xml:space="preserve"> out how current building standards apply to existing buildings and gives </w:t>
      </w:r>
      <w:r w:rsidR="00FC0352">
        <w:t xml:space="preserve">a </w:t>
      </w:r>
      <w:r w:rsidR="00EE7542" w:rsidRPr="00427EE1">
        <w:t xml:space="preserve">building surveyor power to allow for partial compliance or to grant an exemption from complying with the </w:t>
      </w:r>
      <w:r w:rsidR="008911CB">
        <w:t>proposed Regulations</w:t>
      </w:r>
      <w:r w:rsidR="00EE7542" w:rsidRPr="00427EE1">
        <w:t xml:space="preserve"> when taking into account health and safety and fire spread</w:t>
      </w:r>
      <w:r w:rsidR="00FC0352">
        <w:t xml:space="preserve"> matters</w:t>
      </w:r>
      <w:r w:rsidR="00EE7542" w:rsidRPr="00427EE1">
        <w:t xml:space="preserve">. </w:t>
      </w:r>
      <w:r w:rsidR="00FC0352">
        <w:t xml:space="preserve">It </w:t>
      </w:r>
      <w:r w:rsidR="00DD30F6" w:rsidRPr="00427EE1">
        <w:t>also provides for requirements for small</w:t>
      </w:r>
      <w:r w:rsidR="00FC0352">
        <w:t>,</w:t>
      </w:r>
      <w:r w:rsidR="00DD30F6" w:rsidRPr="00427EE1">
        <w:t xml:space="preserve"> live</w:t>
      </w:r>
      <w:r w:rsidR="00FC0352">
        <w:t>-</w:t>
      </w:r>
      <w:r w:rsidR="00DD30F6" w:rsidRPr="00427EE1">
        <w:t>music venues.</w:t>
      </w:r>
    </w:p>
    <w:p w:rsidR="00E657D7" w:rsidRDefault="004267C5">
      <w:pPr>
        <w:pStyle w:val="Heading5"/>
      </w:pPr>
      <w:r>
        <w:t xml:space="preserve">Pt </w:t>
      </w:r>
      <w:r w:rsidR="00EE7542" w:rsidRPr="00427EE1">
        <w:t xml:space="preserve">18 – Building </w:t>
      </w:r>
      <w:r w:rsidR="00DD30F6" w:rsidRPr="00427EE1">
        <w:t>p</w:t>
      </w:r>
      <w:r w:rsidR="00EE7542" w:rsidRPr="00427EE1">
        <w:t xml:space="preserve">roduct </w:t>
      </w:r>
      <w:r w:rsidR="00DD30F6" w:rsidRPr="00427EE1">
        <w:t>a</w:t>
      </w:r>
      <w:r w:rsidR="00EE7542" w:rsidRPr="00427EE1">
        <w:t>ccreditation</w:t>
      </w:r>
    </w:p>
    <w:p w:rsidR="00EE7542" w:rsidRPr="00427EE1" w:rsidRDefault="004267C5" w:rsidP="00AF771E">
      <w:pPr>
        <w:pStyle w:val="Normalpre-dotpoint"/>
      </w:pPr>
      <w:r>
        <w:t xml:space="preserve">Pt </w:t>
      </w:r>
      <w:r w:rsidR="00FC0352">
        <w:t xml:space="preserve">18 </w:t>
      </w:r>
      <w:r w:rsidR="00EE7542" w:rsidRPr="00427EE1">
        <w:t>provides for the accreditation of building products, construction methods or designs, components or systems connected with building work including:</w:t>
      </w:r>
    </w:p>
    <w:p w:rsidR="00DD30F6" w:rsidRPr="00427EE1" w:rsidRDefault="00DD30F6" w:rsidP="00AF771E">
      <w:pPr>
        <w:pStyle w:val="Dotpoint"/>
      </w:pPr>
      <w:r w:rsidRPr="00427EE1">
        <w:t xml:space="preserve">prescribing </w:t>
      </w:r>
      <w:r w:rsidR="00FC0352">
        <w:t xml:space="preserve">a </w:t>
      </w:r>
      <w:r w:rsidRPr="00427EE1">
        <w:t xml:space="preserve">person </w:t>
      </w:r>
      <w:r w:rsidR="00FC0352">
        <w:t xml:space="preserve">or </w:t>
      </w:r>
      <w:r w:rsidRPr="00427EE1">
        <w:t>bod</w:t>
      </w:r>
      <w:r w:rsidR="00FC0352">
        <w:t>y</w:t>
      </w:r>
      <w:r w:rsidRPr="00427EE1">
        <w:t xml:space="preserve"> to accredit building products</w:t>
      </w:r>
    </w:p>
    <w:p w:rsidR="00DD30F6" w:rsidRPr="00427EE1" w:rsidRDefault="00EE7542" w:rsidP="00AF771E">
      <w:pPr>
        <w:pStyle w:val="Dotpoint"/>
      </w:pPr>
      <w:r w:rsidRPr="00427EE1">
        <w:t>application</w:t>
      </w:r>
      <w:r w:rsidR="00FC0352">
        <w:t>s</w:t>
      </w:r>
      <w:r w:rsidRPr="00427EE1">
        <w:t xml:space="preserve"> </w:t>
      </w:r>
      <w:r w:rsidR="00DD30F6" w:rsidRPr="00427EE1">
        <w:t>for accreditation</w:t>
      </w:r>
    </w:p>
    <w:p w:rsidR="00EE7542" w:rsidRPr="00427EE1" w:rsidRDefault="00DD30F6" w:rsidP="00AF771E">
      <w:pPr>
        <w:pStyle w:val="Dotpoint"/>
      </w:pPr>
      <w:r w:rsidRPr="00427EE1">
        <w:t xml:space="preserve">accreditation and revocation of </w:t>
      </w:r>
      <w:r w:rsidR="00C85828" w:rsidRPr="00427EE1">
        <w:t>accreditation</w:t>
      </w:r>
    </w:p>
    <w:p w:rsidR="00EE7542" w:rsidRPr="00427EE1" w:rsidRDefault="00DD30F6" w:rsidP="00AF771E">
      <w:pPr>
        <w:pStyle w:val="Dotpointlast"/>
      </w:pPr>
      <w:r w:rsidRPr="00427EE1">
        <w:t>issu</w:t>
      </w:r>
      <w:r w:rsidR="00FC0352">
        <w:t>ing</w:t>
      </w:r>
      <w:r w:rsidRPr="00427EE1">
        <w:t xml:space="preserve"> </w:t>
      </w:r>
      <w:r w:rsidR="00EE7542" w:rsidRPr="00427EE1">
        <w:t>certificate</w:t>
      </w:r>
      <w:r w:rsidRPr="00427EE1">
        <w:t>s</w:t>
      </w:r>
      <w:r w:rsidR="00EE7542" w:rsidRPr="00427EE1">
        <w:t xml:space="preserve"> of accreditation, keep</w:t>
      </w:r>
      <w:r w:rsidR="00FC0352">
        <w:t>ing</w:t>
      </w:r>
      <w:r w:rsidR="00EE7542" w:rsidRPr="00427EE1">
        <w:t xml:space="preserve"> a register of accredited products, </w:t>
      </w:r>
      <w:r w:rsidR="0023395A">
        <w:t>record-keeping</w:t>
      </w:r>
      <w:r w:rsidRPr="00427EE1">
        <w:t xml:space="preserve"> and confidentiality requirements.</w:t>
      </w:r>
    </w:p>
    <w:p w:rsidR="00E657D7" w:rsidRDefault="004267C5">
      <w:pPr>
        <w:pStyle w:val="Heading5"/>
      </w:pPr>
      <w:r>
        <w:t xml:space="preserve">Pt </w:t>
      </w:r>
      <w:r w:rsidR="00EE7542" w:rsidRPr="00427EE1">
        <w:t>19 – Building practitioners</w:t>
      </w:r>
    </w:p>
    <w:p w:rsidR="00EE7542" w:rsidRPr="00427EE1" w:rsidRDefault="004267C5" w:rsidP="00AF771E">
      <w:pPr>
        <w:pStyle w:val="Normalpre-dotpoint"/>
      </w:pPr>
      <w:r>
        <w:t xml:space="preserve">Pt </w:t>
      </w:r>
      <w:r w:rsidR="00DD30F6" w:rsidRPr="00427EE1">
        <w:t xml:space="preserve">19 </w:t>
      </w:r>
      <w:r w:rsidR="00EE7542" w:rsidRPr="00427EE1">
        <w:t>sets out</w:t>
      </w:r>
      <w:r w:rsidR="00DD30F6" w:rsidRPr="00427EE1">
        <w:t xml:space="preserve"> requirements for</w:t>
      </w:r>
      <w:r w:rsidR="00EE7542" w:rsidRPr="00427EE1">
        <w:t>:</w:t>
      </w:r>
    </w:p>
    <w:p w:rsidR="00EE7542" w:rsidRPr="00427EE1" w:rsidRDefault="00EE7542" w:rsidP="00AF771E">
      <w:pPr>
        <w:pStyle w:val="Dotpoint"/>
      </w:pPr>
      <w:r w:rsidRPr="00427EE1">
        <w:t xml:space="preserve">the period for which a </w:t>
      </w:r>
      <w:r w:rsidR="00C85843">
        <w:t>PBS</w:t>
      </w:r>
      <w:r w:rsidRPr="00427EE1">
        <w:t xml:space="preserve"> may not in certain circumstances accept an appointment to carry out work in relation to building work</w:t>
      </w:r>
    </w:p>
    <w:p w:rsidR="00EE7542" w:rsidRPr="00427EE1" w:rsidRDefault="00EE7542" w:rsidP="00AF771E">
      <w:pPr>
        <w:pStyle w:val="Dotpoint"/>
      </w:pPr>
      <w:r w:rsidRPr="00427EE1">
        <w:t xml:space="preserve">application and renewal </w:t>
      </w:r>
      <w:r w:rsidR="00DD30F6" w:rsidRPr="00427EE1">
        <w:t xml:space="preserve">of </w:t>
      </w:r>
      <w:r w:rsidRPr="00427EE1">
        <w:t>registration including prescribed information that must accompany an application including information as to the character of the applicant</w:t>
      </w:r>
    </w:p>
    <w:p w:rsidR="00DD30F6" w:rsidRPr="00427EE1" w:rsidRDefault="00EE7542" w:rsidP="00AF771E">
      <w:pPr>
        <w:pStyle w:val="Dotpoint"/>
      </w:pPr>
      <w:r w:rsidRPr="00427EE1">
        <w:t>eligibility criteria, conditions on registration, professional standards</w:t>
      </w:r>
      <w:r w:rsidR="00DD30F6" w:rsidRPr="00427EE1">
        <w:t>, disciplinary proceedings</w:t>
      </w:r>
      <w:r w:rsidRPr="00427EE1">
        <w:t xml:space="preserve"> and fees</w:t>
      </w:r>
    </w:p>
    <w:p w:rsidR="00D615BC" w:rsidRPr="00427EE1" w:rsidRDefault="00DD30F6" w:rsidP="00AF771E">
      <w:pPr>
        <w:pStyle w:val="Dotpointlast"/>
      </w:pPr>
      <w:r w:rsidRPr="00427EE1">
        <w:t>exemptions from registration requirements for certain building practitioners</w:t>
      </w:r>
      <w:r w:rsidR="00EE7542" w:rsidRPr="00427EE1">
        <w:t>.</w:t>
      </w:r>
    </w:p>
    <w:p w:rsidR="00E657D7" w:rsidRDefault="004267C5">
      <w:pPr>
        <w:pStyle w:val="Heading5"/>
      </w:pPr>
      <w:r>
        <w:t xml:space="preserve">Pt </w:t>
      </w:r>
      <w:r w:rsidR="00EE7542" w:rsidRPr="00427EE1">
        <w:t>20 – Building Appeals Board</w:t>
      </w:r>
    </w:p>
    <w:p w:rsidR="00EE7542" w:rsidRPr="00427EE1" w:rsidRDefault="004267C5" w:rsidP="00AF771E">
      <w:pPr>
        <w:pStyle w:val="Normalpre-dotpoint"/>
      </w:pPr>
      <w:r>
        <w:t xml:space="preserve">Pt </w:t>
      </w:r>
      <w:r w:rsidR="00DD30F6" w:rsidRPr="00427EE1">
        <w:t xml:space="preserve">20 </w:t>
      </w:r>
      <w:r w:rsidR="00EE7542" w:rsidRPr="00427EE1">
        <w:t>sets out:</w:t>
      </w:r>
    </w:p>
    <w:p w:rsidR="00EE7542" w:rsidRPr="00427EE1" w:rsidRDefault="00FC0352" w:rsidP="00AF771E">
      <w:pPr>
        <w:pStyle w:val="Dotpoint"/>
      </w:pPr>
      <w:r>
        <w:t xml:space="preserve">the </w:t>
      </w:r>
      <w:r w:rsidR="00DD30F6" w:rsidRPr="00427EE1">
        <w:t xml:space="preserve">prescribed </w:t>
      </w:r>
      <w:r w:rsidR="00EE7542" w:rsidRPr="00427EE1">
        <w:t xml:space="preserve">appeals </w:t>
      </w:r>
      <w:r w:rsidR="00DD30F6" w:rsidRPr="00427EE1">
        <w:t xml:space="preserve">period for appeals </w:t>
      </w:r>
      <w:r w:rsidR="00EE7542" w:rsidRPr="00427EE1">
        <w:t xml:space="preserve">to </w:t>
      </w:r>
      <w:r>
        <w:t>BAB</w:t>
      </w:r>
    </w:p>
    <w:p w:rsidR="00EE7542" w:rsidRPr="00427EE1" w:rsidRDefault="00EE7542" w:rsidP="00AF771E">
      <w:pPr>
        <w:pStyle w:val="Dotpoint"/>
      </w:pPr>
      <w:r w:rsidRPr="00427EE1">
        <w:t xml:space="preserve">fees for lodging an appeal, referral application or request to </w:t>
      </w:r>
      <w:r w:rsidR="00FC0352">
        <w:t>BAB</w:t>
      </w:r>
    </w:p>
    <w:p w:rsidR="00EE7542" w:rsidRPr="00427EE1" w:rsidRDefault="00EE7542" w:rsidP="00AF771E">
      <w:pPr>
        <w:pStyle w:val="Dotpointlast"/>
      </w:pPr>
      <w:r w:rsidRPr="00427EE1">
        <w:t>additional fees for a request for a fast</w:t>
      </w:r>
      <w:r w:rsidR="00FC0352">
        <w:t>-</w:t>
      </w:r>
      <w:r w:rsidRPr="00427EE1">
        <w:t xml:space="preserve">track appeal and circumstances where </w:t>
      </w:r>
      <w:r w:rsidR="00DD30F6" w:rsidRPr="00427EE1">
        <w:t xml:space="preserve">those </w:t>
      </w:r>
      <w:r w:rsidRPr="00427EE1">
        <w:t>fees are to be refunded.</w:t>
      </w:r>
    </w:p>
    <w:p w:rsidR="00E657D7" w:rsidRDefault="004267C5">
      <w:pPr>
        <w:pStyle w:val="Heading5"/>
      </w:pPr>
      <w:r>
        <w:t xml:space="preserve">Pt </w:t>
      </w:r>
      <w:r w:rsidR="00EE7542" w:rsidRPr="00427EE1">
        <w:t>21 – Infringement notices</w:t>
      </w:r>
    </w:p>
    <w:p w:rsidR="00EE7542" w:rsidRPr="00427EE1" w:rsidRDefault="004267C5" w:rsidP="00AF771E">
      <w:pPr>
        <w:pStyle w:val="Normalpre-dotpoint"/>
      </w:pPr>
      <w:r>
        <w:t xml:space="preserve">Pt </w:t>
      </w:r>
      <w:r w:rsidR="00DD30F6" w:rsidRPr="00427EE1">
        <w:t>21 provides for the ap</w:t>
      </w:r>
      <w:r w:rsidR="00DD30F6" w:rsidRPr="00427EE1">
        <w:rPr>
          <w:snapToGrid w:val="0"/>
        </w:rPr>
        <w:t>p</w:t>
      </w:r>
      <w:r w:rsidR="00DD30F6" w:rsidRPr="00427EE1">
        <w:t xml:space="preserve">lication of infringement notices to contraventions of the </w:t>
      </w:r>
      <w:r w:rsidR="008911CB">
        <w:t>Regulations</w:t>
      </w:r>
      <w:r w:rsidR="00FC0352">
        <w:t xml:space="preserve"> and</w:t>
      </w:r>
      <w:r w:rsidR="00DD30F6" w:rsidRPr="00427EE1">
        <w:t>:</w:t>
      </w:r>
    </w:p>
    <w:p w:rsidR="00EE7542" w:rsidRPr="00427EE1" w:rsidRDefault="00EE7542" w:rsidP="00423C20">
      <w:pPr>
        <w:pStyle w:val="Dotpoint"/>
      </w:pPr>
      <w:r w:rsidRPr="00427EE1">
        <w:t xml:space="preserve">prescribes the authorised officers for the purposes of offences against </w:t>
      </w:r>
      <w:r w:rsidR="00B353D4" w:rsidRPr="00427EE1">
        <w:t xml:space="preserve">the </w:t>
      </w:r>
      <w:r w:rsidR="008911CB">
        <w:t>Regulations</w:t>
      </w:r>
    </w:p>
    <w:p w:rsidR="00EE7542" w:rsidRPr="00427EE1" w:rsidRDefault="00EE7542" w:rsidP="00423C20">
      <w:pPr>
        <w:pStyle w:val="Dotpoint"/>
      </w:pPr>
      <w:r w:rsidRPr="00427EE1">
        <w:t xml:space="preserve">identifies the prescribed offences for the purposes of the definition of </w:t>
      </w:r>
      <w:r w:rsidR="00FC0352">
        <w:t>'</w:t>
      </w:r>
      <w:r w:rsidRPr="00427EE1">
        <w:t>prescribed offence</w:t>
      </w:r>
      <w:r w:rsidR="00FC0352">
        <w:t>'</w:t>
      </w:r>
      <w:r w:rsidRPr="00427EE1">
        <w:t xml:space="preserve"> in </w:t>
      </w:r>
      <w:r w:rsidR="0023395A">
        <w:t xml:space="preserve">s </w:t>
      </w:r>
      <w:r w:rsidRPr="00427EE1">
        <w:t>254 of the Act, which relates to building infringement notices</w:t>
      </w:r>
    </w:p>
    <w:p w:rsidR="00EE7542" w:rsidRPr="00427EE1" w:rsidRDefault="00EE7542" w:rsidP="00AF771E">
      <w:pPr>
        <w:pStyle w:val="Dotpointlast"/>
      </w:pPr>
      <w:r w:rsidRPr="00427EE1">
        <w:t>prescribes the penalty for building infringements and how this penalty must be paid.</w:t>
      </w:r>
    </w:p>
    <w:p w:rsidR="00E657D7" w:rsidRDefault="004267C5">
      <w:pPr>
        <w:pStyle w:val="Heading5"/>
      </w:pPr>
      <w:r>
        <w:lastRenderedPageBreak/>
        <w:t xml:space="preserve">Pt </w:t>
      </w:r>
      <w:r w:rsidR="00EE7542" w:rsidRPr="00427EE1">
        <w:t xml:space="preserve">22 </w:t>
      </w:r>
      <w:r w:rsidR="0023395A" w:rsidRPr="00427EE1">
        <w:t xml:space="preserve">– </w:t>
      </w:r>
      <w:r w:rsidR="00EE7542" w:rsidRPr="00427EE1">
        <w:t>Exemptions</w:t>
      </w:r>
    </w:p>
    <w:p w:rsidR="00EE7542" w:rsidRPr="00427EE1" w:rsidRDefault="004267C5" w:rsidP="00AF771E">
      <w:pPr>
        <w:pStyle w:val="Normalpre-dotpoint"/>
      </w:pPr>
      <w:r>
        <w:t xml:space="preserve">Pt </w:t>
      </w:r>
      <w:r w:rsidR="00EE7542" w:rsidRPr="00427EE1">
        <w:t>22 of the Act provides for</w:t>
      </w:r>
      <w:r w:rsidR="00EE7542" w:rsidRPr="00427EE1">
        <w:rPr>
          <w:snapToGrid w:val="0"/>
        </w:rPr>
        <w:t xml:space="preserve"> </w:t>
      </w:r>
      <w:r w:rsidR="00EE7542" w:rsidRPr="00427EE1">
        <w:t>exemptions:</w:t>
      </w:r>
    </w:p>
    <w:p w:rsidR="00EE7542" w:rsidRPr="00427EE1" w:rsidRDefault="00EE7542" w:rsidP="00AF771E">
      <w:pPr>
        <w:pStyle w:val="Dotpoint"/>
      </w:pPr>
      <w:r w:rsidRPr="00427EE1">
        <w:t xml:space="preserve">from permits and permit application fees, </w:t>
      </w:r>
      <w:r w:rsidR="002109CC">
        <w:t xml:space="preserve">the </w:t>
      </w:r>
      <w:r w:rsidR="008911CB">
        <w:t>Regulations</w:t>
      </w:r>
      <w:r w:rsidRPr="00427EE1">
        <w:t>, permits for temporary structures and for farm buildings</w:t>
      </w:r>
    </w:p>
    <w:p w:rsidR="00EE7542" w:rsidRPr="00427EE1" w:rsidRDefault="00B353D4" w:rsidP="00AF771E">
      <w:pPr>
        <w:pStyle w:val="Dotpointlast"/>
      </w:pPr>
      <w:r w:rsidRPr="00427EE1">
        <w:t xml:space="preserve">for </w:t>
      </w:r>
      <w:r w:rsidR="00EE7542" w:rsidRPr="00427EE1">
        <w:t>building surveyors</w:t>
      </w:r>
      <w:r w:rsidRPr="00427EE1">
        <w:t xml:space="preserve"> from notice requirements in respect of certain public buildings.</w:t>
      </w:r>
    </w:p>
    <w:p w:rsidR="00E657D7" w:rsidRDefault="004267C5">
      <w:pPr>
        <w:pStyle w:val="Heading5"/>
      </w:pPr>
      <w:r>
        <w:t xml:space="preserve">Pt </w:t>
      </w:r>
      <w:r w:rsidR="00EE7542" w:rsidRPr="00427EE1">
        <w:t>23 – Transitional provisions</w:t>
      </w:r>
    </w:p>
    <w:p w:rsidR="00EE7542" w:rsidRPr="00427EE1" w:rsidRDefault="004267C5" w:rsidP="00AF771E">
      <w:r>
        <w:t xml:space="preserve">Pt </w:t>
      </w:r>
      <w:r w:rsidR="00B353D4" w:rsidRPr="00427EE1">
        <w:t xml:space="preserve">23 </w:t>
      </w:r>
      <w:r w:rsidR="00EE7542" w:rsidRPr="00427EE1">
        <w:t xml:space="preserve">provides for transitional arrangements </w:t>
      </w:r>
      <w:r w:rsidR="002109CC">
        <w:t xml:space="preserve">for </w:t>
      </w:r>
      <w:r w:rsidR="00EE7542" w:rsidRPr="00427EE1">
        <w:t>the registration of building practitioners</w:t>
      </w:r>
      <w:r w:rsidR="002109CC">
        <w:t xml:space="preserve"> and </w:t>
      </w:r>
      <w:r w:rsidR="00EE7542" w:rsidRPr="00427EE1">
        <w:t xml:space="preserve">the application of the Act in relation to major domestic </w:t>
      </w:r>
      <w:r w:rsidR="00B353D4" w:rsidRPr="00427EE1">
        <w:t xml:space="preserve">building </w:t>
      </w:r>
      <w:r w:rsidR="00EE7542" w:rsidRPr="00427EE1">
        <w:t>contract</w:t>
      </w:r>
      <w:r w:rsidR="00B353D4" w:rsidRPr="00427EE1">
        <w:t>s</w:t>
      </w:r>
      <w:r w:rsidR="002109CC">
        <w:t>,</w:t>
      </w:r>
      <w:r w:rsidR="00EE7542" w:rsidRPr="00427EE1">
        <w:t xml:space="preserve"> and </w:t>
      </w:r>
      <w:r w:rsidR="002109CC">
        <w:t xml:space="preserve">it </w:t>
      </w:r>
      <w:r w:rsidR="00EE7542" w:rsidRPr="00427EE1">
        <w:t xml:space="preserve">provides for a </w:t>
      </w:r>
      <w:r w:rsidR="002109CC">
        <w:t>three-</w:t>
      </w:r>
      <w:r w:rsidR="00EE7542" w:rsidRPr="00427EE1">
        <w:t xml:space="preserve">month grace period after the </w:t>
      </w:r>
      <w:r w:rsidR="008911CB">
        <w:t>proposed Regulations</w:t>
      </w:r>
      <w:r w:rsidR="00EE7542" w:rsidRPr="00427EE1">
        <w:t xml:space="preserve"> come into effect.</w:t>
      </w:r>
    </w:p>
    <w:p w:rsidR="00B353D4" w:rsidRPr="00427EE1" w:rsidRDefault="00B353D4" w:rsidP="00AF771E">
      <w:r w:rsidRPr="00427EE1">
        <w:t xml:space="preserve">The transitional provisions will provide that for three months from the </w:t>
      </w:r>
      <w:r w:rsidR="00D90FC3">
        <w:t>start</w:t>
      </w:r>
      <w:r w:rsidRPr="00427EE1">
        <w:t xml:space="preserve"> of the </w:t>
      </w:r>
      <w:r w:rsidR="008911CB">
        <w:t>Regulations</w:t>
      </w:r>
      <w:r w:rsidRPr="00427EE1">
        <w:t xml:space="preserve">, it is sufficient to comply with certain requirements of the </w:t>
      </w:r>
      <w:r w:rsidR="00195602">
        <w:t>current Regulations</w:t>
      </w:r>
      <w:r w:rsidRPr="00427EE1">
        <w:t xml:space="preserve">. This transitional arrangement will be included to allow users of the building system sufficient time to update </w:t>
      </w:r>
      <w:r w:rsidR="002109CC">
        <w:t xml:space="preserve">their </w:t>
      </w:r>
      <w:r w:rsidRPr="00427EE1">
        <w:t>business systems to fully comply with the proposed Regulations.</w:t>
      </w:r>
    </w:p>
    <w:p w:rsidR="00E171BA" w:rsidRPr="00427EE1" w:rsidRDefault="003448D2" w:rsidP="00C14778">
      <w:pPr>
        <w:pStyle w:val="Heading2"/>
      </w:pPr>
      <w:bookmarkStart w:id="148" w:name="_Toc481501584"/>
      <w:r>
        <w:t>3.3</w:t>
      </w:r>
      <w:r>
        <w:tab/>
      </w:r>
      <w:r w:rsidR="00E171BA" w:rsidRPr="00427EE1">
        <w:t>Summary of cost</w:t>
      </w:r>
      <w:r w:rsidR="007C5A88">
        <w:t>–</w:t>
      </w:r>
      <w:r w:rsidR="00E171BA" w:rsidRPr="00427EE1">
        <w:t>benefit analys</w:t>
      </w:r>
      <w:r w:rsidR="002109CC">
        <w:t>e</w:t>
      </w:r>
      <w:r w:rsidR="00E171BA" w:rsidRPr="00427EE1">
        <w:t>s</w:t>
      </w:r>
      <w:bookmarkEnd w:id="148"/>
    </w:p>
    <w:p w:rsidR="004861D1" w:rsidRPr="00427EE1" w:rsidRDefault="004861D1" w:rsidP="00AF771E">
      <w:r w:rsidRPr="00427EE1">
        <w:t xml:space="preserve">The analysis in </w:t>
      </w:r>
      <w:r w:rsidR="005E2285">
        <w:t>the RIS</w:t>
      </w:r>
      <w:r w:rsidRPr="00427EE1">
        <w:t xml:space="preserve"> demonstrates that while the scale and scope of the </w:t>
      </w:r>
      <w:r w:rsidR="008911CB">
        <w:t>Regulations</w:t>
      </w:r>
      <w:r w:rsidRPr="00427EE1">
        <w:t xml:space="preserve"> are significant, they deliver significant benefits to a broad range of stakeholders. The quantified breakeven points are considered to be achievable by the </w:t>
      </w:r>
      <w:r w:rsidR="00195602">
        <w:t>department</w:t>
      </w:r>
      <w:r w:rsidR="000D357C">
        <w:t xml:space="preserve"> and </w:t>
      </w:r>
      <w:r w:rsidRPr="00427EE1">
        <w:t xml:space="preserve">it </w:t>
      </w:r>
      <w:r w:rsidR="000D357C">
        <w:t xml:space="preserve">therefore </w:t>
      </w:r>
      <w:r w:rsidRPr="00427EE1">
        <w:t xml:space="preserve">considers the </w:t>
      </w:r>
      <w:r w:rsidR="008911CB">
        <w:t>proposed Regulations</w:t>
      </w:r>
      <w:r w:rsidRPr="00427EE1">
        <w:t xml:space="preserve"> </w:t>
      </w:r>
      <w:r w:rsidR="000D357C">
        <w:t xml:space="preserve">will </w:t>
      </w:r>
      <w:r w:rsidRPr="00427EE1">
        <w:t xml:space="preserve">deliver net benefits. This is despite a lack of data in some cases either to support or contradict this </w:t>
      </w:r>
      <w:r w:rsidR="000D357C">
        <w:t>consideration</w:t>
      </w:r>
      <w:r w:rsidRPr="00427EE1">
        <w:t>. Finally</w:t>
      </w:r>
      <w:r w:rsidR="000D357C">
        <w:t>,</w:t>
      </w:r>
      <w:r w:rsidRPr="00427EE1">
        <w:t xml:space="preserve"> the RIS proposes a range of amendments that will reduce regulatory costs relative to the</w:t>
      </w:r>
      <w:r w:rsidR="000D357C">
        <w:t xml:space="preserve"> current </w:t>
      </w:r>
      <w:r w:rsidR="008911CB">
        <w:t>Regulations</w:t>
      </w:r>
      <w:r w:rsidRPr="00427EE1">
        <w:t>.</w:t>
      </w:r>
    </w:p>
    <w:p w:rsidR="004861D1" w:rsidRPr="00427EE1" w:rsidRDefault="000D357C" w:rsidP="00AF771E">
      <w:pPr>
        <w:pStyle w:val="Normalpre-dotpoint"/>
      </w:pPr>
      <w:r>
        <w:t>T</w:t>
      </w:r>
      <w:r w:rsidR="004861D1" w:rsidRPr="00427EE1">
        <w:t>wo cost</w:t>
      </w:r>
      <w:r w:rsidR="007C5A88">
        <w:t>–</w:t>
      </w:r>
      <w:r w:rsidR="004861D1" w:rsidRPr="00427EE1">
        <w:t>benefit analyses were carried out at different times and by different consultants:</w:t>
      </w:r>
    </w:p>
    <w:p w:rsidR="004861D1" w:rsidRPr="00427EE1" w:rsidRDefault="004861D1" w:rsidP="00AF771E">
      <w:pPr>
        <w:pStyle w:val="Dotpoint"/>
      </w:pPr>
      <w:r w:rsidRPr="00427EE1">
        <w:t xml:space="preserve">PwC conducted an analysis </w:t>
      </w:r>
      <w:r w:rsidR="000D357C">
        <w:t xml:space="preserve">of </w:t>
      </w:r>
      <w:r w:rsidRPr="00427EE1">
        <w:t>regulatory options other than those related to building practitioner regulation</w:t>
      </w:r>
      <w:r w:rsidR="000D357C">
        <w:t xml:space="preserve"> and </w:t>
      </w:r>
      <w:r w:rsidR="004267C5">
        <w:t xml:space="preserve">RIS </w:t>
      </w:r>
      <w:r w:rsidRPr="00427EE1">
        <w:t xml:space="preserve">Part B </w:t>
      </w:r>
      <w:r w:rsidR="000D357C">
        <w:t>explain</w:t>
      </w:r>
      <w:r w:rsidR="004267C5">
        <w:t>s</w:t>
      </w:r>
      <w:r w:rsidR="000D357C">
        <w:t xml:space="preserve"> this analysis</w:t>
      </w:r>
    </w:p>
    <w:p w:rsidR="004861D1" w:rsidRPr="00427EE1" w:rsidRDefault="004861D1" w:rsidP="00AF771E">
      <w:pPr>
        <w:pStyle w:val="Dotpointlast"/>
      </w:pPr>
      <w:r w:rsidRPr="00427EE1">
        <w:t>Regulatory Impact Solutions conducted an analysis of the options related to building practitioner registration</w:t>
      </w:r>
      <w:r w:rsidR="000D357C">
        <w:t xml:space="preserve"> and </w:t>
      </w:r>
      <w:r w:rsidR="004267C5">
        <w:t xml:space="preserve">RIS </w:t>
      </w:r>
      <w:r w:rsidRPr="00427EE1">
        <w:t xml:space="preserve">Part C </w:t>
      </w:r>
      <w:r w:rsidR="000D357C">
        <w:t>explain</w:t>
      </w:r>
      <w:r w:rsidR="004267C5">
        <w:t>s</w:t>
      </w:r>
      <w:r w:rsidR="000D357C">
        <w:t xml:space="preserve"> this analysis.</w:t>
      </w:r>
    </w:p>
    <w:p w:rsidR="00E657D7" w:rsidRPr="00E657D7" w:rsidRDefault="004861D1">
      <w:pPr>
        <w:rPr>
          <w:szCs w:val="20"/>
        </w:rPr>
      </w:pPr>
      <w:r w:rsidRPr="00E657D7">
        <w:rPr>
          <w:szCs w:val="20"/>
        </w:rPr>
        <w:t xml:space="preserve">As a result there are some differences in the underlying assumptions of the two </w:t>
      </w:r>
      <w:r w:rsidR="000D357C" w:rsidRPr="00E657D7">
        <w:rPr>
          <w:szCs w:val="20"/>
        </w:rPr>
        <w:t xml:space="preserve">cost-benefit analyses, particularly with regard to </w:t>
      </w:r>
      <w:r w:rsidRPr="00E657D7">
        <w:rPr>
          <w:szCs w:val="20"/>
        </w:rPr>
        <w:t>the hourly rate for practitioners</w:t>
      </w:r>
      <w:r w:rsidR="000D357C" w:rsidRPr="00E657D7">
        <w:rPr>
          <w:szCs w:val="20"/>
        </w:rPr>
        <w:t>.</w:t>
      </w:r>
    </w:p>
    <w:p w:rsidR="00E657D7" w:rsidRPr="00E657D7" w:rsidRDefault="004267C5">
      <w:pPr>
        <w:rPr>
          <w:szCs w:val="20"/>
        </w:rPr>
      </w:pPr>
      <w:r w:rsidRPr="00E657D7">
        <w:rPr>
          <w:szCs w:val="20"/>
        </w:rPr>
        <w:t xml:space="preserve">RIS </w:t>
      </w:r>
      <w:r w:rsidR="004861D1" w:rsidRPr="00E657D7">
        <w:rPr>
          <w:szCs w:val="20"/>
        </w:rPr>
        <w:t>Part C costs the rate of a person applying for registration (</w:t>
      </w:r>
      <w:r w:rsidR="00D90FC3" w:rsidRPr="00E657D7">
        <w:rPr>
          <w:szCs w:val="20"/>
        </w:rPr>
        <w:t>that is,</w:t>
      </w:r>
      <w:r w:rsidR="004861D1" w:rsidRPr="00E657D7">
        <w:rPr>
          <w:szCs w:val="20"/>
        </w:rPr>
        <w:t xml:space="preserve"> </w:t>
      </w:r>
      <w:r w:rsidR="00893445">
        <w:rPr>
          <w:szCs w:val="20"/>
        </w:rPr>
        <w:t xml:space="preserve">ordinary earnings of </w:t>
      </w:r>
      <w:r w:rsidR="004861D1" w:rsidRPr="00E657D7">
        <w:rPr>
          <w:szCs w:val="20"/>
        </w:rPr>
        <w:t>$37.36</w:t>
      </w:r>
      <w:r w:rsidR="000D357C" w:rsidRPr="00E657D7">
        <w:rPr>
          <w:szCs w:val="20"/>
        </w:rPr>
        <w:t xml:space="preserve"> per hour </w:t>
      </w:r>
      <w:r w:rsidR="004861D1" w:rsidRPr="00E657D7">
        <w:rPr>
          <w:szCs w:val="20"/>
        </w:rPr>
        <w:t xml:space="preserve">for an ordinary person) whereas </w:t>
      </w:r>
      <w:r w:rsidRPr="00E657D7">
        <w:rPr>
          <w:szCs w:val="20"/>
        </w:rPr>
        <w:t xml:space="preserve">RIS </w:t>
      </w:r>
      <w:r w:rsidR="004861D1" w:rsidRPr="00E657D7">
        <w:rPr>
          <w:szCs w:val="20"/>
        </w:rPr>
        <w:t xml:space="preserve">Part B costs the rate of a person performing obligations under the </w:t>
      </w:r>
      <w:r w:rsidR="008911CB" w:rsidRPr="00E657D7">
        <w:rPr>
          <w:szCs w:val="20"/>
        </w:rPr>
        <w:t>Regulations</w:t>
      </w:r>
      <w:r w:rsidR="004861D1" w:rsidRPr="00E657D7">
        <w:rPr>
          <w:szCs w:val="20"/>
        </w:rPr>
        <w:t xml:space="preserve"> (</w:t>
      </w:r>
      <w:r w:rsidR="00D90FC3" w:rsidRPr="00E657D7">
        <w:rPr>
          <w:szCs w:val="20"/>
        </w:rPr>
        <w:t>that is,</w:t>
      </w:r>
      <w:r w:rsidR="004861D1" w:rsidRPr="00E657D7">
        <w:rPr>
          <w:szCs w:val="20"/>
        </w:rPr>
        <w:t xml:space="preserve"> $215</w:t>
      </w:r>
      <w:r w:rsidR="000D357C" w:rsidRPr="00E657D7">
        <w:rPr>
          <w:szCs w:val="20"/>
        </w:rPr>
        <w:t xml:space="preserve"> per hour </w:t>
      </w:r>
      <w:r w:rsidR="004861D1" w:rsidRPr="00E657D7">
        <w:rPr>
          <w:szCs w:val="20"/>
        </w:rPr>
        <w:t xml:space="preserve">for </w:t>
      </w:r>
      <w:r w:rsidR="000D357C" w:rsidRPr="00E657D7">
        <w:rPr>
          <w:szCs w:val="20"/>
        </w:rPr>
        <w:t xml:space="preserve">a </w:t>
      </w:r>
      <w:r w:rsidR="004861D1" w:rsidRPr="00E657D7">
        <w:rPr>
          <w:szCs w:val="20"/>
        </w:rPr>
        <w:t>PBS and $50</w:t>
      </w:r>
      <w:r w:rsidR="000D357C" w:rsidRPr="00E657D7">
        <w:rPr>
          <w:szCs w:val="20"/>
        </w:rPr>
        <w:t xml:space="preserve"> per hour for a </w:t>
      </w:r>
      <w:r w:rsidR="004861D1" w:rsidRPr="00E657D7">
        <w:rPr>
          <w:szCs w:val="20"/>
        </w:rPr>
        <w:t>MBS</w:t>
      </w:r>
      <w:r w:rsidR="000D357C" w:rsidRPr="00E657D7">
        <w:rPr>
          <w:szCs w:val="20"/>
        </w:rPr>
        <w:t xml:space="preserve"> or </w:t>
      </w:r>
      <w:r w:rsidR="004861D1" w:rsidRPr="00E657D7">
        <w:rPr>
          <w:szCs w:val="20"/>
        </w:rPr>
        <w:t>admin</w:t>
      </w:r>
      <w:r w:rsidR="00D27FDE" w:rsidRPr="00E657D7">
        <w:rPr>
          <w:szCs w:val="20"/>
        </w:rPr>
        <w:t>istr</w:t>
      </w:r>
      <w:r w:rsidR="00F322B8" w:rsidRPr="00E657D7">
        <w:rPr>
          <w:szCs w:val="20"/>
        </w:rPr>
        <w:t>ation staff</w:t>
      </w:r>
      <w:r w:rsidR="005719C2">
        <w:rPr>
          <w:szCs w:val="20"/>
        </w:rPr>
        <w:t>)</w:t>
      </w:r>
      <w:r w:rsidR="004861D1" w:rsidRPr="00E657D7">
        <w:rPr>
          <w:szCs w:val="20"/>
        </w:rPr>
        <w:t xml:space="preserve">. In </w:t>
      </w:r>
      <w:r w:rsidRPr="00E657D7">
        <w:rPr>
          <w:szCs w:val="20"/>
        </w:rPr>
        <w:t xml:space="preserve">RIS </w:t>
      </w:r>
      <w:r w:rsidR="004861D1" w:rsidRPr="00E657D7">
        <w:rPr>
          <w:szCs w:val="20"/>
        </w:rPr>
        <w:t>Part B, the higher rates are due to the person being registered as a building surveyor and thus being able to command a higher hourly rate with their skills, and</w:t>
      </w:r>
      <w:r w:rsidR="00D27FDE" w:rsidRPr="00E657D7">
        <w:rPr>
          <w:szCs w:val="20"/>
        </w:rPr>
        <w:t xml:space="preserve"> includes </w:t>
      </w:r>
      <w:r w:rsidR="004861D1" w:rsidRPr="00E657D7">
        <w:rPr>
          <w:szCs w:val="20"/>
        </w:rPr>
        <w:t>business overheads (being overheads that would not exist for an individual attempting to enter the building market).</w:t>
      </w:r>
    </w:p>
    <w:p w:rsidR="00E657D7" w:rsidRPr="00E657D7" w:rsidRDefault="004861D1">
      <w:pPr>
        <w:rPr>
          <w:szCs w:val="20"/>
        </w:rPr>
      </w:pPr>
      <w:r w:rsidRPr="00E657D7">
        <w:rPr>
          <w:szCs w:val="20"/>
        </w:rPr>
        <w:t xml:space="preserve">Where </w:t>
      </w:r>
      <w:r w:rsidR="004267C5" w:rsidRPr="00E657D7">
        <w:rPr>
          <w:szCs w:val="20"/>
        </w:rPr>
        <w:t xml:space="preserve">RIS </w:t>
      </w:r>
      <w:r w:rsidRPr="00E657D7">
        <w:rPr>
          <w:szCs w:val="20"/>
        </w:rPr>
        <w:t>Part C costs the hourly rate for existing practitioners (</w:t>
      </w:r>
      <w:r w:rsidR="00D27FDE" w:rsidRPr="00E657D7">
        <w:rPr>
          <w:szCs w:val="20"/>
        </w:rPr>
        <w:t xml:space="preserve">as distinct from </w:t>
      </w:r>
      <w:r w:rsidRPr="00E657D7">
        <w:rPr>
          <w:szCs w:val="20"/>
        </w:rPr>
        <w:t xml:space="preserve">applicants), this rate is also different from the hourly rate in </w:t>
      </w:r>
      <w:r w:rsidR="004267C5" w:rsidRPr="00E657D7">
        <w:rPr>
          <w:szCs w:val="20"/>
        </w:rPr>
        <w:t xml:space="preserve">RIS </w:t>
      </w:r>
      <w:r w:rsidRPr="00E657D7">
        <w:rPr>
          <w:szCs w:val="20"/>
        </w:rPr>
        <w:t xml:space="preserve">Part B. In </w:t>
      </w:r>
      <w:r w:rsidR="004267C5" w:rsidRPr="00E657D7">
        <w:rPr>
          <w:szCs w:val="20"/>
        </w:rPr>
        <w:t xml:space="preserve">RIS </w:t>
      </w:r>
      <w:r w:rsidRPr="00E657D7">
        <w:rPr>
          <w:szCs w:val="20"/>
        </w:rPr>
        <w:t>Part C</w:t>
      </w:r>
      <w:r w:rsidR="00D27FDE" w:rsidRPr="00E657D7">
        <w:rPr>
          <w:szCs w:val="20"/>
        </w:rPr>
        <w:t>,</w:t>
      </w:r>
      <w:r w:rsidRPr="00E657D7">
        <w:rPr>
          <w:szCs w:val="20"/>
        </w:rPr>
        <w:t xml:space="preserve"> the rate for existing practitioners </w:t>
      </w:r>
      <w:r w:rsidR="00D27FDE" w:rsidRPr="00E657D7">
        <w:rPr>
          <w:szCs w:val="20"/>
        </w:rPr>
        <w:t xml:space="preserve">– </w:t>
      </w:r>
      <w:r w:rsidRPr="00E657D7">
        <w:rPr>
          <w:szCs w:val="20"/>
        </w:rPr>
        <w:t>$56.04</w:t>
      </w:r>
      <w:r w:rsidR="00D27FDE" w:rsidRPr="00E657D7">
        <w:rPr>
          <w:szCs w:val="20"/>
        </w:rPr>
        <w:t xml:space="preserve"> per hour – </w:t>
      </w:r>
      <w:r w:rsidRPr="00E657D7">
        <w:rPr>
          <w:szCs w:val="20"/>
        </w:rPr>
        <w:t>refers to an hourly rate for building practitioners in general</w:t>
      </w:r>
      <w:r w:rsidR="00D27FDE" w:rsidRPr="00E657D7">
        <w:rPr>
          <w:szCs w:val="20"/>
        </w:rPr>
        <w:t xml:space="preserve"> </w:t>
      </w:r>
      <w:r w:rsidRPr="00E657D7">
        <w:rPr>
          <w:szCs w:val="20"/>
        </w:rPr>
        <w:t>includ</w:t>
      </w:r>
      <w:r w:rsidR="00D27FDE" w:rsidRPr="00E657D7">
        <w:rPr>
          <w:szCs w:val="20"/>
        </w:rPr>
        <w:t>ing people</w:t>
      </w:r>
      <w:r w:rsidR="004267C5">
        <w:rPr>
          <w:szCs w:val="20"/>
        </w:rPr>
        <w:t xml:space="preserve"> </w:t>
      </w:r>
      <w:r w:rsidRPr="00E657D7">
        <w:rPr>
          <w:szCs w:val="20"/>
        </w:rPr>
        <w:t xml:space="preserve">who may only be registered for limited skilled work that results in limited remuneration. By contrast, the rates in </w:t>
      </w:r>
      <w:r w:rsidR="004267C5" w:rsidRPr="00E657D7">
        <w:rPr>
          <w:szCs w:val="20"/>
        </w:rPr>
        <w:t xml:space="preserve">RIS </w:t>
      </w:r>
      <w:r w:rsidRPr="00E657D7">
        <w:rPr>
          <w:szCs w:val="20"/>
        </w:rPr>
        <w:t>Part B are largely attributable to building surveyors and their admin</w:t>
      </w:r>
      <w:r w:rsidR="00D27FDE" w:rsidRPr="00E657D7">
        <w:rPr>
          <w:szCs w:val="20"/>
        </w:rPr>
        <w:t>istra</w:t>
      </w:r>
      <w:r w:rsidR="00C633FE" w:rsidRPr="00E657D7">
        <w:rPr>
          <w:szCs w:val="20"/>
        </w:rPr>
        <w:t>tion staff</w:t>
      </w:r>
      <w:r w:rsidR="00995450" w:rsidRPr="00E657D7">
        <w:rPr>
          <w:szCs w:val="20"/>
        </w:rPr>
        <w:t>.</w:t>
      </w:r>
    </w:p>
    <w:p w:rsidR="004861D1" w:rsidRPr="00E657D7" w:rsidRDefault="004861D1" w:rsidP="00AF771E">
      <w:pPr>
        <w:rPr>
          <w:szCs w:val="20"/>
        </w:rPr>
      </w:pPr>
      <w:r w:rsidRPr="00E657D7">
        <w:rPr>
          <w:szCs w:val="20"/>
        </w:rPr>
        <w:t xml:space="preserve">The </w:t>
      </w:r>
      <w:r w:rsidR="00195602" w:rsidRPr="00E657D7">
        <w:rPr>
          <w:szCs w:val="20"/>
        </w:rPr>
        <w:t>department</w:t>
      </w:r>
      <w:r w:rsidRPr="00E657D7">
        <w:rPr>
          <w:szCs w:val="20"/>
        </w:rPr>
        <w:t xml:space="preserve"> conducted the analysis for the Victorian variation assessed under </w:t>
      </w:r>
      <w:r w:rsidR="004267C5" w:rsidRPr="00E657D7">
        <w:rPr>
          <w:szCs w:val="20"/>
        </w:rPr>
        <w:t xml:space="preserve">RIS </w:t>
      </w:r>
      <w:r w:rsidR="004267C5">
        <w:rPr>
          <w:szCs w:val="20"/>
        </w:rPr>
        <w:t>P</w:t>
      </w:r>
      <w:r w:rsidR="00EF2008">
        <w:rPr>
          <w:szCs w:val="20"/>
        </w:rPr>
        <w:t>ar</w:t>
      </w:r>
      <w:r w:rsidR="004267C5">
        <w:rPr>
          <w:szCs w:val="20"/>
        </w:rPr>
        <w:t xml:space="preserve">t B </w:t>
      </w:r>
      <w:r w:rsidRPr="00E657D7">
        <w:rPr>
          <w:szCs w:val="20"/>
        </w:rPr>
        <w:t>Appendix C.</w:t>
      </w:r>
    </w:p>
    <w:p w:rsidR="002D5E35" w:rsidRDefault="002D5E35">
      <w:pPr>
        <w:spacing w:after="0"/>
        <w:rPr>
          <w:rFonts w:cstheme="minorHAnsi"/>
          <w:szCs w:val="20"/>
        </w:rPr>
      </w:pPr>
      <w:r>
        <w:rPr>
          <w:rFonts w:cstheme="minorHAnsi"/>
          <w:szCs w:val="20"/>
        </w:rPr>
        <w:br w:type="page"/>
      </w:r>
    </w:p>
    <w:p w:rsidR="004861D1" w:rsidRPr="00E657D7" w:rsidRDefault="00D27FDE" w:rsidP="00AF771E">
      <w:pPr>
        <w:rPr>
          <w:szCs w:val="20"/>
        </w:rPr>
      </w:pPr>
      <w:r w:rsidRPr="00E657D7">
        <w:rPr>
          <w:rFonts w:cstheme="minorHAnsi"/>
          <w:szCs w:val="20"/>
        </w:rPr>
        <w:lastRenderedPageBreak/>
        <w:t>In</w:t>
      </w:r>
      <w:r w:rsidR="004267C5">
        <w:rPr>
          <w:rFonts w:cstheme="minorHAnsi"/>
          <w:szCs w:val="20"/>
        </w:rPr>
        <w:t xml:space="preserve"> </w:t>
      </w:r>
      <w:r w:rsidR="00DE6971">
        <w:fldChar w:fldCharType="begin"/>
      </w:r>
      <w:r w:rsidR="00DE6971">
        <w:instrText xml:space="preserve"> REF _Ref480975823 \h  \* MERGEFORMAT </w:instrText>
      </w:r>
      <w:r w:rsidR="00DE6971">
        <w:fldChar w:fldCharType="separate"/>
      </w:r>
      <w:r w:rsidR="00B30389" w:rsidRPr="00B30389">
        <w:rPr>
          <w:b/>
          <w:color w:val="00B2A9" w:themeColor="accent1"/>
          <w:szCs w:val="20"/>
        </w:rPr>
        <w:t>Table 5</w:t>
      </w:r>
      <w:r w:rsidR="00DE6971">
        <w:fldChar w:fldCharType="end"/>
      </w:r>
      <w:r w:rsidRPr="00E657D7">
        <w:rPr>
          <w:rFonts w:cstheme="minorHAnsi"/>
          <w:szCs w:val="20"/>
        </w:rPr>
        <w:t xml:space="preserve"> and </w:t>
      </w:r>
      <w:r w:rsidR="00DE6971">
        <w:fldChar w:fldCharType="begin"/>
      </w:r>
      <w:r w:rsidR="00DE6971">
        <w:instrText xml:space="preserve"> REF _Ref480975827 \h  \* MERGEFORMAT </w:instrText>
      </w:r>
      <w:r w:rsidR="00DE6971">
        <w:fldChar w:fldCharType="separate"/>
      </w:r>
      <w:r w:rsidR="00B30389" w:rsidRPr="00B30389">
        <w:rPr>
          <w:b/>
          <w:color w:val="00B2A9" w:themeColor="accent1"/>
          <w:szCs w:val="20"/>
        </w:rPr>
        <w:t>Table 6</w:t>
      </w:r>
      <w:r w:rsidR="00DE6971">
        <w:fldChar w:fldCharType="end"/>
      </w:r>
      <w:r w:rsidR="004861D1" w:rsidRPr="00E657D7">
        <w:rPr>
          <w:rFonts w:cstheme="minorHAnsi"/>
          <w:szCs w:val="20"/>
        </w:rPr>
        <w:t>, the</w:t>
      </w:r>
      <w:r w:rsidR="004861D1" w:rsidRPr="00E657D7">
        <w:rPr>
          <w:szCs w:val="20"/>
        </w:rPr>
        <w:t xml:space="preserve"> costs are relative to the </w:t>
      </w:r>
      <w:r w:rsidR="00195602" w:rsidRPr="00E657D7">
        <w:rPr>
          <w:szCs w:val="20"/>
        </w:rPr>
        <w:t>b</w:t>
      </w:r>
      <w:r w:rsidR="004861D1" w:rsidRPr="00E657D7">
        <w:rPr>
          <w:szCs w:val="20"/>
        </w:rPr>
        <w:t xml:space="preserve">ase </w:t>
      </w:r>
      <w:r w:rsidR="00195602" w:rsidRPr="00E657D7">
        <w:rPr>
          <w:szCs w:val="20"/>
        </w:rPr>
        <w:t>c</w:t>
      </w:r>
      <w:r w:rsidR="004861D1" w:rsidRPr="00E657D7">
        <w:rPr>
          <w:szCs w:val="20"/>
        </w:rPr>
        <w:t xml:space="preserve">ase where no </w:t>
      </w:r>
      <w:r w:rsidR="008911CB" w:rsidRPr="00E657D7">
        <w:rPr>
          <w:szCs w:val="20"/>
        </w:rPr>
        <w:t>Regulations</w:t>
      </w:r>
      <w:r w:rsidR="004861D1" w:rsidRPr="00E657D7">
        <w:rPr>
          <w:szCs w:val="20"/>
        </w:rPr>
        <w:t xml:space="preserve"> would be </w:t>
      </w:r>
      <w:r w:rsidRPr="00E657D7">
        <w:rPr>
          <w:szCs w:val="20"/>
        </w:rPr>
        <w:t>made</w:t>
      </w:r>
      <w:r w:rsidR="004861D1" w:rsidRPr="00E657D7">
        <w:rPr>
          <w:szCs w:val="20"/>
        </w:rPr>
        <w:t xml:space="preserve">. </w:t>
      </w:r>
      <w:r w:rsidRPr="00E657D7">
        <w:rPr>
          <w:szCs w:val="20"/>
        </w:rPr>
        <w:t>A</w:t>
      </w:r>
      <w:r w:rsidR="004861D1" w:rsidRPr="00E657D7">
        <w:rPr>
          <w:szCs w:val="20"/>
        </w:rPr>
        <w:t>lso</w:t>
      </w:r>
      <w:r w:rsidRPr="00E657D7">
        <w:rPr>
          <w:szCs w:val="20"/>
        </w:rPr>
        <w:t xml:space="preserve">, </w:t>
      </w:r>
      <w:r w:rsidR="004861D1" w:rsidRPr="00E657D7">
        <w:rPr>
          <w:szCs w:val="20"/>
        </w:rPr>
        <w:t>each option has been costed independently of other options and the combined cost</w:t>
      </w:r>
      <w:r w:rsidRPr="00E657D7">
        <w:rPr>
          <w:szCs w:val="20"/>
        </w:rPr>
        <w:t>-</w:t>
      </w:r>
      <w:r w:rsidR="004861D1" w:rsidRPr="00E657D7">
        <w:rPr>
          <w:szCs w:val="20"/>
        </w:rPr>
        <w:t xml:space="preserve">benefit effect of </w:t>
      </w:r>
      <w:r w:rsidR="00AC0013" w:rsidRPr="00E657D7">
        <w:rPr>
          <w:szCs w:val="20"/>
        </w:rPr>
        <w:t>some</w:t>
      </w:r>
      <w:r w:rsidR="004861D1" w:rsidRPr="00E657D7">
        <w:rPr>
          <w:szCs w:val="20"/>
        </w:rPr>
        <w:t xml:space="preserve"> options has not been calculated</w:t>
      </w:r>
      <w:r w:rsidRPr="00E657D7">
        <w:rPr>
          <w:szCs w:val="20"/>
        </w:rPr>
        <w:t xml:space="preserve">, </w:t>
      </w:r>
      <w:r w:rsidR="004861D1" w:rsidRPr="00E657D7">
        <w:rPr>
          <w:szCs w:val="20"/>
        </w:rPr>
        <w:t>because the cost</w:t>
      </w:r>
      <w:r w:rsidRPr="00E657D7">
        <w:rPr>
          <w:szCs w:val="20"/>
        </w:rPr>
        <w:t>s</w:t>
      </w:r>
      <w:r w:rsidR="004861D1" w:rsidRPr="00E657D7">
        <w:rPr>
          <w:szCs w:val="20"/>
        </w:rPr>
        <w:t xml:space="preserve"> and benefits are not additive. For </w:t>
      </w:r>
      <w:r w:rsidR="00D90FC3" w:rsidRPr="00E657D7">
        <w:rPr>
          <w:szCs w:val="20"/>
        </w:rPr>
        <w:t>most</w:t>
      </w:r>
      <w:r w:rsidR="004861D1" w:rsidRPr="00E657D7">
        <w:rPr>
          <w:szCs w:val="20"/>
        </w:rPr>
        <w:t xml:space="preserve"> topics that have been quantitatively assessed in </w:t>
      </w:r>
      <w:r w:rsidR="005E2285">
        <w:rPr>
          <w:szCs w:val="20"/>
        </w:rPr>
        <w:t>the RIS</w:t>
      </w:r>
      <w:r w:rsidR="004861D1" w:rsidRPr="00E657D7">
        <w:rPr>
          <w:szCs w:val="20"/>
        </w:rPr>
        <w:t>, a breakeven analysis has been undertaken</w:t>
      </w:r>
      <w:r w:rsidRPr="00E657D7">
        <w:rPr>
          <w:szCs w:val="20"/>
        </w:rPr>
        <w:t>,</w:t>
      </w:r>
      <w:r w:rsidR="004267C5">
        <w:rPr>
          <w:szCs w:val="20"/>
        </w:rPr>
        <w:t xml:space="preserve"> </w:t>
      </w:r>
      <w:r w:rsidR="004861D1" w:rsidRPr="00E657D7">
        <w:rPr>
          <w:szCs w:val="20"/>
        </w:rPr>
        <w:t xml:space="preserve">due to the difficulty for most </w:t>
      </w:r>
      <w:r w:rsidR="008911CB" w:rsidRPr="00E657D7">
        <w:rPr>
          <w:szCs w:val="20"/>
        </w:rPr>
        <w:t>Regulations</w:t>
      </w:r>
      <w:r w:rsidR="004861D1" w:rsidRPr="00E657D7">
        <w:rPr>
          <w:szCs w:val="20"/>
        </w:rPr>
        <w:t xml:space="preserve"> </w:t>
      </w:r>
      <w:r w:rsidRPr="00E657D7">
        <w:rPr>
          <w:szCs w:val="20"/>
        </w:rPr>
        <w:t xml:space="preserve">of </w:t>
      </w:r>
      <w:r w:rsidR="004861D1" w:rsidRPr="00E657D7">
        <w:rPr>
          <w:szCs w:val="20"/>
        </w:rPr>
        <w:t>establishing what would occur in their absence.</w:t>
      </w:r>
    </w:p>
    <w:p w:rsidR="00D615BC" w:rsidRPr="00E657D7" w:rsidRDefault="004861D1" w:rsidP="00AF771E">
      <w:pPr>
        <w:rPr>
          <w:szCs w:val="20"/>
        </w:rPr>
      </w:pPr>
      <w:r w:rsidRPr="00E657D7">
        <w:rPr>
          <w:szCs w:val="20"/>
        </w:rPr>
        <w:t xml:space="preserve">In addition, there are </w:t>
      </w:r>
      <w:r w:rsidR="00AC0013" w:rsidRPr="00E657D7">
        <w:rPr>
          <w:szCs w:val="20"/>
        </w:rPr>
        <w:t>some</w:t>
      </w:r>
      <w:r w:rsidRPr="00E657D7">
        <w:rPr>
          <w:szCs w:val="20"/>
        </w:rPr>
        <w:t xml:space="preserve"> topics </w:t>
      </w:r>
      <w:r w:rsidR="00D27FDE" w:rsidRPr="00E657D7">
        <w:rPr>
          <w:szCs w:val="20"/>
        </w:rPr>
        <w:t xml:space="preserve">for which </w:t>
      </w:r>
      <w:r w:rsidRPr="00E657D7">
        <w:rPr>
          <w:szCs w:val="20"/>
        </w:rPr>
        <w:t>the costs and benefits were not quantifiable,</w:t>
      </w:r>
      <w:r w:rsidR="00D27FDE" w:rsidRPr="00E657D7">
        <w:rPr>
          <w:szCs w:val="20"/>
        </w:rPr>
        <w:t xml:space="preserve"> and </w:t>
      </w:r>
      <w:r w:rsidRPr="00E657D7">
        <w:rPr>
          <w:szCs w:val="20"/>
        </w:rPr>
        <w:t>they are described qualitatively in the RIS.</w:t>
      </w:r>
    </w:p>
    <w:p w:rsidR="00E657D7" w:rsidRDefault="00932919">
      <w:pPr>
        <w:pStyle w:val="Caption"/>
      </w:pPr>
      <w:bookmarkStart w:id="149" w:name="_Ref480975823"/>
      <w:bookmarkStart w:id="150" w:name="_Toc481499864"/>
      <w:r w:rsidRPr="00427EE1">
        <w:t xml:space="preserve">Table </w:t>
      </w:r>
      <w:r w:rsidR="00AC1A59" w:rsidRPr="00427EE1">
        <w:fldChar w:fldCharType="begin"/>
      </w:r>
      <w:r w:rsidRPr="00427EE1">
        <w:instrText xml:space="preserve"> SEQ Table \* ARABIC </w:instrText>
      </w:r>
      <w:r w:rsidR="00AC1A59" w:rsidRPr="00427EE1">
        <w:fldChar w:fldCharType="separate"/>
      </w:r>
      <w:r w:rsidR="00B30389">
        <w:rPr>
          <w:noProof/>
        </w:rPr>
        <w:t>5</w:t>
      </w:r>
      <w:r w:rsidR="00AC1A59" w:rsidRPr="00427EE1">
        <w:fldChar w:fldCharType="end"/>
      </w:r>
      <w:bookmarkEnd w:id="149"/>
      <w:r w:rsidRPr="00427EE1">
        <w:t>: Cost</w:t>
      </w:r>
      <w:r w:rsidR="007C5A88">
        <w:t>–</w:t>
      </w:r>
      <w:r w:rsidRPr="00427EE1">
        <w:t>benefit analysis</w:t>
      </w:r>
      <w:r w:rsidR="00502243" w:rsidRPr="00502243">
        <w:t xml:space="preserve"> </w:t>
      </w:r>
      <w:r w:rsidR="00502243">
        <w:t>for p</w:t>
      </w:r>
      <w:r w:rsidR="00502243" w:rsidRPr="00427EE1">
        <w:t xml:space="preserve">referred options </w:t>
      </w:r>
      <w:r w:rsidR="00502243">
        <w:t xml:space="preserve">in </w:t>
      </w:r>
      <w:r w:rsidR="004267C5">
        <w:t xml:space="preserve">RIS </w:t>
      </w:r>
      <w:r w:rsidR="00502243" w:rsidRPr="00427EE1">
        <w:t xml:space="preserve">Part B: Design, </w:t>
      </w:r>
      <w:r w:rsidR="00502243">
        <w:t>c</w:t>
      </w:r>
      <w:r w:rsidR="00502243" w:rsidRPr="00427EE1">
        <w:t xml:space="preserve">onstruction, </w:t>
      </w:r>
      <w:r w:rsidR="00502243">
        <w:t>c</w:t>
      </w:r>
      <w:r w:rsidR="00502243" w:rsidRPr="00427EE1">
        <w:t>ompletion</w:t>
      </w:r>
      <w:r w:rsidR="00A14EA0">
        <w:t xml:space="preserve"> </w:t>
      </w:r>
      <w:r w:rsidR="00502243" w:rsidRPr="00427EE1">
        <w:t>/</w:t>
      </w:r>
      <w:r w:rsidR="00A14EA0">
        <w:t xml:space="preserve"> </w:t>
      </w:r>
      <w:r w:rsidR="00502243">
        <w:t>u</w:t>
      </w:r>
      <w:r w:rsidR="00502243" w:rsidRPr="00427EE1">
        <w:t xml:space="preserve">se and </w:t>
      </w:r>
      <w:r w:rsidR="00502243">
        <w:t>o</w:t>
      </w:r>
      <w:r w:rsidR="00502243" w:rsidRPr="00427EE1">
        <w:t xml:space="preserve">ther </w:t>
      </w:r>
      <w:r w:rsidR="00502243">
        <w:t>t</w:t>
      </w:r>
      <w:r w:rsidR="00502243" w:rsidRPr="00427EE1">
        <w:t>opics</w:t>
      </w:r>
      <w:bookmarkEnd w:id="150"/>
    </w:p>
    <w:tbl>
      <w:tblPr>
        <w:tblStyle w:val="MediumGrid3-Accent4"/>
        <w:tblW w:w="8222" w:type="dxa"/>
        <w:tblLook w:val="04A0" w:firstRow="1" w:lastRow="0" w:firstColumn="1" w:lastColumn="0" w:noHBand="0" w:noVBand="1"/>
      </w:tblPr>
      <w:tblGrid>
        <w:gridCol w:w="1668"/>
        <w:gridCol w:w="2477"/>
        <w:gridCol w:w="4077"/>
      </w:tblGrid>
      <w:tr w:rsidR="00932919" w:rsidRPr="00701263" w:rsidTr="000357A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8" w:type="dxa"/>
            <w:tcBorders>
              <w:top w:val="none" w:sz="0" w:space="0" w:color="auto"/>
              <w:left w:val="none" w:sz="0" w:space="0" w:color="auto"/>
              <w:bottom w:val="single" w:sz="6" w:space="0" w:color="FFFFFF" w:themeColor="background1"/>
              <w:right w:val="none" w:sz="0" w:space="0" w:color="auto"/>
            </w:tcBorders>
            <w:shd w:val="clear" w:color="auto" w:fill="00B2A9" w:themeFill="accent1"/>
          </w:tcPr>
          <w:p w:rsidR="00932919" w:rsidRPr="00701263" w:rsidRDefault="00932919" w:rsidP="004E4C36">
            <w:pPr>
              <w:pStyle w:val="Tablecolumnhead"/>
              <w:rPr>
                <w:sz w:val="18"/>
                <w:szCs w:val="18"/>
              </w:rPr>
            </w:pPr>
            <w:r w:rsidRPr="00701263">
              <w:rPr>
                <w:sz w:val="18"/>
                <w:szCs w:val="18"/>
              </w:rPr>
              <w:t>Topic</w:t>
            </w:r>
          </w:p>
        </w:tc>
        <w:tc>
          <w:tcPr>
            <w:tcW w:w="2477" w:type="dxa"/>
            <w:tcBorders>
              <w:top w:val="none" w:sz="0" w:space="0" w:color="auto"/>
              <w:left w:val="none" w:sz="0" w:space="0" w:color="auto"/>
              <w:bottom w:val="none" w:sz="0" w:space="0" w:color="auto"/>
              <w:right w:val="none" w:sz="0" w:space="0" w:color="auto"/>
            </w:tcBorders>
            <w:shd w:val="clear" w:color="auto" w:fill="00B2A9" w:themeFill="accent1"/>
          </w:tcPr>
          <w:p w:rsidR="00932919" w:rsidRPr="00701263" w:rsidRDefault="00AC1A59" w:rsidP="004E4C36">
            <w:pPr>
              <w:pStyle w:val="Tablecolumnhead"/>
              <w:numPr>
                <w:ilvl w:val="0"/>
                <w:numId w:val="7"/>
              </w:numPr>
              <w:outlineLvl w:val="0"/>
              <w:cnfStyle w:val="100000000000" w:firstRow="1" w:lastRow="0" w:firstColumn="0" w:lastColumn="0" w:oddVBand="0" w:evenVBand="0" w:oddHBand="0" w:evenHBand="0" w:firstRowFirstColumn="0" w:firstRowLastColumn="0" w:lastRowFirstColumn="0" w:lastRowLastColumn="0"/>
              <w:rPr>
                <w:rFonts w:ascii="Arial Bold" w:hAnsi="Arial Bold"/>
                <w:spacing w:val="-10"/>
                <w:sz w:val="18"/>
                <w:szCs w:val="18"/>
              </w:rPr>
            </w:pPr>
            <w:r w:rsidRPr="00701263">
              <w:rPr>
                <w:rFonts w:ascii="Arial Bold" w:hAnsi="Arial Bold"/>
                <w:spacing w:val="-10"/>
                <w:sz w:val="18"/>
                <w:szCs w:val="18"/>
              </w:rPr>
              <w:t xml:space="preserve">Costs (NPV </w:t>
            </w:r>
            <w:r w:rsidR="00C85843" w:rsidRPr="006119D2">
              <w:rPr>
                <w:rStyle w:val="FootnoteReference"/>
                <w:rFonts w:ascii="Arial Bold" w:hAnsi="Arial Bold"/>
                <w:color w:val="FFFFFF" w:themeColor="background1"/>
                <w:spacing w:val="-10"/>
                <w:sz w:val="18"/>
                <w:szCs w:val="18"/>
              </w:rPr>
              <w:footnoteReference w:id="58"/>
            </w:r>
            <w:r w:rsidRPr="0049530B">
              <w:rPr>
                <w:rFonts w:ascii="Arial Bold" w:hAnsi="Arial Bold"/>
                <w:spacing w:val="-10"/>
                <w:sz w:val="18"/>
                <w:szCs w:val="18"/>
              </w:rPr>
              <w:t>o</w:t>
            </w:r>
            <w:r w:rsidRPr="00701263">
              <w:rPr>
                <w:rFonts w:ascii="Arial Bold" w:hAnsi="Arial Bold"/>
                <w:spacing w:val="-10"/>
                <w:sz w:val="18"/>
                <w:szCs w:val="18"/>
              </w:rPr>
              <w:t>ver 10 years)</w:t>
            </w:r>
          </w:p>
        </w:tc>
        <w:tc>
          <w:tcPr>
            <w:tcW w:w="4077" w:type="dxa"/>
            <w:tcBorders>
              <w:top w:val="none" w:sz="0" w:space="0" w:color="auto"/>
              <w:left w:val="none" w:sz="0" w:space="0" w:color="auto"/>
              <w:bottom w:val="none" w:sz="0" w:space="0" w:color="auto"/>
              <w:right w:val="none" w:sz="0" w:space="0" w:color="auto"/>
            </w:tcBorders>
            <w:shd w:val="clear" w:color="auto" w:fill="00B2A9" w:themeFill="accent1"/>
          </w:tcPr>
          <w:p w:rsidR="00932919" w:rsidRPr="00701263" w:rsidRDefault="00932919" w:rsidP="004E4C36">
            <w:pPr>
              <w:pStyle w:val="Tablecolumnhead"/>
              <w:cnfStyle w:val="100000000000" w:firstRow="1" w:lastRow="0" w:firstColumn="0" w:lastColumn="0" w:oddVBand="0" w:evenVBand="0" w:oddHBand="0" w:evenHBand="0" w:firstRowFirstColumn="0" w:firstRowLastColumn="0" w:lastRowFirstColumn="0" w:lastRowLastColumn="0"/>
              <w:rPr>
                <w:sz w:val="18"/>
                <w:szCs w:val="18"/>
              </w:rPr>
            </w:pPr>
            <w:r w:rsidRPr="00701263">
              <w:rPr>
                <w:sz w:val="18"/>
                <w:szCs w:val="18"/>
              </w:rPr>
              <w:t>Benefits (NPV over 10 years)</w:t>
            </w:r>
          </w:p>
        </w:tc>
      </w:tr>
      <w:tr w:rsidR="00932919" w:rsidRPr="00701263" w:rsidTr="000357A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668" w:type="dxa"/>
            <w:tcBorders>
              <w:top w:val="single" w:sz="6" w:space="0" w:color="FFFFFF" w:themeColor="background1"/>
              <w:left w:val="none" w:sz="0" w:space="0" w:color="auto"/>
              <w:bottom w:val="dotted" w:sz="4" w:space="0" w:color="00B2A9" w:themeColor="accent1"/>
              <w:right w:val="none" w:sz="0" w:space="0" w:color="auto"/>
            </w:tcBorders>
            <w:shd w:val="clear" w:color="auto" w:fill="auto"/>
          </w:tcPr>
          <w:p w:rsidR="00932919" w:rsidRPr="00357AB4" w:rsidRDefault="00AC1A59" w:rsidP="004E4C36">
            <w:pPr>
              <w:pStyle w:val="Tabletext"/>
              <w:rPr>
                <w:b w:val="0"/>
                <w:sz w:val="18"/>
                <w:szCs w:val="18"/>
                <w:lang w:val="en-AU"/>
              </w:rPr>
            </w:pPr>
            <w:r w:rsidRPr="00357AB4">
              <w:rPr>
                <w:sz w:val="18"/>
                <w:szCs w:val="18"/>
                <w:lang w:val="en-AU"/>
              </w:rPr>
              <w:t>Siting</w:t>
            </w:r>
          </w:p>
        </w:tc>
        <w:tc>
          <w:tcPr>
            <w:tcW w:w="2477" w:type="dxa"/>
            <w:tcBorders>
              <w:top w:val="none" w:sz="0" w:space="0" w:color="auto"/>
              <w:left w:val="none" w:sz="0" w:space="0" w:color="auto"/>
              <w:bottom w:val="none" w:sz="0" w:space="0" w:color="auto"/>
              <w:right w:val="none" w:sz="0" w:space="0" w:color="auto"/>
            </w:tcBorders>
            <w:shd w:val="clear" w:color="auto" w:fill="C1ECEA" w:themeFill="accent4" w:themeFillTint="99"/>
          </w:tcPr>
          <w:p w:rsidR="00932919" w:rsidRPr="00701263" w:rsidRDefault="00932919" w:rsidP="004E4C36">
            <w:pPr>
              <w:pStyle w:val="Tabletext"/>
              <w:cnfStyle w:val="000000100000" w:firstRow="0" w:lastRow="0" w:firstColumn="0" w:lastColumn="0" w:oddVBand="0" w:evenVBand="0" w:oddHBand="1" w:evenHBand="0" w:firstRowFirstColumn="0" w:firstRowLastColumn="0" w:lastRowFirstColumn="0" w:lastRowLastColumn="0"/>
              <w:rPr>
                <w:sz w:val="18"/>
                <w:szCs w:val="18"/>
                <w:lang w:val="en-AU"/>
              </w:rPr>
            </w:pPr>
            <w:r w:rsidRPr="00701263">
              <w:rPr>
                <w:sz w:val="18"/>
                <w:szCs w:val="18"/>
                <w:lang w:val="en-AU"/>
              </w:rPr>
              <w:t>N/A</w:t>
            </w:r>
          </w:p>
        </w:tc>
        <w:tc>
          <w:tcPr>
            <w:tcW w:w="4077" w:type="dxa"/>
            <w:tcBorders>
              <w:top w:val="none" w:sz="0" w:space="0" w:color="auto"/>
              <w:left w:val="none" w:sz="0" w:space="0" w:color="auto"/>
              <w:bottom w:val="none" w:sz="0" w:space="0" w:color="auto"/>
              <w:right w:val="none" w:sz="0" w:space="0" w:color="auto"/>
            </w:tcBorders>
            <w:shd w:val="clear" w:color="auto" w:fill="C1ECEA" w:themeFill="accent4" w:themeFillTint="99"/>
          </w:tcPr>
          <w:p w:rsidR="00932919" w:rsidRPr="00701263" w:rsidRDefault="00932919" w:rsidP="004E4C36">
            <w:pPr>
              <w:pStyle w:val="Tabletext"/>
              <w:cnfStyle w:val="000000100000" w:firstRow="0" w:lastRow="0" w:firstColumn="0" w:lastColumn="0" w:oddVBand="0" w:evenVBand="0" w:oddHBand="1" w:evenHBand="0" w:firstRowFirstColumn="0" w:firstRowLastColumn="0" w:lastRowFirstColumn="0" w:lastRowLastColumn="0"/>
              <w:rPr>
                <w:sz w:val="18"/>
                <w:szCs w:val="18"/>
                <w:lang w:val="en-AU"/>
              </w:rPr>
            </w:pPr>
            <w:r w:rsidRPr="00701263">
              <w:rPr>
                <w:sz w:val="18"/>
                <w:szCs w:val="18"/>
                <w:lang w:val="en-AU"/>
              </w:rPr>
              <w:t>$170.6 m</w:t>
            </w:r>
          </w:p>
        </w:tc>
      </w:tr>
      <w:tr w:rsidR="00932919" w:rsidRPr="00701263" w:rsidTr="000357AD">
        <w:tc>
          <w:tcPr>
            <w:cnfStyle w:val="001000000000" w:firstRow="0" w:lastRow="0" w:firstColumn="1" w:lastColumn="0" w:oddVBand="0" w:evenVBand="0" w:oddHBand="0" w:evenHBand="0" w:firstRowFirstColumn="0" w:firstRowLastColumn="0" w:lastRowFirstColumn="0" w:lastRowLastColumn="0"/>
            <w:tcW w:w="1668" w:type="dxa"/>
            <w:tcBorders>
              <w:top w:val="dotted" w:sz="4" w:space="0" w:color="00B2A9" w:themeColor="accent1"/>
              <w:left w:val="none" w:sz="0" w:space="0" w:color="auto"/>
              <w:bottom w:val="dotted" w:sz="4" w:space="0" w:color="00B2A9" w:themeColor="accent1"/>
              <w:right w:val="none" w:sz="0" w:space="0" w:color="auto"/>
            </w:tcBorders>
            <w:shd w:val="clear" w:color="auto" w:fill="auto"/>
          </w:tcPr>
          <w:p w:rsidR="00932919" w:rsidRPr="00357AB4" w:rsidRDefault="00AC1A59" w:rsidP="004E4C36">
            <w:pPr>
              <w:pStyle w:val="Tabletext"/>
              <w:rPr>
                <w:b w:val="0"/>
                <w:sz w:val="18"/>
                <w:szCs w:val="18"/>
                <w:lang w:val="en-AU"/>
              </w:rPr>
            </w:pPr>
            <w:r w:rsidRPr="00357AB4">
              <w:rPr>
                <w:sz w:val="18"/>
                <w:szCs w:val="18"/>
                <w:lang w:val="en-AU"/>
              </w:rPr>
              <w:t>Swimming pool barriers</w:t>
            </w:r>
          </w:p>
        </w:tc>
        <w:tc>
          <w:tcPr>
            <w:tcW w:w="2477" w:type="dxa"/>
          </w:tcPr>
          <w:p w:rsidR="00932919" w:rsidRPr="00701263" w:rsidRDefault="00932919" w:rsidP="00D27FDE">
            <w:pPr>
              <w:pStyle w:val="Tabletext"/>
              <w:cnfStyle w:val="000000000000" w:firstRow="0" w:lastRow="0" w:firstColumn="0" w:lastColumn="0" w:oddVBand="0" w:evenVBand="0" w:oddHBand="0" w:evenHBand="0" w:firstRowFirstColumn="0" w:firstRowLastColumn="0" w:lastRowFirstColumn="0" w:lastRowLastColumn="0"/>
              <w:rPr>
                <w:sz w:val="18"/>
                <w:szCs w:val="18"/>
                <w:lang w:val="en-AU"/>
              </w:rPr>
            </w:pPr>
            <w:r w:rsidRPr="00701263">
              <w:rPr>
                <w:sz w:val="18"/>
                <w:szCs w:val="18"/>
                <w:lang w:val="en-AU"/>
              </w:rPr>
              <w:t>$221.4 m</w:t>
            </w:r>
            <w:r w:rsidR="00D27FDE" w:rsidRPr="00701263">
              <w:rPr>
                <w:sz w:val="18"/>
                <w:szCs w:val="18"/>
                <w:lang w:val="en-AU"/>
              </w:rPr>
              <w:t>–</w:t>
            </w:r>
            <w:r w:rsidRPr="00701263">
              <w:rPr>
                <w:sz w:val="18"/>
                <w:szCs w:val="18"/>
                <w:lang w:val="en-AU"/>
              </w:rPr>
              <w:t>$395.8 m</w:t>
            </w:r>
          </w:p>
        </w:tc>
        <w:tc>
          <w:tcPr>
            <w:tcW w:w="4077" w:type="dxa"/>
          </w:tcPr>
          <w:p w:rsidR="00932919" w:rsidRPr="00701263" w:rsidRDefault="00932919" w:rsidP="00D27FDE">
            <w:pPr>
              <w:pStyle w:val="Tabletext"/>
              <w:cnfStyle w:val="000000000000" w:firstRow="0" w:lastRow="0" w:firstColumn="0" w:lastColumn="0" w:oddVBand="0" w:evenVBand="0" w:oddHBand="0" w:evenHBand="0" w:firstRowFirstColumn="0" w:firstRowLastColumn="0" w:lastRowFirstColumn="0" w:lastRowLastColumn="0"/>
              <w:rPr>
                <w:sz w:val="18"/>
                <w:szCs w:val="18"/>
                <w:lang w:val="en-AU"/>
              </w:rPr>
            </w:pPr>
            <w:r w:rsidRPr="00701263">
              <w:rPr>
                <w:sz w:val="18"/>
                <w:szCs w:val="18"/>
                <w:lang w:val="en-AU"/>
              </w:rPr>
              <w:t>$115.6 m</w:t>
            </w:r>
            <w:r w:rsidR="00D27FDE" w:rsidRPr="00701263">
              <w:rPr>
                <w:sz w:val="18"/>
                <w:szCs w:val="18"/>
                <w:lang w:val="en-AU"/>
              </w:rPr>
              <w:t>–</w:t>
            </w:r>
            <w:r w:rsidRPr="00701263">
              <w:rPr>
                <w:sz w:val="18"/>
                <w:szCs w:val="18"/>
                <w:lang w:val="en-AU"/>
              </w:rPr>
              <w:t>$185.0 m</w:t>
            </w:r>
          </w:p>
        </w:tc>
      </w:tr>
    </w:tbl>
    <w:p w:rsidR="00E657D7" w:rsidRDefault="00E657D7"/>
    <w:p w:rsidR="00932919" w:rsidRPr="00427EE1" w:rsidRDefault="00932919" w:rsidP="004E4C36">
      <w:pPr>
        <w:pStyle w:val="Caption"/>
        <w:rPr>
          <w:rFonts w:eastAsia="Calibri"/>
        </w:rPr>
      </w:pPr>
      <w:bookmarkStart w:id="151" w:name="_Ref480975827"/>
      <w:bookmarkStart w:id="152" w:name="_Toc481499865"/>
      <w:r w:rsidRPr="00427EE1">
        <w:t xml:space="preserve">Table </w:t>
      </w:r>
      <w:r w:rsidR="00AC1A59" w:rsidRPr="00427EE1">
        <w:fldChar w:fldCharType="begin"/>
      </w:r>
      <w:r w:rsidRPr="00427EE1">
        <w:instrText xml:space="preserve"> SEQ Table \* ARABIC </w:instrText>
      </w:r>
      <w:r w:rsidR="00AC1A59" w:rsidRPr="00427EE1">
        <w:fldChar w:fldCharType="separate"/>
      </w:r>
      <w:r w:rsidR="00B30389">
        <w:rPr>
          <w:noProof/>
        </w:rPr>
        <w:t>6</w:t>
      </w:r>
      <w:r w:rsidR="00AC1A59" w:rsidRPr="00427EE1">
        <w:fldChar w:fldCharType="end"/>
      </w:r>
      <w:bookmarkEnd w:id="151"/>
      <w:r w:rsidRPr="00427EE1">
        <w:t xml:space="preserve">: </w:t>
      </w:r>
      <w:r w:rsidR="00D615BC" w:rsidRPr="00427EE1">
        <w:t>Breakeven analysis</w:t>
      </w:r>
      <w:r w:rsidR="00570BF4">
        <w:t xml:space="preserve"> for p</w:t>
      </w:r>
      <w:r w:rsidR="00570BF4" w:rsidRPr="00427EE1">
        <w:t xml:space="preserve">referred options </w:t>
      </w:r>
      <w:r w:rsidR="00570BF4">
        <w:t xml:space="preserve">in </w:t>
      </w:r>
      <w:r w:rsidR="004267C5">
        <w:t xml:space="preserve">RIS </w:t>
      </w:r>
      <w:r w:rsidR="00570BF4" w:rsidRPr="00427EE1">
        <w:t xml:space="preserve">Part B: Design, </w:t>
      </w:r>
      <w:r w:rsidR="00570BF4">
        <w:t>c</w:t>
      </w:r>
      <w:r w:rsidR="00570BF4" w:rsidRPr="00427EE1">
        <w:t xml:space="preserve">onstruction, </w:t>
      </w:r>
      <w:r w:rsidR="00570BF4">
        <w:t>c</w:t>
      </w:r>
      <w:r w:rsidR="00570BF4" w:rsidRPr="00427EE1">
        <w:t>ompletion</w:t>
      </w:r>
      <w:r w:rsidR="00A14EA0">
        <w:t xml:space="preserve"> </w:t>
      </w:r>
      <w:r w:rsidR="00570BF4" w:rsidRPr="00427EE1">
        <w:t>/</w:t>
      </w:r>
      <w:r w:rsidR="00A14EA0">
        <w:t xml:space="preserve"> </w:t>
      </w:r>
      <w:r w:rsidR="00570BF4">
        <w:t>u</w:t>
      </w:r>
      <w:r w:rsidR="00570BF4" w:rsidRPr="00427EE1">
        <w:t xml:space="preserve">se and </w:t>
      </w:r>
      <w:r w:rsidR="00570BF4">
        <w:t>o</w:t>
      </w:r>
      <w:r w:rsidR="00570BF4" w:rsidRPr="00427EE1">
        <w:t xml:space="preserve">ther </w:t>
      </w:r>
      <w:r w:rsidR="00570BF4">
        <w:t>t</w:t>
      </w:r>
      <w:r w:rsidR="00570BF4" w:rsidRPr="00427EE1">
        <w:t>opics</w:t>
      </w:r>
      <w:bookmarkEnd w:id="152"/>
    </w:p>
    <w:tbl>
      <w:tblPr>
        <w:tblStyle w:val="MediumGrid3-Accent4"/>
        <w:tblW w:w="8222" w:type="dxa"/>
        <w:tblLayout w:type="fixed"/>
        <w:tblLook w:val="04A0" w:firstRow="1" w:lastRow="0" w:firstColumn="1" w:lastColumn="0" w:noHBand="0" w:noVBand="1"/>
      </w:tblPr>
      <w:tblGrid>
        <w:gridCol w:w="1668"/>
        <w:gridCol w:w="2486"/>
        <w:gridCol w:w="4068"/>
      </w:tblGrid>
      <w:tr w:rsidR="00932919" w:rsidRPr="00701263" w:rsidTr="000357A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8" w:type="dxa"/>
            <w:tcBorders>
              <w:top w:val="none" w:sz="0" w:space="0" w:color="auto"/>
              <w:left w:val="none" w:sz="0" w:space="0" w:color="auto"/>
              <w:bottom w:val="single" w:sz="6" w:space="0" w:color="FFFFFF" w:themeColor="background1"/>
              <w:right w:val="none" w:sz="0" w:space="0" w:color="auto"/>
            </w:tcBorders>
            <w:shd w:val="clear" w:color="auto" w:fill="00B2A9" w:themeFill="accent1"/>
          </w:tcPr>
          <w:p w:rsidR="00932919" w:rsidRPr="00701263" w:rsidRDefault="00932919" w:rsidP="004E4C36">
            <w:pPr>
              <w:pStyle w:val="Tablecolumnhead"/>
              <w:rPr>
                <w:sz w:val="18"/>
                <w:szCs w:val="18"/>
              </w:rPr>
            </w:pPr>
            <w:r w:rsidRPr="00701263">
              <w:rPr>
                <w:sz w:val="18"/>
                <w:szCs w:val="18"/>
              </w:rPr>
              <w:t>Topic</w:t>
            </w:r>
          </w:p>
        </w:tc>
        <w:tc>
          <w:tcPr>
            <w:tcW w:w="2486" w:type="dxa"/>
            <w:tcBorders>
              <w:top w:val="none" w:sz="0" w:space="0" w:color="auto"/>
              <w:left w:val="none" w:sz="0" w:space="0" w:color="auto"/>
              <w:bottom w:val="none" w:sz="0" w:space="0" w:color="auto"/>
              <w:right w:val="none" w:sz="0" w:space="0" w:color="auto"/>
            </w:tcBorders>
            <w:shd w:val="clear" w:color="auto" w:fill="00B2A9" w:themeFill="accent1"/>
          </w:tcPr>
          <w:p w:rsidR="00932919" w:rsidRPr="00701263" w:rsidRDefault="00D27FDE" w:rsidP="004E4C36">
            <w:pPr>
              <w:pStyle w:val="Tablecolumnhead"/>
              <w:cnfStyle w:val="100000000000" w:firstRow="1" w:lastRow="0" w:firstColumn="0" w:lastColumn="0" w:oddVBand="0" w:evenVBand="0" w:oddHBand="0" w:evenHBand="0" w:firstRowFirstColumn="0" w:firstRowLastColumn="0" w:lastRowFirstColumn="0" w:lastRowLastColumn="0"/>
              <w:rPr>
                <w:sz w:val="18"/>
                <w:szCs w:val="18"/>
              </w:rPr>
            </w:pPr>
            <w:r w:rsidRPr="00701263">
              <w:rPr>
                <w:rFonts w:ascii="Arial Bold" w:hAnsi="Arial Bold"/>
                <w:spacing w:val="-10"/>
                <w:sz w:val="18"/>
                <w:szCs w:val="18"/>
              </w:rPr>
              <w:t>Costs (NPV over 10 years)</w:t>
            </w:r>
          </w:p>
        </w:tc>
        <w:tc>
          <w:tcPr>
            <w:tcW w:w="4068" w:type="dxa"/>
            <w:tcBorders>
              <w:top w:val="none" w:sz="0" w:space="0" w:color="auto"/>
              <w:left w:val="none" w:sz="0" w:space="0" w:color="auto"/>
              <w:bottom w:val="none" w:sz="0" w:space="0" w:color="auto"/>
              <w:right w:val="none" w:sz="0" w:space="0" w:color="auto"/>
            </w:tcBorders>
            <w:shd w:val="clear" w:color="auto" w:fill="00B2A9" w:themeFill="accent1"/>
          </w:tcPr>
          <w:p w:rsidR="00932919" w:rsidRPr="00701263" w:rsidRDefault="00932919" w:rsidP="004E4C36">
            <w:pPr>
              <w:pStyle w:val="Tablecolumnhead"/>
              <w:cnfStyle w:val="100000000000" w:firstRow="1" w:lastRow="0" w:firstColumn="0" w:lastColumn="0" w:oddVBand="0" w:evenVBand="0" w:oddHBand="0" w:evenHBand="0" w:firstRowFirstColumn="0" w:firstRowLastColumn="0" w:lastRowFirstColumn="0" w:lastRowLastColumn="0"/>
              <w:rPr>
                <w:sz w:val="18"/>
                <w:szCs w:val="18"/>
              </w:rPr>
            </w:pPr>
            <w:r w:rsidRPr="00701263">
              <w:rPr>
                <w:sz w:val="18"/>
                <w:szCs w:val="18"/>
              </w:rPr>
              <w:t>Benefit required to justify the costs</w:t>
            </w:r>
          </w:p>
        </w:tc>
      </w:tr>
      <w:tr w:rsidR="00932919" w:rsidRPr="00701263" w:rsidTr="000357AD">
        <w:trPr>
          <w:cnfStyle w:val="000000100000" w:firstRow="0" w:lastRow="0" w:firstColumn="0" w:lastColumn="0" w:oddVBand="0" w:evenVBand="0" w:oddHBand="1" w:evenHBand="0" w:firstRowFirstColumn="0" w:firstRowLastColumn="0" w:lastRowFirstColumn="0" w:lastRowLastColumn="0"/>
          <w:trHeight w:val="723"/>
        </w:trPr>
        <w:tc>
          <w:tcPr>
            <w:cnfStyle w:val="001000000000" w:firstRow="0" w:lastRow="0" w:firstColumn="1" w:lastColumn="0" w:oddVBand="0" w:evenVBand="0" w:oddHBand="0" w:evenHBand="0" w:firstRowFirstColumn="0" w:firstRowLastColumn="0" w:lastRowFirstColumn="0" w:lastRowLastColumn="0"/>
            <w:tcW w:w="1668" w:type="dxa"/>
            <w:tcBorders>
              <w:top w:val="single" w:sz="6" w:space="0" w:color="FFFFFF" w:themeColor="background1"/>
              <w:left w:val="none" w:sz="0" w:space="0" w:color="auto"/>
              <w:bottom w:val="dotted" w:sz="4" w:space="0" w:color="00B2A9" w:themeColor="accent1"/>
              <w:right w:val="none" w:sz="0" w:space="0" w:color="auto"/>
            </w:tcBorders>
            <w:shd w:val="clear" w:color="auto" w:fill="auto"/>
          </w:tcPr>
          <w:p w:rsidR="00932919" w:rsidRPr="00357AB4" w:rsidRDefault="00AC1A59" w:rsidP="004E4C36">
            <w:pPr>
              <w:pStyle w:val="Tabletext"/>
              <w:rPr>
                <w:b w:val="0"/>
                <w:sz w:val="18"/>
                <w:szCs w:val="18"/>
                <w:lang w:val="en-AU"/>
              </w:rPr>
            </w:pPr>
            <w:r w:rsidRPr="00357AB4">
              <w:rPr>
                <w:sz w:val="18"/>
                <w:szCs w:val="18"/>
                <w:lang w:val="en-AU"/>
              </w:rPr>
              <w:t>Building permit requirements</w:t>
            </w:r>
          </w:p>
        </w:tc>
        <w:tc>
          <w:tcPr>
            <w:tcW w:w="2486" w:type="dxa"/>
            <w:tcBorders>
              <w:top w:val="none" w:sz="0" w:space="0" w:color="auto"/>
              <w:left w:val="none" w:sz="0" w:space="0" w:color="auto"/>
              <w:bottom w:val="none" w:sz="0" w:space="0" w:color="auto"/>
              <w:right w:val="none" w:sz="0" w:space="0" w:color="auto"/>
            </w:tcBorders>
            <w:shd w:val="clear" w:color="auto" w:fill="C1ECEA" w:themeFill="accent4" w:themeFillTint="99"/>
          </w:tcPr>
          <w:p w:rsidR="00932919" w:rsidRPr="00701263" w:rsidRDefault="00932919" w:rsidP="00D27FDE">
            <w:pPr>
              <w:pStyle w:val="Tabletext"/>
              <w:cnfStyle w:val="000000100000" w:firstRow="0" w:lastRow="0" w:firstColumn="0" w:lastColumn="0" w:oddVBand="0" w:evenVBand="0" w:oddHBand="1" w:evenHBand="0" w:firstRowFirstColumn="0" w:firstRowLastColumn="0" w:lastRowFirstColumn="0" w:lastRowLastColumn="0"/>
              <w:rPr>
                <w:sz w:val="18"/>
                <w:szCs w:val="18"/>
                <w:lang w:val="en-AU"/>
              </w:rPr>
            </w:pPr>
            <w:r w:rsidRPr="00701263">
              <w:rPr>
                <w:sz w:val="18"/>
                <w:szCs w:val="18"/>
                <w:lang w:val="en-AU"/>
              </w:rPr>
              <w:t>$175.4</w:t>
            </w:r>
            <w:r w:rsidR="0049530B">
              <w:rPr>
                <w:sz w:val="18"/>
                <w:szCs w:val="18"/>
                <w:lang w:val="en-AU"/>
              </w:rPr>
              <w:t xml:space="preserve"> </w:t>
            </w:r>
            <w:r w:rsidRPr="00701263">
              <w:rPr>
                <w:sz w:val="18"/>
                <w:szCs w:val="18"/>
                <w:lang w:val="en-AU"/>
              </w:rPr>
              <w:t>m</w:t>
            </w:r>
            <w:r w:rsidR="00D27FDE" w:rsidRPr="00701263">
              <w:rPr>
                <w:sz w:val="18"/>
                <w:szCs w:val="18"/>
                <w:lang w:val="en-AU"/>
              </w:rPr>
              <w:t>–</w:t>
            </w:r>
            <w:r w:rsidRPr="00701263">
              <w:rPr>
                <w:sz w:val="18"/>
                <w:szCs w:val="18"/>
                <w:lang w:val="en-AU"/>
              </w:rPr>
              <w:t>$182.4 m</w:t>
            </w:r>
          </w:p>
        </w:tc>
        <w:tc>
          <w:tcPr>
            <w:tcW w:w="4068" w:type="dxa"/>
            <w:tcBorders>
              <w:top w:val="none" w:sz="0" w:space="0" w:color="auto"/>
              <w:left w:val="none" w:sz="0" w:space="0" w:color="auto"/>
              <w:bottom w:val="none" w:sz="0" w:space="0" w:color="auto"/>
              <w:right w:val="none" w:sz="0" w:space="0" w:color="auto"/>
            </w:tcBorders>
            <w:shd w:val="clear" w:color="auto" w:fill="C1ECEA" w:themeFill="accent4" w:themeFillTint="99"/>
          </w:tcPr>
          <w:p w:rsidR="00932919" w:rsidRPr="00701263" w:rsidRDefault="00932919" w:rsidP="00F322B8">
            <w:pPr>
              <w:pStyle w:val="Tabletext"/>
              <w:cnfStyle w:val="000000100000" w:firstRow="0" w:lastRow="0" w:firstColumn="0" w:lastColumn="0" w:oddVBand="0" w:evenVBand="0" w:oddHBand="1" w:evenHBand="0" w:firstRowFirstColumn="0" w:firstRowLastColumn="0" w:lastRowFirstColumn="0" w:lastRowLastColumn="0"/>
              <w:rPr>
                <w:sz w:val="18"/>
                <w:szCs w:val="18"/>
                <w:lang w:val="en-AU"/>
              </w:rPr>
            </w:pPr>
            <w:r w:rsidRPr="00701263">
              <w:rPr>
                <w:sz w:val="18"/>
                <w:szCs w:val="18"/>
                <w:lang w:val="en-AU"/>
              </w:rPr>
              <w:t xml:space="preserve">A time saving </w:t>
            </w:r>
            <w:r w:rsidR="00502243" w:rsidRPr="00701263">
              <w:rPr>
                <w:sz w:val="18"/>
                <w:szCs w:val="18"/>
                <w:lang w:val="en-AU"/>
              </w:rPr>
              <w:t xml:space="preserve">of between 8.3%–8.6% </w:t>
            </w:r>
            <w:r w:rsidRPr="00701263">
              <w:rPr>
                <w:sz w:val="18"/>
                <w:szCs w:val="18"/>
                <w:lang w:val="en-AU"/>
              </w:rPr>
              <w:t xml:space="preserve">to applicants and </w:t>
            </w:r>
            <w:r w:rsidR="00F322B8" w:rsidRPr="00701263">
              <w:rPr>
                <w:sz w:val="18"/>
                <w:szCs w:val="18"/>
                <w:lang w:val="en-AU"/>
              </w:rPr>
              <w:t>RBSs</w:t>
            </w:r>
            <w:r w:rsidRPr="00701263">
              <w:rPr>
                <w:sz w:val="18"/>
                <w:szCs w:val="18"/>
                <w:lang w:val="en-AU"/>
              </w:rPr>
              <w:t xml:space="preserve"> due to prescribed information and 670 avoided building defects each year.</w:t>
            </w:r>
          </w:p>
        </w:tc>
      </w:tr>
      <w:tr w:rsidR="00932919" w:rsidRPr="00701263" w:rsidTr="000357AD">
        <w:trPr>
          <w:trHeight w:val="723"/>
        </w:trPr>
        <w:tc>
          <w:tcPr>
            <w:cnfStyle w:val="001000000000" w:firstRow="0" w:lastRow="0" w:firstColumn="1" w:lastColumn="0" w:oddVBand="0" w:evenVBand="0" w:oddHBand="0" w:evenHBand="0" w:firstRowFirstColumn="0" w:firstRowLastColumn="0" w:lastRowFirstColumn="0" w:lastRowLastColumn="0"/>
            <w:tcW w:w="1668" w:type="dxa"/>
            <w:tcBorders>
              <w:top w:val="dotted" w:sz="4" w:space="0" w:color="00B2A9" w:themeColor="accent1"/>
              <w:bottom w:val="dotted" w:sz="4" w:space="0" w:color="00B2A9" w:themeColor="accent1"/>
            </w:tcBorders>
            <w:shd w:val="clear" w:color="auto" w:fill="auto"/>
          </w:tcPr>
          <w:p w:rsidR="00932919" w:rsidRPr="00357AB4" w:rsidRDefault="00AC1A59" w:rsidP="004E4C36">
            <w:pPr>
              <w:pStyle w:val="Tabletext"/>
              <w:rPr>
                <w:rFonts w:asciiTheme="minorHAnsi" w:hAnsiTheme="minorHAnsi" w:cstheme="minorHAnsi"/>
                <w:b w:val="0"/>
                <w:color w:val="201547" w:themeColor="accent3"/>
                <w:sz w:val="18"/>
                <w:szCs w:val="18"/>
                <w:lang w:val="en-AU"/>
              </w:rPr>
            </w:pPr>
            <w:r w:rsidRPr="00357AB4">
              <w:rPr>
                <w:sz w:val="18"/>
                <w:szCs w:val="18"/>
                <w:lang w:val="en-AU"/>
              </w:rPr>
              <w:t>Reporting authority approvals</w:t>
            </w:r>
          </w:p>
        </w:tc>
        <w:tc>
          <w:tcPr>
            <w:tcW w:w="2486" w:type="dxa"/>
          </w:tcPr>
          <w:p w:rsidR="00932919" w:rsidRPr="00701263" w:rsidRDefault="00932919" w:rsidP="004E4C36">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highlight w:val="yellow"/>
                <w:lang w:val="en-AU"/>
              </w:rPr>
            </w:pPr>
            <w:r w:rsidRPr="00701263">
              <w:rPr>
                <w:sz w:val="18"/>
                <w:szCs w:val="18"/>
                <w:lang w:val="en-AU"/>
              </w:rPr>
              <w:t>$134.3 m</w:t>
            </w:r>
          </w:p>
        </w:tc>
        <w:tc>
          <w:tcPr>
            <w:tcW w:w="4068" w:type="dxa"/>
          </w:tcPr>
          <w:p w:rsidR="00932919" w:rsidRPr="00701263" w:rsidRDefault="00932919" w:rsidP="0050224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AU"/>
              </w:rPr>
            </w:pPr>
            <w:r w:rsidRPr="00701263">
              <w:rPr>
                <w:sz w:val="18"/>
                <w:szCs w:val="18"/>
                <w:lang w:val="en-AU"/>
              </w:rPr>
              <w:t xml:space="preserve">The </w:t>
            </w:r>
            <w:r w:rsidR="00195602" w:rsidRPr="00701263">
              <w:rPr>
                <w:sz w:val="18"/>
                <w:szCs w:val="18"/>
                <w:lang w:val="en-AU"/>
              </w:rPr>
              <w:t>department</w:t>
            </w:r>
            <w:r w:rsidRPr="00701263">
              <w:rPr>
                <w:sz w:val="18"/>
                <w:szCs w:val="18"/>
                <w:lang w:val="en-AU"/>
              </w:rPr>
              <w:t xml:space="preserve"> considers the benefits of increased flexibility</w:t>
            </w:r>
            <w:r w:rsidR="00502243" w:rsidRPr="00701263">
              <w:rPr>
                <w:sz w:val="18"/>
                <w:szCs w:val="18"/>
                <w:lang w:val="en-AU"/>
              </w:rPr>
              <w:t xml:space="preserve"> –</w:t>
            </w:r>
            <w:r w:rsidR="004267C5">
              <w:rPr>
                <w:sz w:val="18"/>
                <w:szCs w:val="18"/>
                <w:lang w:val="en-AU"/>
              </w:rPr>
              <w:t xml:space="preserve"> </w:t>
            </w:r>
            <w:r w:rsidRPr="00701263">
              <w:rPr>
                <w:sz w:val="18"/>
                <w:szCs w:val="18"/>
                <w:lang w:val="en-AU"/>
              </w:rPr>
              <w:t>allowing for appropriate building designs that would otherwise be prohibited from proceeding and reduced risk through preventing high</w:t>
            </w:r>
            <w:r w:rsidR="007C5A88" w:rsidRPr="00701263">
              <w:rPr>
                <w:sz w:val="18"/>
                <w:szCs w:val="18"/>
                <w:lang w:val="en-AU"/>
              </w:rPr>
              <w:t>-</w:t>
            </w:r>
            <w:r w:rsidRPr="00701263">
              <w:rPr>
                <w:sz w:val="18"/>
                <w:szCs w:val="18"/>
                <w:lang w:val="en-AU"/>
              </w:rPr>
              <w:t>risk or inappropriate designs in high</w:t>
            </w:r>
            <w:r w:rsidR="007C5A88" w:rsidRPr="00701263">
              <w:rPr>
                <w:sz w:val="18"/>
                <w:szCs w:val="18"/>
                <w:lang w:val="en-AU"/>
              </w:rPr>
              <w:t>-</w:t>
            </w:r>
            <w:r w:rsidRPr="00701263">
              <w:rPr>
                <w:sz w:val="18"/>
                <w:szCs w:val="18"/>
                <w:lang w:val="en-AU"/>
              </w:rPr>
              <w:t>risk areas</w:t>
            </w:r>
            <w:r w:rsidR="00502243" w:rsidRPr="00701263">
              <w:rPr>
                <w:sz w:val="18"/>
                <w:szCs w:val="18"/>
                <w:lang w:val="en-AU"/>
              </w:rPr>
              <w:t xml:space="preserve"> – </w:t>
            </w:r>
            <w:r w:rsidRPr="00701263">
              <w:rPr>
                <w:sz w:val="18"/>
                <w:szCs w:val="18"/>
                <w:lang w:val="en-AU"/>
              </w:rPr>
              <w:t>are likely to outweigh the associated regulatory costs.</w:t>
            </w:r>
          </w:p>
        </w:tc>
      </w:tr>
      <w:tr w:rsidR="00932919" w:rsidRPr="00701263" w:rsidTr="00035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dotted" w:sz="4" w:space="0" w:color="00B2A9" w:themeColor="accent1"/>
              <w:left w:val="none" w:sz="0" w:space="0" w:color="auto"/>
              <w:bottom w:val="dotted" w:sz="4" w:space="0" w:color="00B2A9" w:themeColor="accent1"/>
              <w:right w:val="none" w:sz="0" w:space="0" w:color="auto"/>
            </w:tcBorders>
            <w:shd w:val="clear" w:color="auto" w:fill="auto"/>
          </w:tcPr>
          <w:p w:rsidR="00932919" w:rsidRPr="00357AB4" w:rsidRDefault="00AC1A59" w:rsidP="004E4C36">
            <w:pPr>
              <w:pStyle w:val="Tabletext"/>
              <w:rPr>
                <w:b w:val="0"/>
                <w:sz w:val="18"/>
                <w:szCs w:val="18"/>
                <w:lang w:val="en-AU"/>
              </w:rPr>
            </w:pPr>
            <w:r w:rsidRPr="00357AB4">
              <w:rPr>
                <w:sz w:val="18"/>
                <w:szCs w:val="18"/>
                <w:lang w:val="en-AU"/>
              </w:rPr>
              <w:t>Protection work</w:t>
            </w:r>
          </w:p>
        </w:tc>
        <w:tc>
          <w:tcPr>
            <w:tcW w:w="2486" w:type="dxa"/>
          </w:tcPr>
          <w:p w:rsidR="00932919" w:rsidRPr="00701263" w:rsidRDefault="00932919" w:rsidP="004E4C36">
            <w:pPr>
              <w:pStyle w:val="Tabletext"/>
              <w:cnfStyle w:val="000000100000" w:firstRow="0" w:lastRow="0" w:firstColumn="0" w:lastColumn="0" w:oddVBand="0" w:evenVBand="0" w:oddHBand="1" w:evenHBand="0" w:firstRowFirstColumn="0" w:firstRowLastColumn="0" w:lastRowFirstColumn="0" w:lastRowLastColumn="0"/>
              <w:rPr>
                <w:sz w:val="18"/>
                <w:szCs w:val="18"/>
                <w:lang w:val="en-AU"/>
              </w:rPr>
            </w:pPr>
            <w:r w:rsidRPr="00701263">
              <w:rPr>
                <w:sz w:val="18"/>
                <w:szCs w:val="18"/>
                <w:lang w:val="en-AU"/>
              </w:rPr>
              <w:t>$100.6 m</w:t>
            </w:r>
          </w:p>
        </w:tc>
        <w:tc>
          <w:tcPr>
            <w:tcW w:w="4068" w:type="dxa"/>
          </w:tcPr>
          <w:p w:rsidR="00932919" w:rsidRPr="00701263" w:rsidRDefault="00F57C69" w:rsidP="00502243">
            <w:pPr>
              <w:pStyle w:val="Tabletext"/>
              <w:cnfStyle w:val="000000100000" w:firstRow="0" w:lastRow="0" w:firstColumn="0" w:lastColumn="0" w:oddVBand="0" w:evenVBand="0" w:oddHBand="1" w:evenHBand="0" w:firstRowFirstColumn="0" w:firstRowLastColumn="0" w:lastRowFirstColumn="0" w:lastRowLastColumn="0"/>
              <w:rPr>
                <w:sz w:val="18"/>
                <w:szCs w:val="18"/>
                <w:lang w:val="en-AU"/>
              </w:rPr>
            </w:pPr>
            <w:r w:rsidRPr="00701263">
              <w:rPr>
                <w:sz w:val="18"/>
                <w:szCs w:val="18"/>
                <w:lang w:val="en-AU"/>
              </w:rPr>
              <w:t>Reduc</w:t>
            </w:r>
            <w:r w:rsidR="00502243" w:rsidRPr="00701263">
              <w:rPr>
                <w:sz w:val="18"/>
                <w:szCs w:val="18"/>
                <w:lang w:val="en-AU"/>
              </w:rPr>
              <w:t>ed</w:t>
            </w:r>
            <w:r w:rsidRPr="00701263">
              <w:rPr>
                <w:sz w:val="18"/>
                <w:szCs w:val="18"/>
                <w:lang w:val="en-AU"/>
              </w:rPr>
              <w:t xml:space="preserve"> delay costs of $369 for each domestic building permit and $738 for each </w:t>
            </w:r>
            <w:r w:rsidR="0023395A" w:rsidRPr="00701263">
              <w:rPr>
                <w:sz w:val="18"/>
                <w:szCs w:val="18"/>
                <w:lang w:val="en-AU"/>
              </w:rPr>
              <w:t>non</w:t>
            </w:r>
            <w:r w:rsidRPr="00701263">
              <w:rPr>
                <w:sz w:val="18"/>
                <w:szCs w:val="18"/>
                <w:lang w:val="en-AU"/>
              </w:rPr>
              <w:t>domestic building permit.</w:t>
            </w:r>
            <w:r w:rsidR="00932919" w:rsidRPr="00701263">
              <w:rPr>
                <w:sz w:val="18"/>
                <w:szCs w:val="18"/>
                <w:highlight w:val="yellow"/>
                <w:lang w:val="en-AU"/>
              </w:rPr>
              <w:t xml:space="preserve"> </w:t>
            </w:r>
          </w:p>
        </w:tc>
      </w:tr>
      <w:tr w:rsidR="00932919" w:rsidRPr="00701263" w:rsidTr="000357AD">
        <w:tc>
          <w:tcPr>
            <w:cnfStyle w:val="001000000000" w:firstRow="0" w:lastRow="0" w:firstColumn="1" w:lastColumn="0" w:oddVBand="0" w:evenVBand="0" w:oddHBand="0" w:evenHBand="0" w:firstRowFirstColumn="0" w:firstRowLastColumn="0" w:lastRowFirstColumn="0" w:lastRowLastColumn="0"/>
            <w:tcW w:w="1668" w:type="dxa"/>
            <w:tcBorders>
              <w:top w:val="dotted" w:sz="4" w:space="0" w:color="00B2A9" w:themeColor="accent1"/>
              <w:left w:val="none" w:sz="0" w:space="0" w:color="auto"/>
              <w:bottom w:val="dotted" w:sz="4" w:space="0" w:color="00B2A9" w:themeColor="accent1"/>
              <w:right w:val="none" w:sz="0" w:space="0" w:color="auto"/>
            </w:tcBorders>
            <w:shd w:val="clear" w:color="auto" w:fill="auto"/>
          </w:tcPr>
          <w:p w:rsidR="00932919" w:rsidRPr="00357AB4" w:rsidRDefault="00AC1A59" w:rsidP="004E4C36">
            <w:pPr>
              <w:pStyle w:val="Tabletext"/>
              <w:rPr>
                <w:b w:val="0"/>
                <w:sz w:val="18"/>
                <w:szCs w:val="18"/>
                <w:lang w:val="en-AU"/>
              </w:rPr>
            </w:pPr>
            <w:r w:rsidRPr="00357AB4">
              <w:rPr>
                <w:sz w:val="18"/>
                <w:szCs w:val="18"/>
                <w:lang w:val="en-AU"/>
              </w:rPr>
              <w:t>Requirements for inspections, directions, notices and orders</w:t>
            </w:r>
          </w:p>
        </w:tc>
        <w:tc>
          <w:tcPr>
            <w:tcW w:w="2486" w:type="dxa"/>
          </w:tcPr>
          <w:p w:rsidR="00932919" w:rsidRPr="00701263" w:rsidRDefault="00932919" w:rsidP="00D27FDE">
            <w:pPr>
              <w:pStyle w:val="Tabletext"/>
              <w:cnfStyle w:val="000000000000" w:firstRow="0" w:lastRow="0" w:firstColumn="0" w:lastColumn="0" w:oddVBand="0" w:evenVBand="0" w:oddHBand="0" w:evenHBand="0" w:firstRowFirstColumn="0" w:firstRowLastColumn="0" w:lastRowFirstColumn="0" w:lastRowLastColumn="0"/>
              <w:rPr>
                <w:sz w:val="18"/>
                <w:szCs w:val="18"/>
                <w:lang w:val="en-AU"/>
              </w:rPr>
            </w:pPr>
            <w:r w:rsidRPr="00701263">
              <w:rPr>
                <w:sz w:val="18"/>
                <w:szCs w:val="18"/>
                <w:lang w:val="en-AU"/>
              </w:rPr>
              <w:t>$743.2 m</w:t>
            </w:r>
            <w:r w:rsidR="00D27FDE" w:rsidRPr="00701263">
              <w:rPr>
                <w:sz w:val="18"/>
                <w:szCs w:val="18"/>
                <w:lang w:val="en-AU"/>
              </w:rPr>
              <w:t>–</w:t>
            </w:r>
            <w:r w:rsidRPr="00701263">
              <w:rPr>
                <w:sz w:val="18"/>
                <w:szCs w:val="18"/>
                <w:lang w:val="en-AU"/>
              </w:rPr>
              <w:t>$1,202.1</w:t>
            </w:r>
            <w:r w:rsidR="00296466" w:rsidRPr="00701263">
              <w:rPr>
                <w:sz w:val="18"/>
                <w:szCs w:val="18"/>
                <w:lang w:val="en-AU"/>
              </w:rPr>
              <w:t> </w:t>
            </w:r>
            <w:r w:rsidRPr="00701263">
              <w:rPr>
                <w:sz w:val="18"/>
                <w:szCs w:val="18"/>
                <w:lang w:val="en-AU"/>
              </w:rPr>
              <w:t>m</w:t>
            </w:r>
          </w:p>
        </w:tc>
        <w:tc>
          <w:tcPr>
            <w:tcW w:w="4068" w:type="dxa"/>
          </w:tcPr>
          <w:p w:rsidR="00932919" w:rsidRPr="00701263" w:rsidRDefault="00502243" w:rsidP="00502243">
            <w:pPr>
              <w:pStyle w:val="Tabletext"/>
              <w:cnfStyle w:val="000000000000" w:firstRow="0" w:lastRow="0" w:firstColumn="0" w:lastColumn="0" w:oddVBand="0" w:evenVBand="0" w:oddHBand="0" w:evenHBand="0" w:firstRowFirstColumn="0" w:firstRowLastColumn="0" w:lastRowFirstColumn="0" w:lastRowLastColumn="0"/>
              <w:rPr>
                <w:sz w:val="18"/>
                <w:szCs w:val="18"/>
                <w:lang w:val="en-AU"/>
              </w:rPr>
            </w:pPr>
            <w:r w:rsidRPr="00701263">
              <w:rPr>
                <w:sz w:val="18"/>
                <w:szCs w:val="18"/>
                <w:lang w:val="en-AU"/>
              </w:rPr>
              <w:t>R</w:t>
            </w:r>
            <w:r w:rsidR="00932919" w:rsidRPr="00701263">
              <w:rPr>
                <w:sz w:val="18"/>
                <w:szCs w:val="18"/>
                <w:lang w:val="en-AU"/>
              </w:rPr>
              <w:t>educ</w:t>
            </w:r>
            <w:r w:rsidRPr="00701263">
              <w:rPr>
                <w:sz w:val="18"/>
                <w:szCs w:val="18"/>
                <w:lang w:val="en-AU"/>
              </w:rPr>
              <w:t>ed</w:t>
            </w:r>
            <w:r w:rsidR="00932919" w:rsidRPr="00701263">
              <w:rPr>
                <w:sz w:val="18"/>
                <w:szCs w:val="18"/>
                <w:lang w:val="en-AU"/>
              </w:rPr>
              <w:t xml:space="preserve"> building defects targeted by existing mandatory inspections of between 7</w:t>
            </w:r>
            <w:r w:rsidR="0023395A" w:rsidRPr="00701263">
              <w:rPr>
                <w:sz w:val="18"/>
                <w:szCs w:val="18"/>
                <w:lang w:val="en-AU"/>
              </w:rPr>
              <w:t>%–</w:t>
            </w:r>
            <w:r w:rsidR="00932919" w:rsidRPr="00701263">
              <w:rPr>
                <w:sz w:val="18"/>
                <w:szCs w:val="18"/>
                <w:lang w:val="en-AU"/>
              </w:rPr>
              <w:t>28</w:t>
            </w:r>
            <w:r w:rsidR="004E083D" w:rsidRPr="00701263">
              <w:rPr>
                <w:sz w:val="18"/>
                <w:szCs w:val="18"/>
                <w:lang w:val="en-AU"/>
              </w:rPr>
              <w:t>%</w:t>
            </w:r>
            <w:r w:rsidR="00932919" w:rsidRPr="00701263">
              <w:rPr>
                <w:sz w:val="18"/>
                <w:szCs w:val="18"/>
                <w:lang w:val="en-AU"/>
              </w:rPr>
              <w:t xml:space="preserve"> with a further reduction in high</w:t>
            </w:r>
            <w:r w:rsidR="007C5A88" w:rsidRPr="00701263">
              <w:rPr>
                <w:sz w:val="18"/>
                <w:szCs w:val="18"/>
                <w:lang w:val="en-AU"/>
              </w:rPr>
              <w:t>-</w:t>
            </w:r>
            <w:r w:rsidR="00932919" w:rsidRPr="00701263">
              <w:rPr>
                <w:sz w:val="18"/>
                <w:szCs w:val="18"/>
                <w:lang w:val="en-AU"/>
              </w:rPr>
              <w:t>risk, high</w:t>
            </w:r>
            <w:r w:rsidR="007C5A88" w:rsidRPr="00701263">
              <w:rPr>
                <w:sz w:val="18"/>
                <w:szCs w:val="18"/>
                <w:lang w:val="en-AU"/>
              </w:rPr>
              <w:t>-</w:t>
            </w:r>
            <w:r w:rsidR="00932919" w:rsidRPr="00701263">
              <w:rPr>
                <w:sz w:val="18"/>
                <w:szCs w:val="18"/>
                <w:lang w:val="en-AU"/>
              </w:rPr>
              <w:t>cost defects targeted by additional mandatory notifications of 6</w:t>
            </w:r>
            <w:r w:rsidR="004E083D" w:rsidRPr="00701263">
              <w:rPr>
                <w:sz w:val="18"/>
                <w:szCs w:val="18"/>
                <w:lang w:val="en-AU"/>
              </w:rPr>
              <w:t>%</w:t>
            </w:r>
            <w:r w:rsidR="00932919" w:rsidRPr="00701263">
              <w:rPr>
                <w:sz w:val="18"/>
                <w:szCs w:val="18"/>
                <w:lang w:val="en-AU"/>
              </w:rPr>
              <w:t>.</w:t>
            </w:r>
          </w:p>
        </w:tc>
      </w:tr>
      <w:tr w:rsidR="00932919" w:rsidRPr="00701263" w:rsidTr="000357AD">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668" w:type="dxa"/>
            <w:tcBorders>
              <w:top w:val="dotted" w:sz="4" w:space="0" w:color="00B2A9" w:themeColor="accent1"/>
              <w:left w:val="none" w:sz="0" w:space="0" w:color="auto"/>
              <w:bottom w:val="dotted" w:sz="4" w:space="0" w:color="00B2A9" w:themeColor="accent1"/>
              <w:right w:val="none" w:sz="0" w:space="0" w:color="auto"/>
            </w:tcBorders>
            <w:shd w:val="clear" w:color="auto" w:fill="auto"/>
          </w:tcPr>
          <w:p w:rsidR="00932919" w:rsidRPr="00357AB4" w:rsidRDefault="00AC1A59" w:rsidP="004E4C36">
            <w:pPr>
              <w:pStyle w:val="Tabletext"/>
              <w:rPr>
                <w:b w:val="0"/>
                <w:sz w:val="18"/>
                <w:szCs w:val="18"/>
                <w:lang w:val="en-AU"/>
              </w:rPr>
            </w:pPr>
            <w:r w:rsidRPr="00357AB4">
              <w:rPr>
                <w:sz w:val="18"/>
                <w:szCs w:val="18"/>
                <w:lang w:val="en-AU"/>
              </w:rPr>
              <w:t>Occupancy permits and certificates of final inspection</w:t>
            </w:r>
          </w:p>
        </w:tc>
        <w:tc>
          <w:tcPr>
            <w:tcW w:w="2486" w:type="dxa"/>
          </w:tcPr>
          <w:p w:rsidR="00932919" w:rsidRPr="00701263" w:rsidRDefault="00932919" w:rsidP="004E4C36">
            <w:pPr>
              <w:pStyle w:val="Tabletext"/>
              <w:cnfStyle w:val="000000100000" w:firstRow="0" w:lastRow="0" w:firstColumn="0" w:lastColumn="0" w:oddVBand="0" w:evenVBand="0" w:oddHBand="1" w:evenHBand="0" w:firstRowFirstColumn="0" w:firstRowLastColumn="0" w:lastRowFirstColumn="0" w:lastRowLastColumn="0"/>
              <w:rPr>
                <w:sz w:val="18"/>
                <w:szCs w:val="18"/>
                <w:lang w:val="en-AU"/>
              </w:rPr>
            </w:pPr>
            <w:r w:rsidRPr="00701263">
              <w:rPr>
                <w:sz w:val="18"/>
                <w:szCs w:val="18"/>
                <w:lang w:val="en-AU"/>
              </w:rPr>
              <w:t>$96.4 m</w:t>
            </w:r>
          </w:p>
        </w:tc>
        <w:tc>
          <w:tcPr>
            <w:tcW w:w="4068" w:type="dxa"/>
          </w:tcPr>
          <w:p w:rsidR="00932919" w:rsidRPr="00701263" w:rsidRDefault="00932919" w:rsidP="004E4C36">
            <w:pPr>
              <w:pStyle w:val="Tabletext"/>
              <w:cnfStyle w:val="000000100000" w:firstRow="0" w:lastRow="0" w:firstColumn="0" w:lastColumn="0" w:oddVBand="0" w:evenVBand="0" w:oddHBand="1" w:evenHBand="0" w:firstRowFirstColumn="0" w:firstRowLastColumn="0" w:lastRowFirstColumn="0" w:lastRowLastColumn="0"/>
              <w:rPr>
                <w:sz w:val="18"/>
                <w:szCs w:val="18"/>
                <w:lang w:val="en-AU"/>
              </w:rPr>
            </w:pPr>
            <w:r w:rsidRPr="00701263">
              <w:rPr>
                <w:sz w:val="18"/>
                <w:szCs w:val="18"/>
                <w:lang w:val="en-AU"/>
              </w:rPr>
              <w:t>A time saving accruing to applicants and building surveyors due to prescribed information of 1</w:t>
            </w:r>
            <w:r w:rsidR="00585F3C" w:rsidRPr="00701263">
              <w:rPr>
                <w:sz w:val="18"/>
                <w:szCs w:val="18"/>
                <w:lang w:val="en-AU"/>
              </w:rPr>
              <w:t>6</w:t>
            </w:r>
            <w:r w:rsidR="004E083D" w:rsidRPr="00701263">
              <w:rPr>
                <w:sz w:val="18"/>
                <w:szCs w:val="18"/>
                <w:lang w:val="en-AU"/>
              </w:rPr>
              <w:t>%</w:t>
            </w:r>
            <w:r w:rsidRPr="00701263">
              <w:rPr>
                <w:sz w:val="18"/>
                <w:szCs w:val="18"/>
                <w:lang w:val="en-AU"/>
              </w:rPr>
              <w:t>.</w:t>
            </w:r>
          </w:p>
        </w:tc>
      </w:tr>
      <w:tr w:rsidR="00932919" w:rsidRPr="00701263" w:rsidTr="000357AD">
        <w:trPr>
          <w:trHeight w:val="544"/>
        </w:trPr>
        <w:tc>
          <w:tcPr>
            <w:cnfStyle w:val="001000000000" w:firstRow="0" w:lastRow="0" w:firstColumn="1" w:lastColumn="0" w:oddVBand="0" w:evenVBand="0" w:oddHBand="0" w:evenHBand="0" w:firstRowFirstColumn="0" w:firstRowLastColumn="0" w:lastRowFirstColumn="0" w:lastRowLastColumn="0"/>
            <w:tcW w:w="1668" w:type="dxa"/>
            <w:tcBorders>
              <w:top w:val="dotted" w:sz="4" w:space="0" w:color="00B2A9" w:themeColor="accent1"/>
              <w:left w:val="none" w:sz="0" w:space="0" w:color="auto"/>
              <w:bottom w:val="dotted" w:sz="4" w:space="0" w:color="00B2A9" w:themeColor="accent1"/>
              <w:right w:val="none" w:sz="0" w:space="0" w:color="auto"/>
            </w:tcBorders>
            <w:shd w:val="clear" w:color="auto" w:fill="auto"/>
          </w:tcPr>
          <w:p w:rsidR="00932919" w:rsidRPr="00357AB4" w:rsidRDefault="00AC1A59" w:rsidP="004E4C36">
            <w:pPr>
              <w:pStyle w:val="Tabletext"/>
              <w:rPr>
                <w:b w:val="0"/>
                <w:sz w:val="18"/>
                <w:szCs w:val="18"/>
                <w:lang w:val="en-AU"/>
              </w:rPr>
            </w:pPr>
            <w:proofErr w:type="spellStart"/>
            <w:r w:rsidRPr="00357AB4">
              <w:rPr>
                <w:sz w:val="18"/>
                <w:szCs w:val="18"/>
                <w:lang w:val="en-AU"/>
              </w:rPr>
              <w:t>PoPEs</w:t>
            </w:r>
            <w:proofErr w:type="spellEnd"/>
          </w:p>
        </w:tc>
        <w:tc>
          <w:tcPr>
            <w:tcW w:w="2486" w:type="dxa"/>
          </w:tcPr>
          <w:p w:rsidR="00932919" w:rsidRPr="00701263" w:rsidRDefault="00932919" w:rsidP="004E4C36">
            <w:pPr>
              <w:pStyle w:val="Tabletext"/>
              <w:cnfStyle w:val="000000000000" w:firstRow="0" w:lastRow="0" w:firstColumn="0" w:lastColumn="0" w:oddVBand="0" w:evenVBand="0" w:oddHBand="0" w:evenHBand="0" w:firstRowFirstColumn="0" w:firstRowLastColumn="0" w:lastRowFirstColumn="0" w:lastRowLastColumn="0"/>
              <w:rPr>
                <w:sz w:val="18"/>
                <w:szCs w:val="18"/>
                <w:lang w:val="en-AU"/>
              </w:rPr>
            </w:pPr>
            <w:r w:rsidRPr="00701263">
              <w:rPr>
                <w:sz w:val="18"/>
                <w:szCs w:val="18"/>
                <w:lang w:val="en-AU"/>
              </w:rPr>
              <w:t>$10.9 m</w:t>
            </w:r>
          </w:p>
        </w:tc>
        <w:tc>
          <w:tcPr>
            <w:tcW w:w="4068" w:type="dxa"/>
          </w:tcPr>
          <w:p w:rsidR="00932919" w:rsidRPr="00701263" w:rsidRDefault="00932919" w:rsidP="00502243">
            <w:pPr>
              <w:pStyle w:val="Tabletext"/>
              <w:cnfStyle w:val="000000000000" w:firstRow="0" w:lastRow="0" w:firstColumn="0" w:lastColumn="0" w:oddVBand="0" w:evenVBand="0" w:oddHBand="0" w:evenHBand="0" w:firstRowFirstColumn="0" w:firstRowLastColumn="0" w:lastRowFirstColumn="0" w:lastRowLastColumn="0"/>
              <w:rPr>
                <w:sz w:val="18"/>
                <w:szCs w:val="18"/>
                <w:lang w:val="en-AU"/>
              </w:rPr>
            </w:pPr>
            <w:r w:rsidRPr="00701263">
              <w:rPr>
                <w:sz w:val="18"/>
                <w:szCs w:val="18"/>
                <w:lang w:val="en-AU"/>
              </w:rPr>
              <w:t xml:space="preserve">One avoided building fire in a </w:t>
            </w:r>
            <w:proofErr w:type="spellStart"/>
            <w:r w:rsidR="00502243" w:rsidRPr="00701263">
              <w:rPr>
                <w:sz w:val="18"/>
                <w:szCs w:val="18"/>
                <w:lang w:val="en-AU"/>
              </w:rPr>
              <w:t>PoPE</w:t>
            </w:r>
            <w:proofErr w:type="spellEnd"/>
            <w:r w:rsidR="00502243" w:rsidRPr="00701263">
              <w:rPr>
                <w:sz w:val="18"/>
                <w:szCs w:val="18"/>
                <w:lang w:val="en-AU"/>
              </w:rPr>
              <w:t xml:space="preserve"> </w:t>
            </w:r>
            <w:r w:rsidRPr="00701263">
              <w:rPr>
                <w:sz w:val="18"/>
                <w:szCs w:val="18"/>
                <w:lang w:val="en-AU"/>
              </w:rPr>
              <w:t>every 0.75 years or one death avoided every 3.25 years.</w:t>
            </w:r>
          </w:p>
        </w:tc>
      </w:tr>
      <w:tr w:rsidR="00932919" w:rsidRPr="00701263" w:rsidTr="000357AD">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1668" w:type="dxa"/>
            <w:tcBorders>
              <w:top w:val="dotted" w:sz="4" w:space="0" w:color="00B2A9" w:themeColor="accent1"/>
              <w:left w:val="none" w:sz="0" w:space="0" w:color="auto"/>
              <w:bottom w:val="dotted" w:sz="4" w:space="0" w:color="00B2A9" w:themeColor="accent1"/>
              <w:right w:val="none" w:sz="0" w:space="0" w:color="auto"/>
            </w:tcBorders>
            <w:shd w:val="clear" w:color="auto" w:fill="auto"/>
          </w:tcPr>
          <w:p w:rsidR="00932919" w:rsidRPr="00357AB4" w:rsidRDefault="00666D12" w:rsidP="004E4C36">
            <w:pPr>
              <w:pStyle w:val="Tabletext"/>
              <w:rPr>
                <w:b w:val="0"/>
                <w:sz w:val="18"/>
                <w:szCs w:val="18"/>
                <w:lang w:val="en-AU"/>
              </w:rPr>
            </w:pPr>
            <w:r w:rsidRPr="00357AB4">
              <w:rPr>
                <w:sz w:val="18"/>
                <w:szCs w:val="18"/>
                <w:lang w:val="en-AU"/>
              </w:rPr>
              <w:t>ESM</w:t>
            </w:r>
            <w:r w:rsidR="00AC1A59" w:rsidRPr="00357AB4">
              <w:rPr>
                <w:sz w:val="18"/>
                <w:szCs w:val="18"/>
                <w:lang w:val="en-AU"/>
              </w:rPr>
              <w:t>s</w:t>
            </w:r>
          </w:p>
        </w:tc>
        <w:tc>
          <w:tcPr>
            <w:tcW w:w="2486" w:type="dxa"/>
          </w:tcPr>
          <w:p w:rsidR="00932919" w:rsidRPr="00701263" w:rsidRDefault="00932919" w:rsidP="00502243">
            <w:pPr>
              <w:pStyle w:val="Tabletext"/>
              <w:cnfStyle w:val="000000100000" w:firstRow="0" w:lastRow="0" w:firstColumn="0" w:lastColumn="0" w:oddVBand="0" w:evenVBand="0" w:oddHBand="1" w:evenHBand="0" w:firstRowFirstColumn="0" w:firstRowLastColumn="0" w:lastRowFirstColumn="0" w:lastRowLastColumn="0"/>
              <w:rPr>
                <w:sz w:val="18"/>
                <w:szCs w:val="18"/>
                <w:lang w:val="en-AU"/>
              </w:rPr>
            </w:pPr>
            <w:r w:rsidRPr="00701263">
              <w:rPr>
                <w:sz w:val="18"/>
                <w:szCs w:val="18"/>
                <w:lang w:val="en-AU"/>
              </w:rPr>
              <w:t>$301.8 m</w:t>
            </w:r>
            <w:r w:rsidR="00502243" w:rsidRPr="00701263">
              <w:rPr>
                <w:sz w:val="18"/>
                <w:szCs w:val="18"/>
                <w:lang w:val="en-AU"/>
              </w:rPr>
              <w:t>–</w:t>
            </w:r>
            <w:r w:rsidRPr="00701263">
              <w:rPr>
                <w:sz w:val="18"/>
                <w:szCs w:val="18"/>
                <w:lang w:val="en-AU"/>
              </w:rPr>
              <w:t>$441.9 m</w:t>
            </w:r>
          </w:p>
        </w:tc>
        <w:tc>
          <w:tcPr>
            <w:tcW w:w="4068" w:type="dxa"/>
          </w:tcPr>
          <w:p w:rsidR="00932919" w:rsidRPr="00701263" w:rsidRDefault="00932919" w:rsidP="0023395A">
            <w:pPr>
              <w:pStyle w:val="Tabletext"/>
              <w:cnfStyle w:val="000000100000" w:firstRow="0" w:lastRow="0" w:firstColumn="0" w:lastColumn="0" w:oddVBand="0" w:evenVBand="0" w:oddHBand="1" w:evenHBand="0" w:firstRowFirstColumn="0" w:firstRowLastColumn="0" w:lastRowFirstColumn="0" w:lastRowLastColumn="0"/>
              <w:rPr>
                <w:sz w:val="18"/>
                <w:szCs w:val="18"/>
                <w:lang w:val="en-AU"/>
              </w:rPr>
            </w:pPr>
            <w:r w:rsidRPr="00701263">
              <w:rPr>
                <w:sz w:val="18"/>
                <w:szCs w:val="18"/>
                <w:lang w:val="en-AU"/>
              </w:rPr>
              <w:t xml:space="preserve">Reduction in </w:t>
            </w:r>
            <w:r w:rsidR="00502243" w:rsidRPr="00701263">
              <w:rPr>
                <w:sz w:val="18"/>
                <w:szCs w:val="18"/>
                <w:lang w:val="en-AU"/>
              </w:rPr>
              <w:t xml:space="preserve">the </w:t>
            </w:r>
            <w:r w:rsidRPr="00701263">
              <w:rPr>
                <w:sz w:val="18"/>
                <w:szCs w:val="18"/>
                <w:lang w:val="en-AU"/>
              </w:rPr>
              <w:t xml:space="preserve">cost of </w:t>
            </w:r>
            <w:r w:rsidR="00502243" w:rsidRPr="00701263">
              <w:rPr>
                <w:sz w:val="18"/>
                <w:szCs w:val="18"/>
                <w:lang w:val="en-AU"/>
              </w:rPr>
              <w:t xml:space="preserve">an </w:t>
            </w:r>
            <w:r w:rsidRPr="00701263">
              <w:rPr>
                <w:sz w:val="18"/>
                <w:szCs w:val="18"/>
                <w:lang w:val="en-AU"/>
              </w:rPr>
              <w:t>average building fire of $700,000</w:t>
            </w:r>
            <w:r w:rsidR="0023395A" w:rsidRPr="00701263">
              <w:rPr>
                <w:sz w:val="18"/>
                <w:szCs w:val="18"/>
                <w:lang w:val="en-AU"/>
              </w:rPr>
              <w:t>–</w:t>
            </w:r>
            <w:r w:rsidRPr="00701263">
              <w:rPr>
                <w:sz w:val="18"/>
                <w:szCs w:val="18"/>
                <w:lang w:val="en-AU"/>
              </w:rPr>
              <w:t>$1.0 million and 4</w:t>
            </w:r>
            <w:r w:rsidR="0023395A" w:rsidRPr="00701263">
              <w:rPr>
                <w:sz w:val="18"/>
                <w:szCs w:val="18"/>
                <w:lang w:val="en-AU"/>
              </w:rPr>
              <w:t>–</w:t>
            </w:r>
            <w:r w:rsidRPr="00701263">
              <w:rPr>
                <w:sz w:val="18"/>
                <w:szCs w:val="18"/>
                <w:lang w:val="en-AU"/>
              </w:rPr>
              <w:t>6 avoided fire-related deaths annually.</w:t>
            </w:r>
          </w:p>
        </w:tc>
      </w:tr>
    </w:tbl>
    <w:p w:rsidR="00932919" w:rsidRPr="00427EE1" w:rsidRDefault="00932919" w:rsidP="004E4C36"/>
    <w:p w:rsidR="00E657D7" w:rsidRDefault="00932919">
      <w:pPr>
        <w:pStyle w:val="Caption"/>
      </w:pPr>
      <w:bookmarkStart w:id="153" w:name="_Toc481499866"/>
      <w:r w:rsidRPr="00427EE1">
        <w:lastRenderedPageBreak/>
        <w:t xml:space="preserve">Table </w:t>
      </w:r>
      <w:r w:rsidR="00AC1A59" w:rsidRPr="00427EE1">
        <w:fldChar w:fldCharType="begin"/>
      </w:r>
      <w:r w:rsidRPr="00427EE1">
        <w:instrText xml:space="preserve"> SEQ Table \* ARABIC </w:instrText>
      </w:r>
      <w:r w:rsidR="00AC1A59" w:rsidRPr="00427EE1">
        <w:fldChar w:fldCharType="separate"/>
      </w:r>
      <w:r w:rsidR="00B30389">
        <w:rPr>
          <w:noProof/>
        </w:rPr>
        <w:t>7</w:t>
      </w:r>
      <w:r w:rsidR="00AC1A59" w:rsidRPr="00427EE1">
        <w:fldChar w:fldCharType="end"/>
      </w:r>
      <w:r w:rsidRPr="00427EE1">
        <w:t xml:space="preserve">: </w:t>
      </w:r>
      <w:r w:rsidR="00D615BC" w:rsidRPr="00427EE1">
        <w:t>Cost</w:t>
      </w:r>
      <w:r w:rsidR="007C5A88">
        <w:t>–</w:t>
      </w:r>
      <w:r w:rsidR="00D615BC" w:rsidRPr="00427EE1">
        <w:t>benefit analysis</w:t>
      </w:r>
      <w:r w:rsidR="00502243">
        <w:t xml:space="preserve"> of p</w:t>
      </w:r>
      <w:r w:rsidR="00502243" w:rsidRPr="00427EE1">
        <w:t xml:space="preserve">referred options </w:t>
      </w:r>
      <w:r w:rsidR="00502243">
        <w:t>in</w:t>
      </w:r>
      <w:r w:rsidR="00502243" w:rsidRPr="00427EE1">
        <w:t xml:space="preserve"> </w:t>
      </w:r>
      <w:r w:rsidR="004267C5">
        <w:t xml:space="preserve">RIS </w:t>
      </w:r>
      <w:r w:rsidR="00502243" w:rsidRPr="00427EE1">
        <w:t xml:space="preserve">Part C: Building </w:t>
      </w:r>
      <w:r w:rsidR="00502243">
        <w:t>p</w:t>
      </w:r>
      <w:r w:rsidR="00502243" w:rsidRPr="00427EE1">
        <w:t xml:space="preserve">ractitioner </w:t>
      </w:r>
      <w:r w:rsidR="00502243">
        <w:t>r</w:t>
      </w:r>
      <w:r w:rsidR="00502243" w:rsidRPr="00427EE1">
        <w:t>egistration</w:t>
      </w:r>
      <w:bookmarkEnd w:id="153"/>
    </w:p>
    <w:tbl>
      <w:tblPr>
        <w:tblStyle w:val="MediumGrid3-Accent4"/>
        <w:tblW w:w="8222" w:type="dxa"/>
        <w:tblLook w:val="04A0" w:firstRow="1" w:lastRow="0" w:firstColumn="1" w:lastColumn="0" w:noHBand="0" w:noVBand="1"/>
      </w:tblPr>
      <w:tblGrid>
        <w:gridCol w:w="1382"/>
        <w:gridCol w:w="1638"/>
        <w:gridCol w:w="5202"/>
      </w:tblGrid>
      <w:tr w:rsidR="00932919" w:rsidRPr="00323374" w:rsidTr="000357A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82" w:type="dxa"/>
            <w:tcBorders>
              <w:top w:val="none" w:sz="0" w:space="0" w:color="auto"/>
              <w:left w:val="none" w:sz="0" w:space="0" w:color="auto"/>
              <w:bottom w:val="single" w:sz="8" w:space="0" w:color="FFFFFF" w:themeColor="background1"/>
              <w:right w:val="none" w:sz="0" w:space="0" w:color="auto"/>
            </w:tcBorders>
            <w:shd w:val="clear" w:color="auto" w:fill="00B2A9" w:themeFill="accent1"/>
          </w:tcPr>
          <w:p w:rsidR="00932919" w:rsidRPr="00323374" w:rsidRDefault="00932919" w:rsidP="004E4C36">
            <w:pPr>
              <w:pStyle w:val="Tablecolumnhead"/>
              <w:rPr>
                <w:sz w:val="18"/>
                <w:szCs w:val="18"/>
              </w:rPr>
            </w:pPr>
            <w:r w:rsidRPr="00323374">
              <w:rPr>
                <w:sz w:val="18"/>
                <w:szCs w:val="18"/>
              </w:rPr>
              <w:t>Topic</w:t>
            </w:r>
          </w:p>
        </w:tc>
        <w:tc>
          <w:tcPr>
            <w:tcW w:w="1638" w:type="dxa"/>
            <w:tcBorders>
              <w:top w:val="none" w:sz="0" w:space="0" w:color="auto"/>
              <w:left w:val="none" w:sz="0" w:space="0" w:color="auto"/>
              <w:bottom w:val="none" w:sz="0" w:space="0" w:color="auto"/>
              <w:right w:val="none" w:sz="0" w:space="0" w:color="auto"/>
            </w:tcBorders>
            <w:shd w:val="clear" w:color="auto" w:fill="00B2A9" w:themeFill="accent1"/>
          </w:tcPr>
          <w:p w:rsidR="00932919" w:rsidRPr="00323374" w:rsidRDefault="00932919" w:rsidP="0023395A">
            <w:pPr>
              <w:pStyle w:val="Tablecolumnhead"/>
              <w:cnfStyle w:val="100000000000" w:firstRow="1" w:lastRow="0" w:firstColumn="0" w:lastColumn="0" w:oddVBand="0" w:evenVBand="0" w:oddHBand="0" w:evenHBand="0" w:firstRowFirstColumn="0" w:firstRowLastColumn="0" w:lastRowFirstColumn="0" w:lastRowLastColumn="0"/>
              <w:rPr>
                <w:sz w:val="18"/>
                <w:szCs w:val="18"/>
              </w:rPr>
            </w:pPr>
            <w:r w:rsidRPr="00323374">
              <w:rPr>
                <w:sz w:val="18"/>
                <w:szCs w:val="18"/>
              </w:rPr>
              <w:t>Costs (</w:t>
            </w:r>
            <w:r w:rsidR="0023395A" w:rsidRPr="00323374">
              <w:rPr>
                <w:sz w:val="18"/>
                <w:szCs w:val="18"/>
              </w:rPr>
              <w:t>a year)</w:t>
            </w:r>
          </w:p>
        </w:tc>
        <w:tc>
          <w:tcPr>
            <w:tcW w:w="5202" w:type="dxa"/>
            <w:tcBorders>
              <w:top w:val="none" w:sz="0" w:space="0" w:color="auto"/>
              <w:left w:val="none" w:sz="0" w:space="0" w:color="auto"/>
              <w:bottom w:val="none" w:sz="0" w:space="0" w:color="auto"/>
              <w:right w:val="none" w:sz="0" w:space="0" w:color="auto"/>
            </w:tcBorders>
            <w:shd w:val="clear" w:color="auto" w:fill="00B2A9" w:themeFill="accent1"/>
          </w:tcPr>
          <w:p w:rsidR="00932919" w:rsidRPr="00323374" w:rsidRDefault="00932919" w:rsidP="004E4C36">
            <w:pPr>
              <w:pStyle w:val="Tablecolumnhead"/>
              <w:cnfStyle w:val="100000000000" w:firstRow="1" w:lastRow="0" w:firstColumn="0" w:lastColumn="0" w:oddVBand="0" w:evenVBand="0" w:oddHBand="0" w:evenHBand="0" w:firstRowFirstColumn="0" w:firstRowLastColumn="0" w:lastRowFirstColumn="0" w:lastRowLastColumn="0"/>
              <w:rPr>
                <w:sz w:val="18"/>
                <w:szCs w:val="18"/>
              </w:rPr>
            </w:pPr>
            <w:r w:rsidRPr="00323374">
              <w:rPr>
                <w:sz w:val="18"/>
                <w:szCs w:val="18"/>
              </w:rPr>
              <w:t>Benefit</w:t>
            </w:r>
            <w:r w:rsidR="00273730" w:rsidRPr="00323374">
              <w:rPr>
                <w:sz w:val="18"/>
                <w:szCs w:val="18"/>
              </w:rPr>
              <w:t>s</w:t>
            </w:r>
          </w:p>
        </w:tc>
      </w:tr>
      <w:tr w:rsidR="00932919" w:rsidRPr="00323374" w:rsidTr="00035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Borders>
              <w:left w:val="none" w:sz="0" w:space="0" w:color="auto"/>
              <w:bottom w:val="dotted" w:sz="4" w:space="0" w:color="00B2A9" w:themeColor="accent1"/>
              <w:right w:val="none" w:sz="0" w:space="0" w:color="auto"/>
            </w:tcBorders>
            <w:shd w:val="clear" w:color="auto" w:fill="auto"/>
          </w:tcPr>
          <w:p w:rsidR="00932919" w:rsidRPr="00357AB4" w:rsidRDefault="00AC1A59" w:rsidP="004E4C36">
            <w:pPr>
              <w:pStyle w:val="Tabletext"/>
              <w:rPr>
                <w:b w:val="0"/>
                <w:sz w:val="18"/>
                <w:szCs w:val="18"/>
                <w:lang w:val="en-AU"/>
              </w:rPr>
            </w:pPr>
            <w:r w:rsidRPr="00357AB4">
              <w:rPr>
                <w:sz w:val="18"/>
                <w:szCs w:val="18"/>
                <w:lang w:val="en-AU"/>
              </w:rPr>
              <w:t>Professional standards</w:t>
            </w:r>
          </w:p>
        </w:tc>
        <w:tc>
          <w:tcPr>
            <w:tcW w:w="1638" w:type="dxa"/>
          </w:tcPr>
          <w:p w:rsidR="00932919" w:rsidRPr="00323374" w:rsidRDefault="00932919" w:rsidP="004E4C36">
            <w:pPr>
              <w:pStyle w:val="Tabletext"/>
              <w:cnfStyle w:val="000000100000" w:firstRow="0" w:lastRow="0" w:firstColumn="0" w:lastColumn="0" w:oddVBand="0" w:evenVBand="0" w:oddHBand="1" w:evenHBand="0" w:firstRowFirstColumn="0" w:firstRowLastColumn="0" w:lastRowFirstColumn="0" w:lastRowLastColumn="0"/>
              <w:rPr>
                <w:sz w:val="18"/>
                <w:szCs w:val="18"/>
                <w:lang w:val="en-AU"/>
              </w:rPr>
            </w:pPr>
            <w:r w:rsidRPr="00323374">
              <w:rPr>
                <w:sz w:val="18"/>
                <w:szCs w:val="18"/>
                <w:lang w:val="en-AU"/>
              </w:rPr>
              <w:t>N/A</w:t>
            </w:r>
          </w:p>
        </w:tc>
        <w:tc>
          <w:tcPr>
            <w:tcW w:w="5202" w:type="dxa"/>
          </w:tcPr>
          <w:p w:rsidR="00932919" w:rsidRPr="00323374" w:rsidRDefault="00932919" w:rsidP="000357AD">
            <w:pPr>
              <w:pStyle w:val="Tabletext"/>
              <w:cnfStyle w:val="000000100000" w:firstRow="0" w:lastRow="0" w:firstColumn="0" w:lastColumn="0" w:oddVBand="0" w:evenVBand="0" w:oddHBand="1" w:evenHBand="0" w:firstRowFirstColumn="0" w:firstRowLastColumn="0" w:lastRowFirstColumn="0" w:lastRowLastColumn="0"/>
              <w:rPr>
                <w:sz w:val="18"/>
                <w:szCs w:val="18"/>
                <w:lang w:val="en-AU"/>
              </w:rPr>
            </w:pPr>
            <w:r w:rsidRPr="00323374">
              <w:rPr>
                <w:sz w:val="18"/>
                <w:szCs w:val="18"/>
                <w:lang w:val="en-AU"/>
              </w:rPr>
              <w:t>No material cost or benefit measured as the option is considered to assist in the management of disciplinary action but of itself does not change behaviour</w:t>
            </w:r>
            <w:r w:rsidR="002E5752" w:rsidRPr="00323374">
              <w:rPr>
                <w:sz w:val="18"/>
                <w:szCs w:val="18"/>
                <w:lang w:val="en-AU"/>
              </w:rPr>
              <w:t xml:space="preserve">. The </w:t>
            </w:r>
            <w:r w:rsidR="00195602" w:rsidRPr="00323374">
              <w:rPr>
                <w:sz w:val="18"/>
                <w:szCs w:val="18"/>
                <w:lang w:val="en-AU"/>
              </w:rPr>
              <w:t>department</w:t>
            </w:r>
            <w:r w:rsidR="002E5752" w:rsidRPr="00323374">
              <w:rPr>
                <w:sz w:val="18"/>
                <w:szCs w:val="18"/>
                <w:lang w:val="en-AU"/>
              </w:rPr>
              <w:t xml:space="preserve"> considers however it provides increased certainty as to why disciplinary actions are being taken.</w:t>
            </w:r>
          </w:p>
        </w:tc>
      </w:tr>
      <w:tr w:rsidR="00932919" w:rsidRPr="00323374" w:rsidTr="000357AD">
        <w:tc>
          <w:tcPr>
            <w:cnfStyle w:val="001000000000" w:firstRow="0" w:lastRow="0" w:firstColumn="1" w:lastColumn="0" w:oddVBand="0" w:evenVBand="0" w:oddHBand="0" w:evenHBand="0" w:firstRowFirstColumn="0" w:firstRowLastColumn="0" w:lastRowFirstColumn="0" w:lastRowLastColumn="0"/>
            <w:tcW w:w="1382" w:type="dxa"/>
            <w:tcBorders>
              <w:top w:val="dotted" w:sz="4" w:space="0" w:color="00B2A9" w:themeColor="accent1"/>
              <w:left w:val="none" w:sz="0" w:space="0" w:color="auto"/>
              <w:bottom w:val="dotted" w:sz="4" w:space="0" w:color="00B2A9" w:themeColor="accent1"/>
              <w:right w:val="none" w:sz="0" w:space="0" w:color="auto"/>
            </w:tcBorders>
            <w:shd w:val="clear" w:color="auto" w:fill="auto"/>
          </w:tcPr>
          <w:p w:rsidR="00932919" w:rsidRPr="00357AB4" w:rsidRDefault="00C85843" w:rsidP="004E4C36">
            <w:pPr>
              <w:pStyle w:val="Tabletext"/>
              <w:rPr>
                <w:b w:val="0"/>
                <w:sz w:val="18"/>
                <w:szCs w:val="18"/>
                <w:lang w:val="en-AU"/>
              </w:rPr>
            </w:pPr>
            <w:r w:rsidRPr="00357AB4">
              <w:rPr>
                <w:sz w:val="18"/>
                <w:szCs w:val="18"/>
                <w:lang w:val="en-AU"/>
              </w:rPr>
              <w:t>PBS</w:t>
            </w:r>
            <w:r w:rsidR="00AC1A59" w:rsidRPr="00357AB4">
              <w:rPr>
                <w:sz w:val="18"/>
                <w:szCs w:val="18"/>
                <w:lang w:val="en-AU"/>
              </w:rPr>
              <w:t>s</w:t>
            </w:r>
          </w:p>
        </w:tc>
        <w:tc>
          <w:tcPr>
            <w:tcW w:w="1638" w:type="dxa"/>
          </w:tcPr>
          <w:p w:rsidR="00932919" w:rsidRPr="00323374" w:rsidRDefault="00932919" w:rsidP="004E4C36">
            <w:pPr>
              <w:pStyle w:val="Tabletext"/>
              <w:cnfStyle w:val="000000000000" w:firstRow="0" w:lastRow="0" w:firstColumn="0" w:lastColumn="0" w:oddVBand="0" w:evenVBand="0" w:oddHBand="0" w:evenHBand="0" w:firstRowFirstColumn="0" w:firstRowLastColumn="0" w:lastRowFirstColumn="0" w:lastRowLastColumn="0"/>
              <w:rPr>
                <w:sz w:val="18"/>
                <w:szCs w:val="18"/>
                <w:lang w:val="en-AU"/>
              </w:rPr>
            </w:pPr>
            <w:r w:rsidRPr="00323374">
              <w:rPr>
                <w:sz w:val="18"/>
                <w:szCs w:val="18"/>
                <w:lang w:val="en-AU"/>
              </w:rPr>
              <w:t>N/A</w:t>
            </w:r>
          </w:p>
        </w:tc>
        <w:tc>
          <w:tcPr>
            <w:tcW w:w="5202" w:type="dxa"/>
          </w:tcPr>
          <w:p w:rsidR="00932919" w:rsidRPr="00323374" w:rsidRDefault="00932919" w:rsidP="000357AD">
            <w:pPr>
              <w:pStyle w:val="Tabletext"/>
              <w:cnfStyle w:val="000000000000" w:firstRow="0" w:lastRow="0" w:firstColumn="0" w:lastColumn="0" w:oddVBand="0" w:evenVBand="0" w:oddHBand="0" w:evenHBand="0" w:firstRowFirstColumn="0" w:firstRowLastColumn="0" w:lastRowFirstColumn="0" w:lastRowLastColumn="0"/>
              <w:rPr>
                <w:sz w:val="18"/>
                <w:szCs w:val="18"/>
                <w:lang w:val="en-AU"/>
              </w:rPr>
            </w:pPr>
            <w:r w:rsidRPr="00323374">
              <w:rPr>
                <w:sz w:val="18"/>
                <w:szCs w:val="18"/>
                <w:lang w:val="en-AU"/>
              </w:rPr>
              <w:t xml:space="preserve">The optimal prescribed period needs to balance the need to avoid conflicts of interest while minimising restricting work where no conflict exists or forcing use of exemption processes. The </w:t>
            </w:r>
            <w:r w:rsidR="00195602" w:rsidRPr="00323374">
              <w:rPr>
                <w:sz w:val="18"/>
                <w:szCs w:val="18"/>
                <w:lang w:val="en-AU"/>
              </w:rPr>
              <w:t>department</w:t>
            </w:r>
            <w:r w:rsidR="002E5752" w:rsidRPr="00323374">
              <w:rPr>
                <w:sz w:val="18"/>
                <w:szCs w:val="18"/>
                <w:lang w:val="en-AU"/>
              </w:rPr>
              <w:t xml:space="preserve"> considers the </w:t>
            </w:r>
            <w:r w:rsidRPr="00323374">
              <w:rPr>
                <w:sz w:val="18"/>
                <w:szCs w:val="18"/>
                <w:lang w:val="en-AU"/>
              </w:rPr>
              <w:t xml:space="preserve">current period of </w:t>
            </w:r>
            <w:r w:rsidR="000357AD" w:rsidRPr="00323374">
              <w:rPr>
                <w:sz w:val="18"/>
                <w:szCs w:val="18"/>
                <w:lang w:val="en-AU"/>
              </w:rPr>
              <w:t xml:space="preserve">one </w:t>
            </w:r>
            <w:r w:rsidRPr="00323374">
              <w:rPr>
                <w:sz w:val="18"/>
                <w:szCs w:val="18"/>
                <w:lang w:val="en-AU"/>
              </w:rPr>
              <w:t>year balance</w:t>
            </w:r>
            <w:r w:rsidR="002E5752" w:rsidRPr="00323374">
              <w:rPr>
                <w:sz w:val="18"/>
                <w:szCs w:val="18"/>
                <w:lang w:val="en-AU"/>
              </w:rPr>
              <w:t>s</w:t>
            </w:r>
            <w:r w:rsidRPr="00323374">
              <w:rPr>
                <w:sz w:val="18"/>
                <w:szCs w:val="18"/>
                <w:lang w:val="en-AU"/>
              </w:rPr>
              <w:t xml:space="preserve"> these needs and has no significant impact on the ability of building surveyors to operate.</w:t>
            </w:r>
          </w:p>
        </w:tc>
      </w:tr>
      <w:tr w:rsidR="00932919" w:rsidRPr="00323374" w:rsidTr="000357AD">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1382" w:type="dxa"/>
            <w:tcBorders>
              <w:top w:val="dotted" w:sz="4" w:space="0" w:color="00B2A9" w:themeColor="accent1"/>
              <w:left w:val="none" w:sz="0" w:space="0" w:color="auto"/>
              <w:bottom w:val="dotted" w:sz="4" w:space="0" w:color="00B2A9" w:themeColor="accent1"/>
              <w:right w:val="none" w:sz="0" w:space="0" w:color="auto"/>
            </w:tcBorders>
            <w:shd w:val="clear" w:color="auto" w:fill="auto"/>
          </w:tcPr>
          <w:p w:rsidR="00932919" w:rsidRPr="00357AB4" w:rsidRDefault="00AC1A59" w:rsidP="004E4C36">
            <w:pPr>
              <w:pStyle w:val="Tabletext"/>
              <w:rPr>
                <w:b w:val="0"/>
                <w:sz w:val="18"/>
                <w:szCs w:val="18"/>
                <w:lang w:val="en-AU"/>
              </w:rPr>
            </w:pPr>
            <w:r w:rsidRPr="00357AB4">
              <w:rPr>
                <w:sz w:val="18"/>
                <w:szCs w:val="18"/>
                <w:lang w:val="en-AU"/>
              </w:rPr>
              <w:t>Prescribed information for applicants</w:t>
            </w:r>
          </w:p>
        </w:tc>
        <w:tc>
          <w:tcPr>
            <w:tcW w:w="1638" w:type="dxa"/>
          </w:tcPr>
          <w:p w:rsidR="00932919" w:rsidRPr="00323374" w:rsidRDefault="00932919" w:rsidP="004E4C36">
            <w:pPr>
              <w:pStyle w:val="Tabletext"/>
              <w:cnfStyle w:val="000000100000" w:firstRow="0" w:lastRow="0" w:firstColumn="0" w:lastColumn="0" w:oddVBand="0" w:evenVBand="0" w:oddHBand="1" w:evenHBand="0" w:firstRowFirstColumn="0" w:firstRowLastColumn="0" w:lastRowFirstColumn="0" w:lastRowLastColumn="0"/>
              <w:rPr>
                <w:sz w:val="18"/>
                <w:szCs w:val="18"/>
                <w:lang w:val="en-AU"/>
              </w:rPr>
            </w:pPr>
            <w:r w:rsidRPr="00323374">
              <w:rPr>
                <w:sz w:val="18"/>
                <w:szCs w:val="18"/>
                <w:lang w:val="en-AU"/>
              </w:rPr>
              <w:t>N/A</w:t>
            </w:r>
          </w:p>
        </w:tc>
        <w:tc>
          <w:tcPr>
            <w:tcW w:w="5202" w:type="dxa"/>
          </w:tcPr>
          <w:p w:rsidR="00932919" w:rsidRPr="00323374" w:rsidRDefault="00932919" w:rsidP="000357AD">
            <w:pPr>
              <w:pStyle w:val="Tabletext"/>
              <w:cnfStyle w:val="000000100000" w:firstRow="0" w:lastRow="0" w:firstColumn="0" w:lastColumn="0" w:oddVBand="0" w:evenVBand="0" w:oddHBand="1" w:evenHBand="0" w:firstRowFirstColumn="0" w:firstRowLastColumn="0" w:lastRowFirstColumn="0" w:lastRowLastColumn="0"/>
              <w:rPr>
                <w:sz w:val="18"/>
                <w:szCs w:val="18"/>
                <w:lang w:val="en-AU"/>
              </w:rPr>
            </w:pPr>
            <w:r w:rsidRPr="00323374">
              <w:rPr>
                <w:sz w:val="18"/>
                <w:szCs w:val="18"/>
                <w:lang w:val="en-AU"/>
              </w:rPr>
              <w:t xml:space="preserve">No material cost or benefit as this codifies the practice already used by </w:t>
            </w:r>
            <w:r w:rsidR="00720C4E">
              <w:rPr>
                <w:sz w:val="18"/>
                <w:szCs w:val="18"/>
                <w:lang w:val="en-AU"/>
              </w:rPr>
              <w:t>VBA</w:t>
            </w:r>
            <w:r w:rsidRPr="00323374">
              <w:rPr>
                <w:sz w:val="18"/>
                <w:szCs w:val="18"/>
                <w:lang w:val="en-AU"/>
              </w:rPr>
              <w:t>, for which it has legislative powers.</w:t>
            </w:r>
            <w:r w:rsidR="002E5752" w:rsidRPr="00323374">
              <w:rPr>
                <w:sz w:val="18"/>
                <w:szCs w:val="18"/>
                <w:lang w:val="en-AU"/>
              </w:rPr>
              <w:t xml:space="preserve"> The </w:t>
            </w:r>
            <w:r w:rsidR="00195602" w:rsidRPr="00323374">
              <w:rPr>
                <w:sz w:val="18"/>
                <w:szCs w:val="18"/>
                <w:lang w:val="en-AU"/>
              </w:rPr>
              <w:t>department</w:t>
            </w:r>
            <w:r w:rsidR="002E5752" w:rsidRPr="00323374">
              <w:rPr>
                <w:sz w:val="18"/>
                <w:szCs w:val="18"/>
                <w:lang w:val="en-AU"/>
              </w:rPr>
              <w:t xml:space="preserve"> considers however that it assists in providing transparency of process for applicants seeking registration as a building practitioner.</w:t>
            </w:r>
          </w:p>
        </w:tc>
      </w:tr>
    </w:tbl>
    <w:p w:rsidR="00932919" w:rsidRPr="00427EE1" w:rsidRDefault="00932919" w:rsidP="00423C20"/>
    <w:p w:rsidR="000357AD" w:rsidRPr="00427EE1" w:rsidRDefault="00932919" w:rsidP="000357AD">
      <w:pPr>
        <w:pStyle w:val="Caption"/>
      </w:pPr>
      <w:bookmarkStart w:id="154" w:name="_Toc481499867"/>
      <w:r w:rsidRPr="00427EE1">
        <w:t xml:space="preserve">Table </w:t>
      </w:r>
      <w:r w:rsidR="00AC1A59" w:rsidRPr="00427EE1">
        <w:fldChar w:fldCharType="begin"/>
      </w:r>
      <w:r w:rsidRPr="00427EE1">
        <w:instrText xml:space="preserve"> SEQ Table \* ARABIC </w:instrText>
      </w:r>
      <w:r w:rsidR="00AC1A59" w:rsidRPr="00427EE1">
        <w:fldChar w:fldCharType="separate"/>
      </w:r>
      <w:r w:rsidR="00B30389">
        <w:rPr>
          <w:noProof/>
        </w:rPr>
        <w:t>8</w:t>
      </w:r>
      <w:r w:rsidR="00AC1A59" w:rsidRPr="00427EE1">
        <w:fldChar w:fldCharType="end"/>
      </w:r>
      <w:r w:rsidRPr="00427EE1">
        <w:t xml:space="preserve">: </w:t>
      </w:r>
      <w:r w:rsidR="00D615BC" w:rsidRPr="00427EE1">
        <w:t>Breakeven analysis</w:t>
      </w:r>
      <w:r w:rsidR="000357AD">
        <w:t xml:space="preserve"> of p</w:t>
      </w:r>
      <w:r w:rsidR="000357AD" w:rsidRPr="00427EE1">
        <w:t xml:space="preserve">referred options </w:t>
      </w:r>
      <w:r w:rsidR="000357AD">
        <w:t>in</w:t>
      </w:r>
      <w:r w:rsidR="000357AD" w:rsidRPr="00427EE1">
        <w:t xml:space="preserve"> </w:t>
      </w:r>
      <w:r w:rsidR="004267C5">
        <w:t xml:space="preserve">RIS </w:t>
      </w:r>
      <w:r w:rsidR="000357AD" w:rsidRPr="00427EE1">
        <w:t xml:space="preserve">Part C: Building </w:t>
      </w:r>
      <w:r w:rsidR="000357AD">
        <w:t>p</w:t>
      </w:r>
      <w:r w:rsidR="000357AD" w:rsidRPr="00427EE1">
        <w:t xml:space="preserve">ractitioner </w:t>
      </w:r>
      <w:r w:rsidR="000357AD">
        <w:t>r</w:t>
      </w:r>
      <w:r w:rsidR="000357AD" w:rsidRPr="00427EE1">
        <w:t>egistration</w:t>
      </w:r>
      <w:bookmarkEnd w:id="154"/>
    </w:p>
    <w:tbl>
      <w:tblPr>
        <w:tblStyle w:val="MediumGrid3-Accent4"/>
        <w:tblW w:w="8222" w:type="dxa"/>
        <w:tblLook w:val="04A0" w:firstRow="1" w:lastRow="0" w:firstColumn="1" w:lastColumn="0" w:noHBand="0" w:noVBand="1"/>
      </w:tblPr>
      <w:tblGrid>
        <w:gridCol w:w="2235"/>
        <w:gridCol w:w="1560"/>
        <w:gridCol w:w="4427"/>
      </w:tblGrid>
      <w:tr w:rsidR="00932919" w:rsidRPr="00323374" w:rsidTr="000357A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tcBorders>
              <w:top w:val="none" w:sz="0" w:space="0" w:color="auto"/>
              <w:left w:val="none" w:sz="0" w:space="0" w:color="auto"/>
              <w:bottom w:val="single" w:sz="6" w:space="0" w:color="FFFFFF" w:themeColor="background1"/>
              <w:right w:val="none" w:sz="0" w:space="0" w:color="auto"/>
            </w:tcBorders>
            <w:shd w:val="clear" w:color="auto" w:fill="00B2A9" w:themeFill="accent1"/>
          </w:tcPr>
          <w:p w:rsidR="00932919" w:rsidRPr="00323374" w:rsidRDefault="00932919" w:rsidP="004E4C36">
            <w:pPr>
              <w:pStyle w:val="Tablecolumnhead"/>
              <w:rPr>
                <w:sz w:val="18"/>
                <w:szCs w:val="18"/>
              </w:rPr>
            </w:pPr>
            <w:r w:rsidRPr="00323374">
              <w:rPr>
                <w:sz w:val="18"/>
                <w:szCs w:val="18"/>
              </w:rPr>
              <w:t>Topic</w:t>
            </w:r>
          </w:p>
        </w:tc>
        <w:tc>
          <w:tcPr>
            <w:tcW w:w="1560" w:type="dxa"/>
            <w:tcBorders>
              <w:top w:val="none" w:sz="0" w:space="0" w:color="auto"/>
              <w:left w:val="none" w:sz="0" w:space="0" w:color="auto"/>
              <w:bottom w:val="none" w:sz="0" w:space="0" w:color="auto"/>
              <w:right w:val="none" w:sz="0" w:space="0" w:color="auto"/>
            </w:tcBorders>
            <w:shd w:val="clear" w:color="auto" w:fill="00B2A9" w:themeFill="accent1"/>
          </w:tcPr>
          <w:p w:rsidR="00932919" w:rsidRPr="00323374" w:rsidRDefault="00932919" w:rsidP="0023395A">
            <w:pPr>
              <w:pStyle w:val="Tablecolumnhead"/>
              <w:cnfStyle w:val="100000000000" w:firstRow="1" w:lastRow="0" w:firstColumn="0" w:lastColumn="0" w:oddVBand="0" w:evenVBand="0" w:oddHBand="0" w:evenHBand="0" w:firstRowFirstColumn="0" w:firstRowLastColumn="0" w:lastRowFirstColumn="0" w:lastRowLastColumn="0"/>
              <w:rPr>
                <w:sz w:val="18"/>
                <w:szCs w:val="18"/>
              </w:rPr>
            </w:pPr>
            <w:r w:rsidRPr="00323374">
              <w:rPr>
                <w:sz w:val="18"/>
                <w:szCs w:val="18"/>
              </w:rPr>
              <w:t>Costs (</w:t>
            </w:r>
            <w:r w:rsidR="0023395A" w:rsidRPr="00323374">
              <w:rPr>
                <w:sz w:val="18"/>
                <w:szCs w:val="18"/>
              </w:rPr>
              <w:t>a year</w:t>
            </w:r>
            <w:r w:rsidRPr="00323374">
              <w:rPr>
                <w:sz w:val="18"/>
                <w:szCs w:val="18"/>
              </w:rPr>
              <w:t>)</w:t>
            </w:r>
          </w:p>
        </w:tc>
        <w:tc>
          <w:tcPr>
            <w:tcW w:w="4427" w:type="dxa"/>
            <w:tcBorders>
              <w:top w:val="none" w:sz="0" w:space="0" w:color="auto"/>
              <w:left w:val="none" w:sz="0" w:space="0" w:color="auto"/>
              <w:bottom w:val="none" w:sz="0" w:space="0" w:color="auto"/>
              <w:right w:val="none" w:sz="0" w:space="0" w:color="auto"/>
            </w:tcBorders>
            <w:shd w:val="clear" w:color="auto" w:fill="00B2A9" w:themeFill="accent1"/>
          </w:tcPr>
          <w:p w:rsidR="00932919" w:rsidRPr="00323374" w:rsidRDefault="00932919" w:rsidP="004E4C36">
            <w:pPr>
              <w:pStyle w:val="Tablecolumnhead"/>
              <w:cnfStyle w:val="100000000000" w:firstRow="1" w:lastRow="0" w:firstColumn="0" w:lastColumn="0" w:oddVBand="0" w:evenVBand="0" w:oddHBand="0" w:evenHBand="0" w:firstRowFirstColumn="0" w:firstRowLastColumn="0" w:lastRowFirstColumn="0" w:lastRowLastColumn="0"/>
              <w:rPr>
                <w:sz w:val="18"/>
                <w:szCs w:val="18"/>
              </w:rPr>
            </w:pPr>
            <w:r w:rsidRPr="00323374">
              <w:rPr>
                <w:sz w:val="18"/>
                <w:szCs w:val="18"/>
              </w:rPr>
              <w:t>Benefit required to justify the costs</w:t>
            </w:r>
          </w:p>
        </w:tc>
      </w:tr>
      <w:tr w:rsidR="00932919" w:rsidRPr="00323374" w:rsidTr="000357AD">
        <w:trPr>
          <w:cnfStyle w:val="000000100000" w:firstRow="0" w:lastRow="0" w:firstColumn="0" w:lastColumn="0" w:oddVBand="0" w:evenVBand="0" w:oddHBand="1" w:evenHBand="0" w:firstRowFirstColumn="0" w:firstRowLastColumn="0" w:lastRowFirstColumn="0" w:lastRowLastColumn="0"/>
          <w:trHeight w:val="723"/>
        </w:trPr>
        <w:tc>
          <w:tcPr>
            <w:cnfStyle w:val="001000000000" w:firstRow="0" w:lastRow="0" w:firstColumn="1" w:lastColumn="0" w:oddVBand="0" w:evenVBand="0" w:oddHBand="0" w:evenHBand="0" w:firstRowFirstColumn="0" w:firstRowLastColumn="0" w:lastRowFirstColumn="0" w:lastRowLastColumn="0"/>
            <w:tcW w:w="2235" w:type="dxa"/>
            <w:tcBorders>
              <w:top w:val="single" w:sz="6" w:space="0" w:color="FFFFFF" w:themeColor="background1"/>
              <w:left w:val="none" w:sz="0" w:space="0" w:color="auto"/>
              <w:bottom w:val="dotted" w:sz="4" w:space="0" w:color="00B2A9" w:themeColor="accent1"/>
              <w:right w:val="none" w:sz="0" w:space="0" w:color="auto"/>
            </w:tcBorders>
            <w:shd w:val="clear" w:color="auto" w:fill="auto"/>
          </w:tcPr>
          <w:p w:rsidR="00932919" w:rsidRPr="00357AB4" w:rsidRDefault="00AC1A59" w:rsidP="004E4C36">
            <w:pPr>
              <w:pStyle w:val="Tabletext"/>
              <w:rPr>
                <w:b w:val="0"/>
                <w:sz w:val="18"/>
                <w:szCs w:val="18"/>
                <w:lang w:val="en-AU"/>
              </w:rPr>
            </w:pPr>
            <w:r w:rsidRPr="00357AB4">
              <w:rPr>
                <w:sz w:val="18"/>
                <w:szCs w:val="18"/>
                <w:lang w:val="en-AU"/>
              </w:rPr>
              <w:t>Practitioner qualifications and experience requirements</w:t>
            </w:r>
          </w:p>
        </w:tc>
        <w:tc>
          <w:tcPr>
            <w:tcW w:w="1560" w:type="dxa"/>
            <w:tcBorders>
              <w:top w:val="none" w:sz="0" w:space="0" w:color="auto"/>
              <w:left w:val="none" w:sz="0" w:space="0" w:color="auto"/>
              <w:bottom w:val="none" w:sz="0" w:space="0" w:color="auto"/>
              <w:right w:val="none" w:sz="0" w:space="0" w:color="auto"/>
            </w:tcBorders>
            <w:shd w:val="clear" w:color="auto" w:fill="E5F7F6" w:themeFill="accent4" w:themeFillTint="3F"/>
          </w:tcPr>
          <w:p w:rsidR="00932919" w:rsidRPr="00323374" w:rsidRDefault="00932919" w:rsidP="004E4C36">
            <w:pPr>
              <w:pStyle w:val="Tabletext"/>
              <w:cnfStyle w:val="000000100000" w:firstRow="0" w:lastRow="0" w:firstColumn="0" w:lastColumn="0" w:oddVBand="0" w:evenVBand="0" w:oddHBand="1" w:evenHBand="0" w:firstRowFirstColumn="0" w:firstRowLastColumn="0" w:lastRowFirstColumn="0" w:lastRowLastColumn="0"/>
              <w:rPr>
                <w:sz w:val="18"/>
                <w:szCs w:val="18"/>
                <w:lang w:val="en-AU"/>
              </w:rPr>
            </w:pPr>
            <w:r w:rsidRPr="00323374">
              <w:rPr>
                <w:sz w:val="18"/>
                <w:szCs w:val="18"/>
                <w:lang w:val="en-AU"/>
              </w:rPr>
              <w:t xml:space="preserve">$27.0 m </w:t>
            </w:r>
          </w:p>
        </w:tc>
        <w:tc>
          <w:tcPr>
            <w:tcW w:w="4427" w:type="dxa"/>
            <w:tcBorders>
              <w:top w:val="none" w:sz="0" w:space="0" w:color="auto"/>
              <w:left w:val="none" w:sz="0" w:space="0" w:color="auto"/>
              <w:bottom w:val="none" w:sz="0" w:space="0" w:color="auto"/>
              <w:right w:val="none" w:sz="0" w:space="0" w:color="auto"/>
            </w:tcBorders>
            <w:shd w:val="clear" w:color="auto" w:fill="E5F7F6" w:themeFill="accent4" w:themeFillTint="3F"/>
          </w:tcPr>
          <w:p w:rsidR="00932919" w:rsidRPr="00323374" w:rsidRDefault="00932919" w:rsidP="0023395A">
            <w:pPr>
              <w:pStyle w:val="Tabletext"/>
              <w:cnfStyle w:val="000000100000" w:firstRow="0" w:lastRow="0" w:firstColumn="0" w:lastColumn="0" w:oddVBand="0" w:evenVBand="0" w:oddHBand="1" w:evenHBand="0" w:firstRowFirstColumn="0" w:firstRowLastColumn="0" w:lastRowFirstColumn="0" w:lastRowLastColumn="0"/>
              <w:rPr>
                <w:sz w:val="18"/>
                <w:szCs w:val="18"/>
                <w:lang w:val="en-AU"/>
              </w:rPr>
            </w:pPr>
            <w:r w:rsidRPr="00323374">
              <w:rPr>
                <w:sz w:val="18"/>
                <w:szCs w:val="18"/>
                <w:lang w:val="en-AU"/>
              </w:rPr>
              <w:t>Avoidance of 33,155 detrimental incidents each year, after allowing a cost saving to consumers (reduce</w:t>
            </w:r>
            <w:r w:rsidR="000357AD" w:rsidRPr="00323374">
              <w:rPr>
                <w:sz w:val="18"/>
                <w:szCs w:val="18"/>
                <w:lang w:val="en-AU"/>
              </w:rPr>
              <w:t>d</w:t>
            </w:r>
            <w:r w:rsidRPr="00323374">
              <w:rPr>
                <w:sz w:val="18"/>
                <w:szCs w:val="18"/>
                <w:lang w:val="en-AU"/>
              </w:rPr>
              <w:t xml:space="preserve"> search costs) of $2.1 million </w:t>
            </w:r>
            <w:r w:rsidR="0023395A" w:rsidRPr="00323374">
              <w:rPr>
                <w:sz w:val="18"/>
                <w:szCs w:val="18"/>
                <w:lang w:val="en-AU"/>
              </w:rPr>
              <w:t>a year</w:t>
            </w:r>
            <w:r w:rsidRPr="00323374">
              <w:rPr>
                <w:sz w:val="18"/>
                <w:szCs w:val="18"/>
                <w:lang w:val="en-AU"/>
              </w:rPr>
              <w:t>.</w:t>
            </w:r>
          </w:p>
        </w:tc>
      </w:tr>
      <w:tr w:rsidR="00932919" w:rsidRPr="00323374" w:rsidTr="000357AD">
        <w:trPr>
          <w:trHeight w:val="723"/>
        </w:trPr>
        <w:tc>
          <w:tcPr>
            <w:cnfStyle w:val="001000000000" w:firstRow="0" w:lastRow="0" w:firstColumn="1" w:lastColumn="0" w:oddVBand="0" w:evenVBand="0" w:oddHBand="0" w:evenHBand="0" w:firstRowFirstColumn="0" w:firstRowLastColumn="0" w:lastRowFirstColumn="0" w:lastRowLastColumn="0"/>
            <w:tcW w:w="2235" w:type="dxa"/>
            <w:tcBorders>
              <w:top w:val="dotted" w:sz="4" w:space="0" w:color="00B2A9" w:themeColor="accent1"/>
              <w:bottom w:val="dotted" w:sz="4" w:space="0" w:color="00B2A9" w:themeColor="accent1"/>
            </w:tcBorders>
            <w:shd w:val="clear" w:color="auto" w:fill="auto"/>
          </w:tcPr>
          <w:p w:rsidR="00932919" w:rsidRPr="00357AB4" w:rsidRDefault="00AC1A59" w:rsidP="004E4C36">
            <w:pPr>
              <w:pStyle w:val="Tabletext"/>
              <w:rPr>
                <w:b w:val="0"/>
                <w:sz w:val="18"/>
                <w:szCs w:val="18"/>
              </w:rPr>
            </w:pPr>
            <w:r w:rsidRPr="00357AB4">
              <w:rPr>
                <w:sz w:val="18"/>
                <w:szCs w:val="18"/>
              </w:rPr>
              <w:t>Prescribed information related to character</w:t>
            </w:r>
          </w:p>
        </w:tc>
        <w:tc>
          <w:tcPr>
            <w:tcW w:w="1560" w:type="dxa"/>
          </w:tcPr>
          <w:p w:rsidR="00932919" w:rsidRPr="00323374" w:rsidRDefault="00AC1A59">
            <w:pPr>
              <w:pStyle w:val="Tabletext"/>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323374">
              <w:rPr>
                <w:sz w:val="18"/>
                <w:szCs w:val="18"/>
              </w:rPr>
              <w:t>$24,171</w:t>
            </w:r>
          </w:p>
        </w:tc>
        <w:tc>
          <w:tcPr>
            <w:tcW w:w="4427" w:type="dxa"/>
          </w:tcPr>
          <w:p w:rsidR="00932919" w:rsidRPr="00323374" w:rsidRDefault="00AC1A59" w:rsidP="004E4C36">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323374">
              <w:rPr>
                <w:sz w:val="18"/>
                <w:szCs w:val="18"/>
              </w:rPr>
              <w:t>Prevention of three unsuitable practitioners being registered each year.</w:t>
            </w:r>
          </w:p>
        </w:tc>
      </w:tr>
    </w:tbl>
    <w:p w:rsidR="00932919" w:rsidRPr="00427EE1" w:rsidRDefault="00932919" w:rsidP="00423C20"/>
    <w:p w:rsidR="004F7D03" w:rsidRPr="00427EE1" w:rsidRDefault="003448D2" w:rsidP="00C14778">
      <w:pPr>
        <w:pStyle w:val="Heading2"/>
      </w:pPr>
      <w:bookmarkStart w:id="155" w:name="_Toc481501585"/>
      <w:r>
        <w:t>3.4</w:t>
      </w:r>
      <w:r>
        <w:tab/>
      </w:r>
      <w:r w:rsidR="004F7D03" w:rsidRPr="00427EE1">
        <w:t>Competition assessment</w:t>
      </w:r>
      <w:bookmarkEnd w:id="155"/>
    </w:p>
    <w:p w:rsidR="004F7D03" w:rsidRPr="00427EE1" w:rsidRDefault="004F7D03" w:rsidP="00AF771E">
      <w:r w:rsidRPr="00427EE1">
        <w:t>Considerations of national competition policy include identifying any restrictions to competition in the preferred option, showing that the restriction is necessary to achieve the objective and assessing whether the benefits of the restriction outweigh the costs in each particular case.</w:t>
      </w:r>
    </w:p>
    <w:p w:rsidR="004F7D03" w:rsidRPr="00427EE1" w:rsidRDefault="004F7D03" w:rsidP="00AF771E">
      <w:pPr>
        <w:pStyle w:val="Normalpre-dotpoint"/>
      </w:pPr>
      <w:r w:rsidRPr="00427EE1">
        <w:t xml:space="preserve">Any new </w:t>
      </w:r>
      <w:r w:rsidR="003E73B7" w:rsidRPr="00427EE1">
        <w:t>or amending</w:t>
      </w:r>
      <w:r w:rsidRPr="00427EE1">
        <w:t xml:space="preserve"> legislation </w:t>
      </w:r>
      <w:r w:rsidR="003E73B7" w:rsidRPr="00427EE1">
        <w:t>or regulation</w:t>
      </w:r>
      <w:r w:rsidRPr="00427EE1">
        <w:t xml:space="preserve"> in Victoria must not restrict competition unless it can be demonstrated that:</w:t>
      </w:r>
    </w:p>
    <w:p w:rsidR="004F7D03" w:rsidRPr="00427EE1" w:rsidRDefault="004F7D03" w:rsidP="00AF771E">
      <w:pPr>
        <w:pStyle w:val="Dotpoint"/>
      </w:pPr>
      <w:r w:rsidRPr="00427EE1">
        <w:t>the benefits of the restriction, as a whole, outweigh the costs</w:t>
      </w:r>
    </w:p>
    <w:p w:rsidR="00E657D7" w:rsidRDefault="004F7D03">
      <w:pPr>
        <w:pStyle w:val="Dotpointlast"/>
      </w:pPr>
      <w:r w:rsidRPr="00427EE1">
        <w:t>the objectives of the legislation can only be achieved by restricting competition.</w:t>
      </w:r>
    </w:p>
    <w:p w:rsidR="004F7D03" w:rsidRPr="00427EE1" w:rsidRDefault="004F7D03" w:rsidP="00AF771E">
      <w:r w:rsidRPr="00427EE1">
        <w:t xml:space="preserve">A legislative amendment is considered to have an impact on competition if any of the questions in </w:t>
      </w:r>
      <w:r w:rsidR="00DE6971">
        <w:fldChar w:fldCharType="begin"/>
      </w:r>
      <w:r w:rsidR="00DE6971">
        <w:instrText xml:space="preserve"> REF _Ref480976796 \h  \* MERGEFORMAT </w:instrText>
      </w:r>
      <w:r w:rsidR="00DE6971">
        <w:fldChar w:fldCharType="separate"/>
      </w:r>
      <w:r w:rsidR="00B30389" w:rsidRPr="00B30389">
        <w:rPr>
          <w:b/>
          <w:color w:val="00B2A9" w:themeColor="accent1"/>
        </w:rPr>
        <w:t>Table 9</w:t>
      </w:r>
      <w:r w:rsidR="00DE6971">
        <w:fldChar w:fldCharType="end"/>
      </w:r>
      <w:r w:rsidR="00F30D59">
        <w:t xml:space="preserve"> </w:t>
      </w:r>
      <w:r w:rsidRPr="00427EE1">
        <w:t>can be answered in the affirmative. The table shows the rationale and significan</w:t>
      </w:r>
      <w:r w:rsidR="00F30D59">
        <w:t>ce</w:t>
      </w:r>
      <w:r w:rsidRPr="00427EE1">
        <w:t xml:space="preserve"> of those areas where there is an impact on competition.</w:t>
      </w:r>
    </w:p>
    <w:p w:rsidR="004F7D03" w:rsidRPr="00427EE1" w:rsidRDefault="004F7D03" w:rsidP="00427EE1">
      <w:pPr>
        <w:pStyle w:val="Caption"/>
      </w:pPr>
      <w:bookmarkStart w:id="156" w:name="_Ref480976796"/>
      <w:bookmarkStart w:id="157" w:name="_Toc481499868"/>
      <w:r w:rsidRPr="00427EE1">
        <w:lastRenderedPageBreak/>
        <w:t xml:space="preserve">Table </w:t>
      </w:r>
      <w:r w:rsidR="00AC1A59" w:rsidRPr="00427EE1">
        <w:fldChar w:fldCharType="begin"/>
      </w:r>
      <w:r w:rsidR="009E0A89" w:rsidRPr="00427EE1">
        <w:instrText xml:space="preserve"> SEQ Table \* ARABIC </w:instrText>
      </w:r>
      <w:r w:rsidR="00AC1A59" w:rsidRPr="00427EE1">
        <w:fldChar w:fldCharType="separate"/>
      </w:r>
      <w:r w:rsidR="00B30389">
        <w:rPr>
          <w:noProof/>
        </w:rPr>
        <w:t>9</w:t>
      </w:r>
      <w:r w:rsidR="00AC1A59" w:rsidRPr="00427EE1">
        <w:fldChar w:fldCharType="end"/>
      </w:r>
      <w:bookmarkEnd w:id="156"/>
      <w:r w:rsidRPr="00427EE1">
        <w:t>: Criteria for determining adverse competition impacts</w:t>
      </w:r>
      <w:bookmarkEnd w:id="157"/>
    </w:p>
    <w:tbl>
      <w:tblPr>
        <w:tblStyle w:val="Tables-APBase"/>
        <w:tblW w:w="8493" w:type="dxa"/>
        <w:tblLayout w:type="fixed"/>
        <w:tblLook w:val="04A0" w:firstRow="1" w:lastRow="0" w:firstColumn="1" w:lastColumn="0" w:noHBand="0" w:noVBand="1"/>
      </w:tblPr>
      <w:tblGrid>
        <w:gridCol w:w="3188"/>
        <w:gridCol w:w="938"/>
        <w:gridCol w:w="4367"/>
      </w:tblGrid>
      <w:tr w:rsidR="004F7D03" w:rsidRPr="00323374" w:rsidTr="00AE2718">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3188" w:type="dxa"/>
            <w:tcBorders>
              <w:left w:val="single" w:sz="4" w:space="0" w:color="FFFFFF"/>
              <w:right w:val="single" w:sz="4" w:space="0" w:color="FFFFFF"/>
            </w:tcBorders>
            <w:shd w:val="clear" w:color="auto" w:fill="00B2A9" w:themeFill="accent1"/>
            <w:hideMark/>
          </w:tcPr>
          <w:p w:rsidR="004F7D03" w:rsidRPr="00323374" w:rsidRDefault="004F7D03" w:rsidP="002612E2">
            <w:pPr>
              <w:pStyle w:val="Tablecolumnhead"/>
              <w:rPr>
                <w:sz w:val="18"/>
                <w:szCs w:val="18"/>
              </w:rPr>
            </w:pPr>
            <w:r w:rsidRPr="00323374">
              <w:rPr>
                <w:sz w:val="18"/>
                <w:szCs w:val="18"/>
              </w:rPr>
              <w:t>Question</w:t>
            </w:r>
          </w:p>
        </w:tc>
        <w:tc>
          <w:tcPr>
            <w:tcW w:w="938" w:type="dxa"/>
            <w:tcBorders>
              <w:left w:val="single" w:sz="4" w:space="0" w:color="FFFFFF"/>
              <w:right w:val="single" w:sz="4" w:space="0" w:color="FFFFFF"/>
            </w:tcBorders>
            <w:shd w:val="clear" w:color="auto" w:fill="00B2A9" w:themeFill="accent1"/>
            <w:hideMark/>
          </w:tcPr>
          <w:p w:rsidR="004F7D03" w:rsidRPr="00323374" w:rsidRDefault="00AC1A59" w:rsidP="002612E2">
            <w:pPr>
              <w:pStyle w:val="Tablecolumnhead"/>
              <w:numPr>
                <w:ilvl w:val="0"/>
                <w:numId w:val="7"/>
              </w:numPr>
              <w:jc w:val="left"/>
              <w:outlineLvl w:val="0"/>
              <w:cnfStyle w:val="100000000000" w:firstRow="1" w:lastRow="0" w:firstColumn="0" w:lastColumn="0" w:oddVBand="0" w:evenVBand="0" w:oddHBand="0" w:evenHBand="0" w:firstRowFirstColumn="0" w:firstRowLastColumn="0" w:lastRowFirstColumn="0" w:lastRowLastColumn="0"/>
              <w:rPr>
                <w:rFonts w:ascii="Arial Bold" w:hAnsi="Arial Bold"/>
                <w:spacing w:val="-20"/>
                <w:sz w:val="18"/>
                <w:szCs w:val="18"/>
              </w:rPr>
            </w:pPr>
            <w:r w:rsidRPr="00323374">
              <w:rPr>
                <w:rFonts w:ascii="Arial Bold" w:hAnsi="Arial Bold"/>
                <w:spacing w:val="-20"/>
                <w:sz w:val="18"/>
                <w:szCs w:val="18"/>
              </w:rPr>
              <w:t>Answer</w:t>
            </w:r>
          </w:p>
        </w:tc>
        <w:tc>
          <w:tcPr>
            <w:tcW w:w="4367" w:type="dxa"/>
            <w:tcBorders>
              <w:left w:val="single" w:sz="4" w:space="0" w:color="FFFFFF"/>
              <w:right w:val="single" w:sz="4" w:space="0" w:color="FFFFFF"/>
            </w:tcBorders>
            <w:shd w:val="clear" w:color="auto" w:fill="00B2A9" w:themeFill="accent1"/>
            <w:hideMark/>
          </w:tcPr>
          <w:p w:rsidR="004F7D03" w:rsidRPr="00323374" w:rsidRDefault="004F7D03" w:rsidP="002612E2">
            <w:pPr>
              <w:pStyle w:val="Tablecolumnhead"/>
              <w:cnfStyle w:val="100000000000" w:firstRow="1" w:lastRow="0" w:firstColumn="0" w:lastColumn="0" w:oddVBand="0" w:evenVBand="0" w:oddHBand="0" w:evenHBand="0" w:firstRowFirstColumn="0" w:firstRowLastColumn="0" w:lastRowFirstColumn="0" w:lastRowLastColumn="0"/>
              <w:rPr>
                <w:sz w:val="18"/>
                <w:szCs w:val="18"/>
              </w:rPr>
            </w:pPr>
            <w:r w:rsidRPr="00323374">
              <w:rPr>
                <w:sz w:val="18"/>
                <w:szCs w:val="18"/>
              </w:rPr>
              <w:t>Significance</w:t>
            </w:r>
          </w:p>
        </w:tc>
      </w:tr>
      <w:tr w:rsidR="004F7D03" w:rsidRPr="00323374" w:rsidTr="00AE2718">
        <w:trPr>
          <w:cantSplit/>
        </w:trPr>
        <w:tc>
          <w:tcPr>
            <w:tcW w:w="3188" w:type="dxa"/>
            <w:tcBorders>
              <w:top w:val="dotted" w:sz="8" w:space="0" w:color="642667" w:themeColor="text2"/>
              <w:left w:val="single" w:sz="4" w:space="0" w:color="FFFFFF"/>
              <w:bottom w:val="dotted" w:sz="8" w:space="0" w:color="642667" w:themeColor="text2"/>
              <w:right w:val="single" w:sz="4" w:space="0" w:color="FFFFFF"/>
            </w:tcBorders>
            <w:hideMark/>
          </w:tcPr>
          <w:p w:rsidR="004F7D03" w:rsidRPr="00323374" w:rsidRDefault="00F30D59" w:rsidP="00F30D59">
            <w:pPr>
              <w:pStyle w:val="Tabletext"/>
              <w:rPr>
                <w:sz w:val="18"/>
                <w:szCs w:val="18"/>
                <w:lang w:val="en-AU"/>
              </w:rPr>
            </w:pPr>
            <w:r w:rsidRPr="00323374">
              <w:rPr>
                <w:sz w:val="18"/>
                <w:szCs w:val="18"/>
                <w:lang w:val="en-AU"/>
              </w:rPr>
              <w:t xml:space="preserve">Are the </w:t>
            </w:r>
            <w:r w:rsidR="004F7D03" w:rsidRPr="00323374">
              <w:rPr>
                <w:sz w:val="18"/>
                <w:szCs w:val="18"/>
                <w:lang w:val="en-AU"/>
              </w:rPr>
              <w:t>proposed measure</w:t>
            </w:r>
            <w:r w:rsidRPr="00323374">
              <w:rPr>
                <w:sz w:val="18"/>
                <w:szCs w:val="18"/>
                <w:lang w:val="en-AU"/>
              </w:rPr>
              <w:t>s</w:t>
            </w:r>
            <w:r w:rsidR="004F7D03" w:rsidRPr="00323374">
              <w:rPr>
                <w:sz w:val="18"/>
                <w:szCs w:val="18"/>
                <w:lang w:val="en-AU"/>
              </w:rPr>
              <w:t xml:space="preserve"> likely to affect the market structure of the affected sector(s)</w:t>
            </w:r>
            <w:r w:rsidRPr="00323374">
              <w:rPr>
                <w:sz w:val="18"/>
                <w:szCs w:val="18"/>
                <w:lang w:val="en-AU"/>
              </w:rPr>
              <w:t xml:space="preserve">; </w:t>
            </w:r>
            <w:r w:rsidR="00D90FC3" w:rsidRPr="00323374">
              <w:rPr>
                <w:sz w:val="18"/>
                <w:szCs w:val="18"/>
                <w:lang w:val="en-AU"/>
              </w:rPr>
              <w:t>that is,</w:t>
            </w:r>
            <w:r w:rsidR="004F7D03" w:rsidRPr="00323374">
              <w:rPr>
                <w:sz w:val="18"/>
                <w:szCs w:val="18"/>
                <w:lang w:val="en-AU"/>
              </w:rPr>
              <w:t xml:space="preserve"> will </w:t>
            </w:r>
            <w:r w:rsidRPr="00323374">
              <w:rPr>
                <w:sz w:val="18"/>
                <w:szCs w:val="18"/>
                <w:lang w:val="en-AU"/>
              </w:rPr>
              <w:t xml:space="preserve">they </w:t>
            </w:r>
            <w:r w:rsidR="004F7D03" w:rsidRPr="00323374">
              <w:rPr>
                <w:sz w:val="18"/>
                <w:szCs w:val="18"/>
                <w:lang w:val="en-AU"/>
              </w:rPr>
              <w:t>reduce the number of participants in the market or increase the size of incumbent firms?</w:t>
            </w:r>
          </w:p>
        </w:tc>
        <w:tc>
          <w:tcPr>
            <w:tcW w:w="938" w:type="dxa"/>
            <w:tcBorders>
              <w:top w:val="dotted" w:sz="8" w:space="0" w:color="642667" w:themeColor="text2"/>
              <w:left w:val="single" w:sz="4" w:space="0" w:color="FFFFFF"/>
              <w:bottom w:val="dotted" w:sz="8" w:space="0" w:color="642667" w:themeColor="text2"/>
              <w:right w:val="single" w:sz="4" w:space="0" w:color="FFFFFF"/>
            </w:tcBorders>
            <w:hideMark/>
          </w:tcPr>
          <w:p w:rsidR="004F7D03" w:rsidRPr="00323374" w:rsidRDefault="004F7D03" w:rsidP="002612E2">
            <w:pPr>
              <w:pStyle w:val="Tabletext"/>
              <w:rPr>
                <w:sz w:val="18"/>
                <w:szCs w:val="18"/>
                <w:lang w:val="en-AU"/>
              </w:rPr>
            </w:pPr>
            <w:r w:rsidRPr="00323374">
              <w:rPr>
                <w:sz w:val="18"/>
                <w:szCs w:val="18"/>
                <w:lang w:val="en-AU"/>
              </w:rPr>
              <w:t>Yes</w:t>
            </w:r>
          </w:p>
        </w:tc>
        <w:tc>
          <w:tcPr>
            <w:tcW w:w="4367" w:type="dxa"/>
            <w:tcBorders>
              <w:top w:val="dotted" w:sz="8" w:space="0" w:color="642667" w:themeColor="text2"/>
              <w:left w:val="single" w:sz="4" w:space="0" w:color="FFFFFF"/>
              <w:bottom w:val="dotted" w:sz="8" w:space="0" w:color="642667" w:themeColor="text2"/>
              <w:right w:val="single" w:sz="4" w:space="0" w:color="FFFFFF"/>
            </w:tcBorders>
          </w:tcPr>
          <w:p w:rsidR="004F7D03" w:rsidRPr="00323374" w:rsidRDefault="004F7D03" w:rsidP="002612E2">
            <w:pPr>
              <w:pStyle w:val="Tabletext"/>
              <w:rPr>
                <w:sz w:val="18"/>
                <w:szCs w:val="18"/>
                <w:lang w:val="en-AU"/>
              </w:rPr>
            </w:pPr>
            <w:r w:rsidRPr="00323374">
              <w:rPr>
                <w:sz w:val="18"/>
                <w:szCs w:val="18"/>
                <w:lang w:val="en-AU"/>
              </w:rPr>
              <w:t xml:space="preserve">The </w:t>
            </w:r>
            <w:r w:rsidR="008911CB" w:rsidRPr="00323374">
              <w:rPr>
                <w:sz w:val="18"/>
                <w:szCs w:val="18"/>
                <w:lang w:val="en-AU"/>
              </w:rPr>
              <w:t>proposed Regulations</w:t>
            </w:r>
            <w:r w:rsidRPr="00323374">
              <w:rPr>
                <w:sz w:val="18"/>
                <w:szCs w:val="18"/>
                <w:lang w:val="en-AU"/>
              </w:rPr>
              <w:t xml:space="preserve"> may </w:t>
            </w:r>
            <w:r w:rsidR="00AE2718" w:rsidRPr="00323374">
              <w:rPr>
                <w:sz w:val="18"/>
                <w:szCs w:val="18"/>
                <w:lang w:val="en-AU"/>
              </w:rPr>
              <w:t xml:space="preserve">affect </w:t>
            </w:r>
            <w:r w:rsidRPr="00323374">
              <w:rPr>
                <w:sz w:val="18"/>
                <w:szCs w:val="18"/>
                <w:lang w:val="en-AU"/>
              </w:rPr>
              <w:t>the structure of the construction industry and associated industries by limiting the undertaking of certain activities to persons with requisite skills to meet regulatory requirements.</w:t>
            </w:r>
          </w:p>
          <w:p w:rsidR="004F7D03" w:rsidRPr="00323374" w:rsidRDefault="004F7D03" w:rsidP="00AE2718">
            <w:pPr>
              <w:pStyle w:val="Tabletext"/>
              <w:rPr>
                <w:sz w:val="18"/>
                <w:szCs w:val="18"/>
                <w:lang w:val="en-AU"/>
              </w:rPr>
            </w:pPr>
            <w:r w:rsidRPr="00323374">
              <w:rPr>
                <w:sz w:val="18"/>
                <w:szCs w:val="18"/>
                <w:lang w:val="en-AU"/>
              </w:rPr>
              <w:t xml:space="preserve">For example, </w:t>
            </w:r>
            <w:r w:rsidR="00AC0013" w:rsidRPr="00323374">
              <w:rPr>
                <w:sz w:val="18"/>
                <w:szCs w:val="18"/>
                <w:lang w:val="en-AU"/>
              </w:rPr>
              <w:t>some</w:t>
            </w:r>
            <w:r w:rsidRPr="00323374">
              <w:rPr>
                <w:sz w:val="18"/>
                <w:szCs w:val="18"/>
                <w:lang w:val="en-AU"/>
              </w:rPr>
              <w:t xml:space="preserve"> activities can only be undertaken by the </w:t>
            </w:r>
            <w:r w:rsidR="00AB414E" w:rsidRPr="00323374">
              <w:rPr>
                <w:sz w:val="18"/>
                <w:szCs w:val="18"/>
                <w:lang w:val="en-AU"/>
              </w:rPr>
              <w:t>RBS</w:t>
            </w:r>
            <w:r w:rsidRPr="00323374">
              <w:rPr>
                <w:sz w:val="18"/>
                <w:szCs w:val="18"/>
                <w:lang w:val="en-AU"/>
              </w:rPr>
              <w:t xml:space="preserve">, which requires persons to be able to demonstrate they are suitably qualified in order to gain registration with </w:t>
            </w:r>
            <w:r w:rsidR="00720C4E">
              <w:rPr>
                <w:sz w:val="18"/>
                <w:szCs w:val="18"/>
                <w:lang w:val="en-AU"/>
              </w:rPr>
              <w:t>VBA</w:t>
            </w:r>
            <w:r w:rsidRPr="00323374">
              <w:rPr>
                <w:sz w:val="18"/>
                <w:szCs w:val="18"/>
                <w:lang w:val="en-AU"/>
              </w:rPr>
              <w:t xml:space="preserve">. </w:t>
            </w:r>
            <w:r w:rsidR="003E73B7" w:rsidRPr="00323374">
              <w:rPr>
                <w:sz w:val="18"/>
                <w:szCs w:val="18"/>
                <w:lang w:val="en-AU"/>
              </w:rPr>
              <w:t xml:space="preserve">The </w:t>
            </w:r>
            <w:r w:rsidR="00195602" w:rsidRPr="00323374">
              <w:rPr>
                <w:sz w:val="18"/>
                <w:szCs w:val="18"/>
                <w:lang w:val="en-AU"/>
              </w:rPr>
              <w:t>department</w:t>
            </w:r>
            <w:r w:rsidR="003E73B7" w:rsidRPr="00323374">
              <w:rPr>
                <w:sz w:val="18"/>
                <w:szCs w:val="18"/>
                <w:lang w:val="en-AU"/>
              </w:rPr>
              <w:t xml:space="preserve"> considers it necessary to l</w:t>
            </w:r>
            <w:r w:rsidRPr="00323374">
              <w:rPr>
                <w:sz w:val="18"/>
                <w:szCs w:val="18"/>
                <w:lang w:val="en-AU"/>
              </w:rPr>
              <w:t>imit activities (such as assessing and issuing building permits) to suitably qualified persons to ensure building work is performed to the required standard to deliver necessary safety outcomes.</w:t>
            </w:r>
          </w:p>
        </w:tc>
      </w:tr>
      <w:tr w:rsidR="004F7D03" w:rsidRPr="00323374" w:rsidTr="00AE2718">
        <w:trPr>
          <w:cantSplit/>
        </w:trPr>
        <w:tc>
          <w:tcPr>
            <w:tcW w:w="3188" w:type="dxa"/>
            <w:tcBorders>
              <w:top w:val="dotted" w:sz="8" w:space="0" w:color="642667" w:themeColor="text2"/>
              <w:left w:val="single" w:sz="4" w:space="0" w:color="FFFFFF"/>
              <w:bottom w:val="dotted" w:sz="8" w:space="0" w:color="642667" w:themeColor="text2"/>
              <w:right w:val="single" w:sz="4" w:space="0" w:color="FFFFFF"/>
            </w:tcBorders>
            <w:hideMark/>
          </w:tcPr>
          <w:p w:rsidR="004F7D03" w:rsidRPr="00323374" w:rsidRDefault="004F7D03" w:rsidP="002612E2">
            <w:pPr>
              <w:pStyle w:val="Tabletext"/>
              <w:rPr>
                <w:sz w:val="18"/>
                <w:szCs w:val="18"/>
                <w:lang w:val="en-AU"/>
              </w:rPr>
            </w:pPr>
            <w:r w:rsidRPr="00323374">
              <w:rPr>
                <w:sz w:val="18"/>
                <w:szCs w:val="18"/>
                <w:lang w:val="en-AU"/>
              </w:rPr>
              <w:t>Would it be more difficult for new firms or individuals to enter the industry after the imposition of the proposed measure?</w:t>
            </w:r>
          </w:p>
        </w:tc>
        <w:tc>
          <w:tcPr>
            <w:tcW w:w="938" w:type="dxa"/>
            <w:tcBorders>
              <w:top w:val="dotted" w:sz="8" w:space="0" w:color="642667" w:themeColor="text2"/>
              <w:left w:val="single" w:sz="4" w:space="0" w:color="FFFFFF"/>
              <w:bottom w:val="dotted" w:sz="8" w:space="0" w:color="642667" w:themeColor="text2"/>
              <w:right w:val="single" w:sz="4" w:space="0" w:color="FFFFFF"/>
            </w:tcBorders>
            <w:hideMark/>
          </w:tcPr>
          <w:p w:rsidR="004F7D03" w:rsidRPr="00323374" w:rsidRDefault="004F7D03" w:rsidP="002612E2">
            <w:pPr>
              <w:pStyle w:val="Tabletext"/>
              <w:rPr>
                <w:sz w:val="18"/>
                <w:szCs w:val="18"/>
                <w:lang w:val="en-AU"/>
              </w:rPr>
            </w:pPr>
            <w:r w:rsidRPr="00323374">
              <w:rPr>
                <w:sz w:val="18"/>
                <w:szCs w:val="18"/>
                <w:lang w:val="en-AU"/>
              </w:rPr>
              <w:t>Yes</w:t>
            </w:r>
          </w:p>
        </w:tc>
        <w:tc>
          <w:tcPr>
            <w:tcW w:w="4367" w:type="dxa"/>
            <w:tcBorders>
              <w:top w:val="dotted" w:sz="8" w:space="0" w:color="642667" w:themeColor="text2"/>
              <w:left w:val="single" w:sz="4" w:space="0" w:color="FFFFFF"/>
              <w:bottom w:val="dotted" w:sz="8" w:space="0" w:color="642667" w:themeColor="text2"/>
              <w:right w:val="single" w:sz="4" w:space="0" w:color="FFFFFF"/>
            </w:tcBorders>
          </w:tcPr>
          <w:p w:rsidR="004F7D03" w:rsidRPr="00323374" w:rsidRDefault="004F7D03" w:rsidP="00AE2718">
            <w:pPr>
              <w:pStyle w:val="Tabletext"/>
              <w:rPr>
                <w:sz w:val="18"/>
                <w:szCs w:val="18"/>
                <w:lang w:val="en-AU"/>
              </w:rPr>
            </w:pPr>
            <w:r w:rsidRPr="00323374">
              <w:rPr>
                <w:sz w:val="18"/>
                <w:szCs w:val="18"/>
                <w:lang w:val="en-AU"/>
              </w:rPr>
              <w:t xml:space="preserve">Similar to above, the </w:t>
            </w:r>
            <w:r w:rsidR="008911CB" w:rsidRPr="00323374">
              <w:rPr>
                <w:sz w:val="18"/>
                <w:szCs w:val="18"/>
                <w:lang w:val="en-AU"/>
              </w:rPr>
              <w:t>Regulations</w:t>
            </w:r>
            <w:r w:rsidRPr="00323374">
              <w:rPr>
                <w:sz w:val="18"/>
                <w:szCs w:val="18"/>
                <w:lang w:val="en-AU"/>
              </w:rPr>
              <w:t xml:space="preserve"> bestow certain responsibilities on particular occupations and require individuals to demonstrate they hold the requisite skills and experience to be registered in an occupational category. This limits the ability of individuals to enter the market (as investment is required in developing skills and gaining experience)</w:t>
            </w:r>
            <w:r w:rsidR="00AE2718" w:rsidRPr="00323374">
              <w:rPr>
                <w:sz w:val="18"/>
                <w:szCs w:val="18"/>
                <w:lang w:val="en-AU"/>
              </w:rPr>
              <w:t>. H</w:t>
            </w:r>
            <w:r w:rsidRPr="00323374">
              <w:rPr>
                <w:sz w:val="18"/>
                <w:szCs w:val="18"/>
                <w:lang w:val="en-AU"/>
              </w:rPr>
              <w:t>owever</w:t>
            </w:r>
            <w:r w:rsidR="00D90FC3" w:rsidRPr="00323374">
              <w:rPr>
                <w:sz w:val="18"/>
                <w:szCs w:val="18"/>
                <w:lang w:val="en-AU"/>
              </w:rPr>
              <w:t>,</w:t>
            </w:r>
            <w:r w:rsidRPr="00323374">
              <w:rPr>
                <w:sz w:val="18"/>
                <w:szCs w:val="18"/>
                <w:lang w:val="en-AU"/>
              </w:rPr>
              <w:t xml:space="preserve"> consultation</w:t>
            </w:r>
            <w:r w:rsidR="00AE2718" w:rsidRPr="00323374">
              <w:rPr>
                <w:sz w:val="18"/>
                <w:szCs w:val="18"/>
                <w:lang w:val="en-AU"/>
              </w:rPr>
              <w:t>s</w:t>
            </w:r>
            <w:r w:rsidRPr="00323374">
              <w:rPr>
                <w:sz w:val="18"/>
                <w:szCs w:val="18"/>
                <w:lang w:val="en-AU"/>
              </w:rPr>
              <w:t xml:space="preserve"> with stakeholders indicate a strong preference </w:t>
            </w:r>
            <w:r w:rsidR="00AE2718" w:rsidRPr="00323374">
              <w:rPr>
                <w:sz w:val="18"/>
                <w:szCs w:val="18"/>
                <w:lang w:val="en-AU"/>
              </w:rPr>
              <w:t xml:space="preserve">to </w:t>
            </w:r>
            <w:r w:rsidRPr="00323374">
              <w:rPr>
                <w:sz w:val="18"/>
                <w:szCs w:val="18"/>
                <w:lang w:val="en-AU"/>
              </w:rPr>
              <w:t>maintain these requirements</w:t>
            </w:r>
            <w:r w:rsidR="00AE2718" w:rsidRPr="00323374">
              <w:rPr>
                <w:sz w:val="18"/>
                <w:szCs w:val="18"/>
                <w:lang w:val="en-AU"/>
              </w:rPr>
              <w:t>,</w:t>
            </w:r>
            <w:r w:rsidRPr="00323374">
              <w:rPr>
                <w:sz w:val="18"/>
                <w:szCs w:val="18"/>
                <w:lang w:val="en-AU"/>
              </w:rPr>
              <w:t xml:space="preserve"> given the extreme health and safety risks posed by unqualified persons performing building work or assessing building work for adequacy. </w:t>
            </w:r>
            <w:r w:rsidR="00E5237C" w:rsidRPr="00323374">
              <w:rPr>
                <w:sz w:val="18"/>
                <w:szCs w:val="18"/>
                <w:lang w:val="en-AU"/>
              </w:rPr>
              <w:t>The</w:t>
            </w:r>
            <w:r w:rsidRPr="00323374">
              <w:rPr>
                <w:sz w:val="18"/>
                <w:szCs w:val="18"/>
                <w:lang w:val="en-AU"/>
              </w:rPr>
              <w:t xml:space="preserve"> </w:t>
            </w:r>
            <w:r w:rsidR="00195602" w:rsidRPr="00323374">
              <w:rPr>
                <w:sz w:val="18"/>
                <w:szCs w:val="18"/>
                <w:lang w:val="en-AU"/>
              </w:rPr>
              <w:t>department</w:t>
            </w:r>
            <w:r w:rsidR="002E5752" w:rsidRPr="00323374">
              <w:rPr>
                <w:sz w:val="18"/>
                <w:szCs w:val="18"/>
                <w:lang w:val="en-AU"/>
              </w:rPr>
              <w:t xml:space="preserve"> considers the </w:t>
            </w:r>
            <w:r w:rsidRPr="00323374">
              <w:rPr>
                <w:sz w:val="18"/>
                <w:szCs w:val="18"/>
                <w:lang w:val="en-AU"/>
              </w:rPr>
              <w:t xml:space="preserve">costs imposed by the </w:t>
            </w:r>
            <w:r w:rsidR="008911CB" w:rsidRPr="00323374">
              <w:rPr>
                <w:sz w:val="18"/>
                <w:szCs w:val="18"/>
                <w:lang w:val="en-AU"/>
              </w:rPr>
              <w:t>Regulations</w:t>
            </w:r>
            <w:r w:rsidRPr="00323374">
              <w:rPr>
                <w:sz w:val="18"/>
                <w:szCs w:val="18"/>
                <w:lang w:val="en-AU"/>
              </w:rPr>
              <w:t xml:space="preserve"> outweigh </w:t>
            </w:r>
            <w:r w:rsidR="00AE2718" w:rsidRPr="00323374">
              <w:rPr>
                <w:sz w:val="18"/>
                <w:szCs w:val="18"/>
                <w:lang w:val="en-AU"/>
              </w:rPr>
              <w:t xml:space="preserve">the </w:t>
            </w:r>
            <w:r w:rsidRPr="00323374">
              <w:rPr>
                <w:sz w:val="18"/>
                <w:szCs w:val="18"/>
                <w:lang w:val="en-AU"/>
              </w:rPr>
              <w:t>associated safety benefits.</w:t>
            </w:r>
          </w:p>
        </w:tc>
      </w:tr>
      <w:tr w:rsidR="004F7D03" w:rsidRPr="00323374" w:rsidTr="00AE2718">
        <w:trPr>
          <w:cantSplit/>
        </w:trPr>
        <w:tc>
          <w:tcPr>
            <w:tcW w:w="3188" w:type="dxa"/>
            <w:tcBorders>
              <w:top w:val="dotted" w:sz="8" w:space="0" w:color="642667" w:themeColor="text2"/>
              <w:left w:val="single" w:sz="4" w:space="0" w:color="FFFFFF"/>
              <w:bottom w:val="dotted" w:sz="8" w:space="0" w:color="642667" w:themeColor="text2"/>
              <w:right w:val="single" w:sz="4" w:space="0" w:color="FFFFFF"/>
            </w:tcBorders>
            <w:hideMark/>
          </w:tcPr>
          <w:p w:rsidR="004F7D03" w:rsidRPr="00323374" w:rsidRDefault="004F7D03" w:rsidP="00AE2718">
            <w:pPr>
              <w:pStyle w:val="Tabletext"/>
              <w:rPr>
                <w:sz w:val="18"/>
                <w:szCs w:val="18"/>
                <w:lang w:val="en-AU"/>
              </w:rPr>
            </w:pPr>
            <w:r w:rsidRPr="00323374">
              <w:rPr>
                <w:sz w:val="18"/>
                <w:szCs w:val="18"/>
                <w:lang w:val="en-AU"/>
              </w:rPr>
              <w:t>Would the costs/benefits associated with the proposed measure affect some firms or individuals substantially more than others (</w:t>
            </w:r>
            <w:r w:rsidR="00D90FC3" w:rsidRPr="00323374">
              <w:rPr>
                <w:sz w:val="18"/>
                <w:szCs w:val="18"/>
                <w:lang w:val="en-AU"/>
              </w:rPr>
              <w:t>for example,</w:t>
            </w:r>
            <w:r w:rsidRPr="00323374">
              <w:rPr>
                <w:sz w:val="18"/>
                <w:szCs w:val="18"/>
                <w:lang w:val="en-AU"/>
              </w:rPr>
              <w:t xml:space="preserve"> small firms</w:t>
            </w:r>
            <w:r w:rsidR="00AE2718" w:rsidRPr="00323374">
              <w:rPr>
                <w:sz w:val="18"/>
                <w:szCs w:val="18"/>
                <w:lang w:val="en-AU"/>
              </w:rPr>
              <w:t xml:space="preserve"> or</w:t>
            </w:r>
            <w:r w:rsidRPr="00323374">
              <w:rPr>
                <w:sz w:val="18"/>
                <w:szCs w:val="18"/>
                <w:lang w:val="en-AU"/>
              </w:rPr>
              <w:t xml:space="preserve"> part</w:t>
            </w:r>
            <w:r w:rsidR="00AE2718" w:rsidRPr="00323374">
              <w:rPr>
                <w:sz w:val="18"/>
                <w:szCs w:val="18"/>
                <w:lang w:val="en-AU"/>
              </w:rPr>
              <w:t>-</w:t>
            </w:r>
            <w:r w:rsidRPr="00323374">
              <w:rPr>
                <w:sz w:val="18"/>
                <w:szCs w:val="18"/>
                <w:lang w:val="en-AU"/>
              </w:rPr>
              <w:t>time participants in occupations)?</w:t>
            </w:r>
          </w:p>
        </w:tc>
        <w:tc>
          <w:tcPr>
            <w:tcW w:w="938" w:type="dxa"/>
            <w:tcBorders>
              <w:top w:val="dotted" w:sz="8" w:space="0" w:color="642667" w:themeColor="text2"/>
              <w:left w:val="single" w:sz="4" w:space="0" w:color="FFFFFF"/>
              <w:bottom w:val="dotted" w:sz="8" w:space="0" w:color="642667" w:themeColor="text2"/>
              <w:right w:val="single" w:sz="4" w:space="0" w:color="FFFFFF"/>
            </w:tcBorders>
            <w:hideMark/>
          </w:tcPr>
          <w:p w:rsidR="004F7D03" w:rsidRPr="00323374" w:rsidRDefault="004F7D03" w:rsidP="002612E2">
            <w:pPr>
              <w:pStyle w:val="Tabletext"/>
              <w:rPr>
                <w:sz w:val="18"/>
                <w:szCs w:val="18"/>
                <w:lang w:val="en-AU"/>
              </w:rPr>
            </w:pPr>
            <w:r w:rsidRPr="00323374">
              <w:rPr>
                <w:sz w:val="18"/>
                <w:szCs w:val="18"/>
                <w:lang w:val="en-AU"/>
              </w:rPr>
              <w:t>Yes</w:t>
            </w:r>
          </w:p>
        </w:tc>
        <w:tc>
          <w:tcPr>
            <w:tcW w:w="4367" w:type="dxa"/>
            <w:tcBorders>
              <w:top w:val="dotted" w:sz="8" w:space="0" w:color="642667" w:themeColor="text2"/>
              <w:left w:val="single" w:sz="4" w:space="0" w:color="FFFFFF"/>
              <w:bottom w:val="dotted" w:sz="8" w:space="0" w:color="642667" w:themeColor="text2"/>
              <w:right w:val="single" w:sz="4" w:space="0" w:color="FFFFFF"/>
            </w:tcBorders>
            <w:hideMark/>
          </w:tcPr>
          <w:p w:rsidR="004F7D03" w:rsidRPr="00323374" w:rsidRDefault="004F7D03" w:rsidP="00AE2718">
            <w:pPr>
              <w:pStyle w:val="Tabletext"/>
              <w:rPr>
                <w:sz w:val="18"/>
                <w:szCs w:val="18"/>
                <w:lang w:val="en-AU"/>
              </w:rPr>
            </w:pPr>
            <w:r w:rsidRPr="00323374">
              <w:rPr>
                <w:sz w:val="18"/>
                <w:szCs w:val="18"/>
                <w:lang w:val="en-AU"/>
              </w:rPr>
              <w:t xml:space="preserve">See discussion </w:t>
            </w:r>
            <w:r w:rsidR="00AE2718" w:rsidRPr="00323374">
              <w:rPr>
                <w:sz w:val="18"/>
                <w:szCs w:val="18"/>
                <w:lang w:val="en-AU"/>
              </w:rPr>
              <w:t xml:space="preserve">of </w:t>
            </w:r>
            <w:r w:rsidRPr="00323374">
              <w:rPr>
                <w:sz w:val="18"/>
                <w:szCs w:val="18"/>
                <w:lang w:val="en-AU"/>
              </w:rPr>
              <w:t>small</w:t>
            </w:r>
            <w:r w:rsidR="00181511">
              <w:rPr>
                <w:sz w:val="18"/>
                <w:szCs w:val="18"/>
                <w:lang w:val="en-AU"/>
              </w:rPr>
              <w:t xml:space="preserve"> </w:t>
            </w:r>
            <w:r w:rsidRPr="00323374">
              <w:rPr>
                <w:sz w:val="18"/>
                <w:szCs w:val="18"/>
                <w:lang w:val="en-AU"/>
              </w:rPr>
              <w:t>business impacts.</w:t>
            </w:r>
          </w:p>
        </w:tc>
      </w:tr>
      <w:tr w:rsidR="004F7D03" w:rsidRPr="00323374" w:rsidTr="00AE2718">
        <w:trPr>
          <w:cantSplit/>
        </w:trPr>
        <w:tc>
          <w:tcPr>
            <w:tcW w:w="3188" w:type="dxa"/>
            <w:tcBorders>
              <w:top w:val="dotted" w:sz="8" w:space="0" w:color="642667" w:themeColor="text2"/>
              <w:left w:val="single" w:sz="4" w:space="0" w:color="FFFFFF"/>
              <w:bottom w:val="dotted" w:sz="8" w:space="0" w:color="642667" w:themeColor="text2"/>
              <w:right w:val="single" w:sz="4" w:space="0" w:color="FFFFFF"/>
            </w:tcBorders>
            <w:hideMark/>
          </w:tcPr>
          <w:p w:rsidR="004F7D03" w:rsidRPr="00323374" w:rsidRDefault="004F7D03" w:rsidP="00FB5841">
            <w:pPr>
              <w:pStyle w:val="Tabletext"/>
              <w:rPr>
                <w:sz w:val="18"/>
                <w:szCs w:val="18"/>
                <w:lang w:val="en-AU"/>
              </w:rPr>
            </w:pPr>
            <w:r w:rsidRPr="00323374">
              <w:rPr>
                <w:sz w:val="18"/>
                <w:szCs w:val="18"/>
                <w:lang w:val="en-AU"/>
              </w:rPr>
              <w:t>Would the proposed measure restrict the ability of businesses to choose the price, quality, range or location of their products?</w:t>
            </w:r>
          </w:p>
        </w:tc>
        <w:tc>
          <w:tcPr>
            <w:tcW w:w="938" w:type="dxa"/>
            <w:tcBorders>
              <w:top w:val="dotted" w:sz="8" w:space="0" w:color="642667" w:themeColor="text2"/>
              <w:left w:val="single" w:sz="4" w:space="0" w:color="FFFFFF"/>
              <w:bottom w:val="dotted" w:sz="8" w:space="0" w:color="642667" w:themeColor="text2"/>
              <w:right w:val="single" w:sz="4" w:space="0" w:color="FFFFFF"/>
            </w:tcBorders>
            <w:hideMark/>
          </w:tcPr>
          <w:p w:rsidR="004F7D03" w:rsidRPr="00323374" w:rsidRDefault="004F7D03" w:rsidP="00FB5841">
            <w:pPr>
              <w:pStyle w:val="Tabletext"/>
              <w:rPr>
                <w:sz w:val="18"/>
                <w:szCs w:val="18"/>
                <w:lang w:val="en-AU"/>
              </w:rPr>
            </w:pPr>
            <w:r w:rsidRPr="00323374">
              <w:rPr>
                <w:sz w:val="18"/>
                <w:szCs w:val="18"/>
                <w:lang w:val="en-AU"/>
              </w:rPr>
              <w:t>Yes</w:t>
            </w:r>
          </w:p>
        </w:tc>
        <w:tc>
          <w:tcPr>
            <w:tcW w:w="4367" w:type="dxa"/>
            <w:tcBorders>
              <w:top w:val="dotted" w:sz="8" w:space="0" w:color="642667" w:themeColor="text2"/>
              <w:left w:val="single" w:sz="4" w:space="0" w:color="FFFFFF"/>
              <w:bottom w:val="dotted" w:sz="8" w:space="0" w:color="642667" w:themeColor="text2"/>
              <w:right w:val="single" w:sz="4" w:space="0" w:color="FFFFFF"/>
            </w:tcBorders>
            <w:hideMark/>
          </w:tcPr>
          <w:p w:rsidR="00D615BC" w:rsidRPr="00323374" w:rsidRDefault="004F7D03" w:rsidP="00FB5841">
            <w:pPr>
              <w:pStyle w:val="Tabletext"/>
              <w:rPr>
                <w:sz w:val="18"/>
                <w:szCs w:val="18"/>
                <w:lang w:val="en-AU"/>
              </w:rPr>
            </w:pPr>
            <w:r w:rsidRPr="00323374">
              <w:rPr>
                <w:sz w:val="18"/>
                <w:szCs w:val="18"/>
                <w:lang w:val="en-AU"/>
              </w:rPr>
              <w:t>Siting and projection requirements impact on the situation and form of houses.</w:t>
            </w:r>
          </w:p>
          <w:p w:rsidR="00D615BC" w:rsidRPr="00323374" w:rsidRDefault="004F7D03" w:rsidP="00FB5841">
            <w:pPr>
              <w:pStyle w:val="Tabletext"/>
              <w:rPr>
                <w:sz w:val="18"/>
                <w:szCs w:val="18"/>
                <w:lang w:val="en-AU"/>
              </w:rPr>
            </w:pPr>
            <w:r w:rsidRPr="00323374">
              <w:rPr>
                <w:sz w:val="18"/>
                <w:szCs w:val="18"/>
                <w:lang w:val="en-AU"/>
              </w:rPr>
              <w:t xml:space="preserve">The report and consent process is designed to provide greater flexibility in areas where the </w:t>
            </w:r>
            <w:r w:rsidR="008911CB" w:rsidRPr="00323374">
              <w:rPr>
                <w:sz w:val="18"/>
                <w:szCs w:val="18"/>
                <w:lang w:val="en-AU"/>
              </w:rPr>
              <w:t>Regulations</w:t>
            </w:r>
            <w:r w:rsidRPr="00323374">
              <w:rPr>
                <w:sz w:val="18"/>
                <w:szCs w:val="18"/>
                <w:lang w:val="en-AU"/>
              </w:rPr>
              <w:t xml:space="preserve"> would otherwise prevent a particular design because it is high</w:t>
            </w:r>
            <w:r w:rsidR="007C5A88" w:rsidRPr="00323374">
              <w:rPr>
                <w:sz w:val="18"/>
                <w:szCs w:val="18"/>
                <w:lang w:val="en-AU"/>
              </w:rPr>
              <w:t>-</w:t>
            </w:r>
            <w:r w:rsidRPr="00323374">
              <w:rPr>
                <w:sz w:val="18"/>
                <w:szCs w:val="18"/>
                <w:lang w:val="en-AU"/>
              </w:rPr>
              <w:t xml:space="preserve">risk or in </w:t>
            </w:r>
            <w:r w:rsidR="00AE2718" w:rsidRPr="00323374">
              <w:rPr>
                <w:sz w:val="18"/>
                <w:szCs w:val="18"/>
                <w:lang w:val="en-AU"/>
              </w:rPr>
              <w:t xml:space="preserve">a </w:t>
            </w:r>
            <w:r w:rsidRPr="00323374">
              <w:rPr>
                <w:sz w:val="18"/>
                <w:szCs w:val="18"/>
                <w:lang w:val="en-AU"/>
              </w:rPr>
              <w:t>high</w:t>
            </w:r>
            <w:r w:rsidR="007C5A88" w:rsidRPr="00323374">
              <w:rPr>
                <w:sz w:val="18"/>
                <w:szCs w:val="18"/>
                <w:lang w:val="en-AU"/>
              </w:rPr>
              <w:t>-</w:t>
            </w:r>
            <w:r w:rsidRPr="00323374">
              <w:rPr>
                <w:sz w:val="18"/>
                <w:szCs w:val="18"/>
                <w:lang w:val="en-AU"/>
              </w:rPr>
              <w:t>risk area.</w:t>
            </w:r>
          </w:p>
          <w:p w:rsidR="004F7D03" w:rsidRPr="00323374" w:rsidRDefault="004F7D03" w:rsidP="00FB5841">
            <w:pPr>
              <w:pStyle w:val="Tabletext"/>
              <w:rPr>
                <w:sz w:val="18"/>
                <w:szCs w:val="18"/>
                <w:lang w:val="en-AU"/>
              </w:rPr>
            </w:pPr>
            <w:r w:rsidRPr="00323374">
              <w:rPr>
                <w:sz w:val="18"/>
                <w:szCs w:val="18"/>
                <w:lang w:val="en-AU"/>
              </w:rPr>
              <w:t xml:space="preserve">Where an occupancy permit is required, the Regulations allow the permit to include conditions concerning the use of the facility. </w:t>
            </w:r>
          </w:p>
        </w:tc>
      </w:tr>
      <w:tr w:rsidR="004F7D03" w:rsidRPr="00323374" w:rsidTr="00AE2718">
        <w:trPr>
          <w:cantSplit/>
        </w:trPr>
        <w:tc>
          <w:tcPr>
            <w:tcW w:w="3188" w:type="dxa"/>
            <w:tcBorders>
              <w:top w:val="dotted" w:sz="8" w:space="0" w:color="642667" w:themeColor="text2"/>
              <w:left w:val="single" w:sz="4" w:space="0" w:color="FFFFFF"/>
              <w:bottom w:val="dotted" w:sz="8" w:space="0" w:color="642667" w:themeColor="text2"/>
              <w:right w:val="single" w:sz="4" w:space="0" w:color="FFFFFF"/>
            </w:tcBorders>
            <w:hideMark/>
          </w:tcPr>
          <w:p w:rsidR="004F7D03" w:rsidRPr="00323374" w:rsidRDefault="004F7D03" w:rsidP="002612E2">
            <w:pPr>
              <w:pStyle w:val="Tabletext"/>
              <w:rPr>
                <w:sz w:val="18"/>
                <w:szCs w:val="18"/>
                <w:lang w:val="en-AU"/>
              </w:rPr>
            </w:pPr>
            <w:r w:rsidRPr="00323374">
              <w:rPr>
                <w:sz w:val="18"/>
                <w:szCs w:val="18"/>
                <w:lang w:val="en-AU"/>
              </w:rPr>
              <w:t>Would the proposed measure lead to higher ongoing costs for new entrants that existing firms do not have to meet?</w:t>
            </w:r>
          </w:p>
        </w:tc>
        <w:tc>
          <w:tcPr>
            <w:tcW w:w="938" w:type="dxa"/>
            <w:tcBorders>
              <w:top w:val="dotted" w:sz="8" w:space="0" w:color="642667" w:themeColor="text2"/>
              <w:left w:val="single" w:sz="4" w:space="0" w:color="FFFFFF"/>
              <w:bottom w:val="dotted" w:sz="8" w:space="0" w:color="642667" w:themeColor="text2"/>
              <w:right w:val="single" w:sz="4" w:space="0" w:color="FFFFFF"/>
            </w:tcBorders>
            <w:hideMark/>
          </w:tcPr>
          <w:p w:rsidR="004F7D03" w:rsidRPr="00323374" w:rsidRDefault="004F7D03" w:rsidP="002612E2">
            <w:pPr>
              <w:pStyle w:val="Tabletext"/>
              <w:rPr>
                <w:sz w:val="18"/>
                <w:szCs w:val="18"/>
                <w:lang w:val="en-AU"/>
              </w:rPr>
            </w:pPr>
            <w:r w:rsidRPr="00323374">
              <w:rPr>
                <w:sz w:val="18"/>
                <w:szCs w:val="18"/>
                <w:lang w:val="en-AU"/>
              </w:rPr>
              <w:t>No</w:t>
            </w:r>
          </w:p>
        </w:tc>
        <w:tc>
          <w:tcPr>
            <w:tcW w:w="4367" w:type="dxa"/>
            <w:tcBorders>
              <w:top w:val="dotted" w:sz="8" w:space="0" w:color="642667" w:themeColor="text2"/>
              <w:left w:val="single" w:sz="4" w:space="0" w:color="FFFFFF"/>
              <w:bottom w:val="dotted" w:sz="8" w:space="0" w:color="642667" w:themeColor="text2"/>
              <w:right w:val="single" w:sz="4" w:space="0" w:color="FFFFFF"/>
            </w:tcBorders>
          </w:tcPr>
          <w:p w:rsidR="004F7D03" w:rsidRPr="00323374" w:rsidRDefault="004F7D03" w:rsidP="00AE2718">
            <w:pPr>
              <w:pStyle w:val="Tabletext"/>
              <w:rPr>
                <w:sz w:val="18"/>
                <w:szCs w:val="18"/>
                <w:lang w:val="en-AU"/>
              </w:rPr>
            </w:pPr>
            <w:r w:rsidRPr="00323374">
              <w:rPr>
                <w:sz w:val="18"/>
                <w:szCs w:val="18"/>
                <w:lang w:val="en-AU"/>
              </w:rPr>
              <w:t xml:space="preserve">The </w:t>
            </w:r>
            <w:r w:rsidR="00195602" w:rsidRPr="00323374">
              <w:rPr>
                <w:sz w:val="18"/>
                <w:szCs w:val="18"/>
                <w:lang w:val="en-AU"/>
              </w:rPr>
              <w:t>department</w:t>
            </w:r>
            <w:r w:rsidR="002E5752" w:rsidRPr="00323374">
              <w:rPr>
                <w:sz w:val="18"/>
                <w:szCs w:val="18"/>
                <w:lang w:val="en-AU"/>
              </w:rPr>
              <w:t xml:space="preserve"> expects the </w:t>
            </w:r>
            <w:r w:rsidR="008911CB" w:rsidRPr="00323374">
              <w:rPr>
                <w:sz w:val="18"/>
                <w:szCs w:val="18"/>
                <w:lang w:val="en-AU"/>
              </w:rPr>
              <w:t>proposed Regulations</w:t>
            </w:r>
            <w:r w:rsidRPr="00323374">
              <w:rPr>
                <w:sz w:val="18"/>
                <w:szCs w:val="18"/>
                <w:lang w:val="en-AU"/>
              </w:rPr>
              <w:t xml:space="preserve"> </w:t>
            </w:r>
            <w:r w:rsidR="002E5752" w:rsidRPr="00323374">
              <w:rPr>
                <w:sz w:val="18"/>
                <w:szCs w:val="18"/>
                <w:lang w:val="en-AU"/>
              </w:rPr>
              <w:t>will</w:t>
            </w:r>
            <w:r w:rsidRPr="00323374">
              <w:rPr>
                <w:sz w:val="18"/>
                <w:szCs w:val="18"/>
                <w:lang w:val="en-AU"/>
              </w:rPr>
              <w:t xml:space="preserve"> have broadly similar impacts on existing and new entrants into relevant industries.</w:t>
            </w:r>
          </w:p>
        </w:tc>
      </w:tr>
      <w:tr w:rsidR="004F7D03" w:rsidRPr="00323374" w:rsidTr="00AE2718">
        <w:trPr>
          <w:cantSplit/>
        </w:trPr>
        <w:tc>
          <w:tcPr>
            <w:tcW w:w="3188" w:type="dxa"/>
            <w:tcBorders>
              <w:top w:val="dotted" w:sz="8" w:space="0" w:color="642667" w:themeColor="text2"/>
              <w:left w:val="single" w:sz="4" w:space="0" w:color="FFFFFF"/>
              <w:bottom w:val="single" w:sz="6" w:space="0" w:color="642667" w:themeColor="text2"/>
              <w:right w:val="single" w:sz="4" w:space="0" w:color="FFFFFF"/>
            </w:tcBorders>
            <w:hideMark/>
          </w:tcPr>
          <w:p w:rsidR="004F7D03" w:rsidRPr="00323374" w:rsidRDefault="004F7D03" w:rsidP="002612E2">
            <w:pPr>
              <w:pStyle w:val="Tabletext"/>
              <w:rPr>
                <w:sz w:val="18"/>
                <w:szCs w:val="18"/>
                <w:lang w:val="en-AU"/>
              </w:rPr>
            </w:pPr>
            <w:r w:rsidRPr="00323374">
              <w:rPr>
                <w:sz w:val="18"/>
                <w:szCs w:val="18"/>
                <w:lang w:val="en-AU"/>
              </w:rPr>
              <w:t>Is the ability or incentive to innovate or develop new products or services likely to be affected by the proposed measure?</w:t>
            </w:r>
          </w:p>
        </w:tc>
        <w:tc>
          <w:tcPr>
            <w:tcW w:w="938" w:type="dxa"/>
            <w:tcBorders>
              <w:top w:val="dotted" w:sz="8" w:space="0" w:color="642667" w:themeColor="text2"/>
              <w:left w:val="single" w:sz="4" w:space="0" w:color="FFFFFF"/>
              <w:bottom w:val="single" w:sz="6" w:space="0" w:color="642667" w:themeColor="text2"/>
              <w:right w:val="single" w:sz="4" w:space="0" w:color="FFFFFF"/>
            </w:tcBorders>
            <w:hideMark/>
          </w:tcPr>
          <w:p w:rsidR="004F7D03" w:rsidRPr="00323374" w:rsidRDefault="004F7D03" w:rsidP="002612E2">
            <w:pPr>
              <w:pStyle w:val="Tabletext"/>
              <w:rPr>
                <w:sz w:val="18"/>
                <w:szCs w:val="18"/>
                <w:lang w:val="en-AU"/>
              </w:rPr>
            </w:pPr>
            <w:r w:rsidRPr="00323374">
              <w:rPr>
                <w:sz w:val="18"/>
                <w:szCs w:val="18"/>
                <w:lang w:val="en-AU"/>
              </w:rPr>
              <w:t>Yes</w:t>
            </w:r>
          </w:p>
        </w:tc>
        <w:tc>
          <w:tcPr>
            <w:tcW w:w="4367" w:type="dxa"/>
            <w:tcBorders>
              <w:top w:val="dotted" w:sz="8" w:space="0" w:color="642667" w:themeColor="text2"/>
              <w:left w:val="single" w:sz="4" w:space="0" w:color="FFFFFF"/>
              <w:bottom w:val="single" w:sz="6" w:space="0" w:color="642667" w:themeColor="text2"/>
              <w:right w:val="single" w:sz="4" w:space="0" w:color="FFFFFF"/>
            </w:tcBorders>
          </w:tcPr>
          <w:p w:rsidR="004F7D03" w:rsidRPr="00323374" w:rsidRDefault="004F7D03" w:rsidP="00AE2718">
            <w:pPr>
              <w:pStyle w:val="Tabletext"/>
              <w:rPr>
                <w:sz w:val="18"/>
                <w:szCs w:val="18"/>
                <w:lang w:val="en-AU"/>
              </w:rPr>
            </w:pPr>
            <w:r w:rsidRPr="00323374">
              <w:rPr>
                <w:sz w:val="18"/>
                <w:szCs w:val="18"/>
                <w:lang w:val="en-AU"/>
              </w:rPr>
              <w:t>The Regulations impose a range of requirements on buildings and building structures, professionals (</w:t>
            </w:r>
            <w:r w:rsidR="00AE2718" w:rsidRPr="00323374">
              <w:rPr>
                <w:sz w:val="18"/>
                <w:szCs w:val="18"/>
                <w:lang w:val="en-AU"/>
              </w:rPr>
              <w:t xml:space="preserve">such as </w:t>
            </w:r>
            <w:r w:rsidRPr="00323374">
              <w:rPr>
                <w:sz w:val="18"/>
                <w:szCs w:val="18"/>
                <w:lang w:val="en-AU"/>
              </w:rPr>
              <w:t>building surveyors), places (</w:t>
            </w:r>
            <w:r w:rsidR="00AE2718" w:rsidRPr="00323374">
              <w:rPr>
                <w:sz w:val="18"/>
                <w:szCs w:val="18"/>
                <w:lang w:val="en-AU"/>
              </w:rPr>
              <w:t xml:space="preserve">such as for </w:t>
            </w:r>
            <w:r w:rsidRPr="00323374">
              <w:rPr>
                <w:sz w:val="18"/>
                <w:szCs w:val="18"/>
                <w:lang w:val="en-AU"/>
              </w:rPr>
              <w:t>public entertainment), and building products, constructions methods or designs. The preceding chapters demonstrat</w:t>
            </w:r>
            <w:r w:rsidR="00AE2718" w:rsidRPr="00323374">
              <w:rPr>
                <w:sz w:val="18"/>
                <w:szCs w:val="18"/>
                <w:lang w:val="en-AU"/>
              </w:rPr>
              <w:t>e</w:t>
            </w:r>
            <w:r w:rsidRPr="00323374">
              <w:rPr>
                <w:sz w:val="18"/>
                <w:szCs w:val="18"/>
                <w:lang w:val="en-AU"/>
              </w:rPr>
              <w:t xml:space="preserve"> the imposition of these requirements is the best way of addressing the identified problem/s.</w:t>
            </w:r>
          </w:p>
        </w:tc>
      </w:tr>
    </w:tbl>
    <w:p w:rsidR="004F7D03" w:rsidRPr="00AE2718" w:rsidRDefault="002D5E35" w:rsidP="00CC1076">
      <w:pPr>
        <w:pStyle w:val="Source"/>
      </w:pPr>
      <w:r>
        <w:lastRenderedPageBreak/>
        <w:t xml:space="preserve">Note: Questions </w:t>
      </w:r>
      <w:r w:rsidR="004F7D03" w:rsidRPr="00AE2718">
        <w:t xml:space="preserve">are from the Government of Victoria </w:t>
      </w:r>
      <w:r w:rsidR="008E6EE3" w:rsidRPr="008E6EE3">
        <w:t>2014</w:t>
      </w:r>
      <w:r w:rsidR="008E6EE3" w:rsidRPr="00BE0D18">
        <w:t xml:space="preserve">, </w:t>
      </w:r>
      <w:r w:rsidR="00AC1A59" w:rsidRPr="00AC1A59">
        <w:rPr>
          <w:i/>
          <w:szCs w:val="20"/>
        </w:rPr>
        <w:t>Victorian Guide to Regulation</w:t>
      </w:r>
      <w:r w:rsidR="00CD1452" w:rsidRPr="00AE2718">
        <w:t>, toolkit</w:t>
      </w:r>
      <w:r w:rsidR="00DA0F0A" w:rsidRPr="00AE2718">
        <w:t xml:space="preserve"> </w:t>
      </w:r>
      <w:r w:rsidR="008E6EE3" w:rsidRPr="008E6EE3">
        <w:t>2: Cost</w:t>
      </w:r>
      <w:r w:rsidR="008E6EE3" w:rsidRPr="00BE0D18">
        <w:t>–benefit analysis — checklist and alternatives. Available at: http://www.dtf.vic.gov.au/publications/victoria-economy-publications/victorian-guide-to-regulation.</w:t>
      </w:r>
    </w:p>
    <w:p w:rsidR="00CC1076" w:rsidRPr="00CC1076" w:rsidRDefault="00CC1076" w:rsidP="00AE2718"/>
    <w:p w:rsidR="004F7D03" w:rsidRPr="00427EE1" w:rsidRDefault="003448D2" w:rsidP="00C14778">
      <w:pPr>
        <w:pStyle w:val="Heading2"/>
      </w:pPr>
      <w:bookmarkStart w:id="158" w:name="_Toc481501586"/>
      <w:r>
        <w:t>3.5</w:t>
      </w:r>
      <w:r>
        <w:tab/>
      </w:r>
      <w:r w:rsidR="004F7D03" w:rsidRPr="00427EE1">
        <w:t>Small business impacts</w:t>
      </w:r>
      <w:bookmarkEnd w:id="158"/>
    </w:p>
    <w:p w:rsidR="00D615BC" w:rsidRPr="00427EE1" w:rsidRDefault="004F7D03" w:rsidP="00AF771E">
      <w:r w:rsidRPr="00427EE1">
        <w:t>While not mandatory for a RIS, this section provides high</w:t>
      </w:r>
      <w:r w:rsidR="00923441">
        <w:t>-</w:t>
      </w:r>
      <w:r w:rsidRPr="00427EE1">
        <w:t xml:space="preserve">level analysis of the small business impacts of the proposed Regulations. </w:t>
      </w:r>
      <w:r w:rsidR="00923441">
        <w:t xml:space="preserve">It </w:t>
      </w:r>
      <w:r w:rsidRPr="00427EE1">
        <w:t xml:space="preserve">outlines the types of small businesses affected and the nature of </w:t>
      </w:r>
      <w:r w:rsidR="00923441">
        <w:t>the effects</w:t>
      </w:r>
      <w:r w:rsidRPr="00427EE1">
        <w:t xml:space="preserve">, including </w:t>
      </w:r>
      <w:r w:rsidR="00923441">
        <w:t xml:space="preserve">in </w:t>
      </w:r>
      <w:r w:rsidRPr="00427EE1">
        <w:t>instances where small businesses are likely to be affected disproportionately.</w:t>
      </w:r>
    </w:p>
    <w:p w:rsidR="004F7D03" w:rsidRPr="00427EE1" w:rsidRDefault="004F7D03" w:rsidP="006119D2">
      <w:pPr>
        <w:pStyle w:val="Heading4"/>
        <w:rPr>
          <w:color w:val="642667" w:themeColor="text2"/>
        </w:rPr>
      </w:pPr>
      <w:r w:rsidRPr="00427EE1">
        <w:t>Private building surveyors</w:t>
      </w:r>
    </w:p>
    <w:p w:rsidR="004F7D03" w:rsidRPr="00427EE1" w:rsidRDefault="004F7D03" w:rsidP="00AF771E">
      <w:pPr>
        <w:pStyle w:val="Normalpre-dotpoint"/>
      </w:pPr>
      <w:r w:rsidRPr="00427EE1">
        <w:t>P</w:t>
      </w:r>
      <w:r w:rsidR="00296466">
        <w:t>BSs</w:t>
      </w:r>
      <w:r w:rsidRPr="00427EE1">
        <w:t xml:space="preserve"> are involved</w:t>
      </w:r>
      <w:r w:rsidR="00DA2F1B" w:rsidRPr="00427EE1">
        <w:t xml:space="preserve"> in </w:t>
      </w:r>
      <w:r w:rsidR="00AC0013">
        <w:t>some</w:t>
      </w:r>
      <w:r w:rsidR="00DA2F1B" w:rsidRPr="00427EE1">
        <w:t xml:space="preserve"> aspects of the </w:t>
      </w:r>
      <w:r w:rsidR="008911CB">
        <w:t>Regulations</w:t>
      </w:r>
      <w:r w:rsidRPr="00427EE1">
        <w:t xml:space="preserve"> including:</w:t>
      </w:r>
    </w:p>
    <w:p w:rsidR="004F7D03" w:rsidRPr="00427EE1" w:rsidRDefault="004F7D03" w:rsidP="00AF771E">
      <w:pPr>
        <w:pStyle w:val="Dotpoint"/>
      </w:pPr>
      <w:r w:rsidRPr="00427EE1">
        <w:t>assessing and issuing building permits</w:t>
      </w:r>
    </w:p>
    <w:p w:rsidR="004F7D03" w:rsidRPr="00427EE1" w:rsidRDefault="004F7D03" w:rsidP="00AF771E">
      <w:pPr>
        <w:pStyle w:val="Dotpoint"/>
      </w:pPr>
      <w:r w:rsidRPr="00427EE1">
        <w:t xml:space="preserve">assessing and issuing occupancy permits including any requirements for </w:t>
      </w:r>
      <w:r w:rsidR="00923441">
        <w:t xml:space="preserve">ESM </w:t>
      </w:r>
      <w:r w:rsidRPr="00427EE1">
        <w:t>maintenance</w:t>
      </w:r>
    </w:p>
    <w:p w:rsidR="004F7D03" w:rsidRPr="00427EE1" w:rsidRDefault="004F7D03" w:rsidP="00AF771E">
      <w:pPr>
        <w:pStyle w:val="Dotpoint"/>
      </w:pPr>
      <w:r w:rsidRPr="00427EE1">
        <w:t>performing mandatory inspections and issuing directions, notices and orders</w:t>
      </w:r>
    </w:p>
    <w:p w:rsidR="004F7D03" w:rsidRPr="00427EE1" w:rsidRDefault="004F7D03" w:rsidP="00AF771E">
      <w:pPr>
        <w:pStyle w:val="Dotpointlast"/>
      </w:pPr>
      <w:r w:rsidRPr="00427EE1">
        <w:t>assessing the need for protection of adjoining property.</w:t>
      </w:r>
    </w:p>
    <w:p w:rsidR="004F7D03" w:rsidRPr="00427EE1" w:rsidRDefault="004F7D03" w:rsidP="00AF771E">
      <w:r w:rsidRPr="00427EE1">
        <w:t>Consultation</w:t>
      </w:r>
      <w:r w:rsidR="00923441">
        <w:t>s</w:t>
      </w:r>
      <w:r w:rsidRPr="00427EE1">
        <w:t xml:space="preserve"> with </w:t>
      </w:r>
      <w:r w:rsidR="00296466">
        <w:t>PBSs</w:t>
      </w:r>
      <w:r w:rsidR="00DA2F1B" w:rsidRPr="00427EE1">
        <w:t xml:space="preserve"> </w:t>
      </w:r>
      <w:r w:rsidRPr="00427EE1">
        <w:t xml:space="preserve">indicate </w:t>
      </w:r>
      <w:r w:rsidR="00D90FC3">
        <w:t>most</w:t>
      </w:r>
      <w:r w:rsidRPr="00427EE1">
        <w:t xml:space="preserve"> costs incurred in relation to the </w:t>
      </w:r>
      <w:r w:rsidR="00DA2F1B" w:rsidRPr="00427EE1">
        <w:t xml:space="preserve">building </w:t>
      </w:r>
      <w:r w:rsidR="008911CB">
        <w:t>Regulations</w:t>
      </w:r>
      <w:r w:rsidRPr="00427EE1">
        <w:t xml:space="preserve"> are generally passed on to applicants and building owners. The cost of forwarding information to </w:t>
      </w:r>
      <w:r w:rsidR="00720C4E">
        <w:t>VBA</w:t>
      </w:r>
      <w:r w:rsidRPr="00427EE1">
        <w:t xml:space="preserve"> on a monthly basis is ultimately born by </w:t>
      </w:r>
      <w:r w:rsidR="00296466">
        <w:t>PBSs</w:t>
      </w:r>
      <w:r w:rsidR="00923441">
        <w:t xml:space="preserve">, with </w:t>
      </w:r>
      <w:r w:rsidRPr="00427EE1">
        <w:t xml:space="preserve">the magnitude of this cost contingent on whether an automated or manual approach to recording and forwarding information is utilised by the surveyor. The estimated cost associated with this task is between $50 and $200 </w:t>
      </w:r>
      <w:r w:rsidR="0023395A">
        <w:t>a</w:t>
      </w:r>
      <w:r w:rsidR="0023395A" w:rsidRPr="00427EE1">
        <w:t xml:space="preserve"> </w:t>
      </w:r>
      <w:r w:rsidRPr="00427EE1">
        <w:t>month</w:t>
      </w:r>
      <w:r w:rsidR="00923441">
        <w:t>,</w:t>
      </w:r>
      <w:r w:rsidRPr="00427EE1">
        <w:t xml:space="preserve"> depending on the approach adopted.</w:t>
      </w:r>
    </w:p>
    <w:p w:rsidR="004F7D03" w:rsidRPr="00427EE1" w:rsidRDefault="004F7D03" w:rsidP="006119D2">
      <w:pPr>
        <w:pStyle w:val="Heading4"/>
      </w:pPr>
      <w:r w:rsidRPr="00427EE1">
        <w:t>Architects</w:t>
      </w:r>
    </w:p>
    <w:p w:rsidR="004F7D03" w:rsidRPr="00427EE1" w:rsidRDefault="004F7D03" w:rsidP="00423C20">
      <w:r w:rsidRPr="00427EE1">
        <w:t xml:space="preserve">Architects are required to ensure that designs comply with the </w:t>
      </w:r>
      <w:r w:rsidR="00DA2F1B" w:rsidRPr="00427EE1">
        <w:t xml:space="preserve">building </w:t>
      </w:r>
      <w:r w:rsidR="008911CB">
        <w:t>Regulations</w:t>
      </w:r>
      <w:r w:rsidRPr="00427EE1">
        <w:t xml:space="preserve">, particularly in relation to siting and projections. </w:t>
      </w:r>
      <w:r w:rsidR="000C012A">
        <w:t>T</w:t>
      </w:r>
      <w:r w:rsidRPr="00427EE1">
        <w:t>his may require designs to be reworked or modified in order to ensure compliance</w:t>
      </w:r>
      <w:r w:rsidR="000C012A">
        <w:t xml:space="preserve"> (such as </w:t>
      </w:r>
      <w:r w:rsidRPr="00427EE1">
        <w:t>where a report and consent application is rejected</w:t>
      </w:r>
      <w:r w:rsidR="000C012A">
        <w:t>)</w:t>
      </w:r>
      <w:r w:rsidRPr="00427EE1">
        <w:t xml:space="preserve">. Similar to </w:t>
      </w:r>
      <w:r w:rsidR="00296466">
        <w:t>PBSs</w:t>
      </w:r>
      <w:r w:rsidRPr="00427EE1">
        <w:t>, any costs incurred in relation to these activities are generally expected to ultimately be passed on</w:t>
      </w:r>
      <w:r w:rsidR="000C012A">
        <w:t xml:space="preserve"> </w:t>
      </w:r>
      <w:r w:rsidRPr="00427EE1">
        <w:t>to building permit applicants, including any fees associated with report and consent applications.</w:t>
      </w:r>
    </w:p>
    <w:p w:rsidR="004F7D03" w:rsidRPr="00427EE1" w:rsidRDefault="004F7D03" w:rsidP="006119D2">
      <w:pPr>
        <w:pStyle w:val="Heading4"/>
      </w:pPr>
      <w:r w:rsidRPr="00427EE1">
        <w:t>Builders</w:t>
      </w:r>
    </w:p>
    <w:p w:rsidR="004F7D03" w:rsidRPr="00427EE1" w:rsidRDefault="004F7D03" w:rsidP="00AF771E">
      <w:pPr>
        <w:pStyle w:val="Normalpre-dotpoint"/>
      </w:pPr>
      <w:r w:rsidRPr="00427EE1">
        <w:t xml:space="preserve">Building practitioners incur costs associated with the </w:t>
      </w:r>
      <w:r w:rsidR="008911CB">
        <w:t>Regulations</w:t>
      </w:r>
      <w:r w:rsidRPr="00427EE1">
        <w:t xml:space="preserve"> relating to:</w:t>
      </w:r>
    </w:p>
    <w:p w:rsidR="004F7D03" w:rsidRPr="00427EE1" w:rsidRDefault="004F7D03" w:rsidP="00AF771E">
      <w:pPr>
        <w:pStyle w:val="Dotpoint"/>
      </w:pPr>
      <w:r w:rsidRPr="00427EE1">
        <w:t xml:space="preserve">collating </w:t>
      </w:r>
      <w:r w:rsidR="000C012A">
        <w:t xml:space="preserve">and </w:t>
      </w:r>
      <w:r w:rsidR="000C012A" w:rsidRPr="00427EE1">
        <w:t xml:space="preserve">forwarding </w:t>
      </w:r>
      <w:r w:rsidRPr="00427EE1">
        <w:t xml:space="preserve">documents to the </w:t>
      </w:r>
      <w:r w:rsidR="00AB414E">
        <w:t>RBS</w:t>
      </w:r>
      <w:r w:rsidRPr="00427EE1">
        <w:t xml:space="preserve"> as part of building permit and occupancy permit applications and for certificates of final inspection</w:t>
      </w:r>
    </w:p>
    <w:p w:rsidR="004F7D03" w:rsidRPr="00427EE1" w:rsidRDefault="004F7D03" w:rsidP="00AF771E">
      <w:pPr>
        <w:pStyle w:val="Dotpoint"/>
      </w:pPr>
      <w:r w:rsidRPr="00427EE1">
        <w:t>notifying building surveyors of mandatory inspection stages</w:t>
      </w:r>
      <w:r w:rsidR="000C012A">
        <w:t xml:space="preserve">, </w:t>
      </w:r>
      <w:r w:rsidRPr="00427EE1">
        <w:t>which may potentially incur delay costs if the project is required to stop for a significant period while an inspection occurs</w:t>
      </w:r>
    </w:p>
    <w:p w:rsidR="004F7D03" w:rsidRPr="00427EE1" w:rsidRDefault="004F7D03" w:rsidP="00AF771E">
      <w:pPr>
        <w:pStyle w:val="Dotpointlast"/>
      </w:pPr>
      <w:r w:rsidRPr="00427EE1">
        <w:t>rectifying work in relation to any direction, notice or order.</w:t>
      </w:r>
    </w:p>
    <w:p w:rsidR="004F7D03" w:rsidRPr="00427EE1" w:rsidRDefault="004F7D03" w:rsidP="00AF771E">
      <w:r w:rsidRPr="00427EE1">
        <w:t xml:space="preserve">The estimated cost </w:t>
      </w:r>
      <w:r w:rsidR="000C012A">
        <w:t xml:space="preserve">of </w:t>
      </w:r>
      <w:r w:rsidRPr="00427EE1">
        <w:t xml:space="preserve">collating documents as part of a building permit and occupancy permit application is $200 </w:t>
      </w:r>
      <w:r w:rsidR="000C012A">
        <w:t xml:space="preserve">an </w:t>
      </w:r>
      <w:r w:rsidRPr="00427EE1">
        <w:t>application</w:t>
      </w:r>
      <w:r w:rsidR="000C012A">
        <w:t>,</w:t>
      </w:r>
      <w:r w:rsidRPr="00427EE1">
        <w:t xml:space="preserve"> and for a certificate of final inspection the cost is estimated at $100.</w:t>
      </w:r>
    </w:p>
    <w:p w:rsidR="002D5E35" w:rsidRDefault="002D5E35">
      <w:pPr>
        <w:spacing w:after="0"/>
      </w:pPr>
      <w:r>
        <w:br w:type="page"/>
      </w:r>
    </w:p>
    <w:p w:rsidR="004F7D03" w:rsidRPr="00427EE1" w:rsidRDefault="004F7D03" w:rsidP="00AF771E">
      <w:r w:rsidRPr="00427EE1">
        <w:lastRenderedPageBreak/>
        <w:t>Consultation</w:t>
      </w:r>
      <w:r w:rsidR="000C012A">
        <w:t>s</w:t>
      </w:r>
      <w:r w:rsidRPr="00427EE1">
        <w:t xml:space="preserve"> with building practitioners and building surveyors indicate</w:t>
      </w:r>
      <w:r w:rsidR="000C012A">
        <w:t>d</w:t>
      </w:r>
      <w:r w:rsidRPr="00427EE1">
        <w:t xml:space="preserve"> that building projects are generally planned to avoid delays by providing surveyors adequate notice of a required inspection. Where rectification costs are incurred </w:t>
      </w:r>
      <w:r w:rsidR="000C012A">
        <w:t xml:space="preserve">after </w:t>
      </w:r>
      <w:r w:rsidRPr="00427EE1">
        <w:t>a direction, notice or order, this is because building work has been assessed to not be of a required standard to satisfy the surveyor that the work is safe. Therefore</w:t>
      </w:r>
      <w:r w:rsidR="000C012A">
        <w:t>,</w:t>
      </w:r>
      <w:r w:rsidRPr="00427EE1">
        <w:t xml:space="preserve"> any costs resulting from this process are outweighed by the resulting benefits of ensuring </w:t>
      </w:r>
      <w:r w:rsidR="000C012A">
        <w:t xml:space="preserve">the </w:t>
      </w:r>
      <w:r w:rsidRPr="00427EE1">
        <w:t>building work is safe.</w:t>
      </w:r>
    </w:p>
    <w:p w:rsidR="004F7D03" w:rsidRPr="00427EE1" w:rsidRDefault="004F7D03" w:rsidP="006119D2">
      <w:pPr>
        <w:pStyle w:val="Heading4"/>
        <w:rPr>
          <w:color w:val="642667" w:themeColor="text2"/>
        </w:rPr>
      </w:pPr>
      <w:r w:rsidRPr="00427EE1">
        <w:t xml:space="preserve">Small businesses owning buildings required to maintain </w:t>
      </w:r>
      <w:r w:rsidR="00296466">
        <w:t>ESMs</w:t>
      </w:r>
    </w:p>
    <w:p w:rsidR="004F7D03" w:rsidRPr="00427EE1" w:rsidRDefault="004F7D03" w:rsidP="00AF771E">
      <w:pPr>
        <w:pStyle w:val="Normalpre-dotpoint"/>
      </w:pPr>
      <w:r w:rsidRPr="00427EE1">
        <w:t>Owners of Class 1B to Class 9 buildings are required to maintain ESMs to ensure they continue to function effectively. Some of these buildings will be occupied by small businesses, particularly:</w:t>
      </w:r>
    </w:p>
    <w:p w:rsidR="004F7D03" w:rsidRPr="00427EE1" w:rsidRDefault="004F7D03" w:rsidP="00AF771E">
      <w:pPr>
        <w:pStyle w:val="Dotpoint"/>
      </w:pPr>
      <w:r w:rsidRPr="00427EE1">
        <w:t>Class 5 buildings (office buildings for professional or commercial purposes)</w:t>
      </w:r>
    </w:p>
    <w:p w:rsidR="004F7D03" w:rsidRPr="00427EE1" w:rsidRDefault="004F7D03" w:rsidP="00AF771E">
      <w:pPr>
        <w:pStyle w:val="Dotpoint"/>
      </w:pPr>
      <w:r w:rsidRPr="00427EE1">
        <w:t>Class 6 buildings (shops or other buildings used for the sale of goods or supply of services)</w:t>
      </w:r>
    </w:p>
    <w:p w:rsidR="004F7D03" w:rsidRPr="00427EE1" w:rsidRDefault="004F7D03" w:rsidP="00AF771E">
      <w:pPr>
        <w:pStyle w:val="Dotpoint"/>
      </w:pPr>
      <w:r w:rsidRPr="00427EE1">
        <w:t>Class 7b buildings (for storage or display of goods or produce for wholesale)</w:t>
      </w:r>
    </w:p>
    <w:p w:rsidR="004F7D03" w:rsidRPr="00427EE1" w:rsidRDefault="004F7D03" w:rsidP="00AF771E">
      <w:pPr>
        <w:pStyle w:val="Dotpointlast"/>
      </w:pPr>
      <w:r w:rsidRPr="00427EE1">
        <w:t>Class 8 buildings (where a process is carried out for trade, sale or gain).</w:t>
      </w:r>
    </w:p>
    <w:p w:rsidR="004F7D03" w:rsidRPr="00427EE1" w:rsidRDefault="004F7D03" w:rsidP="00AF771E">
      <w:pPr>
        <w:pStyle w:val="Normalpre-dotpoint"/>
      </w:pPr>
      <w:r w:rsidRPr="00427EE1">
        <w:t>The</w:t>
      </w:r>
      <w:r w:rsidR="00E35182" w:rsidRPr="00427EE1">
        <w:t xml:space="preserve"> </w:t>
      </w:r>
      <w:r w:rsidR="00195602">
        <w:t>department</w:t>
      </w:r>
      <w:r w:rsidR="00E35182" w:rsidRPr="00427EE1">
        <w:t xml:space="preserve"> considers the</w:t>
      </w:r>
      <w:r w:rsidRPr="00427EE1">
        <w:t>se costs are necessary</w:t>
      </w:r>
      <w:r w:rsidR="000C012A">
        <w:t>,</w:t>
      </w:r>
      <w:r w:rsidRPr="00427EE1">
        <w:t xml:space="preserve"> given the significant risk to life posed by an ESM that does not function as designed. For example</w:t>
      </w:r>
      <w:r w:rsidR="000C012A">
        <w:t xml:space="preserve">, </w:t>
      </w:r>
      <w:r w:rsidRPr="00427EE1">
        <w:t>if fire</w:t>
      </w:r>
      <w:r w:rsidR="00181511">
        <w:t>-</w:t>
      </w:r>
      <w:r w:rsidRPr="00427EE1">
        <w:t>safety measures were to fail:</w:t>
      </w:r>
    </w:p>
    <w:p w:rsidR="004F7D03" w:rsidRPr="00427EE1" w:rsidRDefault="000C012A" w:rsidP="00AF771E">
      <w:pPr>
        <w:pStyle w:val="Dotpoint"/>
      </w:pPr>
      <w:r>
        <w:t>s</w:t>
      </w:r>
      <w:r w:rsidR="004F7D03" w:rsidRPr="00427EE1">
        <w:t>afe evacuation of a building could be hampered</w:t>
      </w:r>
      <w:r>
        <w:t xml:space="preserve">, which </w:t>
      </w:r>
      <w:r w:rsidR="004F7D03" w:rsidRPr="00427EE1">
        <w:t xml:space="preserve">could increase the likelihood of injury </w:t>
      </w:r>
      <w:r>
        <w:t xml:space="preserve">to </w:t>
      </w:r>
      <w:r w:rsidR="004F7D03" w:rsidRPr="00427EE1">
        <w:t xml:space="preserve">or </w:t>
      </w:r>
      <w:r>
        <w:t xml:space="preserve">the </w:t>
      </w:r>
      <w:r w:rsidR="004F7D03" w:rsidRPr="00427EE1">
        <w:t>death of occupants or responding firefighters</w:t>
      </w:r>
    </w:p>
    <w:p w:rsidR="004F7D03" w:rsidRPr="00427EE1" w:rsidRDefault="000C012A" w:rsidP="00AF771E">
      <w:pPr>
        <w:pStyle w:val="Dotpointlast"/>
      </w:pPr>
      <w:r>
        <w:t>t</w:t>
      </w:r>
      <w:r w:rsidR="004F7D03" w:rsidRPr="00427EE1">
        <w:t>he fire might be more difficult to contain, suppress and extinguish</w:t>
      </w:r>
      <w:r>
        <w:t xml:space="preserve">, which </w:t>
      </w:r>
      <w:r w:rsidR="004F7D03" w:rsidRPr="00427EE1">
        <w:t xml:space="preserve">could increase the extent of losses and other broader impacts </w:t>
      </w:r>
      <w:r>
        <w:t xml:space="preserve">on </w:t>
      </w:r>
      <w:r w:rsidR="004F7D03" w:rsidRPr="00427EE1">
        <w:t>the community and environment.</w:t>
      </w:r>
    </w:p>
    <w:p w:rsidR="004F7D03" w:rsidRPr="00427EE1" w:rsidRDefault="004F7D03" w:rsidP="006119D2">
      <w:pPr>
        <w:pStyle w:val="Heading4"/>
      </w:pPr>
      <w:r w:rsidRPr="00427EE1">
        <w:t>Small business owners requiring report and consent</w:t>
      </w:r>
    </w:p>
    <w:p w:rsidR="004F7D03" w:rsidRPr="00427EE1" w:rsidRDefault="004F7D03" w:rsidP="00AF771E">
      <w:r w:rsidRPr="00427EE1">
        <w:t xml:space="preserve">Small businesses applying to build commercial premises may incur costs in relation to report and consent, particularly for retail buildings with an awning over the street alignment. While minimum heights may impose costs due to a preferred building design not being selected, this is considered necessary given the significant safety risks posed to pedestrians from vehicles </w:t>
      </w:r>
      <w:r w:rsidR="000C012A">
        <w:t xml:space="preserve">striking </w:t>
      </w:r>
      <w:r w:rsidRPr="00427EE1">
        <w:t>building projections.</w:t>
      </w:r>
    </w:p>
    <w:p w:rsidR="004F7D03" w:rsidRPr="00427EE1" w:rsidRDefault="004F7D03" w:rsidP="006119D2">
      <w:pPr>
        <w:pStyle w:val="Heading4"/>
      </w:pPr>
      <w:r w:rsidRPr="00427EE1">
        <w:t>Impacts relating to changes to registration requirements</w:t>
      </w:r>
    </w:p>
    <w:p w:rsidR="00285F6B" w:rsidRPr="00427EE1" w:rsidRDefault="00DA2F1B" w:rsidP="00AF771E">
      <w:r w:rsidRPr="00427EE1">
        <w:t xml:space="preserve">The </w:t>
      </w:r>
      <w:r w:rsidR="008911CB">
        <w:t>proposed Regulations</w:t>
      </w:r>
      <w:r w:rsidR="00285F6B" w:rsidRPr="00427EE1">
        <w:t xml:space="preserve"> make minor changes to the </w:t>
      </w:r>
      <w:r w:rsidR="000C012A">
        <w:t xml:space="preserve">current </w:t>
      </w:r>
      <w:r w:rsidR="008911CB">
        <w:t>Regulations</w:t>
      </w:r>
      <w:r w:rsidR="00285F6B" w:rsidRPr="00427EE1">
        <w:t xml:space="preserve"> </w:t>
      </w:r>
      <w:r w:rsidR="000C012A">
        <w:t xml:space="preserve">for the </w:t>
      </w:r>
      <w:r w:rsidR="00285F6B" w:rsidRPr="00427EE1">
        <w:t>registration of building practitioners</w:t>
      </w:r>
      <w:r w:rsidR="000C012A">
        <w:t xml:space="preserve">, </w:t>
      </w:r>
      <w:r w:rsidR="00285F6B" w:rsidRPr="00427EE1">
        <w:t>aim</w:t>
      </w:r>
      <w:r w:rsidR="000C012A">
        <w:t>ing</w:t>
      </w:r>
      <w:r w:rsidR="00285F6B" w:rsidRPr="00427EE1">
        <w:t xml:space="preserve"> to standardise the information provided by applicants </w:t>
      </w:r>
      <w:r w:rsidR="000C012A">
        <w:t xml:space="preserve">in order to </w:t>
      </w:r>
      <w:r w:rsidR="00285F6B" w:rsidRPr="00427EE1">
        <w:t>minimis</w:t>
      </w:r>
      <w:r w:rsidR="000C012A">
        <w:t>e</w:t>
      </w:r>
      <w:r w:rsidR="00285F6B" w:rsidRPr="00427EE1">
        <w:t xml:space="preserve"> the need for </w:t>
      </w:r>
      <w:r w:rsidR="00720C4E">
        <w:t>VBA</w:t>
      </w:r>
      <w:r w:rsidR="00285F6B" w:rsidRPr="00427EE1">
        <w:t xml:space="preserve"> to request additional information. Nevertheless, further changes to arrangements for registering building </w:t>
      </w:r>
      <w:r w:rsidR="00E5237C" w:rsidRPr="00427EE1">
        <w:t>practitioners</w:t>
      </w:r>
      <w:r w:rsidR="00285F6B" w:rsidRPr="00427EE1">
        <w:t xml:space="preserve"> </w:t>
      </w:r>
      <w:r w:rsidR="00A11B86" w:rsidRPr="00427EE1">
        <w:t xml:space="preserve">will likely </w:t>
      </w:r>
      <w:r w:rsidR="00285F6B" w:rsidRPr="00427EE1">
        <w:t>come into effect on 1 July 2017.</w:t>
      </w:r>
      <w:r w:rsidR="00A11B86" w:rsidRPr="00427EE1">
        <w:t xml:space="preserve"> Any changes will be made following a consultation process that will be undertaken separately from </w:t>
      </w:r>
      <w:r w:rsidR="005E2285">
        <w:t>the RIS</w:t>
      </w:r>
      <w:r w:rsidR="00A11B86" w:rsidRPr="00427EE1">
        <w:t xml:space="preserve">. This process will not involve another RIS but will include engagement with industry in the form of stakeholder meetings so that industry has an opportunity to comment on the proposed approach to registration (see </w:t>
      </w:r>
      <w:r w:rsidR="004267C5">
        <w:t xml:space="preserve">RIS </w:t>
      </w:r>
      <w:r w:rsidR="00A11B86" w:rsidRPr="00427EE1">
        <w:t>Part C).</w:t>
      </w:r>
    </w:p>
    <w:p w:rsidR="00703B4E" w:rsidRPr="00427EE1" w:rsidRDefault="003448D2" w:rsidP="00C14778">
      <w:pPr>
        <w:pStyle w:val="Heading2"/>
      </w:pPr>
      <w:bookmarkStart w:id="159" w:name="_Toc481501587"/>
      <w:r>
        <w:t>3.6</w:t>
      </w:r>
      <w:r>
        <w:tab/>
      </w:r>
      <w:r w:rsidR="00C060E3" w:rsidRPr="00427EE1">
        <w:t>Evidence improvement project</w:t>
      </w:r>
      <w:bookmarkEnd w:id="159"/>
    </w:p>
    <w:p w:rsidR="002D5E35" w:rsidRDefault="00703B4E">
      <w:pPr>
        <w:pStyle w:val="Normalpre-dotpoint"/>
      </w:pPr>
      <w:r w:rsidRPr="00427EE1">
        <w:t>As</w:t>
      </w:r>
      <w:r w:rsidR="000C012A">
        <w:t xml:space="preserve"> explained </w:t>
      </w:r>
      <w:r w:rsidRPr="00427EE1">
        <w:t xml:space="preserve">in </w:t>
      </w:r>
      <w:r w:rsidR="004267C5" w:rsidRPr="00427EE1">
        <w:t xml:space="preserve">RIS </w:t>
      </w:r>
      <w:r w:rsidRPr="00427EE1">
        <w:t>Part B</w:t>
      </w:r>
      <w:r w:rsidR="000C012A">
        <w:t>,</w:t>
      </w:r>
      <w:r w:rsidRPr="00427EE1">
        <w:t xml:space="preserve"> </w:t>
      </w:r>
      <w:r w:rsidR="00AC0013">
        <w:t>some</w:t>
      </w:r>
      <w:r w:rsidRPr="00427EE1">
        <w:t xml:space="preserve"> other possible changes to the </w:t>
      </w:r>
      <w:r w:rsidR="008911CB">
        <w:t>Regulations</w:t>
      </w:r>
      <w:r w:rsidRPr="00427EE1">
        <w:t xml:space="preserve"> are </w:t>
      </w:r>
      <w:r w:rsidR="00C060E3" w:rsidRPr="00427EE1">
        <w:t xml:space="preserve">proposed for further </w:t>
      </w:r>
      <w:r w:rsidRPr="00427EE1">
        <w:t xml:space="preserve">consideration by the </w:t>
      </w:r>
      <w:r w:rsidR="00195602">
        <w:t>department</w:t>
      </w:r>
      <w:r w:rsidRPr="00427EE1">
        <w:t xml:space="preserve">. The forward work program as part of the ongoing review of building policy will address whether </w:t>
      </w:r>
      <w:r w:rsidR="007859A9">
        <w:t xml:space="preserve">further </w:t>
      </w:r>
      <w:r w:rsidRPr="00427EE1">
        <w:t>regulatory amendments should be made</w:t>
      </w:r>
      <w:r w:rsidR="000123FF" w:rsidRPr="00427EE1">
        <w:t xml:space="preserve">. Submissions on these </w:t>
      </w:r>
      <w:r w:rsidR="00E546FD" w:rsidRPr="00427EE1">
        <w:t>matters</w:t>
      </w:r>
      <w:r w:rsidR="000123FF" w:rsidRPr="00427EE1">
        <w:t xml:space="preserve"> including evidence </w:t>
      </w:r>
      <w:r w:rsidR="007859A9">
        <w:t xml:space="preserve">for </w:t>
      </w:r>
      <w:r w:rsidR="000123FF" w:rsidRPr="00427EE1">
        <w:t xml:space="preserve">the need for </w:t>
      </w:r>
      <w:r w:rsidR="00DA2F1B" w:rsidRPr="00427EE1">
        <w:t>r</w:t>
      </w:r>
      <w:r w:rsidR="000123FF" w:rsidRPr="00427EE1">
        <w:t xml:space="preserve">egulation or otherwise will </w:t>
      </w:r>
      <w:r w:rsidR="007859A9">
        <w:t xml:space="preserve">help </w:t>
      </w:r>
      <w:r w:rsidR="000123FF" w:rsidRPr="00427EE1">
        <w:t xml:space="preserve">the </w:t>
      </w:r>
      <w:r w:rsidR="00195602">
        <w:t>department</w:t>
      </w:r>
      <w:r w:rsidR="000123FF" w:rsidRPr="00427EE1">
        <w:t xml:space="preserve"> determin</w:t>
      </w:r>
      <w:r w:rsidR="007859A9">
        <w:t>e</w:t>
      </w:r>
      <w:r w:rsidR="000123FF" w:rsidRPr="00427EE1">
        <w:t xml:space="preserve"> </w:t>
      </w:r>
      <w:r w:rsidR="00E546FD" w:rsidRPr="00427EE1">
        <w:t>priorities</w:t>
      </w:r>
      <w:r w:rsidR="000123FF" w:rsidRPr="00427EE1">
        <w:t xml:space="preserve"> for and outcomes of the policy review program.</w:t>
      </w:r>
      <w:r w:rsidR="00731F43" w:rsidRPr="00427EE1">
        <w:t xml:space="preserve"> </w:t>
      </w:r>
    </w:p>
    <w:p w:rsidR="002D5E35" w:rsidRDefault="002D5E35">
      <w:pPr>
        <w:spacing w:after="0"/>
      </w:pPr>
      <w:r>
        <w:br w:type="page"/>
      </w:r>
    </w:p>
    <w:p w:rsidR="00E657D7" w:rsidRDefault="00731F43">
      <w:pPr>
        <w:pStyle w:val="Normalpre-dotpoint"/>
      </w:pPr>
      <w:r w:rsidRPr="00427EE1">
        <w:lastRenderedPageBreak/>
        <w:t xml:space="preserve">The changes </w:t>
      </w:r>
      <w:r w:rsidR="00C060E3" w:rsidRPr="00427EE1">
        <w:t xml:space="preserve">proposed for further consideration </w:t>
      </w:r>
      <w:r w:rsidRPr="00427EE1">
        <w:t>are</w:t>
      </w:r>
      <w:r w:rsidR="007859A9">
        <w:t xml:space="preserve">, in </w:t>
      </w:r>
      <w:r w:rsidRPr="00427EE1">
        <w:t>summar</w:t>
      </w:r>
      <w:r w:rsidR="007859A9">
        <w:t>y:</w:t>
      </w:r>
    </w:p>
    <w:p w:rsidR="00E657D7" w:rsidRDefault="007859A9">
      <w:pPr>
        <w:pStyle w:val="Dotpoint"/>
      </w:pPr>
      <w:r>
        <w:t>d</w:t>
      </w:r>
      <w:r w:rsidR="00703B4E" w:rsidRPr="00427EE1">
        <w:t>esign</w:t>
      </w:r>
    </w:p>
    <w:p w:rsidR="00E657D7" w:rsidRDefault="007859A9">
      <w:pPr>
        <w:pStyle w:val="Dotpoint"/>
        <w:numPr>
          <w:ilvl w:val="1"/>
          <w:numId w:val="39"/>
        </w:numPr>
      </w:pPr>
      <w:r>
        <w:t>t</w:t>
      </w:r>
      <w:r w:rsidR="008D09AC" w:rsidRPr="00427EE1">
        <w:t>h</w:t>
      </w:r>
      <w:r w:rsidR="00703B4E" w:rsidRPr="00427EE1">
        <w:t>e scope of matters requiring report and consent</w:t>
      </w:r>
    </w:p>
    <w:p w:rsidR="00E657D7" w:rsidRDefault="007859A9">
      <w:pPr>
        <w:pStyle w:val="Dotpoint"/>
        <w:numPr>
          <w:ilvl w:val="1"/>
          <w:numId w:val="39"/>
        </w:numPr>
      </w:pPr>
      <w:r>
        <w:t>e</w:t>
      </w:r>
      <w:r w:rsidR="00703B4E" w:rsidRPr="00427EE1">
        <w:t>xpand allowable encroachments related to balconies, carports, garages and buildings underground</w:t>
      </w:r>
    </w:p>
    <w:p w:rsidR="00E657D7" w:rsidRDefault="007859A9">
      <w:pPr>
        <w:pStyle w:val="Dotpoint"/>
      </w:pPr>
      <w:r>
        <w:t>c</w:t>
      </w:r>
      <w:r w:rsidR="00E546FD" w:rsidRPr="00427EE1">
        <w:t>onstruction</w:t>
      </w:r>
    </w:p>
    <w:p w:rsidR="00E657D7" w:rsidRDefault="007859A9">
      <w:pPr>
        <w:pStyle w:val="Dotpoint"/>
        <w:numPr>
          <w:ilvl w:val="1"/>
          <w:numId w:val="39"/>
        </w:numPr>
      </w:pPr>
      <w:r>
        <w:t>e</w:t>
      </w:r>
      <w:r w:rsidR="00A11B86" w:rsidRPr="00427EE1">
        <w:t>xtend time limits for completion of building work</w:t>
      </w:r>
    </w:p>
    <w:p w:rsidR="00E657D7" w:rsidRDefault="007859A9">
      <w:pPr>
        <w:pStyle w:val="Dotpoint"/>
        <w:numPr>
          <w:ilvl w:val="1"/>
          <w:numId w:val="39"/>
        </w:numPr>
      </w:pPr>
      <w:r>
        <w:t>t</w:t>
      </w:r>
      <w:r w:rsidR="00703B4E" w:rsidRPr="00427EE1">
        <w:t>he ongoing need for bonds and guarantees</w:t>
      </w:r>
    </w:p>
    <w:p w:rsidR="00E657D7" w:rsidRDefault="007859A9">
      <w:pPr>
        <w:pStyle w:val="Dotpoint"/>
        <w:numPr>
          <w:ilvl w:val="1"/>
          <w:numId w:val="39"/>
        </w:numPr>
      </w:pPr>
      <w:r>
        <w:t>l</w:t>
      </w:r>
      <w:r w:rsidR="00815C25" w:rsidRPr="00427EE1">
        <w:t>imit the mandatory inspection regime to domestic building work only</w:t>
      </w:r>
    </w:p>
    <w:p w:rsidR="00E657D7" w:rsidRDefault="00703B4E">
      <w:pPr>
        <w:pStyle w:val="Dotpoint"/>
        <w:numPr>
          <w:ilvl w:val="1"/>
          <w:numId w:val="39"/>
        </w:numPr>
      </w:pPr>
      <w:r w:rsidRPr="00427EE1">
        <w:t>remove the requirement to have the design of an existing stormwater drainage system approved by a building surveyor</w:t>
      </w:r>
    </w:p>
    <w:p w:rsidR="00E657D7" w:rsidRDefault="00703B4E">
      <w:pPr>
        <w:pStyle w:val="Dotpoint"/>
      </w:pPr>
      <w:r w:rsidRPr="00427EE1">
        <w:t>Completion/</w:t>
      </w:r>
      <w:r w:rsidR="007837CC">
        <w:t>u</w:t>
      </w:r>
      <w:r w:rsidRPr="00427EE1">
        <w:t>se</w:t>
      </w:r>
    </w:p>
    <w:p w:rsidR="00E657D7" w:rsidRDefault="007859A9">
      <w:pPr>
        <w:pStyle w:val="Dotpoint"/>
        <w:numPr>
          <w:ilvl w:val="1"/>
          <w:numId w:val="39"/>
        </w:numPr>
      </w:pPr>
      <w:r>
        <w:t>r</w:t>
      </w:r>
      <w:r w:rsidR="00703B4E" w:rsidRPr="00427EE1">
        <w:t>emove the requirement to obtain an occupancy permit for prescribed places</w:t>
      </w:r>
    </w:p>
    <w:p w:rsidR="00E657D7" w:rsidRDefault="007859A9">
      <w:pPr>
        <w:pStyle w:val="Dotpoint"/>
        <w:numPr>
          <w:ilvl w:val="1"/>
          <w:numId w:val="39"/>
        </w:numPr>
      </w:pPr>
      <w:r>
        <w:t>r</w:t>
      </w:r>
      <w:r w:rsidR="00703B4E" w:rsidRPr="00427EE1">
        <w:t>emove booths with a floor area greater than 100</w:t>
      </w:r>
      <w:r w:rsidR="00296466">
        <w:t> m</w:t>
      </w:r>
      <w:r w:rsidR="00AC1A59" w:rsidRPr="00AC1A59">
        <w:rPr>
          <w:szCs w:val="20"/>
          <w:vertAlign w:val="superscript"/>
        </w:rPr>
        <w:t>2</w:t>
      </w:r>
      <w:r w:rsidR="00703B4E" w:rsidRPr="00427EE1">
        <w:t xml:space="preserve"> and include inflatable structures with a floor area greater than 100</w:t>
      </w:r>
      <w:r w:rsidR="00296466">
        <w:t> m</w:t>
      </w:r>
      <w:r w:rsidR="00AC1A59" w:rsidRPr="00AC1A59">
        <w:rPr>
          <w:szCs w:val="20"/>
          <w:vertAlign w:val="superscript"/>
        </w:rPr>
        <w:t>2</w:t>
      </w:r>
      <w:r w:rsidR="00703B4E" w:rsidRPr="00427EE1">
        <w:t xml:space="preserve"> in the definition of tents, marquees and booths</w:t>
      </w:r>
    </w:p>
    <w:p w:rsidR="00E657D7" w:rsidRDefault="007859A9">
      <w:pPr>
        <w:pStyle w:val="Dotpoint"/>
        <w:numPr>
          <w:ilvl w:val="1"/>
          <w:numId w:val="39"/>
        </w:numPr>
      </w:pPr>
      <w:r>
        <w:t>d</w:t>
      </w:r>
      <w:r w:rsidR="00703B4E" w:rsidRPr="00427EE1">
        <w:t>ecrease the threshold floor area to 100</w:t>
      </w:r>
      <w:r w:rsidR="00296466">
        <w:t> m</w:t>
      </w:r>
      <w:r w:rsidR="00AC1A59" w:rsidRPr="00AC1A59">
        <w:rPr>
          <w:szCs w:val="20"/>
          <w:vertAlign w:val="superscript"/>
        </w:rPr>
        <w:t>2</w:t>
      </w:r>
      <w:r w:rsidR="00703B4E" w:rsidRPr="00427EE1">
        <w:rPr>
          <w:vertAlign w:val="superscript"/>
        </w:rPr>
        <w:t xml:space="preserve"> </w:t>
      </w:r>
      <w:r w:rsidR="00703B4E" w:rsidRPr="00427EE1">
        <w:t>in the definition of stages and platforms</w:t>
      </w:r>
    </w:p>
    <w:p w:rsidR="00E657D7" w:rsidRDefault="007859A9">
      <w:pPr>
        <w:pStyle w:val="Dotpoint"/>
        <w:numPr>
          <w:ilvl w:val="1"/>
          <w:numId w:val="39"/>
        </w:numPr>
      </w:pPr>
      <w:r>
        <w:t>i</w:t>
      </w:r>
      <w:r w:rsidR="00703B4E" w:rsidRPr="00427EE1">
        <w:t>nclude a greater range of structures in the definition of prefabricated buildings</w:t>
      </w:r>
    </w:p>
    <w:p w:rsidR="00E657D7" w:rsidRDefault="007859A9">
      <w:pPr>
        <w:pStyle w:val="Dotpoint"/>
        <w:numPr>
          <w:ilvl w:val="1"/>
          <w:numId w:val="39"/>
        </w:numPr>
      </w:pPr>
      <w:r>
        <w:t>i</w:t>
      </w:r>
      <w:r w:rsidR="00703B4E" w:rsidRPr="00427EE1">
        <w:t>ncrease all penalties and infringeable offences in the Regulations to the maximum allowed</w:t>
      </w:r>
    </w:p>
    <w:p w:rsidR="00E657D7" w:rsidRDefault="007859A9">
      <w:pPr>
        <w:pStyle w:val="Dotpoint"/>
        <w:numPr>
          <w:ilvl w:val="1"/>
          <w:numId w:val="39"/>
        </w:numPr>
      </w:pPr>
      <w:r>
        <w:t>i</w:t>
      </w:r>
      <w:r w:rsidR="00703B4E" w:rsidRPr="00427EE1">
        <w:t>nclude ESM maintenance as a condition on an occupancy permit</w:t>
      </w:r>
    </w:p>
    <w:p w:rsidR="00E657D7" w:rsidRDefault="007859A9">
      <w:pPr>
        <w:pStyle w:val="Dotpoint"/>
        <w:numPr>
          <w:ilvl w:val="1"/>
          <w:numId w:val="39"/>
        </w:numPr>
      </w:pPr>
      <w:r>
        <w:t>r</w:t>
      </w:r>
      <w:r w:rsidR="00703B4E" w:rsidRPr="00427EE1">
        <w:t>equire the annual ESM report to be certified by a suitably qualified person</w:t>
      </w:r>
    </w:p>
    <w:p w:rsidR="00E657D7" w:rsidRDefault="007859A9">
      <w:pPr>
        <w:pStyle w:val="Dotpoint"/>
        <w:numPr>
          <w:ilvl w:val="1"/>
          <w:numId w:val="39"/>
        </w:numPr>
      </w:pPr>
      <w:r>
        <w:t>c</w:t>
      </w:r>
      <w:r w:rsidR="00703B4E" w:rsidRPr="00427EE1">
        <w:t>larify the definition of owner of a swimming pool or spa</w:t>
      </w:r>
    </w:p>
    <w:p w:rsidR="00E657D7" w:rsidRDefault="007859A9">
      <w:pPr>
        <w:pStyle w:val="Dotpoint"/>
        <w:numPr>
          <w:ilvl w:val="1"/>
          <w:numId w:val="39"/>
        </w:numPr>
      </w:pPr>
      <w:r>
        <w:t>e</w:t>
      </w:r>
      <w:r w:rsidR="00703B4E" w:rsidRPr="00427EE1">
        <w:t>stablish</w:t>
      </w:r>
      <w:r w:rsidR="00C060E3" w:rsidRPr="00427EE1">
        <w:t xml:space="preserve"> </w:t>
      </w:r>
      <w:r w:rsidR="00703B4E" w:rsidRPr="00427EE1">
        <w:t>a voluntary swimming pool register</w:t>
      </w:r>
    </w:p>
    <w:p w:rsidR="00E657D7" w:rsidRDefault="00815C25">
      <w:pPr>
        <w:pStyle w:val="Dotpoint"/>
      </w:pPr>
      <w:r w:rsidRPr="00427EE1">
        <w:t xml:space="preserve">Builder </w:t>
      </w:r>
      <w:r w:rsidR="007837CC">
        <w:t>p</w:t>
      </w:r>
      <w:r w:rsidRPr="00427EE1">
        <w:t xml:space="preserve">ractitioner </w:t>
      </w:r>
      <w:r w:rsidR="007837CC">
        <w:t>r</w:t>
      </w:r>
      <w:r w:rsidRPr="00427EE1">
        <w:t>egistration</w:t>
      </w:r>
    </w:p>
    <w:p w:rsidR="00E657D7" w:rsidRDefault="007859A9">
      <w:pPr>
        <w:pStyle w:val="Dotpoint"/>
        <w:numPr>
          <w:ilvl w:val="1"/>
          <w:numId w:val="39"/>
        </w:numPr>
      </w:pPr>
      <w:r>
        <w:t>d</w:t>
      </w:r>
      <w:r w:rsidR="00815C25" w:rsidRPr="00427EE1">
        <w:t>escrib</w:t>
      </w:r>
      <w:r>
        <w:t>e</w:t>
      </w:r>
      <w:r w:rsidR="00815C25" w:rsidRPr="00427EE1">
        <w:t xml:space="preserve"> professional standards in more detail</w:t>
      </w:r>
    </w:p>
    <w:p w:rsidR="00E657D7" w:rsidRDefault="000123FF">
      <w:pPr>
        <w:pStyle w:val="Dotpoint"/>
      </w:pPr>
      <w:r w:rsidRPr="00427EE1">
        <w:t>Fees</w:t>
      </w:r>
    </w:p>
    <w:p w:rsidR="00E657D7" w:rsidRDefault="00445868">
      <w:pPr>
        <w:pStyle w:val="Dotpoint"/>
        <w:numPr>
          <w:ilvl w:val="1"/>
          <w:numId w:val="39"/>
        </w:numPr>
        <w:spacing w:after="200"/>
      </w:pPr>
      <w:r>
        <w:t xml:space="preserve">The department is proposing to </w:t>
      </w:r>
      <w:r w:rsidR="00B37B76" w:rsidRPr="00427EE1">
        <w:t xml:space="preserve">update the </w:t>
      </w:r>
      <w:r w:rsidR="00E546FD" w:rsidRPr="00427EE1">
        <w:t xml:space="preserve">current Regulations related to fees charged by </w:t>
      </w:r>
      <w:r w:rsidR="007859A9">
        <w:t>c</w:t>
      </w:r>
      <w:r w:rsidR="00E546FD" w:rsidRPr="00427EE1">
        <w:t>ouncils</w:t>
      </w:r>
      <w:r w:rsidR="00B37B76" w:rsidRPr="00427EE1">
        <w:t xml:space="preserve"> </w:t>
      </w:r>
      <w:r w:rsidR="007859A9">
        <w:t xml:space="preserve">and </w:t>
      </w:r>
      <w:r w:rsidR="009D2C08">
        <w:t>r</w:t>
      </w:r>
      <w:r w:rsidR="00E546FD" w:rsidRPr="00427EE1">
        <w:t xml:space="preserve">eporting </w:t>
      </w:r>
      <w:r w:rsidR="009D2C08">
        <w:t>a</w:t>
      </w:r>
      <w:r w:rsidR="00E546FD" w:rsidRPr="00427EE1">
        <w:t xml:space="preserve">uthorities </w:t>
      </w:r>
      <w:r w:rsidR="00B37B76" w:rsidRPr="00427EE1">
        <w:t xml:space="preserve">so they reflect full cost recovery and remake the fees for </w:t>
      </w:r>
      <w:r w:rsidR="00720C4E">
        <w:t>VBA</w:t>
      </w:r>
      <w:r w:rsidR="00E546FD" w:rsidRPr="00427EE1">
        <w:t xml:space="preserve"> </w:t>
      </w:r>
      <w:r w:rsidR="00A46658" w:rsidRPr="00427EE1">
        <w:t xml:space="preserve">and </w:t>
      </w:r>
      <w:r w:rsidR="007859A9">
        <w:t xml:space="preserve">BAB </w:t>
      </w:r>
      <w:r w:rsidR="00B37B76" w:rsidRPr="00427EE1">
        <w:t>without change</w:t>
      </w:r>
      <w:r w:rsidR="007859A9">
        <w:t>; t</w:t>
      </w:r>
      <w:r w:rsidR="009A7DC6" w:rsidRPr="00427EE1">
        <w:t xml:space="preserve">he </w:t>
      </w:r>
      <w:r w:rsidR="00195602">
        <w:t>department</w:t>
      </w:r>
      <w:r w:rsidR="009A7DC6" w:rsidRPr="00427EE1">
        <w:t xml:space="preserve"> will </w:t>
      </w:r>
      <w:r w:rsidR="00E546FD" w:rsidRPr="00427EE1">
        <w:t xml:space="preserve">review </w:t>
      </w:r>
      <w:r w:rsidR="00B37B76" w:rsidRPr="00427EE1">
        <w:t xml:space="preserve">all fees </w:t>
      </w:r>
      <w:r w:rsidR="00E546FD" w:rsidRPr="00427EE1">
        <w:t>within a three</w:t>
      </w:r>
      <w:r w:rsidR="007859A9">
        <w:t>-</w:t>
      </w:r>
      <w:r w:rsidR="00E546FD" w:rsidRPr="00427EE1">
        <w:t>year timeframe</w:t>
      </w:r>
      <w:r w:rsidR="009A7DC6" w:rsidRPr="00427EE1">
        <w:t xml:space="preserve"> (see below)</w:t>
      </w:r>
      <w:r w:rsidR="00E546FD" w:rsidRPr="00427EE1">
        <w:t>.</w:t>
      </w:r>
    </w:p>
    <w:p w:rsidR="000123FF" w:rsidRPr="00427EE1" w:rsidRDefault="003448D2" w:rsidP="00C14778">
      <w:pPr>
        <w:pStyle w:val="Heading2"/>
      </w:pPr>
      <w:bookmarkStart w:id="160" w:name="_Toc481501588"/>
      <w:r>
        <w:t>3.7</w:t>
      </w:r>
      <w:r>
        <w:tab/>
      </w:r>
      <w:r w:rsidR="000123FF" w:rsidRPr="00427EE1">
        <w:t xml:space="preserve">Regulatory </w:t>
      </w:r>
      <w:r w:rsidR="005F12A9" w:rsidRPr="00427EE1">
        <w:t>f</w:t>
      </w:r>
      <w:r w:rsidR="000123FF" w:rsidRPr="00427EE1">
        <w:t xml:space="preserve">ees </w:t>
      </w:r>
      <w:r w:rsidR="005F12A9" w:rsidRPr="00427EE1">
        <w:t>r</w:t>
      </w:r>
      <w:r w:rsidR="000123FF" w:rsidRPr="00427EE1">
        <w:t>eview</w:t>
      </w:r>
      <w:bookmarkEnd w:id="160"/>
    </w:p>
    <w:p w:rsidR="00E546FD" w:rsidRPr="00427EE1" w:rsidRDefault="00DA2F1B" w:rsidP="007859A9">
      <w:pPr>
        <w:pStyle w:val="Normalpre-dotpoint"/>
      </w:pPr>
      <w:r w:rsidRPr="00427EE1">
        <w:t xml:space="preserve">The current </w:t>
      </w:r>
      <w:r w:rsidR="008911CB">
        <w:t>Regulations</w:t>
      </w:r>
      <w:r w:rsidR="00E546FD" w:rsidRPr="00427EE1">
        <w:t xml:space="preserve"> set</w:t>
      </w:r>
      <w:r w:rsidR="007859A9">
        <w:t xml:space="preserve"> council </w:t>
      </w:r>
      <w:r w:rsidR="00E546FD" w:rsidRPr="00427EE1">
        <w:t xml:space="preserve">and </w:t>
      </w:r>
      <w:r w:rsidR="00273730" w:rsidRPr="00427EE1">
        <w:t>r</w:t>
      </w:r>
      <w:r w:rsidR="00E546FD" w:rsidRPr="00427EE1">
        <w:t xml:space="preserve">eporting </w:t>
      </w:r>
      <w:r w:rsidR="00273730" w:rsidRPr="00427EE1">
        <w:t>a</w:t>
      </w:r>
      <w:r w:rsidR="00E546FD" w:rsidRPr="00427EE1">
        <w:t xml:space="preserve">uthority </w:t>
      </w:r>
      <w:r w:rsidR="00273730" w:rsidRPr="00427EE1">
        <w:t>f</w:t>
      </w:r>
      <w:r w:rsidR="00E546FD" w:rsidRPr="00427EE1">
        <w:t>ees relating to:</w:t>
      </w:r>
    </w:p>
    <w:p w:rsidR="00E546FD" w:rsidRPr="00427EE1" w:rsidRDefault="00E546FD" w:rsidP="00AF771E">
      <w:pPr>
        <w:pStyle w:val="Dotpoint"/>
      </w:pPr>
      <w:r w:rsidRPr="00427EE1">
        <w:t>building permits</w:t>
      </w:r>
    </w:p>
    <w:p w:rsidR="00E546FD" w:rsidRPr="00427EE1" w:rsidRDefault="00E546FD" w:rsidP="00AF771E">
      <w:pPr>
        <w:pStyle w:val="Dotpoint"/>
      </w:pPr>
      <w:r w:rsidRPr="00427EE1">
        <w:t>reports and consents</w:t>
      </w:r>
    </w:p>
    <w:p w:rsidR="00E546FD" w:rsidRPr="00427EE1" w:rsidRDefault="00E546FD" w:rsidP="00AF771E">
      <w:pPr>
        <w:pStyle w:val="Dotpoint"/>
      </w:pPr>
      <w:r w:rsidRPr="00427EE1">
        <w:t>lodgement of documents</w:t>
      </w:r>
    </w:p>
    <w:p w:rsidR="00E546FD" w:rsidRPr="00427EE1" w:rsidRDefault="00E546FD" w:rsidP="00AF771E">
      <w:pPr>
        <w:pStyle w:val="Dotpointlast"/>
      </w:pPr>
      <w:r w:rsidRPr="00427EE1">
        <w:t>information requests</w:t>
      </w:r>
      <w:r w:rsidR="00273730" w:rsidRPr="00427EE1">
        <w:t>.</w:t>
      </w:r>
    </w:p>
    <w:p w:rsidR="00E546FD" w:rsidRPr="00427EE1" w:rsidRDefault="007859A9" w:rsidP="00AF771E">
      <w:pPr>
        <w:pStyle w:val="Normalpre-dotpoint"/>
      </w:pPr>
      <w:r w:rsidRPr="00427EE1">
        <w:t xml:space="preserve">The current </w:t>
      </w:r>
      <w:r>
        <w:t>Regulations</w:t>
      </w:r>
      <w:r w:rsidRPr="00427EE1">
        <w:t xml:space="preserve"> set</w:t>
      </w:r>
      <w:r>
        <w:t xml:space="preserve"> </w:t>
      </w:r>
      <w:r w:rsidR="006757E8">
        <w:t>VBA</w:t>
      </w:r>
      <w:r w:rsidR="006757E8" w:rsidRPr="00427EE1">
        <w:t xml:space="preserve"> </w:t>
      </w:r>
      <w:r w:rsidR="00E546FD" w:rsidRPr="00427EE1">
        <w:t xml:space="preserve">and </w:t>
      </w:r>
      <w:r>
        <w:t xml:space="preserve">BAB </w:t>
      </w:r>
      <w:r w:rsidR="00273730" w:rsidRPr="00427EE1">
        <w:t>f</w:t>
      </w:r>
      <w:r w:rsidR="00E546FD" w:rsidRPr="00427EE1">
        <w:t xml:space="preserve">ees </w:t>
      </w:r>
      <w:r w:rsidR="00273730" w:rsidRPr="00427EE1">
        <w:t xml:space="preserve">for </w:t>
      </w:r>
      <w:r w:rsidR="00E546FD" w:rsidRPr="00427EE1">
        <w:t>applications for</w:t>
      </w:r>
      <w:r w:rsidR="00273730" w:rsidRPr="00427EE1">
        <w:t>:</w:t>
      </w:r>
    </w:p>
    <w:p w:rsidR="00E546FD" w:rsidRPr="00427EE1" w:rsidRDefault="00E546FD" w:rsidP="00AF771E">
      <w:pPr>
        <w:pStyle w:val="Dotpoint"/>
      </w:pPr>
      <w:r w:rsidRPr="00427EE1">
        <w:t>product accreditation</w:t>
      </w:r>
    </w:p>
    <w:p w:rsidR="00E546FD" w:rsidRPr="00427EE1" w:rsidRDefault="007859A9" w:rsidP="00AF771E">
      <w:pPr>
        <w:pStyle w:val="Dotpoint"/>
      </w:pPr>
      <w:r>
        <w:t xml:space="preserve">the </w:t>
      </w:r>
      <w:r w:rsidR="00273730" w:rsidRPr="00427EE1">
        <w:t xml:space="preserve">issue of </w:t>
      </w:r>
      <w:r w:rsidR="00E546FD" w:rsidRPr="00427EE1">
        <w:t xml:space="preserve">duplicate </w:t>
      </w:r>
      <w:r w:rsidR="00881C71" w:rsidRPr="00427EE1">
        <w:t>building practitioner</w:t>
      </w:r>
      <w:r w:rsidR="00E546FD" w:rsidRPr="00427EE1">
        <w:t xml:space="preserve"> certificate</w:t>
      </w:r>
    </w:p>
    <w:p w:rsidR="00E546FD" w:rsidRPr="00427EE1" w:rsidRDefault="00E546FD" w:rsidP="00AF771E">
      <w:pPr>
        <w:pStyle w:val="Dotpoint"/>
      </w:pPr>
      <w:r w:rsidRPr="00427EE1">
        <w:t>a range of appeal and review applications</w:t>
      </w:r>
    </w:p>
    <w:p w:rsidR="00E546FD" w:rsidRPr="00427EE1" w:rsidRDefault="00E546FD" w:rsidP="00AF771E">
      <w:pPr>
        <w:pStyle w:val="Dotpointlast"/>
      </w:pPr>
      <w:r w:rsidRPr="00427EE1">
        <w:t>site inspections</w:t>
      </w:r>
      <w:r w:rsidR="0079412C" w:rsidRPr="00427EE1">
        <w:t xml:space="preserve"> (if the </w:t>
      </w:r>
      <w:r w:rsidR="00195602">
        <w:t>department</w:t>
      </w:r>
      <w:r w:rsidR="0079412C" w:rsidRPr="00427EE1">
        <w:t xml:space="preserve"> is advi</w:t>
      </w:r>
      <w:r w:rsidR="007859A9">
        <w:t>s</w:t>
      </w:r>
      <w:r w:rsidR="0079412C" w:rsidRPr="00427EE1">
        <w:t>e</w:t>
      </w:r>
      <w:r w:rsidR="007859A9">
        <w:t>d</w:t>
      </w:r>
      <w:r w:rsidR="0079412C" w:rsidRPr="00427EE1">
        <w:t xml:space="preserve"> that a fee for this activity needs to be retained because site inspections may be requested which are not </w:t>
      </w:r>
      <w:r w:rsidR="00C85828" w:rsidRPr="00427EE1">
        <w:t>associated</w:t>
      </w:r>
      <w:r w:rsidR="0079412C" w:rsidRPr="00427EE1">
        <w:t xml:space="preserve"> with fast</w:t>
      </w:r>
      <w:r w:rsidR="007859A9">
        <w:t>-</w:t>
      </w:r>
      <w:r w:rsidR="0079412C" w:rsidRPr="00427EE1">
        <w:t>track appeals)</w:t>
      </w:r>
      <w:r w:rsidR="00273730" w:rsidRPr="00427EE1">
        <w:t>.</w:t>
      </w:r>
    </w:p>
    <w:p w:rsidR="00E546FD" w:rsidRPr="00427EE1" w:rsidRDefault="00E546FD" w:rsidP="00AF771E">
      <w:r w:rsidRPr="00427EE1">
        <w:lastRenderedPageBreak/>
        <w:t xml:space="preserve">Among the issues </w:t>
      </w:r>
      <w:r w:rsidR="007859A9">
        <w:t xml:space="preserve">about </w:t>
      </w:r>
      <w:r w:rsidRPr="00427EE1">
        <w:t xml:space="preserve">which there is either insufficient data or evidence on which to base a strong argument for regulatory change, is the application of fee structures associated with a </w:t>
      </w:r>
      <w:r w:rsidR="00D7546F">
        <w:t>council</w:t>
      </w:r>
      <w:r w:rsidRPr="00427EE1">
        <w:t xml:space="preserve">’s discharge of its functions under the Act. Analysis undertaken </w:t>
      </w:r>
      <w:r w:rsidR="007859A9">
        <w:t xml:space="preserve">of </w:t>
      </w:r>
      <w:r w:rsidRPr="00427EE1">
        <w:t>a sample of councils indicates a wide range of cost</w:t>
      </w:r>
      <w:r w:rsidR="00893445">
        <w:t>s per</w:t>
      </w:r>
      <w:r w:rsidRPr="00427EE1">
        <w:t xml:space="preserve"> application. The lack of evidence will be addressed as part of the </w:t>
      </w:r>
      <w:r w:rsidR="007859A9">
        <w:t>e</w:t>
      </w:r>
      <w:r w:rsidRPr="00427EE1">
        <w:t xml:space="preserve">vidence </w:t>
      </w:r>
      <w:r w:rsidR="007859A9">
        <w:t>i</w:t>
      </w:r>
      <w:r w:rsidRPr="00427EE1">
        <w:t xml:space="preserve">mprovement </w:t>
      </w:r>
      <w:r w:rsidR="007859A9">
        <w:t>p</w:t>
      </w:r>
      <w:r w:rsidRPr="00427EE1">
        <w:t>roject</w:t>
      </w:r>
      <w:r w:rsidR="007859A9">
        <w:t xml:space="preserve"> explained </w:t>
      </w:r>
      <w:r w:rsidRPr="00427EE1">
        <w:t xml:space="preserve">in Chapter </w:t>
      </w:r>
      <w:r w:rsidR="001D5119">
        <w:t>A</w:t>
      </w:r>
      <w:r w:rsidRPr="00427EE1">
        <w:t>4</w:t>
      </w:r>
      <w:r w:rsidR="001D5119">
        <w:t>.1 Evidence improvement project</w:t>
      </w:r>
      <w:r w:rsidRPr="00427EE1">
        <w:t>.</w:t>
      </w:r>
    </w:p>
    <w:p w:rsidR="00E657D7" w:rsidRDefault="000123FF">
      <w:pPr>
        <w:pStyle w:val="Normalpre-dotpoint"/>
      </w:pPr>
      <w:r w:rsidRPr="00427EE1">
        <w:t>To allow for both aspects of statutory fees to be examined in more detail</w:t>
      </w:r>
      <w:r w:rsidR="00D7546F">
        <w:t>,</w:t>
      </w:r>
      <w:r w:rsidRPr="00427EE1">
        <w:t xml:space="preserve"> </w:t>
      </w:r>
      <w:r w:rsidR="001A4931" w:rsidRPr="00427EE1">
        <w:t xml:space="preserve">the </w:t>
      </w:r>
      <w:r w:rsidR="00195602">
        <w:t>department</w:t>
      </w:r>
      <w:r w:rsidR="001A4931" w:rsidRPr="00427EE1">
        <w:t xml:space="preserve"> has</w:t>
      </w:r>
      <w:r w:rsidRPr="00427EE1">
        <w:t xml:space="preserve"> proposed that </w:t>
      </w:r>
      <w:r w:rsidR="008911CB">
        <w:t>Regulations</w:t>
      </w:r>
      <w:r w:rsidRPr="00427EE1">
        <w:t xml:space="preserve"> relating to fees be remade with a three</w:t>
      </w:r>
      <w:r w:rsidR="00D7546F">
        <w:t>-</w:t>
      </w:r>
      <w:r w:rsidRPr="00427EE1">
        <w:t>year expiry date. The review process will commence in 2018</w:t>
      </w:r>
      <w:r w:rsidR="00D7546F">
        <w:t>–1</w:t>
      </w:r>
      <w:r w:rsidRPr="00427EE1">
        <w:t xml:space="preserve">9 with new </w:t>
      </w:r>
      <w:r w:rsidR="008911CB">
        <w:t>Regulations</w:t>
      </w:r>
      <w:r w:rsidRPr="00427EE1">
        <w:t xml:space="preserve"> to be in place by 5 June 2020. Acknowledging the</w:t>
      </w:r>
      <w:r w:rsidR="0063007A" w:rsidRPr="00427EE1">
        <w:t>re are</w:t>
      </w:r>
      <w:r w:rsidRPr="00427EE1">
        <w:t xml:space="preserve"> very different issues being experienced by </w:t>
      </w:r>
      <w:r w:rsidR="00D7546F">
        <w:t xml:space="preserve">councils </w:t>
      </w:r>
      <w:r w:rsidRPr="00427EE1">
        <w:t xml:space="preserve">and </w:t>
      </w:r>
      <w:r w:rsidR="00720C4E">
        <w:t>VBA</w:t>
      </w:r>
      <w:r w:rsidRPr="00427EE1">
        <w:t>, two projects will be undertaken in parallel</w:t>
      </w:r>
      <w:r w:rsidR="00D7546F">
        <w:t>:</w:t>
      </w:r>
    </w:p>
    <w:p w:rsidR="00E657D7" w:rsidRDefault="0063007A">
      <w:pPr>
        <w:pStyle w:val="Dotpoint"/>
      </w:pPr>
      <w:r w:rsidRPr="00427EE1">
        <w:t xml:space="preserve">a review of local government fees charged under the Act and </w:t>
      </w:r>
      <w:r w:rsidR="008911CB">
        <w:t>Regulations</w:t>
      </w:r>
    </w:p>
    <w:p w:rsidR="00E657D7" w:rsidRDefault="00720C4E">
      <w:pPr>
        <w:pStyle w:val="Dotpointlast"/>
      </w:pPr>
      <w:r>
        <w:t>VBA</w:t>
      </w:r>
      <w:r w:rsidR="00DA2F1B" w:rsidRPr="00427EE1">
        <w:t>’s</w:t>
      </w:r>
      <w:r w:rsidR="0063007A" w:rsidRPr="00427EE1">
        <w:t xml:space="preserve"> fee structure.</w:t>
      </w:r>
    </w:p>
    <w:p w:rsidR="0063007A" w:rsidRPr="00427EE1" w:rsidRDefault="0063007A" w:rsidP="00AF771E">
      <w:r w:rsidRPr="00427EE1">
        <w:t xml:space="preserve">The review of local government fees charged under the Act and </w:t>
      </w:r>
      <w:r w:rsidR="008911CB">
        <w:t>Regulations</w:t>
      </w:r>
      <w:r w:rsidRPr="00427EE1">
        <w:t xml:space="preserve"> will aim to establish a fee structure that provides for </w:t>
      </w:r>
      <w:r w:rsidR="00D7546F">
        <w:t xml:space="preserve">councils </w:t>
      </w:r>
      <w:r w:rsidRPr="00427EE1">
        <w:t xml:space="preserve">to deliver services under the Act and </w:t>
      </w:r>
      <w:r w:rsidR="008911CB">
        <w:t>Regulations</w:t>
      </w:r>
      <w:r w:rsidRPr="00427EE1">
        <w:t xml:space="preserve"> on a cost</w:t>
      </w:r>
      <w:r w:rsidR="00181511">
        <w:t>-recovery</w:t>
      </w:r>
      <w:r w:rsidRPr="00427EE1">
        <w:t xml:space="preserve"> basis. </w:t>
      </w:r>
      <w:r w:rsidR="00D7546F">
        <w:t xml:space="preserve">Councils </w:t>
      </w:r>
      <w:r w:rsidRPr="00427EE1">
        <w:t xml:space="preserve">and stakeholders will be involved early in the process. The review will gain insight </w:t>
      </w:r>
      <w:r w:rsidR="00D7546F">
        <w:t xml:space="preserve">into </w:t>
      </w:r>
      <w:r w:rsidRPr="00427EE1">
        <w:t xml:space="preserve">the processes, systems, resources and cost structures </w:t>
      </w:r>
      <w:r w:rsidR="00D7546F">
        <w:t xml:space="preserve">councils </w:t>
      </w:r>
      <w:r w:rsidRPr="00427EE1">
        <w:t>appl</w:t>
      </w:r>
      <w:r w:rsidR="00D7546F">
        <w:t>y</w:t>
      </w:r>
      <w:r w:rsidRPr="00427EE1">
        <w:t xml:space="preserve"> to deliver building</w:t>
      </w:r>
      <w:r w:rsidR="007C5A88">
        <w:t>-</w:t>
      </w:r>
      <w:r w:rsidRPr="00427EE1">
        <w:t xml:space="preserve">related services. The review will take into account the differing characteristics of </w:t>
      </w:r>
      <w:r w:rsidR="00EF2008" w:rsidRPr="00427EE1">
        <w:t>municipalities.</w:t>
      </w:r>
      <w:r w:rsidR="00EF2008">
        <w:t xml:space="preserve"> The</w:t>
      </w:r>
      <w:r w:rsidR="00950E06">
        <w:t xml:space="preserve"> </w:t>
      </w:r>
      <w:r w:rsidRPr="00427EE1">
        <w:t xml:space="preserve">process will </w:t>
      </w:r>
      <w:r w:rsidR="00950E06">
        <w:t xml:space="preserve">draw on </w:t>
      </w:r>
      <w:r w:rsidRPr="00427EE1">
        <w:t xml:space="preserve">the outcomes </w:t>
      </w:r>
      <w:r w:rsidR="00950E06">
        <w:t xml:space="preserve">of </w:t>
      </w:r>
      <w:r w:rsidRPr="00427EE1">
        <w:t>the data</w:t>
      </w:r>
      <w:r w:rsidR="00181511">
        <w:t>-</w:t>
      </w:r>
      <w:r w:rsidRPr="00427EE1">
        <w:t>collection process</w:t>
      </w:r>
      <w:r w:rsidR="00950E06">
        <w:t>,</w:t>
      </w:r>
      <w:r w:rsidRPr="00427EE1">
        <w:t xml:space="preserve"> and so early engagement with</w:t>
      </w:r>
      <w:r w:rsidR="00950E06">
        <w:t xml:space="preserve"> councils </w:t>
      </w:r>
      <w:r w:rsidRPr="00427EE1">
        <w:t>will precede the formal review.</w:t>
      </w:r>
    </w:p>
    <w:p w:rsidR="00D615BC" w:rsidRPr="00427EE1" w:rsidRDefault="0063007A" w:rsidP="00AF771E">
      <w:r w:rsidRPr="00427EE1">
        <w:t xml:space="preserve">The review of </w:t>
      </w:r>
      <w:r w:rsidR="00720C4E">
        <w:t>VBA</w:t>
      </w:r>
      <w:r w:rsidRPr="00427EE1">
        <w:t xml:space="preserve">’s fee structure will focus on meeting the costs of implementing the recent building reforms. </w:t>
      </w:r>
      <w:r w:rsidR="00950E06">
        <w:t xml:space="preserve">It </w:t>
      </w:r>
      <w:r w:rsidRPr="00427EE1">
        <w:t xml:space="preserve">will consider the efficiencies derived </w:t>
      </w:r>
      <w:r w:rsidR="003D0AFC" w:rsidRPr="00427EE1">
        <w:t xml:space="preserve">from establishing </w:t>
      </w:r>
      <w:r w:rsidRPr="00427EE1">
        <w:t xml:space="preserve">a modern </w:t>
      </w:r>
      <w:r w:rsidR="00DA2F1B" w:rsidRPr="00427EE1">
        <w:t xml:space="preserve">information technology </w:t>
      </w:r>
      <w:r w:rsidRPr="00427EE1">
        <w:t xml:space="preserve">platform to manage business information requirements </w:t>
      </w:r>
      <w:r w:rsidR="003D0AFC" w:rsidRPr="00427EE1">
        <w:t>and consideration of fees and charges relating to the registration and building practitioner conduct functions that have been transferred from the now</w:t>
      </w:r>
      <w:r w:rsidR="00950E06">
        <w:t>-</w:t>
      </w:r>
      <w:r w:rsidR="003D0AFC" w:rsidRPr="00427EE1">
        <w:t xml:space="preserve">abolished Building Practitioners Board. The </w:t>
      </w:r>
      <w:r w:rsidR="00195602">
        <w:t>department</w:t>
      </w:r>
      <w:r w:rsidR="003D0AFC" w:rsidRPr="00427EE1">
        <w:t xml:space="preserve"> will work with </w:t>
      </w:r>
      <w:r w:rsidR="00720C4E">
        <w:t>VBA</w:t>
      </w:r>
      <w:r w:rsidR="003D0AFC" w:rsidRPr="00427EE1">
        <w:t xml:space="preserve"> to ensure timely consideration of any necessary changes to </w:t>
      </w:r>
      <w:r w:rsidR="008911CB">
        <w:t>Regulations</w:t>
      </w:r>
      <w:r w:rsidR="003D0AFC" w:rsidRPr="00427EE1">
        <w:t>.</w:t>
      </w:r>
    </w:p>
    <w:p w:rsidR="00BE532A" w:rsidRDefault="00BE532A">
      <w:pPr>
        <w:spacing w:after="0"/>
        <w:rPr>
          <w:b/>
          <w:bCs/>
          <w:color w:val="201547" w:themeColor="accent3"/>
          <w:kern w:val="32"/>
          <w:sz w:val="40"/>
          <w:szCs w:val="32"/>
        </w:rPr>
      </w:pPr>
      <w:bookmarkStart w:id="161" w:name="_Toc476064162"/>
      <w:r>
        <w:br w:type="page"/>
      </w:r>
    </w:p>
    <w:p w:rsidR="00D615BC" w:rsidRPr="00427EE1" w:rsidRDefault="003448D2" w:rsidP="003448D2">
      <w:pPr>
        <w:pStyle w:val="Heading1"/>
      </w:pPr>
      <w:bookmarkStart w:id="162" w:name="_Toc481501589"/>
      <w:r>
        <w:lastRenderedPageBreak/>
        <w:t>4</w:t>
      </w:r>
      <w:r>
        <w:tab/>
      </w:r>
      <w:r w:rsidR="00DD1991" w:rsidRPr="00427EE1">
        <w:t>Evaluation</w:t>
      </w:r>
      <w:bookmarkEnd w:id="161"/>
      <w:bookmarkEnd w:id="162"/>
    </w:p>
    <w:p w:rsidR="00DD1991" w:rsidRPr="003448D2" w:rsidRDefault="00DD1991" w:rsidP="00AF771E">
      <w:pPr>
        <w:pStyle w:val="Normalpre-dotpoint"/>
        <w:rPr>
          <w:szCs w:val="20"/>
        </w:rPr>
      </w:pPr>
      <w:r w:rsidRPr="003448D2">
        <w:rPr>
          <w:szCs w:val="20"/>
        </w:rPr>
        <w:t>In accordance with the requirement</w:t>
      </w:r>
      <w:r w:rsidR="00950E06" w:rsidRPr="003448D2">
        <w:rPr>
          <w:szCs w:val="20"/>
        </w:rPr>
        <w:t xml:space="preserve">s of </w:t>
      </w:r>
      <w:r w:rsidRPr="003448D2">
        <w:rPr>
          <w:szCs w:val="20"/>
        </w:rPr>
        <w:t xml:space="preserve">the </w:t>
      </w:r>
      <w:r w:rsidR="00AC1A59" w:rsidRPr="003448D2">
        <w:rPr>
          <w:i/>
          <w:szCs w:val="20"/>
        </w:rPr>
        <w:t>Victorian Guide to Regulation</w:t>
      </w:r>
      <w:r w:rsidRPr="003448D2">
        <w:rPr>
          <w:szCs w:val="20"/>
        </w:rPr>
        <w:t>, a mid</w:t>
      </w:r>
      <w:r w:rsidR="007C5A88" w:rsidRPr="003448D2">
        <w:rPr>
          <w:szCs w:val="20"/>
        </w:rPr>
        <w:t>term</w:t>
      </w:r>
      <w:r w:rsidRPr="003448D2">
        <w:rPr>
          <w:szCs w:val="20"/>
        </w:rPr>
        <w:t xml:space="preserve"> evaluation of the </w:t>
      </w:r>
      <w:r w:rsidR="008911CB" w:rsidRPr="003448D2">
        <w:rPr>
          <w:szCs w:val="20"/>
        </w:rPr>
        <w:t>proposed Regulations</w:t>
      </w:r>
      <w:r w:rsidRPr="003448D2">
        <w:rPr>
          <w:szCs w:val="20"/>
        </w:rPr>
        <w:t xml:space="preserve"> </w:t>
      </w:r>
      <w:r w:rsidR="00950E06" w:rsidRPr="003448D2">
        <w:rPr>
          <w:szCs w:val="20"/>
        </w:rPr>
        <w:t>will aim to</w:t>
      </w:r>
      <w:r w:rsidRPr="003448D2">
        <w:rPr>
          <w:szCs w:val="20"/>
        </w:rPr>
        <w:t>:</w:t>
      </w:r>
    </w:p>
    <w:p w:rsidR="00DD1991" w:rsidRPr="003448D2" w:rsidRDefault="00DD1991" w:rsidP="00AF771E">
      <w:pPr>
        <w:pStyle w:val="Dotpoint"/>
        <w:rPr>
          <w:szCs w:val="20"/>
        </w:rPr>
      </w:pPr>
      <w:r w:rsidRPr="003448D2">
        <w:rPr>
          <w:szCs w:val="20"/>
        </w:rPr>
        <w:t xml:space="preserve">determine the extent to which the objectives of the </w:t>
      </w:r>
      <w:r w:rsidR="008911CB" w:rsidRPr="003448D2">
        <w:rPr>
          <w:szCs w:val="20"/>
        </w:rPr>
        <w:t>proposed Regulations</w:t>
      </w:r>
      <w:r w:rsidRPr="003448D2">
        <w:rPr>
          <w:szCs w:val="20"/>
        </w:rPr>
        <w:t xml:space="preserve"> have been achieved</w:t>
      </w:r>
    </w:p>
    <w:p w:rsidR="00DD1991" w:rsidRPr="003448D2" w:rsidRDefault="00DD1991" w:rsidP="00AF771E">
      <w:pPr>
        <w:pStyle w:val="Dotpointlast"/>
        <w:rPr>
          <w:szCs w:val="20"/>
        </w:rPr>
      </w:pPr>
      <w:r w:rsidRPr="003448D2">
        <w:rPr>
          <w:szCs w:val="20"/>
        </w:rPr>
        <w:t>identify changes that may be needed to better achieve those objectives or other objectives that emerge in the intervening period.</w:t>
      </w:r>
    </w:p>
    <w:p w:rsidR="00DD1991" w:rsidRPr="003448D2" w:rsidRDefault="00950E06" w:rsidP="00AF771E">
      <w:pPr>
        <w:rPr>
          <w:szCs w:val="20"/>
        </w:rPr>
      </w:pPr>
      <w:r w:rsidRPr="003448D2">
        <w:rPr>
          <w:szCs w:val="20"/>
        </w:rPr>
        <w:t>D</w:t>
      </w:r>
      <w:r w:rsidR="00DA2F1B" w:rsidRPr="003448D2">
        <w:rPr>
          <w:szCs w:val="20"/>
        </w:rPr>
        <w:t xml:space="preserve">uring </w:t>
      </w:r>
      <w:r w:rsidR="00DD1991" w:rsidRPr="003448D2">
        <w:rPr>
          <w:szCs w:val="20"/>
        </w:rPr>
        <w:t xml:space="preserve">the </w:t>
      </w:r>
      <w:r w:rsidR="00DA2F1B" w:rsidRPr="003448D2">
        <w:rPr>
          <w:szCs w:val="20"/>
        </w:rPr>
        <w:t xml:space="preserve">first </w:t>
      </w:r>
      <w:r w:rsidRPr="003448D2">
        <w:rPr>
          <w:szCs w:val="20"/>
        </w:rPr>
        <w:t xml:space="preserve">three </w:t>
      </w:r>
      <w:r w:rsidR="00DD1991" w:rsidRPr="003448D2">
        <w:rPr>
          <w:szCs w:val="20"/>
        </w:rPr>
        <w:t xml:space="preserve">years of the </w:t>
      </w:r>
      <w:r w:rsidR="008911CB" w:rsidRPr="003448D2">
        <w:rPr>
          <w:szCs w:val="20"/>
        </w:rPr>
        <w:t>proposed Regulations</w:t>
      </w:r>
      <w:r w:rsidR="00DD1991" w:rsidRPr="003448D2">
        <w:rPr>
          <w:szCs w:val="20"/>
        </w:rPr>
        <w:t xml:space="preserve"> (2017–19)</w:t>
      </w:r>
      <w:r w:rsidRPr="003448D2">
        <w:rPr>
          <w:szCs w:val="20"/>
        </w:rPr>
        <w:t>,</w:t>
      </w:r>
      <w:r w:rsidR="00DD1991" w:rsidRPr="003448D2">
        <w:rPr>
          <w:szCs w:val="20"/>
        </w:rPr>
        <w:t xml:space="preserve"> the </w:t>
      </w:r>
      <w:r w:rsidR="00195602" w:rsidRPr="003448D2">
        <w:rPr>
          <w:szCs w:val="20"/>
        </w:rPr>
        <w:t>department</w:t>
      </w:r>
      <w:r w:rsidR="00DD1991" w:rsidRPr="003448D2">
        <w:rPr>
          <w:szCs w:val="20"/>
        </w:rPr>
        <w:t xml:space="preserve"> will monitor </w:t>
      </w:r>
      <w:r w:rsidRPr="003448D2">
        <w:rPr>
          <w:szCs w:val="20"/>
        </w:rPr>
        <w:t xml:space="preserve">their </w:t>
      </w:r>
      <w:r w:rsidR="00DD1991" w:rsidRPr="003448D2">
        <w:rPr>
          <w:szCs w:val="20"/>
        </w:rPr>
        <w:t>implementation</w:t>
      </w:r>
      <w:r w:rsidR="00DA2F1B" w:rsidRPr="003448D2">
        <w:rPr>
          <w:szCs w:val="20"/>
        </w:rPr>
        <w:t xml:space="preserve">. This will </w:t>
      </w:r>
      <w:r w:rsidRPr="003448D2">
        <w:rPr>
          <w:szCs w:val="20"/>
        </w:rPr>
        <w:t xml:space="preserve">start </w:t>
      </w:r>
      <w:r w:rsidR="00DD1991" w:rsidRPr="003448D2">
        <w:rPr>
          <w:szCs w:val="20"/>
        </w:rPr>
        <w:t xml:space="preserve">with an evidence identification and collection process that will establish a </w:t>
      </w:r>
      <w:r w:rsidR="00DA2F1B" w:rsidRPr="003448D2">
        <w:rPr>
          <w:szCs w:val="20"/>
        </w:rPr>
        <w:t xml:space="preserve">baseline </w:t>
      </w:r>
      <w:r w:rsidR="00DD1991" w:rsidRPr="003448D2">
        <w:rPr>
          <w:szCs w:val="20"/>
        </w:rPr>
        <w:t>data</w:t>
      </w:r>
      <w:r w:rsidR="00D90FC3" w:rsidRPr="003448D2">
        <w:rPr>
          <w:szCs w:val="20"/>
        </w:rPr>
        <w:t>set</w:t>
      </w:r>
      <w:r w:rsidR="00DD1991" w:rsidRPr="003448D2">
        <w:rPr>
          <w:szCs w:val="20"/>
        </w:rPr>
        <w:t xml:space="preserve"> to build a more robust evidence base and inform any future regulatory changes. Regular and improved evidence collection will assist in early identification of emerging issues that require a </w:t>
      </w:r>
      <w:r w:rsidR="00DA2F1B" w:rsidRPr="003448D2">
        <w:rPr>
          <w:szCs w:val="20"/>
        </w:rPr>
        <w:t xml:space="preserve">regulatory </w:t>
      </w:r>
      <w:r w:rsidR="00DD1991" w:rsidRPr="003448D2">
        <w:rPr>
          <w:szCs w:val="20"/>
        </w:rPr>
        <w:t xml:space="preserve">response </w:t>
      </w:r>
      <w:r w:rsidR="00D90FC3" w:rsidRPr="003448D2">
        <w:rPr>
          <w:szCs w:val="20"/>
        </w:rPr>
        <w:t>before</w:t>
      </w:r>
      <w:r w:rsidR="00DD1991" w:rsidRPr="003448D2">
        <w:rPr>
          <w:szCs w:val="20"/>
        </w:rPr>
        <w:t xml:space="preserve"> the mid</w:t>
      </w:r>
      <w:r w:rsidR="007C5A88" w:rsidRPr="003448D2">
        <w:rPr>
          <w:szCs w:val="20"/>
        </w:rPr>
        <w:t>term</w:t>
      </w:r>
      <w:r w:rsidR="00DD1991" w:rsidRPr="003448D2">
        <w:rPr>
          <w:szCs w:val="20"/>
        </w:rPr>
        <w:t xml:space="preserve"> evaluation.</w:t>
      </w:r>
    </w:p>
    <w:p w:rsidR="00D615BC" w:rsidRPr="003448D2" w:rsidRDefault="00DD1991" w:rsidP="00AF771E">
      <w:pPr>
        <w:rPr>
          <w:szCs w:val="20"/>
        </w:rPr>
      </w:pPr>
      <w:r w:rsidRPr="003448D2">
        <w:rPr>
          <w:szCs w:val="20"/>
        </w:rPr>
        <w:t>The p</w:t>
      </w:r>
      <w:r w:rsidRPr="003448D2" w:rsidDel="00CB14CB">
        <w:rPr>
          <w:szCs w:val="20"/>
        </w:rPr>
        <w:t>rimary</w:t>
      </w:r>
      <w:r w:rsidRPr="003448D2">
        <w:rPr>
          <w:szCs w:val="20"/>
        </w:rPr>
        <w:t xml:space="preserve"> function of the mid</w:t>
      </w:r>
      <w:r w:rsidR="007C5A88" w:rsidRPr="003448D2">
        <w:rPr>
          <w:szCs w:val="20"/>
        </w:rPr>
        <w:t>term</w:t>
      </w:r>
      <w:r w:rsidRPr="003448D2">
        <w:rPr>
          <w:szCs w:val="20"/>
        </w:rPr>
        <w:t xml:space="preserve"> </w:t>
      </w:r>
      <w:r w:rsidRPr="003448D2" w:rsidDel="00CB14CB">
        <w:rPr>
          <w:szCs w:val="20"/>
        </w:rPr>
        <w:t xml:space="preserve">evaluation </w:t>
      </w:r>
      <w:r w:rsidRPr="003448D2">
        <w:rPr>
          <w:szCs w:val="20"/>
        </w:rPr>
        <w:t>is to</w:t>
      </w:r>
      <w:r w:rsidRPr="003448D2" w:rsidDel="00CB14CB">
        <w:rPr>
          <w:szCs w:val="20"/>
        </w:rPr>
        <w:t xml:space="preserve"> </w:t>
      </w:r>
      <w:r w:rsidR="00950E06" w:rsidRPr="003448D2">
        <w:rPr>
          <w:szCs w:val="20"/>
        </w:rPr>
        <w:t xml:space="preserve">see if </w:t>
      </w:r>
      <w:r w:rsidRPr="003448D2" w:rsidDel="00CB14CB">
        <w:rPr>
          <w:szCs w:val="20"/>
        </w:rPr>
        <w:t xml:space="preserve">the </w:t>
      </w:r>
      <w:r w:rsidR="008911CB" w:rsidRPr="003448D2">
        <w:rPr>
          <w:szCs w:val="20"/>
        </w:rPr>
        <w:t>proposed Regulations</w:t>
      </w:r>
      <w:r w:rsidR="00DA2F1B" w:rsidRPr="003448D2">
        <w:rPr>
          <w:szCs w:val="20"/>
        </w:rPr>
        <w:t xml:space="preserve"> </w:t>
      </w:r>
      <w:r w:rsidRPr="003448D2">
        <w:rPr>
          <w:szCs w:val="20"/>
        </w:rPr>
        <w:t xml:space="preserve">are </w:t>
      </w:r>
      <w:r w:rsidRPr="003448D2" w:rsidDel="00CB14CB">
        <w:rPr>
          <w:szCs w:val="20"/>
        </w:rPr>
        <w:t xml:space="preserve">delivering </w:t>
      </w:r>
      <w:r w:rsidR="00950E06" w:rsidRPr="003448D2">
        <w:rPr>
          <w:szCs w:val="20"/>
        </w:rPr>
        <w:t xml:space="preserve">better </w:t>
      </w:r>
      <w:r w:rsidRPr="003448D2" w:rsidDel="00CB14CB">
        <w:rPr>
          <w:szCs w:val="20"/>
        </w:rPr>
        <w:t>outcomes than th</w:t>
      </w:r>
      <w:r w:rsidRPr="003448D2">
        <w:rPr>
          <w:szCs w:val="20"/>
        </w:rPr>
        <w:t xml:space="preserve">ose </w:t>
      </w:r>
      <w:r w:rsidR="00950E06" w:rsidRPr="003448D2">
        <w:rPr>
          <w:szCs w:val="20"/>
        </w:rPr>
        <w:t xml:space="preserve">now being </w:t>
      </w:r>
      <w:r w:rsidRPr="003448D2">
        <w:rPr>
          <w:szCs w:val="20"/>
        </w:rPr>
        <w:t xml:space="preserve">delivered by the </w:t>
      </w:r>
      <w:r w:rsidR="008911CB" w:rsidRPr="003448D2">
        <w:rPr>
          <w:szCs w:val="20"/>
        </w:rPr>
        <w:t>current Regulations</w:t>
      </w:r>
      <w:r w:rsidRPr="003448D2" w:rsidDel="00CB14CB">
        <w:rPr>
          <w:szCs w:val="20"/>
        </w:rPr>
        <w:t>.</w:t>
      </w:r>
    </w:p>
    <w:p w:rsidR="00DD1991" w:rsidRPr="00323374" w:rsidRDefault="00DD1991" w:rsidP="00AF771E">
      <w:pPr>
        <w:pStyle w:val="Normalpre-dotpoint"/>
        <w:rPr>
          <w:szCs w:val="20"/>
        </w:rPr>
      </w:pPr>
      <w:r w:rsidRPr="00323374">
        <w:rPr>
          <w:szCs w:val="20"/>
        </w:rPr>
        <w:t xml:space="preserve">The evaluation will take account of factors that may affect building system outcomes other than the </w:t>
      </w:r>
      <w:r w:rsidR="008911CB" w:rsidRPr="00323374">
        <w:rPr>
          <w:szCs w:val="20"/>
        </w:rPr>
        <w:t>Regulations</w:t>
      </w:r>
      <w:r w:rsidR="00950E06" w:rsidRPr="00323374">
        <w:rPr>
          <w:szCs w:val="20"/>
        </w:rPr>
        <w:t xml:space="preserve"> (</w:t>
      </w:r>
      <w:r w:rsidRPr="00323374">
        <w:rPr>
          <w:szCs w:val="20"/>
        </w:rPr>
        <w:t>such as the effect of broader legislative reforms and changes in the economic environment</w:t>
      </w:r>
      <w:r w:rsidR="00950E06" w:rsidRPr="00323374">
        <w:rPr>
          <w:szCs w:val="20"/>
        </w:rPr>
        <w:t>)</w:t>
      </w:r>
      <w:r w:rsidRPr="00323374">
        <w:rPr>
          <w:szCs w:val="20"/>
        </w:rPr>
        <w:t xml:space="preserve">, acknowledging that the </w:t>
      </w:r>
      <w:r w:rsidR="008911CB" w:rsidRPr="00323374">
        <w:rPr>
          <w:szCs w:val="20"/>
        </w:rPr>
        <w:t>proposed Regulations</w:t>
      </w:r>
      <w:r w:rsidRPr="00323374">
        <w:rPr>
          <w:szCs w:val="20"/>
        </w:rPr>
        <w:t xml:space="preserve"> </w:t>
      </w:r>
      <w:r w:rsidR="00950E06" w:rsidRPr="00323374">
        <w:rPr>
          <w:szCs w:val="20"/>
        </w:rPr>
        <w:t xml:space="preserve">are </w:t>
      </w:r>
      <w:r w:rsidRPr="00323374">
        <w:rPr>
          <w:szCs w:val="20"/>
        </w:rPr>
        <w:t>only one component of the regulatory framework in which the industry operates.</w:t>
      </w:r>
      <w:r w:rsidR="00D71A15" w:rsidRPr="00323374">
        <w:rPr>
          <w:szCs w:val="20"/>
        </w:rPr>
        <w:t xml:space="preserve"> </w:t>
      </w:r>
      <w:r w:rsidRPr="00323374">
        <w:rPr>
          <w:szCs w:val="20"/>
        </w:rPr>
        <w:t xml:space="preserve">To </w:t>
      </w:r>
      <w:r w:rsidR="00950E06" w:rsidRPr="00323374">
        <w:rPr>
          <w:szCs w:val="20"/>
        </w:rPr>
        <w:t xml:space="preserve">better </w:t>
      </w:r>
      <w:r w:rsidRPr="00323374">
        <w:rPr>
          <w:szCs w:val="20"/>
        </w:rPr>
        <w:t xml:space="preserve">understand these factors </w:t>
      </w:r>
      <w:r w:rsidR="00950E06" w:rsidRPr="00323374">
        <w:rPr>
          <w:szCs w:val="20"/>
        </w:rPr>
        <w:t>(</w:t>
      </w:r>
      <w:r w:rsidRPr="00323374">
        <w:rPr>
          <w:szCs w:val="20"/>
        </w:rPr>
        <w:t xml:space="preserve">that are </w:t>
      </w:r>
      <w:r w:rsidR="00950E06" w:rsidRPr="00323374">
        <w:rPr>
          <w:szCs w:val="20"/>
        </w:rPr>
        <w:t xml:space="preserve">important </w:t>
      </w:r>
      <w:r w:rsidRPr="00323374">
        <w:rPr>
          <w:szCs w:val="20"/>
        </w:rPr>
        <w:t>to the overall evaluation</w:t>
      </w:r>
      <w:r w:rsidR="00950E06" w:rsidRPr="00323374">
        <w:rPr>
          <w:szCs w:val="20"/>
        </w:rPr>
        <w:t>)</w:t>
      </w:r>
      <w:r w:rsidRPr="00323374">
        <w:rPr>
          <w:szCs w:val="20"/>
        </w:rPr>
        <w:t>, the approach in the mid</w:t>
      </w:r>
      <w:r w:rsidR="00950E06" w:rsidRPr="00323374">
        <w:rPr>
          <w:szCs w:val="20"/>
        </w:rPr>
        <w:t>term</w:t>
      </w:r>
      <w:r w:rsidRPr="00323374">
        <w:rPr>
          <w:szCs w:val="20"/>
        </w:rPr>
        <w:t xml:space="preserve"> evaluation will </w:t>
      </w:r>
      <w:r w:rsidR="00950E06" w:rsidRPr="00323374">
        <w:rPr>
          <w:szCs w:val="20"/>
        </w:rPr>
        <w:t>aim to</w:t>
      </w:r>
      <w:r w:rsidRPr="00323374">
        <w:rPr>
          <w:szCs w:val="20"/>
        </w:rPr>
        <w:t>:</w:t>
      </w:r>
    </w:p>
    <w:p w:rsidR="00DD1991" w:rsidRPr="00323374" w:rsidRDefault="00DD1991" w:rsidP="00AF771E">
      <w:pPr>
        <w:pStyle w:val="Dotpoint"/>
        <w:rPr>
          <w:szCs w:val="20"/>
        </w:rPr>
      </w:pPr>
      <w:r w:rsidRPr="00323374">
        <w:rPr>
          <w:szCs w:val="20"/>
        </w:rPr>
        <w:t>enabl</w:t>
      </w:r>
      <w:r w:rsidR="00950E06" w:rsidRPr="00323374">
        <w:rPr>
          <w:szCs w:val="20"/>
        </w:rPr>
        <w:t>e</w:t>
      </w:r>
      <w:r w:rsidRPr="00323374">
        <w:rPr>
          <w:szCs w:val="20"/>
        </w:rPr>
        <w:t xml:space="preserve"> stakeholders to comment on the effective working of the </w:t>
      </w:r>
      <w:r w:rsidR="008911CB" w:rsidRPr="00323374">
        <w:rPr>
          <w:szCs w:val="20"/>
        </w:rPr>
        <w:t>Regulations</w:t>
      </w:r>
      <w:r w:rsidRPr="00323374">
        <w:rPr>
          <w:szCs w:val="20"/>
        </w:rPr>
        <w:t xml:space="preserve"> and raise any issues relating to the practical implementation of new </w:t>
      </w:r>
      <w:r w:rsidR="008911CB" w:rsidRPr="00323374">
        <w:rPr>
          <w:szCs w:val="20"/>
        </w:rPr>
        <w:t>Regulations</w:t>
      </w:r>
      <w:r w:rsidRPr="00323374">
        <w:rPr>
          <w:szCs w:val="20"/>
        </w:rPr>
        <w:t xml:space="preserve"> or to identify aspects that require further investigation</w:t>
      </w:r>
      <w:r w:rsidR="00950E06" w:rsidRPr="00323374">
        <w:rPr>
          <w:szCs w:val="20"/>
        </w:rPr>
        <w:t>; t</w:t>
      </w:r>
      <w:r w:rsidRPr="00323374">
        <w:rPr>
          <w:szCs w:val="20"/>
        </w:rPr>
        <w:t>he evidence</w:t>
      </w:r>
      <w:r w:rsidR="00950E06" w:rsidRPr="00323374">
        <w:rPr>
          <w:szCs w:val="20"/>
        </w:rPr>
        <w:t>-</w:t>
      </w:r>
      <w:r w:rsidRPr="00323374">
        <w:rPr>
          <w:szCs w:val="20"/>
        </w:rPr>
        <w:t>collection process will be a critical component in providing a more</w:t>
      </w:r>
      <w:r w:rsidR="00950E06" w:rsidRPr="00323374">
        <w:rPr>
          <w:szCs w:val="20"/>
        </w:rPr>
        <w:t>-</w:t>
      </w:r>
      <w:r w:rsidRPr="00323374">
        <w:rPr>
          <w:szCs w:val="20"/>
        </w:rPr>
        <w:t xml:space="preserve">rigorous evidence base to support any future regulatory change </w:t>
      </w:r>
    </w:p>
    <w:p w:rsidR="00D615BC" w:rsidRPr="00323374" w:rsidRDefault="00DD1991" w:rsidP="00AF771E">
      <w:pPr>
        <w:pStyle w:val="Dotpointlast"/>
        <w:rPr>
          <w:szCs w:val="20"/>
        </w:rPr>
      </w:pPr>
      <w:r w:rsidRPr="00323374">
        <w:rPr>
          <w:szCs w:val="20"/>
        </w:rPr>
        <w:t xml:space="preserve">assess the impact of legislative reforms in the </w:t>
      </w:r>
      <w:r w:rsidR="00AC1A59" w:rsidRPr="00323374">
        <w:rPr>
          <w:i/>
          <w:szCs w:val="20"/>
        </w:rPr>
        <w:t>Building Legislation (Building Enforcement and Other Measures) Bill 2016</w:t>
      </w:r>
      <w:r w:rsidR="00950E06" w:rsidRPr="00323374">
        <w:rPr>
          <w:szCs w:val="20"/>
        </w:rPr>
        <w:t>,</w:t>
      </w:r>
      <w:r w:rsidR="00E5237C" w:rsidRPr="00323374">
        <w:rPr>
          <w:szCs w:val="20"/>
        </w:rPr>
        <w:t xml:space="preserve"> to</w:t>
      </w:r>
      <w:r w:rsidRPr="00323374">
        <w:rPr>
          <w:szCs w:val="20"/>
        </w:rPr>
        <w:t xml:space="preserve"> determine whether further amendment is required to the </w:t>
      </w:r>
      <w:r w:rsidR="008911CB" w:rsidRPr="00323374">
        <w:rPr>
          <w:szCs w:val="20"/>
        </w:rPr>
        <w:t>Regulations</w:t>
      </w:r>
      <w:r w:rsidRPr="00323374">
        <w:rPr>
          <w:szCs w:val="20"/>
        </w:rPr>
        <w:t xml:space="preserve"> to respond to new legislative provisions.</w:t>
      </w:r>
    </w:p>
    <w:p w:rsidR="00DD1991" w:rsidRPr="00323374" w:rsidRDefault="00DE6971" w:rsidP="00AF771E">
      <w:pPr>
        <w:rPr>
          <w:szCs w:val="20"/>
        </w:rPr>
      </w:pPr>
      <w:r>
        <w:fldChar w:fldCharType="begin"/>
      </w:r>
      <w:r>
        <w:instrText xml:space="preserve"> REF _Ref475979881 \h  \* MERGEFORMAT </w:instrText>
      </w:r>
      <w:r>
        <w:fldChar w:fldCharType="separate"/>
      </w:r>
      <w:r w:rsidR="00B30389" w:rsidRPr="00B30389">
        <w:rPr>
          <w:b/>
          <w:color w:val="00B2A9" w:themeColor="accent1"/>
          <w:szCs w:val="20"/>
        </w:rPr>
        <w:t>Table 10</w:t>
      </w:r>
      <w:r>
        <w:fldChar w:fldCharType="end"/>
      </w:r>
      <w:r w:rsidR="00F333F7" w:rsidRPr="00323374">
        <w:rPr>
          <w:szCs w:val="20"/>
        </w:rPr>
        <w:t xml:space="preserve"> </w:t>
      </w:r>
      <w:r w:rsidR="00DD1991" w:rsidRPr="00323374">
        <w:rPr>
          <w:szCs w:val="20"/>
        </w:rPr>
        <w:t>sets out the proposed issues of interest for the mid</w:t>
      </w:r>
      <w:r w:rsidR="007C5A88" w:rsidRPr="00323374">
        <w:rPr>
          <w:szCs w:val="20"/>
        </w:rPr>
        <w:t>term</w:t>
      </w:r>
      <w:r w:rsidR="00DD1991" w:rsidRPr="00323374">
        <w:rPr>
          <w:szCs w:val="20"/>
        </w:rPr>
        <w:t xml:space="preserve"> evaluation.</w:t>
      </w:r>
      <w:r w:rsidR="004C2AE8" w:rsidRPr="00323374">
        <w:rPr>
          <w:szCs w:val="20"/>
        </w:rPr>
        <w:t xml:space="preserve"> </w:t>
      </w:r>
    </w:p>
    <w:p w:rsidR="00DD1991" w:rsidRPr="00427EE1" w:rsidRDefault="00DD1991" w:rsidP="00427EE1">
      <w:pPr>
        <w:pStyle w:val="Caption"/>
      </w:pPr>
      <w:bookmarkStart w:id="163" w:name="_Ref475979881"/>
      <w:bookmarkStart w:id="164" w:name="_Ref475979859"/>
      <w:bookmarkStart w:id="165" w:name="_Toc481499869"/>
      <w:r w:rsidRPr="00427EE1">
        <w:t xml:space="preserve">Table </w:t>
      </w:r>
      <w:r w:rsidR="00AC1A59" w:rsidRPr="00427EE1">
        <w:fldChar w:fldCharType="begin"/>
      </w:r>
      <w:r w:rsidRPr="00427EE1">
        <w:instrText xml:space="preserve"> SEQ Table \* ARABIC </w:instrText>
      </w:r>
      <w:r w:rsidR="00AC1A59" w:rsidRPr="00427EE1">
        <w:fldChar w:fldCharType="separate"/>
      </w:r>
      <w:r w:rsidR="00B30389">
        <w:rPr>
          <w:noProof/>
        </w:rPr>
        <w:t>10</w:t>
      </w:r>
      <w:r w:rsidR="00AC1A59" w:rsidRPr="00427EE1">
        <w:fldChar w:fldCharType="end"/>
      </w:r>
      <w:bookmarkEnd w:id="163"/>
      <w:r w:rsidRPr="00427EE1">
        <w:t xml:space="preserve">: Overview of issues </w:t>
      </w:r>
      <w:r w:rsidR="00950E06">
        <w:t xml:space="preserve">and objectives </w:t>
      </w:r>
      <w:r w:rsidRPr="00427EE1">
        <w:t>for the mid</w:t>
      </w:r>
      <w:r w:rsidR="007C5A88">
        <w:t>term</w:t>
      </w:r>
      <w:r w:rsidRPr="00427EE1">
        <w:t xml:space="preserve"> evaluation</w:t>
      </w:r>
      <w:bookmarkEnd w:id="164"/>
      <w:bookmarkEnd w:id="165"/>
    </w:p>
    <w:tbl>
      <w:tblPr>
        <w:tblStyle w:val="Tables-APBase"/>
        <w:tblW w:w="8590"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3609"/>
        <w:gridCol w:w="4981"/>
      </w:tblGrid>
      <w:tr w:rsidR="00DD1991" w:rsidRPr="00323374" w:rsidTr="006768D4">
        <w:trPr>
          <w:cnfStyle w:val="100000000000" w:firstRow="1" w:lastRow="0" w:firstColumn="0" w:lastColumn="0" w:oddVBand="0" w:evenVBand="0" w:oddHBand="0" w:evenHBand="0" w:firstRowFirstColumn="0" w:firstRowLastColumn="0" w:lastRowFirstColumn="0" w:lastRowLastColumn="0"/>
          <w:trHeight w:val="423"/>
        </w:trPr>
        <w:tc>
          <w:tcPr>
            <w:cnfStyle w:val="000000000100" w:firstRow="0" w:lastRow="0" w:firstColumn="0" w:lastColumn="0" w:oddVBand="0" w:evenVBand="0" w:oddHBand="0" w:evenHBand="0" w:firstRowFirstColumn="1" w:firstRowLastColumn="0" w:lastRowFirstColumn="0" w:lastRowLastColumn="0"/>
            <w:tcW w:w="3609" w:type="dxa"/>
            <w:tcBorders>
              <w:top w:val="none" w:sz="0" w:space="0" w:color="auto"/>
              <w:bottom w:val="none" w:sz="0" w:space="0" w:color="auto"/>
            </w:tcBorders>
            <w:shd w:val="clear" w:color="auto" w:fill="00B2A9" w:themeFill="accent1"/>
          </w:tcPr>
          <w:p w:rsidR="00DD1991" w:rsidRPr="00323374" w:rsidRDefault="00DD1991" w:rsidP="0080262C">
            <w:pPr>
              <w:pStyle w:val="Tablecolumnhead"/>
              <w:rPr>
                <w:sz w:val="18"/>
                <w:szCs w:val="18"/>
              </w:rPr>
            </w:pPr>
            <w:r w:rsidRPr="00323374">
              <w:rPr>
                <w:sz w:val="18"/>
                <w:szCs w:val="18"/>
              </w:rPr>
              <w:t>Issues being addressed by proposed Regulations</w:t>
            </w:r>
          </w:p>
        </w:tc>
        <w:tc>
          <w:tcPr>
            <w:tcW w:w="4981" w:type="dxa"/>
            <w:tcBorders>
              <w:top w:val="none" w:sz="0" w:space="0" w:color="auto"/>
              <w:bottom w:val="none" w:sz="0" w:space="0" w:color="auto"/>
            </w:tcBorders>
            <w:shd w:val="clear" w:color="auto" w:fill="00B2A9" w:themeFill="accent1"/>
          </w:tcPr>
          <w:p w:rsidR="00DD1991" w:rsidRPr="00323374" w:rsidRDefault="00DD1991" w:rsidP="0080262C">
            <w:pPr>
              <w:pStyle w:val="Tablecolumnhead"/>
              <w:jc w:val="left"/>
              <w:cnfStyle w:val="100000000000" w:firstRow="1" w:lastRow="0" w:firstColumn="0" w:lastColumn="0" w:oddVBand="0" w:evenVBand="0" w:oddHBand="0" w:evenHBand="0" w:firstRowFirstColumn="0" w:firstRowLastColumn="0" w:lastRowFirstColumn="0" w:lastRowLastColumn="0"/>
              <w:rPr>
                <w:sz w:val="18"/>
                <w:szCs w:val="18"/>
              </w:rPr>
            </w:pPr>
            <w:r w:rsidRPr="00323374">
              <w:rPr>
                <w:sz w:val="18"/>
                <w:szCs w:val="18"/>
              </w:rPr>
              <w:t>Objectives of</w:t>
            </w:r>
            <w:r w:rsidR="00D71A15" w:rsidRPr="00323374">
              <w:rPr>
                <w:sz w:val="18"/>
                <w:szCs w:val="18"/>
              </w:rPr>
              <w:t xml:space="preserve"> </w:t>
            </w:r>
            <w:r w:rsidRPr="00323374">
              <w:rPr>
                <w:sz w:val="18"/>
                <w:szCs w:val="18"/>
              </w:rPr>
              <w:t>proposed Regulations</w:t>
            </w:r>
            <w:r w:rsidR="00D71A15" w:rsidRPr="00323374">
              <w:rPr>
                <w:sz w:val="18"/>
                <w:szCs w:val="18"/>
              </w:rPr>
              <w:t xml:space="preserve"> </w:t>
            </w:r>
            <w:r w:rsidRPr="00323374">
              <w:rPr>
                <w:sz w:val="18"/>
                <w:szCs w:val="18"/>
              </w:rPr>
              <w:t>to be tested in the mid</w:t>
            </w:r>
            <w:r w:rsidR="007C5A88" w:rsidRPr="00323374">
              <w:rPr>
                <w:sz w:val="18"/>
                <w:szCs w:val="18"/>
              </w:rPr>
              <w:t>term</w:t>
            </w:r>
            <w:r w:rsidRPr="00323374">
              <w:rPr>
                <w:sz w:val="18"/>
                <w:szCs w:val="18"/>
              </w:rPr>
              <w:t xml:space="preserve"> evaluation</w:t>
            </w:r>
          </w:p>
        </w:tc>
      </w:tr>
      <w:tr w:rsidR="00DD1991" w:rsidRPr="00323374" w:rsidTr="006768D4">
        <w:trPr>
          <w:trHeight w:val="539"/>
        </w:trPr>
        <w:tc>
          <w:tcPr>
            <w:tcW w:w="3609" w:type="dxa"/>
          </w:tcPr>
          <w:p w:rsidR="00DD1991" w:rsidRPr="00323374" w:rsidRDefault="00DD1991" w:rsidP="00950E06">
            <w:pPr>
              <w:pStyle w:val="Tabletext"/>
              <w:rPr>
                <w:rFonts w:cstheme="minorHAnsi"/>
                <w:sz w:val="18"/>
                <w:szCs w:val="18"/>
                <w:lang w:val="en-AU"/>
              </w:rPr>
            </w:pPr>
            <w:r w:rsidRPr="00323374">
              <w:rPr>
                <w:sz w:val="18"/>
                <w:szCs w:val="18"/>
                <w:lang w:val="en-AU"/>
              </w:rPr>
              <w:t>The significant information asymmetry that exists between the building industry (including consumers)</w:t>
            </w:r>
            <w:r w:rsidR="00950E06" w:rsidRPr="00323374">
              <w:rPr>
                <w:sz w:val="18"/>
                <w:szCs w:val="18"/>
                <w:lang w:val="en-AU"/>
              </w:rPr>
              <w:t>;</w:t>
            </w:r>
            <w:r w:rsidRPr="00323374">
              <w:rPr>
                <w:sz w:val="18"/>
                <w:szCs w:val="18"/>
                <w:lang w:val="en-AU"/>
              </w:rPr>
              <w:t xml:space="preserve"> building owners</w:t>
            </w:r>
            <w:r w:rsidR="00950E06" w:rsidRPr="00323374">
              <w:rPr>
                <w:sz w:val="18"/>
                <w:szCs w:val="18"/>
                <w:lang w:val="en-AU"/>
              </w:rPr>
              <w:t>;</w:t>
            </w:r>
            <w:r w:rsidRPr="00323374">
              <w:rPr>
                <w:sz w:val="18"/>
                <w:szCs w:val="18"/>
                <w:lang w:val="en-AU"/>
              </w:rPr>
              <w:t xml:space="preserve"> people who live, work in and use buildings</w:t>
            </w:r>
            <w:r w:rsidR="00950E06" w:rsidRPr="00323374">
              <w:rPr>
                <w:sz w:val="18"/>
                <w:szCs w:val="18"/>
                <w:lang w:val="en-AU"/>
              </w:rPr>
              <w:t>;</w:t>
            </w:r>
            <w:r w:rsidRPr="00323374">
              <w:rPr>
                <w:sz w:val="18"/>
                <w:szCs w:val="18"/>
                <w:lang w:val="en-AU"/>
              </w:rPr>
              <w:t xml:space="preserve"> and regulators.</w:t>
            </w:r>
          </w:p>
        </w:tc>
        <w:tc>
          <w:tcPr>
            <w:tcW w:w="4981" w:type="dxa"/>
          </w:tcPr>
          <w:p w:rsidR="00E657D7" w:rsidRPr="00323374" w:rsidRDefault="00DD1991">
            <w:pPr>
              <w:pStyle w:val="Tabletext"/>
              <w:rPr>
                <w:rFonts w:eastAsiaTheme="majorEastAsia" w:cs="Arial"/>
                <w:b/>
                <w:bCs/>
                <w:kern w:val="32"/>
                <w:sz w:val="18"/>
                <w:szCs w:val="18"/>
              </w:rPr>
            </w:pPr>
            <w:r w:rsidRPr="00323374">
              <w:rPr>
                <w:sz w:val="18"/>
                <w:szCs w:val="18"/>
              </w:rPr>
              <w:t xml:space="preserve">Reducing complaints and disputes about building practitioners, defective and/or </w:t>
            </w:r>
            <w:r w:rsidR="0023395A" w:rsidRPr="00323374">
              <w:rPr>
                <w:sz w:val="18"/>
                <w:szCs w:val="18"/>
              </w:rPr>
              <w:t>non</w:t>
            </w:r>
            <w:r w:rsidRPr="00323374">
              <w:rPr>
                <w:sz w:val="18"/>
                <w:szCs w:val="18"/>
              </w:rPr>
              <w:t>compliant building work and buildings</w:t>
            </w:r>
          </w:p>
        </w:tc>
      </w:tr>
      <w:tr w:rsidR="00DD1991" w:rsidRPr="00323374" w:rsidTr="006768D4">
        <w:trPr>
          <w:trHeight w:val="538"/>
        </w:trPr>
        <w:tc>
          <w:tcPr>
            <w:tcW w:w="3609" w:type="dxa"/>
          </w:tcPr>
          <w:p w:rsidR="00DD1991" w:rsidRPr="00323374" w:rsidRDefault="00DD1991" w:rsidP="0080262C">
            <w:pPr>
              <w:pStyle w:val="Tabletext"/>
              <w:rPr>
                <w:rFonts w:cstheme="minorHAnsi"/>
                <w:sz w:val="18"/>
                <w:szCs w:val="18"/>
                <w:lang w:val="en-AU"/>
              </w:rPr>
            </w:pPr>
            <w:r w:rsidRPr="00323374">
              <w:rPr>
                <w:sz w:val="18"/>
                <w:szCs w:val="18"/>
                <w:lang w:val="en-AU"/>
              </w:rPr>
              <w:t>The long</w:t>
            </w:r>
            <w:r w:rsidR="007C5A88" w:rsidRPr="00323374">
              <w:rPr>
                <w:sz w:val="18"/>
                <w:szCs w:val="18"/>
                <w:lang w:val="en-AU"/>
              </w:rPr>
              <w:t>-</w:t>
            </w:r>
            <w:r w:rsidRPr="00323374">
              <w:rPr>
                <w:sz w:val="18"/>
                <w:szCs w:val="18"/>
                <w:lang w:val="en-AU"/>
              </w:rPr>
              <w:t>term risk to the health and safety of building occupants that arises when building owners or building practitioners are motivated to reduce costs in the short term</w:t>
            </w:r>
          </w:p>
        </w:tc>
        <w:tc>
          <w:tcPr>
            <w:tcW w:w="4981" w:type="dxa"/>
          </w:tcPr>
          <w:p w:rsidR="00E657D7" w:rsidRPr="00323374" w:rsidRDefault="00DD1991">
            <w:pPr>
              <w:pStyle w:val="Tabletext"/>
              <w:rPr>
                <w:rFonts w:eastAsiaTheme="majorEastAsia" w:cs="Arial"/>
                <w:b/>
                <w:bCs/>
                <w:kern w:val="32"/>
                <w:sz w:val="18"/>
                <w:szCs w:val="18"/>
              </w:rPr>
            </w:pPr>
            <w:r w:rsidRPr="00323374">
              <w:rPr>
                <w:sz w:val="18"/>
                <w:szCs w:val="18"/>
              </w:rPr>
              <w:t xml:space="preserve">Reducing the amount of building work found to be </w:t>
            </w:r>
            <w:r w:rsidR="0023395A" w:rsidRPr="00323374">
              <w:rPr>
                <w:sz w:val="18"/>
                <w:szCs w:val="18"/>
              </w:rPr>
              <w:t>non</w:t>
            </w:r>
            <w:r w:rsidRPr="00323374">
              <w:rPr>
                <w:sz w:val="18"/>
                <w:szCs w:val="18"/>
              </w:rPr>
              <w:t xml:space="preserve">compliant or defective by </w:t>
            </w:r>
            <w:r w:rsidR="00AB414E" w:rsidRPr="00323374">
              <w:rPr>
                <w:sz w:val="18"/>
                <w:szCs w:val="18"/>
              </w:rPr>
              <w:t>RBS</w:t>
            </w:r>
            <w:r w:rsidRPr="00323374">
              <w:rPr>
                <w:sz w:val="18"/>
                <w:szCs w:val="18"/>
              </w:rPr>
              <w:t xml:space="preserve">s, </w:t>
            </w:r>
            <w:r w:rsidR="00296466" w:rsidRPr="00323374">
              <w:rPr>
                <w:sz w:val="18"/>
                <w:szCs w:val="18"/>
              </w:rPr>
              <w:t>MBS</w:t>
            </w:r>
            <w:r w:rsidR="00AC0013" w:rsidRPr="00323374">
              <w:rPr>
                <w:sz w:val="18"/>
                <w:szCs w:val="18"/>
              </w:rPr>
              <w:t>s</w:t>
            </w:r>
            <w:r w:rsidRPr="00323374">
              <w:rPr>
                <w:sz w:val="18"/>
                <w:szCs w:val="18"/>
              </w:rPr>
              <w:t xml:space="preserve"> and regulators</w:t>
            </w:r>
          </w:p>
        </w:tc>
      </w:tr>
      <w:tr w:rsidR="00DD1991" w:rsidRPr="00323374" w:rsidTr="004E4C36">
        <w:trPr>
          <w:trHeight w:val="62"/>
        </w:trPr>
        <w:tc>
          <w:tcPr>
            <w:tcW w:w="3609" w:type="dxa"/>
          </w:tcPr>
          <w:p w:rsidR="00DD1991" w:rsidRPr="00323374" w:rsidRDefault="00DD1991" w:rsidP="0080262C">
            <w:pPr>
              <w:pStyle w:val="Tabletext"/>
              <w:rPr>
                <w:rFonts w:cstheme="minorHAnsi"/>
                <w:sz w:val="18"/>
                <w:szCs w:val="18"/>
                <w:lang w:val="en-AU"/>
              </w:rPr>
            </w:pPr>
            <w:r w:rsidRPr="00323374">
              <w:rPr>
                <w:sz w:val="18"/>
                <w:szCs w:val="18"/>
                <w:lang w:val="en-AU"/>
              </w:rPr>
              <w:t>The low levels of compliance with maintenance requirements for existing buildings</w:t>
            </w:r>
          </w:p>
        </w:tc>
        <w:tc>
          <w:tcPr>
            <w:tcW w:w="4981" w:type="dxa"/>
          </w:tcPr>
          <w:p w:rsidR="00E657D7" w:rsidRPr="00323374" w:rsidRDefault="00DD1991">
            <w:pPr>
              <w:pStyle w:val="Tabletext"/>
              <w:rPr>
                <w:rFonts w:eastAsiaTheme="majorEastAsia" w:cs="Arial"/>
                <w:b/>
                <w:bCs/>
                <w:kern w:val="32"/>
                <w:sz w:val="18"/>
                <w:szCs w:val="18"/>
              </w:rPr>
            </w:pPr>
            <w:r w:rsidRPr="00323374">
              <w:rPr>
                <w:sz w:val="18"/>
                <w:szCs w:val="18"/>
              </w:rPr>
              <w:t>Improving accountability for the maintenance of ESMs</w:t>
            </w:r>
          </w:p>
          <w:p w:rsidR="00E657D7" w:rsidRDefault="00DD1991">
            <w:pPr>
              <w:pStyle w:val="Tabletext"/>
              <w:rPr>
                <w:sz w:val="18"/>
                <w:szCs w:val="18"/>
              </w:rPr>
            </w:pPr>
            <w:r w:rsidRPr="00323374">
              <w:rPr>
                <w:sz w:val="18"/>
                <w:szCs w:val="18"/>
              </w:rPr>
              <w:t>Improving building owner</w:t>
            </w:r>
            <w:r w:rsidR="00950E06" w:rsidRPr="00323374">
              <w:rPr>
                <w:sz w:val="18"/>
                <w:szCs w:val="18"/>
              </w:rPr>
              <w:t>s'</w:t>
            </w:r>
            <w:r w:rsidRPr="00323374">
              <w:rPr>
                <w:sz w:val="18"/>
                <w:szCs w:val="18"/>
              </w:rPr>
              <w:t xml:space="preserve"> compliance with requirements to maintain </w:t>
            </w:r>
            <w:r w:rsidR="00950E06" w:rsidRPr="00323374">
              <w:rPr>
                <w:sz w:val="18"/>
                <w:szCs w:val="18"/>
              </w:rPr>
              <w:t xml:space="preserve">ESMs </w:t>
            </w:r>
            <w:r w:rsidRPr="00323374">
              <w:rPr>
                <w:sz w:val="18"/>
                <w:szCs w:val="18"/>
              </w:rPr>
              <w:t xml:space="preserve">and swimming pool </w:t>
            </w:r>
            <w:r w:rsidR="00950E06" w:rsidRPr="00323374">
              <w:rPr>
                <w:sz w:val="18"/>
                <w:szCs w:val="18"/>
              </w:rPr>
              <w:t xml:space="preserve">and spa </w:t>
            </w:r>
            <w:r w:rsidRPr="00323374">
              <w:rPr>
                <w:sz w:val="18"/>
                <w:szCs w:val="18"/>
              </w:rPr>
              <w:t xml:space="preserve">barriers </w:t>
            </w:r>
          </w:p>
          <w:p w:rsidR="002D5E35" w:rsidRPr="00323374" w:rsidRDefault="002D5E35">
            <w:pPr>
              <w:pStyle w:val="Tabletext"/>
              <w:rPr>
                <w:rFonts w:cs="Arial"/>
                <w:b/>
                <w:bCs/>
                <w:kern w:val="32"/>
                <w:sz w:val="18"/>
                <w:szCs w:val="18"/>
              </w:rPr>
            </w:pPr>
          </w:p>
        </w:tc>
      </w:tr>
      <w:tr w:rsidR="00DD1991" w:rsidRPr="00323374" w:rsidTr="006768D4">
        <w:trPr>
          <w:trHeight w:val="397"/>
        </w:trPr>
        <w:tc>
          <w:tcPr>
            <w:tcW w:w="3609" w:type="dxa"/>
          </w:tcPr>
          <w:p w:rsidR="00D615BC" w:rsidRPr="00323374" w:rsidRDefault="00DD1991" w:rsidP="004E4C36">
            <w:pPr>
              <w:pStyle w:val="Tabletext"/>
              <w:rPr>
                <w:sz w:val="18"/>
                <w:szCs w:val="18"/>
                <w:lang w:val="en-AU"/>
              </w:rPr>
            </w:pPr>
            <w:r w:rsidRPr="00323374">
              <w:rPr>
                <w:sz w:val="18"/>
                <w:szCs w:val="18"/>
                <w:lang w:val="en-AU"/>
              </w:rPr>
              <w:lastRenderedPageBreak/>
              <w:t>Reducing regulatory burden</w:t>
            </w:r>
          </w:p>
          <w:p w:rsidR="00DD1991" w:rsidRPr="00323374" w:rsidRDefault="00DD1991" w:rsidP="004E4C36">
            <w:pPr>
              <w:pStyle w:val="Tabletext"/>
              <w:rPr>
                <w:rFonts w:cstheme="minorHAnsi"/>
                <w:sz w:val="18"/>
                <w:szCs w:val="18"/>
                <w:lang w:val="en-AU"/>
              </w:rPr>
            </w:pPr>
          </w:p>
        </w:tc>
        <w:tc>
          <w:tcPr>
            <w:tcW w:w="4981" w:type="dxa"/>
          </w:tcPr>
          <w:p w:rsidR="00E657D7" w:rsidRPr="00323374" w:rsidRDefault="00DD1991">
            <w:pPr>
              <w:pStyle w:val="Tabletext"/>
              <w:rPr>
                <w:rFonts w:eastAsiaTheme="majorEastAsia" w:cs="Arial"/>
                <w:b/>
                <w:sz w:val="18"/>
                <w:szCs w:val="18"/>
              </w:rPr>
            </w:pPr>
            <w:r w:rsidRPr="00323374">
              <w:rPr>
                <w:sz w:val="18"/>
                <w:szCs w:val="18"/>
              </w:rPr>
              <w:t>Increas</w:t>
            </w:r>
            <w:r w:rsidR="001339C7" w:rsidRPr="00323374">
              <w:rPr>
                <w:sz w:val="18"/>
                <w:szCs w:val="18"/>
              </w:rPr>
              <w:t>ing</w:t>
            </w:r>
            <w:r w:rsidRPr="00323374">
              <w:rPr>
                <w:sz w:val="18"/>
                <w:szCs w:val="18"/>
              </w:rPr>
              <w:t xml:space="preserve"> </w:t>
            </w:r>
            <w:r w:rsidR="001339C7" w:rsidRPr="00323374">
              <w:rPr>
                <w:sz w:val="18"/>
                <w:szCs w:val="18"/>
              </w:rPr>
              <w:t xml:space="preserve">the </w:t>
            </w:r>
            <w:r w:rsidRPr="00323374">
              <w:rPr>
                <w:sz w:val="18"/>
                <w:szCs w:val="18"/>
              </w:rPr>
              <w:t xml:space="preserve">efficiency </w:t>
            </w:r>
            <w:r w:rsidR="001339C7" w:rsidRPr="00323374">
              <w:rPr>
                <w:sz w:val="18"/>
                <w:szCs w:val="18"/>
              </w:rPr>
              <w:t xml:space="preserve">of </w:t>
            </w:r>
            <w:r w:rsidRPr="00323374">
              <w:rPr>
                <w:sz w:val="18"/>
                <w:szCs w:val="18"/>
              </w:rPr>
              <w:t>the administration of building permits</w:t>
            </w:r>
          </w:p>
          <w:p w:rsidR="00E657D7" w:rsidRPr="00323374" w:rsidRDefault="00DD1991">
            <w:pPr>
              <w:pStyle w:val="Tabletext"/>
              <w:rPr>
                <w:rFonts w:eastAsiaTheme="majorEastAsia" w:cs="Arial"/>
                <w:b/>
                <w:sz w:val="18"/>
                <w:szCs w:val="18"/>
              </w:rPr>
            </w:pPr>
            <w:r w:rsidRPr="00323374">
              <w:rPr>
                <w:sz w:val="18"/>
                <w:szCs w:val="18"/>
              </w:rPr>
              <w:t xml:space="preserve">Reducing regulatory red tape for </w:t>
            </w:r>
            <w:proofErr w:type="spellStart"/>
            <w:r w:rsidR="00A030CC" w:rsidRPr="00323374">
              <w:rPr>
                <w:sz w:val="18"/>
                <w:szCs w:val="18"/>
              </w:rPr>
              <w:t>PoPEs</w:t>
            </w:r>
            <w:proofErr w:type="spellEnd"/>
            <w:r w:rsidRPr="00323374">
              <w:rPr>
                <w:sz w:val="18"/>
                <w:szCs w:val="18"/>
              </w:rPr>
              <w:t xml:space="preserve"> without increasing risk</w:t>
            </w:r>
            <w:r w:rsidR="001339C7" w:rsidRPr="00323374">
              <w:rPr>
                <w:sz w:val="18"/>
                <w:szCs w:val="18"/>
              </w:rPr>
              <w:t>s</w:t>
            </w:r>
            <w:r w:rsidRPr="00323374">
              <w:rPr>
                <w:sz w:val="18"/>
                <w:szCs w:val="18"/>
              </w:rPr>
              <w:t xml:space="preserve"> to public health and safety</w:t>
            </w:r>
          </w:p>
          <w:p w:rsidR="00E657D7" w:rsidRPr="00323374" w:rsidRDefault="00DD1991">
            <w:pPr>
              <w:pStyle w:val="Tabletext"/>
              <w:rPr>
                <w:rFonts w:eastAsiaTheme="majorEastAsia" w:cs="Arial"/>
                <w:b/>
                <w:sz w:val="18"/>
                <w:szCs w:val="18"/>
              </w:rPr>
            </w:pPr>
            <w:r w:rsidRPr="00323374">
              <w:rPr>
                <w:sz w:val="18"/>
                <w:szCs w:val="18"/>
              </w:rPr>
              <w:t>Reducing regulatory red tape in the commercial building sector where information asymmetry is not a major concern for industry participants</w:t>
            </w:r>
          </w:p>
          <w:p w:rsidR="00E657D7" w:rsidRPr="00323374" w:rsidRDefault="00DD1991">
            <w:pPr>
              <w:pStyle w:val="Tabletext"/>
              <w:rPr>
                <w:rFonts w:eastAsiaTheme="majorEastAsia" w:cs="Arial"/>
                <w:b/>
                <w:sz w:val="18"/>
                <w:szCs w:val="18"/>
              </w:rPr>
            </w:pPr>
            <w:r w:rsidRPr="00323374">
              <w:rPr>
                <w:sz w:val="18"/>
                <w:szCs w:val="18"/>
              </w:rPr>
              <w:t xml:space="preserve">Reducing the number of planning approvals required for single dwellings through more effective siting </w:t>
            </w:r>
            <w:r w:rsidR="008911CB" w:rsidRPr="00323374">
              <w:rPr>
                <w:sz w:val="18"/>
                <w:szCs w:val="18"/>
              </w:rPr>
              <w:t>Regulations</w:t>
            </w:r>
          </w:p>
        </w:tc>
      </w:tr>
    </w:tbl>
    <w:p w:rsidR="00E657D7" w:rsidRDefault="00E657D7"/>
    <w:p w:rsidR="00D615BC" w:rsidRPr="00427EE1" w:rsidRDefault="00DD1991" w:rsidP="00AF771E">
      <w:r w:rsidRPr="00427EE1">
        <w:t xml:space="preserve">The evaluation strategy is sensitive to the dynamic environment within which the building </w:t>
      </w:r>
      <w:r w:rsidR="008911CB">
        <w:t>Regulations</w:t>
      </w:r>
      <w:r w:rsidRPr="00427EE1">
        <w:t xml:space="preserve"> are being reviewed. As indicated in earlier chapters</w:t>
      </w:r>
      <w:r w:rsidR="00EB0F12">
        <w:t>,</w:t>
      </w:r>
      <w:r w:rsidRPr="00427EE1">
        <w:t xml:space="preserve"> the review of the building </w:t>
      </w:r>
      <w:r w:rsidR="008911CB">
        <w:t>Regulations</w:t>
      </w:r>
      <w:r w:rsidRPr="00427EE1">
        <w:t xml:space="preserve"> is being undertaken at a time of substantial change in the building industry.</w:t>
      </w:r>
    </w:p>
    <w:p w:rsidR="00D615BC" w:rsidRPr="00427EE1" w:rsidRDefault="00DD1991" w:rsidP="00AF771E">
      <w:r w:rsidRPr="00427EE1">
        <w:t xml:space="preserve">Consequently, the evaluation strategy is intended to be a live document that will be reviewed by the </w:t>
      </w:r>
      <w:r w:rsidR="00195602">
        <w:t>department</w:t>
      </w:r>
      <w:r w:rsidRPr="00427EE1">
        <w:t xml:space="preserve"> with the assistance of </w:t>
      </w:r>
      <w:r w:rsidR="00720C4E">
        <w:t>VBA</w:t>
      </w:r>
      <w:r w:rsidRPr="00427EE1">
        <w:t xml:space="preserve"> on a regular basis to ensure it remains relevant to the incremental changes occurring through the broader industry reform program. The review of the evaluation strategy will also be informed by stakeholder input, taking into account feedback obtained through the RIS consultation period and through the release of discussion papers on priority topics. As part of the consultation process for the RIS, the </w:t>
      </w:r>
      <w:r w:rsidR="00195602">
        <w:t>department</w:t>
      </w:r>
      <w:r w:rsidRPr="00427EE1">
        <w:t xml:space="preserve"> will hold stakeholder roundtable sessions to seek preliminary comment on directions within the RIS. This will assist in formulating a preliminary view on aspects that will require further consideration in the remaking of </w:t>
      </w:r>
      <w:r w:rsidR="008911CB">
        <w:t>Regulations</w:t>
      </w:r>
      <w:r w:rsidRPr="00427EE1">
        <w:t>.</w:t>
      </w:r>
    </w:p>
    <w:p w:rsidR="00975337" w:rsidRPr="00427EE1" w:rsidRDefault="00975337" w:rsidP="00AF771E">
      <w:pPr>
        <w:pStyle w:val="Normalpre-dotpoint"/>
      </w:pPr>
      <w:r w:rsidRPr="00427EE1">
        <w:t>It is intended also that a minimum of two policy papers on priority topics will be developed each year in the three</w:t>
      </w:r>
      <w:r w:rsidR="00EB0F12">
        <w:t>-</w:t>
      </w:r>
      <w:r w:rsidRPr="00427EE1">
        <w:t xml:space="preserve">year period, </w:t>
      </w:r>
      <w:r w:rsidR="00EB0F12">
        <w:t xml:space="preserve">starting in </w:t>
      </w:r>
      <w:r w:rsidRPr="00427EE1">
        <w:t>2017</w:t>
      </w:r>
      <w:r w:rsidR="00EB0F12">
        <w:t>–</w:t>
      </w:r>
      <w:r w:rsidRPr="00427EE1">
        <w:t xml:space="preserve">18. The </w:t>
      </w:r>
      <w:r w:rsidR="00195602">
        <w:t>department</w:t>
      </w:r>
      <w:r w:rsidRPr="00427EE1">
        <w:t xml:space="preserve"> will work with </w:t>
      </w:r>
      <w:r w:rsidR="00720C4E">
        <w:t>VBA</w:t>
      </w:r>
      <w:r w:rsidRPr="00427EE1">
        <w:t xml:space="preserve"> and </w:t>
      </w:r>
      <w:r w:rsidR="00666D12">
        <w:t>BRAC</w:t>
      </w:r>
      <w:r w:rsidRPr="00427EE1">
        <w:t xml:space="preserve"> to determine the scheduling of policy topics and </w:t>
      </w:r>
      <w:r w:rsidR="00EB0F12">
        <w:t xml:space="preserve">the </w:t>
      </w:r>
      <w:r w:rsidRPr="00427EE1">
        <w:t xml:space="preserve">timing of </w:t>
      </w:r>
      <w:r w:rsidR="00EB0F12">
        <w:t xml:space="preserve">the </w:t>
      </w:r>
      <w:r w:rsidRPr="00427EE1">
        <w:t>release of policy discussion papers.</w:t>
      </w:r>
    </w:p>
    <w:p w:rsidR="00D615BC" w:rsidRPr="00427EE1" w:rsidRDefault="00975337" w:rsidP="00975337">
      <w:pPr>
        <w:tabs>
          <w:tab w:val="left" w:pos="0"/>
        </w:tabs>
        <w:spacing w:before="120" w:after="120"/>
        <w:rPr>
          <w:rFonts w:cstheme="minorHAnsi"/>
        </w:rPr>
      </w:pPr>
      <w:r w:rsidRPr="00427EE1">
        <w:rPr>
          <w:rFonts w:cstheme="minorHAnsi"/>
        </w:rPr>
        <w:t xml:space="preserve">This will enable a systematic and efficient approach to assess the effectiveness of </w:t>
      </w:r>
      <w:r w:rsidR="008911CB">
        <w:rPr>
          <w:rFonts w:cstheme="minorHAnsi"/>
        </w:rPr>
        <w:t>Regulations</w:t>
      </w:r>
      <w:r w:rsidRPr="00427EE1">
        <w:rPr>
          <w:rFonts w:cstheme="minorHAnsi"/>
        </w:rPr>
        <w:t xml:space="preserve">. To coincide with the remaking of the </w:t>
      </w:r>
      <w:r w:rsidR="008911CB">
        <w:rPr>
          <w:rFonts w:cstheme="minorHAnsi"/>
        </w:rPr>
        <w:t>Regulations</w:t>
      </w:r>
      <w:r w:rsidRPr="00427EE1">
        <w:rPr>
          <w:rFonts w:cstheme="minorHAnsi"/>
        </w:rPr>
        <w:t xml:space="preserve">, the </w:t>
      </w:r>
      <w:r w:rsidR="00195602">
        <w:rPr>
          <w:rFonts w:cstheme="minorHAnsi"/>
        </w:rPr>
        <w:t>department</w:t>
      </w:r>
      <w:r w:rsidRPr="00427EE1">
        <w:rPr>
          <w:rFonts w:cstheme="minorHAnsi"/>
        </w:rPr>
        <w:t xml:space="preserve"> will in July 2017 commence development of a regulatory framework plan that will </w:t>
      </w:r>
      <w:r w:rsidR="00EB0F12">
        <w:rPr>
          <w:rFonts w:cstheme="minorHAnsi"/>
        </w:rPr>
        <w:t>help</w:t>
      </w:r>
      <w:r w:rsidRPr="00427EE1">
        <w:rPr>
          <w:rFonts w:cstheme="minorHAnsi"/>
        </w:rPr>
        <w:t>:</w:t>
      </w:r>
    </w:p>
    <w:p w:rsidR="00975337" w:rsidRPr="00427EE1" w:rsidRDefault="00EB0F12" w:rsidP="00AF771E">
      <w:pPr>
        <w:pStyle w:val="Dotpoint"/>
      </w:pPr>
      <w:r>
        <w:t>c</w:t>
      </w:r>
      <w:r w:rsidR="00975337" w:rsidRPr="00427EE1">
        <w:t xml:space="preserve">onfirm priority actions to be commenced within the first 12 months of the implementation of the </w:t>
      </w:r>
      <w:r w:rsidR="00195602">
        <w:t>proposed Regulations</w:t>
      </w:r>
    </w:p>
    <w:p w:rsidR="00D615BC" w:rsidRPr="00427EE1" w:rsidRDefault="00EB0F12" w:rsidP="00AF771E">
      <w:pPr>
        <w:pStyle w:val="Dotpoint"/>
      </w:pPr>
      <w:r>
        <w:t>d</w:t>
      </w:r>
      <w:r w:rsidR="00975337" w:rsidRPr="00427EE1">
        <w:t>efin</w:t>
      </w:r>
      <w:r>
        <w:t>e</w:t>
      </w:r>
      <w:r w:rsidR="00975337" w:rsidRPr="00427EE1">
        <w:t xml:space="preserve"> the outcomes to be achieved within the three</w:t>
      </w:r>
      <w:r>
        <w:t>-</w:t>
      </w:r>
      <w:r w:rsidR="00975337" w:rsidRPr="00427EE1">
        <w:t xml:space="preserve">year cycle </w:t>
      </w:r>
    </w:p>
    <w:p w:rsidR="00D615BC" w:rsidRPr="00427EE1" w:rsidRDefault="00EB0F12" w:rsidP="00AF771E">
      <w:pPr>
        <w:pStyle w:val="Dotpointlast"/>
      </w:pPr>
      <w:r>
        <w:t>i</w:t>
      </w:r>
      <w:r w:rsidR="00975337" w:rsidRPr="00427EE1">
        <w:t>nform and refin</w:t>
      </w:r>
      <w:r>
        <w:t>e</w:t>
      </w:r>
      <w:r w:rsidR="00975337" w:rsidRPr="00427EE1">
        <w:t xml:space="preserve"> the evaluation methodology for the five</w:t>
      </w:r>
      <w:r>
        <w:t>-</w:t>
      </w:r>
      <w:r w:rsidR="00975337" w:rsidRPr="00427EE1">
        <w:t xml:space="preserve">year review of the </w:t>
      </w:r>
      <w:r w:rsidR="00195602">
        <w:t>proposed Regulations</w:t>
      </w:r>
    </w:p>
    <w:p w:rsidR="00D615BC" w:rsidRPr="00427EE1" w:rsidRDefault="00975337" w:rsidP="00AF771E">
      <w:r w:rsidRPr="00427EE1">
        <w:t xml:space="preserve">Stakeholders will be consulted </w:t>
      </w:r>
      <w:r w:rsidR="00EB0F12">
        <w:t xml:space="preserve">about </w:t>
      </w:r>
      <w:r w:rsidRPr="00427EE1">
        <w:t xml:space="preserve">the regulatory framework </w:t>
      </w:r>
      <w:r w:rsidR="00D90FC3">
        <w:t>before</w:t>
      </w:r>
      <w:r w:rsidRPr="00427EE1">
        <w:t xml:space="preserve"> it</w:t>
      </w:r>
      <w:r w:rsidR="00DA0F0A" w:rsidRPr="00427EE1">
        <w:t xml:space="preserve"> </w:t>
      </w:r>
      <w:r w:rsidR="00EB0F12">
        <w:t xml:space="preserve">is </w:t>
      </w:r>
      <w:r w:rsidRPr="00427EE1">
        <w:t>finalised.</w:t>
      </w:r>
    </w:p>
    <w:p w:rsidR="00DD1991" w:rsidRPr="00427EE1" w:rsidRDefault="003448D2" w:rsidP="00C14778">
      <w:pPr>
        <w:pStyle w:val="Heading2"/>
      </w:pPr>
      <w:bookmarkStart w:id="166" w:name="_Toc481501590"/>
      <w:r>
        <w:t>4.1</w:t>
      </w:r>
      <w:r>
        <w:tab/>
      </w:r>
      <w:r w:rsidR="00DD1991" w:rsidRPr="00427EE1">
        <w:t>Evidence improvement project</w:t>
      </w:r>
      <w:bookmarkEnd w:id="166"/>
    </w:p>
    <w:p w:rsidR="00DD1991" w:rsidRPr="00427EE1" w:rsidRDefault="00DD1991" w:rsidP="00034171">
      <w:r w:rsidRPr="00427EE1">
        <w:t xml:space="preserve">The evidence improvement project is a cornerstone of the evaluation strategy. </w:t>
      </w:r>
      <w:r w:rsidR="00B62320">
        <w:t xml:space="preserve">It </w:t>
      </w:r>
      <w:r w:rsidRPr="00427EE1">
        <w:t xml:space="preserve">has been triggered by the lack of robust data </w:t>
      </w:r>
      <w:r w:rsidR="00B62320">
        <w:t xml:space="preserve">with </w:t>
      </w:r>
      <w:r w:rsidRPr="00427EE1">
        <w:t xml:space="preserve">which to evaluate some aspects of the current </w:t>
      </w:r>
      <w:r w:rsidR="008911CB">
        <w:t>Regulations</w:t>
      </w:r>
      <w:r w:rsidRPr="00427EE1">
        <w:t xml:space="preserve"> and to assess the validity of proposals for change put forward by stakeholders during the sunsetting review.</w:t>
      </w:r>
    </w:p>
    <w:p w:rsidR="002D5E35" w:rsidRDefault="002D5E35">
      <w:pPr>
        <w:spacing w:after="0"/>
      </w:pPr>
      <w:r>
        <w:br w:type="page"/>
      </w:r>
    </w:p>
    <w:p w:rsidR="00DD1991" w:rsidRPr="00427EE1" w:rsidRDefault="00DD1991" w:rsidP="00034171">
      <w:pPr>
        <w:pStyle w:val="Normalpre-dotpoint"/>
      </w:pPr>
      <w:r w:rsidRPr="00427EE1">
        <w:lastRenderedPageBreak/>
        <w:t>The effectiveness of the mid</w:t>
      </w:r>
      <w:r w:rsidR="007C5A88">
        <w:t>term</w:t>
      </w:r>
      <w:r w:rsidRPr="00427EE1">
        <w:t xml:space="preserve"> evaluation will </w:t>
      </w:r>
      <w:r w:rsidR="00B62320">
        <w:t>require</w:t>
      </w:r>
      <w:r w:rsidRPr="00427EE1">
        <w:t>:</w:t>
      </w:r>
    </w:p>
    <w:p w:rsidR="00DD1991" w:rsidRPr="00427EE1" w:rsidRDefault="00B62320" w:rsidP="00034171">
      <w:pPr>
        <w:pStyle w:val="Dotpoint"/>
      </w:pPr>
      <w:r>
        <w:t>w</w:t>
      </w:r>
      <w:r w:rsidR="00DD1991" w:rsidRPr="00427EE1">
        <w:t>orking with stakeholders to establish a</w:t>
      </w:r>
      <w:r>
        <w:t>n</w:t>
      </w:r>
      <w:r w:rsidR="00DD1991" w:rsidRPr="00427EE1">
        <w:t xml:space="preserve"> evidence base that will improve the quality of information to underpin assessment of the effectiveness of </w:t>
      </w:r>
      <w:r w:rsidR="008911CB">
        <w:t>Regulations</w:t>
      </w:r>
      <w:r w:rsidR="00DD1991" w:rsidRPr="00427EE1">
        <w:t xml:space="preserve"> including assessment of any need for regulatory change </w:t>
      </w:r>
    </w:p>
    <w:p w:rsidR="00DD1991" w:rsidRPr="00427EE1" w:rsidRDefault="00B62320" w:rsidP="00034171">
      <w:pPr>
        <w:pStyle w:val="Dotpointlast"/>
      </w:pPr>
      <w:r>
        <w:t>o</w:t>
      </w:r>
      <w:r w:rsidR="00DD1991" w:rsidRPr="00427EE1">
        <w:t xml:space="preserve">btaining access to data and information from a </w:t>
      </w:r>
      <w:r>
        <w:t xml:space="preserve">range </w:t>
      </w:r>
      <w:r w:rsidR="00DD1991" w:rsidRPr="00427EE1">
        <w:t xml:space="preserve">stakeholders in a consistent and regular form to test how well the </w:t>
      </w:r>
      <w:r w:rsidR="008911CB">
        <w:t>Regulations</w:t>
      </w:r>
      <w:r w:rsidR="00DD1991" w:rsidRPr="00427EE1">
        <w:t xml:space="preserve"> have achieved the issues identified in </w:t>
      </w:r>
      <w:r w:rsidR="00DE6971">
        <w:fldChar w:fldCharType="begin"/>
      </w:r>
      <w:r w:rsidR="00DE6971">
        <w:instrText xml:space="preserve"> REF _Ref475979881 \h  \* MERGEFORMAT </w:instrText>
      </w:r>
      <w:r w:rsidR="00DE6971">
        <w:fldChar w:fldCharType="separate"/>
      </w:r>
      <w:r w:rsidR="00B30389" w:rsidRPr="00B30389">
        <w:rPr>
          <w:b/>
          <w:color w:val="00B2A9" w:themeColor="accent1"/>
          <w:szCs w:val="20"/>
        </w:rPr>
        <w:t>Table 10</w:t>
      </w:r>
      <w:r w:rsidR="00DE6971">
        <w:fldChar w:fldCharType="end"/>
      </w:r>
      <w:r w:rsidR="00CB6664" w:rsidRPr="00427EE1">
        <w:rPr>
          <w:b/>
          <w:color w:val="00B2A9" w:themeColor="accent1"/>
        </w:rPr>
        <w:t xml:space="preserve"> </w:t>
      </w:r>
      <w:r w:rsidR="00DD1991" w:rsidRPr="00427EE1">
        <w:t>above.</w:t>
      </w:r>
    </w:p>
    <w:p w:rsidR="00EE66E7" w:rsidRDefault="003448D2" w:rsidP="00C14778">
      <w:pPr>
        <w:pStyle w:val="Heading3"/>
      </w:pPr>
      <w:bookmarkStart w:id="167" w:name="_Toc481501591"/>
      <w:r>
        <w:t>4.1.1</w:t>
      </w:r>
      <w:r>
        <w:tab/>
      </w:r>
      <w:r w:rsidR="00DD1991" w:rsidRPr="00427EE1">
        <w:t>Key performance indicators and baseline data</w:t>
      </w:r>
      <w:bookmarkEnd w:id="167"/>
    </w:p>
    <w:p w:rsidR="00DD1991" w:rsidRPr="00427EE1" w:rsidRDefault="00DD1991" w:rsidP="00034171">
      <w:r w:rsidRPr="00427EE1">
        <w:t xml:space="preserve">The </w:t>
      </w:r>
      <w:r w:rsidR="00195602">
        <w:t>department</w:t>
      </w:r>
      <w:r w:rsidRPr="00427EE1">
        <w:t xml:space="preserve"> will work with </w:t>
      </w:r>
      <w:r w:rsidR="00720C4E">
        <w:t>VBA</w:t>
      </w:r>
      <w:r w:rsidRPr="00427EE1">
        <w:t>, councils and fire authorities to develop key performance indicators (KPIs) as part of the stakeholder engagement process</w:t>
      </w:r>
      <w:r w:rsidR="00B62320">
        <w:t>,</w:t>
      </w:r>
      <w:r w:rsidRPr="00427EE1">
        <w:t xml:space="preserve"> to obtain more robust evidence. These KPIs will be discussed with</w:t>
      </w:r>
      <w:r w:rsidR="00C85843">
        <w:t xml:space="preserve"> the Office of the Commissioner for Better Regulation </w:t>
      </w:r>
      <w:r w:rsidR="00D90FC3">
        <w:t>before</w:t>
      </w:r>
      <w:r w:rsidRPr="00427EE1">
        <w:t xml:space="preserve"> finalisation of the minimum data</w:t>
      </w:r>
      <w:r w:rsidR="00D90FC3">
        <w:t>set</w:t>
      </w:r>
      <w:r w:rsidRPr="00427EE1">
        <w:t xml:space="preserve"> and the collection of baseline data to ensure as far as practicable acceptance of the proposed future dataset. This will also allow for discussion </w:t>
      </w:r>
      <w:r w:rsidR="000F0B44">
        <w:t xml:space="preserve">about </w:t>
      </w:r>
      <w:r w:rsidRPr="00427EE1">
        <w:t>any required interim data</w:t>
      </w:r>
      <w:r w:rsidR="00D90FC3">
        <w:t>set</w:t>
      </w:r>
      <w:r w:rsidRPr="00427EE1">
        <w:t>, given there may be a requirement on the part of stakeholders to modify collection systems or obtain prior agreement to acceptable proxies to supplement any identified data gaps that cannot be readily met.</w:t>
      </w:r>
    </w:p>
    <w:p w:rsidR="00D615BC" w:rsidRPr="00427EE1" w:rsidRDefault="00DD1991" w:rsidP="00DD1991">
      <w:pPr>
        <w:tabs>
          <w:tab w:val="left" w:pos="0"/>
        </w:tabs>
        <w:rPr>
          <w:rFonts w:asciiTheme="majorHAnsi" w:hAnsiTheme="majorHAnsi"/>
        </w:rPr>
      </w:pPr>
      <w:r w:rsidRPr="00427EE1">
        <w:rPr>
          <w:rFonts w:asciiTheme="majorHAnsi" w:hAnsiTheme="majorHAnsi"/>
        </w:rPr>
        <w:t>Data will be collected a</w:t>
      </w:r>
      <w:r w:rsidR="00D90FC3">
        <w:rPr>
          <w:rFonts w:asciiTheme="majorHAnsi" w:hAnsiTheme="majorHAnsi"/>
        </w:rPr>
        <w:t>bout</w:t>
      </w:r>
      <w:r w:rsidRPr="00427EE1">
        <w:rPr>
          <w:rFonts w:asciiTheme="majorHAnsi" w:hAnsiTheme="majorHAnsi"/>
        </w:rPr>
        <w:t xml:space="preserve"> two years </w:t>
      </w:r>
      <w:r w:rsidR="00D90FC3">
        <w:rPr>
          <w:rFonts w:asciiTheme="majorHAnsi" w:hAnsiTheme="majorHAnsi"/>
        </w:rPr>
        <w:t>before</w:t>
      </w:r>
      <w:r w:rsidRPr="00427EE1">
        <w:rPr>
          <w:rFonts w:asciiTheme="majorHAnsi" w:hAnsiTheme="majorHAnsi"/>
        </w:rPr>
        <w:t xml:space="preserve"> the mid</w:t>
      </w:r>
      <w:r w:rsidR="007C5A88">
        <w:rPr>
          <w:rFonts w:asciiTheme="majorHAnsi" w:hAnsiTheme="majorHAnsi"/>
        </w:rPr>
        <w:t>term</w:t>
      </w:r>
      <w:r w:rsidRPr="00427EE1">
        <w:rPr>
          <w:rFonts w:asciiTheme="majorHAnsi" w:hAnsiTheme="majorHAnsi"/>
        </w:rPr>
        <w:t xml:space="preserve"> evaluation</w:t>
      </w:r>
      <w:r w:rsidR="000F0B44">
        <w:rPr>
          <w:rFonts w:asciiTheme="majorHAnsi" w:hAnsiTheme="majorHAnsi"/>
        </w:rPr>
        <w:t>,</w:t>
      </w:r>
      <w:r w:rsidRPr="00427EE1">
        <w:rPr>
          <w:rFonts w:asciiTheme="majorHAnsi" w:hAnsiTheme="majorHAnsi"/>
        </w:rPr>
        <w:t xml:space="preserve"> based on agreed database structures and data</w:t>
      </w:r>
      <w:r w:rsidR="00181511">
        <w:rPr>
          <w:rFonts w:asciiTheme="majorHAnsi" w:hAnsiTheme="majorHAnsi"/>
        </w:rPr>
        <w:t>-</w:t>
      </w:r>
      <w:r w:rsidRPr="00427EE1">
        <w:rPr>
          <w:rFonts w:asciiTheme="majorHAnsi" w:hAnsiTheme="majorHAnsi"/>
        </w:rPr>
        <w:t>collection protocols developed as part of the evidence improvement project.</w:t>
      </w:r>
    </w:p>
    <w:p w:rsidR="00DD1991" w:rsidRPr="00427EE1" w:rsidRDefault="003448D2" w:rsidP="00C14778">
      <w:pPr>
        <w:pStyle w:val="Heading3"/>
      </w:pPr>
      <w:bookmarkStart w:id="168" w:name="_Toc481501592"/>
      <w:r>
        <w:t>4.1.2</w:t>
      </w:r>
      <w:r>
        <w:tab/>
      </w:r>
      <w:r w:rsidR="00DD1991" w:rsidRPr="00427EE1">
        <w:t>Evidence collection to support the mid</w:t>
      </w:r>
      <w:r w:rsidR="007C5A88">
        <w:t>term</w:t>
      </w:r>
      <w:r w:rsidR="00DD1991" w:rsidRPr="00427EE1">
        <w:t xml:space="preserve"> evaluation</w:t>
      </w:r>
      <w:bookmarkEnd w:id="168"/>
    </w:p>
    <w:p w:rsidR="00DD1991" w:rsidRPr="00427EE1" w:rsidRDefault="00DD1991" w:rsidP="00034171">
      <w:r w:rsidRPr="00427EE1">
        <w:t>The data</w:t>
      </w:r>
      <w:r w:rsidR="00181511">
        <w:t>-</w:t>
      </w:r>
      <w:r w:rsidRPr="00427EE1">
        <w:t>collection process will commence in 2017</w:t>
      </w:r>
      <w:r w:rsidR="000F0B44">
        <w:t>–</w:t>
      </w:r>
      <w:r w:rsidRPr="00427EE1">
        <w:t xml:space="preserve">18 with the identification of a core set of baseline data that will be required in order to assess the effectiveness of the </w:t>
      </w:r>
      <w:r w:rsidR="008911CB">
        <w:t>Regulations</w:t>
      </w:r>
      <w:r w:rsidRPr="00427EE1">
        <w:t>.</w:t>
      </w:r>
    </w:p>
    <w:p w:rsidR="00DD1991" w:rsidRPr="00427EE1" w:rsidRDefault="00DD1991" w:rsidP="00034171">
      <w:pPr>
        <w:pStyle w:val="Normalpre-dotpoint"/>
      </w:pPr>
      <w:r w:rsidRPr="00427EE1">
        <w:t>At a minimum</w:t>
      </w:r>
      <w:r w:rsidR="000F0B44">
        <w:t>,</w:t>
      </w:r>
      <w:r w:rsidRPr="00427EE1">
        <w:t xml:space="preserve"> data for the evaluation will be drawn from sources including:</w:t>
      </w:r>
    </w:p>
    <w:p w:rsidR="00DD1991" w:rsidRPr="00427EE1" w:rsidRDefault="00720C4E" w:rsidP="00034171">
      <w:pPr>
        <w:pStyle w:val="Dotpoint"/>
      </w:pPr>
      <w:r>
        <w:t>VBA</w:t>
      </w:r>
      <w:r w:rsidR="00F57C69" w:rsidRPr="00427EE1">
        <w:t>’s</w:t>
      </w:r>
      <w:r w:rsidR="00DD1991" w:rsidRPr="00427EE1">
        <w:t xml:space="preserve"> systems for empirical data related to complaints, building permits and compliance and enforcement activities</w:t>
      </w:r>
    </w:p>
    <w:p w:rsidR="00DD1991" w:rsidRPr="00427EE1" w:rsidRDefault="000F0B44" w:rsidP="00034171">
      <w:pPr>
        <w:pStyle w:val="Dotpoint"/>
      </w:pPr>
      <w:r>
        <w:t xml:space="preserve">BAB </w:t>
      </w:r>
      <w:r w:rsidR="00DA2F1B" w:rsidRPr="00427EE1">
        <w:t>data systems</w:t>
      </w:r>
    </w:p>
    <w:p w:rsidR="00DD1991" w:rsidRPr="00427EE1" w:rsidRDefault="00DD1991" w:rsidP="00034171">
      <w:pPr>
        <w:pStyle w:val="Dotpoint"/>
      </w:pPr>
      <w:r w:rsidRPr="00427EE1">
        <w:t>councils for data related to building permits and building inspection outcomes</w:t>
      </w:r>
    </w:p>
    <w:p w:rsidR="00DD1991" w:rsidRPr="00427EE1" w:rsidRDefault="00DD1991" w:rsidP="00034171">
      <w:pPr>
        <w:pStyle w:val="Dotpoint"/>
      </w:pPr>
      <w:r w:rsidRPr="00427EE1">
        <w:t>fire authorities for data related to fire</w:t>
      </w:r>
      <w:r w:rsidR="00181511">
        <w:t>-</w:t>
      </w:r>
      <w:r w:rsidRPr="00427EE1">
        <w:t xml:space="preserve">safety requirements and </w:t>
      </w:r>
      <w:r w:rsidR="00296466">
        <w:t>ESMs</w:t>
      </w:r>
    </w:p>
    <w:p w:rsidR="00DD1991" w:rsidRPr="00427EE1" w:rsidRDefault="00DD1991" w:rsidP="00034171">
      <w:pPr>
        <w:pStyle w:val="Dotpoint"/>
      </w:pPr>
      <w:r w:rsidRPr="00427EE1">
        <w:t xml:space="preserve">building surveyors for data about the effectiveness of streamlined building </w:t>
      </w:r>
      <w:r w:rsidR="00DA2F1B" w:rsidRPr="00427EE1">
        <w:t>permit information requirements</w:t>
      </w:r>
    </w:p>
    <w:p w:rsidR="00DD1991" w:rsidRPr="00427EE1" w:rsidRDefault="000F0B44" w:rsidP="00034171">
      <w:pPr>
        <w:pStyle w:val="Dotpointlast"/>
      </w:pPr>
      <w:r>
        <w:t>CAV</w:t>
      </w:r>
      <w:r w:rsidR="00DA2F1B" w:rsidRPr="00427EE1">
        <w:t>.</w:t>
      </w:r>
    </w:p>
    <w:p w:rsidR="00DD1991" w:rsidRPr="00427EE1" w:rsidRDefault="00DD1991" w:rsidP="001D2DA1">
      <w:pPr>
        <w:pStyle w:val="Normalpre-dotpoint"/>
      </w:pPr>
      <w:r w:rsidRPr="00427EE1">
        <w:t>The mid</w:t>
      </w:r>
      <w:r w:rsidR="007C5A88">
        <w:t>term</w:t>
      </w:r>
      <w:r w:rsidRPr="00427EE1">
        <w:t xml:space="preserve"> evaluation will also draw on:</w:t>
      </w:r>
    </w:p>
    <w:p w:rsidR="00DD1991" w:rsidRPr="00427EE1" w:rsidRDefault="00DD1991" w:rsidP="001D2DA1">
      <w:pPr>
        <w:pStyle w:val="Dotpoint"/>
      </w:pPr>
      <w:r w:rsidRPr="00427EE1">
        <w:t>qualitative data from stakeholder consultation</w:t>
      </w:r>
      <w:r w:rsidR="000F0B44">
        <w:t>s</w:t>
      </w:r>
      <w:r w:rsidRPr="00427EE1">
        <w:t xml:space="preserve"> </w:t>
      </w:r>
      <w:r w:rsidR="000F0B44">
        <w:t xml:space="preserve">about </w:t>
      </w:r>
      <w:r w:rsidRPr="00427EE1">
        <w:t xml:space="preserve">the strengths and weaknesses of the </w:t>
      </w:r>
      <w:r w:rsidR="008911CB">
        <w:t>proposed Regulations</w:t>
      </w:r>
    </w:p>
    <w:p w:rsidR="00DD1991" w:rsidRPr="00427EE1" w:rsidRDefault="00DD1991" w:rsidP="001D2DA1">
      <w:pPr>
        <w:pStyle w:val="Dotpoint"/>
      </w:pPr>
      <w:r w:rsidRPr="00427EE1">
        <w:t xml:space="preserve">the views and experience of </w:t>
      </w:r>
      <w:r w:rsidR="00666D12">
        <w:t>BRAC</w:t>
      </w:r>
    </w:p>
    <w:p w:rsidR="00DD1991" w:rsidRPr="00427EE1" w:rsidRDefault="00DD1991" w:rsidP="001D2DA1">
      <w:pPr>
        <w:pStyle w:val="Dotpoint"/>
      </w:pPr>
      <w:r w:rsidRPr="00427EE1">
        <w:t xml:space="preserve">the findings of </w:t>
      </w:r>
      <w:r w:rsidR="00720C4E">
        <w:t>VBA</w:t>
      </w:r>
      <w:r w:rsidR="00F57C69" w:rsidRPr="00427EE1">
        <w:t>’s</w:t>
      </w:r>
      <w:r w:rsidRPr="00427EE1">
        <w:t xml:space="preserve"> </w:t>
      </w:r>
      <w:r w:rsidR="000F0B44">
        <w:t>r</w:t>
      </w:r>
      <w:r w:rsidRPr="00427EE1">
        <w:t xml:space="preserve">esearch and </w:t>
      </w:r>
      <w:r w:rsidR="000F0B44">
        <w:t>e</w:t>
      </w:r>
      <w:r w:rsidR="00E5237C" w:rsidRPr="00427EE1">
        <w:t>valuation</w:t>
      </w:r>
      <w:r w:rsidRPr="00427EE1">
        <w:t xml:space="preserve"> activities</w:t>
      </w:r>
    </w:p>
    <w:p w:rsidR="00DD1991" w:rsidRPr="00427EE1" w:rsidRDefault="00DD1991" w:rsidP="001D2DA1">
      <w:pPr>
        <w:pStyle w:val="Dotpoint"/>
      </w:pPr>
      <w:r w:rsidRPr="00427EE1">
        <w:t>the views of councils about the effectiveness of the revised siting protocols</w:t>
      </w:r>
    </w:p>
    <w:p w:rsidR="00DD1991" w:rsidRPr="00427EE1" w:rsidRDefault="00DD1991" w:rsidP="001D2DA1">
      <w:pPr>
        <w:pStyle w:val="Dotpointlast"/>
      </w:pPr>
      <w:r w:rsidRPr="00427EE1">
        <w:t xml:space="preserve">consumer and industry feedback provided to </w:t>
      </w:r>
      <w:r w:rsidR="000F0B44">
        <w:t>CAV</w:t>
      </w:r>
      <w:r w:rsidRPr="00427EE1">
        <w:t xml:space="preserve">, councils and </w:t>
      </w:r>
      <w:r w:rsidR="00720C4E">
        <w:t>VBA</w:t>
      </w:r>
      <w:r w:rsidRPr="00427EE1">
        <w:t xml:space="preserve"> </w:t>
      </w:r>
      <w:r w:rsidR="000F0B44">
        <w:t xml:space="preserve">about </w:t>
      </w:r>
      <w:r w:rsidRPr="00427EE1">
        <w:t xml:space="preserve">the </w:t>
      </w:r>
      <w:r w:rsidR="008911CB">
        <w:t>proposed Regulations</w:t>
      </w:r>
      <w:r w:rsidRPr="00427EE1">
        <w:t>.</w:t>
      </w:r>
    </w:p>
    <w:p w:rsidR="00D615BC" w:rsidRPr="00427EE1" w:rsidRDefault="00DD1991" w:rsidP="001D2DA1">
      <w:r w:rsidRPr="00427EE1">
        <w:t xml:space="preserve">As indicated above, the </w:t>
      </w:r>
      <w:r w:rsidR="00195602">
        <w:t>department</w:t>
      </w:r>
      <w:r w:rsidRPr="00427EE1">
        <w:t xml:space="preserve"> will ensur</w:t>
      </w:r>
      <w:r w:rsidR="000F0B44">
        <w:t>e</w:t>
      </w:r>
      <w:r w:rsidRPr="00427EE1">
        <w:t xml:space="preserve"> the mid</w:t>
      </w:r>
      <w:r w:rsidR="007C5A88">
        <w:t>term</w:t>
      </w:r>
      <w:r w:rsidRPr="00427EE1">
        <w:t xml:space="preserve"> evaluation is completed and </w:t>
      </w:r>
      <w:r w:rsidR="000F0B44">
        <w:t xml:space="preserve">liaise </w:t>
      </w:r>
      <w:r w:rsidRPr="00427EE1">
        <w:t>with OCBR about the adequacy and transparency of th</w:t>
      </w:r>
      <w:r w:rsidR="000F0B44">
        <w:t>e</w:t>
      </w:r>
      <w:r w:rsidRPr="00427EE1">
        <w:t xml:space="preserve"> evaluation. The evaluation is expected to occur over a period of at least six months in order to allow sufficient time for stakeholder consultation, data collection and analysis.</w:t>
      </w:r>
    </w:p>
    <w:p w:rsidR="00DD1991" w:rsidRPr="00427EE1" w:rsidRDefault="00DD1991" w:rsidP="001D2DA1">
      <w:r w:rsidRPr="00427EE1">
        <w:lastRenderedPageBreak/>
        <w:t xml:space="preserve">The evaluation strategy will be undertaken in conjunction with </w:t>
      </w:r>
      <w:r w:rsidR="00720C4E">
        <w:t>VBA</w:t>
      </w:r>
      <w:r w:rsidRPr="00427EE1">
        <w:t xml:space="preserve"> with input from </w:t>
      </w:r>
      <w:r w:rsidR="00720C4E">
        <w:t>VBA</w:t>
      </w:r>
      <w:r w:rsidR="00F57C69" w:rsidRPr="00427EE1">
        <w:t>’s</w:t>
      </w:r>
      <w:r w:rsidRPr="00427EE1">
        <w:t xml:space="preserve"> Research and Evaluation Unit. The unit aims to work towards developing a strong evidence base and improving the functioning of the building and plumbing regulatory system. Research and evaluation projects will aim to identify and explore key regulatory problems, issues and potential solutions.</w:t>
      </w:r>
    </w:p>
    <w:p w:rsidR="00DD1991" w:rsidRPr="00427EE1" w:rsidRDefault="00DD1991" w:rsidP="001D2DA1">
      <w:pPr>
        <w:pStyle w:val="Normalpre-dotpoint"/>
      </w:pPr>
      <w:r w:rsidRPr="00427EE1">
        <w:t xml:space="preserve">Findings and outcomes of the program will enable </w:t>
      </w:r>
      <w:r w:rsidR="00720C4E">
        <w:t>VBA</w:t>
      </w:r>
      <w:r w:rsidRPr="00427EE1">
        <w:t xml:space="preserve"> to:</w:t>
      </w:r>
    </w:p>
    <w:p w:rsidR="00DD1991" w:rsidRPr="00427EE1" w:rsidRDefault="00DD1991" w:rsidP="001D2DA1">
      <w:pPr>
        <w:pStyle w:val="Dotpoint"/>
      </w:pPr>
      <w:r w:rsidRPr="00427EE1">
        <w:t>better understand key regulatory problems including risks, harms, causes and unintended consequences</w:t>
      </w:r>
    </w:p>
    <w:p w:rsidR="00DD1991" w:rsidRPr="00427EE1" w:rsidRDefault="00DD1991" w:rsidP="001D2DA1">
      <w:pPr>
        <w:pStyle w:val="Dotpoint"/>
      </w:pPr>
      <w:r w:rsidRPr="00427EE1">
        <w:t>target areas of greatest concern and opportunities for regulatory improvement to minimise harms</w:t>
      </w:r>
    </w:p>
    <w:p w:rsidR="00DD1991" w:rsidRPr="00427EE1" w:rsidRDefault="00DD1991" w:rsidP="001D2DA1">
      <w:pPr>
        <w:pStyle w:val="Dotpoint"/>
      </w:pPr>
      <w:r w:rsidRPr="00427EE1">
        <w:t>evaluate the effectiveness and efficiency of existing regulatory interventions</w:t>
      </w:r>
    </w:p>
    <w:p w:rsidR="00DD1991" w:rsidRPr="00427EE1" w:rsidRDefault="00DD1991" w:rsidP="001D2DA1">
      <w:pPr>
        <w:pStyle w:val="Dotpoint"/>
      </w:pPr>
      <w:r w:rsidRPr="00427EE1">
        <w:t>inform future policy direction</w:t>
      </w:r>
      <w:r w:rsidR="000F0B44">
        <w:t>s</w:t>
      </w:r>
      <w:r w:rsidRPr="00427EE1">
        <w:t xml:space="preserve"> and recommend feasible solutions</w:t>
      </w:r>
    </w:p>
    <w:p w:rsidR="00DD1991" w:rsidRPr="00427EE1" w:rsidRDefault="00DD1991" w:rsidP="001D2DA1">
      <w:pPr>
        <w:pStyle w:val="Dotpointlast"/>
      </w:pPr>
      <w:r w:rsidRPr="00427EE1">
        <w:t>adopt earlier, more</w:t>
      </w:r>
      <w:r w:rsidR="000F0B44">
        <w:t>-</w:t>
      </w:r>
      <w:r w:rsidRPr="00427EE1">
        <w:t xml:space="preserve">targeted interventions with an increased </w:t>
      </w:r>
      <w:r w:rsidR="00EF2008">
        <w:t>likelihood</w:t>
      </w:r>
      <w:r w:rsidR="000F0B44">
        <w:t xml:space="preserve"> </w:t>
      </w:r>
      <w:r w:rsidRPr="00427EE1">
        <w:t xml:space="preserve">of success and </w:t>
      </w:r>
      <w:r w:rsidR="00CB6664" w:rsidRPr="00427EE1">
        <w:t>return on investment</w:t>
      </w:r>
      <w:r w:rsidRPr="00427EE1">
        <w:t>.</w:t>
      </w:r>
    </w:p>
    <w:p w:rsidR="00E657D7" w:rsidRDefault="003448D2" w:rsidP="003448D2">
      <w:pPr>
        <w:pStyle w:val="Heading3"/>
        <w:rPr>
          <w:u w:val="single"/>
        </w:rPr>
      </w:pPr>
      <w:bookmarkStart w:id="169" w:name="_Toc481501593"/>
      <w:r>
        <w:t>4.1.3</w:t>
      </w:r>
      <w:r>
        <w:tab/>
      </w:r>
      <w:r w:rsidR="00296829">
        <w:t>E</w:t>
      </w:r>
      <w:r w:rsidR="00CB6664" w:rsidRPr="00427EE1">
        <w:t>valuation strategy</w:t>
      </w:r>
      <w:r w:rsidR="00296829">
        <w:t xml:space="preserve"> program</w:t>
      </w:r>
      <w:bookmarkEnd w:id="169"/>
    </w:p>
    <w:p w:rsidR="00E657D7" w:rsidRDefault="00E171BA" w:rsidP="00EE66E7">
      <w:pPr>
        <w:pStyle w:val="Heading4"/>
      </w:pPr>
      <w:r w:rsidRPr="00427EE1">
        <w:t xml:space="preserve">Year </w:t>
      </w:r>
      <w:r w:rsidR="00EE66E7">
        <w:t>o</w:t>
      </w:r>
      <w:r w:rsidRPr="00427EE1">
        <w:t xml:space="preserve">ne </w:t>
      </w:r>
      <w:r w:rsidR="00EE66E7">
        <w:t>(</w:t>
      </w:r>
      <w:r w:rsidRPr="00427EE1">
        <w:t>2017</w:t>
      </w:r>
      <w:r w:rsidR="00EE66E7">
        <w:t>–</w:t>
      </w:r>
      <w:r w:rsidRPr="00427EE1">
        <w:t>18</w:t>
      </w:r>
      <w:r w:rsidR="00EE66E7">
        <w:t>)</w:t>
      </w:r>
    </w:p>
    <w:p w:rsidR="00D615BC" w:rsidRPr="00427EE1" w:rsidRDefault="00E171BA" w:rsidP="001D2DA1">
      <w:r w:rsidRPr="00427EE1">
        <w:t xml:space="preserve">The </w:t>
      </w:r>
      <w:r w:rsidR="00195602">
        <w:t>department</w:t>
      </w:r>
      <w:r w:rsidRPr="00427EE1">
        <w:t xml:space="preserve"> will </w:t>
      </w:r>
      <w:r w:rsidR="00296829">
        <w:t>(</w:t>
      </w:r>
      <w:r w:rsidRPr="00427EE1">
        <w:t xml:space="preserve">in the 12 months after </w:t>
      </w:r>
      <w:r w:rsidR="00D90FC3">
        <w:t xml:space="preserve">the start </w:t>
      </w:r>
      <w:r w:rsidRPr="00427EE1">
        <w:t xml:space="preserve">of </w:t>
      </w:r>
      <w:r w:rsidR="00296829">
        <w:t xml:space="preserve">the proposed </w:t>
      </w:r>
      <w:r w:rsidR="008911CB">
        <w:t>Regulations</w:t>
      </w:r>
      <w:r w:rsidR="00296829">
        <w:t xml:space="preserve">) </w:t>
      </w:r>
      <w:r w:rsidRPr="00427EE1">
        <w:t xml:space="preserve">work with </w:t>
      </w:r>
      <w:r w:rsidR="00720C4E">
        <w:t>VBA</w:t>
      </w:r>
      <w:r w:rsidRPr="00427EE1">
        <w:t xml:space="preserve">, </w:t>
      </w:r>
      <w:r w:rsidR="00296829">
        <w:t xml:space="preserve">councils </w:t>
      </w:r>
      <w:r w:rsidRPr="00427EE1">
        <w:t>and industry stakeholders to identify and agree on the core data</w:t>
      </w:r>
      <w:r w:rsidR="00296829">
        <w:t>set</w:t>
      </w:r>
      <w:r w:rsidRPr="00427EE1">
        <w:t xml:space="preserve"> required to enable a more robust assessment of the need for future regulatory change</w:t>
      </w:r>
      <w:r w:rsidR="00296829">
        <w:t xml:space="preserve">. This is the </w:t>
      </w:r>
      <w:r w:rsidR="00DA2F1B" w:rsidRPr="00427EE1">
        <w:t>e</w:t>
      </w:r>
      <w:r w:rsidRPr="00427EE1">
        <w:t xml:space="preserve">vidence </w:t>
      </w:r>
      <w:r w:rsidR="00DA2F1B" w:rsidRPr="00427EE1">
        <w:t>i</w:t>
      </w:r>
      <w:r w:rsidRPr="00427EE1">
        <w:t xml:space="preserve">mprovement </w:t>
      </w:r>
      <w:r w:rsidR="00DA2F1B" w:rsidRPr="00427EE1">
        <w:t>p</w:t>
      </w:r>
      <w:r w:rsidRPr="00427EE1">
        <w:t>roject.</w:t>
      </w:r>
    </w:p>
    <w:p w:rsidR="00E171BA" w:rsidRPr="00427EE1" w:rsidRDefault="00E171BA" w:rsidP="00E171BA">
      <w:pPr>
        <w:rPr>
          <w:color w:val="642667" w:themeColor="text2"/>
        </w:rPr>
      </w:pPr>
      <w:r w:rsidRPr="00427EE1">
        <w:t xml:space="preserve">Engagement from key stakeholders will be fundamental to ensuring that future data collection will be efficient, relevant and consistent and that issues of data collection, management and retrieval will be addressed concurrently. The </w:t>
      </w:r>
      <w:r w:rsidR="00DA2F1B" w:rsidRPr="00427EE1">
        <w:t>e</w:t>
      </w:r>
      <w:r w:rsidRPr="00427EE1">
        <w:t xml:space="preserve">vidence </w:t>
      </w:r>
      <w:r w:rsidR="00DA2F1B" w:rsidRPr="00427EE1">
        <w:t>i</w:t>
      </w:r>
      <w:r w:rsidRPr="00427EE1">
        <w:t xml:space="preserve">mprovement </w:t>
      </w:r>
      <w:r w:rsidR="00DA2F1B" w:rsidRPr="00427EE1">
        <w:t>p</w:t>
      </w:r>
      <w:r w:rsidRPr="00427EE1">
        <w:t>roject is</w:t>
      </w:r>
      <w:r w:rsidR="00296829">
        <w:t xml:space="preserve"> explained </w:t>
      </w:r>
      <w:r w:rsidRPr="00427EE1">
        <w:t xml:space="preserve">in more detail in Chapter </w:t>
      </w:r>
      <w:r w:rsidR="001D5119">
        <w:t>A4.1 Evidence improvement project</w:t>
      </w:r>
      <w:r w:rsidRPr="00427EE1">
        <w:t>.</w:t>
      </w:r>
    </w:p>
    <w:p w:rsidR="00D615BC" w:rsidRPr="00427EE1" w:rsidRDefault="00296829" w:rsidP="001D2DA1">
      <w:r>
        <w:t>I</w:t>
      </w:r>
      <w:r w:rsidR="00E171BA" w:rsidRPr="00427EE1">
        <w:t>n 2017</w:t>
      </w:r>
      <w:r>
        <w:t>, the department will develop</w:t>
      </w:r>
      <w:r w:rsidR="00E171BA" w:rsidRPr="00427EE1">
        <w:t xml:space="preserve"> new </w:t>
      </w:r>
      <w:r w:rsidR="008911CB">
        <w:t>Regulations</w:t>
      </w:r>
      <w:r w:rsidR="00E171BA" w:rsidRPr="00427EE1">
        <w:t xml:space="preserve"> to implement </w:t>
      </w:r>
      <w:r w:rsidR="00195602">
        <w:t>the g</w:t>
      </w:r>
      <w:r w:rsidR="00E171BA" w:rsidRPr="00427EE1">
        <w:t xml:space="preserve">overnment’s second stage of legislative reforms. This work will commence concurrently with </w:t>
      </w:r>
      <w:r w:rsidR="00195602">
        <w:t>the g</w:t>
      </w:r>
      <w:r w:rsidR="00E171BA" w:rsidRPr="00427EE1">
        <w:t xml:space="preserve">overnment’s consideration of proposed legislative reforms. Targeted consultation will be undertaken on any </w:t>
      </w:r>
      <w:r w:rsidR="008911CB">
        <w:t>proposed Regulations</w:t>
      </w:r>
      <w:r w:rsidR="00E171BA" w:rsidRPr="00427EE1">
        <w:t xml:space="preserve">. The Building Regulations Advisory Committee will be a principal mechanism to test any </w:t>
      </w:r>
      <w:r w:rsidR="008911CB">
        <w:t>proposed Regulations</w:t>
      </w:r>
      <w:r w:rsidR="00E171BA" w:rsidRPr="00427EE1">
        <w:t>.</w:t>
      </w:r>
    </w:p>
    <w:p w:rsidR="00E171BA" w:rsidRPr="00427EE1" w:rsidRDefault="00E171BA" w:rsidP="001D2DA1">
      <w:pPr>
        <w:pStyle w:val="Heading4"/>
      </w:pPr>
      <w:r w:rsidRPr="00427EE1">
        <w:t xml:space="preserve">Years </w:t>
      </w:r>
      <w:r w:rsidR="00EE66E7">
        <w:t>t</w:t>
      </w:r>
      <w:r w:rsidRPr="00427EE1">
        <w:t xml:space="preserve">wo </w:t>
      </w:r>
      <w:r w:rsidR="00EE66E7">
        <w:t>and t</w:t>
      </w:r>
      <w:r w:rsidRPr="00427EE1">
        <w:t xml:space="preserve">hree </w:t>
      </w:r>
      <w:r w:rsidR="00EE66E7">
        <w:t>(</w:t>
      </w:r>
      <w:r w:rsidRPr="00427EE1">
        <w:t>2018</w:t>
      </w:r>
      <w:r w:rsidR="00EE66E7">
        <w:t>–</w:t>
      </w:r>
      <w:r w:rsidRPr="00427EE1">
        <w:t>1</w:t>
      </w:r>
      <w:r w:rsidR="00EE66E7">
        <w:t>9)</w:t>
      </w:r>
    </w:p>
    <w:p w:rsidR="00E171BA" w:rsidRPr="00427EE1" w:rsidRDefault="00E171BA" w:rsidP="001D2DA1">
      <w:r w:rsidRPr="00427EE1">
        <w:t xml:space="preserve">The regulatory review process has highlighted there is a need to further examine the fee structure to determine appropriate costs associated with a </w:t>
      </w:r>
      <w:r w:rsidR="00CA2F58">
        <w:t xml:space="preserve">council's </w:t>
      </w:r>
      <w:r w:rsidRPr="00427EE1">
        <w:t xml:space="preserve">discharge of its functions under the Act. </w:t>
      </w:r>
      <w:r w:rsidR="00A14EA0">
        <w:t>VBA</w:t>
      </w:r>
      <w:r w:rsidRPr="00427EE1">
        <w:t xml:space="preserve"> has commenced a review of its fee structure that will take into account the impact of recent and ongoing reforms to the building system on the cost of carrying out statutory functions. </w:t>
      </w:r>
      <w:r w:rsidR="00A14EA0">
        <w:t>VBA</w:t>
      </w:r>
      <w:r w:rsidR="00DA2F1B" w:rsidRPr="00427EE1">
        <w:t xml:space="preserve">’s </w:t>
      </w:r>
      <w:r w:rsidRPr="00427EE1">
        <w:t xml:space="preserve">review will not </w:t>
      </w:r>
      <w:r w:rsidR="00DA2F1B" w:rsidRPr="00427EE1">
        <w:t xml:space="preserve">be </w:t>
      </w:r>
      <w:r w:rsidRPr="00427EE1">
        <w:t>conclude</w:t>
      </w:r>
      <w:r w:rsidR="00DA2F1B" w:rsidRPr="00427EE1">
        <w:t>d</w:t>
      </w:r>
      <w:r w:rsidRPr="00427EE1">
        <w:t xml:space="preserve"> within the timeframe of this regulatory review.</w:t>
      </w:r>
    </w:p>
    <w:p w:rsidR="00E171BA" w:rsidRPr="00427EE1" w:rsidRDefault="001A4931" w:rsidP="001D2DA1">
      <w:pPr>
        <w:pStyle w:val="Normalpre-dotpoint"/>
      </w:pPr>
      <w:r w:rsidRPr="00427EE1">
        <w:t xml:space="preserve">The </w:t>
      </w:r>
      <w:r w:rsidR="00195602">
        <w:t>department</w:t>
      </w:r>
      <w:r w:rsidRPr="00427EE1">
        <w:t xml:space="preserve"> </w:t>
      </w:r>
      <w:r w:rsidR="00E171BA" w:rsidRPr="00427EE1">
        <w:t>propose</w:t>
      </w:r>
      <w:r w:rsidRPr="00427EE1">
        <w:t>s</w:t>
      </w:r>
      <w:r w:rsidR="00E171BA" w:rsidRPr="00427EE1">
        <w:t xml:space="preserve"> </w:t>
      </w:r>
      <w:r w:rsidR="008911CB">
        <w:t xml:space="preserve">to </w:t>
      </w:r>
      <w:r w:rsidRPr="00427EE1">
        <w:t xml:space="preserve">make </w:t>
      </w:r>
      <w:r w:rsidR="008911CB">
        <w:t>Regulations</w:t>
      </w:r>
      <w:r w:rsidR="00E171BA" w:rsidRPr="00427EE1">
        <w:t xml:space="preserve"> relating to fees with a three</w:t>
      </w:r>
      <w:r w:rsidR="00CA2F58">
        <w:t>-</w:t>
      </w:r>
      <w:r w:rsidR="00E171BA" w:rsidRPr="00427EE1">
        <w:t>year expiry date. A review process will commence in the 2018</w:t>
      </w:r>
      <w:r w:rsidR="00CA2F58">
        <w:t>–</w:t>
      </w:r>
      <w:r w:rsidR="00E171BA" w:rsidRPr="00427EE1">
        <w:t xml:space="preserve">19 year with new </w:t>
      </w:r>
      <w:r w:rsidR="008911CB">
        <w:t>Regulations</w:t>
      </w:r>
      <w:r w:rsidR="00E171BA" w:rsidRPr="00427EE1">
        <w:t xml:space="preserve"> to be in place by 5 June 2020 covering the review of:</w:t>
      </w:r>
    </w:p>
    <w:p w:rsidR="00E657D7" w:rsidRDefault="00CA2F58">
      <w:pPr>
        <w:pStyle w:val="Dotpoint"/>
      </w:pPr>
      <w:r>
        <w:t xml:space="preserve">council </w:t>
      </w:r>
      <w:r w:rsidR="00E171BA" w:rsidRPr="00427EE1">
        <w:t xml:space="preserve">and </w:t>
      </w:r>
      <w:r w:rsidR="00DA2F1B" w:rsidRPr="00427EE1">
        <w:t>r</w:t>
      </w:r>
      <w:r w:rsidR="00E171BA" w:rsidRPr="00427EE1">
        <w:t xml:space="preserve">eporting </w:t>
      </w:r>
      <w:r w:rsidR="00DA2F1B" w:rsidRPr="00427EE1">
        <w:t>a</w:t>
      </w:r>
      <w:r w:rsidR="00E171BA" w:rsidRPr="00427EE1">
        <w:t xml:space="preserve">uthority </w:t>
      </w:r>
      <w:r w:rsidR="00DA2F1B" w:rsidRPr="00427EE1">
        <w:t>f</w:t>
      </w:r>
      <w:r w:rsidR="00E171BA" w:rsidRPr="00427EE1">
        <w:t xml:space="preserve">ees prescribed under the </w:t>
      </w:r>
      <w:r w:rsidR="008911CB">
        <w:t>Regulations</w:t>
      </w:r>
      <w:r w:rsidR="00E171BA" w:rsidRPr="00427EE1">
        <w:t xml:space="preserve"> relating to</w:t>
      </w:r>
      <w:r>
        <w:t xml:space="preserve"> </w:t>
      </w:r>
      <w:r w:rsidR="00E171BA" w:rsidRPr="00427EE1">
        <w:t>building permits</w:t>
      </w:r>
      <w:r>
        <w:t xml:space="preserve">, </w:t>
      </w:r>
      <w:r w:rsidR="00E171BA" w:rsidRPr="00427EE1">
        <w:t>reports and consents</w:t>
      </w:r>
      <w:r>
        <w:t xml:space="preserve">, </w:t>
      </w:r>
      <w:r w:rsidR="00E171BA" w:rsidRPr="00427EE1">
        <w:t>lodgement of documents</w:t>
      </w:r>
      <w:r>
        <w:t xml:space="preserve"> and </w:t>
      </w:r>
      <w:r w:rsidR="00E171BA" w:rsidRPr="00427EE1">
        <w:t>information requests</w:t>
      </w:r>
      <w:r w:rsidR="00DA2F1B" w:rsidRPr="00427EE1">
        <w:t>.</w:t>
      </w:r>
    </w:p>
    <w:p w:rsidR="00E171BA" w:rsidRPr="00427EE1" w:rsidRDefault="006757E8" w:rsidP="00CA2F58">
      <w:pPr>
        <w:pStyle w:val="Dotpointlast"/>
      </w:pPr>
      <w:r>
        <w:t>VBA</w:t>
      </w:r>
      <w:r w:rsidR="00E171BA" w:rsidRPr="00427EE1">
        <w:t xml:space="preserve"> and </w:t>
      </w:r>
      <w:r w:rsidR="00CA2F58">
        <w:t xml:space="preserve">BAB </w:t>
      </w:r>
      <w:r w:rsidR="00DA2F1B" w:rsidRPr="00427EE1">
        <w:t>f</w:t>
      </w:r>
      <w:r w:rsidR="00E171BA" w:rsidRPr="00427EE1">
        <w:t>ees relating to applications for</w:t>
      </w:r>
      <w:r w:rsidR="00CA2F58">
        <w:t xml:space="preserve"> </w:t>
      </w:r>
      <w:r w:rsidR="00E171BA" w:rsidRPr="00427EE1">
        <w:t>product accreditation</w:t>
      </w:r>
      <w:r w:rsidR="00CA2F58">
        <w:t xml:space="preserve">, </w:t>
      </w:r>
      <w:r w:rsidR="00E171BA" w:rsidRPr="00427EE1">
        <w:t>duplicate building practitioner certificates</w:t>
      </w:r>
      <w:r w:rsidR="00CA2F58">
        <w:t xml:space="preserve">, </w:t>
      </w:r>
      <w:r w:rsidR="00E171BA" w:rsidRPr="00427EE1">
        <w:t>a range of appeal and review applications</w:t>
      </w:r>
      <w:r w:rsidR="00CA2F58">
        <w:t xml:space="preserve"> and </w:t>
      </w:r>
      <w:r w:rsidR="00E171BA" w:rsidRPr="00427EE1">
        <w:t>site inspections</w:t>
      </w:r>
      <w:r w:rsidR="00362039" w:rsidRPr="00427EE1">
        <w:t xml:space="preserve"> (if BAB advise that this needs to be retained as a separate fee</w:t>
      </w:r>
      <w:r w:rsidR="00CA2F58">
        <w:t>,</w:t>
      </w:r>
      <w:r w:rsidR="00362039" w:rsidRPr="00427EE1">
        <w:t xml:space="preserve"> because in the </w:t>
      </w:r>
      <w:r w:rsidR="008911CB">
        <w:t>proposed Regulations</w:t>
      </w:r>
      <w:r w:rsidR="00362039" w:rsidRPr="00427EE1">
        <w:t xml:space="preserve"> this fee has been removed as the </w:t>
      </w:r>
      <w:r w:rsidR="00195602">
        <w:t>department</w:t>
      </w:r>
      <w:r w:rsidR="00362039" w:rsidRPr="00427EE1">
        <w:t xml:space="preserve"> understands site </w:t>
      </w:r>
      <w:r w:rsidR="00BB3A66" w:rsidRPr="00427EE1">
        <w:t>visits</w:t>
      </w:r>
      <w:r w:rsidR="00362039" w:rsidRPr="00427EE1">
        <w:t xml:space="preserve"> are only undertaken in relation to fast</w:t>
      </w:r>
      <w:r w:rsidR="00CA2F58">
        <w:t>-</w:t>
      </w:r>
      <w:r w:rsidR="00362039" w:rsidRPr="00427EE1">
        <w:t>track appeals</w:t>
      </w:r>
      <w:r w:rsidR="00CA2F58">
        <w:t>)</w:t>
      </w:r>
      <w:r w:rsidR="00DA2F1B" w:rsidRPr="00427EE1">
        <w:t>.</w:t>
      </w:r>
    </w:p>
    <w:p w:rsidR="00E171BA" w:rsidRPr="00427EE1" w:rsidRDefault="00A14EA0" w:rsidP="001D2DA1">
      <w:r>
        <w:lastRenderedPageBreak/>
        <w:t>VBA</w:t>
      </w:r>
      <w:r w:rsidR="00E171BA" w:rsidRPr="00427EE1">
        <w:t xml:space="preserve"> is currently undergoing its own change management review to put into place new processes and practices that will respond to </w:t>
      </w:r>
      <w:r w:rsidR="00CA2F58">
        <w:t xml:space="preserve">the </w:t>
      </w:r>
      <w:r w:rsidR="00E171BA" w:rsidRPr="00427EE1">
        <w:t>building reforms</w:t>
      </w:r>
      <w:r w:rsidR="00CA2F58">
        <w:t xml:space="preserve"> </w:t>
      </w:r>
      <w:r w:rsidR="00E171BA" w:rsidRPr="00427EE1">
        <w:t>includ</w:t>
      </w:r>
      <w:r w:rsidR="00CA2F58">
        <w:t>ing</w:t>
      </w:r>
      <w:r w:rsidR="00E171BA" w:rsidRPr="00427EE1">
        <w:t xml:space="preserve"> consideration of fees and charges relating to the registration and building practitioner conduct functions that have been transferred to it from the now</w:t>
      </w:r>
      <w:r w:rsidR="00CA2F58">
        <w:t>-</w:t>
      </w:r>
      <w:r w:rsidR="00E171BA" w:rsidRPr="00427EE1">
        <w:t xml:space="preserve">abolished Building Practitioners Board. The </w:t>
      </w:r>
      <w:r w:rsidR="00195602">
        <w:t>department</w:t>
      </w:r>
      <w:r w:rsidR="00E171BA" w:rsidRPr="00427EE1">
        <w:t xml:space="preserve"> will work with </w:t>
      </w:r>
      <w:r w:rsidR="00720C4E">
        <w:t>VBA</w:t>
      </w:r>
      <w:r w:rsidR="00E171BA" w:rsidRPr="00427EE1">
        <w:t xml:space="preserve"> as its internal review progresses to ensure timely consideration of any necessary changes to </w:t>
      </w:r>
      <w:r w:rsidR="008911CB">
        <w:t>Regulations</w:t>
      </w:r>
      <w:r w:rsidR="00E171BA" w:rsidRPr="00427EE1">
        <w:t>.</w:t>
      </w:r>
    </w:p>
    <w:p w:rsidR="00D615BC" w:rsidRPr="00427EE1" w:rsidRDefault="00CB6664" w:rsidP="001D2DA1">
      <w:r w:rsidRPr="00427EE1">
        <w:t xml:space="preserve">The evaluation strategy will be adapted as necessary to respond to emerging directions following </w:t>
      </w:r>
      <w:r w:rsidR="00DA2F1B" w:rsidRPr="00427EE1">
        <w:t xml:space="preserve">parliament’s </w:t>
      </w:r>
      <w:r w:rsidRPr="00427EE1">
        <w:t>consideration of further legislative reforms</w:t>
      </w:r>
      <w:r w:rsidR="00CA2F58">
        <w:t>,</w:t>
      </w:r>
      <w:r w:rsidRPr="00427EE1">
        <w:t xml:space="preserve"> as well as </w:t>
      </w:r>
      <w:r w:rsidR="00CA2F58">
        <w:t xml:space="preserve">to </w:t>
      </w:r>
      <w:r w:rsidRPr="00427EE1">
        <w:t>emerging issues.</w:t>
      </w:r>
    </w:p>
    <w:p w:rsidR="00CB6664" w:rsidRPr="00427EE1" w:rsidRDefault="00CB6664" w:rsidP="001D2DA1">
      <w:pPr>
        <w:pStyle w:val="Normalpre-dotpoint"/>
      </w:pPr>
      <w:r w:rsidRPr="00427EE1">
        <w:t>Acknowledging that work is already underway to improve data identification</w:t>
      </w:r>
      <w:r w:rsidR="00CA2F58">
        <w:t xml:space="preserve">, </w:t>
      </w:r>
      <w:r w:rsidRPr="00427EE1">
        <w:t xml:space="preserve">the </w:t>
      </w:r>
      <w:r w:rsidR="00195602">
        <w:t>department</w:t>
      </w:r>
      <w:r w:rsidR="00DA2F1B" w:rsidRPr="00427EE1">
        <w:t xml:space="preserve"> with the assistance of </w:t>
      </w:r>
      <w:r w:rsidR="00720C4E">
        <w:t>VBA</w:t>
      </w:r>
      <w:r w:rsidR="00DA2F1B" w:rsidRPr="00427EE1">
        <w:t>,</w:t>
      </w:r>
      <w:r w:rsidRPr="00427EE1">
        <w:t xml:space="preserve"> will:</w:t>
      </w:r>
    </w:p>
    <w:p w:rsidR="00CB6664" w:rsidRPr="00427EE1" w:rsidRDefault="00CA2F58" w:rsidP="001D2DA1">
      <w:pPr>
        <w:pStyle w:val="Dotpoint"/>
      </w:pPr>
      <w:r>
        <w:t>c</w:t>
      </w:r>
      <w:r w:rsidR="00CB6664" w:rsidRPr="00427EE1">
        <w:t>onvene a small</w:t>
      </w:r>
      <w:r>
        <w:t>,</w:t>
      </w:r>
      <w:r w:rsidR="00CB6664" w:rsidRPr="00427EE1">
        <w:t xml:space="preserve"> stakeholder</w:t>
      </w:r>
      <w:r>
        <w:t>-</w:t>
      </w:r>
      <w:r w:rsidR="00CB6664" w:rsidRPr="00427EE1">
        <w:t>nominated working group to develop a minimum data</w:t>
      </w:r>
      <w:r w:rsidR="00D90FC3">
        <w:t>set</w:t>
      </w:r>
      <w:r w:rsidR="00CB6664" w:rsidRPr="00427EE1">
        <w:t xml:space="preserve"> to inform future data collection with the aim of finalising requirements by 30 June 2018</w:t>
      </w:r>
    </w:p>
    <w:p w:rsidR="00CB6664" w:rsidRPr="00427EE1" w:rsidRDefault="00CA2F58" w:rsidP="001D2DA1">
      <w:pPr>
        <w:pStyle w:val="Dotpoint"/>
      </w:pPr>
      <w:r>
        <w:t>e</w:t>
      </w:r>
      <w:r w:rsidR="00CB6664" w:rsidRPr="00427EE1">
        <w:t xml:space="preserve">stablish a stakeholder collaboration strategy to tackle data identification and collection </w:t>
      </w:r>
      <w:r>
        <w:t xml:space="preserve">issues, </w:t>
      </w:r>
      <w:r w:rsidR="00CB6664" w:rsidRPr="00427EE1">
        <w:t>that will set future expectations of data management accountabilities</w:t>
      </w:r>
      <w:r>
        <w:t>; a</w:t>
      </w:r>
      <w:r w:rsidR="00CB6664" w:rsidRPr="00427EE1">
        <w:t>t a minimum, at least two stakeholder forums will be held to enable consideration of issues from across the breadth of industry participants</w:t>
      </w:r>
    </w:p>
    <w:p w:rsidR="00CB6664" w:rsidRPr="00427EE1" w:rsidRDefault="00CA2F58" w:rsidP="001D2DA1">
      <w:pPr>
        <w:pStyle w:val="Dotpoint"/>
      </w:pPr>
      <w:r>
        <w:t>c</w:t>
      </w:r>
      <w:r w:rsidR="00CB6664" w:rsidRPr="00427EE1">
        <w:t xml:space="preserve">ontinue engagement with the </w:t>
      </w:r>
      <w:r w:rsidR="00DA2F1B" w:rsidRPr="00427EE1">
        <w:t xml:space="preserve">Office of the Commissioner for Better Regulation </w:t>
      </w:r>
      <w:r w:rsidR="00CB6664" w:rsidRPr="00427EE1">
        <w:t xml:space="preserve">to ensure expectations in relation to data capture are identified and resolved </w:t>
      </w:r>
      <w:r w:rsidR="00D90FC3">
        <w:t>before</w:t>
      </w:r>
      <w:r w:rsidR="00CB6664" w:rsidRPr="00427EE1">
        <w:t xml:space="preserve"> finalising the minimum data collections</w:t>
      </w:r>
    </w:p>
    <w:p w:rsidR="00CB6664" w:rsidRPr="00427EE1" w:rsidRDefault="00CA2F58" w:rsidP="001D2DA1">
      <w:pPr>
        <w:pStyle w:val="Dotpointlast"/>
      </w:pPr>
      <w:r>
        <w:t>e</w:t>
      </w:r>
      <w:r w:rsidR="00CB6664" w:rsidRPr="00427EE1">
        <w:t>stablish a consistent reporting mechanism that enables early identification of data gaps, collection limitations or any other limiting factors to enable issues to be remediated early in the collection process.</w:t>
      </w:r>
    </w:p>
    <w:p w:rsidR="00D615BC" w:rsidRPr="00427EE1" w:rsidRDefault="00CB6664" w:rsidP="001D2DA1">
      <w:r w:rsidRPr="00427EE1">
        <w:t>This approach will enable consideration of practical strategies to enable the development of better evidence</w:t>
      </w:r>
      <w:r w:rsidR="00181511">
        <w:t>-</w:t>
      </w:r>
      <w:r w:rsidRPr="00427EE1">
        <w:t>collection practices as industry stakeholders change their processes and practices in response to broader building reforms.</w:t>
      </w:r>
    </w:p>
    <w:p w:rsidR="004F7D03" w:rsidRPr="00427EE1" w:rsidRDefault="004F7D03">
      <w:pPr>
        <w:rPr>
          <w:rFonts w:ascii="Arial" w:hAnsi="Arial"/>
          <w:b/>
        </w:rPr>
      </w:pPr>
      <w:r w:rsidRPr="00427EE1">
        <w:rPr>
          <w:rFonts w:cstheme="minorHAnsi"/>
        </w:rPr>
        <w:br w:type="page"/>
      </w:r>
    </w:p>
    <w:p w:rsidR="00A13A98" w:rsidRPr="00427EE1" w:rsidRDefault="00A13A98" w:rsidP="00A13A98">
      <w:pPr>
        <w:rPr>
          <w:rFonts w:ascii="Arial" w:hAnsi="Arial"/>
          <w:b/>
        </w:rPr>
        <w:sectPr w:rsidR="00A13A98" w:rsidRPr="00427EE1" w:rsidSect="00842D04">
          <w:headerReference w:type="even" r:id="rId41"/>
          <w:headerReference w:type="default" r:id="rId42"/>
          <w:footerReference w:type="even" r:id="rId43"/>
          <w:pgSz w:w="11907" w:h="16840" w:code="9"/>
          <w:pgMar w:top="1418" w:right="1843" w:bottom="1418" w:left="1843" w:header="567" w:footer="567" w:gutter="0"/>
          <w:cols w:space="284"/>
          <w:docGrid w:linePitch="360"/>
        </w:sectPr>
      </w:pPr>
    </w:p>
    <w:p w:rsidR="00B751DE" w:rsidRDefault="003448D2" w:rsidP="003448D2">
      <w:pPr>
        <w:pStyle w:val="Heading1"/>
      </w:pPr>
      <w:bookmarkStart w:id="170" w:name="_Toc476064163"/>
      <w:bookmarkStart w:id="171" w:name="_Toc481501594"/>
      <w:r>
        <w:lastRenderedPageBreak/>
        <w:t>5</w:t>
      </w:r>
      <w:r>
        <w:tab/>
      </w:r>
      <w:r w:rsidR="00B751DE" w:rsidRPr="00427EE1">
        <w:t>Regulation change summary</w:t>
      </w:r>
      <w:bookmarkEnd w:id="170"/>
      <w:bookmarkEnd w:id="171"/>
    </w:p>
    <w:p w:rsidR="00E657D7" w:rsidRDefault="00C44680">
      <w:pPr>
        <w:pStyle w:val="Caption"/>
      </w:pPr>
      <w:bookmarkStart w:id="172" w:name="_Toc481499870"/>
      <w:r>
        <w:t>Table</w:t>
      </w:r>
      <w:r w:rsidR="004C29A2">
        <w:t xml:space="preserve"> 11</w:t>
      </w:r>
      <w:r>
        <w:t>: What the column headings mean</w:t>
      </w:r>
      <w:bookmarkEnd w:id="172"/>
    </w:p>
    <w:tbl>
      <w:tblPr>
        <w:tblW w:w="1453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6"/>
        <w:gridCol w:w="1764"/>
        <w:gridCol w:w="2640"/>
        <w:gridCol w:w="399"/>
        <w:gridCol w:w="399"/>
        <w:gridCol w:w="402"/>
        <w:gridCol w:w="400"/>
        <w:gridCol w:w="398"/>
        <w:gridCol w:w="6327"/>
      </w:tblGrid>
      <w:tr w:rsidR="00B751DE" w:rsidRPr="00427EE1" w:rsidTr="0074248C">
        <w:trPr>
          <w:cantSplit/>
          <w:trHeight w:val="299"/>
          <w:tblHeader/>
        </w:trPr>
        <w:tc>
          <w:tcPr>
            <w:tcW w:w="1806" w:type="dxa"/>
            <w:vMerge w:val="restart"/>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00B2A9" w:themeFill="accent1"/>
            <w:vAlign w:val="center"/>
            <w:hideMark/>
          </w:tcPr>
          <w:p w:rsidR="00E657D7" w:rsidRDefault="008F0E53">
            <w:pPr>
              <w:pStyle w:val="Tablecolumnhead"/>
              <w:rPr>
                <w:rFonts w:asciiTheme="majorHAnsi" w:eastAsia="Calibri" w:hAnsiTheme="majorHAnsi" w:cstheme="majorBidi"/>
                <w:sz w:val="40"/>
              </w:rPr>
            </w:pPr>
            <w:r w:rsidRPr="009B3662">
              <w:rPr>
                <w:rFonts w:eastAsia="Calibri"/>
              </w:rPr>
              <w:t>2006 Regulation</w:t>
            </w:r>
          </w:p>
        </w:tc>
        <w:tc>
          <w:tcPr>
            <w:tcW w:w="1764" w:type="dxa"/>
            <w:vMerge w:val="restart"/>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00B2A9" w:themeFill="accent1"/>
            <w:vAlign w:val="center"/>
            <w:hideMark/>
          </w:tcPr>
          <w:p w:rsidR="00E657D7" w:rsidRDefault="00873DF8">
            <w:pPr>
              <w:pStyle w:val="Tablecolumnhead"/>
              <w:rPr>
                <w:rFonts w:asciiTheme="majorHAnsi" w:eastAsiaTheme="majorEastAsia" w:hAnsiTheme="majorHAnsi" w:cstheme="majorBidi"/>
                <w:sz w:val="40"/>
              </w:rPr>
            </w:pPr>
            <w:r w:rsidRPr="009B3662">
              <w:rPr>
                <w:rFonts w:eastAsia="Calibri"/>
              </w:rPr>
              <w:t>2017 Regulation</w:t>
            </w:r>
          </w:p>
        </w:tc>
        <w:tc>
          <w:tcPr>
            <w:tcW w:w="2640" w:type="dxa"/>
            <w:vMerge w:val="restart"/>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00B2A9" w:themeFill="accent1"/>
            <w:vAlign w:val="center"/>
            <w:hideMark/>
          </w:tcPr>
          <w:p w:rsidR="00E657D7" w:rsidRDefault="00C46BF3">
            <w:pPr>
              <w:pStyle w:val="Tablecolumnhead"/>
              <w:rPr>
                <w:rFonts w:asciiTheme="majorHAnsi" w:eastAsia="Calibri" w:hAnsiTheme="majorHAnsi" w:cstheme="majorBidi"/>
                <w:sz w:val="40"/>
              </w:rPr>
            </w:pPr>
            <w:r w:rsidRPr="009B3662">
              <w:t xml:space="preserve">Short description of the </w:t>
            </w:r>
            <w:r w:rsidR="008911CB">
              <w:t>Regulation</w:t>
            </w:r>
          </w:p>
          <w:p w:rsidR="00E657D7" w:rsidRDefault="00E657D7">
            <w:pPr>
              <w:pStyle w:val="Tablecolumnhead"/>
              <w:rPr>
                <w:rFonts w:eastAsia="Calibri"/>
                <w:sz w:val="16"/>
              </w:rPr>
            </w:pPr>
          </w:p>
        </w:tc>
        <w:tc>
          <w:tcPr>
            <w:tcW w:w="1998" w:type="dxa"/>
            <w:gridSpan w:val="5"/>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00B2A9" w:themeFill="accent1"/>
            <w:vAlign w:val="center"/>
          </w:tcPr>
          <w:p w:rsidR="00E657D7" w:rsidRDefault="004F2685">
            <w:pPr>
              <w:pStyle w:val="Tablecolumnhead"/>
              <w:rPr>
                <w:rFonts w:asciiTheme="majorHAnsi" w:eastAsiaTheme="majorEastAsia" w:hAnsiTheme="majorHAnsi" w:cstheme="majorBidi"/>
                <w:sz w:val="40"/>
              </w:rPr>
            </w:pPr>
            <w:r w:rsidRPr="009B3662">
              <w:t>Proposed regulatory change</w:t>
            </w:r>
          </w:p>
        </w:tc>
        <w:tc>
          <w:tcPr>
            <w:tcW w:w="6327" w:type="dxa"/>
            <w:vMerge w:val="restart"/>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00B2A9" w:themeFill="accent1"/>
            <w:vAlign w:val="center"/>
          </w:tcPr>
          <w:p w:rsidR="00E657D7" w:rsidRDefault="00E657D7">
            <w:pPr>
              <w:pStyle w:val="Tablecolumnhead"/>
              <w:rPr>
                <w:sz w:val="16"/>
              </w:rPr>
            </w:pPr>
          </w:p>
          <w:p w:rsidR="00E657D7" w:rsidRDefault="00A15C90">
            <w:pPr>
              <w:pStyle w:val="Tablecolumnhead"/>
              <w:rPr>
                <w:rFonts w:asciiTheme="majorHAnsi" w:eastAsiaTheme="majorEastAsia" w:hAnsiTheme="majorHAnsi" w:cstheme="majorBidi"/>
                <w:sz w:val="40"/>
              </w:rPr>
            </w:pPr>
            <w:r w:rsidRPr="009B3662">
              <w:t>Why the 2017 Regulation is proposed</w:t>
            </w:r>
          </w:p>
        </w:tc>
      </w:tr>
      <w:tr w:rsidR="00B751DE" w:rsidRPr="00427EE1" w:rsidTr="0074248C">
        <w:trPr>
          <w:cantSplit/>
          <w:trHeight w:val="1086"/>
          <w:tblHeader/>
        </w:trPr>
        <w:tc>
          <w:tcPr>
            <w:tcW w:w="1806" w:type="dxa"/>
            <w:vMerge/>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D9D9D9"/>
            <w:vAlign w:val="center"/>
            <w:hideMark/>
          </w:tcPr>
          <w:p w:rsidR="00B751DE" w:rsidRPr="00427EE1" w:rsidRDefault="00B751DE" w:rsidP="00B751DE">
            <w:pPr>
              <w:spacing w:line="276" w:lineRule="auto"/>
              <w:jc w:val="center"/>
              <w:rPr>
                <w:rFonts w:ascii="Calibri" w:eastAsia="Calibri" w:hAnsi="Calibri"/>
                <w:sz w:val="16"/>
                <w:szCs w:val="16"/>
                <w:lang w:eastAsia="en-US"/>
              </w:rPr>
            </w:pPr>
          </w:p>
        </w:tc>
        <w:tc>
          <w:tcPr>
            <w:tcW w:w="1764" w:type="dxa"/>
            <w:vMerge/>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AFCA6"/>
            <w:vAlign w:val="center"/>
            <w:hideMark/>
          </w:tcPr>
          <w:p w:rsidR="00B751DE" w:rsidRPr="00427EE1" w:rsidRDefault="00B751DE" w:rsidP="00B751DE">
            <w:pPr>
              <w:spacing w:line="276" w:lineRule="auto"/>
              <w:jc w:val="center"/>
              <w:rPr>
                <w:rFonts w:ascii="Calibri" w:eastAsia="Calibri" w:hAnsi="Calibri"/>
                <w:sz w:val="16"/>
                <w:szCs w:val="16"/>
                <w:lang w:eastAsia="en-US"/>
              </w:rPr>
            </w:pPr>
          </w:p>
        </w:tc>
        <w:tc>
          <w:tcPr>
            <w:tcW w:w="2640" w:type="dxa"/>
            <w:vMerge/>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D9D9D9"/>
            <w:vAlign w:val="center"/>
          </w:tcPr>
          <w:p w:rsidR="00B751DE" w:rsidRPr="00427EE1" w:rsidRDefault="00B751DE" w:rsidP="00B751DE">
            <w:pPr>
              <w:spacing w:line="276" w:lineRule="auto"/>
              <w:jc w:val="center"/>
              <w:rPr>
                <w:rFonts w:ascii="Calibri" w:eastAsia="Calibri" w:hAnsi="Calibri"/>
                <w:sz w:val="16"/>
                <w:szCs w:val="16"/>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Mar>
              <w:left w:w="0" w:type="dxa"/>
            </w:tcMar>
            <w:textDirection w:val="btLr"/>
            <w:tcFitText/>
            <w:hideMark/>
          </w:tcPr>
          <w:p w:rsidR="00E657D7" w:rsidRDefault="008F0E53">
            <w:pPr>
              <w:spacing w:before="120" w:after="120" w:line="240" w:lineRule="auto"/>
              <w:ind w:left="113" w:right="113"/>
              <w:jc w:val="center"/>
              <w:rPr>
                <w:rFonts w:ascii="Calibri" w:eastAsiaTheme="majorEastAsia" w:hAnsi="Calibri" w:cstheme="majorBidi"/>
                <w:b/>
                <w:sz w:val="16"/>
                <w:lang w:eastAsia="en-US"/>
              </w:rPr>
            </w:pPr>
            <w:r w:rsidRPr="005719C2">
              <w:rPr>
                <w:rFonts w:ascii="Calibri" w:hAnsi="Calibri"/>
                <w:sz w:val="16"/>
                <w:lang w:eastAsia="en-US"/>
              </w:rPr>
              <w:t>Revoke</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Mar>
              <w:left w:w="0" w:type="dxa"/>
            </w:tcMar>
            <w:textDirection w:val="btLr"/>
            <w:tcFitText/>
          </w:tcPr>
          <w:p w:rsidR="00E657D7" w:rsidRDefault="008A3C08">
            <w:pPr>
              <w:spacing w:before="120" w:after="120" w:line="240" w:lineRule="auto"/>
              <w:ind w:left="113" w:right="113"/>
              <w:jc w:val="center"/>
              <w:rPr>
                <w:rFonts w:ascii="Calibri" w:eastAsiaTheme="majorEastAsia" w:hAnsi="Calibri" w:cstheme="majorBidi"/>
                <w:b/>
                <w:sz w:val="16"/>
                <w:lang w:eastAsia="en-US"/>
              </w:rPr>
            </w:pPr>
            <w:r w:rsidRPr="005719C2">
              <w:rPr>
                <w:rFonts w:ascii="Calibri" w:hAnsi="Calibri"/>
                <w:sz w:val="16"/>
                <w:lang w:eastAsia="en-US"/>
              </w:rPr>
              <w:t>No Change</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Mar>
              <w:left w:w="0" w:type="dxa"/>
            </w:tcMar>
            <w:textDirection w:val="btLr"/>
            <w:tcFitText/>
            <w:hideMark/>
          </w:tcPr>
          <w:p w:rsidR="00E657D7" w:rsidRDefault="008F0E53">
            <w:pPr>
              <w:spacing w:before="120" w:after="120" w:line="240" w:lineRule="auto"/>
              <w:ind w:left="113" w:right="113"/>
              <w:jc w:val="center"/>
              <w:rPr>
                <w:rFonts w:ascii="Calibri" w:eastAsiaTheme="majorEastAsia" w:hAnsi="Calibri" w:cstheme="majorBidi"/>
                <w:b/>
                <w:sz w:val="16"/>
                <w:lang w:eastAsia="en-US"/>
              </w:rPr>
            </w:pPr>
            <w:r w:rsidRPr="005719C2">
              <w:rPr>
                <w:rFonts w:ascii="Calibri" w:hAnsi="Calibri"/>
                <w:sz w:val="16"/>
                <w:lang w:eastAsia="en-US"/>
              </w:rPr>
              <w:t>Updated</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BCFFFB" w:themeFill="accent1" w:themeFillTint="33"/>
            <w:tcMar>
              <w:left w:w="0" w:type="dxa"/>
            </w:tcMar>
            <w:textDirection w:val="btLr"/>
            <w:tcFitText/>
            <w:hideMark/>
          </w:tcPr>
          <w:p w:rsidR="00E657D7" w:rsidRDefault="008E6EE3">
            <w:pPr>
              <w:spacing w:before="120" w:after="120" w:line="240" w:lineRule="auto"/>
              <w:ind w:left="113" w:right="113"/>
              <w:jc w:val="center"/>
              <w:rPr>
                <w:rFonts w:ascii="Calibri" w:eastAsiaTheme="majorEastAsia" w:hAnsi="Calibri" w:cstheme="majorBidi"/>
                <w:b/>
                <w:sz w:val="16"/>
                <w:lang w:eastAsia="en-US"/>
              </w:rPr>
            </w:pPr>
            <w:r w:rsidRPr="005719C2">
              <w:rPr>
                <w:rFonts w:ascii="Calibri" w:hAnsi="Calibri"/>
                <w:sz w:val="16"/>
                <w:lang w:eastAsia="en-US"/>
              </w:rPr>
              <w:t xml:space="preserve">Reduce </w:t>
            </w: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37FFF4" w:themeFill="accent1" w:themeFillTint="99"/>
            <w:tcMar>
              <w:left w:w="0" w:type="dxa"/>
            </w:tcMar>
            <w:textDirection w:val="btLr"/>
            <w:tcFitText/>
            <w:hideMark/>
          </w:tcPr>
          <w:p w:rsidR="00E657D7" w:rsidRDefault="008F0E53">
            <w:pPr>
              <w:spacing w:before="120" w:after="120" w:line="240" w:lineRule="auto"/>
              <w:ind w:left="113" w:right="113"/>
              <w:jc w:val="center"/>
              <w:rPr>
                <w:rFonts w:ascii="Calibri" w:eastAsiaTheme="majorEastAsia" w:hAnsi="Calibri" w:cstheme="majorBidi"/>
                <w:b/>
                <w:sz w:val="16"/>
                <w:lang w:eastAsia="en-US"/>
              </w:rPr>
            </w:pPr>
            <w:r w:rsidRPr="005719C2">
              <w:rPr>
                <w:rFonts w:ascii="Calibri" w:hAnsi="Calibri"/>
                <w:sz w:val="16"/>
                <w:lang w:eastAsia="en-US"/>
              </w:rPr>
              <w:t>Strengthen</w:t>
            </w:r>
          </w:p>
        </w:tc>
        <w:tc>
          <w:tcPr>
            <w:tcW w:w="6327" w:type="dxa"/>
            <w:vMerge/>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D9D9D9"/>
            <w:textDirection w:val="btLr"/>
          </w:tcPr>
          <w:p w:rsidR="00E657D7" w:rsidRDefault="00E657D7">
            <w:pPr>
              <w:spacing w:before="120" w:after="120" w:line="276" w:lineRule="auto"/>
              <w:ind w:left="113" w:right="113"/>
              <w:jc w:val="center"/>
              <w:rPr>
                <w:sz w:val="16"/>
                <w:szCs w:val="16"/>
                <w:lang w:eastAsia="en-US"/>
              </w:rPr>
            </w:pPr>
          </w:p>
        </w:tc>
      </w:tr>
      <w:tr w:rsidR="00B751DE" w:rsidRPr="00427EE1" w:rsidTr="0074248C">
        <w:trPr>
          <w:cantSplit/>
          <w:trHeight w:val="340"/>
        </w:trPr>
        <w:tc>
          <w:tcPr>
            <w:tcW w:w="180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925208">
            <w:pPr>
              <w:pStyle w:val="Tabletext"/>
              <w:rPr>
                <w:rFonts w:eastAsia="Calibri"/>
              </w:rPr>
            </w:pPr>
            <w:r w:rsidRPr="00427EE1">
              <w:rPr>
                <w:rFonts w:eastAsia="Calibri"/>
              </w:rPr>
              <w:t xml:space="preserve">The </w:t>
            </w:r>
            <w:r w:rsidR="008911CB">
              <w:rPr>
                <w:rFonts w:eastAsia="Calibri"/>
              </w:rPr>
              <w:t>Regulations</w:t>
            </w:r>
            <w:r w:rsidRPr="00427EE1">
              <w:rPr>
                <w:rFonts w:eastAsia="Calibri"/>
              </w:rPr>
              <w:t xml:space="preserve"> in this column correspond to the </w:t>
            </w:r>
            <w:r w:rsidR="008475D9">
              <w:rPr>
                <w:rFonts w:eastAsia="Calibri"/>
              </w:rPr>
              <w:t>(</w:t>
            </w:r>
            <w:r w:rsidRPr="00427EE1">
              <w:rPr>
                <w:rFonts w:eastAsia="Calibri"/>
              </w:rPr>
              <w:t>current</w:t>
            </w:r>
            <w:r w:rsidR="008475D9">
              <w:rPr>
                <w:rFonts w:eastAsia="Calibri"/>
              </w:rPr>
              <w:t>)</w:t>
            </w:r>
            <w:r w:rsidRPr="00427EE1">
              <w:rPr>
                <w:rFonts w:eastAsia="Calibri"/>
              </w:rPr>
              <w:t xml:space="preserve"> </w:t>
            </w:r>
            <w:r w:rsidR="00C85828" w:rsidRPr="00427EE1">
              <w:rPr>
                <w:rFonts w:eastAsia="Calibri"/>
              </w:rPr>
              <w:t>Building</w:t>
            </w:r>
            <w:r w:rsidRPr="00427EE1">
              <w:rPr>
                <w:rFonts w:eastAsia="Calibri"/>
              </w:rPr>
              <w:t xml:space="preserve"> Regulation 2006</w:t>
            </w:r>
          </w:p>
        </w:tc>
        <w:tc>
          <w:tcPr>
            <w:tcW w:w="176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This column will be chronological</w:t>
            </w:r>
            <w:r w:rsidR="008475D9">
              <w:rPr>
                <w:rFonts w:eastAsia="Calibri"/>
                <w:lang w:eastAsia="en-US"/>
              </w:rPr>
              <w:t>,</w:t>
            </w:r>
            <w:r w:rsidRPr="00427EE1">
              <w:rPr>
                <w:rFonts w:eastAsia="Calibri"/>
                <w:lang w:eastAsia="en-US"/>
              </w:rPr>
              <w:t xml:space="preserve"> based on the numbering of the proposed </w:t>
            </w:r>
            <w:r w:rsidR="00195602">
              <w:rPr>
                <w:rFonts w:eastAsia="Calibri"/>
                <w:lang w:eastAsia="en-US"/>
              </w:rPr>
              <w:t>Regulations</w:t>
            </w:r>
            <w:r w:rsidRPr="00427EE1">
              <w:rPr>
                <w:rFonts w:eastAsia="Calibri"/>
                <w:lang w:eastAsia="en-US"/>
              </w:rPr>
              <w:t xml:space="preserve"> </w:t>
            </w:r>
          </w:p>
        </w:tc>
        <w:tc>
          <w:tcPr>
            <w:tcW w:w="264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925208">
            <w:pPr>
              <w:pStyle w:val="Tabletext"/>
              <w:rPr>
                <w:rFonts w:asciiTheme="majorHAnsi" w:eastAsia="Calibri" w:hAnsiTheme="majorHAnsi" w:cstheme="majorBidi"/>
                <w:b/>
                <w:sz w:val="40"/>
                <w:lang w:eastAsia="en-US"/>
              </w:rPr>
            </w:pPr>
            <w:r w:rsidRPr="00427EE1">
              <w:rPr>
                <w:rFonts w:eastAsia="Calibri"/>
                <w:lang w:eastAsia="en-US"/>
              </w:rPr>
              <w:t xml:space="preserve">The text in this column describes what the proposed </w:t>
            </w:r>
            <w:r w:rsidR="008911CB">
              <w:rPr>
                <w:rFonts w:eastAsia="Calibri"/>
                <w:lang w:eastAsia="en-US"/>
              </w:rPr>
              <w:t>Regulations</w:t>
            </w:r>
            <w:r w:rsidRPr="00427EE1">
              <w:rPr>
                <w:rFonts w:eastAsia="Calibri"/>
                <w:lang w:eastAsia="en-US"/>
              </w:rPr>
              <w:t xml:space="preserve"> would do.</w:t>
            </w:r>
          </w:p>
        </w:tc>
        <w:tc>
          <w:tcPr>
            <w:tcW w:w="1998" w:type="dxa"/>
            <w:gridSpan w:val="5"/>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925208">
            <w:pPr>
              <w:pStyle w:val="Tabletext"/>
              <w:rPr>
                <w:rFonts w:asciiTheme="majorHAnsi" w:eastAsia="Calibri" w:hAnsiTheme="majorHAnsi" w:cstheme="majorBidi"/>
                <w:b/>
                <w:sz w:val="40"/>
                <w:lang w:eastAsia="en-US"/>
              </w:rPr>
            </w:pPr>
            <w:r w:rsidRPr="00427EE1">
              <w:rPr>
                <w:rFonts w:eastAsia="Calibri"/>
                <w:lang w:eastAsia="en-US"/>
              </w:rPr>
              <w:t>The ticks in these c</w:t>
            </w:r>
            <w:r w:rsidR="00B751DE" w:rsidRPr="00427EE1">
              <w:rPr>
                <w:rFonts w:eastAsia="Calibri"/>
                <w:lang w:eastAsia="en-US"/>
              </w:rPr>
              <w:t xml:space="preserve">olumns </w:t>
            </w:r>
            <w:r w:rsidRPr="00427EE1">
              <w:rPr>
                <w:rFonts w:eastAsia="Calibri"/>
                <w:lang w:eastAsia="en-US"/>
              </w:rPr>
              <w:t xml:space="preserve">are </w:t>
            </w:r>
            <w:r w:rsidR="00B751DE" w:rsidRPr="00427EE1">
              <w:rPr>
                <w:rFonts w:eastAsia="Calibri"/>
                <w:lang w:eastAsia="en-US"/>
              </w:rPr>
              <w:t>explained in the</w:t>
            </w:r>
            <w:r w:rsidR="00DA0F0A" w:rsidRPr="00427EE1">
              <w:rPr>
                <w:rFonts w:eastAsia="Calibri"/>
                <w:lang w:eastAsia="en-US"/>
              </w:rPr>
              <w:t xml:space="preserve"> </w:t>
            </w:r>
            <w:r w:rsidR="0074248C">
              <w:rPr>
                <w:rFonts w:eastAsia="Calibri"/>
                <w:lang w:eastAsia="en-US"/>
              </w:rPr>
              <w:t xml:space="preserve">next table </w:t>
            </w:r>
            <w:r w:rsidR="00B751DE" w:rsidRPr="00427EE1">
              <w:rPr>
                <w:rFonts w:eastAsia="Calibri"/>
                <w:lang w:eastAsia="en-US"/>
              </w:rPr>
              <w:t>below</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925208">
            <w:pPr>
              <w:pStyle w:val="Tabletext"/>
              <w:rPr>
                <w:rFonts w:asciiTheme="majorHAnsi" w:eastAsia="Calibri" w:hAnsiTheme="majorHAnsi" w:cstheme="majorBidi"/>
                <w:b/>
                <w:sz w:val="40"/>
                <w:lang w:eastAsia="en-US"/>
              </w:rPr>
            </w:pPr>
            <w:r w:rsidRPr="00427EE1">
              <w:rPr>
                <w:rFonts w:eastAsia="Calibri"/>
                <w:lang w:eastAsia="en-US"/>
              </w:rPr>
              <w:t>The text in this column e</w:t>
            </w:r>
            <w:r w:rsidR="00B751DE" w:rsidRPr="00427EE1">
              <w:rPr>
                <w:rFonts w:eastAsia="Calibri"/>
                <w:lang w:eastAsia="en-US"/>
              </w:rPr>
              <w:t xml:space="preserve">xplains why the </w:t>
            </w:r>
            <w:r w:rsidR="008911CB">
              <w:rPr>
                <w:rFonts w:eastAsia="Calibri"/>
                <w:lang w:eastAsia="en-US"/>
              </w:rPr>
              <w:t>Regulation</w:t>
            </w:r>
            <w:r w:rsidR="00B751DE" w:rsidRPr="00427EE1">
              <w:rPr>
                <w:rFonts w:eastAsia="Calibri"/>
                <w:lang w:eastAsia="en-US"/>
              </w:rPr>
              <w:t xml:space="preserve"> is </w:t>
            </w:r>
            <w:r w:rsidR="0074248C">
              <w:rPr>
                <w:rFonts w:eastAsia="Calibri"/>
                <w:lang w:eastAsia="en-US"/>
              </w:rPr>
              <w:t>proposed</w:t>
            </w:r>
            <w:r w:rsidR="00B751DE" w:rsidRPr="00427EE1">
              <w:rPr>
                <w:rFonts w:eastAsia="Calibri"/>
                <w:lang w:eastAsia="en-US"/>
              </w:rPr>
              <w:t>.</w:t>
            </w:r>
            <w:r w:rsidR="0074248C">
              <w:rPr>
                <w:rFonts w:eastAsia="Calibri"/>
                <w:lang w:eastAsia="en-US"/>
              </w:rPr>
              <w:t xml:space="preserve"> </w:t>
            </w:r>
            <w:r w:rsidR="00B751DE" w:rsidRPr="00427EE1">
              <w:rPr>
                <w:rFonts w:eastAsia="Calibri"/>
                <w:lang w:eastAsia="en-US"/>
              </w:rPr>
              <w:t xml:space="preserve">If a current </w:t>
            </w:r>
            <w:r w:rsidR="008911CB">
              <w:rPr>
                <w:rFonts w:eastAsia="Calibri"/>
                <w:lang w:eastAsia="en-US"/>
              </w:rPr>
              <w:t>Regulation</w:t>
            </w:r>
            <w:r w:rsidR="00B751DE" w:rsidRPr="00427EE1">
              <w:rPr>
                <w:rFonts w:eastAsia="Calibri"/>
                <w:lang w:eastAsia="en-US"/>
              </w:rPr>
              <w:t xml:space="preserve"> has changed, this change is described and where app</w:t>
            </w:r>
            <w:r w:rsidRPr="00427EE1">
              <w:rPr>
                <w:rFonts w:eastAsia="Calibri"/>
                <w:lang w:eastAsia="en-US"/>
              </w:rPr>
              <w:t>licable</w:t>
            </w:r>
            <w:r w:rsidR="00B751DE" w:rsidRPr="00427EE1">
              <w:rPr>
                <w:rFonts w:eastAsia="Calibri"/>
                <w:lang w:eastAsia="en-US"/>
              </w:rPr>
              <w:t xml:space="preserve"> the reason for the change has been explained.</w:t>
            </w:r>
          </w:p>
        </w:tc>
      </w:tr>
    </w:tbl>
    <w:p w:rsidR="00B751DE" w:rsidRDefault="00B751DE" w:rsidP="00C44680"/>
    <w:p w:rsidR="00E657D7" w:rsidRDefault="004C29A2">
      <w:pPr>
        <w:pStyle w:val="Caption"/>
      </w:pPr>
      <w:bookmarkStart w:id="173" w:name="_Toc481499871"/>
      <w:r>
        <w:t>Table 12</w:t>
      </w:r>
      <w:r w:rsidR="00C44680">
        <w:t>: What the ticks in the 'Proposed regulatory change' column mean</w:t>
      </w:r>
      <w:bookmarkEnd w:id="173"/>
    </w:p>
    <w:tbl>
      <w:tblPr>
        <w:tblW w:w="14569" w:type="dxa"/>
        <w:tblInd w:w="-144" w:type="dxa"/>
        <w:tblBorders>
          <w:top w:val="dotted" w:sz="4" w:space="0" w:color="00B2A9" w:themeColor="accent1"/>
          <w:left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2434"/>
        <w:gridCol w:w="3034"/>
        <w:gridCol w:w="3033"/>
        <w:gridCol w:w="3034"/>
        <w:gridCol w:w="3034"/>
      </w:tblGrid>
      <w:tr w:rsidR="00B751DE" w:rsidRPr="00427EE1" w:rsidTr="0074248C">
        <w:trPr>
          <w:cantSplit/>
          <w:trHeight w:val="55"/>
          <w:tblHeader/>
        </w:trPr>
        <w:tc>
          <w:tcPr>
            <w:tcW w:w="14569" w:type="dxa"/>
            <w:gridSpan w:val="5"/>
            <w:shd w:val="clear" w:color="auto" w:fill="00B2A9" w:themeFill="accent1"/>
          </w:tcPr>
          <w:p w:rsidR="00E657D7" w:rsidRDefault="00B751DE">
            <w:pPr>
              <w:pStyle w:val="Tablecolumnhead"/>
              <w:rPr>
                <w:rFonts w:asciiTheme="majorHAnsi" w:eastAsiaTheme="majorEastAsia" w:hAnsiTheme="majorHAnsi" w:cstheme="majorBidi"/>
                <w:sz w:val="40"/>
              </w:rPr>
            </w:pPr>
            <w:r w:rsidRPr="009B3662">
              <w:rPr>
                <w:szCs w:val="22"/>
              </w:rPr>
              <w:t>Regulatory change</w:t>
            </w:r>
            <w:r w:rsidR="00925208" w:rsidRPr="009B3662">
              <w:rPr>
                <w:szCs w:val="22"/>
              </w:rPr>
              <w:t xml:space="preserve"> –</w:t>
            </w:r>
            <w:r w:rsidR="003E7AAB" w:rsidRPr="009B3662">
              <w:rPr>
                <w:szCs w:val="22"/>
              </w:rPr>
              <w:t xml:space="preserve"> this table </w:t>
            </w:r>
            <w:r w:rsidR="00925208" w:rsidRPr="009B3662">
              <w:rPr>
                <w:szCs w:val="22"/>
              </w:rPr>
              <w:t xml:space="preserve">explains what a tick in </w:t>
            </w:r>
            <w:r w:rsidR="003E7AAB" w:rsidRPr="009B3662">
              <w:rPr>
                <w:szCs w:val="22"/>
              </w:rPr>
              <w:t>the</w:t>
            </w:r>
            <w:r w:rsidR="00925208" w:rsidRPr="009B3662">
              <w:rPr>
                <w:szCs w:val="22"/>
              </w:rPr>
              <w:t xml:space="preserve"> columns</w:t>
            </w:r>
            <w:r w:rsidR="003E7AAB" w:rsidRPr="009B3662">
              <w:rPr>
                <w:szCs w:val="22"/>
              </w:rPr>
              <w:t xml:space="preserve"> below</w:t>
            </w:r>
            <w:r w:rsidR="00925208" w:rsidRPr="009B3662">
              <w:rPr>
                <w:szCs w:val="22"/>
              </w:rPr>
              <w:t xml:space="preserve"> means</w:t>
            </w:r>
          </w:p>
        </w:tc>
      </w:tr>
      <w:tr w:rsidR="00B751DE" w:rsidRPr="0074248C" w:rsidTr="0074248C">
        <w:trPr>
          <w:cantSplit/>
          <w:trHeight w:val="55"/>
          <w:tblHeader/>
        </w:trPr>
        <w:tc>
          <w:tcPr>
            <w:tcW w:w="2434" w:type="dxa"/>
            <w:tcBorders>
              <w:bottom w:val="dotted" w:sz="4" w:space="0" w:color="00B2A9" w:themeColor="accent1"/>
            </w:tcBorders>
            <w:shd w:val="clear" w:color="auto" w:fill="auto"/>
            <w:vAlign w:val="center"/>
            <w:hideMark/>
          </w:tcPr>
          <w:p w:rsidR="00E657D7" w:rsidRDefault="00AC1A59">
            <w:pPr>
              <w:pStyle w:val="Tablecolumnhead"/>
              <w:rPr>
                <w:rFonts w:asciiTheme="majorHAnsi" w:eastAsiaTheme="majorEastAsia" w:hAnsiTheme="majorHAnsi" w:cstheme="majorBidi"/>
                <w:sz w:val="40"/>
              </w:rPr>
            </w:pPr>
            <w:r w:rsidRPr="00AC1A59">
              <w:rPr>
                <w:rFonts w:eastAsia="Calibri"/>
                <w:b w:val="0"/>
                <w:color w:val="auto"/>
              </w:rPr>
              <w:t>Revoke</w:t>
            </w:r>
          </w:p>
        </w:tc>
        <w:tc>
          <w:tcPr>
            <w:tcW w:w="3034" w:type="dxa"/>
            <w:tcBorders>
              <w:bottom w:val="dotted" w:sz="4" w:space="0" w:color="00B2A9" w:themeColor="accent1"/>
            </w:tcBorders>
            <w:shd w:val="clear" w:color="auto" w:fill="auto"/>
            <w:vAlign w:val="center"/>
            <w:hideMark/>
          </w:tcPr>
          <w:p w:rsidR="00E657D7" w:rsidRDefault="00AC1A59">
            <w:pPr>
              <w:pStyle w:val="Tablecolumnhead"/>
              <w:rPr>
                <w:b w:val="0"/>
              </w:rPr>
            </w:pPr>
            <w:r w:rsidRPr="00AC1A59">
              <w:rPr>
                <w:b w:val="0"/>
                <w:color w:val="auto"/>
              </w:rPr>
              <w:t xml:space="preserve">No change </w:t>
            </w:r>
          </w:p>
        </w:tc>
        <w:tc>
          <w:tcPr>
            <w:tcW w:w="3033" w:type="dxa"/>
            <w:tcBorders>
              <w:bottom w:val="dotted" w:sz="4" w:space="0" w:color="00B2A9" w:themeColor="accent1"/>
            </w:tcBorders>
            <w:shd w:val="clear" w:color="auto" w:fill="auto"/>
            <w:vAlign w:val="center"/>
            <w:hideMark/>
          </w:tcPr>
          <w:p w:rsidR="00E657D7" w:rsidRDefault="00AC1A59">
            <w:pPr>
              <w:pStyle w:val="Tablecolumnhead"/>
              <w:rPr>
                <w:b w:val="0"/>
              </w:rPr>
            </w:pPr>
            <w:r w:rsidRPr="00AC1A59">
              <w:rPr>
                <w:b w:val="0"/>
                <w:color w:val="auto"/>
              </w:rPr>
              <w:t xml:space="preserve">Updated </w:t>
            </w:r>
          </w:p>
        </w:tc>
        <w:tc>
          <w:tcPr>
            <w:tcW w:w="3034" w:type="dxa"/>
            <w:tcBorders>
              <w:bottom w:val="dotted" w:sz="4" w:space="0" w:color="00B2A9" w:themeColor="accent1"/>
            </w:tcBorders>
            <w:shd w:val="clear" w:color="auto" w:fill="BCFFFB" w:themeFill="accent1" w:themeFillTint="33"/>
            <w:vAlign w:val="center"/>
            <w:hideMark/>
          </w:tcPr>
          <w:p w:rsidR="00E657D7" w:rsidRDefault="00AC1A59">
            <w:pPr>
              <w:pStyle w:val="Tablecolumnhead"/>
              <w:rPr>
                <w:rFonts w:asciiTheme="majorHAnsi" w:eastAsiaTheme="majorEastAsia" w:hAnsiTheme="majorHAnsi" w:cstheme="majorBidi"/>
                <w:sz w:val="40"/>
              </w:rPr>
            </w:pPr>
            <w:r w:rsidRPr="00AC1A59">
              <w:rPr>
                <w:b w:val="0"/>
                <w:color w:val="auto"/>
              </w:rPr>
              <w:t>Reduce</w:t>
            </w:r>
          </w:p>
        </w:tc>
        <w:tc>
          <w:tcPr>
            <w:tcW w:w="3034" w:type="dxa"/>
            <w:tcBorders>
              <w:bottom w:val="dotted" w:sz="4" w:space="0" w:color="00B2A9" w:themeColor="accent1"/>
            </w:tcBorders>
            <w:shd w:val="clear" w:color="auto" w:fill="37FFF4" w:themeFill="accent1" w:themeFillTint="99"/>
            <w:vAlign w:val="center"/>
            <w:hideMark/>
          </w:tcPr>
          <w:p w:rsidR="00E657D7" w:rsidRDefault="00AC1A59">
            <w:pPr>
              <w:pStyle w:val="Tablecolumnhead"/>
              <w:rPr>
                <w:rFonts w:asciiTheme="majorHAnsi" w:eastAsiaTheme="majorEastAsia" w:hAnsiTheme="majorHAnsi" w:cstheme="majorBidi"/>
                <w:sz w:val="40"/>
              </w:rPr>
            </w:pPr>
            <w:r w:rsidRPr="00AC1A59">
              <w:rPr>
                <w:b w:val="0"/>
                <w:color w:val="auto"/>
              </w:rPr>
              <w:t>Strengthen</w:t>
            </w:r>
          </w:p>
        </w:tc>
      </w:tr>
      <w:tr w:rsidR="00B751DE" w:rsidRPr="00427EE1" w:rsidTr="0074248C">
        <w:trPr>
          <w:cantSplit/>
          <w:trHeight w:val="340"/>
        </w:trPr>
        <w:tc>
          <w:tcPr>
            <w:tcW w:w="2434" w:type="dxa"/>
            <w:tcBorders>
              <w:bottom w:val="dotted" w:sz="4" w:space="0" w:color="00B2A9" w:themeColor="accent1"/>
            </w:tcBorders>
            <w:shd w:val="clear" w:color="auto" w:fill="FFFFFF" w:themeFill="background1"/>
            <w:vAlign w:val="center"/>
            <w:hideMark/>
          </w:tcPr>
          <w:p w:rsidR="00E657D7" w:rsidRDefault="00B751DE">
            <w:pPr>
              <w:pStyle w:val="Tabletext"/>
              <w:rPr>
                <w:rFonts w:asciiTheme="majorHAnsi" w:eastAsia="Calibri" w:hAnsiTheme="majorHAnsi" w:cstheme="majorBidi"/>
                <w:b/>
                <w:sz w:val="40"/>
              </w:rPr>
            </w:pPr>
            <w:r w:rsidRPr="009B3662">
              <w:rPr>
                <w:rFonts w:eastAsia="Calibri"/>
              </w:rPr>
              <w:t xml:space="preserve">The </w:t>
            </w:r>
            <w:r w:rsidR="00493B8D">
              <w:rPr>
                <w:rFonts w:eastAsia="Calibri"/>
              </w:rPr>
              <w:t>current</w:t>
            </w:r>
            <w:r w:rsidR="00493B8D" w:rsidRPr="009B3662">
              <w:rPr>
                <w:rFonts w:eastAsia="Calibri"/>
              </w:rPr>
              <w:t xml:space="preserve"> </w:t>
            </w:r>
            <w:r w:rsidR="008911CB">
              <w:rPr>
                <w:rFonts w:eastAsia="Calibri"/>
              </w:rPr>
              <w:t>Regulation</w:t>
            </w:r>
            <w:r w:rsidRPr="009B3662">
              <w:rPr>
                <w:rFonts w:eastAsia="Calibri"/>
              </w:rPr>
              <w:t xml:space="preserve"> will </w:t>
            </w:r>
            <w:r w:rsidR="00925208" w:rsidRPr="009B3662">
              <w:rPr>
                <w:rFonts w:eastAsia="Calibri"/>
              </w:rPr>
              <w:t xml:space="preserve">not be remade as part of the </w:t>
            </w:r>
            <w:r w:rsidR="00195602">
              <w:rPr>
                <w:rFonts w:eastAsia="Calibri"/>
              </w:rPr>
              <w:t>proposed Regulations</w:t>
            </w:r>
            <w:r w:rsidR="00493B8D">
              <w:rPr>
                <w:rFonts w:eastAsia="Calibri"/>
              </w:rPr>
              <w:t>.</w:t>
            </w:r>
          </w:p>
        </w:tc>
        <w:tc>
          <w:tcPr>
            <w:tcW w:w="3034" w:type="dxa"/>
            <w:tcBorders>
              <w:bottom w:val="dotted" w:sz="4" w:space="0" w:color="00B2A9" w:themeColor="accent1"/>
            </w:tcBorders>
            <w:vAlign w:val="center"/>
            <w:hideMark/>
          </w:tcPr>
          <w:p w:rsidR="00E657D7" w:rsidRDefault="00493B8D">
            <w:pPr>
              <w:pStyle w:val="Tabletext"/>
              <w:rPr>
                <w:rFonts w:eastAsia="Calibri"/>
                <w:lang w:eastAsia="en-US"/>
              </w:rPr>
            </w:pPr>
            <w:r>
              <w:rPr>
                <w:rFonts w:eastAsia="Calibri"/>
                <w:lang w:eastAsia="en-US"/>
              </w:rPr>
              <w:t xml:space="preserve">The </w:t>
            </w:r>
            <w:r w:rsidR="008911CB">
              <w:rPr>
                <w:rFonts w:eastAsia="Calibri"/>
                <w:lang w:eastAsia="en-US"/>
              </w:rPr>
              <w:t xml:space="preserve">current </w:t>
            </w:r>
            <w:r w:rsidR="003E7AAB" w:rsidRPr="00427EE1">
              <w:rPr>
                <w:rFonts w:eastAsia="Calibri"/>
                <w:lang w:eastAsia="en-US"/>
              </w:rPr>
              <w:t xml:space="preserve">Regulation </w:t>
            </w:r>
            <w:r w:rsidR="00B751DE" w:rsidRPr="00427EE1">
              <w:rPr>
                <w:rFonts w:eastAsia="Calibri"/>
                <w:lang w:eastAsia="en-US"/>
              </w:rPr>
              <w:t>will be remade with no substantial change</w:t>
            </w:r>
            <w:r w:rsidR="003E7AAB" w:rsidRPr="00427EE1">
              <w:rPr>
                <w:rFonts w:eastAsia="Calibri"/>
                <w:lang w:eastAsia="en-US"/>
              </w:rPr>
              <w:t xml:space="preserve"> to </w:t>
            </w:r>
            <w:r>
              <w:rPr>
                <w:rFonts w:eastAsia="Calibri"/>
                <w:lang w:eastAsia="en-US"/>
              </w:rPr>
              <w:t xml:space="preserve">its </w:t>
            </w:r>
            <w:r w:rsidR="003E7AAB" w:rsidRPr="00427EE1">
              <w:rPr>
                <w:rFonts w:eastAsia="Calibri"/>
                <w:lang w:eastAsia="en-US"/>
              </w:rPr>
              <w:t>operation</w:t>
            </w:r>
            <w:r>
              <w:rPr>
                <w:rFonts w:eastAsia="Calibri"/>
                <w:lang w:eastAsia="en-US"/>
              </w:rPr>
              <w:t>,</w:t>
            </w:r>
            <w:r w:rsidR="003E7AAB" w:rsidRPr="00427EE1">
              <w:rPr>
                <w:rFonts w:eastAsia="Calibri"/>
                <w:lang w:eastAsia="en-US"/>
              </w:rPr>
              <w:t xml:space="preserve"> </w:t>
            </w:r>
            <w:r>
              <w:rPr>
                <w:rFonts w:eastAsia="Calibri"/>
                <w:lang w:eastAsia="en-US"/>
              </w:rPr>
              <w:t>but</w:t>
            </w:r>
            <w:r w:rsidR="00B751DE" w:rsidRPr="00427EE1">
              <w:rPr>
                <w:rFonts w:eastAsia="Calibri"/>
                <w:lang w:eastAsia="en-US"/>
              </w:rPr>
              <w:t xml:space="preserve"> </w:t>
            </w:r>
            <w:r w:rsidR="003E7AAB" w:rsidRPr="00427EE1">
              <w:rPr>
                <w:rFonts w:eastAsia="Calibri"/>
                <w:lang w:eastAsia="en-US"/>
              </w:rPr>
              <w:t>cross-</w:t>
            </w:r>
            <w:r w:rsidR="00B751DE" w:rsidRPr="00427EE1">
              <w:rPr>
                <w:rFonts w:eastAsia="Calibri"/>
                <w:lang w:eastAsia="en-US"/>
              </w:rPr>
              <w:t>references will be updated and</w:t>
            </w:r>
            <w:r w:rsidR="003E7AAB" w:rsidRPr="00427EE1">
              <w:rPr>
                <w:rFonts w:eastAsia="Calibri"/>
                <w:lang w:eastAsia="en-US"/>
              </w:rPr>
              <w:t xml:space="preserve"> the</w:t>
            </w:r>
            <w:r w:rsidR="00B751DE" w:rsidRPr="00427EE1">
              <w:rPr>
                <w:rFonts w:eastAsia="Calibri"/>
                <w:lang w:eastAsia="en-US"/>
              </w:rPr>
              <w:t xml:space="preserve"> language and structure of the </w:t>
            </w:r>
            <w:r w:rsidR="008911CB">
              <w:rPr>
                <w:rFonts w:eastAsia="Calibri"/>
                <w:lang w:eastAsia="en-US"/>
              </w:rPr>
              <w:t>Regulation</w:t>
            </w:r>
            <w:r w:rsidR="00B751DE" w:rsidRPr="00427EE1">
              <w:rPr>
                <w:rFonts w:eastAsia="Calibri"/>
                <w:lang w:eastAsia="en-US"/>
              </w:rPr>
              <w:t xml:space="preserve"> </w:t>
            </w:r>
            <w:r w:rsidR="003E7AAB" w:rsidRPr="00427EE1">
              <w:rPr>
                <w:rFonts w:eastAsia="Calibri"/>
                <w:lang w:eastAsia="en-US"/>
              </w:rPr>
              <w:t>will be modernised</w:t>
            </w:r>
            <w:r w:rsidR="00B751DE" w:rsidRPr="00427EE1">
              <w:rPr>
                <w:rFonts w:eastAsia="Calibri"/>
                <w:lang w:eastAsia="en-US"/>
              </w:rPr>
              <w:t>.</w:t>
            </w:r>
          </w:p>
        </w:tc>
        <w:tc>
          <w:tcPr>
            <w:tcW w:w="3033" w:type="dxa"/>
            <w:tcBorders>
              <w:bottom w:val="dotted" w:sz="4" w:space="0" w:color="00B2A9" w:themeColor="accent1"/>
            </w:tcBorders>
            <w:vAlign w:val="center"/>
            <w:hideMark/>
          </w:tcPr>
          <w:p w:rsidR="00E657D7" w:rsidRDefault="00493B8D">
            <w:pPr>
              <w:pStyle w:val="Tabletext"/>
              <w:rPr>
                <w:rFonts w:eastAsia="Calibri"/>
                <w:lang w:eastAsia="en-US"/>
              </w:rPr>
            </w:pPr>
            <w:r>
              <w:rPr>
                <w:rFonts w:eastAsia="Calibri"/>
                <w:lang w:eastAsia="en-US"/>
              </w:rPr>
              <w:t xml:space="preserve">The </w:t>
            </w:r>
            <w:r w:rsidR="008911CB">
              <w:rPr>
                <w:rFonts w:eastAsia="Calibri"/>
                <w:lang w:eastAsia="en-US"/>
              </w:rPr>
              <w:t xml:space="preserve">current </w:t>
            </w:r>
            <w:r w:rsidR="003E7AAB" w:rsidRPr="00427EE1">
              <w:rPr>
                <w:rFonts w:eastAsia="Calibri"/>
                <w:lang w:eastAsia="en-US"/>
              </w:rPr>
              <w:t xml:space="preserve">Regulation </w:t>
            </w:r>
            <w:r w:rsidR="00B751DE" w:rsidRPr="00427EE1">
              <w:rPr>
                <w:rFonts w:eastAsia="Calibri"/>
                <w:lang w:eastAsia="en-US"/>
              </w:rPr>
              <w:t>will be remade with one or more remedial amendments to address an issue</w:t>
            </w:r>
            <w:r w:rsidR="003E7AAB" w:rsidRPr="00427EE1">
              <w:rPr>
                <w:rFonts w:eastAsia="Calibri"/>
                <w:lang w:eastAsia="en-US"/>
              </w:rPr>
              <w:t xml:space="preserve"> with </w:t>
            </w:r>
            <w:r>
              <w:rPr>
                <w:rFonts w:eastAsia="Calibri"/>
                <w:lang w:eastAsia="en-US"/>
              </w:rPr>
              <w:t xml:space="preserve">its </w:t>
            </w:r>
            <w:r w:rsidR="003E7AAB" w:rsidRPr="00427EE1">
              <w:rPr>
                <w:rFonts w:eastAsia="Calibri"/>
                <w:lang w:eastAsia="en-US"/>
              </w:rPr>
              <w:t xml:space="preserve">operation </w:t>
            </w:r>
            <w:r>
              <w:rPr>
                <w:rFonts w:eastAsia="Calibri"/>
                <w:lang w:eastAsia="en-US"/>
              </w:rPr>
              <w:t>(</w:t>
            </w:r>
            <w:r w:rsidR="00B751DE" w:rsidRPr="00427EE1">
              <w:rPr>
                <w:rFonts w:eastAsia="Calibri"/>
                <w:lang w:eastAsia="en-US"/>
              </w:rPr>
              <w:t>such as ambiguity</w:t>
            </w:r>
            <w:r>
              <w:rPr>
                <w:rFonts w:eastAsia="Calibri"/>
                <w:lang w:eastAsia="en-US"/>
              </w:rPr>
              <w:t>)</w:t>
            </w:r>
            <w:r w:rsidR="00B751DE" w:rsidRPr="00427EE1">
              <w:rPr>
                <w:rFonts w:eastAsia="Calibri"/>
                <w:lang w:eastAsia="en-US"/>
              </w:rPr>
              <w:t xml:space="preserve">. </w:t>
            </w:r>
          </w:p>
        </w:tc>
        <w:tc>
          <w:tcPr>
            <w:tcW w:w="3034" w:type="dxa"/>
            <w:tcBorders>
              <w:bottom w:val="dotted" w:sz="4" w:space="0" w:color="00B2A9" w:themeColor="accent1"/>
            </w:tcBorders>
            <w:shd w:val="clear" w:color="auto" w:fill="BCFFFB" w:themeFill="accent1" w:themeFillTint="33"/>
            <w:vAlign w:val="center"/>
            <w:hideMark/>
          </w:tcPr>
          <w:p w:rsidR="00E657D7" w:rsidRDefault="00493B8D">
            <w:pPr>
              <w:pStyle w:val="Tabletext"/>
              <w:rPr>
                <w:rFonts w:eastAsia="Calibri"/>
                <w:lang w:eastAsia="en-US"/>
              </w:rPr>
            </w:pPr>
            <w:r>
              <w:rPr>
                <w:rFonts w:eastAsia="Calibri"/>
                <w:lang w:eastAsia="en-US"/>
              </w:rPr>
              <w:t xml:space="preserve">The </w:t>
            </w:r>
            <w:r w:rsidR="008911CB">
              <w:rPr>
                <w:rFonts w:eastAsia="Calibri"/>
                <w:lang w:eastAsia="en-US"/>
              </w:rPr>
              <w:t xml:space="preserve">current </w:t>
            </w:r>
            <w:r w:rsidR="003E7AAB" w:rsidRPr="00427EE1">
              <w:rPr>
                <w:rFonts w:eastAsia="Calibri"/>
                <w:lang w:eastAsia="en-US"/>
              </w:rPr>
              <w:t xml:space="preserve">Regulation </w:t>
            </w:r>
            <w:r w:rsidR="00B751DE" w:rsidRPr="00427EE1">
              <w:rPr>
                <w:rFonts w:eastAsia="Calibri"/>
                <w:lang w:eastAsia="en-US"/>
              </w:rPr>
              <w:t>is</w:t>
            </w:r>
            <w:r w:rsidR="00D71A15" w:rsidRPr="00427EE1">
              <w:rPr>
                <w:rFonts w:eastAsia="Calibri"/>
                <w:lang w:eastAsia="en-US"/>
              </w:rPr>
              <w:t xml:space="preserve"> </w:t>
            </w:r>
            <w:r w:rsidR="00B751DE" w:rsidRPr="00427EE1">
              <w:rPr>
                <w:rFonts w:eastAsia="Calibri"/>
                <w:lang w:eastAsia="en-US"/>
              </w:rPr>
              <w:t xml:space="preserve">amended to reduce the burden (compliance, administrative and other costs) associated with the </w:t>
            </w:r>
            <w:r w:rsidR="00C85828" w:rsidRPr="00427EE1">
              <w:rPr>
                <w:rFonts w:eastAsia="Calibri"/>
                <w:lang w:eastAsia="en-US"/>
              </w:rPr>
              <w:t>operation</w:t>
            </w:r>
            <w:r w:rsidR="003E7AAB" w:rsidRPr="00427EE1">
              <w:rPr>
                <w:rFonts w:eastAsia="Calibri"/>
                <w:lang w:eastAsia="en-US"/>
              </w:rPr>
              <w:t xml:space="preserve"> of the equivalent </w:t>
            </w:r>
            <w:r w:rsidR="008911CB">
              <w:rPr>
                <w:rFonts w:eastAsia="Calibri"/>
                <w:lang w:eastAsia="en-US"/>
              </w:rPr>
              <w:t>Regulation</w:t>
            </w:r>
            <w:r>
              <w:rPr>
                <w:rFonts w:eastAsia="Calibri"/>
                <w:lang w:eastAsia="en-US"/>
              </w:rPr>
              <w:t>.</w:t>
            </w:r>
          </w:p>
        </w:tc>
        <w:tc>
          <w:tcPr>
            <w:tcW w:w="3034" w:type="dxa"/>
            <w:tcBorders>
              <w:bottom w:val="dotted" w:sz="4" w:space="0" w:color="00B2A9" w:themeColor="accent1"/>
            </w:tcBorders>
            <w:shd w:val="clear" w:color="auto" w:fill="37FFF4" w:themeFill="accent1" w:themeFillTint="99"/>
            <w:vAlign w:val="center"/>
            <w:hideMark/>
          </w:tcPr>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A</w:t>
            </w:r>
            <w:r w:rsidR="008911CB">
              <w:rPr>
                <w:rFonts w:eastAsia="Calibri"/>
                <w:lang w:eastAsia="en-US"/>
              </w:rPr>
              <w:t xml:space="preserve"> current </w:t>
            </w:r>
            <w:r w:rsidR="003E7AAB" w:rsidRPr="00427EE1">
              <w:rPr>
                <w:rFonts w:eastAsia="Calibri"/>
                <w:lang w:eastAsia="en-US"/>
              </w:rPr>
              <w:t xml:space="preserve">Regulation </w:t>
            </w:r>
            <w:r w:rsidRPr="00427EE1">
              <w:rPr>
                <w:rFonts w:eastAsia="Calibri"/>
                <w:lang w:eastAsia="en-US"/>
              </w:rPr>
              <w:t xml:space="preserve">has been amended or a new </w:t>
            </w:r>
            <w:r w:rsidR="008911CB">
              <w:rPr>
                <w:rFonts w:eastAsia="Calibri"/>
                <w:lang w:eastAsia="en-US"/>
              </w:rPr>
              <w:t>Regulation</w:t>
            </w:r>
            <w:r w:rsidRPr="00427EE1">
              <w:rPr>
                <w:rFonts w:eastAsia="Calibri"/>
                <w:lang w:eastAsia="en-US"/>
              </w:rPr>
              <w:t xml:space="preserve"> introduced, to respond to new or emerging issues</w:t>
            </w:r>
            <w:r w:rsidR="003E7AAB" w:rsidRPr="00427EE1">
              <w:rPr>
                <w:rFonts w:eastAsia="Calibri"/>
                <w:lang w:eastAsia="en-US"/>
              </w:rPr>
              <w:t>.</w:t>
            </w:r>
          </w:p>
        </w:tc>
      </w:tr>
    </w:tbl>
    <w:p w:rsidR="00E657D7" w:rsidRDefault="00E657D7">
      <w:pPr>
        <w:rPr>
          <w:b/>
          <w:sz w:val="24"/>
        </w:rPr>
      </w:pPr>
    </w:p>
    <w:p w:rsidR="00B751DE" w:rsidRPr="00731DF4" w:rsidRDefault="004267C5" w:rsidP="006119D2">
      <w:pPr>
        <w:pStyle w:val="Heading3"/>
      </w:pPr>
      <w:bookmarkStart w:id="174" w:name="_Toc481501595"/>
      <w:r>
        <w:lastRenderedPageBreak/>
        <w:t xml:space="preserve">Pt </w:t>
      </w:r>
      <w:r w:rsidR="001D2DA1" w:rsidRPr="00731DF4">
        <w:t>1</w:t>
      </w:r>
      <w:r w:rsidR="008475D9">
        <w:t>—</w:t>
      </w:r>
      <w:r w:rsidR="001D2DA1" w:rsidRPr="00731DF4">
        <w:t>Preliminary</w:t>
      </w:r>
      <w:bookmarkEnd w:id="174"/>
    </w:p>
    <w:p w:rsidR="00B751DE" w:rsidRPr="00427EE1" w:rsidRDefault="005E2285" w:rsidP="006119D2">
      <w:pPr>
        <w:pStyle w:val="Heading4"/>
      </w:pPr>
      <w:proofErr w:type="spellStart"/>
      <w:r>
        <w:t>Div</w:t>
      </w:r>
      <w:proofErr w:type="spellEnd"/>
      <w:r w:rsidR="00B751DE" w:rsidRPr="00427EE1">
        <w:t xml:space="preserve"> 1</w:t>
      </w:r>
      <w:r w:rsidR="008475D9">
        <w:t>—</w:t>
      </w:r>
      <w:r w:rsidR="00B751DE" w:rsidRPr="00427EE1">
        <w:t>Introduction</w:t>
      </w:r>
    </w:p>
    <w:tbl>
      <w:tblPr>
        <w:tblW w:w="14538" w:type="dxa"/>
        <w:tblInd w:w="-161"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1022"/>
        <w:gridCol w:w="948"/>
        <w:gridCol w:w="4243"/>
        <w:gridCol w:w="399"/>
        <w:gridCol w:w="399"/>
        <w:gridCol w:w="402"/>
        <w:gridCol w:w="400"/>
        <w:gridCol w:w="398"/>
        <w:gridCol w:w="6327"/>
      </w:tblGrid>
      <w:tr w:rsidR="00B751DE" w:rsidRPr="00427EE1" w:rsidTr="0074248C">
        <w:trPr>
          <w:cantSplit/>
          <w:trHeight w:val="132"/>
          <w:tblHeader/>
        </w:trPr>
        <w:tc>
          <w:tcPr>
            <w:tcW w:w="1022" w:type="dxa"/>
            <w:vMerge w:val="restart"/>
            <w:shd w:val="clear" w:color="auto" w:fill="00B2A9" w:themeFill="accent1"/>
            <w:vAlign w:val="center"/>
            <w:hideMark/>
          </w:tcPr>
          <w:p w:rsidR="00E657D7" w:rsidRDefault="00B751DE">
            <w:pPr>
              <w:pStyle w:val="Tablecolumnhead"/>
              <w:rPr>
                <w:rFonts w:eastAsia="Calibri"/>
              </w:rPr>
            </w:pPr>
            <w:r w:rsidRPr="009B3662">
              <w:rPr>
                <w:rFonts w:eastAsia="Calibri"/>
              </w:rPr>
              <w:t>2006</w:t>
            </w:r>
          </w:p>
          <w:p w:rsidR="00E657D7" w:rsidRDefault="0074248C">
            <w:pPr>
              <w:pStyle w:val="Tablecolumnhead"/>
              <w:rPr>
                <w:rFonts w:eastAsia="Calibri"/>
              </w:rPr>
            </w:pPr>
            <w:r w:rsidRPr="00C44680">
              <w:rPr>
                <w:rFonts w:ascii="Arial Bold" w:eastAsia="Calibri" w:hAnsi="Arial Bold"/>
                <w:spacing w:val="-12"/>
                <w:sz w:val="16"/>
              </w:rPr>
              <w:t>Regulation</w:t>
            </w:r>
          </w:p>
        </w:tc>
        <w:tc>
          <w:tcPr>
            <w:tcW w:w="948" w:type="dxa"/>
            <w:vMerge w:val="restart"/>
            <w:shd w:val="clear" w:color="auto" w:fill="00B2A9" w:themeFill="accent1"/>
            <w:vAlign w:val="center"/>
            <w:hideMark/>
          </w:tcPr>
          <w:p w:rsidR="00E657D7" w:rsidRDefault="00B751DE">
            <w:pPr>
              <w:pStyle w:val="Tablecolumnhead"/>
              <w:rPr>
                <w:rFonts w:asciiTheme="majorHAnsi" w:eastAsiaTheme="majorEastAsia" w:hAnsiTheme="majorHAnsi" w:cstheme="majorBidi"/>
                <w:sz w:val="40"/>
              </w:rPr>
            </w:pPr>
            <w:r w:rsidRPr="009B3662">
              <w:rPr>
                <w:rFonts w:eastAsia="Calibri"/>
              </w:rPr>
              <w:t>2017</w:t>
            </w:r>
          </w:p>
          <w:p w:rsidR="00E657D7" w:rsidRDefault="0074248C">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E657D7" w:rsidRDefault="00B751DE">
            <w:pPr>
              <w:pStyle w:val="Tablecolumnhead"/>
              <w:rPr>
                <w:rFonts w:asciiTheme="majorHAnsi" w:eastAsia="Calibri" w:hAnsiTheme="majorHAnsi" w:cstheme="majorBidi"/>
                <w:sz w:val="40"/>
              </w:rPr>
            </w:pPr>
            <w:r w:rsidRPr="009B3662">
              <w:t xml:space="preserve">Short description of the </w:t>
            </w:r>
            <w:r w:rsidR="000273F9">
              <w:t>Regulation</w:t>
            </w:r>
          </w:p>
        </w:tc>
        <w:tc>
          <w:tcPr>
            <w:tcW w:w="1998" w:type="dxa"/>
            <w:gridSpan w:val="5"/>
            <w:shd w:val="clear" w:color="auto" w:fill="00B2A9" w:themeFill="accent1"/>
            <w:vAlign w:val="center"/>
          </w:tcPr>
          <w:p w:rsidR="00E657D7" w:rsidRDefault="00B751DE">
            <w:pPr>
              <w:pStyle w:val="Tablecolumnhead"/>
              <w:rPr>
                <w:rFonts w:asciiTheme="majorHAnsi" w:eastAsiaTheme="majorEastAsia" w:hAnsiTheme="majorHAnsi" w:cstheme="majorBidi"/>
                <w:sz w:val="40"/>
              </w:rPr>
            </w:pPr>
            <w:r w:rsidRPr="009B3662">
              <w:t>Proposed regulatory change</w:t>
            </w:r>
          </w:p>
        </w:tc>
        <w:tc>
          <w:tcPr>
            <w:tcW w:w="6327" w:type="dxa"/>
            <w:vMerge w:val="restart"/>
            <w:shd w:val="clear" w:color="auto" w:fill="00B2A9" w:themeFill="accent1"/>
            <w:vAlign w:val="center"/>
          </w:tcPr>
          <w:p w:rsidR="00E657D7" w:rsidRDefault="00B751DE">
            <w:pPr>
              <w:pStyle w:val="Tablecolumnhead"/>
              <w:rPr>
                <w:rFonts w:asciiTheme="majorHAnsi" w:eastAsiaTheme="majorEastAsia" w:hAnsiTheme="majorHAnsi" w:cstheme="majorBidi"/>
                <w:sz w:val="40"/>
              </w:rPr>
            </w:pPr>
            <w:r w:rsidRPr="009B3662">
              <w:t>Why the 2017 Regulation is proposed</w:t>
            </w:r>
          </w:p>
        </w:tc>
      </w:tr>
      <w:tr w:rsidR="00A358DC" w:rsidRPr="00427EE1" w:rsidTr="0074248C">
        <w:trPr>
          <w:cantSplit/>
          <w:trHeight w:val="944"/>
          <w:tblHeader/>
        </w:trPr>
        <w:tc>
          <w:tcPr>
            <w:tcW w:w="1022" w:type="dxa"/>
            <w:vMerge/>
            <w:shd w:val="clear" w:color="auto" w:fill="00B2A9" w:themeFill="accent1"/>
            <w:vAlign w:val="center"/>
            <w:hideMark/>
          </w:tcPr>
          <w:p w:rsidR="00B751DE" w:rsidRPr="00427EE1" w:rsidRDefault="00B751DE" w:rsidP="00B751DE">
            <w:pPr>
              <w:spacing w:line="276" w:lineRule="auto"/>
              <w:jc w:val="center"/>
              <w:rPr>
                <w:rFonts w:ascii="Calibri" w:eastAsia="Calibri" w:hAnsi="Calibri"/>
                <w:sz w:val="16"/>
                <w:szCs w:val="16"/>
                <w:lang w:eastAsia="en-US"/>
              </w:rPr>
            </w:pPr>
          </w:p>
        </w:tc>
        <w:tc>
          <w:tcPr>
            <w:tcW w:w="948" w:type="dxa"/>
            <w:vMerge/>
            <w:shd w:val="clear" w:color="auto" w:fill="00B2A9" w:themeFill="accent1"/>
            <w:vAlign w:val="center"/>
            <w:hideMark/>
          </w:tcPr>
          <w:p w:rsidR="00B751DE" w:rsidRPr="00427EE1" w:rsidRDefault="00B751DE" w:rsidP="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rsidP="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rsidP="00B751DE">
            <w:pPr>
              <w:spacing w:line="276" w:lineRule="auto"/>
              <w:ind w:left="113" w:right="113"/>
              <w:jc w:val="center"/>
              <w:rPr>
                <w:sz w:val="16"/>
                <w:szCs w:val="16"/>
                <w:lang w:eastAsia="en-US"/>
              </w:rPr>
            </w:pPr>
          </w:p>
        </w:tc>
      </w:tr>
      <w:tr w:rsidR="00B751DE" w:rsidRPr="00427EE1" w:rsidTr="0074248C">
        <w:trPr>
          <w:cantSplit/>
          <w:trHeight w:val="340"/>
        </w:trPr>
        <w:tc>
          <w:tcPr>
            <w:tcW w:w="1022" w:type="dxa"/>
            <w:vAlign w:val="center"/>
          </w:tcPr>
          <w:p w:rsidR="00E657D7" w:rsidRDefault="00B751DE">
            <w:pPr>
              <w:pStyle w:val="Tabletext"/>
              <w:rPr>
                <w:rFonts w:eastAsia="Calibri"/>
              </w:rPr>
            </w:pPr>
            <w:r w:rsidRPr="00427EE1">
              <w:rPr>
                <w:rFonts w:eastAsia="Calibri"/>
              </w:rPr>
              <w:t>101</w:t>
            </w:r>
          </w:p>
        </w:tc>
        <w:tc>
          <w:tcPr>
            <w:tcW w:w="948" w:type="dxa"/>
            <w:vAlign w:val="center"/>
          </w:tcPr>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1</w:t>
            </w:r>
          </w:p>
        </w:tc>
        <w:tc>
          <w:tcPr>
            <w:tcW w:w="4243" w:type="dxa"/>
          </w:tcPr>
          <w:p w:rsidR="00E657D7" w:rsidRDefault="00B751DE">
            <w:pPr>
              <w:pStyle w:val="Tabletext"/>
              <w:rPr>
                <w:rFonts w:asciiTheme="majorHAnsi" w:eastAsia="Calibri" w:hAnsiTheme="majorHAnsi" w:cstheme="majorBidi"/>
                <w:b/>
                <w:sz w:val="40"/>
                <w:lang w:eastAsia="en-US"/>
              </w:rPr>
            </w:pPr>
            <w:r w:rsidRPr="00427EE1">
              <w:rPr>
                <w:rFonts w:eastAsia="Calibri"/>
                <w:b/>
                <w:lang w:eastAsia="en-US"/>
              </w:rPr>
              <w:t>Objectives</w:t>
            </w:r>
          </w:p>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 xml:space="preserve">States the objectives of the proposed </w:t>
            </w:r>
            <w:r w:rsidR="005719C2">
              <w:rPr>
                <w:rFonts w:eastAsia="Calibri"/>
                <w:lang w:eastAsia="en-US"/>
              </w:rPr>
              <w:t>Regulations</w:t>
            </w:r>
            <w:r w:rsidR="005804C3">
              <w:rPr>
                <w:rFonts w:eastAsia="Calibri"/>
                <w:lang w:eastAsia="en-US"/>
              </w:rPr>
              <w:t>.</w:t>
            </w:r>
          </w:p>
        </w:tc>
        <w:tc>
          <w:tcPr>
            <w:tcW w:w="399"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9"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400"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8"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6327" w:type="dxa"/>
            <w:vAlign w:val="center"/>
          </w:tcPr>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 xml:space="preserve">An objectives clause must be included in all </w:t>
            </w:r>
            <w:r w:rsidR="008911CB">
              <w:rPr>
                <w:rFonts w:eastAsia="Calibri"/>
                <w:lang w:eastAsia="en-US"/>
              </w:rPr>
              <w:t>Regulations</w:t>
            </w:r>
            <w:r w:rsidRPr="00427EE1">
              <w:rPr>
                <w:rFonts w:eastAsia="Calibri"/>
                <w:lang w:eastAsia="en-US"/>
              </w:rPr>
              <w:t xml:space="preserve">. The Regulations deal with matters within the scope of regulatory objectives. </w:t>
            </w:r>
          </w:p>
        </w:tc>
      </w:tr>
      <w:tr w:rsidR="00B751DE" w:rsidRPr="00427EE1" w:rsidTr="0074248C">
        <w:trPr>
          <w:cantSplit/>
          <w:trHeight w:val="340"/>
        </w:trPr>
        <w:tc>
          <w:tcPr>
            <w:tcW w:w="1022" w:type="dxa"/>
            <w:vAlign w:val="center"/>
          </w:tcPr>
          <w:p w:rsidR="00E657D7" w:rsidRDefault="00B751DE">
            <w:pPr>
              <w:pStyle w:val="Tabletext"/>
              <w:rPr>
                <w:rFonts w:eastAsia="Calibri"/>
              </w:rPr>
            </w:pPr>
            <w:r w:rsidRPr="00427EE1">
              <w:rPr>
                <w:rFonts w:eastAsia="Calibri"/>
              </w:rPr>
              <w:t>102</w:t>
            </w:r>
          </w:p>
        </w:tc>
        <w:tc>
          <w:tcPr>
            <w:tcW w:w="948" w:type="dxa"/>
            <w:vAlign w:val="center"/>
          </w:tcPr>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2</w:t>
            </w:r>
          </w:p>
        </w:tc>
        <w:tc>
          <w:tcPr>
            <w:tcW w:w="4243" w:type="dxa"/>
          </w:tcPr>
          <w:p w:rsidR="00E657D7" w:rsidRDefault="00B751DE">
            <w:pPr>
              <w:pStyle w:val="Tabletext"/>
              <w:rPr>
                <w:rFonts w:asciiTheme="majorHAnsi" w:eastAsia="Calibri" w:hAnsiTheme="majorHAnsi" w:cstheme="majorBidi"/>
                <w:b/>
                <w:sz w:val="40"/>
              </w:rPr>
            </w:pPr>
            <w:r w:rsidRPr="00427EE1">
              <w:rPr>
                <w:rFonts w:eastAsia="Calibri"/>
                <w:b/>
              </w:rPr>
              <w:t>Authorising provisions</w:t>
            </w:r>
          </w:p>
          <w:p w:rsidR="00E657D7" w:rsidRDefault="00B751DE">
            <w:pPr>
              <w:pStyle w:val="Tabletext"/>
              <w:rPr>
                <w:rFonts w:asciiTheme="majorHAnsi" w:eastAsia="Calibri" w:hAnsiTheme="majorHAnsi" w:cstheme="majorBidi"/>
                <w:b/>
                <w:sz w:val="40"/>
                <w:lang w:eastAsia="en-US"/>
              </w:rPr>
            </w:pPr>
            <w:r w:rsidRPr="00427EE1">
              <w:rPr>
                <w:rFonts w:eastAsia="Calibri"/>
              </w:rPr>
              <w:t xml:space="preserve">States the provisions of the </w:t>
            </w:r>
            <w:r w:rsidRPr="00427EE1">
              <w:rPr>
                <w:rFonts w:eastAsia="Calibri"/>
                <w:i/>
              </w:rPr>
              <w:t>Building Act 1993</w:t>
            </w:r>
            <w:r w:rsidRPr="00427EE1">
              <w:rPr>
                <w:rFonts w:eastAsia="Calibri"/>
              </w:rPr>
              <w:t xml:space="preserve"> (the Act) which authorise the </w:t>
            </w:r>
            <w:r w:rsidR="006B6636" w:rsidRPr="00427EE1">
              <w:rPr>
                <w:rFonts w:eastAsia="Calibri"/>
              </w:rPr>
              <w:t xml:space="preserve">making of the </w:t>
            </w:r>
            <w:r w:rsidRPr="00427EE1">
              <w:rPr>
                <w:rFonts w:eastAsia="Calibri"/>
              </w:rPr>
              <w:t>Regulations.</w:t>
            </w:r>
            <w:r w:rsidR="00D71A15" w:rsidRPr="00427EE1">
              <w:rPr>
                <w:rFonts w:eastAsia="Calibri"/>
              </w:rPr>
              <w:t xml:space="preserve"> </w:t>
            </w:r>
          </w:p>
        </w:tc>
        <w:tc>
          <w:tcPr>
            <w:tcW w:w="399"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9"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400"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8"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6327" w:type="dxa"/>
            <w:vAlign w:val="center"/>
          </w:tcPr>
          <w:p w:rsidR="00E657D7" w:rsidRDefault="00B751DE">
            <w:pPr>
              <w:pStyle w:val="Tabletext"/>
              <w:rPr>
                <w:rFonts w:eastAsia="Calibri"/>
                <w:i/>
                <w:sz w:val="16"/>
                <w:szCs w:val="16"/>
              </w:rPr>
            </w:pPr>
            <w:r w:rsidRPr="00427EE1">
              <w:rPr>
                <w:rFonts w:eastAsia="Calibri"/>
              </w:rPr>
              <w:t xml:space="preserve">This </w:t>
            </w:r>
            <w:r w:rsidR="008911CB">
              <w:rPr>
                <w:rFonts w:eastAsia="Calibri"/>
              </w:rPr>
              <w:t>Regulation</w:t>
            </w:r>
            <w:r w:rsidRPr="00427EE1">
              <w:rPr>
                <w:rFonts w:eastAsia="Calibri"/>
              </w:rPr>
              <w:t xml:space="preserve"> cites the general regulation-making powers in the Act that support the making of the proposed </w:t>
            </w:r>
            <w:r w:rsidR="005804C3">
              <w:rPr>
                <w:rFonts w:eastAsia="Calibri"/>
              </w:rPr>
              <w:t>(</w:t>
            </w:r>
            <w:r w:rsidRPr="00427EE1">
              <w:rPr>
                <w:rFonts w:eastAsia="Calibri"/>
              </w:rPr>
              <w:t>2017</w:t>
            </w:r>
            <w:r w:rsidR="005804C3">
              <w:rPr>
                <w:rFonts w:eastAsia="Calibri"/>
              </w:rPr>
              <w:t>)</w:t>
            </w:r>
            <w:r w:rsidRPr="00427EE1">
              <w:rPr>
                <w:rFonts w:eastAsia="Calibri"/>
              </w:rPr>
              <w:t xml:space="preserve"> Regulations. </w:t>
            </w:r>
          </w:p>
        </w:tc>
      </w:tr>
      <w:tr w:rsidR="00B751DE" w:rsidRPr="00427EE1" w:rsidTr="0074248C">
        <w:trPr>
          <w:cantSplit/>
          <w:trHeight w:val="340"/>
        </w:trPr>
        <w:tc>
          <w:tcPr>
            <w:tcW w:w="1022" w:type="dxa"/>
            <w:vAlign w:val="center"/>
          </w:tcPr>
          <w:p w:rsidR="00E657D7" w:rsidRDefault="00B751DE">
            <w:pPr>
              <w:pStyle w:val="Tabletext"/>
              <w:rPr>
                <w:rFonts w:eastAsia="Calibri"/>
              </w:rPr>
            </w:pPr>
            <w:r w:rsidRPr="00427EE1">
              <w:rPr>
                <w:rFonts w:eastAsia="Calibri"/>
              </w:rPr>
              <w:t>103</w:t>
            </w:r>
          </w:p>
        </w:tc>
        <w:tc>
          <w:tcPr>
            <w:tcW w:w="948" w:type="dxa"/>
            <w:vAlign w:val="center"/>
          </w:tcPr>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3</w:t>
            </w:r>
          </w:p>
        </w:tc>
        <w:tc>
          <w:tcPr>
            <w:tcW w:w="4243" w:type="dxa"/>
          </w:tcPr>
          <w:p w:rsidR="00E657D7" w:rsidRDefault="00B751DE">
            <w:pPr>
              <w:pStyle w:val="Tabletext"/>
              <w:rPr>
                <w:rFonts w:asciiTheme="majorHAnsi" w:eastAsia="Calibri" w:hAnsiTheme="majorHAnsi" w:cstheme="majorBidi"/>
                <w:b/>
                <w:sz w:val="40"/>
              </w:rPr>
            </w:pPr>
            <w:r w:rsidRPr="00427EE1">
              <w:rPr>
                <w:rFonts w:eastAsia="Calibri"/>
                <w:b/>
              </w:rPr>
              <w:t>Commencement</w:t>
            </w:r>
          </w:p>
          <w:p w:rsidR="00E657D7" w:rsidRDefault="00B751DE">
            <w:pPr>
              <w:pStyle w:val="Tabletext"/>
              <w:rPr>
                <w:rFonts w:eastAsia="Calibri"/>
                <w:b/>
                <w:lang w:eastAsia="en-US"/>
              </w:rPr>
            </w:pPr>
            <w:r w:rsidRPr="00427EE1">
              <w:rPr>
                <w:rFonts w:eastAsia="Calibri"/>
              </w:rPr>
              <w:t>The commencement clause specifies the day on which the Regulations would come into operation.</w:t>
            </w:r>
            <w:r w:rsidR="00D71A15" w:rsidRPr="00427EE1">
              <w:rPr>
                <w:rFonts w:eastAsia="Calibri"/>
              </w:rPr>
              <w:t xml:space="preserve"> </w:t>
            </w:r>
            <w:r w:rsidRPr="00427EE1">
              <w:rPr>
                <w:rFonts w:eastAsia="Calibri"/>
              </w:rPr>
              <w:t xml:space="preserve">This </w:t>
            </w:r>
            <w:r w:rsidR="008911CB">
              <w:rPr>
                <w:rFonts w:eastAsia="Calibri"/>
              </w:rPr>
              <w:t>Regulation</w:t>
            </w:r>
            <w:r w:rsidRPr="00427EE1">
              <w:rPr>
                <w:rFonts w:eastAsia="Calibri"/>
              </w:rPr>
              <w:t xml:space="preserve"> specifies the Regulations are to come into operation on 1 June 2017.</w:t>
            </w:r>
            <w:r w:rsidR="00D71A15" w:rsidRPr="00427EE1">
              <w:rPr>
                <w:rFonts w:eastAsia="Calibri"/>
              </w:rPr>
              <w:t xml:space="preserve"> </w:t>
            </w:r>
          </w:p>
        </w:tc>
        <w:tc>
          <w:tcPr>
            <w:tcW w:w="399"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9"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402"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8"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6327" w:type="dxa"/>
            <w:vAlign w:val="center"/>
          </w:tcPr>
          <w:p w:rsidR="00E657D7" w:rsidRDefault="006B6636">
            <w:pPr>
              <w:pStyle w:val="Tabletext"/>
              <w:rPr>
                <w:rFonts w:eastAsia="Calibri"/>
              </w:rPr>
            </w:pPr>
            <w:r w:rsidRPr="00427EE1">
              <w:rPr>
                <w:rFonts w:eastAsia="Calibri"/>
              </w:rPr>
              <w:t xml:space="preserve">This </w:t>
            </w:r>
            <w:r w:rsidR="008911CB">
              <w:rPr>
                <w:rFonts w:eastAsia="Calibri"/>
              </w:rPr>
              <w:t>Regulation</w:t>
            </w:r>
            <w:r w:rsidRPr="00427EE1">
              <w:rPr>
                <w:rFonts w:eastAsia="Calibri"/>
              </w:rPr>
              <w:t xml:space="preserve"> is required because the </w:t>
            </w:r>
            <w:r w:rsidR="008911CB">
              <w:rPr>
                <w:rFonts w:eastAsia="Calibri"/>
              </w:rPr>
              <w:t>Regulations</w:t>
            </w:r>
            <w:r w:rsidRPr="00427EE1">
              <w:rPr>
                <w:rFonts w:eastAsia="Calibri"/>
              </w:rPr>
              <w:t xml:space="preserve"> will come into operation on a day after they are made by the Governor in Council.</w:t>
            </w:r>
          </w:p>
          <w:p w:rsidR="00E657D7" w:rsidRDefault="006B6636">
            <w:pPr>
              <w:pStyle w:val="Tabletext"/>
              <w:rPr>
                <w:rFonts w:eastAsia="Calibri"/>
                <w:b/>
              </w:rPr>
            </w:pPr>
            <w:r w:rsidRPr="00427EE1">
              <w:rPr>
                <w:rFonts w:eastAsia="Calibri"/>
              </w:rPr>
              <w:t xml:space="preserve">Proposed </w:t>
            </w:r>
            <w:proofErr w:type="spellStart"/>
            <w:r w:rsidR="003902AD">
              <w:rPr>
                <w:rFonts w:eastAsia="Calibri"/>
              </w:rPr>
              <w:t>reg</w:t>
            </w:r>
            <w:proofErr w:type="spellEnd"/>
            <w:r w:rsidR="003902AD">
              <w:rPr>
                <w:rFonts w:eastAsia="Calibri"/>
              </w:rPr>
              <w:t xml:space="preserve"> 2</w:t>
            </w:r>
            <w:r w:rsidRPr="00427EE1">
              <w:rPr>
                <w:rFonts w:eastAsia="Calibri"/>
              </w:rPr>
              <w:t xml:space="preserve">80 provides a grace period of three months to either comply with the </w:t>
            </w:r>
            <w:r w:rsidR="005804C3">
              <w:rPr>
                <w:rFonts w:eastAsia="Calibri"/>
              </w:rPr>
              <w:t>c</w:t>
            </w:r>
            <w:r w:rsidR="00195602">
              <w:rPr>
                <w:rFonts w:eastAsia="Calibri"/>
              </w:rPr>
              <w:t>urrent Regulations</w:t>
            </w:r>
            <w:r w:rsidRPr="00427EE1">
              <w:rPr>
                <w:rFonts w:eastAsia="Calibri"/>
              </w:rPr>
              <w:t xml:space="preserve"> or the </w:t>
            </w:r>
            <w:r w:rsidR="00195602">
              <w:rPr>
                <w:rFonts w:eastAsia="Calibri"/>
              </w:rPr>
              <w:t>proposed Regulations</w:t>
            </w:r>
            <w:r w:rsidRPr="00427EE1">
              <w:rPr>
                <w:rFonts w:eastAsia="Calibri"/>
              </w:rPr>
              <w:t xml:space="preserve">. </w:t>
            </w:r>
          </w:p>
        </w:tc>
      </w:tr>
      <w:tr w:rsidR="00B751DE" w:rsidRPr="00427EE1" w:rsidTr="0074248C">
        <w:trPr>
          <w:cantSplit/>
          <w:trHeight w:val="340"/>
        </w:trPr>
        <w:tc>
          <w:tcPr>
            <w:tcW w:w="1022" w:type="dxa"/>
            <w:vAlign w:val="center"/>
          </w:tcPr>
          <w:p w:rsidR="00E657D7" w:rsidRDefault="00B751DE">
            <w:pPr>
              <w:pStyle w:val="Tabletext"/>
              <w:rPr>
                <w:rFonts w:eastAsia="Calibri"/>
              </w:rPr>
            </w:pPr>
            <w:r w:rsidRPr="00427EE1">
              <w:rPr>
                <w:rFonts w:eastAsia="Calibri"/>
              </w:rPr>
              <w:t>104</w:t>
            </w:r>
          </w:p>
        </w:tc>
        <w:tc>
          <w:tcPr>
            <w:tcW w:w="948" w:type="dxa"/>
            <w:vAlign w:val="center"/>
          </w:tcPr>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4</w:t>
            </w:r>
          </w:p>
        </w:tc>
        <w:tc>
          <w:tcPr>
            <w:tcW w:w="4243" w:type="dxa"/>
          </w:tcPr>
          <w:p w:rsidR="00E657D7" w:rsidRDefault="00B751DE">
            <w:pPr>
              <w:pStyle w:val="Tabletext"/>
              <w:rPr>
                <w:rFonts w:asciiTheme="majorHAnsi" w:eastAsia="Calibri" w:hAnsiTheme="majorHAnsi" w:cstheme="majorBidi"/>
                <w:b/>
                <w:sz w:val="40"/>
              </w:rPr>
            </w:pPr>
            <w:r w:rsidRPr="00427EE1">
              <w:rPr>
                <w:rFonts w:eastAsia="Calibri"/>
                <w:b/>
              </w:rPr>
              <w:t>Revocation</w:t>
            </w:r>
          </w:p>
          <w:p w:rsidR="00E657D7" w:rsidRDefault="002D140F">
            <w:pPr>
              <w:pStyle w:val="Tabletext"/>
              <w:rPr>
                <w:rFonts w:eastAsia="Calibri"/>
                <w:b/>
                <w:bCs/>
                <w:i/>
                <w:iCs/>
                <w:kern w:val="20"/>
                <w:sz w:val="32"/>
                <w:szCs w:val="28"/>
                <w:lang w:eastAsia="en-US"/>
              </w:rPr>
            </w:pPr>
            <w:r>
              <w:rPr>
                <w:rFonts w:eastAsia="Calibri"/>
              </w:rPr>
              <w:t>R</w:t>
            </w:r>
            <w:r w:rsidR="00B751DE" w:rsidRPr="00427EE1">
              <w:rPr>
                <w:rFonts w:eastAsia="Calibri"/>
              </w:rPr>
              <w:t xml:space="preserve">evokes the </w:t>
            </w:r>
            <w:r w:rsidR="005804C3">
              <w:rPr>
                <w:rFonts w:eastAsia="Calibri"/>
              </w:rPr>
              <w:t>c</w:t>
            </w:r>
            <w:r w:rsidR="00195602">
              <w:rPr>
                <w:rFonts w:eastAsia="Calibri"/>
              </w:rPr>
              <w:t>urrent Regulations</w:t>
            </w:r>
            <w:r w:rsidR="00B751DE" w:rsidRPr="00427EE1">
              <w:rPr>
                <w:rFonts w:eastAsia="Calibri"/>
              </w:rPr>
              <w:t xml:space="preserve"> and each subsequent set of amending </w:t>
            </w:r>
            <w:r w:rsidR="008911CB">
              <w:rPr>
                <w:rFonts w:eastAsia="Calibri"/>
              </w:rPr>
              <w:t>Regulations</w:t>
            </w:r>
            <w:r w:rsidR="00B751DE" w:rsidRPr="00427EE1">
              <w:rPr>
                <w:rFonts w:eastAsia="Calibri"/>
              </w:rPr>
              <w:t xml:space="preserve">. </w:t>
            </w:r>
          </w:p>
        </w:tc>
        <w:tc>
          <w:tcPr>
            <w:tcW w:w="399" w:type="dxa"/>
            <w:vAlign w:val="center"/>
          </w:tcPr>
          <w:p w:rsidR="00B751DE" w:rsidRPr="00427EE1" w:rsidRDefault="00B751DE" w:rsidP="00B751DE">
            <w:pPr>
              <w:tabs>
                <w:tab w:val="left" w:pos="567"/>
              </w:tabs>
              <w:spacing w:line="276" w:lineRule="auto"/>
              <w:rPr>
                <w:rFonts w:ascii="Calibri" w:eastAsia="Calibri" w:hAnsi="Calibri"/>
                <w:lang w:eastAsia="en-US"/>
              </w:rPr>
            </w:pPr>
          </w:p>
        </w:tc>
        <w:tc>
          <w:tcPr>
            <w:tcW w:w="399"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402"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8"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6327" w:type="dxa"/>
            <w:vAlign w:val="center"/>
          </w:tcPr>
          <w:p w:rsidR="00E657D7" w:rsidRDefault="00B751DE">
            <w:pPr>
              <w:pStyle w:val="Tabletext"/>
              <w:rPr>
                <w:rFonts w:eastAsia="Calibri"/>
              </w:rPr>
            </w:pPr>
            <w:r w:rsidRPr="00427EE1">
              <w:rPr>
                <w:rFonts w:eastAsia="Calibri"/>
              </w:rPr>
              <w:t xml:space="preserve">This </w:t>
            </w:r>
            <w:r w:rsidR="008911CB">
              <w:rPr>
                <w:rFonts w:eastAsia="Calibri"/>
              </w:rPr>
              <w:t>Regulation</w:t>
            </w:r>
            <w:r w:rsidRPr="00427EE1">
              <w:rPr>
                <w:rFonts w:eastAsia="Calibri"/>
              </w:rPr>
              <w:t xml:space="preserve"> is needed because the Regulations would replace an earlier set of principal </w:t>
            </w:r>
            <w:r w:rsidR="008911CB">
              <w:rPr>
                <w:rFonts w:eastAsia="Calibri"/>
              </w:rPr>
              <w:t>Regulations</w:t>
            </w:r>
            <w:r w:rsidRPr="00427EE1">
              <w:rPr>
                <w:rFonts w:eastAsia="Calibri"/>
              </w:rPr>
              <w:t>, being the Building Regulations 2006.</w:t>
            </w:r>
            <w:r w:rsidR="00D71A15" w:rsidRPr="00427EE1">
              <w:rPr>
                <w:rFonts w:eastAsia="Calibri"/>
              </w:rPr>
              <w:t xml:space="preserve"> </w:t>
            </w:r>
          </w:p>
        </w:tc>
      </w:tr>
    </w:tbl>
    <w:p w:rsidR="00B751DE" w:rsidRPr="00427EE1" w:rsidRDefault="00B751DE" w:rsidP="00B751DE">
      <w:pPr>
        <w:rPr>
          <w:rFonts w:ascii="Arial" w:hAnsi="Arial"/>
          <w:b/>
        </w:rPr>
      </w:pPr>
    </w:p>
    <w:p w:rsidR="00B751DE" w:rsidRPr="00427EE1" w:rsidRDefault="00B751DE" w:rsidP="00B751DE">
      <w:pPr>
        <w:rPr>
          <w:rFonts w:ascii="Arial" w:hAnsi="Arial"/>
          <w:b/>
        </w:rPr>
      </w:pPr>
      <w:r w:rsidRPr="00427EE1">
        <w:rPr>
          <w:rFonts w:ascii="Arial" w:hAnsi="Arial"/>
          <w:b/>
        </w:rPr>
        <w:br w:type="page"/>
      </w:r>
    </w:p>
    <w:p w:rsidR="00B751DE" w:rsidRPr="00427EE1" w:rsidRDefault="005E2285" w:rsidP="006119D2">
      <w:pPr>
        <w:pStyle w:val="Heading4"/>
      </w:pPr>
      <w:proofErr w:type="spellStart"/>
      <w:r>
        <w:lastRenderedPageBreak/>
        <w:t>Div</w:t>
      </w:r>
      <w:proofErr w:type="spellEnd"/>
      <w:r w:rsidR="00B751DE" w:rsidRPr="00427EE1">
        <w:t xml:space="preserve"> 2</w:t>
      </w:r>
      <w:r w:rsidR="008475D9">
        <w:t>—</w:t>
      </w:r>
      <w:r w:rsidR="00B751DE" w:rsidRPr="00427EE1">
        <w:t xml:space="preserve">Definitions and </w:t>
      </w:r>
      <w:r w:rsidR="00C7328F">
        <w:t>i</w:t>
      </w:r>
      <w:r w:rsidR="00B751DE" w:rsidRPr="00427EE1">
        <w:t>nterpretation</w:t>
      </w:r>
    </w:p>
    <w:tbl>
      <w:tblPr>
        <w:tblW w:w="14521" w:type="dxa"/>
        <w:tblInd w:w="-144"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94"/>
        <w:gridCol w:w="959"/>
        <w:gridCol w:w="4243"/>
        <w:gridCol w:w="399"/>
        <w:gridCol w:w="399"/>
        <w:gridCol w:w="402"/>
        <w:gridCol w:w="400"/>
        <w:gridCol w:w="398"/>
        <w:gridCol w:w="6327"/>
      </w:tblGrid>
      <w:tr w:rsidR="00B751DE" w:rsidRPr="00427EE1" w:rsidTr="00C44680">
        <w:trPr>
          <w:cantSplit/>
          <w:trHeight w:val="152"/>
          <w:tblHeader/>
        </w:trPr>
        <w:tc>
          <w:tcPr>
            <w:tcW w:w="994" w:type="dxa"/>
            <w:vMerge w:val="restart"/>
            <w:shd w:val="clear" w:color="auto" w:fill="00B2A9" w:themeFill="accent1"/>
            <w:vAlign w:val="center"/>
            <w:hideMark/>
          </w:tcPr>
          <w:p w:rsidR="00E657D7" w:rsidRDefault="00B751DE">
            <w:pPr>
              <w:pStyle w:val="Tablecolumnhead"/>
              <w:rPr>
                <w:rFonts w:asciiTheme="majorHAnsi" w:eastAsia="Calibri" w:hAnsiTheme="majorHAnsi" w:cstheme="majorBidi"/>
                <w:sz w:val="40"/>
              </w:rPr>
            </w:pPr>
            <w:r w:rsidRPr="009B3662">
              <w:rPr>
                <w:rFonts w:eastAsia="Calibri"/>
              </w:rPr>
              <w:t>2006</w:t>
            </w:r>
          </w:p>
          <w:p w:rsidR="00E657D7" w:rsidRDefault="00AC1A59">
            <w:pPr>
              <w:pStyle w:val="Tablecolumnhead"/>
              <w:rPr>
                <w:rFonts w:ascii="Arial Bold" w:eastAsia="Calibri" w:hAnsi="Arial Bold"/>
                <w:b w:val="0"/>
                <w:spacing w:val="-12"/>
                <w:sz w:val="16"/>
              </w:rPr>
            </w:pPr>
            <w:r w:rsidRPr="00AC1A59">
              <w:rPr>
                <w:rFonts w:ascii="Arial Bold" w:eastAsia="Calibri" w:hAnsi="Arial Bold"/>
                <w:spacing w:val="-12"/>
                <w:sz w:val="16"/>
              </w:rPr>
              <w:t>Regulation</w:t>
            </w:r>
          </w:p>
        </w:tc>
        <w:tc>
          <w:tcPr>
            <w:tcW w:w="959" w:type="dxa"/>
            <w:vMerge w:val="restart"/>
            <w:shd w:val="clear" w:color="auto" w:fill="00B2A9" w:themeFill="accent1"/>
            <w:vAlign w:val="center"/>
            <w:hideMark/>
          </w:tcPr>
          <w:p w:rsidR="00E657D7" w:rsidRDefault="00B751DE">
            <w:pPr>
              <w:pStyle w:val="Tablecolumnhead"/>
              <w:rPr>
                <w:rFonts w:asciiTheme="majorHAnsi" w:eastAsiaTheme="majorEastAsia" w:hAnsiTheme="majorHAnsi" w:cstheme="majorBidi"/>
                <w:sz w:val="40"/>
              </w:rPr>
            </w:pPr>
            <w:r w:rsidRPr="009B3662">
              <w:rPr>
                <w:rFonts w:eastAsia="Calibri"/>
              </w:rPr>
              <w:t>2017</w:t>
            </w:r>
          </w:p>
          <w:p w:rsidR="00E657D7" w:rsidRDefault="00C44680">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E657D7" w:rsidRDefault="00B751DE">
            <w:pPr>
              <w:pStyle w:val="Tablecolumnhead"/>
              <w:rPr>
                <w:rFonts w:asciiTheme="majorHAnsi" w:eastAsia="Calibri" w:hAnsiTheme="majorHAnsi" w:cstheme="majorBidi"/>
                <w:sz w:val="40"/>
              </w:rPr>
            </w:pPr>
            <w:r w:rsidRPr="009B3662">
              <w:t xml:space="preserve">Short description of the </w:t>
            </w:r>
            <w:r w:rsidR="008911CB">
              <w:t>Regulation</w:t>
            </w:r>
          </w:p>
        </w:tc>
        <w:tc>
          <w:tcPr>
            <w:tcW w:w="1998" w:type="dxa"/>
            <w:gridSpan w:val="5"/>
            <w:shd w:val="clear" w:color="auto" w:fill="00B2A9" w:themeFill="accent1"/>
            <w:vAlign w:val="center"/>
          </w:tcPr>
          <w:p w:rsidR="00E657D7" w:rsidRDefault="00B751DE">
            <w:pPr>
              <w:pStyle w:val="Tablecolumnhead"/>
              <w:rPr>
                <w:rFonts w:asciiTheme="majorHAnsi" w:eastAsiaTheme="majorEastAsia" w:hAnsiTheme="majorHAnsi" w:cstheme="majorBidi"/>
                <w:sz w:val="40"/>
              </w:rPr>
            </w:pPr>
            <w:r w:rsidRPr="009B3662">
              <w:t>Proposed regulatory change</w:t>
            </w:r>
          </w:p>
        </w:tc>
        <w:tc>
          <w:tcPr>
            <w:tcW w:w="6327" w:type="dxa"/>
            <w:vMerge w:val="restart"/>
            <w:shd w:val="clear" w:color="auto" w:fill="00B2A9" w:themeFill="accent1"/>
            <w:vAlign w:val="center"/>
          </w:tcPr>
          <w:p w:rsidR="00E657D7" w:rsidRDefault="00B751DE">
            <w:pPr>
              <w:pStyle w:val="Tablecolumnhead"/>
              <w:rPr>
                <w:rFonts w:asciiTheme="majorHAnsi" w:eastAsiaTheme="majorEastAsia" w:hAnsiTheme="majorHAnsi" w:cstheme="majorBidi"/>
                <w:sz w:val="40"/>
              </w:rPr>
            </w:pPr>
            <w:r w:rsidRPr="009B3662">
              <w:t>Why the 2017 Regulation is proposed</w:t>
            </w:r>
          </w:p>
        </w:tc>
      </w:tr>
      <w:tr w:rsidR="00B751DE" w:rsidRPr="00427EE1" w:rsidTr="00C44680">
        <w:trPr>
          <w:cantSplit/>
          <w:trHeight w:val="965"/>
          <w:tblHeader/>
        </w:trPr>
        <w:tc>
          <w:tcPr>
            <w:tcW w:w="994" w:type="dxa"/>
            <w:vMerge/>
            <w:shd w:val="clear" w:color="auto" w:fill="00B2A9" w:themeFill="accent1"/>
            <w:vAlign w:val="center"/>
            <w:hideMark/>
          </w:tcPr>
          <w:p w:rsidR="00B751DE" w:rsidRPr="00427EE1" w:rsidRDefault="00B751DE" w:rsidP="00B751DE">
            <w:pPr>
              <w:spacing w:line="276" w:lineRule="auto"/>
              <w:jc w:val="center"/>
              <w:rPr>
                <w:rFonts w:ascii="Calibri" w:eastAsia="Calibri" w:hAnsi="Calibri"/>
                <w:sz w:val="16"/>
                <w:szCs w:val="16"/>
                <w:lang w:eastAsia="en-US"/>
              </w:rPr>
            </w:pPr>
          </w:p>
        </w:tc>
        <w:tc>
          <w:tcPr>
            <w:tcW w:w="959" w:type="dxa"/>
            <w:vMerge/>
            <w:shd w:val="clear" w:color="auto" w:fill="00B2A9" w:themeFill="accent1"/>
            <w:vAlign w:val="center"/>
            <w:hideMark/>
          </w:tcPr>
          <w:p w:rsidR="00B751DE" w:rsidRPr="00427EE1" w:rsidRDefault="00B751DE" w:rsidP="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rsidP="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rsidP="00B751DE">
            <w:pPr>
              <w:spacing w:line="276" w:lineRule="auto"/>
              <w:ind w:left="113" w:right="113"/>
              <w:jc w:val="center"/>
              <w:rPr>
                <w:sz w:val="16"/>
                <w:szCs w:val="16"/>
                <w:lang w:eastAsia="en-US"/>
              </w:rPr>
            </w:pPr>
          </w:p>
        </w:tc>
      </w:tr>
      <w:tr w:rsidR="00B751DE" w:rsidRPr="00427EE1" w:rsidTr="00C44680">
        <w:trPr>
          <w:cantSplit/>
          <w:trHeight w:val="340"/>
        </w:trPr>
        <w:tc>
          <w:tcPr>
            <w:tcW w:w="994" w:type="dxa"/>
            <w:vAlign w:val="center"/>
          </w:tcPr>
          <w:p w:rsidR="00E657D7" w:rsidRDefault="00B751DE">
            <w:pPr>
              <w:pStyle w:val="Tabletext"/>
              <w:rPr>
                <w:rFonts w:eastAsia="Calibri"/>
              </w:rPr>
            </w:pPr>
            <w:r w:rsidRPr="00427EE1">
              <w:rPr>
                <w:rFonts w:eastAsia="Calibri"/>
              </w:rPr>
              <w:t>105</w:t>
            </w:r>
          </w:p>
        </w:tc>
        <w:tc>
          <w:tcPr>
            <w:tcW w:w="959" w:type="dxa"/>
            <w:vAlign w:val="center"/>
          </w:tcPr>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5</w:t>
            </w:r>
          </w:p>
        </w:tc>
        <w:tc>
          <w:tcPr>
            <w:tcW w:w="4243" w:type="dxa"/>
          </w:tcPr>
          <w:p w:rsidR="00E657D7" w:rsidRDefault="00B751DE">
            <w:pPr>
              <w:pStyle w:val="Tabletext"/>
              <w:rPr>
                <w:rFonts w:asciiTheme="majorHAnsi" w:eastAsia="Calibri" w:hAnsiTheme="majorHAnsi" w:cstheme="majorBidi"/>
                <w:b/>
                <w:sz w:val="40"/>
                <w:lang w:eastAsia="en-US"/>
              </w:rPr>
            </w:pPr>
            <w:r w:rsidRPr="00427EE1">
              <w:rPr>
                <w:rFonts w:eastAsia="Calibri"/>
                <w:b/>
                <w:lang w:eastAsia="en-US"/>
              </w:rPr>
              <w:t>Definitions</w:t>
            </w:r>
          </w:p>
          <w:p w:rsidR="00E657D7" w:rsidRDefault="002D140F">
            <w:pPr>
              <w:pStyle w:val="Tabletext"/>
              <w:rPr>
                <w:rFonts w:eastAsia="Calibri"/>
                <w:lang w:eastAsia="en-US"/>
              </w:rPr>
            </w:pPr>
            <w:r>
              <w:rPr>
                <w:rFonts w:eastAsia="Calibri"/>
                <w:lang w:eastAsia="en-US"/>
              </w:rPr>
              <w:t>S</w:t>
            </w:r>
            <w:r w:rsidR="00B751DE" w:rsidRPr="00427EE1">
              <w:rPr>
                <w:rFonts w:eastAsia="Calibri"/>
                <w:lang w:eastAsia="en-US"/>
              </w:rPr>
              <w:t>ets out any definitions used more than once</w:t>
            </w:r>
            <w:r w:rsidR="006B6636" w:rsidRPr="00427EE1">
              <w:rPr>
                <w:rFonts w:eastAsia="Calibri"/>
                <w:lang w:eastAsia="en-US"/>
              </w:rPr>
              <w:t xml:space="preserve"> in the </w:t>
            </w:r>
            <w:r w:rsidR="00C85828" w:rsidRPr="00427EE1">
              <w:rPr>
                <w:rFonts w:eastAsia="Calibri"/>
                <w:lang w:eastAsia="en-US"/>
              </w:rPr>
              <w:t>proposed</w:t>
            </w:r>
            <w:r w:rsidR="006B6636" w:rsidRPr="00427EE1">
              <w:rPr>
                <w:rFonts w:eastAsia="Calibri"/>
                <w:lang w:eastAsia="en-US"/>
              </w:rPr>
              <w:t xml:space="preserve"> </w:t>
            </w:r>
            <w:r w:rsidR="00195602">
              <w:rPr>
                <w:rFonts w:eastAsia="Calibri"/>
                <w:lang w:eastAsia="en-US"/>
              </w:rPr>
              <w:t>Regulations</w:t>
            </w:r>
            <w:r w:rsidR="00B751DE" w:rsidRPr="00427EE1">
              <w:rPr>
                <w:rFonts w:eastAsia="Calibri"/>
                <w:lang w:eastAsia="en-US"/>
              </w:rPr>
              <w:t xml:space="preserve">. </w:t>
            </w:r>
          </w:p>
        </w:tc>
        <w:tc>
          <w:tcPr>
            <w:tcW w:w="399"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9"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402"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8"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6327" w:type="dxa"/>
            <w:vAlign w:val="center"/>
          </w:tcPr>
          <w:p w:rsidR="00E657D7" w:rsidRDefault="00B751DE">
            <w:pPr>
              <w:pStyle w:val="Tabletext"/>
              <w:rPr>
                <w:rFonts w:eastAsia="Calibri"/>
              </w:rPr>
            </w:pPr>
            <w:r w:rsidRPr="00427EE1">
              <w:rPr>
                <w:rFonts w:eastAsia="Calibri"/>
              </w:rPr>
              <w:t xml:space="preserve">Definitions are used in the Regulations as a shortening device or to remove </w:t>
            </w:r>
            <w:r w:rsidRPr="004267C5">
              <w:rPr>
                <w:rFonts w:eastAsia="Calibri"/>
                <w:szCs w:val="20"/>
              </w:rPr>
              <w:t xml:space="preserve">ambiguity. </w:t>
            </w:r>
            <w:r w:rsidRPr="004267C5">
              <w:rPr>
                <w:rFonts w:eastAsia="Calibri"/>
                <w:szCs w:val="20"/>
                <w:lang w:eastAsia="en-US"/>
              </w:rPr>
              <w:t>New definitions are proposed (</w:t>
            </w:r>
            <w:r w:rsidR="006B6636" w:rsidRPr="004267C5">
              <w:rPr>
                <w:rFonts w:eastAsia="Calibri"/>
                <w:szCs w:val="20"/>
                <w:lang w:eastAsia="en-US"/>
              </w:rPr>
              <w:t>for example</w:t>
            </w:r>
            <w:r w:rsidR="005804C3" w:rsidRPr="004267C5">
              <w:rPr>
                <w:rFonts w:eastAsia="Calibri"/>
                <w:szCs w:val="20"/>
                <w:lang w:eastAsia="en-US"/>
              </w:rPr>
              <w:t>,</w:t>
            </w:r>
            <w:r w:rsidR="004267C5">
              <w:rPr>
                <w:rFonts w:eastAsia="Calibri"/>
                <w:szCs w:val="20"/>
                <w:lang w:eastAsia="en-US"/>
              </w:rPr>
              <w:t xml:space="preserve"> </w:t>
            </w:r>
            <w:r w:rsidR="005E2285">
              <w:rPr>
                <w:rFonts w:eastAsia="Calibri"/>
                <w:szCs w:val="20"/>
                <w:lang w:eastAsia="en-US"/>
              </w:rPr>
              <w:t>of '</w:t>
            </w:r>
            <w:r w:rsidR="00AC1A59" w:rsidRPr="004267C5">
              <w:rPr>
                <w:rFonts w:eastAsia="Calibri"/>
                <w:szCs w:val="20"/>
                <w:lang w:eastAsia="en-US"/>
              </w:rPr>
              <w:t>architectural feature</w:t>
            </w:r>
            <w:r w:rsidR="005E2285">
              <w:rPr>
                <w:rFonts w:eastAsia="Calibri"/>
                <w:szCs w:val="20"/>
                <w:lang w:eastAsia="en-US"/>
              </w:rPr>
              <w:t>'</w:t>
            </w:r>
            <w:r w:rsidR="00AC1A59" w:rsidRPr="004267C5">
              <w:rPr>
                <w:rFonts w:eastAsia="Calibri"/>
                <w:szCs w:val="20"/>
                <w:lang w:eastAsia="en-US"/>
              </w:rPr>
              <w:t xml:space="preserve">, </w:t>
            </w:r>
            <w:r w:rsidR="005E2285">
              <w:rPr>
                <w:rFonts w:eastAsia="Calibri"/>
                <w:szCs w:val="20"/>
                <w:lang w:eastAsia="en-US"/>
              </w:rPr>
              <w:t>'</w:t>
            </w:r>
            <w:r w:rsidR="00AC1A59" w:rsidRPr="004267C5">
              <w:rPr>
                <w:rFonts w:eastAsia="Calibri"/>
                <w:szCs w:val="20"/>
                <w:lang w:eastAsia="en-US"/>
              </w:rPr>
              <w:t>commencement date</w:t>
            </w:r>
            <w:r w:rsidR="005E2285">
              <w:rPr>
                <w:rFonts w:eastAsia="Calibri"/>
                <w:szCs w:val="20"/>
                <w:lang w:eastAsia="en-US"/>
              </w:rPr>
              <w:t>'</w:t>
            </w:r>
            <w:r w:rsidR="00AC1A59" w:rsidRPr="004267C5">
              <w:rPr>
                <w:rFonts w:eastAsia="Calibri"/>
                <w:szCs w:val="20"/>
                <w:lang w:eastAsia="en-US"/>
              </w:rPr>
              <w:t xml:space="preserve">, </w:t>
            </w:r>
            <w:r w:rsidR="005E2285">
              <w:rPr>
                <w:rFonts w:eastAsia="Calibri"/>
                <w:szCs w:val="20"/>
                <w:lang w:eastAsia="en-US"/>
              </w:rPr>
              <w:t>'</w:t>
            </w:r>
            <w:r w:rsidR="00AC1A59" w:rsidRPr="004267C5">
              <w:rPr>
                <w:rFonts w:eastAsia="Calibri"/>
                <w:szCs w:val="20"/>
                <w:lang w:eastAsia="en-US"/>
              </w:rPr>
              <w:t>completion date</w:t>
            </w:r>
            <w:r w:rsidR="005E2285">
              <w:rPr>
                <w:rFonts w:eastAsia="Calibri"/>
                <w:szCs w:val="20"/>
                <w:lang w:eastAsia="en-US"/>
              </w:rPr>
              <w:t>'</w:t>
            </w:r>
            <w:r w:rsidR="00AC1A59" w:rsidRPr="004267C5">
              <w:rPr>
                <w:rFonts w:eastAsia="Calibri"/>
                <w:szCs w:val="20"/>
                <w:lang w:eastAsia="en-US"/>
              </w:rPr>
              <w:t xml:space="preserve">, </w:t>
            </w:r>
            <w:r w:rsidR="005E2285">
              <w:rPr>
                <w:rFonts w:eastAsia="Calibri"/>
                <w:szCs w:val="20"/>
                <w:lang w:eastAsia="en-US"/>
              </w:rPr>
              <w:t>'</w:t>
            </w:r>
            <w:r w:rsidR="00AC1A59" w:rsidRPr="004267C5">
              <w:rPr>
                <w:rFonts w:eastAsia="Calibri"/>
                <w:szCs w:val="20"/>
                <w:lang w:eastAsia="en-US"/>
              </w:rPr>
              <w:t>Keeper of Public Records</w:t>
            </w:r>
            <w:r w:rsidR="005E2285">
              <w:rPr>
                <w:rFonts w:eastAsia="Calibri"/>
                <w:szCs w:val="20"/>
                <w:lang w:eastAsia="en-US"/>
              </w:rPr>
              <w:t>'</w:t>
            </w:r>
            <w:r w:rsidR="00AC1A59" w:rsidRPr="004267C5">
              <w:rPr>
                <w:rFonts w:eastAsia="Calibri"/>
                <w:szCs w:val="20"/>
                <w:lang w:eastAsia="en-US"/>
              </w:rPr>
              <w:t xml:space="preserve">, </w:t>
            </w:r>
            <w:r w:rsidR="005E2285">
              <w:rPr>
                <w:rFonts w:eastAsia="Calibri"/>
                <w:szCs w:val="20"/>
                <w:lang w:eastAsia="en-US"/>
              </w:rPr>
              <w:t>'</w:t>
            </w:r>
            <w:r w:rsidR="00AC1A59" w:rsidRPr="004267C5">
              <w:rPr>
                <w:rFonts w:eastAsia="Calibri"/>
                <w:szCs w:val="20"/>
                <w:lang w:eastAsia="en-US"/>
              </w:rPr>
              <w:t>medium street</w:t>
            </w:r>
            <w:r w:rsidR="005E2285">
              <w:rPr>
                <w:rFonts w:eastAsia="Calibri"/>
                <w:szCs w:val="20"/>
                <w:lang w:eastAsia="en-US"/>
              </w:rPr>
              <w:t>'</w:t>
            </w:r>
            <w:r w:rsidR="00AC1A59" w:rsidRPr="004267C5">
              <w:rPr>
                <w:rFonts w:eastAsia="Calibri"/>
                <w:szCs w:val="20"/>
                <w:lang w:eastAsia="en-US"/>
              </w:rPr>
              <w:t xml:space="preserve">, </w:t>
            </w:r>
            <w:r w:rsidR="005E2285">
              <w:rPr>
                <w:rFonts w:eastAsia="Calibri"/>
                <w:szCs w:val="20"/>
                <w:lang w:eastAsia="en-US"/>
              </w:rPr>
              <w:t>'</w:t>
            </w:r>
            <w:r w:rsidR="00AC1A59" w:rsidRPr="004267C5">
              <w:rPr>
                <w:rFonts w:eastAsia="Calibri"/>
                <w:szCs w:val="20"/>
                <w:lang w:eastAsia="en-US"/>
              </w:rPr>
              <w:t>narrow street</w:t>
            </w:r>
            <w:r w:rsidR="005E2285">
              <w:rPr>
                <w:rFonts w:eastAsia="Calibri"/>
                <w:szCs w:val="20"/>
                <w:lang w:eastAsia="en-US"/>
              </w:rPr>
              <w:t>'</w:t>
            </w:r>
            <w:r w:rsidR="00AC1A59" w:rsidRPr="004267C5">
              <w:rPr>
                <w:rFonts w:eastAsia="Calibri"/>
                <w:szCs w:val="20"/>
                <w:lang w:eastAsia="en-US"/>
              </w:rPr>
              <w:t xml:space="preserve">, </w:t>
            </w:r>
            <w:r w:rsidR="005E2285">
              <w:rPr>
                <w:rFonts w:eastAsia="Calibri"/>
                <w:szCs w:val="20"/>
                <w:lang w:eastAsia="en-US"/>
              </w:rPr>
              <w:t>'</w:t>
            </w:r>
            <w:r w:rsidR="00AC1A59" w:rsidRPr="004267C5">
              <w:rPr>
                <w:rFonts w:eastAsia="Calibri"/>
                <w:szCs w:val="20"/>
                <w:lang w:eastAsia="en-US"/>
              </w:rPr>
              <w:t>north-facing window</w:t>
            </w:r>
            <w:r w:rsidR="005E2285">
              <w:rPr>
                <w:rFonts w:eastAsia="Calibri"/>
                <w:szCs w:val="20"/>
                <w:lang w:eastAsia="en-US"/>
              </w:rPr>
              <w:t>'</w:t>
            </w:r>
            <w:r w:rsidR="00AC1A59" w:rsidRPr="004267C5">
              <w:rPr>
                <w:rFonts w:eastAsia="Calibri"/>
                <w:szCs w:val="20"/>
                <w:lang w:eastAsia="en-US"/>
              </w:rPr>
              <w:t xml:space="preserve">, </w:t>
            </w:r>
            <w:r w:rsidR="005E2285">
              <w:rPr>
                <w:rFonts w:eastAsia="Calibri"/>
                <w:szCs w:val="20"/>
                <w:lang w:eastAsia="en-US"/>
              </w:rPr>
              <w:t>'</w:t>
            </w:r>
            <w:r w:rsidR="00AC1A59" w:rsidRPr="004267C5">
              <w:rPr>
                <w:rFonts w:eastAsia="Calibri"/>
                <w:szCs w:val="20"/>
                <w:lang w:eastAsia="en-US"/>
              </w:rPr>
              <w:t>recreational private open space</w:t>
            </w:r>
            <w:r w:rsidR="005E2285">
              <w:rPr>
                <w:rFonts w:eastAsia="Calibri"/>
                <w:szCs w:val="20"/>
                <w:lang w:eastAsia="en-US"/>
              </w:rPr>
              <w:t>'</w:t>
            </w:r>
            <w:r w:rsidR="005804C3" w:rsidRPr="004267C5">
              <w:rPr>
                <w:rFonts w:eastAsia="Calibri"/>
                <w:szCs w:val="20"/>
                <w:lang w:eastAsia="en-US"/>
              </w:rPr>
              <w:t xml:space="preserve"> and </w:t>
            </w:r>
            <w:r w:rsidR="005E2285">
              <w:rPr>
                <w:rFonts w:eastAsia="Calibri"/>
                <w:szCs w:val="20"/>
                <w:lang w:eastAsia="en-US"/>
              </w:rPr>
              <w:t>'</w:t>
            </w:r>
            <w:r w:rsidR="00AC1A59" w:rsidRPr="004267C5">
              <w:rPr>
                <w:rFonts w:eastAsia="Calibri"/>
                <w:szCs w:val="20"/>
                <w:lang w:eastAsia="en-US"/>
              </w:rPr>
              <w:t>wide street</w:t>
            </w:r>
            <w:r w:rsidR="005E2285">
              <w:rPr>
                <w:rFonts w:eastAsia="Calibri"/>
                <w:szCs w:val="20"/>
                <w:lang w:eastAsia="en-US"/>
              </w:rPr>
              <w:t>'</w:t>
            </w:r>
            <w:r w:rsidR="00AC1A59" w:rsidRPr="004267C5">
              <w:rPr>
                <w:rFonts w:eastAsia="Calibri"/>
                <w:szCs w:val="20"/>
                <w:lang w:eastAsia="en-US"/>
              </w:rPr>
              <w:t>).</w:t>
            </w:r>
          </w:p>
        </w:tc>
      </w:tr>
      <w:tr w:rsidR="00B751DE" w:rsidRPr="00427EE1" w:rsidTr="00DA3F49">
        <w:trPr>
          <w:cantSplit/>
          <w:trHeight w:val="691"/>
        </w:trPr>
        <w:tc>
          <w:tcPr>
            <w:tcW w:w="994" w:type="dxa"/>
            <w:vAlign w:val="center"/>
          </w:tcPr>
          <w:p w:rsidR="00E657D7" w:rsidRDefault="00B751DE">
            <w:pPr>
              <w:pStyle w:val="Tabletext"/>
              <w:rPr>
                <w:rFonts w:eastAsia="Calibri"/>
                <w:b/>
                <w:sz w:val="16"/>
              </w:rPr>
            </w:pPr>
            <w:r w:rsidRPr="00427EE1">
              <w:rPr>
                <w:rFonts w:eastAsia="Calibri"/>
                <w:b/>
              </w:rPr>
              <w:t>N/A</w:t>
            </w:r>
          </w:p>
        </w:tc>
        <w:tc>
          <w:tcPr>
            <w:tcW w:w="959" w:type="dxa"/>
            <w:vAlign w:val="center"/>
          </w:tcPr>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NEW</w:t>
            </w:r>
          </w:p>
          <w:p w:rsidR="00E657D7" w:rsidRDefault="00B751DE">
            <w:pPr>
              <w:pStyle w:val="Tabletext"/>
              <w:rPr>
                <w:rFonts w:eastAsia="Calibri"/>
                <w:sz w:val="16"/>
                <w:lang w:eastAsia="en-US"/>
              </w:rPr>
            </w:pPr>
            <w:r w:rsidRPr="00427EE1">
              <w:rPr>
                <w:rFonts w:eastAsia="Calibri"/>
                <w:lang w:eastAsia="en-US"/>
              </w:rPr>
              <w:t>6</w:t>
            </w:r>
          </w:p>
        </w:tc>
        <w:tc>
          <w:tcPr>
            <w:tcW w:w="4243" w:type="dxa"/>
          </w:tcPr>
          <w:p w:rsidR="00E657D7" w:rsidRDefault="00B751DE">
            <w:pPr>
              <w:pStyle w:val="Tabletext"/>
              <w:rPr>
                <w:rFonts w:asciiTheme="majorHAnsi" w:eastAsia="Calibri" w:hAnsiTheme="majorHAnsi" w:cstheme="majorBidi"/>
                <w:b/>
                <w:sz w:val="40"/>
              </w:rPr>
            </w:pPr>
            <w:r w:rsidRPr="00427EE1">
              <w:rPr>
                <w:rFonts w:eastAsia="Calibri"/>
                <w:b/>
              </w:rPr>
              <w:t>Interpretation</w:t>
            </w:r>
          </w:p>
          <w:p w:rsidR="00E657D7" w:rsidRDefault="002D140F">
            <w:pPr>
              <w:pStyle w:val="Tabletext"/>
              <w:rPr>
                <w:rFonts w:eastAsia="Calibri"/>
              </w:rPr>
            </w:pPr>
            <w:r>
              <w:rPr>
                <w:rFonts w:eastAsia="Calibri"/>
              </w:rPr>
              <w:t>P</w:t>
            </w:r>
            <w:r w:rsidR="006B6636" w:rsidRPr="00427EE1">
              <w:rPr>
                <w:rFonts w:eastAsia="Calibri"/>
              </w:rPr>
              <w:t xml:space="preserve">rovides that the </w:t>
            </w:r>
            <w:r w:rsidR="00195602">
              <w:rPr>
                <w:rFonts w:eastAsia="Calibri"/>
              </w:rPr>
              <w:t>proposed Regulations</w:t>
            </w:r>
            <w:r w:rsidR="00B751DE" w:rsidRPr="00427EE1">
              <w:rPr>
                <w:rFonts w:eastAsia="Calibri"/>
              </w:rPr>
              <w:t xml:space="preserve"> prevail over </w:t>
            </w:r>
            <w:r w:rsidR="00D37D22" w:rsidRPr="00427EE1">
              <w:rPr>
                <w:rFonts w:eastAsia="Calibri"/>
              </w:rPr>
              <w:t>any</w:t>
            </w:r>
            <w:r w:rsidR="00B751DE" w:rsidRPr="00427EE1">
              <w:rPr>
                <w:rFonts w:eastAsia="Calibri"/>
              </w:rPr>
              <w:t xml:space="preserve"> incorporated document where any inconsistency</w:t>
            </w:r>
            <w:r w:rsidR="00D37D22" w:rsidRPr="00427EE1">
              <w:rPr>
                <w:rFonts w:eastAsia="Calibri"/>
              </w:rPr>
              <w:t xml:space="preserve"> arises between the two.</w:t>
            </w:r>
          </w:p>
        </w:tc>
        <w:tc>
          <w:tcPr>
            <w:tcW w:w="399" w:type="dxa"/>
            <w:vAlign w:val="center"/>
          </w:tcPr>
          <w:p w:rsidR="00B751DE" w:rsidRPr="00427EE1" w:rsidRDefault="00B751DE" w:rsidP="00B751DE">
            <w:pPr>
              <w:tabs>
                <w:tab w:val="left" w:pos="567"/>
              </w:tabs>
              <w:spacing w:line="276" w:lineRule="auto"/>
              <w:jc w:val="center"/>
              <w:rPr>
                <w:rFonts w:ascii="Calibri" w:eastAsia="Calibri" w:hAnsi="Calibri"/>
              </w:rPr>
            </w:pPr>
          </w:p>
        </w:tc>
        <w:tc>
          <w:tcPr>
            <w:tcW w:w="399" w:type="dxa"/>
            <w:vAlign w:val="center"/>
          </w:tcPr>
          <w:p w:rsidR="00B751DE" w:rsidRPr="00427EE1" w:rsidRDefault="00B751DE" w:rsidP="00B751DE">
            <w:pPr>
              <w:tabs>
                <w:tab w:val="left" w:pos="567"/>
              </w:tabs>
              <w:spacing w:line="276" w:lineRule="auto"/>
              <w:jc w:val="center"/>
              <w:rPr>
                <w:rFonts w:ascii="Calibri" w:eastAsia="Calibri" w:hAnsi="Calibri"/>
              </w:rPr>
            </w:pPr>
          </w:p>
        </w:tc>
        <w:tc>
          <w:tcPr>
            <w:tcW w:w="402" w:type="dxa"/>
            <w:vAlign w:val="center"/>
          </w:tcPr>
          <w:p w:rsidR="00B751DE" w:rsidRPr="00427EE1" w:rsidRDefault="00B751DE" w:rsidP="00B751DE">
            <w:pPr>
              <w:tabs>
                <w:tab w:val="left" w:pos="567"/>
              </w:tabs>
              <w:spacing w:line="276" w:lineRule="auto"/>
              <w:jc w:val="center"/>
              <w:rPr>
                <w:rFonts w:ascii="Calibri" w:eastAsia="Calibri" w:hAnsi="Calibri"/>
              </w:rPr>
            </w:pPr>
          </w:p>
        </w:tc>
        <w:tc>
          <w:tcPr>
            <w:tcW w:w="400" w:type="dxa"/>
            <w:vAlign w:val="center"/>
          </w:tcPr>
          <w:p w:rsidR="00B751DE" w:rsidRPr="00427EE1" w:rsidRDefault="00B751DE" w:rsidP="00B751DE">
            <w:pPr>
              <w:tabs>
                <w:tab w:val="left" w:pos="567"/>
              </w:tabs>
              <w:spacing w:line="276" w:lineRule="auto"/>
              <w:jc w:val="center"/>
              <w:rPr>
                <w:rFonts w:ascii="Calibri" w:eastAsia="Calibri" w:hAnsi="Calibri"/>
              </w:rPr>
            </w:pPr>
          </w:p>
        </w:tc>
        <w:tc>
          <w:tcPr>
            <w:tcW w:w="398" w:type="dxa"/>
            <w:vAlign w:val="center"/>
          </w:tcPr>
          <w:p w:rsidR="00B751DE" w:rsidRPr="00427EE1" w:rsidRDefault="00B751DE" w:rsidP="00B751DE">
            <w:pPr>
              <w:tabs>
                <w:tab w:val="left" w:pos="567"/>
              </w:tabs>
              <w:spacing w:line="276" w:lineRule="auto"/>
              <w:jc w:val="center"/>
              <w:rPr>
                <w:rFonts w:ascii="Calibri" w:eastAsia="Calibri" w:hAnsi="Calibri"/>
              </w:rPr>
            </w:pPr>
            <w:r w:rsidRPr="00427EE1">
              <w:rPr>
                <w:rFonts w:ascii="MS Gothic" w:eastAsia="MS Gothic" w:hAnsi="MS Gothic" w:cs="MS Gothic"/>
                <w:color w:val="222222"/>
              </w:rPr>
              <w:t>✓</w:t>
            </w:r>
          </w:p>
        </w:tc>
        <w:tc>
          <w:tcPr>
            <w:tcW w:w="6327" w:type="dxa"/>
          </w:tcPr>
          <w:p w:rsidR="00E657D7" w:rsidRDefault="00B751DE">
            <w:pPr>
              <w:pStyle w:val="Tabletext"/>
              <w:rPr>
                <w:rFonts w:asciiTheme="majorHAnsi" w:eastAsia="Calibri" w:hAnsiTheme="majorHAnsi" w:cstheme="majorBidi"/>
                <w:b/>
                <w:sz w:val="40"/>
              </w:rPr>
            </w:pPr>
            <w:r w:rsidRPr="00427EE1">
              <w:rPr>
                <w:rFonts w:eastAsia="Calibri"/>
              </w:rPr>
              <w:t xml:space="preserve">This </w:t>
            </w:r>
            <w:r w:rsidR="008911CB">
              <w:rPr>
                <w:rFonts w:eastAsia="Calibri"/>
              </w:rPr>
              <w:t>Regulation</w:t>
            </w:r>
            <w:r w:rsidRPr="00427EE1">
              <w:rPr>
                <w:rFonts w:eastAsia="Calibri"/>
              </w:rPr>
              <w:t xml:space="preserve"> ensures any document incorporated in the Regulations that is amended after incorporation</w:t>
            </w:r>
            <w:r w:rsidR="00DA3F49">
              <w:rPr>
                <w:rFonts w:eastAsia="Calibri"/>
              </w:rPr>
              <w:t>,</w:t>
            </w:r>
            <w:r w:rsidRPr="00427EE1">
              <w:rPr>
                <w:rFonts w:eastAsia="Calibri"/>
              </w:rPr>
              <w:t xml:space="preserve"> and in a manner inconsistent with the intended operation of the </w:t>
            </w:r>
            <w:r w:rsidR="006B6636" w:rsidRPr="00427EE1">
              <w:rPr>
                <w:rFonts w:eastAsia="Calibri"/>
              </w:rPr>
              <w:t xml:space="preserve">proposed </w:t>
            </w:r>
            <w:r w:rsidR="00195602">
              <w:rPr>
                <w:rFonts w:eastAsia="Calibri"/>
              </w:rPr>
              <w:t>Regulations</w:t>
            </w:r>
            <w:r w:rsidRPr="00427EE1">
              <w:rPr>
                <w:rFonts w:eastAsia="Calibri"/>
              </w:rPr>
              <w:t>, does not impact on the operation of the Regulations.</w:t>
            </w:r>
            <w:r w:rsidR="00D71A15" w:rsidRPr="00427EE1">
              <w:rPr>
                <w:rFonts w:eastAsia="Calibri"/>
              </w:rPr>
              <w:t xml:space="preserve"> </w:t>
            </w:r>
          </w:p>
        </w:tc>
      </w:tr>
      <w:tr w:rsidR="00B751DE" w:rsidRPr="00427EE1" w:rsidTr="00C44680">
        <w:trPr>
          <w:cantSplit/>
          <w:trHeight w:val="340"/>
        </w:trPr>
        <w:tc>
          <w:tcPr>
            <w:tcW w:w="994" w:type="dxa"/>
            <w:vAlign w:val="center"/>
          </w:tcPr>
          <w:p w:rsidR="00E657D7" w:rsidRDefault="00B751DE">
            <w:pPr>
              <w:pStyle w:val="Tabletext"/>
              <w:rPr>
                <w:rFonts w:eastAsia="Calibri"/>
              </w:rPr>
            </w:pPr>
            <w:r w:rsidRPr="00427EE1">
              <w:rPr>
                <w:rFonts w:eastAsia="Calibri"/>
              </w:rPr>
              <w:t>107</w:t>
            </w:r>
          </w:p>
        </w:tc>
        <w:tc>
          <w:tcPr>
            <w:tcW w:w="959" w:type="dxa"/>
            <w:vAlign w:val="center"/>
          </w:tcPr>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7</w:t>
            </w:r>
          </w:p>
        </w:tc>
        <w:tc>
          <w:tcPr>
            <w:tcW w:w="4243" w:type="dxa"/>
          </w:tcPr>
          <w:p w:rsidR="00E657D7" w:rsidRDefault="00B751DE">
            <w:pPr>
              <w:pStyle w:val="Tabletext"/>
              <w:rPr>
                <w:rFonts w:asciiTheme="majorHAnsi" w:eastAsia="Calibri" w:hAnsiTheme="majorHAnsi" w:cstheme="majorBidi"/>
                <w:b/>
                <w:sz w:val="40"/>
              </w:rPr>
            </w:pPr>
            <w:r w:rsidRPr="00427EE1">
              <w:rPr>
                <w:rFonts w:eastAsia="Calibri"/>
                <w:b/>
              </w:rPr>
              <w:t>Numerical values</w:t>
            </w:r>
          </w:p>
          <w:p w:rsidR="00E657D7" w:rsidRDefault="00B751DE">
            <w:pPr>
              <w:pStyle w:val="Tabletext"/>
              <w:rPr>
                <w:rFonts w:asciiTheme="majorHAnsi" w:eastAsia="Calibri" w:hAnsiTheme="majorHAnsi" w:cstheme="majorBidi"/>
                <w:b/>
                <w:sz w:val="40"/>
                <w:lang w:eastAsia="en-US"/>
              </w:rPr>
            </w:pPr>
            <w:r w:rsidRPr="00427EE1">
              <w:rPr>
                <w:rFonts w:eastAsia="Calibri"/>
              </w:rPr>
              <w:t xml:space="preserve">Specifies the application of numerical values prescribed in the proposed Regulations, allowing for certain accepted tolerances when applying these values to building work. </w:t>
            </w:r>
          </w:p>
        </w:tc>
        <w:tc>
          <w:tcPr>
            <w:tcW w:w="399" w:type="dxa"/>
            <w:vAlign w:val="center"/>
          </w:tcPr>
          <w:p w:rsidR="00B751DE" w:rsidRPr="00427EE1" w:rsidRDefault="00B751DE" w:rsidP="00B751DE">
            <w:pPr>
              <w:jc w:val="center"/>
            </w:pPr>
          </w:p>
        </w:tc>
        <w:tc>
          <w:tcPr>
            <w:tcW w:w="399" w:type="dxa"/>
            <w:vAlign w:val="center"/>
          </w:tcPr>
          <w:p w:rsidR="00B751DE" w:rsidRPr="00427EE1" w:rsidRDefault="00B751DE" w:rsidP="00B751DE">
            <w:pPr>
              <w:jc w:val="center"/>
            </w:pPr>
            <w:r w:rsidRPr="00427EE1">
              <w:rPr>
                <w:rFonts w:ascii="MS Gothic" w:eastAsia="MS Gothic" w:hAnsi="MS Gothic" w:cs="MS Gothic"/>
                <w:color w:val="222222"/>
              </w:rPr>
              <w:t>✓</w:t>
            </w:r>
          </w:p>
        </w:tc>
        <w:tc>
          <w:tcPr>
            <w:tcW w:w="402"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400"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8"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6327" w:type="dxa"/>
            <w:vAlign w:val="center"/>
          </w:tcPr>
          <w:p w:rsidR="00E657D7" w:rsidRDefault="00B751DE">
            <w:pPr>
              <w:pStyle w:val="Tabletext"/>
              <w:rPr>
                <w:rFonts w:asciiTheme="majorHAnsi" w:eastAsia="Calibri" w:hAnsiTheme="majorHAnsi" w:cstheme="majorBidi"/>
                <w:b/>
                <w:sz w:val="40"/>
                <w:lang w:eastAsia="en-US"/>
              </w:rPr>
            </w:pPr>
            <w:r w:rsidRPr="00427EE1">
              <w:rPr>
                <w:rFonts w:eastAsia="Calibri"/>
              </w:rPr>
              <w:t xml:space="preserve">This </w:t>
            </w:r>
            <w:r w:rsidR="008911CB">
              <w:rPr>
                <w:rFonts w:eastAsia="Calibri"/>
              </w:rPr>
              <w:t>Regulation</w:t>
            </w:r>
            <w:r w:rsidRPr="00427EE1">
              <w:rPr>
                <w:rFonts w:eastAsia="Calibri"/>
              </w:rPr>
              <w:t xml:space="preserve"> allows reasonable flexibility in the application of building standards according to industry</w:t>
            </w:r>
            <w:r w:rsidR="00DA3F49">
              <w:rPr>
                <w:rFonts w:eastAsia="Calibri"/>
              </w:rPr>
              <w:t>-</w:t>
            </w:r>
            <w:r w:rsidRPr="00427EE1">
              <w:rPr>
                <w:rFonts w:eastAsia="Calibri"/>
              </w:rPr>
              <w:t>accepted practice.</w:t>
            </w:r>
          </w:p>
        </w:tc>
      </w:tr>
      <w:tr w:rsidR="00B751DE" w:rsidRPr="00427EE1" w:rsidTr="00C44680">
        <w:trPr>
          <w:cantSplit/>
          <w:trHeight w:val="340"/>
        </w:trPr>
        <w:tc>
          <w:tcPr>
            <w:tcW w:w="994" w:type="dxa"/>
            <w:vAlign w:val="center"/>
          </w:tcPr>
          <w:p w:rsidR="00E657D7" w:rsidRDefault="00B751DE">
            <w:pPr>
              <w:pStyle w:val="Tabletext"/>
              <w:rPr>
                <w:rFonts w:eastAsia="Calibri"/>
              </w:rPr>
            </w:pPr>
            <w:r w:rsidRPr="00427EE1">
              <w:rPr>
                <w:rFonts w:eastAsia="Calibri"/>
              </w:rPr>
              <w:t>108</w:t>
            </w:r>
          </w:p>
        </w:tc>
        <w:tc>
          <w:tcPr>
            <w:tcW w:w="959" w:type="dxa"/>
            <w:vAlign w:val="center"/>
          </w:tcPr>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8</w:t>
            </w:r>
          </w:p>
        </w:tc>
        <w:tc>
          <w:tcPr>
            <w:tcW w:w="4243" w:type="dxa"/>
          </w:tcPr>
          <w:p w:rsidR="00E657D7" w:rsidRDefault="00B751DE">
            <w:pPr>
              <w:pStyle w:val="Tabletext"/>
              <w:rPr>
                <w:rFonts w:asciiTheme="majorHAnsi" w:eastAsia="Calibri" w:hAnsiTheme="majorHAnsi" w:cstheme="majorBidi"/>
                <w:b/>
                <w:sz w:val="40"/>
              </w:rPr>
            </w:pPr>
            <w:r w:rsidRPr="00427EE1">
              <w:rPr>
                <w:rFonts w:eastAsia="Calibri"/>
                <w:b/>
              </w:rPr>
              <w:t>Use of buildings</w:t>
            </w:r>
          </w:p>
          <w:p w:rsidR="00E657D7" w:rsidRDefault="00B751DE">
            <w:pPr>
              <w:pStyle w:val="Tabletext"/>
              <w:rPr>
                <w:rFonts w:asciiTheme="majorHAnsi" w:eastAsia="Calibri" w:hAnsiTheme="majorHAnsi" w:cstheme="majorBidi"/>
                <w:b/>
                <w:sz w:val="40"/>
                <w:lang w:eastAsia="en-US"/>
              </w:rPr>
            </w:pPr>
            <w:r w:rsidRPr="00427EE1">
              <w:rPr>
                <w:rFonts w:eastAsia="Calibri"/>
              </w:rPr>
              <w:t xml:space="preserve">Clarifies that a reference to the use of a building is also a reference to the purpose </w:t>
            </w:r>
            <w:r w:rsidR="002D140F">
              <w:rPr>
                <w:rFonts w:eastAsia="Calibri"/>
              </w:rPr>
              <w:t xml:space="preserve">for which </w:t>
            </w:r>
            <w:r w:rsidRPr="00427EE1">
              <w:rPr>
                <w:rFonts w:eastAsia="Calibri"/>
              </w:rPr>
              <w:t>the building is intended to be used.</w:t>
            </w:r>
          </w:p>
        </w:tc>
        <w:tc>
          <w:tcPr>
            <w:tcW w:w="399" w:type="dxa"/>
            <w:vAlign w:val="center"/>
          </w:tcPr>
          <w:p w:rsidR="00B751DE" w:rsidRPr="00427EE1" w:rsidRDefault="00B751DE" w:rsidP="00B751DE">
            <w:pPr>
              <w:jc w:val="center"/>
            </w:pPr>
          </w:p>
        </w:tc>
        <w:tc>
          <w:tcPr>
            <w:tcW w:w="399" w:type="dxa"/>
            <w:vAlign w:val="center"/>
          </w:tcPr>
          <w:p w:rsidR="00B751DE" w:rsidRPr="00427EE1" w:rsidRDefault="00B751DE" w:rsidP="00B751DE">
            <w:pPr>
              <w:jc w:val="center"/>
            </w:pPr>
            <w:r w:rsidRPr="00427EE1">
              <w:rPr>
                <w:rFonts w:ascii="MS Gothic" w:eastAsia="MS Gothic" w:hAnsi="MS Gothic" w:cs="MS Gothic"/>
                <w:color w:val="222222"/>
              </w:rPr>
              <w:t>✓</w:t>
            </w:r>
          </w:p>
        </w:tc>
        <w:tc>
          <w:tcPr>
            <w:tcW w:w="402"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400"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8"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6327" w:type="dxa"/>
            <w:vAlign w:val="center"/>
          </w:tcPr>
          <w:p w:rsidR="00E657D7" w:rsidRDefault="00B751DE" w:rsidP="00027095">
            <w:pPr>
              <w:pStyle w:val="Tabletext"/>
              <w:rPr>
                <w:rFonts w:asciiTheme="majorHAnsi" w:eastAsia="Calibri" w:hAnsiTheme="majorHAnsi" w:cstheme="majorBidi"/>
                <w:b/>
                <w:sz w:val="40"/>
                <w:lang w:eastAsia="en-US"/>
              </w:rPr>
            </w:pPr>
            <w:r w:rsidRPr="00427EE1">
              <w:rPr>
                <w:rFonts w:eastAsia="Calibri"/>
              </w:rPr>
              <w:t xml:space="preserve">Ensures building standards are applied from </w:t>
            </w:r>
            <w:r w:rsidR="00D37D22" w:rsidRPr="00427EE1">
              <w:rPr>
                <w:rFonts w:eastAsia="Calibri"/>
              </w:rPr>
              <w:t xml:space="preserve">the </w:t>
            </w:r>
            <w:r w:rsidRPr="00427EE1">
              <w:rPr>
                <w:rFonts w:eastAsia="Calibri"/>
              </w:rPr>
              <w:t xml:space="preserve">design stage through to </w:t>
            </w:r>
            <w:r w:rsidR="00D37D22" w:rsidRPr="00427EE1">
              <w:rPr>
                <w:rFonts w:eastAsia="Calibri"/>
              </w:rPr>
              <w:t xml:space="preserve">the </w:t>
            </w:r>
            <w:r w:rsidRPr="00427EE1">
              <w:rPr>
                <w:rFonts w:eastAsia="Calibri"/>
              </w:rPr>
              <w:t xml:space="preserve">construction and use of </w:t>
            </w:r>
            <w:r w:rsidR="00D37D22" w:rsidRPr="00427EE1">
              <w:rPr>
                <w:rFonts w:eastAsia="Calibri"/>
              </w:rPr>
              <w:t>a</w:t>
            </w:r>
            <w:r w:rsidRPr="00427EE1">
              <w:rPr>
                <w:rFonts w:eastAsia="Calibri"/>
              </w:rPr>
              <w:t xml:space="preserve"> building or </w:t>
            </w:r>
            <w:proofErr w:type="spellStart"/>
            <w:r w:rsidR="002D140F">
              <w:rPr>
                <w:rFonts w:eastAsia="Calibri"/>
              </w:rPr>
              <w:t>PoPE</w:t>
            </w:r>
            <w:proofErr w:type="spellEnd"/>
            <w:r w:rsidRPr="00427EE1">
              <w:rPr>
                <w:rFonts w:eastAsia="Calibri"/>
              </w:rPr>
              <w:t>.</w:t>
            </w:r>
          </w:p>
        </w:tc>
      </w:tr>
      <w:tr w:rsidR="00B751DE" w:rsidRPr="00427EE1" w:rsidTr="00C44680">
        <w:trPr>
          <w:cantSplit/>
          <w:trHeight w:val="340"/>
        </w:trPr>
        <w:tc>
          <w:tcPr>
            <w:tcW w:w="994" w:type="dxa"/>
            <w:vAlign w:val="center"/>
          </w:tcPr>
          <w:p w:rsidR="00E657D7" w:rsidRDefault="00B751DE">
            <w:pPr>
              <w:pStyle w:val="Tabletext"/>
              <w:rPr>
                <w:rFonts w:eastAsia="Calibri"/>
              </w:rPr>
            </w:pPr>
            <w:r w:rsidRPr="00427EE1">
              <w:rPr>
                <w:rFonts w:eastAsia="Calibri"/>
              </w:rPr>
              <w:t>1901</w:t>
            </w:r>
          </w:p>
        </w:tc>
        <w:tc>
          <w:tcPr>
            <w:tcW w:w="959" w:type="dxa"/>
            <w:vAlign w:val="center"/>
          </w:tcPr>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9</w:t>
            </w:r>
          </w:p>
        </w:tc>
        <w:tc>
          <w:tcPr>
            <w:tcW w:w="4243" w:type="dxa"/>
          </w:tcPr>
          <w:p w:rsidR="00E657D7" w:rsidRDefault="00B751DE">
            <w:pPr>
              <w:pStyle w:val="Tabletext"/>
              <w:rPr>
                <w:rFonts w:asciiTheme="majorHAnsi" w:eastAsia="Calibri" w:hAnsiTheme="majorHAnsi" w:cstheme="majorBidi"/>
                <w:b/>
                <w:sz w:val="40"/>
              </w:rPr>
            </w:pPr>
            <w:r w:rsidRPr="00427EE1">
              <w:rPr>
                <w:rFonts w:eastAsia="Calibri"/>
                <w:b/>
              </w:rPr>
              <w:t>Approved forms</w:t>
            </w:r>
          </w:p>
          <w:p w:rsidR="00E657D7" w:rsidRDefault="00B751DE">
            <w:pPr>
              <w:pStyle w:val="Tabletext"/>
              <w:rPr>
                <w:rFonts w:asciiTheme="majorHAnsi" w:eastAsia="Calibri" w:hAnsiTheme="majorHAnsi" w:cstheme="majorBidi"/>
                <w:b/>
                <w:sz w:val="40"/>
              </w:rPr>
            </w:pPr>
            <w:r w:rsidRPr="00427EE1">
              <w:rPr>
                <w:rFonts w:eastAsia="Calibri"/>
              </w:rPr>
              <w:t xml:space="preserve">Enables </w:t>
            </w:r>
            <w:r w:rsidR="00720C4E">
              <w:rPr>
                <w:rFonts w:eastAsia="Calibri"/>
              </w:rPr>
              <w:t>VBA</w:t>
            </w:r>
            <w:r w:rsidRPr="00427EE1">
              <w:rPr>
                <w:rFonts w:eastAsia="Calibri"/>
              </w:rPr>
              <w:t xml:space="preserve"> to prepare and approve forms for the purposes of the Regulations.</w:t>
            </w:r>
          </w:p>
          <w:p w:rsidR="00E657D7" w:rsidRDefault="00E657D7">
            <w:pPr>
              <w:pStyle w:val="Tabletext"/>
              <w:rPr>
                <w:rFonts w:eastAsia="Calibri"/>
                <w:sz w:val="16"/>
              </w:rPr>
            </w:pPr>
          </w:p>
        </w:tc>
        <w:tc>
          <w:tcPr>
            <w:tcW w:w="399" w:type="dxa"/>
            <w:vAlign w:val="center"/>
          </w:tcPr>
          <w:p w:rsidR="00B751DE" w:rsidRPr="00427EE1" w:rsidRDefault="00B751DE" w:rsidP="00B751DE">
            <w:pPr>
              <w:jc w:val="center"/>
            </w:pPr>
          </w:p>
        </w:tc>
        <w:tc>
          <w:tcPr>
            <w:tcW w:w="399" w:type="dxa"/>
            <w:vAlign w:val="center"/>
          </w:tcPr>
          <w:p w:rsidR="00B751DE" w:rsidRPr="00427EE1" w:rsidRDefault="00B751DE" w:rsidP="00B751DE">
            <w:pPr>
              <w:jc w:val="center"/>
              <w:rPr>
                <w:rFonts w:ascii="Calibri" w:eastAsia="Calibri" w:hAnsi="Calibri"/>
                <w:lang w:eastAsia="en-US"/>
              </w:rPr>
            </w:pPr>
            <w:r w:rsidRPr="00427EE1">
              <w:rPr>
                <w:rFonts w:ascii="MS Gothic" w:eastAsia="MS Gothic" w:hAnsi="MS Gothic" w:cs="MS Gothic"/>
                <w:color w:val="222222"/>
              </w:rPr>
              <w:t>✓</w:t>
            </w:r>
          </w:p>
        </w:tc>
        <w:tc>
          <w:tcPr>
            <w:tcW w:w="402"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400"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8"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6327" w:type="dxa"/>
            <w:vAlign w:val="center"/>
          </w:tcPr>
          <w:p w:rsidR="00E657D7" w:rsidRDefault="00A14EA0">
            <w:pPr>
              <w:pStyle w:val="Tabletext"/>
              <w:rPr>
                <w:rFonts w:asciiTheme="majorHAnsi" w:eastAsia="Calibri" w:hAnsiTheme="majorHAnsi" w:cstheme="majorBidi"/>
                <w:b/>
                <w:sz w:val="40"/>
              </w:rPr>
            </w:pPr>
            <w:r>
              <w:rPr>
                <w:rFonts w:eastAsia="Calibri"/>
              </w:rPr>
              <w:t>VBA</w:t>
            </w:r>
            <w:r w:rsidR="00D37D22" w:rsidRPr="00427EE1">
              <w:rPr>
                <w:rFonts w:eastAsia="Calibri"/>
              </w:rPr>
              <w:t xml:space="preserve"> is given power </w:t>
            </w:r>
            <w:r w:rsidR="00B751DE" w:rsidRPr="00427EE1">
              <w:rPr>
                <w:rFonts w:eastAsia="Calibri"/>
              </w:rPr>
              <w:t>to produce forms</w:t>
            </w:r>
            <w:r w:rsidR="00DA0F0A" w:rsidRPr="00427EE1">
              <w:rPr>
                <w:rFonts w:eastAsia="Calibri"/>
              </w:rPr>
              <w:t xml:space="preserve"> </w:t>
            </w:r>
            <w:r w:rsidR="00D37D22" w:rsidRPr="00427EE1">
              <w:rPr>
                <w:rFonts w:eastAsia="Calibri"/>
              </w:rPr>
              <w:t xml:space="preserve">for the purposes of the </w:t>
            </w:r>
            <w:r w:rsidR="00195602">
              <w:rPr>
                <w:rFonts w:eastAsia="Calibri"/>
              </w:rPr>
              <w:t>proposed Regulations</w:t>
            </w:r>
            <w:r w:rsidR="00D37D22" w:rsidRPr="00427EE1">
              <w:rPr>
                <w:rFonts w:eastAsia="Calibri"/>
              </w:rPr>
              <w:t xml:space="preserve">. This </w:t>
            </w:r>
            <w:r w:rsidR="00B751DE" w:rsidRPr="00427EE1">
              <w:rPr>
                <w:rFonts w:eastAsia="Calibri"/>
              </w:rPr>
              <w:t xml:space="preserve">provides flexibility as approved forms can be quickly prepared and easily </w:t>
            </w:r>
            <w:r w:rsidR="00D37D22" w:rsidRPr="00427EE1">
              <w:rPr>
                <w:rFonts w:eastAsia="Calibri"/>
              </w:rPr>
              <w:t xml:space="preserve">amended </w:t>
            </w:r>
            <w:r w:rsidR="00B751DE" w:rsidRPr="00427EE1">
              <w:rPr>
                <w:rFonts w:eastAsia="Calibri"/>
              </w:rPr>
              <w:t>in response to changing circumstances.</w:t>
            </w:r>
            <w:r w:rsidR="00D71A15" w:rsidRPr="00427EE1">
              <w:rPr>
                <w:rFonts w:eastAsia="Calibri"/>
              </w:rPr>
              <w:t xml:space="preserve"> </w:t>
            </w:r>
          </w:p>
        </w:tc>
      </w:tr>
    </w:tbl>
    <w:p w:rsidR="00E657D7" w:rsidRDefault="00E657D7"/>
    <w:p w:rsidR="00B751DE" w:rsidRPr="00427EE1" w:rsidRDefault="004267C5" w:rsidP="006119D2">
      <w:pPr>
        <w:pStyle w:val="Heading3"/>
      </w:pPr>
      <w:bookmarkStart w:id="175" w:name="_Toc481501596"/>
      <w:r>
        <w:lastRenderedPageBreak/>
        <w:t xml:space="preserve">Pt </w:t>
      </w:r>
      <w:r w:rsidR="001D2DA1" w:rsidRPr="00427EE1">
        <w:t>2</w:t>
      </w:r>
      <w:r w:rsidR="008475D9">
        <w:t>—</w:t>
      </w:r>
      <w:r w:rsidR="001D2DA1" w:rsidRPr="00427EE1">
        <w:t>Building Code of Australia</w:t>
      </w:r>
      <w:bookmarkEnd w:id="175"/>
    </w:p>
    <w:tbl>
      <w:tblPr>
        <w:tblW w:w="14524" w:type="dxa"/>
        <w:tblInd w:w="-147"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1008"/>
        <w:gridCol w:w="948"/>
        <w:gridCol w:w="4243"/>
        <w:gridCol w:w="399"/>
        <w:gridCol w:w="399"/>
        <w:gridCol w:w="402"/>
        <w:gridCol w:w="400"/>
        <w:gridCol w:w="398"/>
        <w:gridCol w:w="6327"/>
      </w:tblGrid>
      <w:tr w:rsidR="00B751DE" w:rsidRPr="00427EE1" w:rsidTr="0074248C">
        <w:trPr>
          <w:cantSplit/>
          <w:trHeight w:val="111"/>
          <w:tblHeader/>
        </w:trPr>
        <w:tc>
          <w:tcPr>
            <w:tcW w:w="1008" w:type="dxa"/>
            <w:vMerge w:val="restart"/>
            <w:shd w:val="clear" w:color="auto" w:fill="00B2A9" w:themeFill="accent1"/>
            <w:vAlign w:val="center"/>
            <w:hideMark/>
          </w:tcPr>
          <w:p w:rsidR="00E657D7" w:rsidRDefault="00B751DE">
            <w:pPr>
              <w:pStyle w:val="Tablecolumnhead"/>
              <w:rPr>
                <w:rFonts w:asciiTheme="majorHAnsi" w:eastAsia="Calibri" w:hAnsiTheme="majorHAnsi" w:cstheme="majorBidi"/>
                <w:sz w:val="40"/>
              </w:rPr>
            </w:pPr>
            <w:r w:rsidRPr="009B3662">
              <w:rPr>
                <w:rFonts w:eastAsia="Calibri"/>
              </w:rPr>
              <w:t>2006</w:t>
            </w:r>
          </w:p>
          <w:p w:rsidR="00E657D7" w:rsidRDefault="0074248C">
            <w:pPr>
              <w:pStyle w:val="Tablecolumnhead"/>
              <w:rPr>
                <w:rFonts w:eastAsia="Calibri"/>
              </w:rPr>
            </w:pPr>
            <w:r w:rsidRPr="00C44680">
              <w:rPr>
                <w:rFonts w:ascii="Arial Bold" w:eastAsia="Calibri" w:hAnsi="Arial Bold"/>
                <w:spacing w:val="-12"/>
                <w:sz w:val="16"/>
              </w:rPr>
              <w:t>Regulation</w:t>
            </w:r>
          </w:p>
        </w:tc>
        <w:tc>
          <w:tcPr>
            <w:tcW w:w="948" w:type="dxa"/>
            <w:vMerge w:val="restart"/>
            <w:shd w:val="clear" w:color="auto" w:fill="00B2A9" w:themeFill="accent1"/>
            <w:vAlign w:val="center"/>
            <w:hideMark/>
          </w:tcPr>
          <w:p w:rsidR="00E657D7" w:rsidRDefault="00B751DE">
            <w:pPr>
              <w:pStyle w:val="Tablecolumnhead"/>
              <w:rPr>
                <w:rFonts w:asciiTheme="majorHAnsi" w:eastAsiaTheme="majorEastAsia" w:hAnsiTheme="majorHAnsi" w:cstheme="majorBidi"/>
                <w:sz w:val="40"/>
              </w:rPr>
            </w:pPr>
            <w:r w:rsidRPr="009B3662">
              <w:rPr>
                <w:rFonts w:eastAsia="Calibri"/>
              </w:rPr>
              <w:t>2017</w:t>
            </w:r>
          </w:p>
          <w:p w:rsidR="00E657D7" w:rsidRDefault="0074248C">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E657D7" w:rsidRDefault="00B751DE">
            <w:pPr>
              <w:pStyle w:val="Tablecolumnhead"/>
              <w:rPr>
                <w:rFonts w:asciiTheme="majorHAnsi" w:eastAsia="Calibri" w:hAnsiTheme="majorHAnsi" w:cstheme="majorBidi"/>
                <w:sz w:val="40"/>
              </w:rPr>
            </w:pPr>
            <w:r w:rsidRPr="009B3662">
              <w:t xml:space="preserve">Short description of the </w:t>
            </w:r>
            <w:r w:rsidR="008911CB">
              <w:t>Regulation</w:t>
            </w:r>
          </w:p>
        </w:tc>
        <w:tc>
          <w:tcPr>
            <w:tcW w:w="1998" w:type="dxa"/>
            <w:gridSpan w:val="5"/>
            <w:shd w:val="clear" w:color="auto" w:fill="00B2A9" w:themeFill="accent1"/>
            <w:vAlign w:val="center"/>
          </w:tcPr>
          <w:p w:rsidR="00E657D7" w:rsidRDefault="00B751DE">
            <w:pPr>
              <w:pStyle w:val="Tablecolumnhead"/>
              <w:rPr>
                <w:rFonts w:asciiTheme="majorHAnsi" w:eastAsiaTheme="majorEastAsia" w:hAnsiTheme="majorHAnsi" w:cstheme="majorBidi"/>
                <w:sz w:val="40"/>
              </w:rPr>
            </w:pPr>
            <w:r w:rsidRPr="009B3662">
              <w:t>Proposed regulatory change</w:t>
            </w:r>
          </w:p>
        </w:tc>
        <w:tc>
          <w:tcPr>
            <w:tcW w:w="6327" w:type="dxa"/>
            <w:vMerge w:val="restart"/>
            <w:shd w:val="clear" w:color="auto" w:fill="00B2A9" w:themeFill="accent1"/>
            <w:vAlign w:val="center"/>
          </w:tcPr>
          <w:p w:rsidR="00E657D7" w:rsidRDefault="00B751DE">
            <w:pPr>
              <w:pStyle w:val="Tablecolumnhead"/>
              <w:rPr>
                <w:rFonts w:asciiTheme="majorHAnsi" w:eastAsiaTheme="majorEastAsia" w:hAnsiTheme="majorHAnsi" w:cstheme="majorBidi"/>
                <w:sz w:val="40"/>
              </w:rPr>
            </w:pPr>
            <w:r w:rsidRPr="009B3662">
              <w:t>Why the 2017 Regulation is proposed</w:t>
            </w:r>
          </w:p>
        </w:tc>
      </w:tr>
      <w:tr w:rsidR="00B751DE" w:rsidRPr="00427EE1" w:rsidTr="0074248C">
        <w:trPr>
          <w:cantSplit/>
          <w:trHeight w:val="966"/>
          <w:tblHeader/>
        </w:trPr>
        <w:tc>
          <w:tcPr>
            <w:tcW w:w="1008"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948"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B751DE" w:rsidRPr="00427EE1" w:rsidTr="0074248C">
        <w:trPr>
          <w:cantSplit/>
          <w:trHeight w:val="340"/>
        </w:trPr>
        <w:tc>
          <w:tcPr>
            <w:tcW w:w="1008" w:type="dxa"/>
            <w:vAlign w:val="center"/>
          </w:tcPr>
          <w:p w:rsidR="00E657D7" w:rsidRDefault="00B751DE" w:rsidP="006757E8">
            <w:pPr>
              <w:pStyle w:val="Tabletext"/>
              <w:rPr>
                <w:rFonts w:eastAsia="Calibri"/>
              </w:rPr>
            </w:pPr>
            <w:r w:rsidRPr="00427EE1">
              <w:rPr>
                <w:rFonts w:eastAsia="Calibri"/>
              </w:rPr>
              <w:t>109</w:t>
            </w:r>
          </w:p>
        </w:tc>
        <w:tc>
          <w:tcPr>
            <w:tcW w:w="948" w:type="dxa"/>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10</w:t>
            </w:r>
          </w:p>
        </w:tc>
        <w:tc>
          <w:tcPr>
            <w:tcW w:w="4243" w:type="dxa"/>
          </w:tcPr>
          <w:p w:rsidR="00E657D7" w:rsidRDefault="00666D12" w:rsidP="006757E8">
            <w:pPr>
              <w:pStyle w:val="Tabletext"/>
              <w:rPr>
                <w:rFonts w:asciiTheme="majorHAnsi" w:eastAsia="Calibri" w:hAnsiTheme="majorHAnsi" w:cstheme="majorBidi"/>
                <w:b/>
                <w:sz w:val="40"/>
                <w:lang w:eastAsia="en-US"/>
              </w:rPr>
            </w:pPr>
            <w:r>
              <w:rPr>
                <w:rFonts w:eastAsia="Calibri"/>
                <w:b/>
                <w:lang w:eastAsia="en-US"/>
              </w:rPr>
              <w:t>BCA</w:t>
            </w:r>
          </w:p>
          <w:p w:rsidR="00E657D7" w:rsidRDefault="002D140F" w:rsidP="006757E8">
            <w:pPr>
              <w:pStyle w:val="Tabletext"/>
              <w:rPr>
                <w:rFonts w:eastAsia="Calibri"/>
                <w:lang w:eastAsia="en-US"/>
              </w:rPr>
            </w:pPr>
            <w:r>
              <w:rPr>
                <w:rFonts w:eastAsia="Calibri"/>
                <w:lang w:eastAsia="en-US"/>
              </w:rPr>
              <w:t>A</w:t>
            </w:r>
            <w:r w:rsidR="00B751DE" w:rsidRPr="00427EE1">
              <w:rPr>
                <w:rFonts w:eastAsia="Calibri"/>
                <w:lang w:eastAsia="en-US"/>
              </w:rPr>
              <w:t>dopts the BCA so that it forms part of Victorian law.</w:t>
            </w:r>
            <w:r w:rsidR="00D71A15" w:rsidRPr="00427EE1">
              <w:rPr>
                <w:rFonts w:eastAsia="Calibri"/>
                <w:lang w:eastAsia="en-US"/>
              </w:rPr>
              <w:t xml:space="preserve"> </w:t>
            </w:r>
            <w:r w:rsidR="00B751DE" w:rsidRPr="00427EE1">
              <w:rPr>
                <w:rFonts w:eastAsia="Calibri"/>
              </w:rPr>
              <w:t>The BCA applies in Victoria</w:t>
            </w:r>
            <w:r>
              <w:rPr>
                <w:rFonts w:eastAsia="Calibri"/>
              </w:rPr>
              <w:t>,</w:t>
            </w:r>
            <w:r w:rsidR="00B751DE" w:rsidRPr="00427EE1">
              <w:rPr>
                <w:rFonts w:eastAsia="Calibri"/>
              </w:rPr>
              <w:t xml:space="preserve"> as modified by the Regulations.</w:t>
            </w:r>
          </w:p>
        </w:tc>
        <w:tc>
          <w:tcPr>
            <w:tcW w:w="399" w:type="dxa"/>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vAlign w:val="center"/>
          </w:tcPr>
          <w:p w:rsidR="00B751DE" w:rsidRPr="00427EE1" w:rsidRDefault="00B751DE" w:rsidP="006757E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vAlign w:val="center"/>
          </w:tcPr>
          <w:p w:rsidR="00E657D7" w:rsidRDefault="00B751DE">
            <w:pPr>
              <w:pStyle w:val="Tabletext"/>
              <w:rPr>
                <w:rFonts w:eastAsia="Calibri"/>
              </w:rPr>
            </w:pPr>
            <w:r w:rsidRPr="00427EE1">
              <w:rPr>
                <w:rFonts w:eastAsia="Calibri"/>
              </w:rPr>
              <w:t xml:space="preserve">This </w:t>
            </w:r>
            <w:r w:rsidR="008911CB">
              <w:rPr>
                <w:rFonts w:eastAsia="Calibri"/>
              </w:rPr>
              <w:t>Regulation</w:t>
            </w:r>
            <w:r w:rsidRPr="00427EE1">
              <w:rPr>
                <w:rFonts w:eastAsia="Calibri"/>
              </w:rPr>
              <w:t xml:space="preserve"> supports the implementation of a nationally consistent technical, performance</w:t>
            </w:r>
            <w:r w:rsidR="002D140F">
              <w:rPr>
                <w:rFonts w:eastAsia="Calibri"/>
              </w:rPr>
              <w:t>-</w:t>
            </w:r>
            <w:r w:rsidRPr="00427EE1">
              <w:rPr>
                <w:rFonts w:eastAsia="Calibri"/>
              </w:rPr>
              <w:t>based building code.</w:t>
            </w:r>
          </w:p>
          <w:p w:rsidR="00E657D7" w:rsidRDefault="00E657D7">
            <w:pPr>
              <w:pStyle w:val="Tabletext"/>
              <w:rPr>
                <w:rFonts w:eastAsia="Calibri"/>
                <w:b/>
                <w:sz w:val="16"/>
              </w:rPr>
            </w:pPr>
          </w:p>
        </w:tc>
      </w:tr>
      <w:tr w:rsidR="00B751DE" w:rsidRPr="00427EE1" w:rsidTr="0074248C">
        <w:trPr>
          <w:cantSplit/>
          <w:trHeight w:val="340"/>
        </w:trPr>
        <w:tc>
          <w:tcPr>
            <w:tcW w:w="1008" w:type="dxa"/>
            <w:vAlign w:val="center"/>
          </w:tcPr>
          <w:p w:rsidR="00E657D7" w:rsidRDefault="00B751DE" w:rsidP="006757E8">
            <w:pPr>
              <w:pStyle w:val="Tabletext"/>
              <w:rPr>
                <w:rFonts w:eastAsia="Calibri"/>
              </w:rPr>
            </w:pPr>
            <w:r w:rsidRPr="00427EE1">
              <w:rPr>
                <w:rFonts w:eastAsia="Calibri"/>
              </w:rPr>
              <w:t>106</w:t>
            </w:r>
          </w:p>
        </w:tc>
        <w:tc>
          <w:tcPr>
            <w:tcW w:w="948" w:type="dxa"/>
            <w:vAlign w:val="center"/>
          </w:tcPr>
          <w:p w:rsidR="00E657D7" w:rsidRDefault="002D140F" w:rsidP="006757E8">
            <w:pPr>
              <w:pStyle w:val="Tabletext"/>
              <w:rPr>
                <w:rFonts w:eastAsia="Calibri"/>
                <w:lang w:eastAsia="en-US"/>
              </w:rPr>
            </w:pPr>
            <w:r>
              <w:rPr>
                <w:rFonts w:eastAsia="Calibri"/>
                <w:lang w:eastAsia="en-US"/>
              </w:rPr>
              <w:t>S</w:t>
            </w:r>
          </w:p>
        </w:tc>
        <w:tc>
          <w:tcPr>
            <w:tcW w:w="4243" w:type="dxa"/>
          </w:tcPr>
          <w:p w:rsidR="00E657D7" w:rsidRDefault="00B751DE" w:rsidP="006757E8">
            <w:pPr>
              <w:pStyle w:val="Tabletext"/>
              <w:rPr>
                <w:rFonts w:asciiTheme="majorHAnsi" w:eastAsia="Calibri" w:hAnsiTheme="majorHAnsi" w:cstheme="majorBidi"/>
                <w:b/>
                <w:sz w:val="40"/>
                <w:lang w:eastAsia="en-US"/>
              </w:rPr>
            </w:pPr>
            <w:r w:rsidRPr="00427EE1">
              <w:rPr>
                <w:rFonts w:eastAsia="Calibri"/>
                <w:b/>
                <w:lang w:eastAsia="en-US"/>
              </w:rPr>
              <w:t>Use of BCA terms</w:t>
            </w:r>
          </w:p>
          <w:p w:rsidR="00E657D7" w:rsidRDefault="002D140F" w:rsidP="006757E8">
            <w:pPr>
              <w:pStyle w:val="Tabletext"/>
              <w:rPr>
                <w:rFonts w:eastAsia="Calibri"/>
                <w:lang w:eastAsia="en-US"/>
              </w:rPr>
            </w:pPr>
            <w:r>
              <w:rPr>
                <w:rFonts w:eastAsia="Calibri"/>
                <w:lang w:eastAsia="en-US"/>
              </w:rPr>
              <w:t>S</w:t>
            </w:r>
            <w:r w:rsidR="00B751DE" w:rsidRPr="00427EE1">
              <w:rPr>
                <w:rFonts w:eastAsia="Calibri"/>
                <w:lang w:eastAsia="en-US"/>
              </w:rPr>
              <w:t>pecifies when words and expressions in the Regulations have the same meaning as they have in the BCA.</w:t>
            </w:r>
          </w:p>
        </w:tc>
        <w:tc>
          <w:tcPr>
            <w:tcW w:w="399" w:type="dxa"/>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vAlign w:val="center"/>
          </w:tcPr>
          <w:p w:rsidR="00B751DE" w:rsidRPr="00427EE1" w:rsidRDefault="00B751DE" w:rsidP="006757E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vAlign w:val="center"/>
          </w:tcPr>
          <w:p w:rsidR="00E657D7" w:rsidRDefault="00B751DE">
            <w:pPr>
              <w:pStyle w:val="Tabletext"/>
              <w:rPr>
                <w:rFonts w:eastAsia="Calibri"/>
                <w:sz w:val="16"/>
                <w:szCs w:val="16"/>
              </w:rPr>
            </w:pPr>
            <w:r w:rsidRPr="00427EE1">
              <w:rPr>
                <w:rFonts w:eastAsia="Calibri"/>
              </w:rPr>
              <w:t xml:space="preserve">This </w:t>
            </w:r>
            <w:r w:rsidR="008911CB">
              <w:rPr>
                <w:rFonts w:eastAsia="Calibri"/>
              </w:rPr>
              <w:t>Regulation</w:t>
            </w:r>
            <w:r w:rsidRPr="00427EE1">
              <w:rPr>
                <w:rFonts w:eastAsia="Calibri"/>
              </w:rPr>
              <w:t xml:space="preserve"> promotes consistency in the meaning of terminology used in both the Regulations and the BCA, in circumstances where the Regulations do not specify a different meaning to that used by the BCA.</w:t>
            </w:r>
          </w:p>
        </w:tc>
      </w:tr>
      <w:tr w:rsidR="00B751DE" w:rsidRPr="00427EE1" w:rsidTr="0074248C">
        <w:trPr>
          <w:cantSplit/>
          <w:trHeight w:val="340"/>
        </w:trPr>
        <w:tc>
          <w:tcPr>
            <w:tcW w:w="1008" w:type="dxa"/>
            <w:vAlign w:val="center"/>
          </w:tcPr>
          <w:p w:rsidR="00E657D7" w:rsidRDefault="00B751DE" w:rsidP="006757E8">
            <w:pPr>
              <w:pStyle w:val="Tabletext"/>
              <w:rPr>
                <w:rFonts w:eastAsia="Calibri"/>
              </w:rPr>
            </w:pPr>
            <w:r w:rsidRPr="00427EE1">
              <w:rPr>
                <w:rFonts w:eastAsia="Calibri"/>
              </w:rPr>
              <w:t>112(1)</w:t>
            </w:r>
          </w:p>
        </w:tc>
        <w:tc>
          <w:tcPr>
            <w:tcW w:w="948" w:type="dxa"/>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12</w:t>
            </w:r>
          </w:p>
        </w:tc>
        <w:tc>
          <w:tcPr>
            <w:tcW w:w="4243" w:type="dxa"/>
          </w:tcPr>
          <w:p w:rsidR="00E657D7" w:rsidRDefault="00B751DE" w:rsidP="006757E8">
            <w:pPr>
              <w:pStyle w:val="Tabletext"/>
              <w:rPr>
                <w:rFonts w:asciiTheme="majorHAnsi" w:eastAsia="Calibri" w:hAnsiTheme="majorHAnsi" w:cstheme="majorBidi"/>
                <w:b/>
                <w:sz w:val="40"/>
                <w:lang w:eastAsia="en-US"/>
              </w:rPr>
            </w:pPr>
            <w:r w:rsidRPr="00427EE1">
              <w:rPr>
                <w:rFonts w:eastAsia="Calibri"/>
                <w:b/>
                <w:lang w:eastAsia="en-US"/>
              </w:rPr>
              <w:t>Classification of buildings</w:t>
            </w:r>
            <w:r w:rsidRPr="00427EE1">
              <w:rPr>
                <w:rFonts w:eastAsia="Calibri"/>
                <w:lang w:eastAsia="en-US"/>
              </w:rPr>
              <w:br/>
              <w:t>Requires buildings to be classified using the BCA.</w:t>
            </w:r>
            <w:r w:rsidRPr="00427EE1">
              <w:rPr>
                <w:rFonts w:eastAsia="Calibri"/>
              </w:rPr>
              <w:t xml:space="preserve"> Classification of a building or part of a building is determined by the purpose for which it is designed, constructed or adapted to be used.</w:t>
            </w:r>
          </w:p>
        </w:tc>
        <w:tc>
          <w:tcPr>
            <w:tcW w:w="399" w:type="dxa"/>
            <w:vAlign w:val="center"/>
          </w:tcPr>
          <w:p w:rsidR="00B751DE" w:rsidRPr="00427EE1" w:rsidRDefault="00B751DE" w:rsidP="006757E8">
            <w:pPr>
              <w:jc w:val="center"/>
            </w:pPr>
          </w:p>
        </w:tc>
        <w:tc>
          <w:tcPr>
            <w:tcW w:w="399" w:type="dxa"/>
            <w:vAlign w:val="center"/>
          </w:tcPr>
          <w:p w:rsidR="00B751DE" w:rsidRPr="00427EE1" w:rsidRDefault="00B751DE" w:rsidP="006757E8">
            <w:pPr>
              <w:jc w:val="center"/>
            </w:pPr>
            <w:r w:rsidRPr="00427EE1">
              <w:rPr>
                <w:rFonts w:ascii="MS Gothic" w:eastAsia="MS Gothic" w:hAnsi="MS Gothic" w:cs="MS Gothic"/>
                <w:color w:val="222222"/>
              </w:rPr>
              <w:t>✓</w:t>
            </w:r>
          </w:p>
        </w:tc>
        <w:tc>
          <w:tcPr>
            <w:tcW w:w="402" w:type="dxa"/>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400" w:type="dxa"/>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vAlign w:val="center"/>
          </w:tcPr>
          <w:p w:rsidR="00E657D7" w:rsidRDefault="00B751DE">
            <w:pPr>
              <w:pStyle w:val="Tabletext"/>
              <w:rPr>
                <w:rFonts w:asciiTheme="majorHAnsi" w:eastAsia="Calibri" w:hAnsiTheme="majorHAnsi" w:cstheme="majorBidi"/>
                <w:b/>
                <w:sz w:val="40"/>
              </w:rPr>
            </w:pPr>
            <w:r w:rsidRPr="00427EE1">
              <w:rPr>
                <w:rFonts w:eastAsia="Calibri"/>
              </w:rPr>
              <w:t xml:space="preserve">Building standards and safety and other requirements in Regulations are associated with building classification in the BCA. </w:t>
            </w:r>
            <w:r w:rsidR="0050312B" w:rsidRPr="00427EE1">
              <w:rPr>
                <w:rFonts w:eastAsia="Calibri"/>
              </w:rPr>
              <w:t>For this reason, it is necessary for a building surveyor to classify a building when issuing a building permit.</w:t>
            </w:r>
          </w:p>
        </w:tc>
      </w:tr>
      <w:tr w:rsidR="00B751DE" w:rsidRPr="00427EE1" w:rsidTr="0074248C">
        <w:trPr>
          <w:cantSplit/>
          <w:trHeight w:val="340"/>
        </w:trPr>
        <w:tc>
          <w:tcPr>
            <w:tcW w:w="1008" w:type="dxa"/>
            <w:vAlign w:val="center"/>
          </w:tcPr>
          <w:p w:rsidR="00E657D7" w:rsidRDefault="00B751DE" w:rsidP="006757E8">
            <w:pPr>
              <w:pStyle w:val="Tabletext"/>
              <w:rPr>
                <w:rFonts w:eastAsia="Calibri"/>
              </w:rPr>
            </w:pPr>
            <w:r w:rsidRPr="00427EE1">
              <w:rPr>
                <w:rFonts w:eastAsia="Calibri"/>
              </w:rPr>
              <w:t>112(2)</w:t>
            </w:r>
          </w:p>
        </w:tc>
        <w:tc>
          <w:tcPr>
            <w:tcW w:w="948" w:type="dxa"/>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13</w:t>
            </w:r>
          </w:p>
        </w:tc>
        <w:tc>
          <w:tcPr>
            <w:tcW w:w="4243" w:type="dxa"/>
          </w:tcPr>
          <w:p w:rsidR="00E657D7" w:rsidRDefault="00AB414E" w:rsidP="006757E8">
            <w:pPr>
              <w:pStyle w:val="Tabletext"/>
              <w:rPr>
                <w:rFonts w:eastAsia="Calibri"/>
                <w:b/>
                <w:lang w:eastAsia="en-US"/>
              </w:rPr>
            </w:pPr>
            <w:r>
              <w:rPr>
                <w:rFonts w:eastAsia="Calibri"/>
                <w:b/>
                <w:lang w:eastAsia="en-US"/>
              </w:rPr>
              <w:t>RBS</w:t>
            </w:r>
            <w:r w:rsidR="00B751DE" w:rsidRPr="00427EE1">
              <w:rPr>
                <w:rFonts w:eastAsia="Calibri"/>
                <w:b/>
                <w:lang w:eastAsia="en-US"/>
              </w:rPr>
              <w:t xml:space="preserve"> must classify building in case of doubt</w:t>
            </w:r>
          </w:p>
          <w:p w:rsidR="00E657D7" w:rsidRDefault="002D140F" w:rsidP="006757E8">
            <w:pPr>
              <w:pStyle w:val="Tabletext"/>
              <w:rPr>
                <w:rFonts w:eastAsia="Calibri"/>
                <w:b/>
                <w:lang w:eastAsia="en-US"/>
              </w:rPr>
            </w:pPr>
            <w:r>
              <w:rPr>
                <w:rFonts w:eastAsia="Calibri"/>
                <w:lang w:eastAsia="en-US"/>
              </w:rPr>
              <w:t>D</w:t>
            </w:r>
            <w:r w:rsidR="00B751DE" w:rsidRPr="00427EE1">
              <w:rPr>
                <w:rFonts w:eastAsia="Calibri"/>
                <w:lang w:eastAsia="en-US"/>
              </w:rPr>
              <w:t>irects how difficult building classifications must be resolved</w:t>
            </w:r>
            <w:r w:rsidR="0050312B" w:rsidRPr="00427EE1">
              <w:rPr>
                <w:rFonts w:eastAsia="Calibri"/>
                <w:lang w:eastAsia="en-US"/>
              </w:rPr>
              <w:t xml:space="preserve"> and made.</w:t>
            </w:r>
          </w:p>
          <w:p w:rsidR="00E657D7" w:rsidRDefault="00E657D7" w:rsidP="006757E8">
            <w:pPr>
              <w:pStyle w:val="Tabletext"/>
              <w:rPr>
                <w:rFonts w:eastAsia="Calibri"/>
                <w:sz w:val="16"/>
                <w:lang w:eastAsia="en-US"/>
              </w:rPr>
            </w:pPr>
          </w:p>
        </w:tc>
        <w:tc>
          <w:tcPr>
            <w:tcW w:w="399" w:type="dxa"/>
            <w:vAlign w:val="center"/>
          </w:tcPr>
          <w:p w:rsidR="00B751DE" w:rsidRPr="00427EE1" w:rsidRDefault="00B751DE" w:rsidP="006757E8">
            <w:pPr>
              <w:jc w:val="center"/>
            </w:pPr>
          </w:p>
        </w:tc>
        <w:tc>
          <w:tcPr>
            <w:tcW w:w="399" w:type="dxa"/>
            <w:vAlign w:val="center"/>
          </w:tcPr>
          <w:p w:rsidR="00B751DE" w:rsidRPr="00427EE1" w:rsidRDefault="00B751DE">
            <w:pPr>
              <w:jc w:val="center"/>
            </w:pPr>
            <w:r w:rsidRPr="00427EE1">
              <w:rPr>
                <w:rFonts w:ascii="MS Gothic" w:eastAsia="MS Gothic" w:hAnsi="MS Gothic" w:cs="MS Gothic"/>
                <w:color w:val="222222"/>
              </w:rPr>
              <w:t>✓</w:t>
            </w:r>
          </w:p>
        </w:tc>
        <w:tc>
          <w:tcPr>
            <w:tcW w:w="402" w:type="dxa"/>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vAlign w:val="center"/>
          </w:tcPr>
          <w:p w:rsidR="00E657D7" w:rsidRDefault="0050312B">
            <w:pPr>
              <w:pStyle w:val="Tabletext"/>
              <w:rPr>
                <w:rFonts w:asciiTheme="majorHAnsi" w:eastAsia="Calibri" w:hAnsiTheme="majorHAnsi" w:cstheme="majorBidi"/>
                <w:b/>
                <w:sz w:val="40"/>
                <w:lang w:eastAsia="en-US"/>
              </w:rPr>
            </w:pPr>
            <w:r w:rsidRPr="00427EE1">
              <w:rPr>
                <w:rFonts w:eastAsia="Calibri"/>
                <w:lang w:eastAsia="en-US"/>
              </w:rPr>
              <w:t xml:space="preserve">This </w:t>
            </w:r>
            <w:r w:rsidR="008911CB">
              <w:rPr>
                <w:rFonts w:eastAsia="Calibri"/>
                <w:lang w:eastAsia="en-US"/>
              </w:rPr>
              <w:t>Regulation</w:t>
            </w:r>
            <w:r w:rsidRPr="00427EE1">
              <w:rPr>
                <w:rFonts w:eastAsia="Calibri"/>
                <w:lang w:eastAsia="en-US"/>
              </w:rPr>
              <w:t xml:space="preserve"> </w:t>
            </w:r>
            <w:r w:rsidR="00B751DE" w:rsidRPr="00427EE1">
              <w:rPr>
                <w:rFonts w:eastAsia="Calibri"/>
                <w:lang w:eastAsia="en-US"/>
              </w:rPr>
              <w:t xml:space="preserve">requires the </w:t>
            </w:r>
            <w:r w:rsidR="00AB414E">
              <w:rPr>
                <w:rFonts w:eastAsia="Calibri"/>
                <w:lang w:eastAsia="en-US"/>
              </w:rPr>
              <w:t>RBS</w:t>
            </w:r>
            <w:r w:rsidR="00B751DE" w:rsidRPr="00427EE1">
              <w:rPr>
                <w:rFonts w:eastAsia="Calibri"/>
                <w:lang w:eastAsia="en-US"/>
              </w:rPr>
              <w:t xml:space="preserve"> to classify </w:t>
            </w:r>
            <w:r w:rsidRPr="00427EE1">
              <w:rPr>
                <w:rFonts w:eastAsia="Calibri"/>
                <w:lang w:eastAsia="en-US"/>
              </w:rPr>
              <w:t>a</w:t>
            </w:r>
            <w:r w:rsidR="00B751DE" w:rsidRPr="00427EE1">
              <w:rPr>
                <w:rFonts w:eastAsia="Calibri"/>
                <w:lang w:eastAsia="en-US"/>
              </w:rPr>
              <w:t xml:space="preserve"> building </w:t>
            </w:r>
            <w:r w:rsidRPr="00427EE1">
              <w:rPr>
                <w:rFonts w:eastAsia="Calibri"/>
                <w:lang w:eastAsia="en-US"/>
              </w:rPr>
              <w:t>as</w:t>
            </w:r>
            <w:r w:rsidR="00B751DE" w:rsidRPr="00427EE1">
              <w:rPr>
                <w:rFonts w:eastAsia="Calibri"/>
                <w:lang w:eastAsia="en-US"/>
              </w:rPr>
              <w:t xml:space="preserve"> the BCA class it most closely resembles</w:t>
            </w:r>
            <w:r w:rsidR="002E244C">
              <w:rPr>
                <w:rFonts w:eastAsia="Calibri"/>
                <w:lang w:eastAsia="en-US"/>
              </w:rPr>
              <w:t>,</w:t>
            </w:r>
            <w:r w:rsidR="00B751DE" w:rsidRPr="00427EE1">
              <w:rPr>
                <w:rFonts w:eastAsia="Calibri"/>
                <w:lang w:eastAsia="en-US"/>
              </w:rPr>
              <w:t xml:space="preserve"> in situations where more than one BCA building classification may be appropriate for a building or a building does not fit neatly within an existing BCA classification.</w:t>
            </w:r>
          </w:p>
        </w:tc>
      </w:tr>
    </w:tbl>
    <w:p w:rsidR="00E657D7" w:rsidRDefault="00E657D7" w:rsidP="006757E8"/>
    <w:p w:rsidR="00B751DE" w:rsidRPr="00427EE1" w:rsidRDefault="004267C5" w:rsidP="006119D2">
      <w:pPr>
        <w:pStyle w:val="Heading3"/>
      </w:pPr>
      <w:bookmarkStart w:id="176" w:name="_Toc481501597"/>
      <w:r>
        <w:lastRenderedPageBreak/>
        <w:t xml:space="preserve">Pt </w:t>
      </w:r>
      <w:r w:rsidR="001D2DA1" w:rsidRPr="00427EE1">
        <w:t>3</w:t>
      </w:r>
      <w:r w:rsidR="008475D9">
        <w:t>—</w:t>
      </w:r>
      <w:r w:rsidR="001D2DA1" w:rsidRPr="00427EE1">
        <w:t>Owner</w:t>
      </w:r>
      <w:r w:rsidR="00C7328F">
        <w:t xml:space="preserve"> b</w:t>
      </w:r>
      <w:r w:rsidR="001D2DA1" w:rsidRPr="00427EE1">
        <w:t>uilders</w:t>
      </w:r>
      <w:bookmarkEnd w:id="176"/>
    </w:p>
    <w:p w:rsidR="00B751DE" w:rsidRPr="00427EE1" w:rsidRDefault="005E2285" w:rsidP="006119D2">
      <w:pPr>
        <w:pStyle w:val="Heading4"/>
      </w:pPr>
      <w:proofErr w:type="spellStart"/>
      <w:r>
        <w:t>Div</w:t>
      </w:r>
      <w:proofErr w:type="spellEnd"/>
      <w:r w:rsidR="001D2DA1" w:rsidRPr="00427EE1">
        <w:t xml:space="preserve"> </w:t>
      </w:r>
      <w:r w:rsidR="00B751DE" w:rsidRPr="00427EE1">
        <w:t>2</w:t>
      </w:r>
      <w:r w:rsidR="008475D9">
        <w:t>—</w:t>
      </w:r>
      <w:r w:rsidR="00B751DE" w:rsidRPr="00427EE1">
        <w:t>Applications for certificate of consent for owner-builders</w:t>
      </w:r>
    </w:p>
    <w:tbl>
      <w:tblPr>
        <w:tblW w:w="14521" w:type="dxa"/>
        <w:tblInd w:w="-144"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52"/>
        <w:gridCol w:w="1001"/>
        <w:gridCol w:w="4243"/>
        <w:gridCol w:w="399"/>
        <w:gridCol w:w="399"/>
        <w:gridCol w:w="402"/>
        <w:gridCol w:w="400"/>
        <w:gridCol w:w="398"/>
        <w:gridCol w:w="6327"/>
      </w:tblGrid>
      <w:tr w:rsidR="00B751DE" w:rsidRPr="00427EE1" w:rsidTr="002E244C">
        <w:trPr>
          <w:cantSplit/>
          <w:trHeight w:val="132"/>
          <w:tblHeader/>
        </w:trPr>
        <w:tc>
          <w:tcPr>
            <w:tcW w:w="952" w:type="dxa"/>
            <w:vMerge w:val="restart"/>
            <w:shd w:val="clear" w:color="auto" w:fill="00B2A9" w:themeFill="accent1"/>
            <w:vAlign w:val="center"/>
            <w:hideMark/>
          </w:tcPr>
          <w:p w:rsidR="00E657D7" w:rsidRDefault="00B751DE">
            <w:pPr>
              <w:pStyle w:val="Tablecolumnhead"/>
              <w:rPr>
                <w:rFonts w:asciiTheme="majorHAnsi" w:eastAsia="Calibri" w:hAnsiTheme="majorHAnsi" w:cstheme="majorBidi"/>
                <w:sz w:val="40"/>
              </w:rPr>
            </w:pPr>
            <w:r w:rsidRPr="009B3662">
              <w:rPr>
                <w:rFonts w:eastAsia="Calibri"/>
              </w:rPr>
              <w:t>2006</w:t>
            </w:r>
          </w:p>
          <w:p w:rsidR="00E657D7" w:rsidRDefault="002E244C">
            <w:pPr>
              <w:pStyle w:val="Tablecolumnhead"/>
              <w:rPr>
                <w:rFonts w:eastAsia="Calibri"/>
              </w:rPr>
            </w:pPr>
            <w:r w:rsidRPr="00C44680">
              <w:rPr>
                <w:rFonts w:ascii="Arial Bold" w:eastAsia="Calibri" w:hAnsi="Arial Bold"/>
                <w:spacing w:val="-12"/>
                <w:sz w:val="16"/>
              </w:rPr>
              <w:t>Regulation</w:t>
            </w:r>
          </w:p>
        </w:tc>
        <w:tc>
          <w:tcPr>
            <w:tcW w:w="1001" w:type="dxa"/>
            <w:vMerge w:val="restart"/>
            <w:shd w:val="clear" w:color="auto" w:fill="00B2A9" w:themeFill="accent1"/>
            <w:vAlign w:val="center"/>
            <w:hideMark/>
          </w:tcPr>
          <w:p w:rsidR="00E657D7" w:rsidRDefault="00B751DE">
            <w:pPr>
              <w:pStyle w:val="Tablecolumnhead"/>
              <w:rPr>
                <w:rFonts w:asciiTheme="majorHAnsi" w:eastAsiaTheme="majorEastAsia" w:hAnsiTheme="majorHAnsi" w:cstheme="majorBidi"/>
                <w:sz w:val="40"/>
              </w:rPr>
            </w:pPr>
            <w:r w:rsidRPr="009B3662">
              <w:rPr>
                <w:rFonts w:eastAsia="Calibri"/>
              </w:rPr>
              <w:t>2017</w:t>
            </w:r>
          </w:p>
          <w:p w:rsidR="00E657D7" w:rsidRDefault="002E244C">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E657D7" w:rsidRDefault="00B751DE">
            <w:pPr>
              <w:pStyle w:val="Tablecolumnhead"/>
              <w:rPr>
                <w:rFonts w:asciiTheme="majorHAnsi" w:eastAsia="Calibri" w:hAnsiTheme="majorHAnsi" w:cstheme="majorBidi"/>
                <w:sz w:val="40"/>
              </w:rPr>
            </w:pPr>
            <w:r w:rsidRPr="009B3662">
              <w:t xml:space="preserve">Short description of the </w:t>
            </w:r>
            <w:r w:rsidR="008911CB">
              <w:t>Regulation</w:t>
            </w:r>
          </w:p>
        </w:tc>
        <w:tc>
          <w:tcPr>
            <w:tcW w:w="1998" w:type="dxa"/>
            <w:gridSpan w:val="5"/>
            <w:shd w:val="clear" w:color="auto" w:fill="00B2A9" w:themeFill="accent1"/>
            <w:vAlign w:val="center"/>
          </w:tcPr>
          <w:p w:rsidR="00E657D7" w:rsidRDefault="00B751DE">
            <w:pPr>
              <w:pStyle w:val="Tablecolumnhead"/>
              <w:rPr>
                <w:rFonts w:asciiTheme="majorHAnsi" w:eastAsiaTheme="majorEastAsia" w:hAnsiTheme="majorHAnsi" w:cstheme="majorBidi"/>
                <w:sz w:val="40"/>
              </w:rPr>
            </w:pPr>
            <w:r w:rsidRPr="009B3662">
              <w:t>Proposed regulatory change</w:t>
            </w:r>
          </w:p>
        </w:tc>
        <w:tc>
          <w:tcPr>
            <w:tcW w:w="6327" w:type="dxa"/>
            <w:vMerge w:val="restart"/>
            <w:shd w:val="clear" w:color="auto" w:fill="00B2A9" w:themeFill="accent1"/>
            <w:vAlign w:val="center"/>
          </w:tcPr>
          <w:p w:rsidR="00E657D7" w:rsidRDefault="00B751DE">
            <w:pPr>
              <w:pStyle w:val="Tablecolumnhead"/>
              <w:rPr>
                <w:rFonts w:asciiTheme="majorHAnsi" w:eastAsiaTheme="majorEastAsia" w:hAnsiTheme="majorHAnsi" w:cstheme="majorBidi"/>
                <w:sz w:val="40"/>
              </w:rPr>
            </w:pPr>
            <w:r w:rsidRPr="009B3662">
              <w:t>Why the 2017 Regulation is proposed</w:t>
            </w:r>
          </w:p>
        </w:tc>
      </w:tr>
      <w:tr w:rsidR="00B751DE" w:rsidRPr="00427EE1" w:rsidTr="002E244C">
        <w:trPr>
          <w:cantSplit/>
          <w:trHeight w:val="966"/>
          <w:tblHeader/>
        </w:trPr>
        <w:tc>
          <w:tcPr>
            <w:tcW w:w="952" w:type="dxa"/>
            <w:vMerge/>
            <w:shd w:val="clear" w:color="auto" w:fill="00B2A9" w:themeFill="accent1"/>
            <w:vAlign w:val="center"/>
            <w:hideMark/>
          </w:tcPr>
          <w:p w:rsidR="00B751DE" w:rsidRPr="00427EE1" w:rsidRDefault="00B751DE" w:rsidP="00B751DE">
            <w:pPr>
              <w:spacing w:line="276" w:lineRule="auto"/>
              <w:jc w:val="center"/>
              <w:rPr>
                <w:rFonts w:ascii="Calibri" w:eastAsia="Calibri" w:hAnsi="Calibri"/>
                <w:sz w:val="16"/>
                <w:szCs w:val="16"/>
                <w:lang w:eastAsia="en-US"/>
              </w:rPr>
            </w:pPr>
          </w:p>
        </w:tc>
        <w:tc>
          <w:tcPr>
            <w:tcW w:w="1001" w:type="dxa"/>
            <w:vMerge/>
            <w:shd w:val="clear" w:color="auto" w:fill="00B2A9" w:themeFill="accent1"/>
            <w:vAlign w:val="center"/>
            <w:hideMark/>
          </w:tcPr>
          <w:p w:rsidR="00B751DE" w:rsidRPr="00427EE1" w:rsidRDefault="00B751DE" w:rsidP="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rsidP="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E657D7" w:rsidRDefault="00B751DE">
            <w:pPr>
              <w:spacing w:after="0" w:line="240"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rsidP="00B751DE">
            <w:pPr>
              <w:spacing w:line="276" w:lineRule="auto"/>
              <w:ind w:left="113" w:right="113"/>
              <w:jc w:val="center"/>
              <w:rPr>
                <w:sz w:val="16"/>
                <w:szCs w:val="16"/>
                <w:lang w:eastAsia="en-US"/>
              </w:rPr>
            </w:pPr>
          </w:p>
        </w:tc>
      </w:tr>
      <w:tr w:rsidR="00B751DE" w:rsidRPr="00427EE1" w:rsidTr="002E244C">
        <w:trPr>
          <w:cantSplit/>
          <w:trHeight w:val="340"/>
        </w:trPr>
        <w:tc>
          <w:tcPr>
            <w:tcW w:w="952" w:type="dxa"/>
            <w:vAlign w:val="center"/>
          </w:tcPr>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201</w:t>
            </w:r>
          </w:p>
        </w:tc>
        <w:tc>
          <w:tcPr>
            <w:tcW w:w="1001" w:type="dxa"/>
            <w:vAlign w:val="center"/>
          </w:tcPr>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14</w:t>
            </w:r>
          </w:p>
        </w:tc>
        <w:tc>
          <w:tcPr>
            <w:tcW w:w="4243" w:type="dxa"/>
          </w:tcPr>
          <w:p w:rsidR="00E657D7" w:rsidRDefault="00B751DE">
            <w:pPr>
              <w:pStyle w:val="Tabletext"/>
              <w:rPr>
                <w:rFonts w:asciiTheme="majorHAnsi" w:eastAsia="Calibri" w:hAnsiTheme="majorHAnsi" w:cstheme="majorBidi"/>
                <w:b/>
                <w:sz w:val="40"/>
              </w:rPr>
            </w:pPr>
            <w:r w:rsidRPr="00427EE1">
              <w:rPr>
                <w:rFonts w:eastAsia="Calibri"/>
                <w:b/>
              </w:rPr>
              <w:t>Applications for certificate of consent</w:t>
            </w:r>
          </w:p>
          <w:p w:rsidR="00E657D7" w:rsidRDefault="00B751DE">
            <w:pPr>
              <w:pStyle w:val="Tabletext"/>
              <w:rPr>
                <w:rFonts w:asciiTheme="majorHAnsi" w:eastAsia="Calibri" w:hAnsiTheme="majorHAnsi" w:cstheme="majorBidi"/>
                <w:b/>
                <w:sz w:val="40"/>
                <w:lang w:eastAsia="en-US"/>
              </w:rPr>
            </w:pPr>
            <w:r w:rsidRPr="00427EE1">
              <w:rPr>
                <w:rFonts w:eastAsia="Calibri"/>
              </w:rPr>
              <w:t>Specifies the information that must be included in all applications for an owner-builder certificate of consent</w:t>
            </w:r>
            <w:r w:rsidR="002E244C">
              <w:rPr>
                <w:rFonts w:eastAsia="Calibri"/>
              </w:rPr>
              <w:t>.</w:t>
            </w:r>
          </w:p>
        </w:tc>
        <w:tc>
          <w:tcPr>
            <w:tcW w:w="399"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9" w:type="dxa"/>
            <w:vAlign w:val="center"/>
          </w:tcPr>
          <w:p w:rsidR="00B751DE" w:rsidRPr="00427EE1" w:rsidRDefault="00B751DE" w:rsidP="00B751DE">
            <w:pPr>
              <w:jc w:val="center"/>
            </w:pPr>
            <w:r w:rsidRPr="00427EE1">
              <w:rPr>
                <w:rFonts w:ascii="MS Gothic" w:eastAsia="MS Gothic" w:hAnsi="MS Gothic" w:cs="MS Gothic"/>
                <w:color w:val="222222"/>
              </w:rPr>
              <w:t>✓</w:t>
            </w:r>
          </w:p>
        </w:tc>
        <w:tc>
          <w:tcPr>
            <w:tcW w:w="402"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400"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8"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6327" w:type="dxa"/>
            <w:vAlign w:val="center"/>
          </w:tcPr>
          <w:p w:rsidR="00E657D7" w:rsidRDefault="00B751DE">
            <w:pPr>
              <w:pStyle w:val="Tabletext"/>
              <w:rPr>
                <w:rFonts w:eastAsia="Calibri"/>
              </w:rPr>
            </w:pPr>
            <w:r w:rsidRPr="00427EE1">
              <w:rPr>
                <w:rFonts w:eastAsia="Calibri"/>
              </w:rPr>
              <w:t xml:space="preserve">This </w:t>
            </w:r>
            <w:r w:rsidR="008911CB">
              <w:rPr>
                <w:rFonts w:eastAsia="Calibri"/>
              </w:rPr>
              <w:t>Regulation</w:t>
            </w:r>
            <w:r w:rsidRPr="00427EE1">
              <w:rPr>
                <w:rFonts w:eastAsia="Calibri"/>
              </w:rPr>
              <w:t xml:space="preserve"> supports the Act’s operation by providing the detail to give effect to </w:t>
            </w:r>
            <w:r w:rsidR="0023395A">
              <w:rPr>
                <w:rFonts w:eastAsia="Calibri"/>
              </w:rPr>
              <w:t xml:space="preserve">s </w:t>
            </w:r>
            <w:r w:rsidRPr="00427EE1">
              <w:rPr>
                <w:rFonts w:eastAsia="Calibri"/>
              </w:rPr>
              <w:t>25C(2)(a) of the Act.</w:t>
            </w:r>
          </w:p>
        </w:tc>
      </w:tr>
      <w:tr w:rsidR="00B751DE" w:rsidRPr="00427EE1" w:rsidTr="002E244C">
        <w:trPr>
          <w:cantSplit/>
          <w:trHeight w:val="340"/>
        </w:trPr>
        <w:tc>
          <w:tcPr>
            <w:tcW w:w="952" w:type="dxa"/>
            <w:vAlign w:val="center"/>
          </w:tcPr>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202</w:t>
            </w:r>
          </w:p>
        </w:tc>
        <w:tc>
          <w:tcPr>
            <w:tcW w:w="1001" w:type="dxa"/>
            <w:vAlign w:val="center"/>
          </w:tcPr>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15</w:t>
            </w:r>
          </w:p>
        </w:tc>
        <w:tc>
          <w:tcPr>
            <w:tcW w:w="4243" w:type="dxa"/>
          </w:tcPr>
          <w:p w:rsidR="00E657D7" w:rsidRDefault="00B751DE">
            <w:pPr>
              <w:pStyle w:val="Tabletext"/>
              <w:rPr>
                <w:rFonts w:asciiTheme="majorHAnsi" w:eastAsia="Calibri" w:hAnsiTheme="majorHAnsi" w:cstheme="majorBidi"/>
                <w:b/>
                <w:sz w:val="40"/>
              </w:rPr>
            </w:pPr>
            <w:r w:rsidRPr="00427EE1">
              <w:rPr>
                <w:rFonts w:eastAsia="Calibri"/>
                <w:b/>
              </w:rPr>
              <w:t>Information to accompany application for certificate of consent</w:t>
            </w:r>
          </w:p>
          <w:p w:rsidR="00E657D7" w:rsidRDefault="002D140F">
            <w:pPr>
              <w:pStyle w:val="Tabletext"/>
              <w:rPr>
                <w:rFonts w:eastAsia="Calibri"/>
                <w:lang w:eastAsia="en-US"/>
              </w:rPr>
            </w:pPr>
            <w:r>
              <w:rPr>
                <w:rFonts w:eastAsia="Calibri"/>
              </w:rPr>
              <w:t>P</w:t>
            </w:r>
            <w:r w:rsidR="00E203D3" w:rsidRPr="00427EE1">
              <w:rPr>
                <w:rFonts w:eastAsia="Calibri"/>
              </w:rPr>
              <w:t>rescribes the information which must accompany an application for an owner-builder certificate of consent</w:t>
            </w:r>
            <w:r w:rsidR="002E244C">
              <w:rPr>
                <w:rFonts w:eastAsia="Calibri"/>
              </w:rPr>
              <w:t>.</w:t>
            </w:r>
          </w:p>
        </w:tc>
        <w:tc>
          <w:tcPr>
            <w:tcW w:w="399"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9" w:type="dxa"/>
            <w:vAlign w:val="center"/>
          </w:tcPr>
          <w:p w:rsidR="00B751DE" w:rsidRPr="00427EE1" w:rsidRDefault="00B751DE" w:rsidP="00B751DE">
            <w:pPr>
              <w:jc w:val="center"/>
            </w:pPr>
            <w:r w:rsidRPr="00427EE1">
              <w:rPr>
                <w:rFonts w:ascii="MS Gothic" w:eastAsia="MS Gothic" w:hAnsi="MS Gothic" w:cs="MS Gothic"/>
                <w:color w:val="222222"/>
              </w:rPr>
              <w:t>✓</w:t>
            </w:r>
          </w:p>
        </w:tc>
        <w:tc>
          <w:tcPr>
            <w:tcW w:w="402"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400"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8"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6327" w:type="dxa"/>
            <w:vAlign w:val="center"/>
          </w:tcPr>
          <w:p w:rsidR="00E657D7" w:rsidRDefault="00B751DE">
            <w:pPr>
              <w:pStyle w:val="Tabletext"/>
              <w:rPr>
                <w:rFonts w:eastAsia="Calibri"/>
                <w:sz w:val="16"/>
                <w:szCs w:val="16"/>
              </w:rPr>
            </w:pPr>
            <w:r w:rsidRPr="00427EE1">
              <w:rPr>
                <w:rFonts w:eastAsia="Calibri"/>
              </w:rPr>
              <w:t xml:space="preserve">This </w:t>
            </w:r>
            <w:r w:rsidR="008911CB">
              <w:rPr>
                <w:rFonts w:eastAsia="Calibri"/>
              </w:rPr>
              <w:t>Regulation</w:t>
            </w:r>
            <w:r w:rsidRPr="00427EE1">
              <w:rPr>
                <w:rFonts w:eastAsia="Calibri"/>
              </w:rPr>
              <w:t xml:space="preserve"> supports the Act’s operation by providing the detail to give effect to </w:t>
            </w:r>
            <w:r w:rsidR="0023395A">
              <w:rPr>
                <w:rFonts w:eastAsia="Calibri"/>
              </w:rPr>
              <w:t xml:space="preserve">s </w:t>
            </w:r>
            <w:r w:rsidRPr="00427EE1">
              <w:rPr>
                <w:rFonts w:eastAsia="Calibri"/>
              </w:rPr>
              <w:t>25C(2)(c)(</w:t>
            </w:r>
            <w:proofErr w:type="spellStart"/>
            <w:r w:rsidRPr="00427EE1">
              <w:rPr>
                <w:rFonts w:eastAsia="Calibri"/>
              </w:rPr>
              <w:t>i</w:t>
            </w:r>
            <w:proofErr w:type="spellEnd"/>
            <w:r w:rsidRPr="00427EE1">
              <w:rPr>
                <w:rFonts w:eastAsia="Calibri"/>
              </w:rPr>
              <w:t>) of the Act.</w:t>
            </w:r>
          </w:p>
        </w:tc>
      </w:tr>
      <w:tr w:rsidR="00B751DE" w:rsidRPr="00427EE1" w:rsidTr="002E244C">
        <w:trPr>
          <w:cantSplit/>
          <w:trHeight w:val="340"/>
        </w:trPr>
        <w:tc>
          <w:tcPr>
            <w:tcW w:w="952" w:type="dxa"/>
            <w:vAlign w:val="center"/>
          </w:tcPr>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203</w:t>
            </w:r>
          </w:p>
        </w:tc>
        <w:tc>
          <w:tcPr>
            <w:tcW w:w="1001" w:type="dxa"/>
            <w:vAlign w:val="center"/>
          </w:tcPr>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16</w:t>
            </w:r>
          </w:p>
        </w:tc>
        <w:tc>
          <w:tcPr>
            <w:tcW w:w="4243" w:type="dxa"/>
          </w:tcPr>
          <w:p w:rsidR="00E657D7" w:rsidRDefault="00B751DE">
            <w:pPr>
              <w:pStyle w:val="Tabletext"/>
              <w:rPr>
                <w:rFonts w:asciiTheme="majorHAnsi" w:eastAsia="Calibri" w:hAnsiTheme="majorHAnsi" w:cstheme="majorBidi"/>
                <w:b/>
                <w:sz w:val="40"/>
              </w:rPr>
            </w:pPr>
            <w:r w:rsidRPr="00427EE1">
              <w:rPr>
                <w:rFonts w:eastAsia="Calibri"/>
                <w:b/>
              </w:rPr>
              <w:t>Additional information to accompany application for certificate of consent if land is owned by body corporate</w:t>
            </w:r>
          </w:p>
          <w:p w:rsidR="00E657D7" w:rsidRDefault="00B751DE">
            <w:pPr>
              <w:pStyle w:val="Tabletext"/>
              <w:rPr>
                <w:rFonts w:asciiTheme="majorHAnsi" w:eastAsia="Calibri" w:hAnsiTheme="majorHAnsi" w:cstheme="majorBidi"/>
                <w:b/>
                <w:sz w:val="40"/>
                <w:lang w:eastAsia="en-US"/>
              </w:rPr>
            </w:pPr>
            <w:r w:rsidRPr="00427EE1">
              <w:rPr>
                <w:rFonts w:eastAsia="Calibri"/>
              </w:rPr>
              <w:t xml:space="preserve">Specifies the </w:t>
            </w:r>
            <w:r w:rsidR="00E203D3" w:rsidRPr="00427EE1">
              <w:rPr>
                <w:rFonts w:eastAsia="Calibri"/>
              </w:rPr>
              <w:t xml:space="preserve">additional </w:t>
            </w:r>
            <w:r w:rsidRPr="00427EE1">
              <w:rPr>
                <w:rFonts w:eastAsia="Calibri"/>
              </w:rPr>
              <w:t>information that must be included if a company owns the land the application relates to</w:t>
            </w:r>
            <w:r w:rsidR="002E244C">
              <w:rPr>
                <w:rFonts w:eastAsia="Calibri"/>
              </w:rPr>
              <w:t>.</w:t>
            </w:r>
          </w:p>
        </w:tc>
        <w:tc>
          <w:tcPr>
            <w:tcW w:w="399" w:type="dxa"/>
          </w:tcPr>
          <w:p w:rsidR="00B751DE" w:rsidRPr="00427EE1" w:rsidRDefault="00B751DE" w:rsidP="00B751DE">
            <w:pPr>
              <w:jc w:val="center"/>
            </w:pPr>
          </w:p>
        </w:tc>
        <w:tc>
          <w:tcPr>
            <w:tcW w:w="399"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400"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8"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6327" w:type="dxa"/>
            <w:vAlign w:val="center"/>
          </w:tcPr>
          <w:p w:rsidR="00E657D7" w:rsidRDefault="00B751DE">
            <w:pPr>
              <w:pStyle w:val="Tabletext"/>
              <w:rPr>
                <w:rFonts w:eastAsia="Calibri"/>
              </w:rPr>
            </w:pPr>
            <w:r w:rsidRPr="00427EE1">
              <w:rPr>
                <w:rFonts w:eastAsia="Calibri"/>
              </w:rPr>
              <w:t xml:space="preserve">Additional information requirements apply to land owned by a body corporate to give effect to </w:t>
            </w:r>
            <w:r w:rsidR="0023395A">
              <w:rPr>
                <w:rFonts w:eastAsia="Calibri"/>
              </w:rPr>
              <w:t xml:space="preserve">s </w:t>
            </w:r>
            <w:r w:rsidRPr="00427EE1">
              <w:rPr>
                <w:rFonts w:eastAsia="Calibri"/>
              </w:rPr>
              <w:t>25C(2)(c)(</w:t>
            </w:r>
            <w:proofErr w:type="spellStart"/>
            <w:r w:rsidRPr="00427EE1">
              <w:rPr>
                <w:rFonts w:eastAsia="Calibri"/>
              </w:rPr>
              <w:t>i</w:t>
            </w:r>
            <w:proofErr w:type="spellEnd"/>
            <w:r w:rsidRPr="00427EE1">
              <w:rPr>
                <w:rFonts w:eastAsia="Calibri"/>
              </w:rPr>
              <w:t xml:space="preserve">) of the Act to enable </w:t>
            </w:r>
            <w:r w:rsidR="00720C4E">
              <w:rPr>
                <w:rFonts w:eastAsia="Calibri"/>
              </w:rPr>
              <w:t>VBA</w:t>
            </w:r>
            <w:r w:rsidRPr="00427EE1">
              <w:rPr>
                <w:rFonts w:eastAsia="Calibri"/>
              </w:rPr>
              <w:t xml:space="preserve"> to make a decision </w:t>
            </w:r>
            <w:r w:rsidR="00D90FC3">
              <w:rPr>
                <w:rFonts w:eastAsia="Calibri"/>
              </w:rPr>
              <w:t>about</w:t>
            </w:r>
            <w:r w:rsidRPr="00427EE1">
              <w:rPr>
                <w:rFonts w:eastAsia="Calibri"/>
              </w:rPr>
              <w:t xml:space="preserve"> the application for a certificate of consent. </w:t>
            </w:r>
          </w:p>
        </w:tc>
      </w:tr>
      <w:tr w:rsidR="00B751DE" w:rsidRPr="00427EE1" w:rsidTr="002E244C">
        <w:trPr>
          <w:cantSplit/>
          <w:trHeight w:val="340"/>
        </w:trPr>
        <w:tc>
          <w:tcPr>
            <w:tcW w:w="952" w:type="dxa"/>
            <w:vAlign w:val="center"/>
          </w:tcPr>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204</w:t>
            </w:r>
          </w:p>
        </w:tc>
        <w:tc>
          <w:tcPr>
            <w:tcW w:w="1001" w:type="dxa"/>
            <w:vAlign w:val="center"/>
          </w:tcPr>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17</w:t>
            </w:r>
          </w:p>
        </w:tc>
        <w:tc>
          <w:tcPr>
            <w:tcW w:w="4243" w:type="dxa"/>
          </w:tcPr>
          <w:p w:rsidR="00E657D7" w:rsidRDefault="00B751DE">
            <w:pPr>
              <w:pStyle w:val="Tabletext"/>
              <w:rPr>
                <w:rFonts w:asciiTheme="majorHAnsi" w:eastAsia="Calibri" w:hAnsiTheme="majorHAnsi" w:cstheme="majorBidi"/>
                <w:b/>
                <w:sz w:val="40"/>
              </w:rPr>
            </w:pPr>
            <w:r w:rsidRPr="00427EE1">
              <w:rPr>
                <w:rFonts w:eastAsia="Calibri"/>
                <w:b/>
              </w:rPr>
              <w:t>Additional information to accompany application for certificate of consent if land is subject to trust</w:t>
            </w:r>
          </w:p>
          <w:p w:rsidR="00E657D7" w:rsidRDefault="00B751DE">
            <w:pPr>
              <w:pStyle w:val="Tabletext"/>
              <w:rPr>
                <w:rFonts w:asciiTheme="majorHAnsi" w:eastAsia="Calibri" w:hAnsiTheme="majorHAnsi" w:cstheme="majorBidi"/>
                <w:b/>
                <w:sz w:val="40"/>
                <w:lang w:eastAsia="en-US"/>
              </w:rPr>
            </w:pPr>
            <w:r w:rsidRPr="00427EE1">
              <w:rPr>
                <w:rFonts w:eastAsia="Calibri"/>
              </w:rPr>
              <w:t>Specifies the</w:t>
            </w:r>
            <w:r w:rsidR="00E203D3" w:rsidRPr="00427EE1">
              <w:rPr>
                <w:rFonts w:eastAsia="Calibri"/>
              </w:rPr>
              <w:t xml:space="preserve"> additional </w:t>
            </w:r>
            <w:r w:rsidRPr="00427EE1">
              <w:rPr>
                <w:rFonts w:eastAsia="Calibri"/>
              </w:rPr>
              <w:t>information that must be included if the land the application relates to is subject to trust</w:t>
            </w:r>
            <w:r w:rsidR="002E244C">
              <w:rPr>
                <w:rFonts w:eastAsia="Calibri"/>
              </w:rPr>
              <w:t>.</w:t>
            </w:r>
          </w:p>
        </w:tc>
        <w:tc>
          <w:tcPr>
            <w:tcW w:w="399" w:type="dxa"/>
          </w:tcPr>
          <w:p w:rsidR="00B751DE" w:rsidRPr="00427EE1" w:rsidRDefault="00B751DE" w:rsidP="00B751DE">
            <w:pPr>
              <w:jc w:val="center"/>
            </w:pPr>
          </w:p>
        </w:tc>
        <w:tc>
          <w:tcPr>
            <w:tcW w:w="399"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400"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8"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6327" w:type="dxa"/>
            <w:vAlign w:val="center"/>
          </w:tcPr>
          <w:p w:rsidR="00E657D7" w:rsidRDefault="00B751DE">
            <w:pPr>
              <w:pStyle w:val="Tabletext"/>
              <w:rPr>
                <w:rFonts w:eastAsia="Calibri"/>
              </w:rPr>
            </w:pPr>
            <w:r w:rsidRPr="00427EE1">
              <w:rPr>
                <w:rFonts w:eastAsia="Calibri"/>
              </w:rPr>
              <w:t xml:space="preserve">Additional information requirements apply to land subject to a trust to give effect to </w:t>
            </w:r>
            <w:r w:rsidR="0023395A">
              <w:rPr>
                <w:rFonts w:eastAsia="Calibri"/>
              </w:rPr>
              <w:t xml:space="preserve">s </w:t>
            </w:r>
            <w:r w:rsidRPr="00427EE1">
              <w:rPr>
                <w:rFonts w:eastAsia="Calibri"/>
              </w:rPr>
              <w:t>25C(2)(c)(</w:t>
            </w:r>
            <w:proofErr w:type="spellStart"/>
            <w:r w:rsidRPr="00427EE1">
              <w:rPr>
                <w:rFonts w:eastAsia="Calibri"/>
              </w:rPr>
              <w:t>i</w:t>
            </w:r>
            <w:proofErr w:type="spellEnd"/>
            <w:r w:rsidRPr="00427EE1">
              <w:rPr>
                <w:rFonts w:eastAsia="Calibri"/>
              </w:rPr>
              <w:t xml:space="preserve">) of the Act to enable </w:t>
            </w:r>
            <w:r w:rsidR="00720C4E">
              <w:rPr>
                <w:rFonts w:eastAsia="Calibri"/>
              </w:rPr>
              <w:t>VBA</w:t>
            </w:r>
            <w:r w:rsidRPr="00427EE1">
              <w:rPr>
                <w:rFonts w:eastAsia="Calibri"/>
              </w:rPr>
              <w:t xml:space="preserve"> to make a decision </w:t>
            </w:r>
            <w:r w:rsidR="00D90FC3">
              <w:rPr>
                <w:rFonts w:eastAsia="Calibri"/>
              </w:rPr>
              <w:t>about</w:t>
            </w:r>
            <w:r w:rsidRPr="00427EE1">
              <w:rPr>
                <w:rFonts w:eastAsia="Calibri"/>
              </w:rPr>
              <w:t xml:space="preserve"> the application for a certificate of consent. </w:t>
            </w:r>
          </w:p>
        </w:tc>
      </w:tr>
      <w:tr w:rsidR="00B751DE" w:rsidRPr="00427EE1" w:rsidTr="002E244C">
        <w:trPr>
          <w:cantSplit/>
          <w:trHeight w:val="340"/>
        </w:trPr>
        <w:tc>
          <w:tcPr>
            <w:tcW w:w="952" w:type="dxa"/>
            <w:vAlign w:val="center"/>
          </w:tcPr>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205</w:t>
            </w:r>
          </w:p>
        </w:tc>
        <w:tc>
          <w:tcPr>
            <w:tcW w:w="1001" w:type="dxa"/>
            <w:vAlign w:val="center"/>
          </w:tcPr>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18</w:t>
            </w:r>
          </w:p>
        </w:tc>
        <w:tc>
          <w:tcPr>
            <w:tcW w:w="4243" w:type="dxa"/>
          </w:tcPr>
          <w:p w:rsidR="00E657D7" w:rsidRDefault="00B751DE">
            <w:pPr>
              <w:pStyle w:val="Tabletext"/>
              <w:rPr>
                <w:rFonts w:asciiTheme="majorHAnsi" w:eastAsia="Calibri" w:hAnsiTheme="majorHAnsi" w:cstheme="majorBidi"/>
                <w:b/>
                <w:sz w:val="40"/>
                <w:lang w:eastAsia="en-US"/>
              </w:rPr>
            </w:pPr>
            <w:r w:rsidRPr="00427EE1">
              <w:rPr>
                <w:rFonts w:eastAsia="Calibri"/>
                <w:b/>
                <w:lang w:eastAsia="en-US"/>
              </w:rPr>
              <w:t>Fee for an application for certificate of consent</w:t>
            </w:r>
          </w:p>
          <w:p w:rsidR="00E657D7" w:rsidRDefault="00B751DE">
            <w:pPr>
              <w:pStyle w:val="Tabletext"/>
              <w:rPr>
                <w:rFonts w:asciiTheme="majorHAnsi" w:eastAsia="Calibri" w:hAnsiTheme="majorHAnsi" w:cstheme="majorBidi"/>
                <w:b/>
                <w:sz w:val="40"/>
              </w:rPr>
            </w:pPr>
            <w:r w:rsidRPr="00427EE1">
              <w:rPr>
                <w:rFonts w:eastAsia="Calibri"/>
                <w:lang w:eastAsia="en-US"/>
              </w:rPr>
              <w:t xml:space="preserve">Prescribes </w:t>
            </w:r>
            <w:r w:rsidR="002E244C">
              <w:rPr>
                <w:rFonts w:eastAsia="Calibri"/>
                <w:lang w:eastAsia="en-US"/>
              </w:rPr>
              <w:t xml:space="preserve">the </w:t>
            </w:r>
            <w:r w:rsidRPr="00427EE1">
              <w:rPr>
                <w:rFonts w:eastAsia="Calibri"/>
                <w:lang w:eastAsia="en-US"/>
              </w:rPr>
              <w:t xml:space="preserve">application fee </w:t>
            </w:r>
            <w:r w:rsidRPr="00427EE1">
              <w:rPr>
                <w:rFonts w:eastAsia="Calibri"/>
              </w:rPr>
              <w:t>that must accompany an application</w:t>
            </w:r>
            <w:r w:rsidR="00E60957">
              <w:rPr>
                <w:rFonts w:eastAsia="Calibri"/>
              </w:rPr>
              <w:t>,</w:t>
            </w:r>
            <w:r w:rsidR="00632B06" w:rsidRPr="00427EE1">
              <w:rPr>
                <w:rFonts w:eastAsia="Calibri"/>
              </w:rPr>
              <w:t xml:space="preserve"> which is 6.90 fee units</w:t>
            </w:r>
            <w:r w:rsidR="002E244C">
              <w:rPr>
                <w:rFonts w:eastAsia="Calibri"/>
              </w:rPr>
              <w:t>.</w:t>
            </w:r>
          </w:p>
        </w:tc>
        <w:tc>
          <w:tcPr>
            <w:tcW w:w="399" w:type="dxa"/>
          </w:tcPr>
          <w:p w:rsidR="00B751DE" w:rsidRPr="00427EE1" w:rsidRDefault="00B751DE" w:rsidP="00B751DE"/>
        </w:tc>
        <w:tc>
          <w:tcPr>
            <w:tcW w:w="399"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400"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8"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6327" w:type="dxa"/>
            <w:vAlign w:val="center"/>
          </w:tcPr>
          <w:p w:rsidR="00E657D7" w:rsidRDefault="00B751DE">
            <w:pPr>
              <w:pStyle w:val="Tabletext"/>
              <w:rPr>
                <w:rFonts w:eastAsia="Calibri"/>
                <w:sz w:val="16"/>
                <w:szCs w:val="16"/>
              </w:rPr>
            </w:pPr>
            <w:r w:rsidRPr="00427EE1">
              <w:rPr>
                <w:rFonts w:eastAsia="Calibri"/>
                <w:lang w:eastAsia="en-US"/>
              </w:rPr>
              <w:t xml:space="preserve">This supports the Act’s application scheme </w:t>
            </w:r>
            <w:r w:rsidRPr="00427EE1">
              <w:rPr>
                <w:rFonts w:eastAsia="Calibri"/>
              </w:rPr>
              <w:t xml:space="preserve">to obtain an owner-builder certificate of consent by </w:t>
            </w:r>
            <w:r w:rsidR="00E203D3" w:rsidRPr="00427EE1">
              <w:rPr>
                <w:rFonts w:eastAsia="Calibri"/>
              </w:rPr>
              <w:t xml:space="preserve">requiring </w:t>
            </w:r>
            <w:r w:rsidRPr="00427EE1">
              <w:rPr>
                <w:rFonts w:eastAsia="Calibri"/>
                <w:lang w:eastAsia="en-US"/>
              </w:rPr>
              <w:t xml:space="preserve">a fee to be </w:t>
            </w:r>
            <w:r w:rsidR="00E203D3" w:rsidRPr="00427EE1">
              <w:rPr>
                <w:rFonts w:eastAsia="Calibri"/>
                <w:lang w:eastAsia="en-US"/>
              </w:rPr>
              <w:t>paid</w:t>
            </w:r>
            <w:r w:rsidRPr="00427EE1">
              <w:rPr>
                <w:rFonts w:eastAsia="Calibri"/>
                <w:lang w:eastAsia="en-US"/>
              </w:rPr>
              <w:t xml:space="preserve"> </w:t>
            </w:r>
            <w:r w:rsidR="00D90FC3">
              <w:rPr>
                <w:rFonts w:eastAsia="Calibri"/>
                <w:lang w:eastAsia="en-US"/>
              </w:rPr>
              <w:t>for the purpose of</w:t>
            </w:r>
            <w:r w:rsidRPr="00427EE1">
              <w:rPr>
                <w:rFonts w:eastAsia="Calibri"/>
                <w:lang w:eastAsia="en-US"/>
              </w:rPr>
              <w:t xml:space="preserve"> </w:t>
            </w:r>
            <w:r w:rsidR="0023395A">
              <w:rPr>
                <w:rFonts w:eastAsia="Calibri"/>
              </w:rPr>
              <w:t xml:space="preserve">s </w:t>
            </w:r>
            <w:r w:rsidRPr="00427EE1">
              <w:rPr>
                <w:rFonts w:eastAsia="Calibri"/>
              </w:rPr>
              <w:t>25C(2)(c)(ii) of Act</w:t>
            </w:r>
            <w:r w:rsidRPr="00427EE1">
              <w:rPr>
                <w:rFonts w:eastAsia="Calibri"/>
                <w:lang w:eastAsia="en-US"/>
              </w:rPr>
              <w:t>.</w:t>
            </w:r>
          </w:p>
        </w:tc>
      </w:tr>
      <w:tr w:rsidR="00B751DE" w:rsidRPr="00427EE1" w:rsidTr="002E244C">
        <w:trPr>
          <w:cantSplit/>
          <w:trHeight w:val="340"/>
        </w:trPr>
        <w:tc>
          <w:tcPr>
            <w:tcW w:w="952" w:type="dxa"/>
            <w:vAlign w:val="center"/>
          </w:tcPr>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lastRenderedPageBreak/>
              <w:t>206</w:t>
            </w:r>
          </w:p>
        </w:tc>
        <w:tc>
          <w:tcPr>
            <w:tcW w:w="1001" w:type="dxa"/>
            <w:vAlign w:val="center"/>
          </w:tcPr>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19</w:t>
            </w:r>
          </w:p>
        </w:tc>
        <w:tc>
          <w:tcPr>
            <w:tcW w:w="4243" w:type="dxa"/>
          </w:tcPr>
          <w:p w:rsidR="00E657D7" w:rsidRDefault="00B751DE">
            <w:pPr>
              <w:pStyle w:val="Tabletext"/>
              <w:rPr>
                <w:rFonts w:asciiTheme="majorHAnsi" w:eastAsia="Calibri" w:hAnsiTheme="majorHAnsi" w:cstheme="majorBidi"/>
                <w:b/>
                <w:sz w:val="40"/>
                <w:lang w:eastAsia="en-US"/>
              </w:rPr>
            </w:pPr>
            <w:r w:rsidRPr="00427EE1">
              <w:rPr>
                <w:rFonts w:eastAsia="Calibri"/>
                <w:b/>
                <w:lang w:eastAsia="en-US"/>
              </w:rPr>
              <w:t>Required knowledge for owner-builders</w:t>
            </w:r>
          </w:p>
          <w:p w:rsidR="00E657D7" w:rsidRDefault="00B751DE">
            <w:pPr>
              <w:pStyle w:val="Tabletext"/>
              <w:rPr>
                <w:rFonts w:asciiTheme="majorHAnsi" w:eastAsia="Calibri" w:hAnsiTheme="majorHAnsi" w:cstheme="majorBidi"/>
                <w:b/>
                <w:sz w:val="40"/>
              </w:rPr>
            </w:pPr>
            <w:r w:rsidRPr="00427EE1">
              <w:rPr>
                <w:rFonts w:eastAsia="Calibri"/>
                <w:lang w:eastAsia="en-US"/>
              </w:rPr>
              <w:t xml:space="preserve">Specifies the knowledge an applicant must be able to demonstrate before a certificate of consent can be issued. </w:t>
            </w:r>
            <w:r w:rsidR="002E244C">
              <w:rPr>
                <w:rFonts w:eastAsia="Calibri"/>
              </w:rPr>
              <w:t>T</w:t>
            </w:r>
            <w:r w:rsidR="00E203D3" w:rsidRPr="00427EE1">
              <w:rPr>
                <w:rFonts w:eastAsia="Calibri"/>
              </w:rPr>
              <w:t xml:space="preserve">his </w:t>
            </w:r>
            <w:r w:rsidR="008911CB">
              <w:rPr>
                <w:rFonts w:eastAsia="Calibri"/>
              </w:rPr>
              <w:t>Regulation</w:t>
            </w:r>
            <w:r w:rsidR="00E203D3" w:rsidRPr="00427EE1">
              <w:rPr>
                <w:rFonts w:eastAsia="Calibri"/>
              </w:rPr>
              <w:t xml:space="preserve"> is supported by </w:t>
            </w:r>
            <w:proofErr w:type="spellStart"/>
            <w:r w:rsidR="00995450">
              <w:rPr>
                <w:rFonts w:eastAsia="Calibri"/>
              </w:rPr>
              <w:t>sch</w:t>
            </w:r>
            <w:proofErr w:type="spellEnd"/>
            <w:r w:rsidR="00995450">
              <w:rPr>
                <w:rFonts w:eastAsia="Calibri"/>
              </w:rPr>
              <w:t xml:space="preserve"> </w:t>
            </w:r>
            <w:r w:rsidRPr="00427EE1">
              <w:rPr>
                <w:rFonts w:eastAsia="Calibri"/>
              </w:rPr>
              <w:t xml:space="preserve">10 of the proposed </w:t>
            </w:r>
            <w:r w:rsidR="00E203D3" w:rsidRPr="00427EE1">
              <w:rPr>
                <w:rFonts w:eastAsia="Calibri"/>
              </w:rPr>
              <w:t>R</w:t>
            </w:r>
            <w:r w:rsidRPr="00427EE1">
              <w:rPr>
                <w:rFonts w:eastAsia="Calibri"/>
              </w:rPr>
              <w:t>egulation</w:t>
            </w:r>
            <w:r w:rsidR="002E244C">
              <w:rPr>
                <w:rFonts w:eastAsia="Calibri"/>
              </w:rPr>
              <w:t>s.</w:t>
            </w:r>
          </w:p>
        </w:tc>
        <w:tc>
          <w:tcPr>
            <w:tcW w:w="399" w:type="dxa"/>
          </w:tcPr>
          <w:p w:rsidR="00B751DE" w:rsidRPr="00427EE1" w:rsidRDefault="00B751DE" w:rsidP="00B751DE"/>
        </w:tc>
        <w:tc>
          <w:tcPr>
            <w:tcW w:w="399"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400"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8" w:type="dxa"/>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6327" w:type="dxa"/>
            <w:vAlign w:val="center"/>
          </w:tcPr>
          <w:p w:rsidR="00E657D7" w:rsidRDefault="00B751DE">
            <w:pPr>
              <w:pStyle w:val="Tabletext"/>
              <w:rPr>
                <w:rFonts w:asciiTheme="majorHAnsi" w:eastAsia="Calibri" w:hAnsiTheme="majorHAnsi" w:cstheme="majorBidi"/>
                <w:b/>
                <w:sz w:val="40"/>
              </w:rPr>
            </w:pPr>
            <w:r w:rsidRPr="00427EE1">
              <w:rPr>
                <w:rFonts w:eastAsia="Calibri"/>
              </w:rPr>
              <w:t xml:space="preserve">This is required to give effect to </w:t>
            </w:r>
            <w:r w:rsidR="0023395A">
              <w:rPr>
                <w:rFonts w:eastAsia="Calibri"/>
              </w:rPr>
              <w:t xml:space="preserve">s </w:t>
            </w:r>
            <w:r w:rsidRPr="00427EE1">
              <w:rPr>
                <w:rFonts w:eastAsia="Calibri"/>
              </w:rPr>
              <w:t>25E(1)(ab) of the Act.</w:t>
            </w:r>
            <w:r w:rsidR="00D71A15" w:rsidRPr="00427EE1">
              <w:rPr>
                <w:rFonts w:eastAsia="Calibri"/>
              </w:rPr>
              <w:t xml:space="preserve"> </w:t>
            </w:r>
          </w:p>
        </w:tc>
      </w:tr>
    </w:tbl>
    <w:p w:rsidR="00E657D7" w:rsidRDefault="00E657D7"/>
    <w:p w:rsidR="00B751DE" w:rsidRDefault="005E2285" w:rsidP="006119D2">
      <w:pPr>
        <w:pStyle w:val="Heading4"/>
      </w:pPr>
      <w:proofErr w:type="spellStart"/>
      <w:r>
        <w:t>Div</w:t>
      </w:r>
      <w:proofErr w:type="spellEnd"/>
      <w:r w:rsidR="001D2DA1" w:rsidRPr="00427EE1">
        <w:t xml:space="preserve"> </w:t>
      </w:r>
      <w:r w:rsidR="00B751DE" w:rsidRPr="00427EE1">
        <w:t>2</w:t>
      </w:r>
      <w:r w:rsidR="008475D9">
        <w:t>—</w:t>
      </w:r>
      <w:r w:rsidR="00B751DE" w:rsidRPr="00427EE1">
        <w:t xml:space="preserve">Certificates of </w:t>
      </w:r>
      <w:r w:rsidR="001D2DA1" w:rsidRPr="00427EE1">
        <w:t>c</w:t>
      </w:r>
      <w:r w:rsidR="00B751DE" w:rsidRPr="00427EE1">
        <w:t>onsent</w:t>
      </w:r>
    </w:p>
    <w:tbl>
      <w:tblPr>
        <w:tblW w:w="14538" w:type="dxa"/>
        <w:tblInd w:w="-161"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65"/>
        <w:gridCol w:w="1008"/>
        <w:gridCol w:w="4242"/>
        <w:gridCol w:w="399"/>
        <w:gridCol w:w="399"/>
        <w:gridCol w:w="402"/>
        <w:gridCol w:w="400"/>
        <w:gridCol w:w="398"/>
        <w:gridCol w:w="6325"/>
      </w:tblGrid>
      <w:tr w:rsidR="00B751DE" w:rsidRPr="00427EE1" w:rsidTr="002E244C">
        <w:trPr>
          <w:cantSplit/>
          <w:trHeight w:val="99"/>
          <w:tblHeader/>
        </w:trPr>
        <w:tc>
          <w:tcPr>
            <w:tcW w:w="966" w:type="dxa"/>
            <w:vMerge w:val="restart"/>
            <w:shd w:val="clear" w:color="auto" w:fill="00B2A9" w:themeFill="accent1"/>
            <w:vAlign w:val="center"/>
            <w:hideMark/>
          </w:tcPr>
          <w:p w:rsidR="00E657D7" w:rsidRDefault="00B751DE">
            <w:pPr>
              <w:pStyle w:val="Tablecolumnhead"/>
              <w:rPr>
                <w:rFonts w:asciiTheme="majorHAnsi" w:eastAsia="Calibri" w:hAnsiTheme="majorHAnsi" w:cstheme="majorBidi"/>
                <w:sz w:val="40"/>
              </w:rPr>
            </w:pPr>
            <w:r w:rsidRPr="009B3662">
              <w:rPr>
                <w:rFonts w:eastAsia="Calibri"/>
              </w:rPr>
              <w:t>2006</w:t>
            </w:r>
          </w:p>
          <w:p w:rsidR="00E657D7" w:rsidRDefault="002E244C">
            <w:pPr>
              <w:pStyle w:val="Tablecolumnhead"/>
              <w:rPr>
                <w:rFonts w:eastAsia="Calibri"/>
              </w:rPr>
            </w:pPr>
            <w:r w:rsidRPr="00C44680">
              <w:rPr>
                <w:rFonts w:ascii="Arial Bold" w:eastAsia="Calibri" w:hAnsi="Arial Bold"/>
                <w:spacing w:val="-12"/>
                <w:sz w:val="16"/>
              </w:rPr>
              <w:t>Regulation</w:t>
            </w:r>
          </w:p>
        </w:tc>
        <w:tc>
          <w:tcPr>
            <w:tcW w:w="1004" w:type="dxa"/>
            <w:vMerge w:val="restart"/>
            <w:shd w:val="clear" w:color="auto" w:fill="00B2A9" w:themeFill="accent1"/>
            <w:vAlign w:val="center"/>
            <w:hideMark/>
          </w:tcPr>
          <w:p w:rsidR="00E657D7" w:rsidRDefault="00B751DE">
            <w:pPr>
              <w:pStyle w:val="Tablecolumnhead"/>
              <w:rPr>
                <w:rFonts w:asciiTheme="majorHAnsi" w:eastAsiaTheme="majorEastAsia" w:hAnsiTheme="majorHAnsi" w:cstheme="majorBidi"/>
                <w:sz w:val="40"/>
              </w:rPr>
            </w:pPr>
            <w:r w:rsidRPr="009B3662">
              <w:rPr>
                <w:rFonts w:eastAsia="Calibri"/>
              </w:rPr>
              <w:t>2017</w:t>
            </w:r>
          </w:p>
          <w:p w:rsidR="00E657D7" w:rsidRDefault="002E244C">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E657D7" w:rsidRDefault="00B751DE">
            <w:pPr>
              <w:pStyle w:val="Tablecolumnhead"/>
              <w:rPr>
                <w:rFonts w:asciiTheme="majorHAnsi" w:eastAsia="Calibri" w:hAnsiTheme="majorHAnsi" w:cstheme="majorBidi"/>
                <w:sz w:val="40"/>
              </w:rPr>
            </w:pPr>
            <w:r w:rsidRPr="009B3662">
              <w:t xml:space="preserve">Short description of the </w:t>
            </w:r>
            <w:r w:rsidR="008911CB">
              <w:t>Regulation</w:t>
            </w:r>
          </w:p>
        </w:tc>
        <w:tc>
          <w:tcPr>
            <w:tcW w:w="1998" w:type="dxa"/>
            <w:gridSpan w:val="5"/>
            <w:shd w:val="clear" w:color="auto" w:fill="00B2A9" w:themeFill="accent1"/>
            <w:vAlign w:val="center"/>
          </w:tcPr>
          <w:p w:rsidR="00E657D7" w:rsidRDefault="00B751DE">
            <w:pPr>
              <w:pStyle w:val="Tablecolumnhead"/>
              <w:rPr>
                <w:rFonts w:asciiTheme="majorHAnsi" w:eastAsiaTheme="majorEastAsia" w:hAnsiTheme="majorHAnsi" w:cstheme="majorBidi"/>
                <w:sz w:val="40"/>
              </w:rPr>
            </w:pPr>
            <w:r w:rsidRPr="009B3662">
              <w:t>Proposed regulatory change</w:t>
            </w:r>
          </w:p>
        </w:tc>
        <w:tc>
          <w:tcPr>
            <w:tcW w:w="6327" w:type="dxa"/>
            <w:vMerge w:val="restart"/>
            <w:shd w:val="clear" w:color="auto" w:fill="00B2A9" w:themeFill="accent1"/>
            <w:vAlign w:val="center"/>
          </w:tcPr>
          <w:p w:rsidR="00E657D7" w:rsidRDefault="00B751DE">
            <w:pPr>
              <w:pStyle w:val="Tablecolumnhead"/>
              <w:rPr>
                <w:rFonts w:asciiTheme="majorHAnsi" w:eastAsiaTheme="majorEastAsia" w:hAnsiTheme="majorHAnsi" w:cstheme="majorBidi"/>
                <w:sz w:val="40"/>
              </w:rPr>
            </w:pPr>
            <w:r w:rsidRPr="009B3662">
              <w:t>Why the 2017 Regulation is proposed</w:t>
            </w:r>
          </w:p>
        </w:tc>
      </w:tr>
      <w:tr w:rsidR="00B751DE" w:rsidRPr="00427EE1" w:rsidTr="002E244C">
        <w:trPr>
          <w:cantSplit/>
          <w:trHeight w:val="966"/>
          <w:tblHeader/>
        </w:trPr>
        <w:tc>
          <w:tcPr>
            <w:tcW w:w="966" w:type="dxa"/>
            <w:vMerge/>
            <w:shd w:val="clear" w:color="auto" w:fill="00B2A9" w:themeFill="accent1"/>
            <w:vAlign w:val="center"/>
            <w:hideMark/>
          </w:tcPr>
          <w:p w:rsidR="00B751DE" w:rsidRPr="00427EE1" w:rsidRDefault="00B751DE" w:rsidP="00B751DE">
            <w:pPr>
              <w:spacing w:line="276" w:lineRule="auto"/>
              <w:jc w:val="center"/>
              <w:rPr>
                <w:rFonts w:ascii="Calibri" w:eastAsia="Calibri" w:hAnsi="Calibri"/>
                <w:sz w:val="16"/>
                <w:szCs w:val="16"/>
                <w:lang w:eastAsia="en-US"/>
              </w:rPr>
            </w:pPr>
          </w:p>
        </w:tc>
        <w:tc>
          <w:tcPr>
            <w:tcW w:w="1004" w:type="dxa"/>
            <w:vMerge/>
            <w:shd w:val="clear" w:color="auto" w:fill="00B2A9" w:themeFill="accent1"/>
            <w:vAlign w:val="center"/>
            <w:hideMark/>
          </w:tcPr>
          <w:p w:rsidR="00B751DE" w:rsidRPr="00427EE1" w:rsidRDefault="00B751DE" w:rsidP="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rsidP="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rsidP="00B751DE">
            <w:pPr>
              <w:spacing w:line="276" w:lineRule="auto"/>
              <w:ind w:left="113" w:right="113"/>
              <w:jc w:val="center"/>
              <w:rPr>
                <w:sz w:val="16"/>
                <w:szCs w:val="16"/>
                <w:lang w:eastAsia="en-US"/>
              </w:rPr>
            </w:pPr>
          </w:p>
        </w:tc>
      </w:tr>
      <w:tr w:rsidR="00B751DE" w:rsidRPr="00427EE1" w:rsidTr="002E244C">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pPr>
              <w:pStyle w:val="Tabletext"/>
              <w:rPr>
                <w:rFonts w:eastAsia="Calibri"/>
              </w:rPr>
            </w:pPr>
            <w:r w:rsidRPr="00427EE1">
              <w:rPr>
                <w:rFonts w:eastAsia="Calibri"/>
              </w:rPr>
              <w:t>203</w:t>
            </w:r>
          </w:p>
        </w:tc>
        <w:tc>
          <w:tcPr>
            <w:tcW w:w="100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20</w:t>
            </w:r>
          </w:p>
        </w:tc>
        <w:tc>
          <w:tcPr>
            <w:tcW w:w="423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pPr>
              <w:pStyle w:val="Tabletext"/>
              <w:rPr>
                <w:rFonts w:asciiTheme="majorHAnsi" w:eastAsia="Calibri" w:hAnsiTheme="majorHAnsi" w:cstheme="majorBidi"/>
                <w:b/>
                <w:sz w:val="40"/>
                <w:lang w:eastAsia="en-US"/>
              </w:rPr>
            </w:pPr>
            <w:r w:rsidRPr="00427EE1">
              <w:rPr>
                <w:rFonts w:eastAsia="Calibri"/>
                <w:b/>
                <w:lang w:eastAsia="en-US"/>
              </w:rPr>
              <w:t>Information in certificate of consent</w:t>
            </w:r>
          </w:p>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 xml:space="preserve">Specifies the details </w:t>
            </w:r>
            <w:r w:rsidR="00E203D3" w:rsidRPr="00427EE1">
              <w:rPr>
                <w:rFonts w:eastAsia="Calibri"/>
                <w:lang w:eastAsia="en-US"/>
              </w:rPr>
              <w:t xml:space="preserve">which </w:t>
            </w:r>
            <w:r w:rsidR="00720C4E">
              <w:rPr>
                <w:rFonts w:eastAsia="Calibri"/>
                <w:lang w:eastAsia="en-US"/>
              </w:rPr>
              <w:t>VBA</w:t>
            </w:r>
            <w:r w:rsidR="00E203D3" w:rsidRPr="00427EE1">
              <w:rPr>
                <w:rFonts w:eastAsia="Calibri"/>
                <w:lang w:eastAsia="en-US"/>
              </w:rPr>
              <w:t xml:space="preserve"> </w:t>
            </w:r>
            <w:r w:rsidRPr="00427EE1">
              <w:rPr>
                <w:rFonts w:eastAsia="Calibri"/>
                <w:lang w:eastAsia="en-US"/>
              </w:rPr>
              <w:t xml:space="preserve">must </w:t>
            </w:r>
            <w:r w:rsidR="00E203D3" w:rsidRPr="00427EE1">
              <w:rPr>
                <w:rFonts w:eastAsia="Calibri"/>
                <w:lang w:eastAsia="en-US"/>
              </w:rPr>
              <w:t>include</w:t>
            </w:r>
            <w:r w:rsidRPr="00427EE1">
              <w:rPr>
                <w:rFonts w:eastAsia="Calibri"/>
                <w:lang w:eastAsia="en-US"/>
              </w:rPr>
              <w:t xml:space="preserve"> in a certificate of consent</w:t>
            </w:r>
            <w:r w:rsidR="00706021">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pPr>
              <w:pStyle w:val="Tabletext"/>
              <w:rPr>
                <w:rFonts w:eastAsia="Calibri"/>
              </w:rPr>
            </w:pPr>
            <w:r w:rsidRPr="00427EE1">
              <w:rPr>
                <w:rFonts w:eastAsia="Calibri"/>
              </w:rPr>
              <w:t>T</w:t>
            </w:r>
            <w:r w:rsidR="007874CB" w:rsidRPr="00427EE1">
              <w:rPr>
                <w:rFonts w:eastAsia="Calibri"/>
              </w:rPr>
              <w:t xml:space="preserve">his </w:t>
            </w:r>
            <w:r w:rsidR="008911CB">
              <w:rPr>
                <w:rFonts w:eastAsia="Calibri"/>
              </w:rPr>
              <w:t>Regulation</w:t>
            </w:r>
            <w:r w:rsidRPr="00427EE1">
              <w:rPr>
                <w:rFonts w:eastAsia="Calibri"/>
              </w:rPr>
              <w:t xml:space="preserve"> give effect </w:t>
            </w:r>
            <w:r w:rsidR="00706021">
              <w:rPr>
                <w:rFonts w:eastAsia="Calibri"/>
              </w:rPr>
              <w:t xml:space="preserve">to </w:t>
            </w:r>
            <w:r w:rsidR="0023395A">
              <w:rPr>
                <w:rFonts w:eastAsia="Calibri"/>
              </w:rPr>
              <w:t xml:space="preserve">s </w:t>
            </w:r>
            <w:r w:rsidRPr="00427EE1">
              <w:rPr>
                <w:rFonts w:eastAsia="Calibri"/>
              </w:rPr>
              <w:t>25G(1)(a) of the Act.</w:t>
            </w:r>
            <w:r w:rsidR="00DA0F0A" w:rsidRPr="00427EE1">
              <w:rPr>
                <w:rFonts w:eastAsia="Calibri"/>
              </w:rPr>
              <w:t xml:space="preserve"> </w:t>
            </w:r>
            <w:r w:rsidR="007874CB" w:rsidRPr="00427EE1">
              <w:rPr>
                <w:rFonts w:eastAsia="Calibri"/>
              </w:rPr>
              <w:t>It e</w:t>
            </w:r>
            <w:r w:rsidRPr="00427EE1">
              <w:rPr>
                <w:rFonts w:eastAsia="Calibri"/>
              </w:rPr>
              <w:t>nsures all necessary information is contained in the certificate to support enforcement and monitoring.</w:t>
            </w:r>
          </w:p>
        </w:tc>
      </w:tr>
      <w:tr w:rsidR="00B751DE" w:rsidRPr="00427EE1" w:rsidTr="002E244C">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B751DE">
            <w:pPr>
              <w:pStyle w:val="Tabletext"/>
              <w:rPr>
                <w:rFonts w:eastAsia="Calibri"/>
              </w:rPr>
            </w:pPr>
            <w:r w:rsidRPr="00427EE1">
              <w:rPr>
                <w:rFonts w:eastAsia="Calibri"/>
              </w:rPr>
              <w:t>204</w:t>
            </w:r>
          </w:p>
        </w:tc>
        <w:tc>
          <w:tcPr>
            <w:tcW w:w="100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21</w:t>
            </w:r>
          </w:p>
        </w:tc>
        <w:tc>
          <w:tcPr>
            <w:tcW w:w="423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E657D7" w:rsidRDefault="00B751DE">
            <w:pPr>
              <w:pStyle w:val="Tabletext"/>
              <w:rPr>
                <w:rFonts w:asciiTheme="majorHAnsi" w:eastAsia="Calibri" w:hAnsiTheme="majorHAnsi" w:cstheme="majorBidi"/>
                <w:b/>
                <w:sz w:val="40"/>
                <w:lang w:eastAsia="en-US"/>
              </w:rPr>
            </w:pPr>
            <w:r w:rsidRPr="00427EE1">
              <w:rPr>
                <w:rFonts w:eastAsia="Calibri"/>
                <w:b/>
                <w:lang w:eastAsia="en-US"/>
              </w:rPr>
              <w:t>Register of certificates of consent</w:t>
            </w:r>
          </w:p>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 xml:space="preserve">Specifies the </w:t>
            </w:r>
            <w:r w:rsidR="00E203D3" w:rsidRPr="00427EE1">
              <w:rPr>
                <w:rFonts w:eastAsia="Calibri"/>
                <w:lang w:eastAsia="en-US"/>
              </w:rPr>
              <w:t xml:space="preserve">information which </w:t>
            </w:r>
            <w:r w:rsidRPr="00427EE1">
              <w:rPr>
                <w:rFonts w:eastAsia="Calibri"/>
                <w:lang w:eastAsia="en-US"/>
              </w:rPr>
              <w:t xml:space="preserve">must be contained in </w:t>
            </w:r>
            <w:r w:rsidR="00E203D3" w:rsidRPr="00427EE1">
              <w:rPr>
                <w:rFonts w:eastAsia="Calibri"/>
                <w:lang w:eastAsia="en-US"/>
              </w:rPr>
              <w:t xml:space="preserve">the </w:t>
            </w:r>
            <w:r w:rsidRPr="00427EE1">
              <w:rPr>
                <w:rFonts w:eastAsia="Calibri"/>
                <w:lang w:eastAsia="en-US"/>
              </w:rPr>
              <w:t xml:space="preserve">register </w:t>
            </w:r>
            <w:r w:rsidR="00E203D3" w:rsidRPr="00427EE1">
              <w:rPr>
                <w:rFonts w:eastAsia="Calibri"/>
                <w:lang w:eastAsia="en-US"/>
              </w:rPr>
              <w:t>of certificates of consent</w:t>
            </w:r>
            <w:r w:rsidR="00706021">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B751DE">
            <w:pPr>
              <w:tabs>
                <w:tab w:val="left" w:pos="567"/>
              </w:tabs>
              <w:rPr>
                <w:rFonts w:ascii="Calibri" w:eastAsia="Calibri" w:hAnsi="Calibri"/>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B751DE">
            <w:pPr>
              <w:pStyle w:val="Tabletext"/>
              <w:rPr>
                <w:rFonts w:eastAsia="Calibri"/>
              </w:rPr>
            </w:pPr>
            <w:r w:rsidRPr="00427EE1">
              <w:rPr>
                <w:rFonts w:eastAsia="Calibri"/>
              </w:rPr>
              <w:t>T</w:t>
            </w:r>
            <w:r w:rsidR="007874CB" w:rsidRPr="00427EE1">
              <w:rPr>
                <w:rFonts w:eastAsia="Calibri"/>
              </w:rPr>
              <w:t xml:space="preserve">his </w:t>
            </w:r>
            <w:r w:rsidR="008911CB">
              <w:rPr>
                <w:rFonts w:eastAsia="Calibri"/>
              </w:rPr>
              <w:t>Regulation</w:t>
            </w:r>
            <w:r w:rsidR="007874CB" w:rsidRPr="00427EE1">
              <w:rPr>
                <w:rFonts w:eastAsia="Calibri"/>
              </w:rPr>
              <w:t xml:space="preserve"> gives</w:t>
            </w:r>
            <w:r w:rsidRPr="00427EE1">
              <w:rPr>
                <w:rFonts w:eastAsia="Calibri"/>
              </w:rPr>
              <w:t xml:space="preserve"> effect to </w:t>
            </w:r>
            <w:r w:rsidR="0023395A">
              <w:rPr>
                <w:rFonts w:eastAsia="Calibri"/>
              </w:rPr>
              <w:t xml:space="preserve">s </w:t>
            </w:r>
            <w:r w:rsidRPr="00427EE1">
              <w:rPr>
                <w:rFonts w:eastAsia="Calibri"/>
              </w:rPr>
              <w:t xml:space="preserve">25H(2) of the Act. </w:t>
            </w:r>
            <w:r w:rsidR="007874CB" w:rsidRPr="00427EE1">
              <w:rPr>
                <w:rFonts w:eastAsia="Calibri"/>
              </w:rPr>
              <w:t>It e</w:t>
            </w:r>
            <w:r w:rsidRPr="00427EE1">
              <w:rPr>
                <w:rFonts w:eastAsia="Calibri"/>
              </w:rPr>
              <w:t xml:space="preserve">nables </w:t>
            </w:r>
            <w:r w:rsidR="00720C4E">
              <w:rPr>
                <w:rFonts w:eastAsia="Calibri"/>
              </w:rPr>
              <w:t>VBA</w:t>
            </w:r>
            <w:r w:rsidRPr="00427EE1">
              <w:rPr>
                <w:rFonts w:eastAsia="Calibri"/>
              </w:rPr>
              <w:t xml:space="preserve"> to monitor and audit building work undertaken by owner</w:t>
            </w:r>
            <w:r w:rsidR="007C5A88">
              <w:rPr>
                <w:rFonts w:eastAsia="Calibri"/>
              </w:rPr>
              <w:t>-builders</w:t>
            </w:r>
            <w:r w:rsidR="00995450">
              <w:rPr>
                <w:rFonts w:eastAsia="Calibri"/>
              </w:rPr>
              <w:t>.</w:t>
            </w:r>
          </w:p>
        </w:tc>
      </w:tr>
      <w:tr w:rsidR="00B751DE" w:rsidRPr="00427EE1" w:rsidTr="002E244C">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B751DE">
            <w:pPr>
              <w:pStyle w:val="Tabletext"/>
              <w:rPr>
                <w:rFonts w:eastAsia="Calibri"/>
              </w:rPr>
            </w:pPr>
            <w:r w:rsidRPr="00427EE1">
              <w:rPr>
                <w:rFonts w:eastAsia="Calibri"/>
              </w:rPr>
              <w:t>205</w:t>
            </w:r>
          </w:p>
        </w:tc>
        <w:tc>
          <w:tcPr>
            <w:tcW w:w="100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22</w:t>
            </w:r>
          </w:p>
        </w:tc>
        <w:tc>
          <w:tcPr>
            <w:tcW w:w="423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E657D7" w:rsidRDefault="00B751DE">
            <w:pPr>
              <w:pStyle w:val="Tabletext"/>
              <w:rPr>
                <w:rFonts w:asciiTheme="majorHAnsi" w:eastAsia="Calibri" w:hAnsiTheme="majorHAnsi" w:cstheme="majorBidi"/>
                <w:b/>
                <w:sz w:val="40"/>
                <w:lang w:eastAsia="en-US"/>
              </w:rPr>
            </w:pPr>
            <w:r w:rsidRPr="00427EE1">
              <w:rPr>
                <w:rFonts w:eastAsia="Calibri"/>
                <w:b/>
                <w:lang w:eastAsia="en-US"/>
              </w:rPr>
              <w:t>Publication of information kept on the register of certificates of consent</w:t>
            </w:r>
          </w:p>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 xml:space="preserve">Specifies the information </w:t>
            </w:r>
            <w:r w:rsidR="00720C4E">
              <w:rPr>
                <w:rFonts w:eastAsia="Calibri"/>
                <w:lang w:eastAsia="en-US"/>
              </w:rPr>
              <w:t>VBA</w:t>
            </w:r>
            <w:r w:rsidRPr="00427EE1">
              <w:rPr>
                <w:rFonts w:eastAsia="Calibri"/>
                <w:lang w:eastAsia="en-US"/>
              </w:rPr>
              <w:t xml:space="preserve"> may publish in relation to the details held in the register of certificates of consent</w:t>
            </w:r>
            <w:r w:rsidR="00706021">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B751DE" w:rsidP="00B751DE">
            <w:pPr>
              <w:jc w:val="cente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B751DE">
            <w:pPr>
              <w:jc w:val="cente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B751DE">
            <w:pPr>
              <w:pStyle w:val="Tabletext"/>
              <w:rPr>
                <w:rFonts w:asciiTheme="majorHAnsi" w:eastAsia="Calibri" w:hAnsiTheme="majorHAnsi" w:cstheme="majorBidi"/>
                <w:b/>
                <w:sz w:val="40"/>
              </w:rPr>
            </w:pPr>
            <w:r w:rsidRPr="00427EE1">
              <w:rPr>
                <w:rFonts w:eastAsia="Calibri"/>
              </w:rPr>
              <w:t>T</w:t>
            </w:r>
            <w:r w:rsidR="007874CB" w:rsidRPr="00427EE1">
              <w:rPr>
                <w:rFonts w:eastAsia="Calibri"/>
              </w:rPr>
              <w:t xml:space="preserve">his </w:t>
            </w:r>
            <w:r w:rsidR="008911CB">
              <w:rPr>
                <w:rFonts w:eastAsia="Calibri"/>
              </w:rPr>
              <w:t>Regulation</w:t>
            </w:r>
            <w:r w:rsidRPr="00427EE1">
              <w:rPr>
                <w:rFonts w:eastAsia="Calibri"/>
              </w:rPr>
              <w:t xml:space="preserve"> give</w:t>
            </w:r>
            <w:r w:rsidR="007874CB" w:rsidRPr="00427EE1">
              <w:rPr>
                <w:rFonts w:eastAsia="Calibri"/>
              </w:rPr>
              <w:t>s</w:t>
            </w:r>
            <w:r w:rsidRPr="00427EE1">
              <w:rPr>
                <w:rFonts w:eastAsia="Calibri"/>
              </w:rPr>
              <w:t xml:space="preserve"> effect to </w:t>
            </w:r>
            <w:r w:rsidR="0023395A">
              <w:rPr>
                <w:rFonts w:eastAsia="Calibri"/>
              </w:rPr>
              <w:t xml:space="preserve">s </w:t>
            </w:r>
            <w:r w:rsidRPr="00427EE1">
              <w:rPr>
                <w:rFonts w:eastAsia="Calibri"/>
              </w:rPr>
              <w:t>25H(3)</w:t>
            </w:r>
            <w:r w:rsidR="007874CB" w:rsidRPr="00427EE1">
              <w:rPr>
                <w:rFonts w:eastAsia="Calibri"/>
              </w:rPr>
              <w:t xml:space="preserve"> of the Act</w:t>
            </w:r>
            <w:r w:rsidRPr="00427EE1">
              <w:rPr>
                <w:rFonts w:eastAsia="Calibri"/>
              </w:rPr>
              <w:t>.</w:t>
            </w:r>
            <w:r w:rsidR="007874CB" w:rsidRPr="00427EE1">
              <w:rPr>
                <w:rFonts w:eastAsia="Calibri"/>
              </w:rPr>
              <w:t xml:space="preserve"> It</w:t>
            </w:r>
            <w:r w:rsidRPr="00427EE1">
              <w:rPr>
                <w:rFonts w:eastAsia="Calibri"/>
              </w:rPr>
              <w:t xml:space="preserve"> </w:t>
            </w:r>
            <w:r w:rsidR="007874CB" w:rsidRPr="00427EE1">
              <w:rPr>
                <w:rFonts w:eastAsia="Calibri"/>
              </w:rPr>
              <w:t>r</w:t>
            </w:r>
            <w:r w:rsidRPr="00427EE1">
              <w:rPr>
                <w:rFonts w:eastAsia="Calibri"/>
              </w:rPr>
              <w:t>educes search costs by enabling the public to access information to determine if a building has been subject to building work carried out by an owner</w:t>
            </w:r>
            <w:r w:rsidR="007C5A88">
              <w:rPr>
                <w:rFonts w:eastAsia="Calibri"/>
              </w:rPr>
              <w:t>-builder</w:t>
            </w:r>
            <w:r w:rsidRPr="00427EE1">
              <w:rPr>
                <w:rFonts w:eastAsia="Calibri"/>
              </w:rPr>
              <w:t>.</w:t>
            </w:r>
          </w:p>
        </w:tc>
      </w:tr>
    </w:tbl>
    <w:p w:rsidR="005F38AC" w:rsidRDefault="005F38AC"/>
    <w:p w:rsidR="00B751DE" w:rsidRPr="00427EE1" w:rsidRDefault="004267C5" w:rsidP="006119D2">
      <w:pPr>
        <w:pStyle w:val="Heading3"/>
      </w:pPr>
      <w:bookmarkStart w:id="177" w:name="_Toc481501598"/>
      <w:r>
        <w:lastRenderedPageBreak/>
        <w:t xml:space="preserve">Pt </w:t>
      </w:r>
      <w:r w:rsidR="001D2DA1" w:rsidRPr="00427EE1">
        <w:t>4</w:t>
      </w:r>
      <w:r w:rsidR="008475D9">
        <w:t>—</w:t>
      </w:r>
      <w:r w:rsidR="001D2DA1" w:rsidRPr="00427EE1">
        <w:t>Combined allotments</w:t>
      </w:r>
      <w:bookmarkEnd w:id="177"/>
    </w:p>
    <w:tbl>
      <w:tblPr>
        <w:tblW w:w="14493" w:type="dxa"/>
        <w:tblInd w:w="-116"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24"/>
        <w:gridCol w:w="1001"/>
        <w:gridCol w:w="4243"/>
        <w:gridCol w:w="399"/>
        <w:gridCol w:w="399"/>
        <w:gridCol w:w="402"/>
        <w:gridCol w:w="400"/>
        <w:gridCol w:w="398"/>
        <w:gridCol w:w="6327"/>
      </w:tblGrid>
      <w:tr w:rsidR="00B751DE" w:rsidRPr="00427EE1" w:rsidTr="002E244C">
        <w:trPr>
          <w:cantSplit/>
          <w:trHeight w:val="111"/>
          <w:tblHeader/>
        </w:trPr>
        <w:tc>
          <w:tcPr>
            <w:tcW w:w="924" w:type="dxa"/>
            <w:vMerge w:val="restart"/>
            <w:shd w:val="clear" w:color="auto" w:fill="00B2A9" w:themeFill="accent1"/>
            <w:vAlign w:val="center"/>
            <w:hideMark/>
          </w:tcPr>
          <w:p w:rsidR="00E657D7" w:rsidRDefault="00B751DE">
            <w:pPr>
              <w:pStyle w:val="Tablecolumnhead"/>
              <w:rPr>
                <w:rFonts w:asciiTheme="majorHAnsi" w:eastAsia="Calibri" w:hAnsiTheme="majorHAnsi" w:cstheme="majorBidi"/>
                <w:sz w:val="40"/>
              </w:rPr>
            </w:pPr>
            <w:r w:rsidRPr="009B3662">
              <w:rPr>
                <w:rFonts w:eastAsia="Calibri"/>
              </w:rPr>
              <w:t>2006</w:t>
            </w:r>
          </w:p>
          <w:p w:rsidR="00E657D7" w:rsidRDefault="002E244C">
            <w:pPr>
              <w:pStyle w:val="Tablecolumnhead"/>
              <w:rPr>
                <w:rFonts w:eastAsia="Calibri"/>
              </w:rPr>
            </w:pPr>
            <w:r w:rsidRPr="00C44680">
              <w:rPr>
                <w:rFonts w:ascii="Arial Bold" w:eastAsia="Calibri" w:hAnsi="Arial Bold"/>
                <w:spacing w:val="-12"/>
                <w:sz w:val="16"/>
              </w:rPr>
              <w:t>Regulation</w:t>
            </w:r>
          </w:p>
        </w:tc>
        <w:tc>
          <w:tcPr>
            <w:tcW w:w="1001" w:type="dxa"/>
            <w:vMerge w:val="restart"/>
            <w:shd w:val="clear" w:color="auto" w:fill="00B2A9" w:themeFill="accent1"/>
            <w:vAlign w:val="center"/>
            <w:hideMark/>
          </w:tcPr>
          <w:p w:rsidR="00E657D7" w:rsidRDefault="00B751DE">
            <w:pPr>
              <w:pStyle w:val="Tablecolumnhead"/>
              <w:rPr>
                <w:rFonts w:asciiTheme="majorHAnsi" w:eastAsiaTheme="majorEastAsia" w:hAnsiTheme="majorHAnsi" w:cstheme="majorBidi"/>
                <w:sz w:val="40"/>
              </w:rPr>
            </w:pPr>
            <w:r w:rsidRPr="009B3662">
              <w:rPr>
                <w:rFonts w:eastAsia="Calibri"/>
              </w:rPr>
              <w:t>2017</w:t>
            </w:r>
          </w:p>
          <w:p w:rsidR="00E657D7" w:rsidRDefault="002E244C">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E657D7" w:rsidRDefault="00B751DE">
            <w:pPr>
              <w:pStyle w:val="Tablecolumnhead"/>
              <w:rPr>
                <w:rFonts w:asciiTheme="majorHAnsi" w:eastAsia="Calibri" w:hAnsiTheme="majorHAnsi" w:cstheme="majorBidi"/>
                <w:sz w:val="40"/>
              </w:rPr>
            </w:pPr>
            <w:r w:rsidRPr="009B3662">
              <w:t xml:space="preserve">Short description of the </w:t>
            </w:r>
            <w:r w:rsidR="008911CB">
              <w:t>Regulation</w:t>
            </w:r>
          </w:p>
        </w:tc>
        <w:tc>
          <w:tcPr>
            <w:tcW w:w="1998" w:type="dxa"/>
            <w:gridSpan w:val="5"/>
            <w:shd w:val="clear" w:color="auto" w:fill="00B2A9" w:themeFill="accent1"/>
            <w:vAlign w:val="center"/>
          </w:tcPr>
          <w:p w:rsidR="00E657D7" w:rsidRDefault="00B751DE">
            <w:pPr>
              <w:pStyle w:val="Tablecolumnhead"/>
              <w:rPr>
                <w:rFonts w:asciiTheme="majorHAnsi" w:eastAsiaTheme="majorEastAsia" w:hAnsiTheme="majorHAnsi" w:cstheme="majorBidi"/>
                <w:sz w:val="40"/>
              </w:rPr>
            </w:pPr>
            <w:r w:rsidRPr="009B3662">
              <w:t>Proposed regulatory change</w:t>
            </w:r>
          </w:p>
        </w:tc>
        <w:tc>
          <w:tcPr>
            <w:tcW w:w="6327" w:type="dxa"/>
            <w:vMerge w:val="restart"/>
            <w:shd w:val="clear" w:color="auto" w:fill="00B2A9" w:themeFill="accent1"/>
            <w:vAlign w:val="center"/>
          </w:tcPr>
          <w:p w:rsidR="00E657D7" w:rsidRDefault="00B751DE">
            <w:pPr>
              <w:pStyle w:val="Tablecolumnhead"/>
              <w:rPr>
                <w:rFonts w:asciiTheme="majorHAnsi" w:eastAsiaTheme="majorEastAsia" w:hAnsiTheme="majorHAnsi" w:cstheme="majorBidi"/>
                <w:sz w:val="40"/>
              </w:rPr>
            </w:pPr>
            <w:r w:rsidRPr="009B3662">
              <w:t>Why the 2017 Regulation is proposed</w:t>
            </w:r>
          </w:p>
        </w:tc>
      </w:tr>
      <w:tr w:rsidR="00B751DE" w:rsidRPr="00427EE1" w:rsidTr="002E244C">
        <w:trPr>
          <w:cantSplit/>
          <w:trHeight w:val="966"/>
          <w:tblHeader/>
        </w:trPr>
        <w:tc>
          <w:tcPr>
            <w:tcW w:w="924"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1001"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E657D7" w:rsidRDefault="00B751DE">
            <w:pPr>
              <w:spacing w:after="0" w:line="240"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E657D7" w:rsidRDefault="00B751DE">
            <w:pPr>
              <w:spacing w:after="0" w:line="240"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B751DE" w:rsidRPr="00427EE1" w:rsidTr="002E244C">
        <w:trPr>
          <w:cantSplit/>
          <w:trHeight w:val="340"/>
        </w:trPr>
        <w:tc>
          <w:tcPr>
            <w:tcW w:w="92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eastAsia="Calibri"/>
              </w:rPr>
            </w:pPr>
            <w:r w:rsidRPr="00427EE1">
              <w:rPr>
                <w:rFonts w:eastAsia="Calibri"/>
              </w:rPr>
              <w:t>501</w:t>
            </w:r>
          </w:p>
        </w:tc>
        <w:tc>
          <w:tcPr>
            <w:tcW w:w="1001"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eastAsia="Calibri"/>
                <w:lang w:eastAsia="en-US"/>
              </w:rPr>
            </w:pPr>
            <w:r w:rsidRPr="00427EE1">
              <w:rPr>
                <w:rFonts w:eastAsia="Calibri"/>
                <w:lang w:eastAsia="en-US"/>
              </w:rPr>
              <w:t>23</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rsidP="006757E8">
            <w:pPr>
              <w:pStyle w:val="Tabletext"/>
              <w:rPr>
                <w:rFonts w:asciiTheme="majorHAnsi" w:eastAsia="Calibri" w:hAnsiTheme="majorHAnsi" w:cstheme="majorBidi"/>
                <w:b/>
                <w:sz w:val="40"/>
                <w:lang w:eastAsia="en-US"/>
              </w:rPr>
            </w:pPr>
            <w:r w:rsidRPr="00427EE1">
              <w:rPr>
                <w:rFonts w:eastAsia="Calibri"/>
                <w:b/>
                <w:lang w:eastAsia="en-US"/>
              </w:rPr>
              <w:t>Application</w:t>
            </w:r>
          </w:p>
          <w:p w:rsidR="00E657D7" w:rsidRDefault="002D140F" w:rsidP="006757E8">
            <w:pPr>
              <w:pStyle w:val="Tabletext"/>
              <w:rPr>
                <w:rFonts w:eastAsia="Calibri"/>
                <w:lang w:eastAsia="en-US"/>
              </w:rPr>
            </w:pPr>
            <w:r>
              <w:rPr>
                <w:rFonts w:eastAsia="Calibri"/>
                <w:lang w:eastAsia="en-US"/>
              </w:rPr>
              <w:t>S</w:t>
            </w:r>
            <w:r w:rsidR="00B751DE" w:rsidRPr="00427EE1">
              <w:rPr>
                <w:rFonts w:eastAsia="Calibri"/>
                <w:lang w:eastAsia="en-US"/>
              </w:rPr>
              <w:t xml:space="preserve">pecifies the buildings that are required to comply with combined allotment provisions.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E657D7" w:rsidRDefault="007874CB">
            <w:pPr>
              <w:pStyle w:val="Tabletext"/>
              <w:rPr>
                <w:rFonts w:eastAsia="Calibri"/>
              </w:rPr>
            </w:pPr>
            <w:r w:rsidRPr="00427EE1">
              <w:rPr>
                <w:rFonts w:eastAsia="Calibri"/>
              </w:rPr>
              <w:t xml:space="preserve">This </w:t>
            </w:r>
            <w:r w:rsidR="008911CB">
              <w:rPr>
                <w:rFonts w:eastAsia="Calibri"/>
              </w:rPr>
              <w:t>Regulation</w:t>
            </w:r>
            <w:r w:rsidRPr="00427EE1">
              <w:rPr>
                <w:rFonts w:eastAsia="Calibri"/>
              </w:rPr>
              <w:t xml:space="preserve"> is a m</w:t>
            </w:r>
            <w:r w:rsidR="00B751DE" w:rsidRPr="00427EE1">
              <w:rPr>
                <w:rFonts w:eastAsia="Calibri"/>
              </w:rPr>
              <w:t>echanical provision</w:t>
            </w:r>
            <w:r w:rsidRPr="00427EE1">
              <w:rPr>
                <w:rFonts w:eastAsia="Calibri"/>
              </w:rPr>
              <w:t>.</w:t>
            </w:r>
          </w:p>
        </w:tc>
      </w:tr>
      <w:tr w:rsidR="00B751DE" w:rsidRPr="00427EE1" w:rsidTr="002E244C">
        <w:trPr>
          <w:cantSplit/>
          <w:trHeight w:val="340"/>
        </w:trPr>
        <w:tc>
          <w:tcPr>
            <w:tcW w:w="924" w:type="dxa"/>
            <w:vAlign w:val="center"/>
          </w:tcPr>
          <w:p w:rsidR="00E657D7" w:rsidRDefault="00B751DE" w:rsidP="006757E8">
            <w:pPr>
              <w:pStyle w:val="Tabletext"/>
              <w:rPr>
                <w:rFonts w:eastAsia="Calibri"/>
              </w:rPr>
            </w:pPr>
            <w:r w:rsidRPr="00427EE1">
              <w:rPr>
                <w:rFonts w:eastAsia="Calibri"/>
              </w:rPr>
              <w:t>502</w:t>
            </w:r>
          </w:p>
        </w:tc>
        <w:tc>
          <w:tcPr>
            <w:tcW w:w="1001" w:type="dxa"/>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Multiple</w:t>
            </w:r>
          </w:p>
        </w:tc>
        <w:tc>
          <w:tcPr>
            <w:tcW w:w="12568" w:type="dxa"/>
            <w:gridSpan w:val="7"/>
            <w:shd w:val="clear" w:color="auto" w:fill="D9D9D9" w:themeFill="background1" w:themeFillShade="D9"/>
          </w:tcPr>
          <w:p w:rsidR="00E657D7" w:rsidRDefault="00B751DE">
            <w:pPr>
              <w:pStyle w:val="Tabletext"/>
              <w:rPr>
                <w:rFonts w:eastAsia="Calibri"/>
                <w:sz w:val="16"/>
                <w:szCs w:val="16"/>
              </w:rPr>
            </w:pPr>
            <w:r w:rsidRPr="00427EE1">
              <w:rPr>
                <w:rFonts w:eastAsia="Calibri"/>
                <w:i/>
                <w:lang w:eastAsia="en-US"/>
              </w:rPr>
              <w:t xml:space="preserve">Has been </w:t>
            </w:r>
            <w:r w:rsidRPr="00427EE1">
              <w:rPr>
                <w:rFonts w:eastAsia="Calibri"/>
                <w:b/>
                <w:i/>
                <w:lang w:eastAsia="en-US"/>
              </w:rPr>
              <w:t>replaced</w:t>
            </w:r>
            <w:r w:rsidRPr="00427EE1">
              <w:rPr>
                <w:rFonts w:eastAsia="Calibri"/>
                <w:i/>
                <w:lang w:eastAsia="en-US"/>
              </w:rPr>
              <w:t xml:space="preserve"> by multiple </w:t>
            </w:r>
            <w:r w:rsidR="008911CB">
              <w:rPr>
                <w:rFonts w:eastAsia="Calibri"/>
                <w:i/>
                <w:lang w:eastAsia="en-US"/>
              </w:rPr>
              <w:t>Regulations</w:t>
            </w:r>
            <w:r w:rsidRPr="00427EE1">
              <w:rPr>
                <w:rFonts w:eastAsia="Calibri"/>
                <w:i/>
                <w:lang w:eastAsia="en-US"/>
              </w:rPr>
              <w:t xml:space="preserve">. Discussed below in relation to </w:t>
            </w:r>
            <w:r w:rsidR="008911CB">
              <w:rPr>
                <w:rFonts w:eastAsia="Calibri"/>
                <w:i/>
                <w:lang w:eastAsia="en-US"/>
              </w:rPr>
              <w:t>proposed Regulations</w:t>
            </w:r>
            <w:r w:rsidRPr="00427EE1">
              <w:rPr>
                <w:rFonts w:eastAsia="Calibri"/>
                <w:i/>
                <w:lang w:eastAsia="en-US"/>
              </w:rPr>
              <w:t xml:space="preserve"> </w:t>
            </w:r>
            <w:r w:rsidR="0049530B">
              <w:rPr>
                <w:rFonts w:eastAsia="Calibri"/>
                <w:i/>
                <w:lang w:eastAsia="en-US"/>
              </w:rPr>
              <w:t>28, 29</w:t>
            </w:r>
            <w:r w:rsidRPr="00427EE1">
              <w:rPr>
                <w:rFonts w:eastAsia="Calibri"/>
                <w:i/>
                <w:lang w:eastAsia="en-US"/>
              </w:rPr>
              <w:t xml:space="preserve"> and </w:t>
            </w:r>
            <w:r w:rsidR="0049530B">
              <w:rPr>
                <w:rFonts w:eastAsia="Calibri"/>
                <w:i/>
                <w:lang w:eastAsia="en-US"/>
              </w:rPr>
              <w:t>30</w:t>
            </w:r>
            <w:r w:rsidRPr="00427EE1">
              <w:rPr>
                <w:rFonts w:eastAsia="Calibri"/>
                <w:i/>
                <w:lang w:eastAsia="en-US"/>
              </w:rPr>
              <w:t>.</w:t>
            </w:r>
          </w:p>
        </w:tc>
      </w:tr>
      <w:tr w:rsidR="00B751DE" w:rsidRPr="00427EE1" w:rsidTr="002E244C">
        <w:trPr>
          <w:cantSplit/>
          <w:trHeight w:val="340"/>
        </w:trPr>
        <w:tc>
          <w:tcPr>
            <w:tcW w:w="92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eastAsia="Calibri"/>
              </w:rPr>
            </w:pPr>
            <w:r w:rsidRPr="00427EE1">
              <w:rPr>
                <w:rFonts w:eastAsia="Calibri"/>
              </w:rPr>
              <w:t>n/a</w:t>
            </w:r>
          </w:p>
        </w:tc>
        <w:tc>
          <w:tcPr>
            <w:tcW w:w="1001"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NEW</w:t>
            </w:r>
          </w:p>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24</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rsidP="006757E8">
            <w:pPr>
              <w:pStyle w:val="Tabletext"/>
              <w:rPr>
                <w:rFonts w:eastAsia="Calibri"/>
                <w:b/>
                <w:lang w:eastAsia="en-US"/>
              </w:rPr>
            </w:pPr>
            <w:r w:rsidRPr="00427EE1">
              <w:rPr>
                <w:rFonts w:eastAsia="Calibri"/>
                <w:b/>
                <w:lang w:eastAsia="en-US"/>
              </w:rPr>
              <w:t>Application to treat combined allotments as one allotment</w:t>
            </w:r>
          </w:p>
          <w:p w:rsidR="00E657D7" w:rsidRDefault="002D140F" w:rsidP="006757E8">
            <w:pPr>
              <w:pStyle w:val="Tabletext"/>
              <w:rPr>
                <w:rFonts w:asciiTheme="majorHAnsi" w:eastAsia="Calibri" w:hAnsiTheme="majorHAnsi" w:cstheme="majorBidi"/>
                <w:b/>
                <w:sz w:val="40"/>
                <w:lang w:eastAsia="en-US"/>
              </w:rPr>
            </w:pPr>
            <w:r>
              <w:rPr>
                <w:rFonts w:eastAsia="Calibri"/>
                <w:lang w:eastAsia="en-US"/>
              </w:rPr>
              <w:t>S</w:t>
            </w:r>
            <w:r w:rsidR="00B17963" w:rsidRPr="00427EE1">
              <w:rPr>
                <w:rFonts w:eastAsia="Calibri"/>
                <w:lang w:eastAsia="en-US"/>
              </w:rPr>
              <w:t xml:space="preserve">tates who can apply for a combined allotments determination and to whom that application must be made, and how that application must be made.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E657D7" w:rsidRDefault="007874CB">
            <w:pPr>
              <w:pStyle w:val="Tabletext"/>
              <w:rPr>
                <w:rFonts w:eastAsia="Calibri"/>
              </w:rPr>
            </w:pPr>
            <w:r w:rsidRPr="00427EE1">
              <w:rPr>
                <w:rFonts w:eastAsia="Calibri"/>
              </w:rPr>
              <w:t xml:space="preserve">This new </w:t>
            </w:r>
            <w:r w:rsidR="008911CB">
              <w:rPr>
                <w:rFonts w:eastAsia="Calibri"/>
              </w:rPr>
              <w:t>Regulation</w:t>
            </w:r>
            <w:r w:rsidRPr="00427EE1">
              <w:rPr>
                <w:rFonts w:eastAsia="Calibri"/>
              </w:rPr>
              <w:t xml:space="preserve"> provides a </w:t>
            </w:r>
            <w:r w:rsidR="00B751DE" w:rsidRPr="00427EE1">
              <w:rPr>
                <w:rFonts w:eastAsia="Calibri"/>
              </w:rPr>
              <w:t>clear application process</w:t>
            </w:r>
            <w:r w:rsidR="00DA0F0A" w:rsidRPr="00427EE1">
              <w:rPr>
                <w:rFonts w:eastAsia="Calibri"/>
              </w:rPr>
              <w:t xml:space="preserve"> </w:t>
            </w:r>
            <w:r w:rsidR="00BB3A66" w:rsidRPr="00427EE1">
              <w:rPr>
                <w:rFonts w:eastAsia="Calibri"/>
              </w:rPr>
              <w:t>and certainty</w:t>
            </w:r>
            <w:r w:rsidR="00B751DE" w:rsidRPr="00427EE1">
              <w:rPr>
                <w:rFonts w:eastAsia="Calibri"/>
              </w:rPr>
              <w:t xml:space="preserve"> for all involved. This process is absent from the current </w:t>
            </w:r>
            <w:r w:rsidR="008911CB">
              <w:rPr>
                <w:rFonts w:eastAsia="Calibri"/>
              </w:rPr>
              <w:t>Regulations</w:t>
            </w:r>
            <w:r w:rsidR="00B751DE" w:rsidRPr="00427EE1">
              <w:rPr>
                <w:rFonts w:eastAsia="Calibri"/>
              </w:rPr>
              <w:t xml:space="preserve">. </w:t>
            </w:r>
          </w:p>
        </w:tc>
      </w:tr>
      <w:tr w:rsidR="00B751DE" w:rsidRPr="00427EE1" w:rsidTr="002E244C">
        <w:trPr>
          <w:cantSplit/>
          <w:trHeight w:val="340"/>
        </w:trPr>
        <w:tc>
          <w:tcPr>
            <w:tcW w:w="92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eastAsia="Calibri"/>
              </w:rPr>
            </w:pPr>
            <w:r w:rsidRPr="00427EE1">
              <w:rPr>
                <w:rFonts w:eastAsia="Calibri"/>
              </w:rPr>
              <w:t>n/a</w:t>
            </w:r>
          </w:p>
        </w:tc>
        <w:tc>
          <w:tcPr>
            <w:tcW w:w="1001"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NEW</w:t>
            </w:r>
          </w:p>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25</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rsidP="006757E8">
            <w:pPr>
              <w:pStyle w:val="Tabletext"/>
              <w:rPr>
                <w:rFonts w:eastAsia="Calibri"/>
                <w:b/>
                <w:lang w:eastAsia="en-US"/>
              </w:rPr>
            </w:pPr>
            <w:r w:rsidRPr="00427EE1">
              <w:rPr>
                <w:rFonts w:eastAsia="Calibri"/>
                <w:b/>
                <w:lang w:eastAsia="en-US"/>
              </w:rPr>
              <w:t>Information to be contained in or accompany application</w:t>
            </w:r>
          </w:p>
          <w:p w:rsidR="00E657D7" w:rsidRDefault="002D140F" w:rsidP="006757E8">
            <w:pPr>
              <w:pStyle w:val="Tabletext"/>
              <w:rPr>
                <w:rFonts w:eastAsia="Calibri"/>
                <w:lang w:eastAsia="en-US"/>
              </w:rPr>
            </w:pPr>
            <w:r>
              <w:rPr>
                <w:rFonts w:eastAsia="Calibri"/>
                <w:lang w:eastAsia="en-US"/>
              </w:rPr>
              <w:t>C</w:t>
            </w:r>
            <w:r w:rsidR="00B17963" w:rsidRPr="00427EE1">
              <w:rPr>
                <w:rFonts w:eastAsia="Calibri"/>
                <w:lang w:eastAsia="en-US"/>
              </w:rPr>
              <w:t xml:space="preserve">ontains the minimum necessary information which must be included in and accompany an application for the purpose of </w:t>
            </w:r>
            <w:proofErr w:type="spellStart"/>
            <w:r w:rsidR="003902AD">
              <w:rPr>
                <w:rFonts w:eastAsia="Calibri"/>
                <w:lang w:eastAsia="en-US"/>
              </w:rPr>
              <w:t>reg</w:t>
            </w:r>
            <w:proofErr w:type="spellEnd"/>
            <w:r w:rsidR="003902AD">
              <w:rPr>
                <w:rFonts w:eastAsia="Calibri"/>
                <w:lang w:eastAsia="en-US"/>
              </w:rPr>
              <w:t xml:space="preserve"> 2</w:t>
            </w:r>
            <w:r w:rsidR="00B17963" w:rsidRPr="00427EE1">
              <w:rPr>
                <w:rFonts w:eastAsia="Calibri"/>
                <w:lang w:eastAsia="en-US"/>
              </w:rPr>
              <w:t>4.</w:t>
            </w:r>
            <w:r w:rsidR="00DA0F0A" w:rsidRPr="00427EE1">
              <w:rPr>
                <w:rFonts w:eastAsia="Calibri"/>
                <w:lang w:eastAsia="en-US"/>
              </w:rPr>
              <w:t xml:space="preserve">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E657D7" w:rsidRDefault="0036708C">
            <w:pPr>
              <w:pStyle w:val="Tabletext"/>
              <w:rPr>
                <w:rFonts w:eastAsia="Calibri"/>
              </w:rPr>
            </w:pPr>
            <w:r w:rsidRPr="00427EE1">
              <w:rPr>
                <w:rFonts w:eastAsia="Calibri"/>
              </w:rPr>
              <w:t xml:space="preserve">This </w:t>
            </w:r>
            <w:r w:rsidR="007874CB" w:rsidRPr="00427EE1">
              <w:rPr>
                <w:rFonts w:eastAsia="Calibri"/>
              </w:rPr>
              <w:t xml:space="preserve">is a new </w:t>
            </w:r>
            <w:r w:rsidR="008911CB">
              <w:rPr>
                <w:rFonts w:eastAsia="Calibri"/>
              </w:rPr>
              <w:t>Regulation</w:t>
            </w:r>
            <w:r w:rsidRPr="00427EE1">
              <w:rPr>
                <w:rFonts w:eastAsia="Calibri"/>
              </w:rPr>
              <w:t xml:space="preserve"> </w:t>
            </w:r>
            <w:r w:rsidR="007874CB" w:rsidRPr="00427EE1">
              <w:rPr>
                <w:rFonts w:eastAsia="Calibri"/>
              </w:rPr>
              <w:t xml:space="preserve">which </w:t>
            </w:r>
            <w:r w:rsidRPr="00427EE1">
              <w:rPr>
                <w:rFonts w:eastAsia="Calibri"/>
              </w:rPr>
              <w:t>is necessary to facilitate efficient decision</w:t>
            </w:r>
            <w:r w:rsidR="007C5A88">
              <w:rPr>
                <w:rFonts w:eastAsia="Calibri"/>
              </w:rPr>
              <w:t>-making</w:t>
            </w:r>
            <w:r w:rsidRPr="00427EE1">
              <w:rPr>
                <w:rFonts w:eastAsia="Calibri"/>
              </w:rPr>
              <w:t xml:space="preserve"> and reduce or avoid delays caused by lack of information. </w:t>
            </w:r>
          </w:p>
        </w:tc>
      </w:tr>
      <w:tr w:rsidR="0036708C" w:rsidRPr="00427EE1" w:rsidTr="002E244C">
        <w:trPr>
          <w:cantSplit/>
          <w:trHeight w:val="340"/>
        </w:trPr>
        <w:tc>
          <w:tcPr>
            <w:tcW w:w="92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36708C" w:rsidP="006757E8">
            <w:pPr>
              <w:pStyle w:val="Tabletext"/>
              <w:rPr>
                <w:rFonts w:eastAsia="Calibri"/>
              </w:rPr>
            </w:pPr>
            <w:r w:rsidRPr="00427EE1">
              <w:rPr>
                <w:rFonts w:eastAsia="Calibri"/>
              </w:rPr>
              <w:t>n/a</w:t>
            </w:r>
          </w:p>
        </w:tc>
        <w:tc>
          <w:tcPr>
            <w:tcW w:w="1001"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36708C" w:rsidP="006757E8">
            <w:pPr>
              <w:pStyle w:val="Tabletext"/>
              <w:rPr>
                <w:rFonts w:asciiTheme="majorHAnsi" w:eastAsia="Calibri" w:hAnsiTheme="majorHAnsi" w:cstheme="majorBidi"/>
                <w:b/>
                <w:sz w:val="40"/>
                <w:lang w:eastAsia="en-US"/>
              </w:rPr>
            </w:pPr>
            <w:r w:rsidRPr="00427EE1">
              <w:rPr>
                <w:rFonts w:eastAsia="Calibri"/>
                <w:lang w:eastAsia="en-US"/>
              </w:rPr>
              <w:t>NEW</w:t>
            </w:r>
          </w:p>
          <w:p w:rsidR="00E657D7" w:rsidRDefault="0036708C" w:rsidP="006757E8">
            <w:pPr>
              <w:pStyle w:val="Tabletext"/>
              <w:rPr>
                <w:rFonts w:asciiTheme="majorHAnsi" w:eastAsia="Calibri" w:hAnsiTheme="majorHAnsi" w:cstheme="majorBidi"/>
                <w:b/>
                <w:sz w:val="40"/>
                <w:lang w:eastAsia="en-US"/>
              </w:rPr>
            </w:pPr>
            <w:r w:rsidRPr="00427EE1">
              <w:rPr>
                <w:rFonts w:eastAsia="Calibri"/>
                <w:lang w:eastAsia="en-US"/>
              </w:rPr>
              <w:t>26</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36708C" w:rsidP="006757E8">
            <w:pPr>
              <w:pStyle w:val="Tabletext"/>
              <w:rPr>
                <w:rFonts w:eastAsia="Calibri"/>
                <w:b/>
                <w:lang w:eastAsia="en-US"/>
              </w:rPr>
            </w:pPr>
            <w:r w:rsidRPr="00427EE1">
              <w:rPr>
                <w:rFonts w:eastAsia="Calibri"/>
                <w:b/>
                <w:lang w:eastAsia="en-US"/>
              </w:rPr>
              <w:t>Building surveyor may request more information</w:t>
            </w:r>
          </w:p>
          <w:p w:rsidR="00E657D7" w:rsidRDefault="002D140F" w:rsidP="006757E8">
            <w:pPr>
              <w:pStyle w:val="Tabletext"/>
              <w:rPr>
                <w:rFonts w:asciiTheme="majorHAnsi" w:eastAsia="Calibri" w:hAnsiTheme="majorHAnsi" w:cstheme="majorBidi"/>
                <w:b/>
                <w:sz w:val="40"/>
                <w:lang w:eastAsia="en-US"/>
              </w:rPr>
            </w:pPr>
            <w:r>
              <w:rPr>
                <w:rFonts w:eastAsia="Calibri"/>
                <w:lang w:eastAsia="en-US"/>
              </w:rPr>
              <w:t>E</w:t>
            </w:r>
            <w:r w:rsidR="0036708C" w:rsidRPr="00427EE1">
              <w:rPr>
                <w:rFonts w:eastAsia="Calibri"/>
                <w:lang w:eastAsia="en-US"/>
              </w:rPr>
              <w:t>mpowers the building surveyor asked to make a combined allotments determination to request any additional information from an applicant which is required to make a combined allotments determination.</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36708C" w:rsidRPr="00427EE1" w:rsidRDefault="0036708C"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36708C" w:rsidRPr="00427EE1" w:rsidRDefault="0036708C">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36708C" w:rsidRPr="00427EE1" w:rsidRDefault="0036708C">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36708C" w:rsidRPr="00427EE1" w:rsidRDefault="0036708C">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36708C" w:rsidRPr="00427EE1" w:rsidRDefault="0036708C">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E657D7" w:rsidRDefault="0036708C">
            <w:pPr>
              <w:pStyle w:val="Tabletext"/>
              <w:rPr>
                <w:rFonts w:eastAsia="Calibri"/>
              </w:rPr>
            </w:pPr>
            <w:r w:rsidRPr="00427EE1">
              <w:rPr>
                <w:rFonts w:eastAsia="Calibri"/>
              </w:rPr>
              <w:t xml:space="preserve">This </w:t>
            </w:r>
            <w:r w:rsidR="007874CB" w:rsidRPr="00427EE1">
              <w:rPr>
                <w:rFonts w:eastAsia="Calibri"/>
              </w:rPr>
              <w:t xml:space="preserve">is a new </w:t>
            </w:r>
            <w:r w:rsidR="008911CB">
              <w:rPr>
                <w:rFonts w:eastAsia="Calibri"/>
              </w:rPr>
              <w:t>Regulation</w:t>
            </w:r>
            <w:r w:rsidRPr="00427EE1">
              <w:rPr>
                <w:rFonts w:eastAsia="Calibri"/>
              </w:rPr>
              <w:t xml:space="preserve"> </w:t>
            </w:r>
            <w:r w:rsidR="007874CB" w:rsidRPr="00427EE1">
              <w:rPr>
                <w:rFonts w:eastAsia="Calibri"/>
              </w:rPr>
              <w:t xml:space="preserve">which </w:t>
            </w:r>
            <w:r w:rsidRPr="00427EE1">
              <w:rPr>
                <w:rFonts w:eastAsia="Calibri"/>
              </w:rPr>
              <w:t>ensures a building surveyor can request further information to make a determination, if the minimum mandatory information required is insufficient.</w:t>
            </w:r>
          </w:p>
          <w:p w:rsidR="00E657D7" w:rsidRDefault="00E657D7">
            <w:pPr>
              <w:pStyle w:val="Tabletext"/>
              <w:rPr>
                <w:rFonts w:eastAsia="Calibri"/>
                <w:sz w:val="16"/>
              </w:rPr>
            </w:pPr>
          </w:p>
        </w:tc>
      </w:tr>
      <w:tr w:rsidR="00B751DE" w:rsidRPr="00427EE1" w:rsidTr="002E244C">
        <w:trPr>
          <w:cantSplit/>
          <w:trHeight w:val="340"/>
        </w:trPr>
        <w:tc>
          <w:tcPr>
            <w:tcW w:w="92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eastAsia="Calibri"/>
              </w:rPr>
            </w:pPr>
            <w:r w:rsidRPr="00427EE1">
              <w:rPr>
                <w:rFonts w:eastAsia="Calibri"/>
              </w:rPr>
              <w:t>n/a</w:t>
            </w:r>
          </w:p>
        </w:tc>
        <w:tc>
          <w:tcPr>
            <w:tcW w:w="1001"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NEW</w:t>
            </w:r>
          </w:p>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27</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rsidP="006757E8">
            <w:pPr>
              <w:pStyle w:val="Tabletext"/>
              <w:rPr>
                <w:rFonts w:eastAsia="Calibri"/>
                <w:b/>
                <w:lang w:eastAsia="en-US"/>
              </w:rPr>
            </w:pPr>
            <w:r w:rsidRPr="00427EE1">
              <w:rPr>
                <w:rFonts w:eastAsia="Calibri"/>
                <w:b/>
                <w:lang w:eastAsia="en-US"/>
              </w:rPr>
              <w:t>Application may be refused if information not provided</w:t>
            </w:r>
          </w:p>
          <w:p w:rsidR="00E657D7" w:rsidRDefault="002D140F" w:rsidP="006757E8">
            <w:pPr>
              <w:pStyle w:val="Tabletext"/>
              <w:rPr>
                <w:rFonts w:asciiTheme="majorHAnsi" w:eastAsia="Calibri" w:hAnsiTheme="majorHAnsi" w:cstheme="majorBidi"/>
                <w:b/>
                <w:sz w:val="40"/>
                <w:lang w:eastAsia="en-US"/>
              </w:rPr>
            </w:pPr>
            <w:r>
              <w:rPr>
                <w:rFonts w:eastAsia="Calibri"/>
                <w:lang w:eastAsia="en-US"/>
              </w:rPr>
              <w:t>P</w:t>
            </w:r>
            <w:r w:rsidR="00EC58AF" w:rsidRPr="00427EE1">
              <w:rPr>
                <w:rFonts w:eastAsia="Calibri"/>
                <w:lang w:eastAsia="en-US"/>
              </w:rPr>
              <w:t>rovides that if additional information is requested and not</w:t>
            </w:r>
            <w:r w:rsidR="00DA0F0A" w:rsidRPr="00427EE1">
              <w:rPr>
                <w:rFonts w:eastAsia="Calibri"/>
                <w:lang w:eastAsia="en-US"/>
              </w:rPr>
              <w:t xml:space="preserve"> </w:t>
            </w:r>
            <w:r w:rsidR="00EC58AF" w:rsidRPr="00427EE1">
              <w:rPr>
                <w:rFonts w:eastAsia="Calibri"/>
                <w:lang w:eastAsia="en-US"/>
              </w:rPr>
              <w:t xml:space="preserve">provided, the </w:t>
            </w:r>
            <w:r w:rsidR="00C85843">
              <w:rPr>
                <w:rFonts w:eastAsia="Calibri"/>
                <w:lang w:eastAsia="en-US"/>
              </w:rPr>
              <w:t>MBS</w:t>
            </w:r>
            <w:r w:rsidR="00EC58AF" w:rsidRPr="00427EE1">
              <w:rPr>
                <w:rFonts w:eastAsia="Calibri"/>
                <w:lang w:eastAsia="en-US"/>
              </w:rPr>
              <w:t xml:space="preserve"> or the</w:t>
            </w:r>
            <w:r w:rsidR="00DA0F0A" w:rsidRPr="00427EE1">
              <w:rPr>
                <w:rFonts w:eastAsia="Calibri"/>
                <w:lang w:eastAsia="en-US"/>
              </w:rPr>
              <w:t xml:space="preserve"> </w:t>
            </w:r>
            <w:r w:rsidR="00C85843">
              <w:rPr>
                <w:rFonts w:eastAsia="Calibri"/>
                <w:lang w:eastAsia="en-US"/>
              </w:rPr>
              <w:t>PBS</w:t>
            </w:r>
            <w:r w:rsidR="00EC58AF" w:rsidRPr="00427EE1">
              <w:rPr>
                <w:rFonts w:eastAsia="Calibri"/>
                <w:lang w:eastAsia="en-US"/>
              </w:rPr>
              <w:t xml:space="preserve"> may refuse the application.</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E657D7" w:rsidRDefault="007874CB">
            <w:pPr>
              <w:pStyle w:val="Tabletext"/>
              <w:rPr>
                <w:rFonts w:eastAsia="Calibri"/>
              </w:rPr>
            </w:pPr>
            <w:r w:rsidRPr="00427EE1">
              <w:rPr>
                <w:rFonts w:eastAsia="Calibri"/>
              </w:rPr>
              <w:t>This is a n</w:t>
            </w:r>
            <w:r w:rsidR="00B751DE" w:rsidRPr="00427EE1">
              <w:rPr>
                <w:rFonts w:eastAsia="Calibri"/>
              </w:rPr>
              <w:t xml:space="preserve">ew </w:t>
            </w:r>
            <w:r w:rsidR="008911CB">
              <w:rPr>
                <w:rFonts w:eastAsia="Calibri"/>
              </w:rPr>
              <w:t>Regulation</w:t>
            </w:r>
            <w:r w:rsidR="00B751DE" w:rsidRPr="00427EE1">
              <w:rPr>
                <w:rFonts w:eastAsia="Calibri"/>
              </w:rPr>
              <w:t xml:space="preserve"> to clarify an application can be refused due to lack of information.</w:t>
            </w:r>
          </w:p>
        </w:tc>
      </w:tr>
      <w:tr w:rsidR="00EC58AF" w:rsidRPr="00427EE1" w:rsidTr="002E244C">
        <w:trPr>
          <w:cantSplit/>
          <w:trHeight w:val="340"/>
        </w:trPr>
        <w:tc>
          <w:tcPr>
            <w:tcW w:w="92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EC58AF" w:rsidP="006757E8">
            <w:pPr>
              <w:pStyle w:val="Tabletext"/>
              <w:rPr>
                <w:rFonts w:eastAsia="Calibri"/>
              </w:rPr>
            </w:pPr>
            <w:r w:rsidRPr="00427EE1">
              <w:rPr>
                <w:rFonts w:eastAsia="Calibri"/>
              </w:rPr>
              <w:lastRenderedPageBreak/>
              <w:t>502(1)</w:t>
            </w:r>
          </w:p>
          <w:p w:rsidR="00E657D7" w:rsidRDefault="00EC58AF" w:rsidP="006757E8">
            <w:pPr>
              <w:pStyle w:val="Tabletext"/>
              <w:rPr>
                <w:rFonts w:eastAsia="Calibri"/>
              </w:rPr>
            </w:pPr>
            <w:r w:rsidRPr="00427EE1">
              <w:rPr>
                <w:rFonts w:eastAsia="Calibri"/>
              </w:rPr>
              <w:t>502(2)</w:t>
            </w:r>
          </w:p>
        </w:tc>
        <w:tc>
          <w:tcPr>
            <w:tcW w:w="1001"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EC58AF" w:rsidP="006757E8">
            <w:pPr>
              <w:pStyle w:val="Tabletext"/>
              <w:rPr>
                <w:rFonts w:asciiTheme="majorHAnsi" w:eastAsia="Calibri" w:hAnsiTheme="majorHAnsi" w:cstheme="majorBidi"/>
                <w:b/>
                <w:sz w:val="40"/>
                <w:lang w:eastAsia="en-US"/>
              </w:rPr>
            </w:pPr>
            <w:r w:rsidRPr="00427EE1">
              <w:rPr>
                <w:rFonts w:eastAsia="Calibri"/>
                <w:lang w:eastAsia="en-US"/>
              </w:rPr>
              <w:t>28</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EC58AF" w:rsidP="006757E8">
            <w:pPr>
              <w:pStyle w:val="Tabletext"/>
              <w:rPr>
                <w:rFonts w:eastAsia="Calibri"/>
                <w:b/>
                <w:lang w:eastAsia="en-US"/>
              </w:rPr>
            </w:pPr>
            <w:r w:rsidRPr="00427EE1">
              <w:rPr>
                <w:rFonts w:eastAsia="Calibri"/>
                <w:b/>
                <w:lang w:eastAsia="en-US"/>
              </w:rPr>
              <w:t>Determination to treat combined allotments as one allotment</w:t>
            </w:r>
          </w:p>
          <w:p w:rsidR="00E657D7" w:rsidRDefault="002D140F" w:rsidP="006757E8">
            <w:pPr>
              <w:pStyle w:val="Tabletext"/>
              <w:rPr>
                <w:rFonts w:asciiTheme="majorHAnsi" w:eastAsia="Calibri" w:hAnsiTheme="majorHAnsi" w:cstheme="majorBidi"/>
                <w:b/>
                <w:sz w:val="40"/>
                <w:lang w:eastAsia="en-US"/>
              </w:rPr>
            </w:pPr>
            <w:r>
              <w:rPr>
                <w:rFonts w:eastAsia="Calibri"/>
                <w:lang w:eastAsia="en-US"/>
              </w:rPr>
              <w:t>E</w:t>
            </w:r>
            <w:r w:rsidR="00EC58AF" w:rsidRPr="00427EE1">
              <w:rPr>
                <w:rFonts w:eastAsia="Calibri"/>
                <w:lang w:eastAsia="en-US"/>
              </w:rPr>
              <w:t xml:space="preserve">stablishes the circumstances when a </w:t>
            </w:r>
            <w:r w:rsidR="00C85843">
              <w:rPr>
                <w:rFonts w:eastAsia="Calibri"/>
                <w:lang w:eastAsia="en-US"/>
              </w:rPr>
              <w:t>MBS</w:t>
            </w:r>
            <w:r w:rsidR="00EC58AF" w:rsidRPr="00427EE1">
              <w:rPr>
                <w:rFonts w:eastAsia="Calibri"/>
                <w:lang w:eastAsia="en-US"/>
              </w:rPr>
              <w:t xml:space="preserve"> or a </w:t>
            </w:r>
            <w:r w:rsidR="00C85843">
              <w:rPr>
                <w:rFonts w:eastAsia="Calibri"/>
                <w:lang w:eastAsia="en-US"/>
              </w:rPr>
              <w:t>PBS</w:t>
            </w:r>
            <w:r w:rsidR="00EC58AF" w:rsidRPr="00427EE1">
              <w:rPr>
                <w:rFonts w:eastAsia="Calibri"/>
                <w:lang w:eastAsia="en-US"/>
              </w:rPr>
              <w:t xml:space="preserve"> can make a determination in relation to combined allotments.</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C58AF" w:rsidRPr="00427EE1" w:rsidRDefault="00EC58AF"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C58AF" w:rsidRPr="00427EE1" w:rsidRDefault="00EC58AF">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C58AF" w:rsidRPr="00427EE1" w:rsidRDefault="00EC58AF">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C58AF" w:rsidRPr="00427EE1" w:rsidRDefault="00EC58AF">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C58AF" w:rsidRPr="00427EE1" w:rsidRDefault="00EC58AF">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E657D7" w:rsidRDefault="00EC58AF">
            <w:pPr>
              <w:pStyle w:val="Tabletext"/>
              <w:rPr>
                <w:rFonts w:eastAsia="Calibri"/>
              </w:rPr>
            </w:pPr>
            <w:r w:rsidRPr="00427EE1">
              <w:rPr>
                <w:rFonts w:eastAsia="Calibri"/>
              </w:rPr>
              <w:t>Improves efficiency of decision</w:t>
            </w:r>
            <w:r w:rsidR="007C5A88">
              <w:rPr>
                <w:rFonts w:eastAsia="Calibri"/>
              </w:rPr>
              <w:t>-making</w:t>
            </w:r>
            <w:r w:rsidRPr="00427EE1">
              <w:rPr>
                <w:rFonts w:eastAsia="Calibri"/>
              </w:rPr>
              <w:t xml:space="preserve"> by specifying the process and decision</w:t>
            </w:r>
            <w:r w:rsidR="007C5A88">
              <w:rPr>
                <w:rFonts w:eastAsia="Calibri"/>
              </w:rPr>
              <w:t>-making</w:t>
            </w:r>
            <w:r w:rsidRPr="00427EE1">
              <w:rPr>
                <w:rFonts w:eastAsia="Calibri"/>
              </w:rPr>
              <w:t xml:space="preserve"> criteria for making a determination. </w:t>
            </w:r>
          </w:p>
        </w:tc>
      </w:tr>
      <w:tr w:rsidR="00EC58AF" w:rsidRPr="00427EE1" w:rsidTr="002E244C">
        <w:trPr>
          <w:cantSplit/>
          <w:trHeight w:val="340"/>
        </w:trPr>
        <w:tc>
          <w:tcPr>
            <w:tcW w:w="92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EC58AF" w:rsidP="006757E8">
            <w:pPr>
              <w:pStyle w:val="Tabletext"/>
              <w:rPr>
                <w:rFonts w:eastAsia="Calibri"/>
              </w:rPr>
            </w:pPr>
            <w:r w:rsidRPr="00427EE1">
              <w:rPr>
                <w:rFonts w:eastAsia="Calibri"/>
              </w:rPr>
              <w:t>502(3)</w:t>
            </w:r>
          </w:p>
        </w:tc>
        <w:tc>
          <w:tcPr>
            <w:tcW w:w="1001"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EC58AF" w:rsidP="006757E8">
            <w:pPr>
              <w:pStyle w:val="Tabletext"/>
              <w:rPr>
                <w:rFonts w:asciiTheme="majorHAnsi" w:eastAsia="Calibri" w:hAnsiTheme="majorHAnsi" w:cstheme="majorBidi"/>
                <w:b/>
                <w:sz w:val="40"/>
                <w:lang w:eastAsia="en-US"/>
              </w:rPr>
            </w:pPr>
            <w:r w:rsidRPr="00427EE1">
              <w:rPr>
                <w:rFonts w:eastAsia="Calibri"/>
                <w:lang w:eastAsia="en-US"/>
              </w:rPr>
              <w:t>29</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E657D7" w:rsidRDefault="00EC58AF" w:rsidP="006757E8">
            <w:pPr>
              <w:pStyle w:val="Tabletext"/>
              <w:rPr>
                <w:rFonts w:eastAsia="Calibri"/>
                <w:b/>
                <w:lang w:eastAsia="en-US"/>
              </w:rPr>
            </w:pPr>
            <w:r w:rsidRPr="00427EE1">
              <w:rPr>
                <w:rFonts w:eastAsia="Calibri"/>
                <w:b/>
                <w:lang w:eastAsia="en-US"/>
              </w:rPr>
              <w:t>Effect of determination</w:t>
            </w:r>
          </w:p>
          <w:p w:rsidR="00E657D7" w:rsidRDefault="00EC58AF" w:rsidP="006757E8">
            <w:pPr>
              <w:pStyle w:val="Tabletext"/>
              <w:rPr>
                <w:rFonts w:eastAsia="Calibri"/>
                <w:i/>
                <w:lang w:eastAsia="en-US"/>
              </w:rPr>
            </w:pPr>
            <w:r w:rsidRPr="00427EE1">
              <w:rPr>
                <w:rFonts w:eastAsia="Calibri"/>
                <w:lang w:eastAsia="en-US"/>
              </w:rPr>
              <w:t>For clarity, states the effect of the making of a combined allotments determination which is that the relevant allotments are treated as one allotment for the purposes of the Act and the Regulations.</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C58AF" w:rsidRPr="00427EE1" w:rsidRDefault="00EC58AF"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C58AF" w:rsidRPr="00427EE1" w:rsidRDefault="00EC58AF" w:rsidP="006757E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C58AF" w:rsidRPr="00427EE1" w:rsidRDefault="00EC58AF">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C58AF" w:rsidRPr="00427EE1" w:rsidRDefault="00EC58AF">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C58AF" w:rsidRPr="00427EE1" w:rsidRDefault="00EC58AF">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EC58AF">
            <w:pPr>
              <w:pStyle w:val="Tabletext"/>
              <w:rPr>
                <w:rFonts w:eastAsia="Calibri"/>
              </w:rPr>
            </w:pPr>
            <w:r w:rsidRPr="00427EE1">
              <w:rPr>
                <w:rFonts w:eastAsia="Calibri"/>
              </w:rPr>
              <w:t>Allowing multiple allotments in certain circumstances to be treated as one allotment provides an opportunity to reduce regulatory burden on landowners</w:t>
            </w:r>
            <w:r w:rsidR="007874CB" w:rsidRPr="00427EE1">
              <w:rPr>
                <w:rFonts w:eastAsia="Calibri"/>
              </w:rPr>
              <w:t>. F</w:t>
            </w:r>
            <w:r w:rsidRPr="00427EE1">
              <w:rPr>
                <w:rFonts w:eastAsia="Calibri"/>
              </w:rPr>
              <w:t xml:space="preserve">or example, </w:t>
            </w:r>
            <w:r w:rsidR="007874CB" w:rsidRPr="00427EE1">
              <w:rPr>
                <w:rFonts w:eastAsia="Calibri"/>
              </w:rPr>
              <w:t xml:space="preserve">by </w:t>
            </w:r>
            <w:r w:rsidRPr="00427EE1">
              <w:rPr>
                <w:rFonts w:eastAsia="Calibri"/>
              </w:rPr>
              <w:t>allowing building work to be authorised under one building permit</w:t>
            </w:r>
            <w:r w:rsidR="006C07F6">
              <w:rPr>
                <w:rFonts w:eastAsia="Calibri"/>
              </w:rPr>
              <w:t>,</w:t>
            </w:r>
            <w:r w:rsidRPr="00427EE1">
              <w:rPr>
                <w:rFonts w:eastAsia="Calibri"/>
              </w:rPr>
              <w:t xml:space="preserve"> and also where appropriate to streamline some building standards which would otherwise be required by reason of the existence of an allotment </w:t>
            </w:r>
            <w:r w:rsidR="00C85828" w:rsidRPr="00427EE1">
              <w:rPr>
                <w:rFonts w:eastAsia="Calibri"/>
              </w:rPr>
              <w:t>boundary</w:t>
            </w:r>
            <w:r w:rsidRPr="00427EE1">
              <w:rPr>
                <w:rFonts w:eastAsia="Calibri"/>
              </w:rPr>
              <w:t>.</w:t>
            </w:r>
          </w:p>
        </w:tc>
      </w:tr>
      <w:tr w:rsidR="00B751DE" w:rsidRPr="00427EE1" w:rsidTr="002E244C">
        <w:trPr>
          <w:cantSplit/>
          <w:trHeight w:val="340"/>
        </w:trPr>
        <w:tc>
          <w:tcPr>
            <w:tcW w:w="92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B751DE" w:rsidP="006757E8">
            <w:pPr>
              <w:pStyle w:val="Tabletext"/>
              <w:rPr>
                <w:rFonts w:eastAsia="Calibri"/>
              </w:rPr>
            </w:pPr>
            <w:r w:rsidRPr="00427EE1">
              <w:rPr>
                <w:rFonts w:eastAsia="Calibri"/>
              </w:rPr>
              <w:t>502(5)</w:t>
            </w:r>
          </w:p>
        </w:tc>
        <w:tc>
          <w:tcPr>
            <w:tcW w:w="1001"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30</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E657D7" w:rsidRDefault="00C85843" w:rsidP="006757E8">
            <w:pPr>
              <w:pStyle w:val="Tabletext"/>
              <w:rPr>
                <w:rFonts w:eastAsia="Calibri"/>
                <w:b/>
                <w:lang w:eastAsia="en-US"/>
              </w:rPr>
            </w:pPr>
            <w:r>
              <w:rPr>
                <w:rFonts w:eastAsia="Calibri"/>
                <w:b/>
                <w:lang w:eastAsia="en-US"/>
              </w:rPr>
              <w:t>PBS</w:t>
            </w:r>
            <w:r w:rsidR="00B751DE" w:rsidRPr="00427EE1">
              <w:rPr>
                <w:rFonts w:eastAsia="Calibri"/>
                <w:b/>
                <w:lang w:eastAsia="en-US"/>
              </w:rPr>
              <w:t xml:space="preserve"> may exercise powers of </w:t>
            </w:r>
            <w:r>
              <w:rPr>
                <w:rFonts w:eastAsia="Calibri"/>
                <w:b/>
                <w:lang w:eastAsia="en-US"/>
              </w:rPr>
              <w:t>MBS</w:t>
            </w:r>
            <w:r w:rsidR="00B751DE" w:rsidRPr="00427EE1">
              <w:rPr>
                <w:rFonts w:eastAsia="Calibri"/>
                <w:b/>
                <w:lang w:eastAsia="en-US"/>
              </w:rPr>
              <w:t xml:space="preserve"> under this </w:t>
            </w:r>
            <w:r w:rsidR="004267C5">
              <w:rPr>
                <w:rFonts w:eastAsia="Calibri"/>
                <w:b/>
                <w:lang w:eastAsia="en-US"/>
              </w:rPr>
              <w:t>p</w:t>
            </w:r>
            <w:r w:rsidR="00B751DE" w:rsidRPr="00427EE1">
              <w:rPr>
                <w:rFonts w:eastAsia="Calibri"/>
                <w:b/>
                <w:lang w:eastAsia="en-US"/>
              </w:rPr>
              <w:t>art</w:t>
            </w:r>
          </w:p>
          <w:p w:rsidR="00E657D7" w:rsidRDefault="002D140F" w:rsidP="006757E8">
            <w:pPr>
              <w:pStyle w:val="Tabletext"/>
              <w:rPr>
                <w:rFonts w:asciiTheme="majorHAnsi" w:eastAsia="Calibri" w:hAnsiTheme="majorHAnsi" w:cstheme="majorBidi"/>
                <w:b/>
                <w:i/>
                <w:sz w:val="40"/>
                <w:lang w:eastAsia="en-US"/>
              </w:rPr>
            </w:pPr>
            <w:r>
              <w:rPr>
                <w:rFonts w:eastAsia="Calibri"/>
                <w:lang w:eastAsia="en-US"/>
              </w:rPr>
              <w:t>E</w:t>
            </w:r>
            <w:r w:rsidR="00EC58AF" w:rsidRPr="00427EE1">
              <w:rPr>
                <w:rFonts w:eastAsia="Calibri"/>
                <w:lang w:eastAsia="en-US"/>
              </w:rPr>
              <w:t xml:space="preserve">mpowers a </w:t>
            </w:r>
            <w:r w:rsidR="00C85843">
              <w:rPr>
                <w:rFonts w:eastAsia="Calibri"/>
                <w:lang w:eastAsia="en-US"/>
              </w:rPr>
              <w:t>PBS</w:t>
            </w:r>
            <w:r w:rsidR="00EC58AF" w:rsidRPr="00427EE1">
              <w:rPr>
                <w:rFonts w:eastAsia="Calibri"/>
                <w:lang w:eastAsia="en-US"/>
              </w:rPr>
              <w:t xml:space="preserve"> to make a combined allotments determination in circumstances where they have been appointed under </w:t>
            </w:r>
            <w:proofErr w:type="spellStart"/>
            <w:r w:rsidR="004267C5">
              <w:rPr>
                <w:rFonts w:eastAsia="Calibri"/>
                <w:lang w:eastAsia="en-US"/>
              </w:rPr>
              <w:t>pt</w:t>
            </w:r>
            <w:proofErr w:type="spellEnd"/>
            <w:r w:rsidR="004267C5">
              <w:rPr>
                <w:rFonts w:eastAsia="Calibri"/>
                <w:lang w:eastAsia="en-US"/>
              </w:rPr>
              <w:t xml:space="preserve"> </w:t>
            </w:r>
            <w:r w:rsidR="00EC58AF" w:rsidRPr="00427EE1">
              <w:rPr>
                <w:rFonts w:eastAsia="Calibri"/>
                <w:lang w:eastAsia="en-US"/>
              </w:rPr>
              <w:t>6 of the Act to issue a building permit for building work in relation to which the determination is sought.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B751DE">
            <w:pPr>
              <w:pStyle w:val="Tabletext"/>
              <w:rPr>
                <w:rFonts w:eastAsia="Calibri"/>
                <w:sz w:val="16"/>
                <w:szCs w:val="16"/>
              </w:rPr>
            </w:pPr>
            <w:r w:rsidRPr="00427EE1">
              <w:rPr>
                <w:rFonts w:eastAsia="Calibri"/>
              </w:rPr>
              <w:t xml:space="preserve">Removes a limitation on who is empowered to make combined allotment determinations to include a </w:t>
            </w:r>
            <w:r w:rsidR="00C85843">
              <w:rPr>
                <w:rFonts w:eastAsia="Calibri"/>
              </w:rPr>
              <w:t>PBS</w:t>
            </w:r>
            <w:r w:rsidRPr="00427EE1">
              <w:rPr>
                <w:rFonts w:eastAsia="Calibri"/>
              </w:rPr>
              <w:t xml:space="preserve"> in certain circumstances, in addition to a </w:t>
            </w:r>
            <w:r w:rsidR="00C85843">
              <w:rPr>
                <w:rFonts w:eastAsia="Calibri"/>
              </w:rPr>
              <w:t>MBS</w:t>
            </w:r>
            <w:r w:rsidRPr="00427EE1">
              <w:rPr>
                <w:rFonts w:eastAsia="Calibri"/>
              </w:rPr>
              <w:t>.</w:t>
            </w:r>
          </w:p>
        </w:tc>
      </w:tr>
    </w:tbl>
    <w:p w:rsidR="00E657D7" w:rsidRDefault="00E657D7" w:rsidP="006757E8"/>
    <w:p w:rsidR="002D5E35" w:rsidRDefault="002D5E35">
      <w:pPr>
        <w:spacing w:after="0"/>
        <w:rPr>
          <w:b/>
          <w:i/>
          <w:color w:val="00B2A9" w:themeColor="accent1"/>
          <w:sz w:val="28"/>
        </w:rPr>
      </w:pPr>
      <w:bookmarkStart w:id="178" w:name="_Toc481501599"/>
      <w:r>
        <w:br w:type="page"/>
      </w:r>
    </w:p>
    <w:p w:rsidR="00B751DE" w:rsidRPr="00427EE1" w:rsidRDefault="004267C5" w:rsidP="006119D2">
      <w:pPr>
        <w:pStyle w:val="Heading3"/>
      </w:pPr>
      <w:r>
        <w:lastRenderedPageBreak/>
        <w:t xml:space="preserve">Pt </w:t>
      </w:r>
      <w:r w:rsidR="006E6791" w:rsidRPr="00427EE1">
        <w:t>5</w:t>
      </w:r>
      <w:r w:rsidR="008475D9">
        <w:t>—</w:t>
      </w:r>
      <w:r w:rsidR="006E6791" w:rsidRPr="00427EE1">
        <w:t>Building permits</w:t>
      </w:r>
      <w:bookmarkEnd w:id="178"/>
    </w:p>
    <w:p w:rsidR="00B751DE" w:rsidRPr="00427EE1" w:rsidRDefault="005E2285" w:rsidP="006119D2">
      <w:pPr>
        <w:pStyle w:val="Heading4"/>
      </w:pPr>
      <w:proofErr w:type="spellStart"/>
      <w:r>
        <w:t>Div</w:t>
      </w:r>
      <w:proofErr w:type="spellEnd"/>
      <w:r w:rsidR="006E6791" w:rsidRPr="00427EE1">
        <w:t xml:space="preserve"> 1</w:t>
      </w:r>
      <w:r w:rsidR="008475D9">
        <w:t>—</w:t>
      </w:r>
      <w:r w:rsidR="006E6791" w:rsidRPr="00427EE1">
        <w:t>General</w:t>
      </w:r>
    </w:p>
    <w:tbl>
      <w:tblPr>
        <w:tblW w:w="14493" w:type="dxa"/>
        <w:tblInd w:w="-116"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24"/>
        <w:gridCol w:w="994"/>
        <w:gridCol w:w="4250"/>
        <w:gridCol w:w="399"/>
        <w:gridCol w:w="399"/>
        <w:gridCol w:w="402"/>
        <w:gridCol w:w="400"/>
        <w:gridCol w:w="398"/>
        <w:gridCol w:w="6327"/>
      </w:tblGrid>
      <w:tr w:rsidR="00B751DE" w:rsidRPr="00427EE1" w:rsidTr="002E244C">
        <w:trPr>
          <w:cantSplit/>
          <w:trHeight w:val="274"/>
          <w:tblHeader/>
        </w:trPr>
        <w:tc>
          <w:tcPr>
            <w:tcW w:w="924" w:type="dxa"/>
            <w:vMerge w:val="restart"/>
            <w:shd w:val="clear" w:color="auto" w:fill="00B2A9" w:themeFill="accent1"/>
            <w:vAlign w:val="center"/>
            <w:hideMark/>
          </w:tcPr>
          <w:p w:rsidR="00E657D7" w:rsidRDefault="00B751DE">
            <w:pPr>
              <w:pStyle w:val="Tablecolumnhead"/>
              <w:rPr>
                <w:rFonts w:asciiTheme="majorHAnsi" w:eastAsia="Calibri" w:hAnsiTheme="majorHAnsi" w:cstheme="majorBidi"/>
                <w:sz w:val="40"/>
              </w:rPr>
            </w:pPr>
            <w:r w:rsidRPr="00B84128">
              <w:rPr>
                <w:rFonts w:eastAsia="Calibri"/>
              </w:rPr>
              <w:t>2006</w:t>
            </w:r>
          </w:p>
          <w:p w:rsidR="00E657D7" w:rsidRDefault="002E244C">
            <w:pPr>
              <w:pStyle w:val="Tablecolumnhead"/>
              <w:rPr>
                <w:rFonts w:eastAsia="Calibri"/>
              </w:rPr>
            </w:pPr>
            <w:r w:rsidRPr="00C44680">
              <w:rPr>
                <w:rFonts w:ascii="Arial Bold" w:eastAsia="Calibri" w:hAnsi="Arial Bold"/>
                <w:spacing w:val="-12"/>
                <w:sz w:val="16"/>
              </w:rPr>
              <w:t>Regulation</w:t>
            </w:r>
          </w:p>
        </w:tc>
        <w:tc>
          <w:tcPr>
            <w:tcW w:w="994" w:type="dxa"/>
            <w:vMerge w:val="restart"/>
            <w:shd w:val="clear" w:color="auto" w:fill="00B2A9" w:themeFill="accent1"/>
            <w:vAlign w:val="center"/>
            <w:hideMark/>
          </w:tcPr>
          <w:p w:rsidR="00E657D7" w:rsidRDefault="00B751DE">
            <w:pPr>
              <w:pStyle w:val="Tablecolumnhead"/>
              <w:rPr>
                <w:rFonts w:asciiTheme="majorHAnsi" w:eastAsiaTheme="majorEastAsia" w:hAnsiTheme="majorHAnsi" w:cstheme="majorBidi"/>
                <w:sz w:val="40"/>
              </w:rPr>
            </w:pPr>
            <w:r w:rsidRPr="00B84128">
              <w:rPr>
                <w:rFonts w:eastAsia="Calibri"/>
              </w:rPr>
              <w:t>2017</w:t>
            </w:r>
          </w:p>
          <w:p w:rsidR="00E657D7" w:rsidRDefault="002E244C">
            <w:pPr>
              <w:pStyle w:val="Tablecolumnhead"/>
            </w:pPr>
            <w:r w:rsidRPr="00C44680">
              <w:rPr>
                <w:rFonts w:ascii="Arial Bold" w:eastAsia="Calibri" w:hAnsi="Arial Bold"/>
                <w:spacing w:val="-12"/>
                <w:sz w:val="16"/>
              </w:rPr>
              <w:t>Regulation</w:t>
            </w:r>
          </w:p>
        </w:tc>
        <w:tc>
          <w:tcPr>
            <w:tcW w:w="4250" w:type="dxa"/>
            <w:vMerge w:val="restart"/>
            <w:shd w:val="clear" w:color="auto" w:fill="00B2A9" w:themeFill="accent1"/>
            <w:vAlign w:val="center"/>
            <w:hideMark/>
          </w:tcPr>
          <w:p w:rsidR="00E657D7" w:rsidRDefault="00B751DE">
            <w:pPr>
              <w:pStyle w:val="Tablecolumnhead"/>
              <w:rPr>
                <w:rFonts w:asciiTheme="majorHAnsi" w:eastAsia="Calibri" w:hAnsiTheme="majorHAnsi" w:cstheme="majorBidi"/>
                <w:sz w:val="40"/>
              </w:rPr>
            </w:pPr>
            <w:r w:rsidRPr="00B84128">
              <w:t xml:space="preserve">Short description of the </w:t>
            </w:r>
            <w:r w:rsidR="008911CB">
              <w:t>Regulation</w:t>
            </w:r>
          </w:p>
        </w:tc>
        <w:tc>
          <w:tcPr>
            <w:tcW w:w="1998" w:type="dxa"/>
            <w:gridSpan w:val="5"/>
            <w:shd w:val="clear" w:color="auto" w:fill="00B2A9" w:themeFill="accent1"/>
            <w:vAlign w:val="center"/>
          </w:tcPr>
          <w:p w:rsidR="00E657D7" w:rsidRDefault="00B751DE">
            <w:pPr>
              <w:pStyle w:val="Tablecolumnhead"/>
              <w:rPr>
                <w:rFonts w:asciiTheme="majorHAnsi" w:eastAsiaTheme="majorEastAsia" w:hAnsiTheme="majorHAnsi" w:cstheme="majorBidi"/>
                <w:sz w:val="40"/>
              </w:rPr>
            </w:pPr>
            <w:r w:rsidRPr="00E6563B">
              <w:t>Proposed regulatory change</w:t>
            </w:r>
          </w:p>
        </w:tc>
        <w:tc>
          <w:tcPr>
            <w:tcW w:w="6327" w:type="dxa"/>
            <w:vMerge w:val="restart"/>
            <w:shd w:val="clear" w:color="auto" w:fill="00B2A9" w:themeFill="accent1"/>
            <w:vAlign w:val="center"/>
          </w:tcPr>
          <w:p w:rsidR="00E657D7" w:rsidRDefault="00B751DE">
            <w:pPr>
              <w:pStyle w:val="Tablecolumnhead"/>
              <w:rPr>
                <w:rFonts w:asciiTheme="majorHAnsi" w:eastAsiaTheme="majorEastAsia" w:hAnsiTheme="majorHAnsi" w:cstheme="majorBidi"/>
                <w:sz w:val="40"/>
              </w:rPr>
            </w:pPr>
            <w:r w:rsidRPr="00E6563B">
              <w:t>Why the 2017 Regulation is proposed</w:t>
            </w:r>
          </w:p>
        </w:tc>
      </w:tr>
      <w:tr w:rsidR="00B751DE" w:rsidRPr="00427EE1" w:rsidTr="002E244C">
        <w:trPr>
          <w:cantSplit/>
          <w:trHeight w:val="966"/>
          <w:tblHeader/>
        </w:trPr>
        <w:tc>
          <w:tcPr>
            <w:tcW w:w="924" w:type="dxa"/>
            <w:vMerge/>
            <w:shd w:val="clear" w:color="auto" w:fill="00B2A9" w:themeFill="accent1"/>
            <w:vAlign w:val="center"/>
            <w:hideMark/>
          </w:tcPr>
          <w:p w:rsidR="00B751DE" w:rsidRPr="00427EE1" w:rsidRDefault="00B751DE" w:rsidP="00B751DE">
            <w:pPr>
              <w:spacing w:line="276" w:lineRule="auto"/>
              <w:jc w:val="center"/>
              <w:rPr>
                <w:rFonts w:ascii="Calibri" w:eastAsia="Calibri" w:hAnsi="Calibri"/>
                <w:sz w:val="16"/>
                <w:szCs w:val="16"/>
                <w:lang w:eastAsia="en-US"/>
              </w:rPr>
            </w:pPr>
          </w:p>
        </w:tc>
        <w:tc>
          <w:tcPr>
            <w:tcW w:w="994" w:type="dxa"/>
            <w:vMerge/>
            <w:shd w:val="clear" w:color="auto" w:fill="00B2A9" w:themeFill="accent1"/>
            <w:vAlign w:val="center"/>
            <w:hideMark/>
          </w:tcPr>
          <w:p w:rsidR="00B751DE" w:rsidRPr="00427EE1" w:rsidRDefault="00B751DE" w:rsidP="00B751DE">
            <w:pPr>
              <w:spacing w:line="276" w:lineRule="auto"/>
              <w:jc w:val="center"/>
              <w:rPr>
                <w:rFonts w:ascii="Calibri" w:eastAsia="Calibri" w:hAnsi="Calibri"/>
                <w:sz w:val="16"/>
                <w:szCs w:val="16"/>
                <w:lang w:eastAsia="en-US"/>
              </w:rPr>
            </w:pPr>
          </w:p>
        </w:tc>
        <w:tc>
          <w:tcPr>
            <w:tcW w:w="4250" w:type="dxa"/>
            <w:vMerge/>
            <w:shd w:val="clear" w:color="auto" w:fill="00B2A9" w:themeFill="accent1"/>
            <w:vAlign w:val="center"/>
          </w:tcPr>
          <w:p w:rsidR="00B751DE" w:rsidRPr="00427EE1" w:rsidRDefault="00B751DE" w:rsidP="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rsidP="00B751DE">
            <w:pPr>
              <w:spacing w:line="276" w:lineRule="auto"/>
              <w:ind w:left="113" w:right="113"/>
              <w:jc w:val="center"/>
              <w:rPr>
                <w:sz w:val="16"/>
                <w:szCs w:val="16"/>
                <w:lang w:eastAsia="en-US"/>
              </w:rPr>
            </w:pPr>
          </w:p>
        </w:tc>
      </w:tr>
      <w:tr w:rsidR="00CC532B" w:rsidRPr="00427EE1" w:rsidTr="002E244C">
        <w:trPr>
          <w:cantSplit/>
          <w:trHeight w:val="340"/>
        </w:trPr>
        <w:tc>
          <w:tcPr>
            <w:tcW w:w="92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CC532B">
            <w:pPr>
              <w:pStyle w:val="Tabletext"/>
              <w:rPr>
                <w:rFonts w:eastAsia="Calibri"/>
              </w:rPr>
            </w:pPr>
            <w:r w:rsidRPr="00427EE1">
              <w:rPr>
                <w:rFonts w:eastAsia="Calibri"/>
              </w:rPr>
              <w:t>1801</w:t>
            </w:r>
          </w:p>
        </w:tc>
        <w:tc>
          <w:tcPr>
            <w:tcW w:w="99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CC532B">
            <w:pPr>
              <w:pStyle w:val="Tabletext"/>
              <w:rPr>
                <w:rFonts w:asciiTheme="majorHAnsi" w:eastAsia="Calibri" w:hAnsiTheme="majorHAnsi" w:cstheme="majorBidi"/>
                <w:b/>
                <w:sz w:val="40"/>
                <w:lang w:eastAsia="en-US"/>
              </w:rPr>
            </w:pPr>
            <w:r w:rsidRPr="00427EE1">
              <w:rPr>
                <w:rFonts w:eastAsia="Calibri"/>
                <w:lang w:eastAsia="en-US"/>
              </w:rPr>
              <w:t>31</w:t>
            </w:r>
          </w:p>
        </w:tc>
        <w:tc>
          <w:tcPr>
            <w:tcW w:w="425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CC532B">
            <w:pPr>
              <w:pStyle w:val="Tabletext"/>
              <w:rPr>
                <w:rFonts w:asciiTheme="majorHAnsi" w:eastAsia="Calibri" w:hAnsiTheme="majorHAnsi" w:cstheme="majorBidi"/>
                <w:b/>
                <w:sz w:val="40"/>
                <w:lang w:eastAsia="en-US"/>
              </w:rPr>
            </w:pPr>
            <w:r w:rsidRPr="00427EE1">
              <w:rPr>
                <w:rFonts w:eastAsia="Calibri"/>
                <w:b/>
                <w:lang w:eastAsia="en-US"/>
              </w:rPr>
              <w:t>Exemptions from building permit</w:t>
            </w:r>
          </w:p>
          <w:p w:rsidR="00E657D7" w:rsidRDefault="002D140F">
            <w:pPr>
              <w:pStyle w:val="Tabletext"/>
              <w:rPr>
                <w:rFonts w:eastAsia="Calibri"/>
                <w:lang w:eastAsia="en-US"/>
              </w:rPr>
            </w:pPr>
            <w:r>
              <w:rPr>
                <w:rFonts w:eastAsia="Calibri"/>
                <w:lang w:eastAsia="en-US"/>
              </w:rPr>
              <w:t>P</w:t>
            </w:r>
            <w:r w:rsidR="00CC532B" w:rsidRPr="00427EE1">
              <w:rPr>
                <w:rFonts w:eastAsia="Calibri"/>
                <w:lang w:eastAsia="en-US"/>
              </w:rPr>
              <w:t xml:space="preserve">rescribes the circumstances in which an exemption from the requirement for a building permit applies.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C532B" w:rsidRPr="00427EE1" w:rsidRDefault="00CC532B" w:rsidP="00E27B82">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C532B" w:rsidRPr="00427EE1" w:rsidRDefault="00CC532B" w:rsidP="00E27B82">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C532B" w:rsidRPr="00427EE1" w:rsidRDefault="00CC532B" w:rsidP="00E27B82">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C532B" w:rsidRPr="00427EE1" w:rsidRDefault="00CC532B" w:rsidP="00E27B82">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C532B" w:rsidRPr="00427EE1" w:rsidRDefault="00CC532B" w:rsidP="00E27B82">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CC532B">
            <w:pPr>
              <w:pStyle w:val="Tabletext"/>
              <w:rPr>
                <w:rFonts w:eastAsia="Calibri"/>
              </w:rPr>
            </w:pPr>
            <w:r w:rsidRPr="00427EE1">
              <w:rPr>
                <w:rFonts w:eastAsia="Calibri"/>
              </w:rPr>
              <w:t xml:space="preserve">This </w:t>
            </w:r>
            <w:r w:rsidR="008911CB">
              <w:rPr>
                <w:rFonts w:eastAsia="Calibri"/>
              </w:rPr>
              <w:t>Regulation</w:t>
            </w:r>
            <w:r w:rsidRPr="00427EE1">
              <w:rPr>
                <w:rFonts w:eastAsia="Calibri"/>
              </w:rPr>
              <w:t xml:space="preserve"> reduces burden in relation to low</w:t>
            </w:r>
            <w:r w:rsidR="007C5A88">
              <w:rPr>
                <w:rFonts w:eastAsia="Calibri"/>
              </w:rPr>
              <w:t>-risk</w:t>
            </w:r>
            <w:r w:rsidR="006C07F6">
              <w:rPr>
                <w:rFonts w:eastAsia="Calibri"/>
              </w:rPr>
              <w:t xml:space="preserve"> </w:t>
            </w:r>
            <w:r w:rsidRPr="00427EE1">
              <w:rPr>
                <w:rFonts w:eastAsia="Calibri"/>
              </w:rPr>
              <w:t>/</w:t>
            </w:r>
            <w:r w:rsidR="006C07F6">
              <w:rPr>
                <w:rFonts w:eastAsia="Calibri"/>
              </w:rPr>
              <w:t xml:space="preserve"> </w:t>
            </w:r>
            <w:r w:rsidRPr="00427EE1">
              <w:rPr>
                <w:rFonts w:eastAsia="Calibri"/>
              </w:rPr>
              <w:t>minor</w:t>
            </w:r>
            <w:r w:rsidR="00DA0F0A" w:rsidRPr="00427EE1">
              <w:rPr>
                <w:rFonts w:eastAsia="Calibri"/>
              </w:rPr>
              <w:t xml:space="preserve"> </w:t>
            </w:r>
            <w:r w:rsidRPr="00427EE1">
              <w:rPr>
                <w:rFonts w:eastAsia="Calibri"/>
              </w:rPr>
              <w:t xml:space="preserve">building work. </w:t>
            </w:r>
          </w:p>
        </w:tc>
      </w:tr>
    </w:tbl>
    <w:p w:rsidR="00126E38" w:rsidRDefault="00126E38"/>
    <w:p w:rsidR="00B751DE" w:rsidRPr="00427EE1" w:rsidRDefault="005E2285" w:rsidP="006119D2">
      <w:pPr>
        <w:pStyle w:val="Heading4"/>
      </w:pPr>
      <w:proofErr w:type="spellStart"/>
      <w:r>
        <w:t>Div</w:t>
      </w:r>
      <w:proofErr w:type="spellEnd"/>
      <w:r w:rsidR="006E6791" w:rsidRPr="00427EE1">
        <w:t xml:space="preserve"> </w:t>
      </w:r>
      <w:r w:rsidR="00B751DE" w:rsidRPr="00427EE1">
        <w:t>2</w:t>
      </w:r>
      <w:r w:rsidR="008475D9">
        <w:t>—</w:t>
      </w:r>
      <w:r w:rsidR="00B751DE" w:rsidRPr="00427EE1">
        <w:t>Application</w:t>
      </w:r>
      <w:r w:rsidR="00C7328F">
        <w:t>s</w:t>
      </w:r>
      <w:r w:rsidR="00B751DE" w:rsidRPr="00427EE1">
        <w:t xml:space="preserve"> for building permits</w:t>
      </w:r>
    </w:p>
    <w:tbl>
      <w:tblPr>
        <w:tblW w:w="14493" w:type="dxa"/>
        <w:tblInd w:w="-116"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24"/>
        <w:gridCol w:w="1001"/>
        <w:gridCol w:w="4243"/>
        <w:gridCol w:w="399"/>
        <w:gridCol w:w="399"/>
        <w:gridCol w:w="402"/>
        <w:gridCol w:w="400"/>
        <w:gridCol w:w="398"/>
        <w:gridCol w:w="6327"/>
      </w:tblGrid>
      <w:tr w:rsidR="00B751DE" w:rsidRPr="00427EE1" w:rsidTr="002E244C">
        <w:trPr>
          <w:cantSplit/>
          <w:trHeight w:val="266"/>
          <w:tblHeader/>
        </w:trPr>
        <w:tc>
          <w:tcPr>
            <w:tcW w:w="924" w:type="dxa"/>
            <w:vMerge w:val="restart"/>
            <w:shd w:val="clear" w:color="auto" w:fill="00B2A9" w:themeFill="accent1"/>
            <w:vAlign w:val="center"/>
            <w:hideMark/>
          </w:tcPr>
          <w:p w:rsidR="00E657D7" w:rsidRDefault="00BE72D7">
            <w:pPr>
              <w:pStyle w:val="Tablecolumnhead"/>
              <w:rPr>
                <w:rFonts w:eastAsia="Calibri"/>
              </w:rPr>
            </w:pPr>
            <w:r w:rsidRPr="00BE72D7">
              <w:rPr>
                <w:rFonts w:eastAsia="Calibri"/>
              </w:rPr>
              <w:t>2006</w:t>
            </w:r>
          </w:p>
          <w:p w:rsidR="00E657D7" w:rsidRDefault="002E244C">
            <w:pPr>
              <w:pStyle w:val="Tablecolumnhead"/>
              <w:rPr>
                <w:rFonts w:eastAsia="Calibri"/>
              </w:rPr>
            </w:pPr>
            <w:r w:rsidRPr="00C44680">
              <w:rPr>
                <w:rFonts w:ascii="Arial Bold" w:eastAsia="Calibri" w:hAnsi="Arial Bold"/>
                <w:spacing w:val="-12"/>
                <w:sz w:val="16"/>
              </w:rPr>
              <w:t>Regulation</w:t>
            </w:r>
          </w:p>
        </w:tc>
        <w:tc>
          <w:tcPr>
            <w:tcW w:w="1001" w:type="dxa"/>
            <w:vMerge w:val="restart"/>
            <w:shd w:val="clear" w:color="auto" w:fill="00B2A9" w:themeFill="accent1"/>
            <w:vAlign w:val="center"/>
            <w:hideMark/>
          </w:tcPr>
          <w:p w:rsidR="00E657D7" w:rsidRDefault="008F0E53">
            <w:pPr>
              <w:pStyle w:val="Tablecolumnhead"/>
              <w:rPr>
                <w:rFonts w:asciiTheme="majorHAnsi" w:eastAsiaTheme="majorEastAsia" w:hAnsiTheme="majorHAnsi" w:cstheme="majorBidi"/>
                <w:sz w:val="40"/>
              </w:rPr>
            </w:pPr>
            <w:r w:rsidRPr="008F0E53">
              <w:rPr>
                <w:rFonts w:eastAsia="Calibri"/>
              </w:rPr>
              <w:t>2017</w:t>
            </w:r>
          </w:p>
          <w:p w:rsidR="00E657D7" w:rsidRDefault="002E244C">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E657D7" w:rsidRDefault="008F0E53">
            <w:pPr>
              <w:pStyle w:val="Tablecolumnhead"/>
              <w:rPr>
                <w:rFonts w:asciiTheme="majorHAnsi" w:eastAsia="Calibri" w:hAnsiTheme="majorHAnsi" w:cstheme="majorBidi"/>
                <w:sz w:val="40"/>
              </w:rPr>
            </w:pPr>
            <w:r w:rsidRPr="008F0E53">
              <w:t xml:space="preserve">Short description of the </w:t>
            </w:r>
            <w:r w:rsidR="008911CB">
              <w:t>Regulation</w:t>
            </w:r>
          </w:p>
        </w:tc>
        <w:tc>
          <w:tcPr>
            <w:tcW w:w="1998" w:type="dxa"/>
            <w:gridSpan w:val="5"/>
            <w:shd w:val="clear" w:color="auto" w:fill="00B2A9" w:themeFill="accent1"/>
            <w:vAlign w:val="center"/>
          </w:tcPr>
          <w:p w:rsidR="00E657D7" w:rsidRDefault="008F0E53">
            <w:pPr>
              <w:pStyle w:val="Tablecolumnhead"/>
              <w:rPr>
                <w:rFonts w:asciiTheme="majorHAnsi" w:eastAsiaTheme="majorEastAsia" w:hAnsiTheme="majorHAnsi" w:cstheme="majorBidi"/>
                <w:sz w:val="40"/>
              </w:rPr>
            </w:pPr>
            <w:r w:rsidRPr="008F0E53">
              <w:t>Proposed regulatory change</w:t>
            </w:r>
          </w:p>
        </w:tc>
        <w:tc>
          <w:tcPr>
            <w:tcW w:w="6327" w:type="dxa"/>
            <w:vMerge w:val="restart"/>
            <w:shd w:val="clear" w:color="auto" w:fill="00B2A9" w:themeFill="accent1"/>
            <w:vAlign w:val="center"/>
          </w:tcPr>
          <w:p w:rsidR="00E657D7" w:rsidRDefault="00873DF8">
            <w:pPr>
              <w:pStyle w:val="Tablecolumnhead"/>
              <w:rPr>
                <w:rFonts w:asciiTheme="majorHAnsi" w:eastAsiaTheme="majorEastAsia" w:hAnsiTheme="majorHAnsi" w:cstheme="majorBidi"/>
                <w:sz w:val="40"/>
              </w:rPr>
            </w:pPr>
            <w:r w:rsidRPr="00873DF8">
              <w:t>Why the 2017 Regulation is proposed</w:t>
            </w:r>
          </w:p>
        </w:tc>
      </w:tr>
      <w:tr w:rsidR="00B751DE" w:rsidRPr="00427EE1" w:rsidTr="002E244C">
        <w:trPr>
          <w:cantSplit/>
          <w:trHeight w:val="966"/>
          <w:tblHeader/>
        </w:trPr>
        <w:tc>
          <w:tcPr>
            <w:tcW w:w="924" w:type="dxa"/>
            <w:vMerge/>
            <w:shd w:val="clear" w:color="auto" w:fill="00B2A9" w:themeFill="accent1"/>
            <w:vAlign w:val="center"/>
            <w:hideMark/>
          </w:tcPr>
          <w:p w:rsidR="00B751DE" w:rsidRPr="00427EE1" w:rsidRDefault="00B751DE" w:rsidP="00B751DE">
            <w:pPr>
              <w:spacing w:line="276" w:lineRule="auto"/>
              <w:jc w:val="center"/>
              <w:rPr>
                <w:rFonts w:ascii="Calibri" w:eastAsia="Calibri" w:hAnsi="Calibri"/>
                <w:sz w:val="16"/>
                <w:szCs w:val="16"/>
                <w:lang w:eastAsia="en-US"/>
              </w:rPr>
            </w:pPr>
          </w:p>
        </w:tc>
        <w:tc>
          <w:tcPr>
            <w:tcW w:w="1001" w:type="dxa"/>
            <w:vMerge/>
            <w:shd w:val="clear" w:color="auto" w:fill="00B2A9" w:themeFill="accent1"/>
            <w:vAlign w:val="center"/>
            <w:hideMark/>
          </w:tcPr>
          <w:p w:rsidR="00B751DE" w:rsidRPr="00427EE1" w:rsidRDefault="00B751DE" w:rsidP="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rsidP="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rsidP="00B751DE">
            <w:pPr>
              <w:spacing w:line="276" w:lineRule="auto"/>
              <w:ind w:left="113" w:right="113"/>
              <w:jc w:val="center"/>
              <w:rPr>
                <w:sz w:val="16"/>
                <w:szCs w:val="16"/>
                <w:lang w:eastAsia="en-US"/>
              </w:rPr>
            </w:pPr>
          </w:p>
        </w:tc>
      </w:tr>
      <w:tr w:rsidR="00CC532B" w:rsidRPr="00427EE1" w:rsidTr="002E244C">
        <w:trPr>
          <w:cantSplit/>
          <w:trHeight w:val="340"/>
        </w:trPr>
        <w:tc>
          <w:tcPr>
            <w:tcW w:w="92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CC532B">
            <w:pPr>
              <w:pStyle w:val="Tabletext"/>
              <w:rPr>
                <w:rFonts w:eastAsia="Calibri"/>
              </w:rPr>
            </w:pPr>
            <w:r w:rsidRPr="00427EE1">
              <w:rPr>
                <w:rFonts w:eastAsia="Calibri"/>
              </w:rPr>
              <w:t>301</w:t>
            </w:r>
          </w:p>
        </w:tc>
        <w:tc>
          <w:tcPr>
            <w:tcW w:w="1001"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CC532B">
            <w:pPr>
              <w:pStyle w:val="Tabletext"/>
              <w:rPr>
                <w:rFonts w:asciiTheme="majorHAnsi" w:eastAsia="Calibri" w:hAnsiTheme="majorHAnsi" w:cstheme="majorBidi"/>
                <w:b/>
                <w:sz w:val="40"/>
                <w:lang w:eastAsia="en-US"/>
              </w:rPr>
            </w:pPr>
            <w:r w:rsidRPr="00427EE1">
              <w:rPr>
                <w:rFonts w:eastAsia="Calibri"/>
                <w:lang w:eastAsia="en-US"/>
              </w:rPr>
              <w:t>32</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CC532B">
            <w:pPr>
              <w:pStyle w:val="Tabletext"/>
              <w:rPr>
                <w:rFonts w:asciiTheme="majorHAnsi" w:eastAsia="Calibri" w:hAnsiTheme="majorHAnsi" w:cstheme="majorBidi"/>
                <w:b/>
                <w:sz w:val="40"/>
                <w:lang w:eastAsia="en-US"/>
              </w:rPr>
            </w:pPr>
            <w:r w:rsidRPr="00427EE1">
              <w:rPr>
                <w:rFonts w:eastAsia="Calibri"/>
                <w:b/>
                <w:lang w:eastAsia="en-US"/>
              </w:rPr>
              <w:t>Applications for building permits</w:t>
            </w:r>
          </w:p>
          <w:p w:rsidR="00E657D7" w:rsidRDefault="002D140F">
            <w:pPr>
              <w:pStyle w:val="Tabletext"/>
              <w:rPr>
                <w:rFonts w:eastAsia="Calibri"/>
                <w:lang w:eastAsia="en-US"/>
              </w:rPr>
            </w:pPr>
            <w:r>
              <w:rPr>
                <w:rFonts w:eastAsia="Calibri"/>
                <w:lang w:eastAsia="en-US"/>
              </w:rPr>
              <w:t>S</w:t>
            </w:r>
            <w:r w:rsidR="00CC532B" w:rsidRPr="00427EE1">
              <w:rPr>
                <w:rFonts w:eastAsia="Calibri"/>
                <w:lang w:eastAsia="en-US"/>
              </w:rPr>
              <w:t>pecifies the application form to be used to apply for a building permit and the information to be included in a building permit application.</w:t>
            </w:r>
            <w:r w:rsidR="00DA0F0A" w:rsidRPr="00427EE1">
              <w:rPr>
                <w:rFonts w:eastAsia="Calibri"/>
                <w:lang w:eastAsia="en-US"/>
              </w:rPr>
              <w:t xml:space="preserve">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C532B" w:rsidRPr="00427EE1" w:rsidRDefault="00CC532B" w:rsidP="00E27B82">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C532B" w:rsidRPr="00427EE1" w:rsidRDefault="00CC532B" w:rsidP="00E27B82">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C532B" w:rsidRPr="00427EE1" w:rsidRDefault="00CC532B" w:rsidP="00E27B82">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C532B" w:rsidRPr="00427EE1" w:rsidRDefault="00CC532B" w:rsidP="00E27B82">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C532B" w:rsidRPr="00427EE1" w:rsidRDefault="00CC532B" w:rsidP="00E27B82">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CC532B">
            <w:pPr>
              <w:pStyle w:val="Tabletext"/>
              <w:rPr>
                <w:rFonts w:eastAsia="Calibri"/>
              </w:rPr>
            </w:pPr>
            <w:r w:rsidRPr="00427EE1">
              <w:rPr>
                <w:rFonts w:eastAsia="Calibri"/>
              </w:rPr>
              <w:t xml:space="preserve">This </w:t>
            </w:r>
            <w:r w:rsidR="008911CB">
              <w:rPr>
                <w:rFonts w:eastAsia="Calibri"/>
              </w:rPr>
              <w:t>Regulation</w:t>
            </w:r>
            <w:r w:rsidRPr="00427EE1">
              <w:rPr>
                <w:rFonts w:eastAsia="Calibri"/>
              </w:rPr>
              <w:t xml:space="preserve"> is necessary to facilitate efficient decision</w:t>
            </w:r>
            <w:r w:rsidR="007C5A88">
              <w:rPr>
                <w:rFonts w:eastAsia="Calibri"/>
              </w:rPr>
              <w:t>-making</w:t>
            </w:r>
            <w:r w:rsidRPr="00427EE1">
              <w:rPr>
                <w:rFonts w:eastAsia="Calibri"/>
              </w:rPr>
              <w:t xml:space="preserve"> and to reduce or avoid delays caused by a lack of information being submitted in an application to support the</w:t>
            </w:r>
            <w:r w:rsidR="00E60957">
              <w:rPr>
                <w:rFonts w:eastAsia="Calibri"/>
              </w:rPr>
              <w:t xml:space="preserve"> </w:t>
            </w:r>
            <w:r w:rsidRPr="00427EE1">
              <w:rPr>
                <w:rFonts w:eastAsia="Calibri"/>
              </w:rPr>
              <w:t>assessment of compliance of proposed building work with the Act and the Regulations. For administrative efficiency, the use of the prescribed application form has been made mandatory.</w:t>
            </w:r>
          </w:p>
        </w:tc>
      </w:tr>
      <w:tr w:rsidR="00905BAC" w:rsidRPr="00427EE1" w:rsidTr="002E244C">
        <w:trPr>
          <w:cantSplit/>
          <w:trHeight w:val="340"/>
        </w:trPr>
        <w:tc>
          <w:tcPr>
            <w:tcW w:w="92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905BAC">
            <w:pPr>
              <w:pStyle w:val="Tabletext"/>
              <w:rPr>
                <w:rFonts w:eastAsia="Calibri"/>
              </w:rPr>
            </w:pPr>
            <w:r w:rsidRPr="00427EE1">
              <w:rPr>
                <w:rFonts w:eastAsia="Calibri"/>
              </w:rPr>
              <w:t>302</w:t>
            </w:r>
          </w:p>
          <w:p w:rsidR="00E657D7" w:rsidRDefault="00905BAC">
            <w:pPr>
              <w:pStyle w:val="Tabletext"/>
              <w:rPr>
                <w:rFonts w:eastAsia="Calibri"/>
              </w:rPr>
            </w:pPr>
            <w:r w:rsidRPr="00427EE1">
              <w:rPr>
                <w:rFonts w:eastAsia="Calibri"/>
              </w:rPr>
              <w:t>303</w:t>
            </w:r>
          </w:p>
        </w:tc>
        <w:tc>
          <w:tcPr>
            <w:tcW w:w="1001"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905BAC">
            <w:pPr>
              <w:pStyle w:val="Tabletext"/>
              <w:rPr>
                <w:rFonts w:asciiTheme="majorHAnsi" w:eastAsia="Calibri" w:hAnsiTheme="majorHAnsi" w:cstheme="majorBidi"/>
                <w:b/>
                <w:sz w:val="40"/>
                <w:lang w:eastAsia="en-US"/>
              </w:rPr>
            </w:pPr>
            <w:r w:rsidRPr="00427EE1">
              <w:rPr>
                <w:rFonts w:eastAsia="Calibri"/>
                <w:lang w:eastAsia="en-US"/>
              </w:rPr>
              <w:t>33</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905BAC">
            <w:pPr>
              <w:pStyle w:val="Tabletext"/>
              <w:rPr>
                <w:rFonts w:asciiTheme="majorHAnsi" w:eastAsia="Calibri" w:hAnsiTheme="majorHAnsi" w:cstheme="majorBidi"/>
                <w:b/>
                <w:sz w:val="40"/>
                <w:lang w:eastAsia="en-US"/>
              </w:rPr>
            </w:pPr>
            <w:r w:rsidRPr="00427EE1">
              <w:rPr>
                <w:rFonts w:eastAsia="Calibri"/>
                <w:b/>
                <w:lang w:eastAsia="en-US"/>
              </w:rPr>
              <w:t>Application for permit to construct or alter building</w:t>
            </w:r>
          </w:p>
          <w:p w:rsidR="00E657D7" w:rsidRDefault="002D140F">
            <w:pPr>
              <w:pStyle w:val="Tabletext"/>
              <w:rPr>
                <w:rFonts w:eastAsia="Calibri"/>
                <w:lang w:eastAsia="en-US"/>
              </w:rPr>
            </w:pPr>
            <w:r>
              <w:rPr>
                <w:rFonts w:eastAsia="Calibri"/>
                <w:lang w:eastAsia="en-US"/>
              </w:rPr>
              <w:t>S</w:t>
            </w:r>
            <w:r w:rsidR="00905BAC" w:rsidRPr="00427EE1">
              <w:rPr>
                <w:rFonts w:eastAsia="Calibri"/>
                <w:lang w:eastAsia="en-US"/>
              </w:rPr>
              <w:t>pecifies the type and number of copies of documents required to accompany a building permit application, if that application relates to the construction or alteration of a building.</w:t>
            </w:r>
            <w:r w:rsidR="00E60957">
              <w:rPr>
                <w:rFonts w:eastAsia="Calibri"/>
                <w:lang w:eastAsia="en-US"/>
              </w:rPr>
              <w:t xml:space="preserve">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05BAC" w:rsidRPr="00427EE1" w:rsidRDefault="00905BAC" w:rsidP="00E27B82">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05BAC" w:rsidRPr="00427EE1" w:rsidRDefault="00905BAC" w:rsidP="00E27B82">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05BAC" w:rsidRPr="00427EE1" w:rsidRDefault="00905BAC" w:rsidP="00E27B82">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05BAC" w:rsidRPr="00427EE1" w:rsidRDefault="00905BAC" w:rsidP="00E27B82">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05BAC" w:rsidRPr="00427EE1" w:rsidRDefault="00905BAC" w:rsidP="00E27B82">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905BAC">
            <w:pPr>
              <w:pStyle w:val="Tabletext"/>
              <w:rPr>
                <w:rFonts w:eastAsia="Calibri"/>
              </w:rPr>
            </w:pPr>
            <w:r w:rsidRPr="00427EE1">
              <w:rPr>
                <w:rFonts w:eastAsia="Calibri"/>
              </w:rPr>
              <w:t xml:space="preserve">This </w:t>
            </w:r>
            <w:r w:rsidR="008911CB">
              <w:rPr>
                <w:rFonts w:eastAsia="Calibri"/>
              </w:rPr>
              <w:t>Regulation</w:t>
            </w:r>
            <w:r w:rsidR="00E60957">
              <w:rPr>
                <w:rFonts w:eastAsia="Calibri"/>
              </w:rPr>
              <w:t xml:space="preserve"> </w:t>
            </w:r>
            <w:r w:rsidRPr="00427EE1">
              <w:rPr>
                <w:rFonts w:eastAsia="Calibri"/>
              </w:rPr>
              <w:t>is necessary to facilitate efficient decision</w:t>
            </w:r>
            <w:r w:rsidR="007C5A88">
              <w:rPr>
                <w:rFonts w:eastAsia="Calibri"/>
              </w:rPr>
              <w:t>-making</w:t>
            </w:r>
            <w:r w:rsidRPr="00427EE1">
              <w:rPr>
                <w:rFonts w:eastAsia="Calibri"/>
              </w:rPr>
              <w:t xml:space="preserve"> and</w:t>
            </w:r>
            <w:r w:rsidR="00E60957">
              <w:rPr>
                <w:rFonts w:eastAsia="Calibri"/>
              </w:rPr>
              <w:t xml:space="preserve"> </w:t>
            </w:r>
            <w:r w:rsidRPr="00427EE1">
              <w:rPr>
                <w:rFonts w:eastAsia="Calibri"/>
              </w:rPr>
              <w:t xml:space="preserve">to reduce or avoid delays caused by a lack of information being submitted in an application. To reduce regulatory burden, only one hard copy of </w:t>
            </w:r>
            <w:r w:rsidR="007874CB" w:rsidRPr="00427EE1">
              <w:rPr>
                <w:rFonts w:eastAsia="Calibri"/>
              </w:rPr>
              <w:t xml:space="preserve">the </w:t>
            </w:r>
            <w:r w:rsidRPr="00427EE1">
              <w:rPr>
                <w:rFonts w:eastAsia="Calibri"/>
              </w:rPr>
              <w:t>documents need be provided with an application if the documents are lodged electronically</w:t>
            </w:r>
            <w:r w:rsidR="007874CB" w:rsidRPr="00427EE1">
              <w:rPr>
                <w:rFonts w:eastAsia="Calibri"/>
              </w:rPr>
              <w:t xml:space="preserve">, which </w:t>
            </w:r>
            <w:r w:rsidRPr="00427EE1">
              <w:rPr>
                <w:rFonts w:eastAsia="Calibri"/>
              </w:rPr>
              <w:t xml:space="preserve">is subject to the discretion of the </w:t>
            </w:r>
            <w:r w:rsidR="00AB414E">
              <w:rPr>
                <w:rFonts w:eastAsia="Calibri"/>
              </w:rPr>
              <w:t>RBS</w:t>
            </w:r>
            <w:r w:rsidR="007874CB" w:rsidRPr="00427EE1">
              <w:rPr>
                <w:rFonts w:eastAsia="Calibri"/>
              </w:rPr>
              <w:t>.</w:t>
            </w:r>
          </w:p>
        </w:tc>
      </w:tr>
      <w:tr w:rsidR="00B751DE" w:rsidRPr="00427EE1" w:rsidTr="002E244C">
        <w:trPr>
          <w:cantSplit/>
          <w:trHeight w:val="340"/>
        </w:trPr>
        <w:tc>
          <w:tcPr>
            <w:tcW w:w="92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pPr>
              <w:pStyle w:val="Tabletext"/>
              <w:rPr>
                <w:rFonts w:eastAsia="Calibri"/>
              </w:rPr>
            </w:pPr>
            <w:r w:rsidRPr="00427EE1">
              <w:rPr>
                <w:rFonts w:eastAsia="Calibri"/>
              </w:rPr>
              <w:lastRenderedPageBreak/>
              <w:t>304</w:t>
            </w:r>
          </w:p>
        </w:tc>
        <w:tc>
          <w:tcPr>
            <w:tcW w:w="1001"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34</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pPr>
              <w:pStyle w:val="Tabletext"/>
              <w:rPr>
                <w:rFonts w:asciiTheme="majorHAnsi" w:eastAsia="Calibri" w:hAnsiTheme="majorHAnsi" w:cstheme="majorBidi"/>
                <w:b/>
                <w:sz w:val="40"/>
                <w:lang w:eastAsia="en-US"/>
              </w:rPr>
            </w:pPr>
            <w:r w:rsidRPr="00427EE1">
              <w:rPr>
                <w:rFonts w:eastAsia="Calibri"/>
                <w:b/>
                <w:lang w:eastAsia="en-US"/>
              </w:rPr>
              <w:t>Application for permit to demolish or remove building</w:t>
            </w:r>
          </w:p>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Specifies</w:t>
            </w:r>
            <w:r w:rsidR="00D71A15" w:rsidRPr="00427EE1">
              <w:rPr>
                <w:rFonts w:eastAsia="Calibri"/>
                <w:lang w:eastAsia="en-US"/>
              </w:rPr>
              <w:t xml:space="preserve"> </w:t>
            </w:r>
            <w:r w:rsidRPr="00427EE1">
              <w:rPr>
                <w:rFonts w:eastAsia="Calibri"/>
                <w:lang w:eastAsia="en-US"/>
              </w:rPr>
              <w:t>additional information that must be lodged with an application to demolish or remove a building</w:t>
            </w:r>
            <w:r w:rsidR="00995450">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081682">
            <w:pPr>
              <w:pStyle w:val="Tabletext"/>
              <w:rPr>
                <w:rFonts w:eastAsia="Calibri"/>
              </w:rPr>
            </w:pPr>
            <w:r w:rsidRPr="00427EE1">
              <w:rPr>
                <w:rFonts w:eastAsia="Calibri"/>
              </w:rPr>
              <w:t xml:space="preserve">This </w:t>
            </w:r>
            <w:r w:rsidR="008911CB">
              <w:rPr>
                <w:rFonts w:eastAsia="Calibri"/>
              </w:rPr>
              <w:t>Regulation</w:t>
            </w:r>
            <w:r w:rsidR="00E60957">
              <w:rPr>
                <w:rFonts w:eastAsia="Calibri"/>
              </w:rPr>
              <w:t xml:space="preserve"> </w:t>
            </w:r>
            <w:r w:rsidRPr="00427EE1">
              <w:rPr>
                <w:rFonts w:eastAsia="Calibri"/>
              </w:rPr>
              <w:t>is necessary to facilitate efficient decision</w:t>
            </w:r>
            <w:r w:rsidR="007C5A88">
              <w:rPr>
                <w:rFonts w:eastAsia="Calibri"/>
              </w:rPr>
              <w:t>-making</w:t>
            </w:r>
            <w:r w:rsidRPr="00427EE1">
              <w:rPr>
                <w:rFonts w:eastAsia="Calibri"/>
              </w:rPr>
              <w:t xml:space="preserve"> and to reduce or avoid delays caused by a lack of information being submitted in an application.</w:t>
            </w:r>
            <w:r w:rsidR="00E60957">
              <w:rPr>
                <w:rFonts w:eastAsia="Calibri"/>
              </w:rPr>
              <w:t xml:space="preserve"> </w:t>
            </w:r>
            <w:r w:rsidRPr="00427EE1">
              <w:rPr>
                <w:rFonts w:eastAsia="Calibri"/>
              </w:rPr>
              <w:t>To reduce regulatory burden, only one hard copy of documents need be provided with an application if the documents are lodged electronically</w:t>
            </w:r>
            <w:r w:rsidR="002D7DE4" w:rsidRPr="00427EE1">
              <w:rPr>
                <w:rFonts w:eastAsia="Calibri"/>
              </w:rPr>
              <w:t xml:space="preserve">, which is </w:t>
            </w:r>
            <w:r w:rsidRPr="00427EE1">
              <w:rPr>
                <w:rFonts w:eastAsia="Calibri"/>
              </w:rPr>
              <w:t xml:space="preserve">subject to the discretion of the </w:t>
            </w:r>
            <w:r w:rsidR="00AB414E">
              <w:rPr>
                <w:rFonts w:eastAsia="Calibri"/>
              </w:rPr>
              <w:t>RBS</w:t>
            </w:r>
            <w:r w:rsidR="002D7DE4" w:rsidRPr="00427EE1">
              <w:rPr>
                <w:rFonts w:eastAsia="Calibri"/>
              </w:rPr>
              <w:t>.</w:t>
            </w:r>
          </w:p>
        </w:tc>
      </w:tr>
      <w:tr w:rsidR="00B751DE" w:rsidRPr="00427EE1" w:rsidTr="002E244C">
        <w:trPr>
          <w:cantSplit/>
          <w:trHeight w:val="340"/>
        </w:trPr>
        <w:tc>
          <w:tcPr>
            <w:tcW w:w="92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pPr>
              <w:pStyle w:val="Tabletext"/>
              <w:rPr>
                <w:rFonts w:eastAsia="Calibri"/>
              </w:rPr>
            </w:pPr>
            <w:r w:rsidRPr="00427EE1">
              <w:rPr>
                <w:rFonts w:eastAsia="Calibri"/>
              </w:rPr>
              <w:t>306</w:t>
            </w:r>
          </w:p>
        </w:tc>
        <w:tc>
          <w:tcPr>
            <w:tcW w:w="1001"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35</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pPr>
              <w:pStyle w:val="Tabletext"/>
              <w:rPr>
                <w:rFonts w:eastAsia="Calibri"/>
                <w:b/>
                <w:lang w:eastAsia="en-US"/>
              </w:rPr>
            </w:pPr>
            <w:r w:rsidRPr="00427EE1">
              <w:rPr>
                <w:rFonts w:eastAsia="Calibri"/>
                <w:b/>
                <w:lang w:eastAsia="en-US"/>
              </w:rPr>
              <w:t>Exemption from application requirements for certain building work</w:t>
            </w:r>
          </w:p>
          <w:p w:rsidR="00E657D7" w:rsidRDefault="002D140F">
            <w:pPr>
              <w:pStyle w:val="Tabletext"/>
              <w:rPr>
                <w:rFonts w:eastAsia="Calibri"/>
                <w:lang w:eastAsia="en-US"/>
              </w:rPr>
            </w:pPr>
            <w:r>
              <w:rPr>
                <w:rFonts w:eastAsia="Calibri"/>
                <w:lang w:eastAsia="en-US"/>
              </w:rPr>
              <w:t>E</w:t>
            </w:r>
            <w:r w:rsidR="00081682" w:rsidRPr="00427EE1">
              <w:rPr>
                <w:rFonts w:eastAsia="Calibri"/>
                <w:lang w:eastAsia="en-US"/>
              </w:rPr>
              <w:t xml:space="preserve">mpowers the </w:t>
            </w:r>
            <w:r w:rsidR="00AB414E">
              <w:rPr>
                <w:rFonts w:eastAsia="Calibri"/>
                <w:lang w:eastAsia="en-US"/>
              </w:rPr>
              <w:t>RBS</w:t>
            </w:r>
            <w:r w:rsidR="00081682" w:rsidRPr="00427EE1">
              <w:rPr>
                <w:rFonts w:eastAsia="Calibri"/>
                <w:lang w:eastAsia="en-US"/>
              </w:rPr>
              <w:t xml:space="preserve"> to exempt an applicant from the requirement to lodge certain documents where those documents are not considered by the </w:t>
            </w:r>
            <w:r w:rsidR="00AB414E">
              <w:rPr>
                <w:rFonts w:eastAsia="Calibri"/>
                <w:lang w:eastAsia="en-US"/>
              </w:rPr>
              <w:t>RBS</w:t>
            </w:r>
            <w:r w:rsidR="00081682" w:rsidRPr="00427EE1">
              <w:rPr>
                <w:rFonts w:eastAsia="Calibri"/>
                <w:lang w:eastAsia="en-US"/>
              </w:rPr>
              <w:t xml:space="preserve"> to be necessary or appropriate to assess compliance with the Act or the Regulations of</w:t>
            </w:r>
            <w:r w:rsidR="00E60957">
              <w:rPr>
                <w:rFonts w:eastAsia="Calibri"/>
                <w:lang w:eastAsia="en-US"/>
              </w:rPr>
              <w:t xml:space="preserve"> </w:t>
            </w:r>
            <w:r w:rsidR="00081682" w:rsidRPr="00427EE1">
              <w:rPr>
                <w:rFonts w:eastAsia="Calibri"/>
                <w:lang w:eastAsia="en-US"/>
              </w:rPr>
              <w:t>proposed building work or a stage of proposed building work.</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3A569F">
            <w:pPr>
              <w:pStyle w:val="Tabletext"/>
              <w:rPr>
                <w:rFonts w:eastAsia="Calibri"/>
              </w:rPr>
            </w:pPr>
            <w:r w:rsidRPr="00427EE1">
              <w:rPr>
                <w:rFonts w:eastAsia="Calibri"/>
              </w:rPr>
              <w:t xml:space="preserve">This </w:t>
            </w:r>
            <w:r w:rsidR="008911CB">
              <w:rPr>
                <w:rFonts w:eastAsia="Calibri"/>
              </w:rPr>
              <w:t>Regulation</w:t>
            </w:r>
            <w:r w:rsidRPr="00427EE1">
              <w:rPr>
                <w:rFonts w:eastAsia="Calibri"/>
              </w:rPr>
              <w:t xml:space="preserve"> avoids </w:t>
            </w:r>
            <w:r w:rsidR="00C85828" w:rsidRPr="00427EE1">
              <w:rPr>
                <w:rFonts w:eastAsia="Calibri"/>
              </w:rPr>
              <w:t>the burden</w:t>
            </w:r>
            <w:r w:rsidRPr="00427EE1">
              <w:rPr>
                <w:rFonts w:eastAsia="Calibri"/>
              </w:rPr>
              <w:t xml:space="preserve"> of lodging certain documentation with a building permit application which is not necessary for the </w:t>
            </w:r>
            <w:r w:rsidR="00AB414E">
              <w:rPr>
                <w:rFonts w:eastAsia="Calibri"/>
              </w:rPr>
              <w:t>RBS</w:t>
            </w:r>
            <w:r w:rsidRPr="00427EE1">
              <w:rPr>
                <w:rFonts w:eastAsia="Calibri"/>
              </w:rPr>
              <w:t xml:space="preserve"> to assess compliance of proposed building work with the Act and the Regulations.</w:t>
            </w:r>
          </w:p>
          <w:p w:rsidR="00E657D7" w:rsidRDefault="00E657D7">
            <w:pPr>
              <w:pStyle w:val="Tabletext"/>
              <w:rPr>
                <w:rFonts w:eastAsia="Calibri"/>
                <w:sz w:val="16"/>
              </w:rPr>
            </w:pPr>
          </w:p>
        </w:tc>
      </w:tr>
      <w:tr w:rsidR="008733E3" w:rsidRPr="00427EE1" w:rsidTr="002E244C">
        <w:trPr>
          <w:cantSplit/>
          <w:trHeight w:val="340"/>
        </w:trPr>
        <w:tc>
          <w:tcPr>
            <w:tcW w:w="92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8733E3">
            <w:pPr>
              <w:pStyle w:val="Tabletext"/>
              <w:rPr>
                <w:rFonts w:eastAsia="Calibri"/>
              </w:rPr>
            </w:pPr>
            <w:r w:rsidRPr="00427EE1">
              <w:rPr>
                <w:rFonts w:eastAsia="Calibri"/>
              </w:rPr>
              <w:t>n/a</w:t>
            </w:r>
          </w:p>
        </w:tc>
        <w:tc>
          <w:tcPr>
            <w:tcW w:w="1001"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8733E3">
            <w:pPr>
              <w:pStyle w:val="Tabletext"/>
              <w:rPr>
                <w:rFonts w:asciiTheme="majorHAnsi" w:eastAsia="Calibri" w:hAnsiTheme="majorHAnsi" w:cstheme="majorBidi"/>
                <w:b/>
                <w:sz w:val="40"/>
                <w:lang w:eastAsia="en-US"/>
              </w:rPr>
            </w:pPr>
            <w:r w:rsidRPr="00427EE1">
              <w:rPr>
                <w:rFonts w:eastAsia="Calibri"/>
                <w:lang w:eastAsia="en-US"/>
              </w:rPr>
              <w:t>NEW</w:t>
            </w:r>
          </w:p>
          <w:p w:rsidR="00E657D7" w:rsidRDefault="008733E3">
            <w:pPr>
              <w:pStyle w:val="Tabletext"/>
              <w:rPr>
                <w:rFonts w:asciiTheme="majorHAnsi" w:eastAsia="Calibri" w:hAnsiTheme="majorHAnsi" w:cstheme="majorBidi"/>
                <w:b/>
                <w:sz w:val="40"/>
                <w:lang w:eastAsia="en-US"/>
              </w:rPr>
            </w:pPr>
            <w:r w:rsidRPr="00427EE1">
              <w:rPr>
                <w:rFonts w:eastAsia="Calibri"/>
                <w:lang w:eastAsia="en-US"/>
              </w:rPr>
              <w:t>36</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8733E3">
            <w:pPr>
              <w:pStyle w:val="Tabletext"/>
              <w:rPr>
                <w:rFonts w:asciiTheme="majorHAnsi" w:eastAsia="Calibri" w:hAnsiTheme="majorHAnsi" w:cstheme="majorBidi"/>
                <w:b/>
                <w:sz w:val="40"/>
                <w:lang w:eastAsia="en-US"/>
              </w:rPr>
            </w:pPr>
            <w:r w:rsidRPr="00427EE1">
              <w:rPr>
                <w:rFonts w:eastAsia="Calibri"/>
                <w:b/>
                <w:lang w:eastAsia="en-US"/>
              </w:rPr>
              <w:t>Application for permit where swimming pool or spa proposed</w:t>
            </w:r>
          </w:p>
          <w:p w:rsidR="00E657D7" w:rsidRDefault="002D140F">
            <w:pPr>
              <w:pStyle w:val="Tabletext"/>
              <w:rPr>
                <w:rFonts w:eastAsia="Calibri"/>
                <w:lang w:eastAsia="en-US"/>
              </w:rPr>
            </w:pPr>
            <w:r>
              <w:rPr>
                <w:rFonts w:eastAsia="Calibri"/>
                <w:lang w:eastAsia="en-US"/>
              </w:rPr>
              <w:t>R</w:t>
            </w:r>
            <w:r w:rsidR="008733E3" w:rsidRPr="00427EE1">
              <w:rPr>
                <w:rFonts w:eastAsia="Calibri"/>
                <w:lang w:eastAsia="en-US"/>
              </w:rPr>
              <w:t>equires an application to demonstrate that a compliant barrier will be constructed in conjunction with the swimming pool.</w:t>
            </w:r>
            <w:r w:rsidR="00E60957">
              <w:rPr>
                <w:rFonts w:eastAsia="Calibri"/>
                <w:lang w:eastAsia="en-US"/>
              </w:rPr>
              <w:t xml:space="preserve"> </w:t>
            </w:r>
            <w:r w:rsidR="008733E3" w:rsidRPr="00427EE1">
              <w:rPr>
                <w:rFonts w:eastAsia="Calibri"/>
                <w:lang w:eastAsia="en-US"/>
              </w:rPr>
              <w:t xml:space="preserve">A </w:t>
            </w:r>
            <w:r w:rsidR="00C85828" w:rsidRPr="00427EE1">
              <w:rPr>
                <w:rFonts w:eastAsia="Calibri"/>
                <w:lang w:eastAsia="en-US"/>
              </w:rPr>
              <w:t>building</w:t>
            </w:r>
            <w:r w:rsidR="008733E3" w:rsidRPr="00427EE1">
              <w:rPr>
                <w:rFonts w:eastAsia="Calibri"/>
                <w:lang w:eastAsia="en-US"/>
              </w:rPr>
              <w:t xml:space="preserve"> permit cannot be issued for the construction of a swimming pool unless a compliant barrier is approved as part of that permit application.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733E3" w:rsidRPr="00427EE1" w:rsidRDefault="008733E3" w:rsidP="00C0279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733E3" w:rsidRPr="00427EE1" w:rsidRDefault="008733E3" w:rsidP="00C02798">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733E3" w:rsidRPr="00427EE1" w:rsidRDefault="008733E3" w:rsidP="00C02798">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733E3" w:rsidRPr="00427EE1" w:rsidRDefault="008733E3" w:rsidP="00C02798">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733E3" w:rsidRPr="00427EE1" w:rsidRDefault="008733E3" w:rsidP="00C0279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E657D7">
            <w:pPr>
              <w:pStyle w:val="Tabletext"/>
              <w:rPr>
                <w:rFonts w:eastAsia="Calibri"/>
                <w:sz w:val="16"/>
              </w:rPr>
            </w:pPr>
          </w:p>
          <w:p w:rsidR="00E657D7" w:rsidRDefault="008733E3">
            <w:pPr>
              <w:pStyle w:val="Tabletext"/>
              <w:rPr>
                <w:rFonts w:eastAsia="Calibri"/>
              </w:rPr>
            </w:pPr>
            <w:r w:rsidRPr="00427EE1">
              <w:rPr>
                <w:rFonts w:eastAsia="Calibri"/>
              </w:rPr>
              <w:t xml:space="preserve">This </w:t>
            </w:r>
            <w:r w:rsidR="008911CB">
              <w:rPr>
                <w:rFonts w:eastAsia="Calibri"/>
              </w:rPr>
              <w:t>Regulation</w:t>
            </w:r>
            <w:r w:rsidRPr="00427EE1">
              <w:rPr>
                <w:rFonts w:eastAsia="Calibri"/>
              </w:rPr>
              <w:t xml:space="preserve"> is required to reinforce the safety imperative that a compliant safety barrier is constructed in conjunction with a swimming pool.</w:t>
            </w:r>
          </w:p>
          <w:p w:rsidR="00E657D7" w:rsidRDefault="00E657D7">
            <w:pPr>
              <w:pStyle w:val="Tabletext"/>
              <w:rPr>
                <w:rFonts w:eastAsia="Calibri"/>
                <w:sz w:val="16"/>
              </w:rPr>
            </w:pPr>
          </w:p>
        </w:tc>
      </w:tr>
      <w:tr w:rsidR="00B751DE" w:rsidRPr="00427EE1" w:rsidTr="002E244C">
        <w:trPr>
          <w:cantSplit/>
          <w:trHeight w:val="340"/>
        </w:trPr>
        <w:tc>
          <w:tcPr>
            <w:tcW w:w="92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pPr>
              <w:pStyle w:val="Tabletext"/>
              <w:rPr>
                <w:rFonts w:eastAsia="Calibri"/>
              </w:rPr>
            </w:pPr>
            <w:r w:rsidRPr="00427EE1">
              <w:rPr>
                <w:rFonts w:eastAsia="Calibri"/>
              </w:rPr>
              <w:lastRenderedPageBreak/>
              <w:t>305</w:t>
            </w:r>
          </w:p>
        </w:tc>
        <w:tc>
          <w:tcPr>
            <w:tcW w:w="1001"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37</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pPr>
              <w:pStyle w:val="Tabletext"/>
              <w:rPr>
                <w:rFonts w:asciiTheme="majorHAnsi" w:eastAsia="Calibri" w:hAnsiTheme="majorHAnsi" w:cstheme="majorBidi"/>
                <w:b/>
                <w:sz w:val="40"/>
                <w:lang w:eastAsia="en-US"/>
              </w:rPr>
            </w:pPr>
            <w:r w:rsidRPr="00427EE1">
              <w:rPr>
                <w:rFonts w:eastAsia="Calibri"/>
                <w:b/>
                <w:lang w:eastAsia="en-US"/>
              </w:rPr>
              <w:t>Additional information to accompany application for permit</w:t>
            </w:r>
          </w:p>
          <w:p w:rsidR="00E657D7" w:rsidRDefault="002D140F">
            <w:pPr>
              <w:pStyle w:val="Tabletext"/>
              <w:rPr>
                <w:rFonts w:eastAsia="Calibri"/>
                <w:lang w:eastAsia="en-US"/>
              </w:rPr>
            </w:pPr>
            <w:r>
              <w:rPr>
                <w:rFonts w:eastAsia="Calibri"/>
                <w:lang w:eastAsia="en-US"/>
              </w:rPr>
              <w:t>S</w:t>
            </w:r>
            <w:r w:rsidR="002E7446" w:rsidRPr="00427EE1">
              <w:rPr>
                <w:rFonts w:eastAsia="Calibri"/>
                <w:lang w:eastAsia="en-US"/>
              </w:rPr>
              <w:t xml:space="preserve">pecifies additional information which a </w:t>
            </w:r>
            <w:r w:rsidR="00AB414E">
              <w:rPr>
                <w:rFonts w:eastAsia="Calibri"/>
                <w:lang w:eastAsia="en-US"/>
              </w:rPr>
              <w:t>RBS</w:t>
            </w:r>
            <w:r w:rsidR="002E7446" w:rsidRPr="00427EE1">
              <w:rPr>
                <w:rFonts w:eastAsia="Calibri"/>
                <w:lang w:eastAsia="en-US"/>
              </w:rPr>
              <w:t xml:space="preserve"> may require to accompany an application for a building permit.</w:t>
            </w:r>
          </w:p>
          <w:p w:rsidR="00E657D7" w:rsidRDefault="00E657D7">
            <w:pPr>
              <w:pStyle w:val="Tabletext"/>
              <w:rPr>
                <w:rFonts w:eastAsia="Calibri"/>
                <w:sz w:val="16"/>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DD0986">
            <w:pPr>
              <w:pStyle w:val="Tabletext"/>
              <w:rPr>
                <w:rFonts w:eastAsia="Calibri"/>
                <w:sz w:val="16"/>
              </w:rPr>
            </w:pPr>
            <w:r w:rsidRPr="00427EE1">
              <w:rPr>
                <w:rFonts w:eastAsia="Calibri"/>
              </w:rPr>
              <w:t xml:space="preserve">The power for the </w:t>
            </w:r>
            <w:r w:rsidR="00AB414E">
              <w:rPr>
                <w:rFonts w:eastAsia="Calibri"/>
              </w:rPr>
              <w:t>RBS</w:t>
            </w:r>
            <w:r w:rsidRPr="00427EE1">
              <w:rPr>
                <w:rFonts w:eastAsia="Calibri"/>
              </w:rPr>
              <w:t xml:space="preserve"> to request more information from an applicant to support a building permit application is already available in </w:t>
            </w:r>
            <w:proofErr w:type="spellStart"/>
            <w:r w:rsidR="00EF2008">
              <w:rPr>
                <w:rFonts w:eastAsia="Calibri"/>
              </w:rPr>
              <w:t>sch</w:t>
            </w:r>
            <w:proofErr w:type="spellEnd"/>
            <w:r w:rsidRPr="00427EE1">
              <w:rPr>
                <w:rFonts w:eastAsia="Calibri"/>
              </w:rPr>
              <w:t xml:space="preserve"> 2 to the Act.</w:t>
            </w:r>
            <w:r w:rsidR="00E60957">
              <w:rPr>
                <w:rFonts w:eastAsia="Calibri"/>
              </w:rPr>
              <w:t xml:space="preserve"> </w:t>
            </w:r>
            <w:r w:rsidRPr="00427EE1">
              <w:rPr>
                <w:rFonts w:eastAsia="Calibri"/>
              </w:rPr>
              <w:t xml:space="preserve">Unlike the Act, however, this </w:t>
            </w:r>
            <w:r w:rsidR="008911CB">
              <w:rPr>
                <w:rFonts w:eastAsia="Calibri"/>
              </w:rPr>
              <w:t>Regulation</w:t>
            </w:r>
            <w:r w:rsidRPr="00427EE1">
              <w:rPr>
                <w:rFonts w:eastAsia="Calibri"/>
              </w:rPr>
              <w:t xml:space="preserve"> provides specific examples of the types of information which a building surveyor may</w:t>
            </w:r>
            <w:r w:rsidR="00E60957">
              <w:rPr>
                <w:rFonts w:eastAsia="Calibri"/>
              </w:rPr>
              <w:t xml:space="preserve"> </w:t>
            </w:r>
            <w:r w:rsidRPr="00427EE1">
              <w:rPr>
                <w:rFonts w:eastAsia="Calibri"/>
              </w:rPr>
              <w:t>seek to rely on to assess a particular building permit application.</w:t>
            </w:r>
            <w:r w:rsidR="00E60957">
              <w:rPr>
                <w:rFonts w:eastAsia="Calibri"/>
              </w:rPr>
              <w:t xml:space="preserve"> </w:t>
            </w:r>
            <w:r w:rsidRPr="00427EE1">
              <w:rPr>
                <w:rFonts w:eastAsia="Calibri"/>
              </w:rPr>
              <w:t xml:space="preserve">This </w:t>
            </w:r>
            <w:r w:rsidR="008911CB">
              <w:rPr>
                <w:rFonts w:eastAsia="Calibri"/>
              </w:rPr>
              <w:t>Regulation</w:t>
            </w:r>
            <w:r w:rsidRPr="00427EE1">
              <w:rPr>
                <w:rFonts w:eastAsia="Calibri"/>
              </w:rPr>
              <w:t xml:space="preserve"> facilitate</w:t>
            </w:r>
            <w:r w:rsidR="002D7DE4" w:rsidRPr="00427EE1">
              <w:rPr>
                <w:rFonts w:eastAsia="Calibri"/>
              </w:rPr>
              <w:t>s</w:t>
            </w:r>
            <w:r w:rsidRPr="00427EE1">
              <w:rPr>
                <w:rFonts w:eastAsia="Calibri"/>
              </w:rPr>
              <w:t xml:space="preserve"> efficient decision</w:t>
            </w:r>
            <w:r w:rsidR="007C5A88">
              <w:rPr>
                <w:rFonts w:eastAsia="Calibri"/>
              </w:rPr>
              <w:t>-making</w:t>
            </w:r>
            <w:r w:rsidRPr="00427EE1">
              <w:rPr>
                <w:rFonts w:eastAsia="Calibri"/>
              </w:rPr>
              <w:t xml:space="preserve"> and</w:t>
            </w:r>
            <w:r w:rsidR="00E60957">
              <w:rPr>
                <w:rFonts w:eastAsia="Calibri"/>
              </w:rPr>
              <w:t xml:space="preserve"> </w:t>
            </w:r>
            <w:r w:rsidRPr="00427EE1">
              <w:rPr>
                <w:rFonts w:eastAsia="Calibri"/>
              </w:rPr>
              <w:t>reduce</w:t>
            </w:r>
            <w:r w:rsidR="002D7DE4" w:rsidRPr="00427EE1">
              <w:rPr>
                <w:rFonts w:eastAsia="Calibri"/>
              </w:rPr>
              <w:t>s</w:t>
            </w:r>
            <w:r w:rsidRPr="00427EE1">
              <w:rPr>
                <w:rFonts w:eastAsia="Calibri"/>
              </w:rPr>
              <w:t xml:space="preserve"> or avoid</w:t>
            </w:r>
            <w:r w:rsidR="002D7DE4" w:rsidRPr="00427EE1">
              <w:rPr>
                <w:rFonts w:eastAsia="Calibri"/>
              </w:rPr>
              <w:t>s</w:t>
            </w:r>
            <w:r w:rsidRPr="00427EE1">
              <w:rPr>
                <w:rFonts w:eastAsia="Calibri"/>
              </w:rPr>
              <w:t xml:space="preserve"> delays caused by a lack of information being submitted to support the assessment of compliance of proposed building work</w:t>
            </w:r>
            <w:r w:rsidR="002D7DE4" w:rsidRPr="00427EE1">
              <w:rPr>
                <w:rFonts w:eastAsia="Calibri"/>
              </w:rPr>
              <w:t>.</w:t>
            </w:r>
          </w:p>
        </w:tc>
      </w:tr>
    </w:tbl>
    <w:p w:rsidR="005F38AC" w:rsidRDefault="005F38AC"/>
    <w:p w:rsidR="00B751DE" w:rsidRPr="00427EE1" w:rsidRDefault="005E2285" w:rsidP="006119D2">
      <w:pPr>
        <w:pStyle w:val="Heading4"/>
      </w:pPr>
      <w:proofErr w:type="spellStart"/>
      <w:r>
        <w:t>Div</w:t>
      </w:r>
      <w:proofErr w:type="spellEnd"/>
      <w:r w:rsidR="006E6791" w:rsidRPr="00427EE1">
        <w:t xml:space="preserve"> </w:t>
      </w:r>
      <w:r w:rsidR="00B751DE" w:rsidRPr="00427EE1">
        <w:t>3</w:t>
      </w:r>
      <w:r w:rsidR="008475D9">
        <w:t>—</w:t>
      </w:r>
      <w:r w:rsidR="00B751DE" w:rsidRPr="00427EE1">
        <w:t>Report or consent of reporting authorities</w:t>
      </w:r>
    </w:p>
    <w:tbl>
      <w:tblPr>
        <w:tblW w:w="14507" w:type="dxa"/>
        <w:tblInd w:w="-130"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52"/>
        <w:gridCol w:w="987"/>
        <w:gridCol w:w="4243"/>
        <w:gridCol w:w="399"/>
        <w:gridCol w:w="399"/>
        <w:gridCol w:w="402"/>
        <w:gridCol w:w="400"/>
        <w:gridCol w:w="398"/>
        <w:gridCol w:w="6327"/>
      </w:tblGrid>
      <w:tr w:rsidR="00B751DE" w:rsidRPr="00427EE1" w:rsidTr="002E244C">
        <w:trPr>
          <w:cantSplit/>
          <w:trHeight w:val="148"/>
          <w:tblHeader/>
        </w:trPr>
        <w:tc>
          <w:tcPr>
            <w:tcW w:w="952" w:type="dxa"/>
            <w:vMerge w:val="restart"/>
            <w:shd w:val="clear" w:color="auto" w:fill="00B2A9" w:themeFill="accent1"/>
            <w:vAlign w:val="center"/>
            <w:hideMark/>
          </w:tcPr>
          <w:p w:rsidR="00E657D7" w:rsidRDefault="00BE72D7">
            <w:pPr>
              <w:pStyle w:val="Tablecolumnhead"/>
              <w:rPr>
                <w:rFonts w:asciiTheme="majorHAnsi" w:eastAsia="Calibri" w:hAnsiTheme="majorHAnsi" w:cstheme="majorBidi"/>
                <w:sz w:val="40"/>
              </w:rPr>
            </w:pPr>
            <w:r w:rsidRPr="00BE72D7">
              <w:rPr>
                <w:rFonts w:eastAsia="Calibri"/>
              </w:rPr>
              <w:t>2006</w:t>
            </w:r>
          </w:p>
          <w:p w:rsidR="00E657D7" w:rsidRDefault="002E244C">
            <w:pPr>
              <w:pStyle w:val="Tablecolumnhead"/>
              <w:rPr>
                <w:rFonts w:eastAsia="Calibri"/>
              </w:rPr>
            </w:pPr>
            <w:r w:rsidRPr="00C44680">
              <w:rPr>
                <w:rFonts w:ascii="Arial Bold" w:eastAsia="Calibri" w:hAnsi="Arial Bold"/>
                <w:spacing w:val="-12"/>
                <w:sz w:val="16"/>
              </w:rPr>
              <w:t>Regulation</w:t>
            </w:r>
          </w:p>
        </w:tc>
        <w:tc>
          <w:tcPr>
            <w:tcW w:w="987" w:type="dxa"/>
            <w:vMerge w:val="restart"/>
            <w:shd w:val="clear" w:color="auto" w:fill="00B2A9" w:themeFill="accent1"/>
            <w:vAlign w:val="center"/>
            <w:hideMark/>
          </w:tcPr>
          <w:p w:rsidR="00E657D7" w:rsidRDefault="008F0E53">
            <w:pPr>
              <w:pStyle w:val="Tablecolumnhead"/>
              <w:rPr>
                <w:rFonts w:asciiTheme="majorHAnsi" w:eastAsiaTheme="majorEastAsia" w:hAnsiTheme="majorHAnsi" w:cstheme="majorBidi"/>
                <w:sz w:val="40"/>
              </w:rPr>
            </w:pPr>
            <w:r w:rsidRPr="008F0E53">
              <w:rPr>
                <w:rFonts w:eastAsia="Calibri"/>
              </w:rPr>
              <w:t>2017</w:t>
            </w:r>
          </w:p>
          <w:p w:rsidR="00E657D7" w:rsidRDefault="002E244C">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E657D7" w:rsidRDefault="008F0E53">
            <w:pPr>
              <w:pStyle w:val="Tablecolumnhead"/>
              <w:rPr>
                <w:rFonts w:asciiTheme="majorHAnsi" w:eastAsia="Calibri" w:hAnsiTheme="majorHAnsi" w:cstheme="majorBidi"/>
                <w:sz w:val="40"/>
              </w:rPr>
            </w:pPr>
            <w:r w:rsidRPr="008F0E53">
              <w:t xml:space="preserve">Short description of the </w:t>
            </w:r>
            <w:r w:rsidR="008911CB">
              <w:t>Regulation</w:t>
            </w:r>
          </w:p>
        </w:tc>
        <w:tc>
          <w:tcPr>
            <w:tcW w:w="1998" w:type="dxa"/>
            <w:gridSpan w:val="5"/>
            <w:shd w:val="clear" w:color="auto" w:fill="00B2A9" w:themeFill="accent1"/>
            <w:vAlign w:val="center"/>
          </w:tcPr>
          <w:p w:rsidR="00E657D7" w:rsidRDefault="008F0E53">
            <w:pPr>
              <w:pStyle w:val="Tablecolumnhead"/>
              <w:rPr>
                <w:rFonts w:asciiTheme="majorHAnsi" w:eastAsiaTheme="majorEastAsia" w:hAnsiTheme="majorHAnsi" w:cstheme="majorBidi"/>
                <w:sz w:val="40"/>
              </w:rPr>
            </w:pPr>
            <w:r w:rsidRPr="008F0E53">
              <w:t>Proposed regulatory change</w:t>
            </w:r>
          </w:p>
        </w:tc>
        <w:tc>
          <w:tcPr>
            <w:tcW w:w="6327" w:type="dxa"/>
            <w:vMerge w:val="restart"/>
            <w:shd w:val="clear" w:color="auto" w:fill="00B2A9" w:themeFill="accent1"/>
            <w:vAlign w:val="center"/>
          </w:tcPr>
          <w:p w:rsidR="00E657D7" w:rsidRDefault="00873DF8">
            <w:pPr>
              <w:pStyle w:val="Tablecolumnhead"/>
              <w:rPr>
                <w:rFonts w:asciiTheme="majorHAnsi" w:eastAsiaTheme="majorEastAsia" w:hAnsiTheme="majorHAnsi" w:cstheme="majorBidi"/>
                <w:sz w:val="40"/>
              </w:rPr>
            </w:pPr>
            <w:r w:rsidRPr="00873DF8">
              <w:t>Why the 2017 Regulation is proposed</w:t>
            </w:r>
          </w:p>
        </w:tc>
      </w:tr>
      <w:tr w:rsidR="00B751DE" w:rsidRPr="00427EE1" w:rsidTr="002E244C">
        <w:trPr>
          <w:cantSplit/>
          <w:trHeight w:val="966"/>
          <w:tblHeader/>
        </w:trPr>
        <w:tc>
          <w:tcPr>
            <w:tcW w:w="952" w:type="dxa"/>
            <w:vMerge/>
            <w:shd w:val="clear" w:color="auto" w:fill="00B2A9" w:themeFill="accent1"/>
            <w:vAlign w:val="center"/>
            <w:hideMark/>
          </w:tcPr>
          <w:p w:rsidR="00B751DE" w:rsidRPr="00427EE1" w:rsidRDefault="00B751DE" w:rsidP="00B751DE">
            <w:pPr>
              <w:spacing w:line="276" w:lineRule="auto"/>
              <w:jc w:val="center"/>
              <w:rPr>
                <w:rFonts w:ascii="Calibri" w:eastAsia="Calibri" w:hAnsi="Calibri"/>
                <w:sz w:val="16"/>
                <w:szCs w:val="16"/>
                <w:lang w:eastAsia="en-US"/>
              </w:rPr>
            </w:pPr>
          </w:p>
        </w:tc>
        <w:tc>
          <w:tcPr>
            <w:tcW w:w="987" w:type="dxa"/>
            <w:vMerge/>
            <w:shd w:val="clear" w:color="auto" w:fill="00B2A9" w:themeFill="accent1"/>
            <w:vAlign w:val="center"/>
            <w:hideMark/>
          </w:tcPr>
          <w:p w:rsidR="00B751DE" w:rsidRPr="00427EE1" w:rsidRDefault="00B751DE" w:rsidP="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rsidP="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rsidP="00B751DE">
            <w:pPr>
              <w:spacing w:line="276" w:lineRule="auto"/>
              <w:ind w:left="113" w:right="113"/>
              <w:jc w:val="center"/>
              <w:rPr>
                <w:sz w:val="16"/>
                <w:szCs w:val="16"/>
                <w:lang w:eastAsia="en-US"/>
              </w:rPr>
            </w:pPr>
          </w:p>
        </w:tc>
      </w:tr>
      <w:tr w:rsidR="008C05BF" w:rsidRPr="00427EE1" w:rsidTr="002E244C">
        <w:trPr>
          <w:cantSplit/>
          <w:trHeight w:val="340"/>
        </w:trPr>
        <w:tc>
          <w:tcPr>
            <w:tcW w:w="95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8C05BF">
            <w:pPr>
              <w:pStyle w:val="Tabletext"/>
              <w:rPr>
                <w:rFonts w:eastAsia="Calibri"/>
              </w:rPr>
            </w:pPr>
            <w:r w:rsidRPr="00427EE1">
              <w:rPr>
                <w:rFonts w:eastAsia="Calibri"/>
              </w:rPr>
              <w:t>308(1)</w:t>
            </w:r>
          </w:p>
        </w:tc>
        <w:tc>
          <w:tcPr>
            <w:tcW w:w="98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8C05BF">
            <w:pPr>
              <w:pStyle w:val="Tabletext"/>
              <w:rPr>
                <w:rFonts w:asciiTheme="majorHAnsi" w:eastAsia="Calibri" w:hAnsiTheme="majorHAnsi" w:cstheme="majorBidi"/>
                <w:b/>
                <w:sz w:val="40"/>
                <w:lang w:eastAsia="en-US"/>
              </w:rPr>
            </w:pPr>
            <w:r w:rsidRPr="00427EE1">
              <w:rPr>
                <w:rFonts w:eastAsia="Calibri"/>
                <w:lang w:eastAsia="en-US"/>
              </w:rPr>
              <w:t>38</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8C05BF">
            <w:pPr>
              <w:pStyle w:val="Tabletext"/>
              <w:rPr>
                <w:rFonts w:asciiTheme="majorHAnsi" w:eastAsia="Calibri" w:hAnsiTheme="majorHAnsi" w:cstheme="majorBidi"/>
                <w:b/>
                <w:sz w:val="40"/>
                <w:lang w:eastAsia="en-US"/>
              </w:rPr>
            </w:pPr>
            <w:r w:rsidRPr="00427EE1">
              <w:rPr>
                <w:rFonts w:eastAsia="Calibri"/>
                <w:b/>
                <w:lang w:eastAsia="en-US"/>
              </w:rPr>
              <w:t>Prescribed reporting authorities</w:t>
            </w:r>
          </w:p>
          <w:p w:rsidR="00E657D7" w:rsidRDefault="002D140F">
            <w:pPr>
              <w:pStyle w:val="Tabletext"/>
              <w:rPr>
                <w:rFonts w:eastAsia="Calibri"/>
                <w:lang w:eastAsia="en-US"/>
              </w:rPr>
            </w:pPr>
            <w:r>
              <w:rPr>
                <w:rFonts w:eastAsia="Calibri"/>
                <w:lang w:eastAsia="en-US"/>
              </w:rPr>
              <w:t>S</w:t>
            </w:r>
            <w:r w:rsidR="008C05BF" w:rsidRPr="00427EE1">
              <w:rPr>
                <w:rFonts w:eastAsia="Calibri"/>
                <w:lang w:eastAsia="en-US"/>
              </w:rPr>
              <w:t xml:space="preserve">pecifies who is a reporting authority in relation to an application for a building permit.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C05BF" w:rsidRPr="00427EE1" w:rsidRDefault="008C05BF" w:rsidP="00C0279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C05BF" w:rsidRPr="00427EE1" w:rsidRDefault="008C05BF" w:rsidP="00C02798">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C05BF" w:rsidRPr="00427EE1" w:rsidRDefault="008C05BF" w:rsidP="00C02798">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C05BF" w:rsidRPr="00427EE1" w:rsidRDefault="008C05BF" w:rsidP="00C02798">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C05BF" w:rsidRPr="00427EE1" w:rsidRDefault="008C05BF" w:rsidP="00C0279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8C05BF">
            <w:pPr>
              <w:pStyle w:val="Tabletext"/>
              <w:rPr>
                <w:rFonts w:eastAsia="Calibri"/>
              </w:rPr>
            </w:pPr>
            <w:r w:rsidRPr="00427EE1">
              <w:rPr>
                <w:rFonts w:eastAsia="Calibri"/>
              </w:rPr>
              <w:t xml:space="preserve">This </w:t>
            </w:r>
            <w:r w:rsidR="008911CB">
              <w:rPr>
                <w:rFonts w:eastAsia="Calibri"/>
              </w:rPr>
              <w:t>Regulation</w:t>
            </w:r>
            <w:r w:rsidRPr="00427EE1">
              <w:rPr>
                <w:rFonts w:eastAsia="Calibri"/>
              </w:rPr>
              <w:t xml:space="preserve"> is </w:t>
            </w:r>
            <w:r w:rsidR="00C85828" w:rsidRPr="00427EE1">
              <w:rPr>
                <w:rFonts w:eastAsia="Calibri"/>
              </w:rPr>
              <w:t>required</w:t>
            </w:r>
            <w:r w:rsidRPr="00427EE1">
              <w:rPr>
                <w:rFonts w:eastAsia="Calibri"/>
              </w:rPr>
              <w:t xml:space="preserve"> to give effect to </w:t>
            </w:r>
            <w:r w:rsidR="0023395A">
              <w:rPr>
                <w:rFonts w:eastAsia="Calibri"/>
              </w:rPr>
              <w:t xml:space="preserve">cl </w:t>
            </w:r>
            <w:r w:rsidRPr="00427EE1">
              <w:rPr>
                <w:rFonts w:eastAsia="Calibri"/>
              </w:rPr>
              <w:t xml:space="preserve">7(2) of </w:t>
            </w:r>
            <w:proofErr w:type="spellStart"/>
            <w:r w:rsidR="00EF2008">
              <w:rPr>
                <w:rFonts w:eastAsia="Calibri"/>
              </w:rPr>
              <w:t>sch</w:t>
            </w:r>
            <w:proofErr w:type="spellEnd"/>
            <w:r w:rsidRPr="00427EE1">
              <w:rPr>
                <w:rFonts w:eastAsia="Calibri"/>
              </w:rPr>
              <w:t xml:space="preserve"> 2 to the Act. Service authority has been included to ensure their recommendations are treated as mandatory.</w:t>
            </w:r>
          </w:p>
        </w:tc>
      </w:tr>
      <w:tr w:rsidR="008C05BF" w:rsidRPr="00427EE1" w:rsidTr="002E244C">
        <w:trPr>
          <w:cantSplit/>
          <w:trHeight w:val="340"/>
        </w:trPr>
        <w:tc>
          <w:tcPr>
            <w:tcW w:w="95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8C05BF">
            <w:pPr>
              <w:pStyle w:val="Tabletext"/>
              <w:rPr>
                <w:rFonts w:eastAsia="Calibri"/>
              </w:rPr>
            </w:pPr>
            <w:r w:rsidRPr="00427EE1">
              <w:rPr>
                <w:rFonts w:eastAsia="Calibri"/>
              </w:rPr>
              <w:t>308(2)</w:t>
            </w:r>
          </w:p>
        </w:tc>
        <w:tc>
          <w:tcPr>
            <w:tcW w:w="98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8C05BF">
            <w:pPr>
              <w:pStyle w:val="Tabletext"/>
              <w:rPr>
                <w:rFonts w:asciiTheme="majorHAnsi" w:eastAsia="Calibri" w:hAnsiTheme="majorHAnsi" w:cstheme="majorBidi"/>
                <w:b/>
                <w:sz w:val="40"/>
                <w:lang w:eastAsia="en-US"/>
              </w:rPr>
            </w:pPr>
            <w:r w:rsidRPr="00427EE1">
              <w:rPr>
                <w:rFonts w:eastAsia="Calibri"/>
                <w:lang w:eastAsia="en-US"/>
              </w:rPr>
              <w:t>39</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8C05BF">
            <w:pPr>
              <w:pStyle w:val="Tabletext"/>
              <w:rPr>
                <w:rFonts w:asciiTheme="majorHAnsi" w:eastAsia="Calibri" w:hAnsiTheme="majorHAnsi" w:cstheme="majorBidi"/>
                <w:b/>
                <w:sz w:val="40"/>
                <w:lang w:eastAsia="en-US"/>
              </w:rPr>
            </w:pPr>
            <w:r w:rsidRPr="00427EE1">
              <w:rPr>
                <w:rFonts w:eastAsia="Calibri"/>
                <w:b/>
                <w:lang w:eastAsia="en-US"/>
              </w:rPr>
              <w:t>Prescribed matters</w:t>
            </w:r>
          </w:p>
          <w:p w:rsidR="00E657D7" w:rsidRDefault="002D140F">
            <w:pPr>
              <w:pStyle w:val="Tabletext"/>
              <w:rPr>
                <w:rFonts w:eastAsia="Calibri"/>
                <w:lang w:eastAsia="en-US"/>
              </w:rPr>
            </w:pPr>
            <w:r>
              <w:rPr>
                <w:rFonts w:eastAsia="Calibri"/>
                <w:lang w:eastAsia="en-US"/>
              </w:rPr>
              <w:t>S</w:t>
            </w:r>
            <w:r w:rsidRPr="00427EE1">
              <w:rPr>
                <w:rFonts w:eastAsia="Calibri"/>
                <w:lang w:eastAsia="en-US"/>
              </w:rPr>
              <w:t xml:space="preserve">pecifies </w:t>
            </w:r>
            <w:r w:rsidR="008C05BF" w:rsidRPr="00427EE1">
              <w:rPr>
                <w:rFonts w:eastAsia="Calibri"/>
                <w:lang w:eastAsia="en-US"/>
              </w:rPr>
              <w:t xml:space="preserve">the matters that, if a reporting authority identified in </w:t>
            </w:r>
            <w:proofErr w:type="spellStart"/>
            <w:r w:rsidR="003902AD">
              <w:rPr>
                <w:rFonts w:eastAsia="Calibri"/>
                <w:lang w:eastAsia="en-US"/>
              </w:rPr>
              <w:t>reg</w:t>
            </w:r>
            <w:proofErr w:type="spellEnd"/>
            <w:r w:rsidR="003902AD">
              <w:rPr>
                <w:rFonts w:eastAsia="Calibri"/>
                <w:lang w:eastAsia="en-US"/>
              </w:rPr>
              <w:t xml:space="preserve"> 3</w:t>
            </w:r>
            <w:r w:rsidR="008C05BF" w:rsidRPr="00427EE1">
              <w:rPr>
                <w:rFonts w:eastAsia="Calibri"/>
                <w:lang w:eastAsia="en-US"/>
              </w:rPr>
              <w:t xml:space="preserve">8 is required by the 2017 Regulations to report on, any recommendation made in that report must be implemented by the </w:t>
            </w:r>
            <w:r w:rsidR="00AB414E">
              <w:rPr>
                <w:rFonts w:eastAsia="Calibri"/>
                <w:lang w:eastAsia="en-US"/>
              </w:rPr>
              <w:t>RBS</w:t>
            </w:r>
            <w:r w:rsidR="008C05BF" w:rsidRPr="00427EE1">
              <w:rPr>
                <w:rFonts w:eastAsia="Calibri"/>
                <w:lang w:eastAsia="en-US"/>
              </w:rPr>
              <w:t xml:space="preserve"> when deciding a building permit application (see also </w:t>
            </w:r>
            <w:proofErr w:type="spellStart"/>
            <w:r w:rsidR="00995450">
              <w:rPr>
                <w:rFonts w:eastAsia="Calibri"/>
                <w:lang w:eastAsia="en-US"/>
              </w:rPr>
              <w:t>sch</w:t>
            </w:r>
            <w:proofErr w:type="spellEnd"/>
            <w:r w:rsidR="008C05BF" w:rsidRPr="00427EE1">
              <w:rPr>
                <w:rFonts w:eastAsia="Calibri"/>
                <w:lang w:eastAsia="en-US"/>
              </w:rPr>
              <w:t xml:space="preserve"> 4).</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C05BF" w:rsidRPr="00427EE1" w:rsidRDefault="008C05BF" w:rsidP="00C0279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C05BF" w:rsidRPr="00427EE1" w:rsidRDefault="008C05BF" w:rsidP="00C0279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C05BF" w:rsidRPr="00427EE1" w:rsidRDefault="008C05BF" w:rsidP="00C02798">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C05BF" w:rsidRPr="00427EE1" w:rsidRDefault="008C05BF" w:rsidP="00C02798">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C05BF" w:rsidRPr="00427EE1" w:rsidRDefault="008C05BF" w:rsidP="00C02798">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8C05BF">
            <w:pPr>
              <w:pStyle w:val="Tabletext"/>
              <w:rPr>
                <w:rFonts w:eastAsia="Calibri"/>
                <w:sz w:val="16"/>
                <w:szCs w:val="16"/>
              </w:rPr>
            </w:pPr>
            <w:r w:rsidRPr="00427EE1">
              <w:rPr>
                <w:rFonts w:eastAsia="Calibri"/>
              </w:rPr>
              <w:t xml:space="preserve">This </w:t>
            </w:r>
            <w:r w:rsidR="008911CB">
              <w:rPr>
                <w:rFonts w:eastAsia="Calibri"/>
              </w:rPr>
              <w:t>Regulation</w:t>
            </w:r>
            <w:r w:rsidRPr="00427EE1">
              <w:rPr>
                <w:rFonts w:eastAsia="Calibri"/>
              </w:rPr>
              <w:t xml:space="preserve"> gives effect to </w:t>
            </w:r>
            <w:r w:rsidR="0023395A">
              <w:rPr>
                <w:rFonts w:eastAsia="Calibri"/>
              </w:rPr>
              <w:t xml:space="preserve">cl </w:t>
            </w:r>
            <w:r w:rsidRPr="00427EE1">
              <w:rPr>
                <w:rFonts w:eastAsia="Calibri"/>
              </w:rPr>
              <w:t xml:space="preserve">7(2) of </w:t>
            </w:r>
            <w:proofErr w:type="spellStart"/>
            <w:r w:rsidR="00995450">
              <w:rPr>
                <w:rFonts w:eastAsia="Calibri"/>
              </w:rPr>
              <w:t>sch</w:t>
            </w:r>
            <w:proofErr w:type="spellEnd"/>
            <w:r w:rsidRPr="00427EE1">
              <w:rPr>
                <w:rFonts w:eastAsia="Calibri"/>
              </w:rPr>
              <w:t xml:space="preserve"> 2 of the Act.</w:t>
            </w:r>
          </w:p>
        </w:tc>
      </w:tr>
      <w:tr w:rsidR="00B751DE" w:rsidRPr="00427EE1" w:rsidTr="002E244C">
        <w:trPr>
          <w:cantSplit/>
          <w:trHeight w:val="340"/>
        </w:trPr>
        <w:tc>
          <w:tcPr>
            <w:tcW w:w="952" w:type="dxa"/>
            <w:vAlign w:val="center"/>
          </w:tcPr>
          <w:p w:rsidR="00E657D7" w:rsidRDefault="00B751DE">
            <w:pPr>
              <w:pStyle w:val="Tabletext"/>
              <w:rPr>
                <w:rFonts w:asciiTheme="majorHAnsi" w:eastAsia="Calibri" w:hAnsiTheme="majorHAnsi" w:cstheme="majorBidi"/>
                <w:b/>
                <w:sz w:val="40"/>
              </w:rPr>
            </w:pPr>
            <w:r w:rsidRPr="00427EE1">
              <w:rPr>
                <w:rFonts w:eastAsia="Calibri"/>
              </w:rPr>
              <w:t>307</w:t>
            </w:r>
          </w:p>
        </w:tc>
        <w:tc>
          <w:tcPr>
            <w:tcW w:w="987" w:type="dxa"/>
            <w:vAlign w:val="center"/>
          </w:tcPr>
          <w:p w:rsidR="00E657D7" w:rsidRDefault="00B751DE">
            <w:pPr>
              <w:pStyle w:val="Tabletext"/>
              <w:rPr>
                <w:rFonts w:asciiTheme="majorHAnsi" w:eastAsia="Calibri" w:hAnsiTheme="majorHAnsi" w:cstheme="majorBidi"/>
                <w:b/>
                <w:sz w:val="40"/>
              </w:rPr>
            </w:pPr>
            <w:r w:rsidRPr="00427EE1">
              <w:rPr>
                <w:rFonts w:eastAsia="Calibri"/>
              </w:rPr>
              <w:t>Multiple</w:t>
            </w:r>
          </w:p>
        </w:tc>
        <w:tc>
          <w:tcPr>
            <w:tcW w:w="12568" w:type="dxa"/>
            <w:gridSpan w:val="7"/>
            <w:shd w:val="clear" w:color="auto" w:fill="D9D9D9" w:themeFill="background1" w:themeFillShade="D9"/>
          </w:tcPr>
          <w:p w:rsidR="00E657D7" w:rsidRDefault="008C05BF">
            <w:pPr>
              <w:pStyle w:val="Tabletext"/>
              <w:rPr>
                <w:rFonts w:asciiTheme="majorHAnsi" w:eastAsia="Calibri" w:hAnsiTheme="majorHAnsi" w:cstheme="majorBidi"/>
                <w:b/>
                <w:sz w:val="40"/>
              </w:rPr>
            </w:pPr>
            <w:r w:rsidRPr="00427EE1">
              <w:rPr>
                <w:rFonts w:eastAsia="Calibri"/>
                <w:i/>
                <w:lang w:eastAsia="en-US"/>
              </w:rPr>
              <w:t xml:space="preserve">Regulation 307 has been </w:t>
            </w:r>
            <w:r w:rsidRPr="00427EE1">
              <w:rPr>
                <w:rFonts w:eastAsia="Calibri"/>
                <w:b/>
                <w:i/>
                <w:lang w:eastAsia="en-US"/>
              </w:rPr>
              <w:t>replaced</w:t>
            </w:r>
            <w:r w:rsidRPr="00427EE1">
              <w:rPr>
                <w:rFonts w:eastAsia="Calibri"/>
                <w:i/>
                <w:lang w:eastAsia="en-US"/>
              </w:rPr>
              <w:t xml:space="preserve"> by multiple </w:t>
            </w:r>
            <w:r w:rsidR="008911CB">
              <w:rPr>
                <w:rFonts w:eastAsia="Calibri"/>
                <w:i/>
                <w:lang w:eastAsia="en-US"/>
              </w:rPr>
              <w:t>Regulations</w:t>
            </w:r>
            <w:r w:rsidR="00C85828" w:rsidRPr="00427EE1">
              <w:rPr>
                <w:rFonts w:eastAsia="Calibri"/>
                <w:i/>
                <w:lang w:eastAsia="en-US"/>
              </w:rPr>
              <w:t>. These</w:t>
            </w:r>
            <w:r w:rsidRPr="00427EE1">
              <w:rPr>
                <w:rFonts w:eastAsia="Calibri"/>
                <w:i/>
                <w:lang w:eastAsia="en-US"/>
              </w:rPr>
              <w:t xml:space="preserve"> new replacement </w:t>
            </w:r>
            <w:r w:rsidR="008911CB">
              <w:rPr>
                <w:rFonts w:eastAsia="Calibri"/>
                <w:i/>
                <w:lang w:eastAsia="en-US"/>
              </w:rPr>
              <w:t>Regulations</w:t>
            </w:r>
            <w:r w:rsidRPr="00427EE1">
              <w:rPr>
                <w:rFonts w:eastAsia="Calibri"/>
                <w:i/>
                <w:lang w:eastAsia="en-US"/>
              </w:rPr>
              <w:t xml:space="preserve"> are</w:t>
            </w:r>
            <w:r w:rsidR="00E60957">
              <w:rPr>
                <w:rFonts w:eastAsia="Calibri"/>
                <w:i/>
                <w:lang w:eastAsia="en-US"/>
              </w:rPr>
              <w:t xml:space="preserve"> </w:t>
            </w:r>
            <w:r w:rsidRPr="00427EE1">
              <w:rPr>
                <w:rFonts w:eastAsia="Calibri"/>
                <w:i/>
                <w:lang w:eastAsia="en-US"/>
              </w:rPr>
              <w:t xml:space="preserve">discussed immediately below in relation to </w:t>
            </w:r>
            <w:r w:rsidR="008911CB">
              <w:rPr>
                <w:rFonts w:eastAsia="Calibri"/>
                <w:i/>
                <w:lang w:eastAsia="en-US"/>
              </w:rPr>
              <w:t>proposed Regulations</w:t>
            </w:r>
            <w:r w:rsidRPr="00427EE1">
              <w:rPr>
                <w:rFonts w:eastAsia="Calibri"/>
                <w:i/>
                <w:lang w:eastAsia="en-US"/>
              </w:rPr>
              <w:t xml:space="preserve"> 40, 41, 42 and 43. These </w:t>
            </w:r>
            <w:r w:rsidR="008911CB">
              <w:rPr>
                <w:rFonts w:eastAsia="Calibri"/>
                <w:i/>
                <w:lang w:eastAsia="en-US"/>
              </w:rPr>
              <w:t>proposed Regulations</w:t>
            </w:r>
            <w:r w:rsidRPr="00427EE1">
              <w:rPr>
                <w:rFonts w:eastAsia="Calibri"/>
                <w:i/>
                <w:lang w:eastAsia="en-US"/>
              </w:rPr>
              <w:t xml:space="preserve"> also replace </w:t>
            </w:r>
            <w:proofErr w:type="spellStart"/>
            <w:r w:rsidR="00EF2008">
              <w:rPr>
                <w:rFonts w:eastAsia="Calibri"/>
                <w:i/>
                <w:lang w:eastAsia="en-US"/>
              </w:rPr>
              <w:t>sch</w:t>
            </w:r>
            <w:proofErr w:type="spellEnd"/>
            <w:r w:rsidRPr="00427EE1">
              <w:rPr>
                <w:rFonts w:eastAsia="Calibri"/>
                <w:i/>
                <w:lang w:eastAsia="en-US"/>
              </w:rPr>
              <w:t xml:space="preserve"> 3 of the current </w:t>
            </w:r>
            <w:r w:rsidR="008911CB">
              <w:rPr>
                <w:rFonts w:eastAsia="Calibri"/>
                <w:i/>
                <w:lang w:eastAsia="en-US"/>
              </w:rPr>
              <w:t>Regulations</w:t>
            </w:r>
            <w:r w:rsidRPr="00427EE1">
              <w:rPr>
                <w:rFonts w:eastAsia="Calibri"/>
                <w:i/>
                <w:lang w:eastAsia="en-US"/>
              </w:rPr>
              <w:t>.</w:t>
            </w:r>
          </w:p>
        </w:tc>
      </w:tr>
      <w:tr w:rsidR="00940A3B" w:rsidRPr="00427EE1" w:rsidTr="002E244C">
        <w:trPr>
          <w:cantSplit/>
          <w:trHeight w:val="340"/>
        </w:trPr>
        <w:tc>
          <w:tcPr>
            <w:tcW w:w="95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995450">
            <w:pPr>
              <w:pStyle w:val="Tabletext"/>
              <w:rPr>
                <w:rFonts w:asciiTheme="majorHAnsi" w:eastAsia="Calibri" w:hAnsiTheme="majorHAnsi" w:cstheme="majorBidi"/>
                <w:b/>
                <w:sz w:val="40"/>
              </w:rPr>
            </w:pPr>
            <w:proofErr w:type="spellStart"/>
            <w:r>
              <w:rPr>
                <w:rFonts w:eastAsia="Calibri"/>
              </w:rPr>
              <w:lastRenderedPageBreak/>
              <w:t>Sch</w:t>
            </w:r>
            <w:proofErr w:type="spellEnd"/>
            <w:r>
              <w:rPr>
                <w:rFonts w:eastAsia="Calibri"/>
              </w:rPr>
              <w:t xml:space="preserve"> </w:t>
            </w:r>
            <w:r w:rsidR="00940A3B" w:rsidRPr="00427EE1">
              <w:rPr>
                <w:rFonts w:eastAsia="Calibri"/>
              </w:rPr>
              <w:t>3; item 1</w:t>
            </w:r>
          </w:p>
        </w:tc>
        <w:tc>
          <w:tcPr>
            <w:tcW w:w="98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940A3B">
            <w:pPr>
              <w:pStyle w:val="Tabletext"/>
              <w:rPr>
                <w:rFonts w:asciiTheme="majorHAnsi" w:eastAsia="Calibri" w:hAnsiTheme="majorHAnsi" w:cstheme="majorBidi"/>
                <w:b/>
                <w:sz w:val="40"/>
                <w:lang w:eastAsia="en-US"/>
              </w:rPr>
            </w:pPr>
            <w:r w:rsidRPr="00427EE1">
              <w:rPr>
                <w:rFonts w:eastAsia="Calibri"/>
                <w:lang w:eastAsia="en-US"/>
              </w:rPr>
              <w:t>40</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940A3B">
            <w:pPr>
              <w:pStyle w:val="Tabletext"/>
              <w:rPr>
                <w:rFonts w:asciiTheme="majorHAnsi" w:eastAsia="Calibri" w:hAnsiTheme="majorHAnsi" w:cstheme="majorBidi"/>
                <w:b/>
                <w:sz w:val="40"/>
                <w:lang w:eastAsia="en-US"/>
              </w:rPr>
            </w:pPr>
            <w:r w:rsidRPr="00427EE1">
              <w:rPr>
                <w:rFonts w:eastAsia="Calibri"/>
                <w:b/>
                <w:lang w:eastAsia="en-US"/>
              </w:rPr>
              <w:t>Time limits for application to be given to reporting authority</w:t>
            </w:r>
          </w:p>
          <w:p w:rsidR="00E657D7" w:rsidRDefault="002D140F">
            <w:pPr>
              <w:pStyle w:val="Tabletext"/>
              <w:rPr>
                <w:rFonts w:eastAsia="Calibri"/>
                <w:lang w:eastAsia="en-US"/>
              </w:rPr>
            </w:pPr>
            <w:r>
              <w:rPr>
                <w:rFonts w:eastAsia="Calibri"/>
                <w:lang w:eastAsia="en-US"/>
              </w:rPr>
              <w:t>S</w:t>
            </w:r>
            <w:r w:rsidRPr="00427EE1">
              <w:rPr>
                <w:rFonts w:eastAsia="Calibri"/>
                <w:lang w:eastAsia="en-US"/>
              </w:rPr>
              <w:t xml:space="preserve">pecifies </w:t>
            </w:r>
            <w:r w:rsidR="00940A3B" w:rsidRPr="00427EE1">
              <w:rPr>
                <w:rFonts w:eastAsia="Calibri"/>
                <w:lang w:eastAsia="en-US"/>
              </w:rPr>
              <w:t xml:space="preserve">the time period within which the </w:t>
            </w:r>
            <w:r w:rsidR="00AB414E">
              <w:rPr>
                <w:rFonts w:eastAsia="Calibri"/>
                <w:lang w:eastAsia="en-US"/>
              </w:rPr>
              <w:t>RBS</w:t>
            </w:r>
            <w:r w:rsidR="00940A3B" w:rsidRPr="00427EE1">
              <w:rPr>
                <w:rFonts w:eastAsia="Calibri"/>
                <w:lang w:eastAsia="en-US"/>
              </w:rPr>
              <w:t xml:space="preserve"> must provide a copy of a building permit application to each required reporting authority.</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940A3B" w:rsidRPr="00427EE1" w:rsidRDefault="00940A3B" w:rsidP="00C02798">
            <w:pPr>
              <w:jc w:val="cente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40A3B" w:rsidRPr="00427EE1" w:rsidRDefault="00940A3B" w:rsidP="00C02798">
            <w:pPr>
              <w:jc w:val="cente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40A3B" w:rsidRPr="00427EE1" w:rsidRDefault="00940A3B" w:rsidP="00C02798">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40A3B" w:rsidRPr="00427EE1" w:rsidRDefault="00940A3B" w:rsidP="00C02798">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40A3B" w:rsidRPr="00427EE1" w:rsidRDefault="00940A3B" w:rsidP="00C02798">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940A3B">
            <w:pPr>
              <w:pStyle w:val="Tabletext"/>
              <w:rPr>
                <w:rFonts w:asciiTheme="majorHAnsi" w:eastAsia="Calibri" w:hAnsiTheme="majorHAnsi" w:cstheme="majorBidi"/>
                <w:b/>
                <w:sz w:val="40"/>
                <w:lang w:eastAsia="en-US"/>
              </w:rPr>
            </w:pPr>
            <w:r w:rsidRPr="00427EE1">
              <w:rPr>
                <w:rFonts w:eastAsia="Calibri"/>
                <w:lang w:eastAsia="en-US"/>
              </w:rPr>
              <w:t xml:space="preserve">This </w:t>
            </w:r>
            <w:r w:rsidR="008911CB">
              <w:rPr>
                <w:rFonts w:eastAsia="Calibri"/>
                <w:lang w:eastAsia="en-US"/>
              </w:rPr>
              <w:t>Regulation</w:t>
            </w:r>
            <w:r w:rsidRPr="00427EE1">
              <w:rPr>
                <w:rFonts w:eastAsia="Calibri"/>
                <w:lang w:eastAsia="en-US"/>
              </w:rPr>
              <w:t xml:space="preserve"> is required to give effect to </w:t>
            </w:r>
            <w:r w:rsidR="0023395A">
              <w:rPr>
                <w:rFonts w:eastAsia="Calibri"/>
                <w:lang w:eastAsia="en-US"/>
              </w:rPr>
              <w:t xml:space="preserve">cl </w:t>
            </w:r>
            <w:r w:rsidRPr="00427EE1">
              <w:rPr>
                <w:rFonts w:eastAsia="Calibri"/>
                <w:lang w:eastAsia="en-US"/>
              </w:rPr>
              <w:t xml:space="preserve">4(2) of </w:t>
            </w:r>
            <w:proofErr w:type="spellStart"/>
            <w:r w:rsidR="00EF2008">
              <w:rPr>
                <w:rFonts w:eastAsia="Calibri"/>
                <w:lang w:eastAsia="en-US"/>
              </w:rPr>
              <w:t>sch</w:t>
            </w:r>
            <w:proofErr w:type="spellEnd"/>
            <w:r w:rsidRPr="00427EE1">
              <w:rPr>
                <w:rFonts w:eastAsia="Calibri"/>
                <w:lang w:eastAsia="en-US"/>
              </w:rPr>
              <w:t xml:space="preserve"> 2 to the Act.</w:t>
            </w:r>
            <w:r w:rsidR="00E60957">
              <w:rPr>
                <w:rFonts w:eastAsia="Calibri"/>
                <w:lang w:eastAsia="en-US"/>
              </w:rPr>
              <w:t xml:space="preserve"> </w:t>
            </w:r>
            <w:r w:rsidRPr="00427EE1">
              <w:rPr>
                <w:rFonts w:eastAsia="Calibri"/>
                <w:lang w:eastAsia="en-US"/>
              </w:rPr>
              <w:t xml:space="preserve">This requirement was previously contained in a schedule to the </w:t>
            </w:r>
            <w:r w:rsidR="008911CB">
              <w:rPr>
                <w:rFonts w:eastAsia="Calibri"/>
                <w:lang w:eastAsia="en-US"/>
              </w:rPr>
              <w:t>current</w:t>
            </w:r>
            <w:r w:rsidR="008911CB" w:rsidRPr="00427EE1">
              <w:rPr>
                <w:rFonts w:eastAsia="Calibri"/>
                <w:lang w:eastAsia="en-US"/>
              </w:rPr>
              <w:t xml:space="preserve"> </w:t>
            </w:r>
            <w:r w:rsidR="008911CB">
              <w:rPr>
                <w:rFonts w:eastAsia="Calibri"/>
                <w:lang w:eastAsia="en-US"/>
              </w:rPr>
              <w:t>Regulations</w:t>
            </w:r>
            <w:r w:rsidRPr="00427EE1">
              <w:rPr>
                <w:rFonts w:eastAsia="Calibri"/>
                <w:lang w:eastAsia="en-US"/>
              </w:rPr>
              <w:t xml:space="preserve"> and has now been included in the body of the </w:t>
            </w:r>
            <w:r w:rsidR="008911CB">
              <w:rPr>
                <w:rFonts w:eastAsia="Calibri"/>
                <w:lang w:eastAsia="en-US"/>
              </w:rPr>
              <w:t>Regulations</w:t>
            </w:r>
            <w:r w:rsidRPr="00427EE1">
              <w:rPr>
                <w:rFonts w:eastAsia="Calibri"/>
                <w:lang w:eastAsia="en-US"/>
              </w:rPr>
              <w:t xml:space="preserve"> for clarity and ease of reference.</w:t>
            </w:r>
            <w:r w:rsidR="00E60957">
              <w:rPr>
                <w:rFonts w:eastAsia="Calibri"/>
                <w:lang w:eastAsia="en-US"/>
              </w:rPr>
              <w:t xml:space="preserve"> </w:t>
            </w:r>
          </w:p>
        </w:tc>
      </w:tr>
      <w:tr w:rsidR="00940A3B" w:rsidRPr="00427EE1" w:rsidTr="002E244C">
        <w:trPr>
          <w:cantSplit/>
          <w:trHeight w:val="340"/>
        </w:trPr>
        <w:tc>
          <w:tcPr>
            <w:tcW w:w="95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940A3B">
            <w:pPr>
              <w:pStyle w:val="Tabletext"/>
              <w:rPr>
                <w:rFonts w:eastAsia="Calibri"/>
              </w:rPr>
            </w:pPr>
            <w:proofErr w:type="spellStart"/>
            <w:r w:rsidRPr="00427EE1">
              <w:rPr>
                <w:rFonts w:eastAsia="Calibri"/>
              </w:rPr>
              <w:t>Sch</w:t>
            </w:r>
            <w:proofErr w:type="spellEnd"/>
            <w:r w:rsidRPr="00427EE1">
              <w:rPr>
                <w:rFonts w:eastAsia="Calibri"/>
              </w:rPr>
              <w:t xml:space="preserve"> 3; item 6</w:t>
            </w:r>
          </w:p>
        </w:tc>
        <w:tc>
          <w:tcPr>
            <w:tcW w:w="98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940A3B">
            <w:pPr>
              <w:pStyle w:val="Tabletext"/>
              <w:rPr>
                <w:rFonts w:asciiTheme="majorHAnsi" w:eastAsia="Calibri" w:hAnsiTheme="majorHAnsi" w:cstheme="majorBidi"/>
                <w:b/>
                <w:sz w:val="40"/>
                <w:lang w:eastAsia="en-US"/>
              </w:rPr>
            </w:pPr>
            <w:r w:rsidRPr="00427EE1">
              <w:rPr>
                <w:rFonts w:eastAsia="Calibri"/>
                <w:lang w:eastAsia="en-US"/>
              </w:rPr>
              <w:t>41</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940A3B">
            <w:pPr>
              <w:pStyle w:val="Tabletext"/>
              <w:rPr>
                <w:rFonts w:asciiTheme="majorHAnsi" w:eastAsia="Calibri" w:hAnsiTheme="majorHAnsi" w:cstheme="majorBidi"/>
                <w:b/>
                <w:sz w:val="40"/>
                <w:lang w:eastAsia="en-US"/>
              </w:rPr>
            </w:pPr>
            <w:r w:rsidRPr="00427EE1">
              <w:rPr>
                <w:rFonts w:eastAsia="Calibri"/>
                <w:b/>
                <w:lang w:eastAsia="en-US"/>
              </w:rPr>
              <w:t>Further time for an applicant to provide a report or consent</w:t>
            </w:r>
          </w:p>
          <w:p w:rsidR="00E657D7" w:rsidRDefault="002D140F">
            <w:pPr>
              <w:pStyle w:val="Tabletext"/>
              <w:rPr>
                <w:rFonts w:eastAsia="Calibri"/>
                <w:lang w:eastAsia="en-US"/>
              </w:rPr>
            </w:pPr>
            <w:r>
              <w:rPr>
                <w:rFonts w:eastAsia="Calibri"/>
                <w:lang w:eastAsia="en-US"/>
              </w:rPr>
              <w:t>S</w:t>
            </w:r>
            <w:r w:rsidRPr="00427EE1">
              <w:rPr>
                <w:rFonts w:eastAsia="Calibri"/>
                <w:lang w:eastAsia="en-US"/>
              </w:rPr>
              <w:t xml:space="preserve">pecifies </w:t>
            </w:r>
            <w:r w:rsidR="00940A3B" w:rsidRPr="00427EE1">
              <w:rPr>
                <w:rFonts w:eastAsia="Calibri"/>
                <w:lang w:eastAsia="en-US"/>
              </w:rPr>
              <w:t>the prescribed further time period within which an applicant for a building permit must provide</w:t>
            </w:r>
            <w:r w:rsidR="00E60957">
              <w:rPr>
                <w:rFonts w:eastAsia="Calibri"/>
                <w:lang w:eastAsia="en-US"/>
              </w:rPr>
              <w:t xml:space="preserve"> </w:t>
            </w:r>
            <w:r w:rsidR="00940A3B" w:rsidRPr="00427EE1">
              <w:rPr>
                <w:rFonts w:eastAsia="Calibri"/>
                <w:lang w:eastAsia="en-US"/>
              </w:rPr>
              <w:t xml:space="preserve">a copy of a report or consent to the </w:t>
            </w:r>
            <w:r w:rsidR="00AB414E">
              <w:rPr>
                <w:rFonts w:eastAsia="Calibri"/>
                <w:lang w:eastAsia="en-US"/>
              </w:rPr>
              <w:t>RBS</w:t>
            </w:r>
            <w:r w:rsidR="00940A3B" w:rsidRPr="00427EE1">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940A3B" w:rsidRPr="00427EE1" w:rsidRDefault="00940A3B" w:rsidP="00C02798">
            <w:pPr>
              <w:jc w:val="cente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40A3B" w:rsidRPr="00427EE1" w:rsidRDefault="00940A3B" w:rsidP="00C02798">
            <w:pPr>
              <w:jc w:val="cente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40A3B" w:rsidRPr="00427EE1" w:rsidRDefault="00940A3B" w:rsidP="00C02798">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40A3B" w:rsidRPr="00427EE1" w:rsidRDefault="00940A3B" w:rsidP="00C02798">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40A3B" w:rsidRPr="00427EE1" w:rsidRDefault="00940A3B" w:rsidP="00C02798">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940A3B">
            <w:pPr>
              <w:pStyle w:val="Tabletext"/>
              <w:rPr>
                <w:rFonts w:asciiTheme="majorHAnsi" w:eastAsia="Calibri" w:hAnsiTheme="majorHAnsi" w:cstheme="majorBidi"/>
                <w:b/>
                <w:sz w:val="40"/>
                <w:lang w:eastAsia="en-US"/>
              </w:rPr>
            </w:pPr>
            <w:r w:rsidRPr="00427EE1">
              <w:rPr>
                <w:rFonts w:eastAsia="Calibri"/>
                <w:lang w:eastAsia="en-US"/>
              </w:rPr>
              <w:t xml:space="preserve">This </w:t>
            </w:r>
            <w:r w:rsidR="008911CB">
              <w:rPr>
                <w:rFonts w:eastAsia="Calibri"/>
                <w:lang w:eastAsia="en-US"/>
              </w:rPr>
              <w:t>Regulation</w:t>
            </w:r>
            <w:r w:rsidRPr="00427EE1">
              <w:rPr>
                <w:rFonts w:eastAsia="Calibri"/>
                <w:lang w:eastAsia="en-US"/>
              </w:rPr>
              <w:t xml:space="preserve"> is required to give effect to </w:t>
            </w:r>
            <w:r w:rsidR="0023395A">
              <w:rPr>
                <w:rFonts w:eastAsia="Calibri"/>
                <w:lang w:eastAsia="en-US"/>
              </w:rPr>
              <w:t xml:space="preserve">cl </w:t>
            </w:r>
            <w:r w:rsidRPr="00427EE1">
              <w:rPr>
                <w:rFonts w:eastAsia="Calibri"/>
                <w:lang w:eastAsia="en-US"/>
              </w:rPr>
              <w:t xml:space="preserve">5(4) of </w:t>
            </w:r>
            <w:proofErr w:type="spellStart"/>
            <w:r w:rsidR="00EF2008">
              <w:rPr>
                <w:rFonts w:eastAsia="Calibri"/>
                <w:lang w:eastAsia="en-US"/>
              </w:rPr>
              <w:t>sch</w:t>
            </w:r>
            <w:proofErr w:type="spellEnd"/>
            <w:r w:rsidRPr="00427EE1">
              <w:rPr>
                <w:rFonts w:eastAsia="Calibri"/>
                <w:lang w:eastAsia="en-US"/>
              </w:rPr>
              <w:t xml:space="preserve"> 2 to the Act. This requirement was previously contained in a schedule to the 2006 </w:t>
            </w:r>
            <w:r w:rsidR="008911CB">
              <w:rPr>
                <w:rFonts w:eastAsia="Calibri"/>
                <w:lang w:eastAsia="en-US"/>
              </w:rPr>
              <w:t>Regulations</w:t>
            </w:r>
            <w:r w:rsidRPr="00427EE1">
              <w:rPr>
                <w:rFonts w:eastAsia="Calibri"/>
                <w:lang w:eastAsia="en-US"/>
              </w:rPr>
              <w:t xml:space="preserve"> but has now been included in the body of the </w:t>
            </w:r>
            <w:r w:rsidR="008911CB">
              <w:rPr>
                <w:rFonts w:eastAsia="Calibri"/>
                <w:lang w:eastAsia="en-US"/>
              </w:rPr>
              <w:t>Regulations</w:t>
            </w:r>
            <w:r w:rsidRPr="00427EE1">
              <w:rPr>
                <w:rFonts w:eastAsia="Calibri"/>
                <w:lang w:eastAsia="en-US"/>
              </w:rPr>
              <w:t xml:space="preserve"> with other related </w:t>
            </w:r>
            <w:r w:rsidR="008911CB">
              <w:rPr>
                <w:rFonts w:eastAsia="Calibri"/>
                <w:lang w:eastAsia="en-US"/>
              </w:rPr>
              <w:t>Regulations</w:t>
            </w:r>
            <w:r w:rsidRPr="00427EE1">
              <w:rPr>
                <w:rFonts w:eastAsia="Calibri"/>
                <w:lang w:eastAsia="en-US"/>
              </w:rPr>
              <w:t>, for clarity and ease of reference.</w:t>
            </w:r>
            <w:r w:rsidR="00E60957">
              <w:rPr>
                <w:rFonts w:eastAsia="Calibri"/>
                <w:lang w:eastAsia="en-US"/>
              </w:rPr>
              <w:t xml:space="preserve"> </w:t>
            </w:r>
          </w:p>
        </w:tc>
      </w:tr>
      <w:tr w:rsidR="008D7A99" w:rsidRPr="00427EE1" w:rsidTr="002E244C">
        <w:trPr>
          <w:cantSplit/>
          <w:trHeight w:val="340"/>
        </w:trPr>
        <w:tc>
          <w:tcPr>
            <w:tcW w:w="95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8D7A99">
            <w:pPr>
              <w:pStyle w:val="Tabletext"/>
              <w:rPr>
                <w:rFonts w:eastAsia="Calibri"/>
              </w:rPr>
            </w:pPr>
            <w:proofErr w:type="spellStart"/>
            <w:r w:rsidRPr="00427EE1">
              <w:rPr>
                <w:rFonts w:eastAsia="Calibri"/>
              </w:rPr>
              <w:t>Sch</w:t>
            </w:r>
            <w:proofErr w:type="spellEnd"/>
            <w:r w:rsidRPr="00427EE1">
              <w:rPr>
                <w:rFonts w:eastAsia="Calibri"/>
              </w:rPr>
              <w:t xml:space="preserve"> 3; item 2</w:t>
            </w:r>
          </w:p>
          <w:p w:rsidR="00E657D7" w:rsidRDefault="008D7A99">
            <w:pPr>
              <w:pStyle w:val="Tabletext"/>
              <w:rPr>
                <w:rFonts w:eastAsia="Calibri"/>
              </w:rPr>
            </w:pPr>
            <w:r w:rsidRPr="00427EE1">
              <w:rPr>
                <w:rFonts w:eastAsia="Calibri"/>
              </w:rPr>
              <w:t>Item 3</w:t>
            </w:r>
          </w:p>
          <w:p w:rsidR="00E657D7" w:rsidRDefault="008D7A99">
            <w:pPr>
              <w:pStyle w:val="Tabletext"/>
              <w:rPr>
                <w:rFonts w:eastAsia="Calibri"/>
              </w:rPr>
            </w:pPr>
            <w:r w:rsidRPr="00427EE1">
              <w:rPr>
                <w:rFonts w:eastAsia="Calibri"/>
              </w:rPr>
              <w:t>Item 4</w:t>
            </w:r>
          </w:p>
        </w:tc>
        <w:tc>
          <w:tcPr>
            <w:tcW w:w="98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8D7A99">
            <w:pPr>
              <w:pStyle w:val="Tabletext"/>
              <w:rPr>
                <w:rFonts w:asciiTheme="majorHAnsi" w:eastAsia="Calibri" w:hAnsiTheme="majorHAnsi" w:cstheme="majorBidi"/>
                <w:b/>
                <w:sz w:val="40"/>
                <w:lang w:eastAsia="en-US"/>
              </w:rPr>
            </w:pPr>
            <w:r w:rsidRPr="00427EE1">
              <w:rPr>
                <w:rFonts w:eastAsia="Calibri"/>
                <w:lang w:eastAsia="en-US"/>
              </w:rPr>
              <w:t>42</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8D7A99">
            <w:pPr>
              <w:pStyle w:val="Tabletext"/>
              <w:rPr>
                <w:rFonts w:asciiTheme="majorHAnsi" w:eastAsia="Calibri" w:hAnsiTheme="majorHAnsi" w:cstheme="majorBidi"/>
                <w:b/>
                <w:sz w:val="40"/>
                <w:lang w:eastAsia="en-US"/>
              </w:rPr>
            </w:pPr>
            <w:r w:rsidRPr="00427EE1">
              <w:rPr>
                <w:rFonts w:eastAsia="Calibri"/>
                <w:b/>
                <w:lang w:eastAsia="en-US"/>
              </w:rPr>
              <w:t>Time limits relating to the report or consent of reporting authorities</w:t>
            </w:r>
          </w:p>
          <w:p w:rsidR="00E657D7" w:rsidRDefault="002D140F">
            <w:pPr>
              <w:pStyle w:val="Tabletext"/>
              <w:rPr>
                <w:rFonts w:eastAsia="Calibri"/>
                <w:lang w:eastAsia="en-US"/>
              </w:rPr>
            </w:pPr>
            <w:r>
              <w:rPr>
                <w:rFonts w:eastAsia="Calibri"/>
                <w:lang w:eastAsia="en-US"/>
              </w:rPr>
              <w:t>S</w:t>
            </w:r>
            <w:r w:rsidRPr="00427EE1">
              <w:rPr>
                <w:rFonts w:eastAsia="Calibri"/>
                <w:lang w:eastAsia="en-US"/>
              </w:rPr>
              <w:t xml:space="preserve">pecifies </w:t>
            </w:r>
            <w:r w:rsidR="008D7A99" w:rsidRPr="00427EE1">
              <w:rPr>
                <w:rFonts w:eastAsia="Calibri"/>
                <w:lang w:eastAsia="en-US"/>
              </w:rPr>
              <w:t xml:space="preserve">how a building permit application should progress if a reporting authority fails to provide a report or consent within the specified time in this </w:t>
            </w:r>
            <w:r w:rsidR="008911CB">
              <w:rPr>
                <w:rFonts w:eastAsia="Calibri"/>
                <w:lang w:eastAsia="en-US"/>
              </w:rPr>
              <w:t>Regulation</w:t>
            </w:r>
            <w:r w:rsidR="008D7A99" w:rsidRPr="00427EE1">
              <w:rPr>
                <w:rFonts w:eastAsia="Calibri"/>
                <w:lang w:eastAsia="en-US"/>
              </w:rPr>
              <w:t xml:space="preserve">.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D7A99" w:rsidRPr="00427EE1" w:rsidRDefault="008D7A99" w:rsidP="00C02798">
            <w:pPr>
              <w:jc w:val="cente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D7A99" w:rsidRPr="00427EE1" w:rsidRDefault="008D7A99" w:rsidP="00C02798">
            <w:pPr>
              <w:jc w:val="cente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D7A99" w:rsidRPr="00427EE1" w:rsidRDefault="008D7A99" w:rsidP="00C02798">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D7A99" w:rsidRPr="00427EE1" w:rsidRDefault="008D7A99" w:rsidP="00C02798">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D7A99" w:rsidRPr="00427EE1" w:rsidRDefault="008D7A99" w:rsidP="00C02798">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8D7A99" w:rsidP="00EF2008">
            <w:pPr>
              <w:pStyle w:val="Tabletext"/>
              <w:rPr>
                <w:rFonts w:asciiTheme="majorHAnsi" w:eastAsia="Calibri" w:hAnsiTheme="majorHAnsi" w:cstheme="majorBidi"/>
                <w:b/>
                <w:sz w:val="40"/>
                <w:lang w:eastAsia="en-US"/>
              </w:rPr>
            </w:pPr>
            <w:r w:rsidRPr="00427EE1">
              <w:rPr>
                <w:rFonts w:eastAsia="Calibri"/>
                <w:lang w:eastAsia="en-US"/>
              </w:rPr>
              <w:t xml:space="preserve">This </w:t>
            </w:r>
            <w:r w:rsidR="008911CB">
              <w:rPr>
                <w:rFonts w:eastAsia="Calibri"/>
                <w:lang w:eastAsia="en-US"/>
              </w:rPr>
              <w:t>Regulation</w:t>
            </w:r>
            <w:r w:rsidRPr="00427EE1">
              <w:rPr>
                <w:rFonts w:eastAsia="Calibri"/>
                <w:lang w:eastAsia="en-US"/>
              </w:rPr>
              <w:t xml:space="preserve"> is required to give effect to </w:t>
            </w:r>
            <w:proofErr w:type="spellStart"/>
            <w:r w:rsidRPr="00427EE1">
              <w:rPr>
                <w:rFonts w:eastAsia="Calibri"/>
                <w:lang w:eastAsia="en-US"/>
              </w:rPr>
              <w:t>cls</w:t>
            </w:r>
            <w:proofErr w:type="spellEnd"/>
            <w:r w:rsidRPr="00427EE1">
              <w:rPr>
                <w:rFonts w:eastAsia="Calibri"/>
                <w:lang w:eastAsia="en-US"/>
              </w:rPr>
              <w:t xml:space="preserve"> 6(1), (2) and 3, and </w:t>
            </w:r>
            <w:r w:rsidR="0023395A">
              <w:rPr>
                <w:rFonts w:eastAsia="Calibri"/>
                <w:lang w:eastAsia="en-US"/>
              </w:rPr>
              <w:t xml:space="preserve">cl </w:t>
            </w:r>
            <w:r w:rsidRPr="00427EE1">
              <w:rPr>
                <w:rFonts w:eastAsia="Calibri"/>
                <w:lang w:eastAsia="en-US"/>
              </w:rPr>
              <w:t xml:space="preserve">6A(2), (3) and (4) of </w:t>
            </w:r>
            <w:proofErr w:type="spellStart"/>
            <w:r w:rsidR="00EF2008">
              <w:rPr>
                <w:rFonts w:eastAsia="Calibri"/>
                <w:lang w:eastAsia="en-US"/>
              </w:rPr>
              <w:t>sch</w:t>
            </w:r>
            <w:proofErr w:type="spellEnd"/>
            <w:r w:rsidRPr="00427EE1">
              <w:rPr>
                <w:rFonts w:eastAsia="Calibri"/>
                <w:lang w:eastAsia="en-US"/>
              </w:rPr>
              <w:t xml:space="preserve"> 2 to the Act. This requirement was previously contained in a schedule to the 2006 </w:t>
            </w:r>
            <w:r w:rsidR="008911CB">
              <w:rPr>
                <w:rFonts w:eastAsia="Calibri"/>
                <w:lang w:eastAsia="en-US"/>
              </w:rPr>
              <w:t>Regulations</w:t>
            </w:r>
            <w:r w:rsidRPr="00427EE1">
              <w:rPr>
                <w:rFonts w:eastAsia="Calibri"/>
                <w:lang w:eastAsia="en-US"/>
              </w:rPr>
              <w:t xml:space="preserve"> and has now been included in the body of the </w:t>
            </w:r>
            <w:r w:rsidR="008911CB">
              <w:rPr>
                <w:rFonts w:eastAsia="Calibri"/>
                <w:lang w:eastAsia="en-US"/>
              </w:rPr>
              <w:t>Regulations</w:t>
            </w:r>
            <w:r w:rsidRPr="00427EE1">
              <w:rPr>
                <w:rFonts w:eastAsia="Calibri"/>
                <w:lang w:eastAsia="en-US"/>
              </w:rPr>
              <w:t xml:space="preserve"> for clarity and ease of reference.</w:t>
            </w:r>
          </w:p>
        </w:tc>
      </w:tr>
      <w:tr w:rsidR="008D7A99" w:rsidRPr="00427EE1" w:rsidTr="002E244C">
        <w:trPr>
          <w:cantSplit/>
          <w:trHeight w:val="340"/>
        </w:trPr>
        <w:tc>
          <w:tcPr>
            <w:tcW w:w="95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8D7A99">
            <w:pPr>
              <w:pStyle w:val="Tabletext"/>
              <w:rPr>
                <w:rFonts w:eastAsia="Calibri"/>
              </w:rPr>
            </w:pPr>
            <w:proofErr w:type="spellStart"/>
            <w:r w:rsidRPr="00427EE1">
              <w:rPr>
                <w:rFonts w:eastAsia="Calibri"/>
              </w:rPr>
              <w:t>Sch</w:t>
            </w:r>
            <w:proofErr w:type="spellEnd"/>
            <w:r w:rsidRPr="00427EE1">
              <w:rPr>
                <w:rFonts w:eastAsia="Calibri"/>
              </w:rPr>
              <w:t xml:space="preserve"> 3; item 5</w:t>
            </w:r>
          </w:p>
        </w:tc>
        <w:tc>
          <w:tcPr>
            <w:tcW w:w="98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8D7A99">
            <w:pPr>
              <w:pStyle w:val="Tabletext"/>
              <w:rPr>
                <w:rFonts w:asciiTheme="majorHAnsi" w:eastAsia="Calibri" w:hAnsiTheme="majorHAnsi" w:cstheme="majorBidi"/>
                <w:b/>
                <w:sz w:val="40"/>
                <w:lang w:eastAsia="en-US"/>
              </w:rPr>
            </w:pPr>
            <w:r w:rsidRPr="00427EE1">
              <w:rPr>
                <w:rFonts w:eastAsia="Calibri"/>
                <w:lang w:eastAsia="en-US"/>
              </w:rPr>
              <w:t>43</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8D7A99">
            <w:pPr>
              <w:pStyle w:val="Tabletext"/>
              <w:rPr>
                <w:rFonts w:asciiTheme="majorHAnsi" w:eastAsia="Calibri" w:hAnsiTheme="majorHAnsi" w:cstheme="majorBidi"/>
                <w:b/>
                <w:sz w:val="40"/>
                <w:lang w:eastAsia="en-US"/>
              </w:rPr>
            </w:pPr>
            <w:r w:rsidRPr="00427EE1">
              <w:rPr>
                <w:rFonts w:eastAsia="Calibri"/>
                <w:b/>
                <w:lang w:eastAsia="en-US"/>
              </w:rPr>
              <w:t xml:space="preserve">Time within which </w:t>
            </w:r>
            <w:r w:rsidR="00AB414E">
              <w:rPr>
                <w:rFonts w:eastAsia="Calibri"/>
                <w:b/>
                <w:lang w:eastAsia="en-US"/>
              </w:rPr>
              <w:t>RBS</w:t>
            </w:r>
            <w:r w:rsidRPr="00427EE1">
              <w:rPr>
                <w:rFonts w:eastAsia="Calibri"/>
                <w:b/>
                <w:lang w:eastAsia="en-US"/>
              </w:rPr>
              <w:t xml:space="preserve"> must decide application for building permit</w:t>
            </w:r>
          </w:p>
          <w:p w:rsidR="00E657D7" w:rsidRDefault="002D140F">
            <w:pPr>
              <w:pStyle w:val="Tabletext"/>
              <w:rPr>
                <w:rFonts w:eastAsia="Calibri"/>
                <w:lang w:eastAsia="en-US"/>
              </w:rPr>
            </w:pPr>
            <w:r>
              <w:rPr>
                <w:rFonts w:eastAsia="Calibri"/>
                <w:lang w:eastAsia="en-US"/>
              </w:rPr>
              <w:t>S</w:t>
            </w:r>
            <w:r w:rsidRPr="00427EE1">
              <w:rPr>
                <w:rFonts w:eastAsia="Calibri"/>
                <w:lang w:eastAsia="en-US"/>
              </w:rPr>
              <w:t xml:space="preserve">pecifies </w:t>
            </w:r>
            <w:r w:rsidR="008D7A99" w:rsidRPr="00427EE1">
              <w:rPr>
                <w:rFonts w:eastAsia="Calibri"/>
                <w:lang w:eastAsia="en-US"/>
              </w:rPr>
              <w:t xml:space="preserve">the time period within which the </w:t>
            </w:r>
            <w:r w:rsidR="00AB414E">
              <w:rPr>
                <w:rFonts w:eastAsia="Calibri"/>
                <w:lang w:eastAsia="en-US"/>
              </w:rPr>
              <w:t>RBS</w:t>
            </w:r>
            <w:r w:rsidR="008D7A99" w:rsidRPr="00427EE1">
              <w:rPr>
                <w:rFonts w:eastAsia="Calibri"/>
                <w:lang w:eastAsia="en-US"/>
              </w:rPr>
              <w:t xml:space="preserve"> must decide</w:t>
            </w:r>
            <w:r w:rsidR="00E60957">
              <w:rPr>
                <w:rFonts w:eastAsia="Calibri"/>
                <w:lang w:eastAsia="en-US"/>
              </w:rPr>
              <w:t xml:space="preserve"> </w:t>
            </w:r>
            <w:r w:rsidR="008D7A99" w:rsidRPr="00427EE1">
              <w:rPr>
                <w:rFonts w:eastAsia="Calibri"/>
                <w:lang w:eastAsia="en-US"/>
              </w:rPr>
              <w:t>an application for a building permit.</w:t>
            </w:r>
            <w:r w:rsidR="00E60957">
              <w:rPr>
                <w:rFonts w:eastAsia="Calibri"/>
                <w:lang w:eastAsia="en-US"/>
              </w:rPr>
              <w:t xml:space="preserve"> </w:t>
            </w:r>
            <w:r w:rsidR="008D7A99" w:rsidRPr="00427EE1">
              <w:rPr>
                <w:rFonts w:eastAsia="Calibri"/>
                <w:lang w:eastAsia="en-US"/>
              </w:rPr>
              <w:t xml:space="preserve">If the application is not decided within the time prescribed in this </w:t>
            </w:r>
            <w:r w:rsidR="008911CB">
              <w:rPr>
                <w:rFonts w:eastAsia="Calibri"/>
                <w:lang w:eastAsia="en-US"/>
              </w:rPr>
              <w:t>Regulation</w:t>
            </w:r>
            <w:r w:rsidR="008D7A99" w:rsidRPr="00427EE1">
              <w:rPr>
                <w:rFonts w:eastAsia="Calibri"/>
                <w:lang w:eastAsia="en-US"/>
              </w:rPr>
              <w:t xml:space="preserve">, the application is deemed to have been refused by the </w:t>
            </w:r>
            <w:r w:rsidR="00AB414E">
              <w:rPr>
                <w:rFonts w:eastAsia="Calibri"/>
                <w:lang w:eastAsia="en-US"/>
              </w:rPr>
              <w:t>RBS</w:t>
            </w:r>
            <w:r w:rsidR="008D7A99" w:rsidRPr="00427EE1">
              <w:rPr>
                <w:rFonts w:eastAsia="Calibri"/>
                <w:lang w:eastAsia="en-US"/>
              </w:rPr>
              <w:t xml:space="preserve">.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D7A99" w:rsidRPr="00427EE1" w:rsidRDefault="008D7A99" w:rsidP="00C02798">
            <w:pPr>
              <w:jc w:val="cente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D7A99" w:rsidRPr="00427EE1" w:rsidRDefault="008D7A99" w:rsidP="00C02798">
            <w:pPr>
              <w:jc w:val="cente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D7A99" w:rsidRPr="00427EE1" w:rsidRDefault="008D7A99" w:rsidP="00C02798">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D7A99" w:rsidRPr="00427EE1" w:rsidRDefault="008D7A99" w:rsidP="00C02798">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D7A99" w:rsidRPr="00427EE1" w:rsidRDefault="008D7A99" w:rsidP="00C02798">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8D7A99">
            <w:pPr>
              <w:pStyle w:val="Tabletext"/>
              <w:rPr>
                <w:rFonts w:asciiTheme="majorHAnsi" w:eastAsia="Calibri" w:hAnsiTheme="majorHAnsi" w:cstheme="majorBidi"/>
                <w:b/>
                <w:sz w:val="40"/>
                <w:lang w:eastAsia="en-US"/>
              </w:rPr>
            </w:pPr>
            <w:r w:rsidRPr="00427EE1">
              <w:rPr>
                <w:rFonts w:eastAsia="Calibri"/>
                <w:lang w:eastAsia="en-US"/>
              </w:rPr>
              <w:t xml:space="preserve">This </w:t>
            </w:r>
            <w:r w:rsidR="008911CB">
              <w:rPr>
                <w:rFonts w:eastAsia="Calibri"/>
                <w:lang w:eastAsia="en-US"/>
              </w:rPr>
              <w:t>Regulation</w:t>
            </w:r>
            <w:r w:rsidRPr="00427EE1">
              <w:rPr>
                <w:rFonts w:eastAsia="Calibri"/>
                <w:lang w:eastAsia="en-US"/>
              </w:rPr>
              <w:t xml:space="preserve"> is required to give effect to </w:t>
            </w:r>
            <w:proofErr w:type="spellStart"/>
            <w:r w:rsidR="00EF2008">
              <w:rPr>
                <w:rFonts w:eastAsia="Calibri"/>
                <w:lang w:eastAsia="en-US"/>
              </w:rPr>
              <w:t>s</w:t>
            </w:r>
            <w:r w:rsidRPr="00427EE1">
              <w:rPr>
                <w:rFonts w:eastAsia="Calibri"/>
                <w:lang w:eastAsia="en-US"/>
              </w:rPr>
              <w:t>s</w:t>
            </w:r>
            <w:proofErr w:type="spellEnd"/>
            <w:r w:rsidRPr="00427EE1">
              <w:rPr>
                <w:rFonts w:eastAsia="Calibri"/>
                <w:lang w:eastAsia="en-US"/>
              </w:rPr>
              <w:t xml:space="preserve"> 19(2) and 19(3) of the Act. It also clarifies when the relevant time period commences in circumstances</w:t>
            </w:r>
            <w:r w:rsidR="00E60957">
              <w:rPr>
                <w:rFonts w:eastAsia="Calibri"/>
                <w:lang w:eastAsia="en-US"/>
              </w:rPr>
              <w:t xml:space="preserve"> </w:t>
            </w:r>
            <w:r w:rsidRPr="00427EE1">
              <w:rPr>
                <w:rFonts w:eastAsia="Calibri"/>
                <w:lang w:eastAsia="en-US"/>
              </w:rPr>
              <w:t xml:space="preserve">where multiple reports or consents are required in relation to a building permit application. This requirement was previously contained in a schedule to the 2006 </w:t>
            </w:r>
            <w:r w:rsidR="008911CB">
              <w:rPr>
                <w:rFonts w:eastAsia="Calibri"/>
                <w:lang w:eastAsia="en-US"/>
              </w:rPr>
              <w:t>Regulations</w:t>
            </w:r>
            <w:r w:rsidRPr="00427EE1">
              <w:rPr>
                <w:rFonts w:eastAsia="Calibri"/>
                <w:lang w:eastAsia="en-US"/>
              </w:rPr>
              <w:t xml:space="preserve"> and has now been included in the body of the </w:t>
            </w:r>
            <w:r w:rsidR="008911CB">
              <w:rPr>
                <w:rFonts w:eastAsia="Calibri"/>
                <w:lang w:eastAsia="en-US"/>
              </w:rPr>
              <w:t>Regulations</w:t>
            </w:r>
            <w:r w:rsidRPr="00427EE1">
              <w:rPr>
                <w:rFonts w:eastAsia="Calibri"/>
                <w:lang w:eastAsia="en-US"/>
              </w:rPr>
              <w:t xml:space="preserve">, with other related </w:t>
            </w:r>
            <w:r w:rsidR="008911CB">
              <w:rPr>
                <w:rFonts w:eastAsia="Calibri"/>
                <w:lang w:eastAsia="en-US"/>
              </w:rPr>
              <w:t>Regulations</w:t>
            </w:r>
            <w:r w:rsidRPr="00427EE1">
              <w:rPr>
                <w:rFonts w:eastAsia="Calibri"/>
                <w:lang w:eastAsia="en-US"/>
              </w:rPr>
              <w:t>,</w:t>
            </w:r>
            <w:r w:rsidR="00E60957">
              <w:rPr>
                <w:rFonts w:eastAsia="Calibri"/>
                <w:lang w:eastAsia="en-US"/>
              </w:rPr>
              <w:t xml:space="preserve"> </w:t>
            </w:r>
            <w:r w:rsidRPr="00427EE1">
              <w:rPr>
                <w:rFonts w:eastAsia="Calibri"/>
                <w:lang w:eastAsia="en-US"/>
              </w:rPr>
              <w:t>for clarity and ease of reference.</w:t>
            </w:r>
          </w:p>
          <w:p w:rsidR="00E657D7" w:rsidRDefault="00E657D7">
            <w:pPr>
              <w:pStyle w:val="Tabletext"/>
              <w:rPr>
                <w:rFonts w:eastAsia="Calibri"/>
                <w:sz w:val="16"/>
                <w:lang w:eastAsia="en-US"/>
              </w:rPr>
            </w:pPr>
          </w:p>
        </w:tc>
      </w:tr>
      <w:tr w:rsidR="00B751DE" w:rsidRPr="00427EE1" w:rsidTr="002E244C">
        <w:trPr>
          <w:cantSplit/>
          <w:trHeight w:val="340"/>
        </w:trPr>
        <w:tc>
          <w:tcPr>
            <w:tcW w:w="95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pPr>
              <w:pStyle w:val="Tabletext"/>
              <w:rPr>
                <w:rFonts w:eastAsia="Calibri"/>
              </w:rPr>
            </w:pPr>
            <w:r w:rsidRPr="00427EE1">
              <w:rPr>
                <w:rFonts w:eastAsia="Calibri"/>
              </w:rPr>
              <w:lastRenderedPageBreak/>
              <w:t>312</w:t>
            </w:r>
          </w:p>
        </w:tc>
        <w:tc>
          <w:tcPr>
            <w:tcW w:w="98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44</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pPr>
              <w:pStyle w:val="Tabletext"/>
              <w:rPr>
                <w:rFonts w:asciiTheme="majorHAnsi" w:eastAsia="Calibri" w:hAnsiTheme="majorHAnsi" w:cstheme="majorBidi"/>
                <w:b/>
                <w:sz w:val="40"/>
                <w:lang w:eastAsia="en-US"/>
              </w:rPr>
            </w:pPr>
            <w:r w:rsidRPr="00427EE1">
              <w:rPr>
                <w:rFonts w:eastAsia="Calibri"/>
                <w:b/>
                <w:lang w:eastAsia="en-US"/>
              </w:rPr>
              <w:t>Maximum fees for report and consent</w:t>
            </w:r>
          </w:p>
          <w:p w:rsidR="00E657D7" w:rsidRDefault="002D140F">
            <w:pPr>
              <w:pStyle w:val="Tabletext"/>
              <w:rPr>
                <w:rFonts w:eastAsia="Calibri"/>
                <w:lang w:eastAsia="en-US"/>
              </w:rPr>
            </w:pPr>
            <w:r>
              <w:rPr>
                <w:rFonts w:eastAsia="Calibri"/>
                <w:lang w:eastAsia="en-US"/>
              </w:rPr>
              <w:t>S</w:t>
            </w:r>
            <w:r w:rsidRPr="00427EE1">
              <w:rPr>
                <w:rFonts w:eastAsia="Calibri"/>
                <w:lang w:eastAsia="en-US"/>
              </w:rPr>
              <w:t xml:space="preserve">pecifies </w:t>
            </w:r>
            <w:r w:rsidR="00586E12" w:rsidRPr="00427EE1">
              <w:rPr>
                <w:rFonts w:eastAsia="Calibri"/>
                <w:lang w:eastAsia="en-US"/>
              </w:rPr>
              <w:t xml:space="preserve">fees payable to a reporting authority for consideration of a building permit application when referred to it under the Act or the Regulations.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B751DE">
            <w:pPr>
              <w:jc w:val="cente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B751DE">
            <w:pPr>
              <w:jc w:val="cente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DD2AD3">
            <w:pPr>
              <w:pStyle w:val="Tabletext"/>
              <w:rPr>
                <w:rFonts w:asciiTheme="majorHAnsi" w:eastAsia="Calibri" w:hAnsiTheme="majorHAnsi" w:cstheme="majorBidi"/>
                <w:b/>
                <w:sz w:val="40"/>
                <w:lang w:eastAsia="en-US"/>
              </w:rPr>
            </w:pPr>
            <w:r w:rsidRPr="00427EE1">
              <w:rPr>
                <w:rFonts w:eastAsia="Calibri"/>
                <w:lang w:eastAsia="en-US"/>
              </w:rPr>
              <w:t xml:space="preserve">This </w:t>
            </w:r>
            <w:r w:rsidR="008911CB">
              <w:rPr>
                <w:rFonts w:eastAsia="Calibri"/>
                <w:lang w:eastAsia="en-US"/>
              </w:rPr>
              <w:t>Regulation</w:t>
            </w:r>
            <w:r w:rsidRPr="00427EE1">
              <w:rPr>
                <w:rFonts w:eastAsia="Calibri"/>
                <w:lang w:eastAsia="en-US"/>
              </w:rPr>
              <w:t xml:space="preserve"> is required to cover a reporting authorities costs of assessing and responding to a building permit application which has been referred to it. </w:t>
            </w:r>
            <w:r w:rsidR="001770BB" w:rsidRPr="00427EE1">
              <w:rPr>
                <w:rFonts w:eastAsia="Calibri"/>
                <w:lang w:eastAsia="en-US"/>
              </w:rPr>
              <w:t>All f</w:t>
            </w:r>
            <w:r w:rsidRPr="00427EE1">
              <w:rPr>
                <w:rFonts w:eastAsia="Calibri"/>
                <w:lang w:eastAsia="en-US"/>
              </w:rPr>
              <w:t xml:space="preserve">ee units are updated to correspond with </w:t>
            </w:r>
            <w:r w:rsidR="00B751DE" w:rsidRPr="00427EE1">
              <w:rPr>
                <w:rFonts w:eastAsia="Calibri"/>
                <w:lang w:eastAsia="en-US"/>
              </w:rPr>
              <w:t>full cost recovery</w:t>
            </w:r>
            <w:r w:rsidR="00FD0F4C" w:rsidRPr="00427EE1">
              <w:rPr>
                <w:rFonts w:eastAsia="Calibri"/>
                <w:lang w:eastAsia="en-US"/>
              </w:rPr>
              <w:t>.</w:t>
            </w:r>
            <w:r w:rsidR="001770BB" w:rsidRPr="00427EE1">
              <w:rPr>
                <w:rFonts w:eastAsia="Calibri"/>
                <w:lang w:eastAsia="en-US"/>
              </w:rPr>
              <w:t xml:space="preserve"> There are four fee changes (</w:t>
            </w:r>
            <w:r w:rsidR="00BB3A66" w:rsidRPr="00427EE1">
              <w:rPr>
                <w:rFonts w:eastAsia="Calibri"/>
                <w:lang w:eastAsia="en-US"/>
              </w:rPr>
              <w:t>demolitions</w:t>
            </w:r>
            <w:r w:rsidR="001770BB" w:rsidRPr="00427EE1">
              <w:rPr>
                <w:rFonts w:eastAsia="Calibri"/>
                <w:lang w:eastAsia="en-US"/>
              </w:rPr>
              <w:t xml:space="preserve"> has changed from 4.60 to 5.75 fee units; siting, allotments projections and work in special areas has changed from 18.43 to 19.61 fee units; protection of the </w:t>
            </w:r>
            <w:r w:rsidR="00BB3A66" w:rsidRPr="00427EE1">
              <w:rPr>
                <w:rFonts w:eastAsia="Calibri"/>
                <w:lang w:eastAsia="en-US"/>
              </w:rPr>
              <w:t>public</w:t>
            </w:r>
            <w:r w:rsidR="001770BB" w:rsidRPr="00427EE1">
              <w:rPr>
                <w:rFonts w:eastAsia="Calibri"/>
                <w:lang w:eastAsia="en-US"/>
              </w:rPr>
              <w:t xml:space="preserve"> has changed from 18.43 to 19.90 fee units and </w:t>
            </w:r>
            <w:proofErr w:type="spellStart"/>
            <w:r w:rsidR="001770BB" w:rsidRPr="00427EE1">
              <w:rPr>
                <w:rFonts w:eastAsia="Calibri"/>
                <w:lang w:eastAsia="en-US"/>
              </w:rPr>
              <w:t>stormwater</w:t>
            </w:r>
            <w:proofErr w:type="spellEnd"/>
            <w:r w:rsidR="001770BB" w:rsidRPr="00427EE1">
              <w:rPr>
                <w:rFonts w:eastAsia="Calibri"/>
                <w:lang w:eastAsia="en-US"/>
              </w:rPr>
              <w:t xml:space="preserve"> drainage has changed from 4.60 fee units to 9.77 fee </w:t>
            </w:r>
            <w:r w:rsidR="00995450">
              <w:rPr>
                <w:rFonts w:eastAsia="Calibri"/>
                <w:lang w:eastAsia="en-US"/>
              </w:rPr>
              <w:t>units).</w:t>
            </w:r>
          </w:p>
        </w:tc>
      </w:tr>
    </w:tbl>
    <w:p w:rsidR="00E657D7" w:rsidRDefault="00E657D7"/>
    <w:p w:rsidR="00B751DE" w:rsidRPr="00427EE1" w:rsidRDefault="00EF2008" w:rsidP="006119D2">
      <w:pPr>
        <w:pStyle w:val="Heading4"/>
      </w:pPr>
      <w:proofErr w:type="spellStart"/>
      <w:r>
        <w:t>Div</w:t>
      </w:r>
      <w:proofErr w:type="spellEnd"/>
      <w:r w:rsidR="006E6791" w:rsidRPr="00427EE1">
        <w:t xml:space="preserve"> </w:t>
      </w:r>
      <w:r w:rsidR="00B751DE" w:rsidRPr="00427EE1">
        <w:t>4</w:t>
      </w:r>
      <w:r w:rsidR="008475D9">
        <w:t>—</w:t>
      </w:r>
      <w:r w:rsidR="00B751DE" w:rsidRPr="00427EE1">
        <w:t xml:space="preserve">Building </w:t>
      </w:r>
      <w:r w:rsidR="007837CC">
        <w:t>p</w:t>
      </w:r>
      <w:r w:rsidR="00B751DE" w:rsidRPr="00427EE1">
        <w:t>ermits</w:t>
      </w:r>
    </w:p>
    <w:tbl>
      <w:tblPr>
        <w:tblW w:w="14493" w:type="dxa"/>
        <w:tblInd w:w="-116"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38"/>
        <w:gridCol w:w="987"/>
        <w:gridCol w:w="4243"/>
        <w:gridCol w:w="399"/>
        <w:gridCol w:w="399"/>
        <w:gridCol w:w="402"/>
        <w:gridCol w:w="400"/>
        <w:gridCol w:w="398"/>
        <w:gridCol w:w="6327"/>
      </w:tblGrid>
      <w:tr w:rsidR="00B751DE" w:rsidRPr="00427EE1" w:rsidTr="002E244C">
        <w:trPr>
          <w:cantSplit/>
          <w:trHeight w:val="147"/>
          <w:tblHeader/>
        </w:trPr>
        <w:tc>
          <w:tcPr>
            <w:tcW w:w="938" w:type="dxa"/>
            <w:vMerge w:val="restart"/>
            <w:shd w:val="clear" w:color="auto" w:fill="00B2A9" w:themeFill="accent1"/>
            <w:vAlign w:val="center"/>
            <w:hideMark/>
          </w:tcPr>
          <w:p w:rsidR="00E657D7" w:rsidRDefault="00BE72D7">
            <w:pPr>
              <w:pStyle w:val="Tablecolumnhead"/>
              <w:rPr>
                <w:rFonts w:asciiTheme="majorHAnsi" w:eastAsia="Calibri" w:hAnsiTheme="majorHAnsi" w:cstheme="majorBidi"/>
                <w:sz w:val="40"/>
              </w:rPr>
            </w:pPr>
            <w:r w:rsidRPr="00BE72D7">
              <w:rPr>
                <w:rFonts w:eastAsia="Calibri"/>
              </w:rPr>
              <w:t>2006</w:t>
            </w:r>
          </w:p>
          <w:p w:rsidR="00E657D7" w:rsidRDefault="002E244C">
            <w:pPr>
              <w:pStyle w:val="Tablecolumnhead"/>
              <w:rPr>
                <w:rFonts w:eastAsia="Calibri"/>
              </w:rPr>
            </w:pPr>
            <w:r w:rsidRPr="00C44680">
              <w:rPr>
                <w:rFonts w:ascii="Arial Bold" w:eastAsia="Calibri" w:hAnsi="Arial Bold"/>
                <w:spacing w:val="-12"/>
                <w:sz w:val="16"/>
              </w:rPr>
              <w:t>Regulation</w:t>
            </w:r>
          </w:p>
        </w:tc>
        <w:tc>
          <w:tcPr>
            <w:tcW w:w="987" w:type="dxa"/>
            <w:vMerge w:val="restart"/>
            <w:shd w:val="clear" w:color="auto" w:fill="00B2A9" w:themeFill="accent1"/>
            <w:vAlign w:val="center"/>
            <w:hideMark/>
          </w:tcPr>
          <w:p w:rsidR="00E657D7" w:rsidRDefault="008F0E53">
            <w:pPr>
              <w:pStyle w:val="Tablecolumnhead"/>
              <w:rPr>
                <w:rFonts w:asciiTheme="majorHAnsi" w:eastAsiaTheme="majorEastAsia" w:hAnsiTheme="majorHAnsi" w:cstheme="majorBidi"/>
                <w:sz w:val="40"/>
              </w:rPr>
            </w:pPr>
            <w:r w:rsidRPr="008F0E53">
              <w:rPr>
                <w:rFonts w:eastAsia="Calibri"/>
              </w:rPr>
              <w:t>2017</w:t>
            </w:r>
          </w:p>
          <w:p w:rsidR="00E657D7" w:rsidRDefault="002E244C">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E657D7" w:rsidRDefault="008F0E53">
            <w:pPr>
              <w:pStyle w:val="Tablecolumnhead"/>
              <w:rPr>
                <w:rFonts w:asciiTheme="majorHAnsi" w:eastAsia="Calibri" w:hAnsiTheme="majorHAnsi" w:cstheme="majorBidi"/>
                <w:sz w:val="40"/>
              </w:rPr>
            </w:pPr>
            <w:r w:rsidRPr="008F0E53">
              <w:t xml:space="preserve">Short description of the </w:t>
            </w:r>
            <w:r w:rsidR="008911CB">
              <w:t>Regulation</w:t>
            </w:r>
          </w:p>
        </w:tc>
        <w:tc>
          <w:tcPr>
            <w:tcW w:w="1998" w:type="dxa"/>
            <w:gridSpan w:val="5"/>
            <w:shd w:val="clear" w:color="auto" w:fill="00B2A9" w:themeFill="accent1"/>
            <w:vAlign w:val="center"/>
          </w:tcPr>
          <w:p w:rsidR="00E657D7" w:rsidRDefault="008F0E53">
            <w:pPr>
              <w:pStyle w:val="Tablecolumnhead"/>
              <w:rPr>
                <w:rFonts w:asciiTheme="majorHAnsi" w:eastAsiaTheme="majorEastAsia" w:hAnsiTheme="majorHAnsi" w:cstheme="majorBidi"/>
                <w:sz w:val="40"/>
              </w:rPr>
            </w:pPr>
            <w:r w:rsidRPr="008F0E53">
              <w:t>Proposed regulatory change</w:t>
            </w:r>
          </w:p>
        </w:tc>
        <w:tc>
          <w:tcPr>
            <w:tcW w:w="6327" w:type="dxa"/>
            <w:vMerge w:val="restart"/>
            <w:shd w:val="clear" w:color="auto" w:fill="00B2A9" w:themeFill="accent1"/>
            <w:vAlign w:val="center"/>
          </w:tcPr>
          <w:p w:rsidR="00E657D7" w:rsidRDefault="00873DF8">
            <w:pPr>
              <w:pStyle w:val="Tablecolumnhead"/>
              <w:rPr>
                <w:rFonts w:asciiTheme="majorHAnsi" w:eastAsiaTheme="majorEastAsia" w:hAnsiTheme="majorHAnsi" w:cstheme="majorBidi"/>
                <w:sz w:val="40"/>
              </w:rPr>
            </w:pPr>
            <w:r w:rsidRPr="00873DF8">
              <w:t>Why the 2017 Regulation is proposed</w:t>
            </w:r>
          </w:p>
        </w:tc>
      </w:tr>
      <w:tr w:rsidR="00B751DE" w:rsidRPr="00427EE1" w:rsidTr="002E244C">
        <w:trPr>
          <w:cantSplit/>
          <w:trHeight w:val="966"/>
          <w:tblHeader/>
        </w:trPr>
        <w:tc>
          <w:tcPr>
            <w:tcW w:w="938" w:type="dxa"/>
            <w:vMerge/>
            <w:shd w:val="clear" w:color="auto" w:fill="00B2A9" w:themeFill="accent1"/>
            <w:vAlign w:val="center"/>
            <w:hideMark/>
          </w:tcPr>
          <w:p w:rsidR="00B751DE" w:rsidRPr="00427EE1" w:rsidRDefault="00B751DE" w:rsidP="00B751DE">
            <w:pPr>
              <w:spacing w:line="276" w:lineRule="auto"/>
              <w:jc w:val="center"/>
              <w:rPr>
                <w:rFonts w:ascii="Calibri" w:eastAsia="Calibri" w:hAnsi="Calibri"/>
                <w:sz w:val="16"/>
                <w:szCs w:val="16"/>
                <w:lang w:eastAsia="en-US"/>
              </w:rPr>
            </w:pPr>
          </w:p>
        </w:tc>
        <w:tc>
          <w:tcPr>
            <w:tcW w:w="987" w:type="dxa"/>
            <w:vMerge/>
            <w:shd w:val="clear" w:color="auto" w:fill="00B2A9" w:themeFill="accent1"/>
            <w:vAlign w:val="center"/>
            <w:hideMark/>
          </w:tcPr>
          <w:p w:rsidR="00B751DE" w:rsidRPr="00427EE1" w:rsidRDefault="00B751DE" w:rsidP="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rsidP="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rsidP="00B751DE">
            <w:pPr>
              <w:spacing w:line="276" w:lineRule="auto"/>
              <w:ind w:left="113" w:right="113"/>
              <w:jc w:val="center"/>
              <w:rPr>
                <w:sz w:val="16"/>
                <w:szCs w:val="16"/>
                <w:lang w:eastAsia="en-US"/>
              </w:rPr>
            </w:pPr>
          </w:p>
        </w:tc>
      </w:tr>
      <w:tr w:rsidR="00E8553B" w:rsidRPr="00427EE1" w:rsidTr="002E244C">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E8553B">
            <w:pPr>
              <w:pStyle w:val="Tabletext"/>
              <w:rPr>
                <w:rFonts w:eastAsia="Calibri"/>
              </w:rPr>
            </w:pPr>
            <w:r w:rsidRPr="00427EE1">
              <w:rPr>
                <w:rFonts w:eastAsia="Calibri"/>
              </w:rPr>
              <w:t>313</w:t>
            </w:r>
          </w:p>
        </w:tc>
        <w:tc>
          <w:tcPr>
            <w:tcW w:w="98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E8553B">
            <w:pPr>
              <w:pStyle w:val="Tabletext"/>
              <w:rPr>
                <w:rFonts w:asciiTheme="majorHAnsi" w:eastAsia="Calibri" w:hAnsiTheme="majorHAnsi" w:cstheme="majorBidi"/>
                <w:b/>
                <w:sz w:val="40"/>
                <w:lang w:eastAsia="en-US"/>
              </w:rPr>
            </w:pPr>
            <w:r w:rsidRPr="00427EE1">
              <w:rPr>
                <w:rFonts w:eastAsia="Calibri"/>
                <w:lang w:eastAsia="en-US"/>
              </w:rPr>
              <w:t>45</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E8553B">
            <w:pPr>
              <w:pStyle w:val="Tabletext"/>
              <w:rPr>
                <w:rFonts w:asciiTheme="majorHAnsi" w:eastAsia="Calibri" w:hAnsiTheme="majorHAnsi" w:cstheme="majorBidi"/>
                <w:b/>
                <w:sz w:val="40"/>
                <w:lang w:eastAsia="en-US"/>
              </w:rPr>
            </w:pPr>
            <w:r w:rsidRPr="00427EE1">
              <w:rPr>
                <w:rFonts w:eastAsia="Calibri"/>
                <w:b/>
                <w:lang w:eastAsia="en-US"/>
              </w:rPr>
              <w:t>Issue of building permit</w:t>
            </w:r>
          </w:p>
          <w:p w:rsidR="00E657D7" w:rsidRDefault="002D140F">
            <w:pPr>
              <w:pStyle w:val="Tabletext"/>
              <w:rPr>
                <w:rFonts w:eastAsia="Calibri"/>
                <w:lang w:eastAsia="en-US"/>
              </w:rPr>
            </w:pPr>
            <w:r>
              <w:rPr>
                <w:rFonts w:eastAsia="Calibri"/>
                <w:lang w:eastAsia="en-US"/>
              </w:rPr>
              <w:t>S</w:t>
            </w:r>
            <w:r w:rsidRPr="00427EE1">
              <w:rPr>
                <w:rFonts w:eastAsia="Calibri"/>
                <w:lang w:eastAsia="en-US"/>
              </w:rPr>
              <w:t xml:space="preserve">pecifies </w:t>
            </w:r>
            <w:r w:rsidR="00E8553B" w:rsidRPr="00427EE1">
              <w:rPr>
                <w:rFonts w:eastAsia="Calibri"/>
                <w:lang w:eastAsia="en-US"/>
              </w:rPr>
              <w:t xml:space="preserve">the form a building permit must be issued in, the requirement for that form to be signed by the issuing </w:t>
            </w:r>
            <w:r w:rsidR="00AB414E">
              <w:rPr>
                <w:rFonts w:eastAsia="Calibri"/>
                <w:lang w:eastAsia="en-US"/>
              </w:rPr>
              <w:t>RBS</w:t>
            </w:r>
            <w:r w:rsidR="00E8553B" w:rsidRPr="00427EE1">
              <w:rPr>
                <w:rFonts w:eastAsia="Calibri"/>
                <w:lang w:eastAsia="en-US"/>
              </w:rPr>
              <w:t xml:space="preserve"> and</w:t>
            </w:r>
            <w:r w:rsidR="00E60957">
              <w:rPr>
                <w:rFonts w:eastAsia="Calibri"/>
                <w:lang w:eastAsia="en-US"/>
              </w:rPr>
              <w:t xml:space="preserve"> </w:t>
            </w:r>
            <w:r w:rsidR="00E8553B" w:rsidRPr="00427EE1">
              <w:rPr>
                <w:rFonts w:eastAsia="Calibri"/>
                <w:lang w:eastAsia="en-US"/>
              </w:rPr>
              <w:t>also</w:t>
            </w:r>
            <w:r w:rsidR="00E60957">
              <w:rPr>
                <w:rFonts w:eastAsia="Calibri"/>
                <w:lang w:eastAsia="en-US"/>
              </w:rPr>
              <w:t xml:space="preserve"> </w:t>
            </w:r>
            <w:r w:rsidR="00E8553B" w:rsidRPr="00427EE1">
              <w:rPr>
                <w:rFonts w:eastAsia="Calibri"/>
                <w:lang w:eastAsia="en-US"/>
              </w:rPr>
              <w:t>information which must be included in a building permit.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8553B" w:rsidRPr="00427EE1" w:rsidRDefault="00E8553B" w:rsidP="00C0279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8553B" w:rsidRPr="00427EE1" w:rsidRDefault="00E8553B" w:rsidP="00C02798">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8553B" w:rsidRPr="00427EE1" w:rsidRDefault="00E8553B" w:rsidP="00C0279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8553B" w:rsidRPr="00427EE1" w:rsidRDefault="00E8553B" w:rsidP="00C02798">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8553B" w:rsidRPr="00427EE1" w:rsidRDefault="00E8553B" w:rsidP="00C02798">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E8553B">
            <w:pPr>
              <w:pStyle w:val="Tabletext"/>
              <w:rPr>
                <w:rFonts w:eastAsia="Calibri"/>
              </w:rPr>
            </w:pPr>
            <w:r w:rsidRPr="00427EE1">
              <w:rPr>
                <w:rFonts w:eastAsia="Calibri"/>
              </w:rPr>
              <w:t xml:space="preserve">This </w:t>
            </w:r>
            <w:r w:rsidR="008911CB">
              <w:rPr>
                <w:rFonts w:eastAsia="Calibri"/>
              </w:rPr>
              <w:t>Regulation</w:t>
            </w:r>
            <w:r w:rsidRPr="00427EE1">
              <w:rPr>
                <w:rFonts w:eastAsia="Calibri"/>
              </w:rPr>
              <w:t xml:space="preserve"> is required to improve administrative efficiency. Minor changes have been made to the prescribed building permit form to require more information to be included in the permit in relation to the nature and method of approval of performance solutions authorised by the </w:t>
            </w:r>
            <w:r w:rsidR="00AB414E">
              <w:rPr>
                <w:rFonts w:eastAsia="Calibri"/>
              </w:rPr>
              <w:t>RBS</w:t>
            </w:r>
            <w:r w:rsidRPr="00427EE1">
              <w:rPr>
                <w:rFonts w:eastAsia="Calibri"/>
              </w:rPr>
              <w:t xml:space="preserve"> as part of an approved scope of building work.</w:t>
            </w:r>
          </w:p>
        </w:tc>
      </w:tr>
      <w:tr w:rsidR="00E8553B" w:rsidRPr="00427EE1" w:rsidTr="002E244C">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E8553B">
            <w:pPr>
              <w:pStyle w:val="Tabletext"/>
              <w:rPr>
                <w:rFonts w:eastAsia="Calibri"/>
              </w:rPr>
            </w:pPr>
            <w:r w:rsidRPr="00427EE1">
              <w:rPr>
                <w:rFonts w:eastAsia="Calibri"/>
              </w:rPr>
              <w:t>n/a</w:t>
            </w:r>
          </w:p>
        </w:tc>
        <w:tc>
          <w:tcPr>
            <w:tcW w:w="98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E8553B">
            <w:pPr>
              <w:pStyle w:val="Tabletext"/>
              <w:rPr>
                <w:rFonts w:asciiTheme="majorHAnsi" w:eastAsia="Calibri" w:hAnsiTheme="majorHAnsi" w:cstheme="majorBidi"/>
                <w:b/>
                <w:sz w:val="40"/>
                <w:lang w:eastAsia="en-US"/>
              </w:rPr>
            </w:pPr>
            <w:r w:rsidRPr="00427EE1">
              <w:rPr>
                <w:rFonts w:eastAsia="Calibri"/>
                <w:lang w:eastAsia="en-US"/>
              </w:rPr>
              <w:t>NEW</w:t>
            </w:r>
          </w:p>
          <w:p w:rsidR="00E657D7" w:rsidRDefault="00E8553B">
            <w:pPr>
              <w:pStyle w:val="Tabletext"/>
              <w:rPr>
                <w:rFonts w:asciiTheme="majorHAnsi" w:eastAsia="Calibri" w:hAnsiTheme="majorHAnsi" w:cstheme="majorBidi"/>
                <w:b/>
                <w:sz w:val="40"/>
                <w:lang w:eastAsia="en-US"/>
              </w:rPr>
            </w:pPr>
            <w:r w:rsidRPr="00427EE1">
              <w:rPr>
                <w:rFonts w:eastAsia="Calibri"/>
                <w:lang w:eastAsia="en-US"/>
              </w:rPr>
              <w:t>46</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E657D7" w:rsidRDefault="00E8553B">
            <w:pPr>
              <w:pStyle w:val="Tabletext"/>
              <w:rPr>
                <w:rFonts w:asciiTheme="majorHAnsi" w:eastAsia="Calibri" w:hAnsiTheme="majorHAnsi" w:cstheme="majorBidi"/>
                <w:b/>
                <w:sz w:val="40"/>
                <w:lang w:eastAsia="en-US"/>
              </w:rPr>
            </w:pPr>
            <w:r w:rsidRPr="00427EE1">
              <w:rPr>
                <w:rFonts w:eastAsia="Calibri"/>
                <w:b/>
                <w:lang w:eastAsia="en-US"/>
              </w:rPr>
              <w:t>Building surveyor to document assessment of performance solutions</w:t>
            </w:r>
          </w:p>
          <w:p w:rsidR="00E657D7" w:rsidRDefault="002D140F">
            <w:pPr>
              <w:pStyle w:val="Tabletext"/>
              <w:rPr>
                <w:rFonts w:eastAsia="Calibri"/>
                <w:lang w:eastAsia="en-US"/>
              </w:rPr>
            </w:pPr>
            <w:r>
              <w:rPr>
                <w:rFonts w:eastAsia="Calibri"/>
                <w:lang w:eastAsia="en-US"/>
              </w:rPr>
              <w:t>R</w:t>
            </w:r>
            <w:r w:rsidR="00E8553B" w:rsidRPr="00427EE1">
              <w:rPr>
                <w:rFonts w:eastAsia="Calibri"/>
                <w:lang w:eastAsia="en-US"/>
              </w:rPr>
              <w:t xml:space="preserve">equires the </w:t>
            </w:r>
            <w:r w:rsidR="00AB414E">
              <w:rPr>
                <w:rFonts w:eastAsia="Calibri"/>
                <w:lang w:eastAsia="en-US"/>
              </w:rPr>
              <w:t>RBS</w:t>
            </w:r>
            <w:r w:rsidR="00E8553B" w:rsidRPr="00427EE1">
              <w:rPr>
                <w:rFonts w:eastAsia="Calibri"/>
                <w:lang w:eastAsia="en-US"/>
              </w:rPr>
              <w:t xml:space="preserve"> to record in writing how performance solutions have been assessed when issuing a building permit.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8553B" w:rsidRPr="00427EE1" w:rsidRDefault="00E8553B" w:rsidP="00C0279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8553B" w:rsidRPr="00427EE1" w:rsidRDefault="00E8553B" w:rsidP="00C02798">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8553B" w:rsidRPr="00427EE1" w:rsidRDefault="00E8553B" w:rsidP="00C02798">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8553B" w:rsidRPr="00427EE1" w:rsidRDefault="00E8553B" w:rsidP="00C02798">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8553B" w:rsidRPr="00427EE1" w:rsidRDefault="00E8553B" w:rsidP="00C0279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E8553B">
            <w:pPr>
              <w:pStyle w:val="Tabletext"/>
              <w:rPr>
                <w:rFonts w:eastAsia="Calibri"/>
              </w:rPr>
            </w:pPr>
            <w:r w:rsidRPr="00427EE1">
              <w:rPr>
                <w:rFonts w:eastAsia="Calibri"/>
              </w:rPr>
              <w:t xml:space="preserve">This </w:t>
            </w:r>
            <w:r w:rsidR="008911CB">
              <w:rPr>
                <w:rFonts w:eastAsia="Calibri"/>
              </w:rPr>
              <w:t>Regulation</w:t>
            </w:r>
            <w:r w:rsidRPr="00427EE1">
              <w:rPr>
                <w:rFonts w:eastAsia="Calibri"/>
              </w:rPr>
              <w:t xml:space="preserve"> addresses information asymmetry and is a new </w:t>
            </w:r>
            <w:r w:rsidR="008911CB">
              <w:rPr>
                <w:rFonts w:eastAsia="Calibri"/>
              </w:rPr>
              <w:t>Regulation</w:t>
            </w:r>
            <w:r w:rsidRPr="00427EE1">
              <w:rPr>
                <w:rFonts w:eastAsia="Calibri"/>
              </w:rPr>
              <w:t xml:space="preserve"> to improve </w:t>
            </w:r>
            <w:r w:rsidR="0023395A">
              <w:rPr>
                <w:rFonts w:eastAsia="Calibri"/>
              </w:rPr>
              <w:t>record-keeping</w:t>
            </w:r>
            <w:r w:rsidRPr="00427EE1">
              <w:rPr>
                <w:rFonts w:eastAsia="Calibri"/>
              </w:rPr>
              <w:t xml:space="preserve"> of potentially higher risk assessment decisions.</w:t>
            </w:r>
          </w:p>
          <w:p w:rsidR="00E657D7" w:rsidRDefault="00E657D7">
            <w:pPr>
              <w:pStyle w:val="Tabletext"/>
              <w:rPr>
                <w:rFonts w:eastAsia="Calibri"/>
                <w:sz w:val="16"/>
              </w:rPr>
            </w:pPr>
          </w:p>
        </w:tc>
      </w:tr>
      <w:tr w:rsidR="00B751DE" w:rsidRPr="00427EE1" w:rsidTr="002E244C">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B751DE">
            <w:pPr>
              <w:pStyle w:val="Tabletext"/>
              <w:rPr>
                <w:rFonts w:eastAsia="Calibri"/>
              </w:rPr>
            </w:pPr>
            <w:r w:rsidRPr="00427EE1">
              <w:rPr>
                <w:rFonts w:eastAsia="Calibri"/>
              </w:rPr>
              <w:lastRenderedPageBreak/>
              <w:t>314</w:t>
            </w:r>
          </w:p>
        </w:tc>
        <w:tc>
          <w:tcPr>
            <w:tcW w:w="98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47</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E657D7" w:rsidRDefault="00B751DE">
            <w:pPr>
              <w:pStyle w:val="Tabletext"/>
              <w:rPr>
                <w:rFonts w:asciiTheme="majorHAnsi" w:eastAsia="Calibri" w:hAnsiTheme="majorHAnsi" w:cstheme="majorBidi"/>
                <w:b/>
                <w:sz w:val="40"/>
                <w:lang w:eastAsia="en-US"/>
              </w:rPr>
            </w:pPr>
            <w:r w:rsidRPr="00427EE1">
              <w:rPr>
                <w:rFonts w:eastAsia="Calibri"/>
                <w:b/>
                <w:lang w:eastAsia="en-US"/>
              </w:rPr>
              <w:t>Building surveyor to provide copy of permit</w:t>
            </w:r>
          </w:p>
          <w:p w:rsidR="00E657D7" w:rsidRDefault="002D140F" w:rsidP="006C07F6">
            <w:pPr>
              <w:pStyle w:val="Tabletext"/>
              <w:rPr>
                <w:rFonts w:eastAsia="Calibri"/>
                <w:lang w:eastAsia="en-US"/>
              </w:rPr>
            </w:pPr>
            <w:r>
              <w:rPr>
                <w:rFonts w:eastAsia="Calibri"/>
                <w:lang w:eastAsia="en-US"/>
              </w:rPr>
              <w:t>R</w:t>
            </w:r>
            <w:r w:rsidR="00C8699E" w:rsidRPr="00427EE1">
              <w:rPr>
                <w:rFonts w:eastAsia="Calibri"/>
                <w:lang w:eastAsia="en-US"/>
              </w:rPr>
              <w:t xml:space="preserve">equires the </w:t>
            </w:r>
            <w:r w:rsidR="00AB414E">
              <w:rPr>
                <w:rFonts w:eastAsia="Calibri"/>
                <w:lang w:eastAsia="en-US"/>
              </w:rPr>
              <w:t>RBS</w:t>
            </w:r>
            <w:r w:rsidR="00C8699E" w:rsidRPr="00427EE1">
              <w:rPr>
                <w:rFonts w:eastAsia="Calibri"/>
                <w:lang w:eastAsia="en-US"/>
              </w:rPr>
              <w:t xml:space="preserve"> to forward a building permit and approved documentation to the applicant, within </w:t>
            </w:r>
            <w:r w:rsidR="006C07F6">
              <w:rPr>
                <w:rFonts w:eastAsia="Calibri"/>
                <w:lang w:eastAsia="en-US"/>
              </w:rPr>
              <w:t>seven</w:t>
            </w:r>
            <w:r w:rsidR="00C8699E" w:rsidRPr="00427EE1">
              <w:rPr>
                <w:rFonts w:eastAsia="Calibri"/>
                <w:lang w:eastAsia="en-US"/>
              </w:rPr>
              <w:t xml:space="preserve"> days of its issue.</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C8699E">
            <w:pPr>
              <w:pStyle w:val="Tabletext"/>
              <w:rPr>
                <w:rFonts w:eastAsia="Calibri"/>
              </w:rPr>
            </w:pPr>
            <w:r w:rsidRPr="00427EE1">
              <w:rPr>
                <w:rFonts w:eastAsia="Calibri"/>
              </w:rPr>
              <w:t xml:space="preserve">This </w:t>
            </w:r>
            <w:r w:rsidR="008911CB">
              <w:rPr>
                <w:rFonts w:eastAsia="Calibri"/>
              </w:rPr>
              <w:t>Regulation</w:t>
            </w:r>
            <w:r w:rsidRPr="00427EE1">
              <w:rPr>
                <w:rFonts w:eastAsia="Calibri"/>
              </w:rPr>
              <w:t xml:space="preserve"> is required to ensure that an applicant is provided with a copy of the authorisation (building permit), as soon as practicable after it is issued, to allow</w:t>
            </w:r>
            <w:r w:rsidR="00E60957">
              <w:rPr>
                <w:rFonts w:eastAsia="Calibri"/>
              </w:rPr>
              <w:t xml:space="preserve"> </w:t>
            </w:r>
            <w:r w:rsidRPr="00427EE1">
              <w:rPr>
                <w:rFonts w:eastAsia="Calibri"/>
              </w:rPr>
              <w:t>building work to commence.</w:t>
            </w:r>
            <w:r w:rsidR="00784E3D" w:rsidRPr="00427EE1">
              <w:rPr>
                <w:rFonts w:eastAsia="Calibri"/>
              </w:rPr>
              <w:t xml:space="preserve"> It has been</w:t>
            </w:r>
            <w:r w:rsidRPr="00427EE1">
              <w:rPr>
                <w:rFonts w:eastAsia="Calibri"/>
              </w:rPr>
              <w:t xml:space="preserve"> </w:t>
            </w:r>
            <w:r w:rsidR="00784E3D" w:rsidRPr="00427EE1">
              <w:rPr>
                <w:rFonts w:eastAsia="Calibri"/>
              </w:rPr>
              <w:t>u</w:t>
            </w:r>
            <w:r w:rsidR="00B751DE" w:rsidRPr="00427EE1">
              <w:rPr>
                <w:rFonts w:eastAsia="Calibri"/>
              </w:rPr>
              <w:t xml:space="preserve">pdated to allow documentation to be forwarded electronically by the </w:t>
            </w:r>
            <w:r w:rsidR="00AB414E">
              <w:rPr>
                <w:rFonts w:eastAsia="Calibri"/>
              </w:rPr>
              <w:t>RBS</w:t>
            </w:r>
            <w:r w:rsidR="00784E3D" w:rsidRPr="00427EE1">
              <w:rPr>
                <w:rFonts w:eastAsia="Calibri"/>
              </w:rPr>
              <w:t xml:space="preserve">, as well as to </w:t>
            </w:r>
            <w:r w:rsidR="00B751DE" w:rsidRPr="00427EE1">
              <w:rPr>
                <w:rFonts w:eastAsia="Calibri"/>
              </w:rPr>
              <w:t xml:space="preserve">address information asymmetry by ensuring </w:t>
            </w:r>
            <w:r w:rsidR="00784E3D" w:rsidRPr="00427EE1">
              <w:rPr>
                <w:rFonts w:eastAsia="Calibri"/>
              </w:rPr>
              <w:t xml:space="preserve">that </w:t>
            </w:r>
            <w:r w:rsidR="00B751DE" w:rsidRPr="00427EE1">
              <w:rPr>
                <w:rFonts w:eastAsia="Calibri"/>
              </w:rPr>
              <w:t xml:space="preserve">copies of permits </w:t>
            </w:r>
            <w:r w:rsidR="00784E3D" w:rsidRPr="00427EE1">
              <w:rPr>
                <w:rFonts w:eastAsia="Calibri"/>
              </w:rPr>
              <w:t>are</w:t>
            </w:r>
            <w:r w:rsidR="00B751DE" w:rsidRPr="00427EE1">
              <w:rPr>
                <w:rFonts w:eastAsia="Calibri"/>
              </w:rPr>
              <w:t xml:space="preserve"> forwarded to </w:t>
            </w:r>
            <w:r w:rsidR="00784E3D" w:rsidRPr="00427EE1">
              <w:rPr>
                <w:rFonts w:eastAsia="Calibri"/>
              </w:rPr>
              <w:t xml:space="preserve">relevant parties. </w:t>
            </w:r>
          </w:p>
        </w:tc>
      </w:tr>
      <w:tr w:rsidR="00B751DE" w:rsidRPr="00427EE1" w:rsidTr="002E244C">
        <w:trPr>
          <w:cantSplit/>
          <w:trHeight w:val="340"/>
        </w:trPr>
        <w:tc>
          <w:tcPr>
            <w:tcW w:w="938" w:type="dxa"/>
            <w:vAlign w:val="center"/>
          </w:tcPr>
          <w:p w:rsidR="00E657D7" w:rsidRDefault="00B751DE">
            <w:pPr>
              <w:pStyle w:val="Tabletext"/>
              <w:rPr>
                <w:rFonts w:eastAsia="Calibri"/>
              </w:rPr>
            </w:pPr>
            <w:r w:rsidRPr="00427EE1">
              <w:rPr>
                <w:rFonts w:eastAsia="Calibri"/>
              </w:rPr>
              <w:t>315</w:t>
            </w:r>
          </w:p>
        </w:tc>
        <w:tc>
          <w:tcPr>
            <w:tcW w:w="987" w:type="dxa"/>
            <w:vAlign w:val="center"/>
          </w:tcPr>
          <w:p w:rsidR="00E657D7" w:rsidRDefault="00B751DE">
            <w:pPr>
              <w:pStyle w:val="Tabletext"/>
              <w:rPr>
                <w:rFonts w:asciiTheme="majorHAnsi" w:eastAsia="Calibri" w:hAnsiTheme="majorHAnsi" w:cstheme="majorBidi"/>
                <w:b/>
                <w:sz w:val="40"/>
              </w:rPr>
            </w:pPr>
            <w:r w:rsidRPr="00427EE1">
              <w:rPr>
                <w:rFonts w:eastAsia="Calibri"/>
              </w:rPr>
              <w:t>Multiple</w:t>
            </w:r>
          </w:p>
        </w:tc>
        <w:tc>
          <w:tcPr>
            <w:tcW w:w="12568" w:type="dxa"/>
            <w:gridSpan w:val="7"/>
            <w:shd w:val="clear" w:color="auto" w:fill="D9D9D9" w:themeFill="background1" w:themeFillShade="D9"/>
            <w:vAlign w:val="center"/>
          </w:tcPr>
          <w:p w:rsidR="00E657D7" w:rsidRDefault="00B751DE">
            <w:pPr>
              <w:pStyle w:val="Tabletext"/>
              <w:rPr>
                <w:rFonts w:eastAsia="Calibri"/>
                <w:sz w:val="16"/>
                <w:szCs w:val="16"/>
              </w:rPr>
            </w:pPr>
            <w:r w:rsidRPr="00427EE1">
              <w:rPr>
                <w:rFonts w:eastAsia="Calibri"/>
                <w:i/>
                <w:lang w:eastAsia="en-US"/>
              </w:rPr>
              <w:t xml:space="preserve">Has been </w:t>
            </w:r>
            <w:r w:rsidRPr="00427EE1">
              <w:rPr>
                <w:rFonts w:eastAsia="Calibri"/>
                <w:b/>
                <w:i/>
                <w:lang w:eastAsia="en-US"/>
              </w:rPr>
              <w:t xml:space="preserve">restructured </w:t>
            </w:r>
            <w:r w:rsidRPr="00427EE1">
              <w:rPr>
                <w:rFonts w:eastAsia="Calibri"/>
                <w:i/>
                <w:lang w:eastAsia="en-US"/>
              </w:rPr>
              <w:t>into</w:t>
            </w:r>
            <w:r w:rsidRPr="00427EE1">
              <w:rPr>
                <w:rFonts w:eastAsia="Calibri"/>
                <w:b/>
                <w:i/>
                <w:lang w:eastAsia="en-US"/>
              </w:rPr>
              <w:t xml:space="preserve"> </w:t>
            </w:r>
            <w:r w:rsidRPr="00427EE1">
              <w:rPr>
                <w:rFonts w:eastAsia="Calibri"/>
                <w:i/>
                <w:lang w:eastAsia="en-US"/>
              </w:rPr>
              <w:t xml:space="preserve">multiple </w:t>
            </w:r>
            <w:r w:rsidR="008911CB">
              <w:rPr>
                <w:rFonts w:eastAsia="Calibri"/>
                <w:i/>
                <w:lang w:eastAsia="en-US"/>
              </w:rPr>
              <w:t>Regulations</w:t>
            </w:r>
            <w:r w:rsidRPr="00427EE1">
              <w:rPr>
                <w:rFonts w:eastAsia="Calibri"/>
                <w:i/>
                <w:lang w:eastAsia="en-US"/>
              </w:rPr>
              <w:t xml:space="preserve">. Discussed in relation to </w:t>
            </w:r>
            <w:r w:rsidR="008911CB">
              <w:rPr>
                <w:rFonts w:eastAsia="Calibri"/>
                <w:i/>
                <w:lang w:eastAsia="en-US"/>
              </w:rPr>
              <w:t>proposed Regulations</w:t>
            </w:r>
            <w:r w:rsidRPr="00427EE1">
              <w:rPr>
                <w:rFonts w:eastAsia="Calibri"/>
                <w:i/>
                <w:lang w:eastAsia="en-US"/>
              </w:rPr>
              <w:t xml:space="preserve"> 61, 62, 63 and 67.</w:t>
            </w:r>
            <w:r w:rsidR="00D71A15" w:rsidRPr="00427EE1">
              <w:rPr>
                <w:rFonts w:eastAsia="Calibri"/>
                <w:i/>
                <w:lang w:eastAsia="en-US"/>
              </w:rPr>
              <w:t xml:space="preserve"> </w:t>
            </w:r>
          </w:p>
        </w:tc>
      </w:tr>
      <w:tr w:rsidR="00816FAD" w:rsidRPr="00427EE1" w:rsidTr="002E244C">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E657D7" w:rsidRDefault="00816FAD">
            <w:pPr>
              <w:pStyle w:val="Tabletext"/>
              <w:rPr>
                <w:rFonts w:eastAsia="Calibri"/>
              </w:rPr>
            </w:pPr>
            <w:r w:rsidRPr="00427EE1">
              <w:rPr>
                <w:rFonts w:eastAsia="Calibri"/>
              </w:rPr>
              <w:t>316</w:t>
            </w:r>
          </w:p>
        </w:tc>
        <w:tc>
          <w:tcPr>
            <w:tcW w:w="98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E657D7" w:rsidRDefault="00816FAD">
            <w:pPr>
              <w:pStyle w:val="Tabletext"/>
              <w:rPr>
                <w:rFonts w:asciiTheme="majorHAnsi" w:eastAsia="Calibri" w:hAnsiTheme="majorHAnsi" w:cstheme="majorBidi"/>
                <w:b/>
                <w:sz w:val="40"/>
                <w:lang w:eastAsia="en-US"/>
              </w:rPr>
            </w:pPr>
            <w:r w:rsidRPr="00427EE1">
              <w:rPr>
                <w:rFonts w:eastAsia="Calibri"/>
                <w:lang w:eastAsia="en-US"/>
              </w:rPr>
              <w:t>48</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tcPr>
          <w:p w:rsidR="00E657D7" w:rsidRDefault="00816FAD">
            <w:pPr>
              <w:pStyle w:val="Tabletext"/>
              <w:rPr>
                <w:rFonts w:asciiTheme="majorHAnsi" w:eastAsia="Calibri" w:hAnsiTheme="majorHAnsi" w:cstheme="majorBidi"/>
                <w:b/>
                <w:sz w:val="40"/>
                <w:lang w:eastAsia="en-US"/>
              </w:rPr>
            </w:pPr>
            <w:r w:rsidRPr="00427EE1">
              <w:rPr>
                <w:rFonts w:eastAsia="Calibri"/>
                <w:b/>
                <w:lang w:eastAsia="en-US"/>
              </w:rPr>
              <w:t>Applicant to make documents, permit available</w:t>
            </w:r>
          </w:p>
          <w:p w:rsidR="00E657D7" w:rsidRDefault="002D140F">
            <w:pPr>
              <w:pStyle w:val="Tabletext"/>
              <w:rPr>
                <w:rFonts w:eastAsia="Calibri"/>
                <w:lang w:eastAsia="en-US"/>
              </w:rPr>
            </w:pPr>
            <w:r>
              <w:rPr>
                <w:rFonts w:eastAsia="Calibri"/>
                <w:lang w:eastAsia="en-US"/>
              </w:rPr>
              <w:t>R</w:t>
            </w:r>
            <w:r w:rsidRPr="00427EE1">
              <w:rPr>
                <w:rFonts w:eastAsia="Calibri"/>
                <w:lang w:eastAsia="en-US"/>
              </w:rPr>
              <w:t xml:space="preserve">equires </w:t>
            </w:r>
            <w:r w:rsidR="00816FAD" w:rsidRPr="00427EE1">
              <w:rPr>
                <w:rFonts w:eastAsia="Calibri"/>
                <w:lang w:eastAsia="en-US"/>
              </w:rPr>
              <w:t>the applicant for a building permit to make available to the person responsible for carrying out the approved building work any approved plans (and other documentation)</w:t>
            </w:r>
            <w:r w:rsidR="00E60957">
              <w:rPr>
                <w:rFonts w:eastAsia="Calibri"/>
                <w:lang w:eastAsia="en-US"/>
              </w:rPr>
              <w:t xml:space="preserve"> </w:t>
            </w:r>
            <w:r w:rsidR="00816FAD" w:rsidRPr="00427EE1">
              <w:rPr>
                <w:rFonts w:eastAsia="Calibri"/>
                <w:lang w:eastAsia="en-US"/>
              </w:rPr>
              <w:t xml:space="preserve">necessary to carry out that building work.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816FAD" w:rsidRPr="00427EE1" w:rsidRDefault="00816FAD" w:rsidP="00C02798">
            <w:pPr>
              <w:jc w:val="cente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816FAD" w:rsidRPr="00427EE1" w:rsidRDefault="00816FAD" w:rsidP="00C02798">
            <w:pPr>
              <w:jc w:val="cente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816FAD" w:rsidRPr="00427EE1" w:rsidRDefault="00816FAD" w:rsidP="00C02798">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816FAD" w:rsidRPr="00427EE1" w:rsidRDefault="00816FAD" w:rsidP="00C02798">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816FAD" w:rsidRPr="00427EE1" w:rsidRDefault="00816FAD" w:rsidP="00C02798">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E657D7" w:rsidRDefault="00816FAD">
            <w:pPr>
              <w:pStyle w:val="Tabletext"/>
              <w:rPr>
                <w:rFonts w:asciiTheme="majorHAnsi" w:eastAsia="Calibri" w:hAnsiTheme="majorHAnsi" w:cstheme="majorBidi"/>
                <w:b/>
                <w:sz w:val="40"/>
              </w:rPr>
            </w:pPr>
            <w:r w:rsidRPr="00427EE1">
              <w:rPr>
                <w:rFonts w:eastAsia="Calibri"/>
              </w:rPr>
              <w:t xml:space="preserve">This </w:t>
            </w:r>
            <w:r w:rsidR="008911CB">
              <w:rPr>
                <w:rFonts w:eastAsia="Calibri"/>
              </w:rPr>
              <w:t>Regulation</w:t>
            </w:r>
            <w:r w:rsidRPr="00427EE1">
              <w:rPr>
                <w:rFonts w:eastAsia="Calibri"/>
              </w:rPr>
              <w:t xml:space="preserve"> is required to addresses information asymmetry. Its purpose is to ensures that the builder is provided with the approved and endorsed construction plans before construction is commenced.</w:t>
            </w:r>
          </w:p>
          <w:p w:rsidR="00E657D7" w:rsidRDefault="00E657D7">
            <w:pPr>
              <w:pStyle w:val="Tabletext"/>
              <w:rPr>
                <w:rFonts w:eastAsia="Calibri"/>
                <w:sz w:val="16"/>
              </w:rPr>
            </w:pPr>
          </w:p>
        </w:tc>
      </w:tr>
      <w:tr w:rsidR="00816FAD" w:rsidRPr="00427EE1" w:rsidTr="002E244C">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816FAD">
            <w:pPr>
              <w:pStyle w:val="Tabletext"/>
              <w:rPr>
                <w:rFonts w:eastAsia="Calibri"/>
              </w:rPr>
            </w:pPr>
            <w:r w:rsidRPr="00427EE1">
              <w:rPr>
                <w:rFonts w:eastAsia="Calibri"/>
              </w:rPr>
              <w:t>317</w:t>
            </w:r>
          </w:p>
        </w:tc>
        <w:tc>
          <w:tcPr>
            <w:tcW w:w="98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816FAD">
            <w:pPr>
              <w:pStyle w:val="Tabletext"/>
              <w:rPr>
                <w:rFonts w:asciiTheme="majorHAnsi" w:eastAsia="Calibri" w:hAnsiTheme="majorHAnsi" w:cstheme="majorBidi"/>
                <w:b/>
                <w:sz w:val="40"/>
                <w:lang w:eastAsia="en-US"/>
              </w:rPr>
            </w:pPr>
            <w:r w:rsidRPr="00427EE1">
              <w:rPr>
                <w:rFonts w:eastAsia="Calibri"/>
                <w:lang w:eastAsia="en-US"/>
              </w:rPr>
              <w:t>49</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816FAD">
            <w:pPr>
              <w:pStyle w:val="Tabletext"/>
              <w:rPr>
                <w:rFonts w:asciiTheme="majorHAnsi" w:eastAsia="Calibri" w:hAnsiTheme="majorHAnsi" w:cstheme="majorBidi"/>
                <w:b/>
                <w:sz w:val="40"/>
                <w:lang w:eastAsia="en-US"/>
              </w:rPr>
            </w:pPr>
            <w:r w:rsidRPr="00427EE1">
              <w:rPr>
                <w:rFonts w:eastAsia="Calibri"/>
                <w:b/>
                <w:lang w:eastAsia="en-US"/>
              </w:rPr>
              <w:t>Provision and display of permit information</w:t>
            </w:r>
          </w:p>
          <w:p w:rsidR="00E657D7" w:rsidRDefault="002E244C">
            <w:pPr>
              <w:pStyle w:val="Tabletext"/>
              <w:rPr>
                <w:rFonts w:asciiTheme="majorHAnsi" w:eastAsia="Calibri" w:hAnsiTheme="majorHAnsi" w:cstheme="majorBidi"/>
                <w:b/>
                <w:sz w:val="40"/>
                <w:lang w:eastAsia="en-US"/>
              </w:rPr>
            </w:pPr>
            <w:r>
              <w:rPr>
                <w:rFonts w:eastAsia="Calibri"/>
                <w:lang w:eastAsia="en-US"/>
              </w:rPr>
              <w:t xml:space="preserve">Requires </w:t>
            </w:r>
            <w:r w:rsidR="00C85828" w:rsidRPr="00427EE1">
              <w:rPr>
                <w:rFonts w:eastAsia="Calibri"/>
                <w:lang w:eastAsia="en-US"/>
              </w:rPr>
              <w:t>that</w:t>
            </w:r>
            <w:r w:rsidR="00784E3D" w:rsidRPr="00427EE1">
              <w:rPr>
                <w:rFonts w:eastAsia="Calibri"/>
                <w:lang w:eastAsia="en-US"/>
              </w:rPr>
              <w:t xml:space="preserve"> </w:t>
            </w:r>
            <w:r w:rsidR="00C85828" w:rsidRPr="00427EE1">
              <w:rPr>
                <w:rFonts w:eastAsia="Calibri"/>
                <w:lang w:eastAsia="en-US"/>
              </w:rPr>
              <w:t xml:space="preserve">the person in charge of the building work keeps onsite, and available for inspection, a copy of the building permit and approved plans, specifications and documentation for the building work, in addition to </w:t>
            </w:r>
            <w:r w:rsidR="00784E3D" w:rsidRPr="00427EE1">
              <w:rPr>
                <w:rFonts w:eastAsia="Calibri"/>
                <w:lang w:eastAsia="en-US"/>
              </w:rPr>
              <w:t xml:space="preserve">registration and permit number details.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16FAD" w:rsidRPr="00427EE1" w:rsidRDefault="00816FAD" w:rsidP="00C02798">
            <w:pPr>
              <w:jc w:val="cente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16FAD" w:rsidRPr="00427EE1" w:rsidRDefault="00816FAD" w:rsidP="00C02798">
            <w:pPr>
              <w:jc w:val="cente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16FAD" w:rsidRPr="00427EE1" w:rsidRDefault="00816FAD" w:rsidP="00C02798">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16FAD" w:rsidRPr="00427EE1" w:rsidRDefault="00816FAD" w:rsidP="00C02798">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16FAD" w:rsidRPr="00427EE1" w:rsidRDefault="00816FAD" w:rsidP="00C0279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816FAD">
            <w:pPr>
              <w:pStyle w:val="Tabletext"/>
              <w:rPr>
                <w:rFonts w:asciiTheme="majorHAnsi" w:eastAsia="Calibri" w:hAnsiTheme="majorHAnsi" w:cstheme="majorBidi"/>
                <w:b/>
                <w:sz w:val="40"/>
              </w:rPr>
            </w:pPr>
            <w:r w:rsidRPr="00427EE1">
              <w:rPr>
                <w:rFonts w:eastAsia="Calibri"/>
              </w:rPr>
              <w:t xml:space="preserve">This </w:t>
            </w:r>
            <w:r w:rsidR="008911CB">
              <w:rPr>
                <w:rFonts w:eastAsia="Calibri"/>
              </w:rPr>
              <w:t>Regulation</w:t>
            </w:r>
            <w:r w:rsidRPr="00427EE1">
              <w:rPr>
                <w:rFonts w:eastAsia="Calibri"/>
              </w:rPr>
              <w:t xml:space="preserve"> is required to address information asymmetry and to facilitate regulatory monitoring and enforcement.</w:t>
            </w:r>
            <w:r w:rsidR="00E60957">
              <w:rPr>
                <w:rFonts w:eastAsia="Calibri"/>
              </w:rPr>
              <w:t xml:space="preserve"> </w:t>
            </w:r>
            <w:r w:rsidRPr="00427EE1">
              <w:rPr>
                <w:rFonts w:eastAsia="Calibri"/>
              </w:rPr>
              <w:t xml:space="preserve">The obligation to have a copy of the building permit and related </w:t>
            </w:r>
            <w:r w:rsidR="00C85828" w:rsidRPr="00427EE1">
              <w:rPr>
                <w:rFonts w:eastAsia="Calibri"/>
              </w:rPr>
              <w:t>documentation</w:t>
            </w:r>
            <w:r w:rsidRPr="00427EE1">
              <w:rPr>
                <w:rFonts w:eastAsia="Calibri"/>
              </w:rPr>
              <w:t xml:space="preserve"> onsite is now drafted as a strict requirement which</w:t>
            </w:r>
            <w:r w:rsidR="00784E3D" w:rsidRPr="00427EE1">
              <w:rPr>
                <w:rFonts w:eastAsia="Calibri"/>
              </w:rPr>
              <w:t xml:space="preserve"> </w:t>
            </w:r>
            <w:r w:rsidRPr="00427EE1">
              <w:rPr>
                <w:rFonts w:eastAsia="Calibri"/>
              </w:rPr>
              <w:t>will assist the enforcement of this offence.</w:t>
            </w:r>
          </w:p>
          <w:p w:rsidR="00E657D7" w:rsidRDefault="00E657D7">
            <w:pPr>
              <w:pStyle w:val="Tabletext"/>
              <w:rPr>
                <w:rFonts w:eastAsia="Calibri"/>
                <w:sz w:val="16"/>
              </w:rPr>
            </w:pPr>
          </w:p>
        </w:tc>
      </w:tr>
      <w:tr w:rsidR="00816FAD" w:rsidRPr="00427EE1" w:rsidTr="002E244C">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816FAD">
            <w:pPr>
              <w:pStyle w:val="Tabletext"/>
              <w:rPr>
                <w:rFonts w:eastAsia="Calibri"/>
              </w:rPr>
            </w:pPr>
            <w:r w:rsidRPr="00427EE1">
              <w:rPr>
                <w:rFonts w:eastAsia="Calibri"/>
              </w:rPr>
              <w:t>318</w:t>
            </w:r>
          </w:p>
        </w:tc>
        <w:tc>
          <w:tcPr>
            <w:tcW w:w="98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816FAD">
            <w:pPr>
              <w:pStyle w:val="Tabletext"/>
              <w:rPr>
                <w:rFonts w:asciiTheme="majorHAnsi" w:eastAsia="Calibri" w:hAnsiTheme="majorHAnsi" w:cstheme="majorBidi"/>
                <w:b/>
                <w:sz w:val="40"/>
                <w:lang w:eastAsia="en-US"/>
              </w:rPr>
            </w:pPr>
            <w:r w:rsidRPr="00427EE1">
              <w:rPr>
                <w:rFonts w:eastAsia="Calibri"/>
                <w:lang w:eastAsia="en-US"/>
              </w:rPr>
              <w:t>50</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816FAD">
            <w:pPr>
              <w:pStyle w:val="Tabletext"/>
              <w:rPr>
                <w:rFonts w:asciiTheme="majorHAnsi" w:eastAsia="Calibri" w:hAnsiTheme="majorHAnsi" w:cstheme="majorBidi"/>
                <w:b/>
                <w:sz w:val="40"/>
                <w:lang w:eastAsia="en-US"/>
              </w:rPr>
            </w:pPr>
            <w:r w:rsidRPr="00427EE1">
              <w:rPr>
                <w:rFonts w:eastAsia="Calibri"/>
                <w:b/>
                <w:lang w:eastAsia="en-US"/>
              </w:rPr>
              <w:t>Owner to notify change of owner or builder</w:t>
            </w:r>
          </w:p>
          <w:p w:rsidR="00E657D7" w:rsidRDefault="002D140F">
            <w:pPr>
              <w:pStyle w:val="Tabletext"/>
              <w:rPr>
                <w:rFonts w:eastAsia="Calibri"/>
                <w:lang w:eastAsia="en-US"/>
              </w:rPr>
            </w:pPr>
            <w:r>
              <w:rPr>
                <w:rFonts w:eastAsia="Calibri"/>
                <w:lang w:eastAsia="en-US"/>
              </w:rPr>
              <w:t>R</w:t>
            </w:r>
            <w:r w:rsidRPr="00427EE1">
              <w:rPr>
                <w:rFonts w:eastAsia="Calibri"/>
                <w:lang w:eastAsia="en-US"/>
              </w:rPr>
              <w:t xml:space="preserve">equires </w:t>
            </w:r>
            <w:r w:rsidR="00816FAD" w:rsidRPr="00427EE1">
              <w:rPr>
                <w:rFonts w:eastAsia="Calibri"/>
                <w:lang w:eastAsia="en-US"/>
              </w:rPr>
              <w:t xml:space="preserve">the owner to notify the </w:t>
            </w:r>
            <w:r w:rsidR="00AB414E">
              <w:rPr>
                <w:rFonts w:eastAsia="Calibri"/>
                <w:lang w:eastAsia="en-US"/>
              </w:rPr>
              <w:t>RBS</w:t>
            </w:r>
            <w:r w:rsidR="00816FAD" w:rsidRPr="00427EE1">
              <w:rPr>
                <w:rFonts w:eastAsia="Calibri"/>
                <w:lang w:eastAsia="en-US"/>
              </w:rPr>
              <w:t xml:space="preserve"> of any change in name or address of the owner or builder, within 14 days of such a</w:t>
            </w:r>
            <w:r w:rsidR="00E60957">
              <w:rPr>
                <w:rFonts w:eastAsia="Calibri"/>
                <w:lang w:eastAsia="en-US"/>
              </w:rPr>
              <w:t xml:space="preserve"> </w:t>
            </w:r>
            <w:r w:rsidR="00816FAD" w:rsidRPr="00427EE1">
              <w:rPr>
                <w:rFonts w:eastAsia="Calibri"/>
                <w:lang w:eastAsia="en-US"/>
              </w:rPr>
              <w:t xml:space="preserve">change.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16FAD" w:rsidRPr="00427EE1" w:rsidRDefault="00816FAD" w:rsidP="00C02798">
            <w:pPr>
              <w:jc w:val="cente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16FAD" w:rsidRPr="00427EE1" w:rsidRDefault="00816FAD" w:rsidP="00C02798">
            <w:pPr>
              <w:jc w:val="cente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16FAD" w:rsidRPr="00427EE1" w:rsidRDefault="00816FAD" w:rsidP="00C02798">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16FAD" w:rsidRPr="00427EE1" w:rsidRDefault="00816FAD" w:rsidP="00C02798">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16FAD" w:rsidRPr="00427EE1" w:rsidRDefault="00816FAD" w:rsidP="00C02798">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816FAD">
            <w:pPr>
              <w:pStyle w:val="Tabletext"/>
              <w:rPr>
                <w:rFonts w:asciiTheme="majorHAnsi" w:eastAsia="Calibri" w:hAnsiTheme="majorHAnsi" w:cstheme="majorBidi"/>
                <w:b/>
                <w:sz w:val="40"/>
              </w:rPr>
            </w:pPr>
            <w:r w:rsidRPr="00427EE1">
              <w:rPr>
                <w:rFonts w:eastAsia="Calibri"/>
              </w:rPr>
              <w:t xml:space="preserve">This </w:t>
            </w:r>
            <w:r w:rsidR="008911CB">
              <w:rPr>
                <w:rFonts w:eastAsia="Calibri"/>
              </w:rPr>
              <w:t>Regulation</w:t>
            </w:r>
            <w:r w:rsidRPr="00427EE1">
              <w:rPr>
                <w:rFonts w:eastAsia="Calibri"/>
              </w:rPr>
              <w:t xml:space="preserve"> is required to addresses information asymmetry. Its purpose is to ensures that the </w:t>
            </w:r>
            <w:r w:rsidR="00AB414E">
              <w:rPr>
                <w:rFonts w:eastAsia="Calibri"/>
              </w:rPr>
              <w:t>RBS</w:t>
            </w:r>
            <w:r w:rsidRPr="00427EE1">
              <w:rPr>
                <w:rFonts w:eastAsia="Calibri"/>
              </w:rPr>
              <w:t xml:space="preserve"> has the current contact details of the owner and builder for communication and enforcement purposes.</w:t>
            </w:r>
          </w:p>
        </w:tc>
      </w:tr>
      <w:tr w:rsidR="00816FAD" w:rsidRPr="00427EE1" w:rsidTr="002E244C">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816FAD">
            <w:pPr>
              <w:pStyle w:val="Tabletext"/>
              <w:rPr>
                <w:rFonts w:eastAsia="Calibri"/>
              </w:rPr>
            </w:pPr>
            <w:r w:rsidRPr="00427EE1">
              <w:rPr>
                <w:rFonts w:eastAsia="Calibri"/>
              </w:rPr>
              <w:lastRenderedPageBreak/>
              <w:t>n/a</w:t>
            </w:r>
          </w:p>
        </w:tc>
        <w:tc>
          <w:tcPr>
            <w:tcW w:w="98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816FAD">
            <w:pPr>
              <w:pStyle w:val="Tabletext"/>
              <w:rPr>
                <w:rFonts w:asciiTheme="majorHAnsi" w:eastAsia="Calibri" w:hAnsiTheme="majorHAnsi" w:cstheme="majorBidi"/>
                <w:b/>
                <w:sz w:val="40"/>
                <w:lang w:eastAsia="en-US"/>
              </w:rPr>
            </w:pPr>
            <w:r w:rsidRPr="00427EE1">
              <w:rPr>
                <w:rFonts w:eastAsia="Calibri"/>
                <w:lang w:eastAsia="en-US"/>
              </w:rPr>
              <w:t>NEW</w:t>
            </w:r>
          </w:p>
          <w:p w:rsidR="00E657D7" w:rsidRDefault="00816FAD">
            <w:pPr>
              <w:pStyle w:val="Tabletext"/>
              <w:rPr>
                <w:rFonts w:asciiTheme="majorHAnsi" w:eastAsia="Calibri" w:hAnsiTheme="majorHAnsi" w:cstheme="majorBidi"/>
                <w:b/>
                <w:sz w:val="40"/>
                <w:lang w:eastAsia="en-US"/>
              </w:rPr>
            </w:pPr>
            <w:r w:rsidRPr="00427EE1">
              <w:rPr>
                <w:rFonts w:eastAsia="Calibri"/>
                <w:lang w:eastAsia="en-US"/>
              </w:rPr>
              <w:t>51</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816FAD">
            <w:pPr>
              <w:pStyle w:val="Tabletext"/>
              <w:rPr>
                <w:rFonts w:asciiTheme="majorHAnsi" w:eastAsia="Calibri" w:hAnsiTheme="majorHAnsi" w:cstheme="majorBidi"/>
                <w:b/>
                <w:sz w:val="40"/>
                <w:lang w:eastAsia="en-US"/>
              </w:rPr>
            </w:pPr>
            <w:r w:rsidRPr="00427EE1">
              <w:rPr>
                <w:rFonts w:eastAsia="Calibri"/>
                <w:b/>
                <w:lang w:eastAsia="en-US"/>
              </w:rPr>
              <w:t>Builder to notify change of name or address</w:t>
            </w:r>
          </w:p>
          <w:p w:rsidR="00E657D7" w:rsidRDefault="002D140F">
            <w:pPr>
              <w:pStyle w:val="Tabletext"/>
              <w:rPr>
                <w:rFonts w:eastAsia="Calibri"/>
                <w:lang w:eastAsia="en-US"/>
              </w:rPr>
            </w:pPr>
            <w:r>
              <w:rPr>
                <w:rFonts w:eastAsia="Calibri"/>
                <w:lang w:eastAsia="en-US"/>
              </w:rPr>
              <w:t>R</w:t>
            </w:r>
            <w:r w:rsidRPr="00427EE1">
              <w:rPr>
                <w:rFonts w:eastAsia="Calibri"/>
                <w:lang w:eastAsia="en-US"/>
              </w:rPr>
              <w:t xml:space="preserve">equires </w:t>
            </w:r>
            <w:r w:rsidR="00816FAD" w:rsidRPr="00427EE1">
              <w:rPr>
                <w:rFonts w:eastAsia="Calibri"/>
                <w:lang w:eastAsia="en-US"/>
              </w:rPr>
              <w:t xml:space="preserve">a building practitioner nominated in a building permit to notify the </w:t>
            </w:r>
            <w:r w:rsidR="00AB414E">
              <w:rPr>
                <w:rFonts w:eastAsia="Calibri"/>
                <w:lang w:eastAsia="en-US"/>
              </w:rPr>
              <w:t>RBS</w:t>
            </w:r>
            <w:r w:rsidR="00816FAD" w:rsidRPr="00427EE1">
              <w:rPr>
                <w:rFonts w:eastAsia="Calibri"/>
                <w:lang w:eastAsia="en-US"/>
              </w:rPr>
              <w:t xml:space="preserve"> of any change to their name and/or address.</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816FAD" w:rsidRPr="00427EE1" w:rsidRDefault="00816FAD" w:rsidP="00C02798">
            <w:pPr>
              <w:jc w:val="cente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816FAD" w:rsidRPr="00427EE1" w:rsidRDefault="00816FAD" w:rsidP="00C02798">
            <w:pPr>
              <w:jc w:val="cente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16FAD" w:rsidRPr="00427EE1" w:rsidRDefault="00816FAD" w:rsidP="00C02798">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16FAD" w:rsidRPr="00427EE1" w:rsidRDefault="00816FAD" w:rsidP="00C02798">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16FAD" w:rsidRPr="00427EE1" w:rsidRDefault="00816FAD" w:rsidP="00C0279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816FAD">
            <w:pPr>
              <w:pStyle w:val="Tabletext"/>
              <w:rPr>
                <w:rFonts w:asciiTheme="majorHAnsi" w:eastAsia="Calibri" w:hAnsiTheme="majorHAnsi" w:cstheme="majorBidi"/>
                <w:b/>
                <w:sz w:val="40"/>
              </w:rPr>
            </w:pPr>
            <w:r w:rsidRPr="00427EE1">
              <w:rPr>
                <w:rFonts w:eastAsia="Calibri"/>
              </w:rPr>
              <w:t xml:space="preserve">This </w:t>
            </w:r>
            <w:r w:rsidR="008911CB">
              <w:rPr>
                <w:rFonts w:eastAsia="Calibri"/>
              </w:rPr>
              <w:t>Regulation</w:t>
            </w:r>
            <w:r w:rsidRPr="00427EE1">
              <w:rPr>
                <w:rFonts w:eastAsia="Calibri"/>
              </w:rPr>
              <w:t xml:space="preserve"> is required to </w:t>
            </w:r>
            <w:r w:rsidR="00C85828" w:rsidRPr="00427EE1">
              <w:rPr>
                <w:rFonts w:eastAsia="Calibri"/>
              </w:rPr>
              <w:t>address</w:t>
            </w:r>
            <w:r w:rsidRPr="00427EE1">
              <w:rPr>
                <w:rFonts w:eastAsia="Calibri"/>
              </w:rPr>
              <w:t xml:space="preserve"> information asymmetry. It ensures that the owner and the </w:t>
            </w:r>
            <w:r w:rsidR="00AB414E">
              <w:rPr>
                <w:rFonts w:eastAsia="Calibri"/>
              </w:rPr>
              <w:t>RBS</w:t>
            </w:r>
            <w:r w:rsidRPr="00427EE1">
              <w:rPr>
                <w:rFonts w:eastAsia="Calibri"/>
              </w:rPr>
              <w:t xml:space="preserve"> have the current contact details of registered building practitioners responsible for building work authorised by a building </w:t>
            </w:r>
            <w:r w:rsidR="00C85828" w:rsidRPr="00427EE1">
              <w:rPr>
                <w:rFonts w:eastAsia="Calibri"/>
              </w:rPr>
              <w:t>permit</w:t>
            </w:r>
            <w:r w:rsidRPr="00427EE1">
              <w:rPr>
                <w:rFonts w:eastAsia="Calibri"/>
              </w:rPr>
              <w:t xml:space="preserve"> for monitoring and enforcement purposes.</w:t>
            </w:r>
            <w:r w:rsidR="00E60957">
              <w:rPr>
                <w:rFonts w:eastAsia="Calibri"/>
              </w:rPr>
              <w:t xml:space="preserve"> </w:t>
            </w:r>
          </w:p>
        </w:tc>
      </w:tr>
    </w:tbl>
    <w:p w:rsidR="00126E38" w:rsidRDefault="00126E38"/>
    <w:p w:rsidR="00B751DE" w:rsidRPr="00427EE1" w:rsidRDefault="00EF2008" w:rsidP="006119D2">
      <w:pPr>
        <w:pStyle w:val="Heading4"/>
      </w:pPr>
      <w:proofErr w:type="spellStart"/>
      <w:r>
        <w:t>Div</w:t>
      </w:r>
      <w:proofErr w:type="spellEnd"/>
      <w:r w:rsidR="006E6791" w:rsidRPr="00427EE1">
        <w:t xml:space="preserve"> </w:t>
      </w:r>
      <w:r w:rsidR="00B751DE" w:rsidRPr="00427EE1">
        <w:t>5</w:t>
      </w:r>
      <w:r w:rsidR="008475D9">
        <w:t>—</w:t>
      </w:r>
      <w:r w:rsidR="00B751DE" w:rsidRPr="00427EE1">
        <w:t>Duties of the building surveyor</w:t>
      </w:r>
    </w:p>
    <w:tbl>
      <w:tblPr>
        <w:tblW w:w="14465" w:type="dxa"/>
        <w:tblInd w:w="-88"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38"/>
        <w:gridCol w:w="959"/>
        <w:gridCol w:w="4243"/>
        <w:gridCol w:w="399"/>
        <w:gridCol w:w="399"/>
        <w:gridCol w:w="402"/>
        <w:gridCol w:w="400"/>
        <w:gridCol w:w="398"/>
        <w:gridCol w:w="6327"/>
      </w:tblGrid>
      <w:tr w:rsidR="00B751DE" w:rsidRPr="00427EE1" w:rsidTr="002E244C">
        <w:trPr>
          <w:cantSplit/>
          <w:trHeight w:val="239"/>
          <w:tblHeader/>
        </w:trPr>
        <w:tc>
          <w:tcPr>
            <w:tcW w:w="938" w:type="dxa"/>
            <w:vMerge w:val="restart"/>
            <w:shd w:val="clear" w:color="auto" w:fill="00B2A9" w:themeFill="accent1"/>
            <w:vAlign w:val="center"/>
            <w:hideMark/>
          </w:tcPr>
          <w:p w:rsidR="00E657D7" w:rsidRDefault="00BE72D7">
            <w:pPr>
              <w:pStyle w:val="Tablecolumnhead"/>
              <w:rPr>
                <w:rFonts w:asciiTheme="majorHAnsi" w:eastAsia="Calibri" w:hAnsiTheme="majorHAnsi" w:cstheme="majorBidi"/>
                <w:sz w:val="40"/>
              </w:rPr>
            </w:pPr>
            <w:r w:rsidRPr="00BE72D7">
              <w:rPr>
                <w:rFonts w:eastAsia="Calibri"/>
              </w:rPr>
              <w:t>2006</w:t>
            </w:r>
          </w:p>
          <w:p w:rsidR="00E657D7" w:rsidRDefault="002E244C">
            <w:pPr>
              <w:pStyle w:val="Tablecolumnhead"/>
              <w:rPr>
                <w:rFonts w:eastAsia="Calibri"/>
              </w:rPr>
            </w:pPr>
            <w:r w:rsidRPr="00C44680">
              <w:rPr>
                <w:rFonts w:ascii="Arial Bold" w:eastAsia="Calibri" w:hAnsi="Arial Bold"/>
                <w:spacing w:val="-12"/>
                <w:sz w:val="16"/>
              </w:rPr>
              <w:t>Regulation</w:t>
            </w:r>
          </w:p>
        </w:tc>
        <w:tc>
          <w:tcPr>
            <w:tcW w:w="959" w:type="dxa"/>
            <w:vMerge w:val="restart"/>
            <w:shd w:val="clear" w:color="auto" w:fill="00B2A9" w:themeFill="accent1"/>
            <w:vAlign w:val="center"/>
            <w:hideMark/>
          </w:tcPr>
          <w:p w:rsidR="00E657D7" w:rsidRDefault="008F0E53">
            <w:pPr>
              <w:pStyle w:val="Tablecolumnhead"/>
              <w:rPr>
                <w:rFonts w:asciiTheme="majorHAnsi" w:eastAsiaTheme="majorEastAsia" w:hAnsiTheme="majorHAnsi" w:cstheme="majorBidi"/>
                <w:sz w:val="40"/>
              </w:rPr>
            </w:pPr>
            <w:r w:rsidRPr="008F0E53">
              <w:rPr>
                <w:rFonts w:eastAsia="Calibri"/>
              </w:rPr>
              <w:t>2017</w:t>
            </w:r>
          </w:p>
          <w:p w:rsidR="00E657D7" w:rsidRDefault="002E244C">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E657D7" w:rsidRDefault="008F0E53">
            <w:pPr>
              <w:pStyle w:val="Tablecolumnhead"/>
              <w:rPr>
                <w:rFonts w:asciiTheme="majorHAnsi" w:eastAsia="Calibri" w:hAnsiTheme="majorHAnsi" w:cstheme="majorBidi"/>
                <w:sz w:val="40"/>
              </w:rPr>
            </w:pPr>
            <w:r w:rsidRPr="008F0E53">
              <w:t xml:space="preserve">Short description of the </w:t>
            </w:r>
            <w:r w:rsidR="008911CB">
              <w:t>Regulation</w:t>
            </w:r>
          </w:p>
        </w:tc>
        <w:tc>
          <w:tcPr>
            <w:tcW w:w="1998" w:type="dxa"/>
            <w:gridSpan w:val="5"/>
            <w:shd w:val="clear" w:color="auto" w:fill="00B2A9" w:themeFill="accent1"/>
            <w:vAlign w:val="center"/>
          </w:tcPr>
          <w:p w:rsidR="00E657D7" w:rsidRDefault="00873DF8">
            <w:pPr>
              <w:pStyle w:val="Tablecolumnhead"/>
              <w:rPr>
                <w:rFonts w:asciiTheme="majorHAnsi" w:eastAsiaTheme="majorEastAsia" w:hAnsiTheme="majorHAnsi" w:cstheme="majorBidi"/>
                <w:sz w:val="40"/>
              </w:rPr>
            </w:pPr>
            <w:r w:rsidRPr="00873DF8">
              <w:t>Proposed regulatory change</w:t>
            </w:r>
          </w:p>
        </w:tc>
        <w:tc>
          <w:tcPr>
            <w:tcW w:w="6327" w:type="dxa"/>
            <w:vMerge w:val="restart"/>
            <w:shd w:val="clear" w:color="auto" w:fill="00B2A9" w:themeFill="accent1"/>
            <w:vAlign w:val="center"/>
          </w:tcPr>
          <w:p w:rsidR="00E657D7" w:rsidRDefault="004F24D9">
            <w:pPr>
              <w:pStyle w:val="Tablecolumnhead"/>
              <w:rPr>
                <w:rFonts w:asciiTheme="majorHAnsi" w:eastAsiaTheme="majorEastAsia" w:hAnsiTheme="majorHAnsi" w:cstheme="majorBidi"/>
                <w:sz w:val="40"/>
              </w:rPr>
            </w:pPr>
            <w:r w:rsidRPr="004F24D9">
              <w:t>Why the 2017 Regulation is proposed</w:t>
            </w:r>
          </w:p>
        </w:tc>
      </w:tr>
      <w:tr w:rsidR="00B751DE" w:rsidRPr="00427EE1" w:rsidTr="002E244C">
        <w:trPr>
          <w:cantSplit/>
          <w:trHeight w:val="966"/>
          <w:tblHeader/>
        </w:trPr>
        <w:tc>
          <w:tcPr>
            <w:tcW w:w="938" w:type="dxa"/>
            <w:vMerge/>
            <w:shd w:val="clear" w:color="auto" w:fill="00B2A9" w:themeFill="accent1"/>
            <w:vAlign w:val="center"/>
            <w:hideMark/>
          </w:tcPr>
          <w:p w:rsidR="00B751DE" w:rsidRPr="00427EE1" w:rsidRDefault="00B751DE" w:rsidP="00B751DE">
            <w:pPr>
              <w:spacing w:line="276" w:lineRule="auto"/>
              <w:jc w:val="center"/>
              <w:rPr>
                <w:rFonts w:ascii="Calibri" w:eastAsia="Calibri" w:hAnsi="Calibri"/>
                <w:sz w:val="16"/>
                <w:szCs w:val="16"/>
                <w:lang w:eastAsia="en-US"/>
              </w:rPr>
            </w:pPr>
          </w:p>
        </w:tc>
        <w:tc>
          <w:tcPr>
            <w:tcW w:w="959" w:type="dxa"/>
            <w:vMerge/>
            <w:shd w:val="clear" w:color="auto" w:fill="00B2A9" w:themeFill="accent1"/>
            <w:vAlign w:val="center"/>
            <w:hideMark/>
          </w:tcPr>
          <w:p w:rsidR="00B751DE" w:rsidRPr="00427EE1" w:rsidRDefault="00B751DE" w:rsidP="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rsidP="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rsidP="00B751DE">
            <w:pPr>
              <w:spacing w:line="276" w:lineRule="auto"/>
              <w:ind w:left="113" w:right="113"/>
              <w:jc w:val="center"/>
              <w:rPr>
                <w:sz w:val="16"/>
                <w:szCs w:val="16"/>
                <w:lang w:eastAsia="en-US"/>
              </w:rPr>
            </w:pPr>
          </w:p>
        </w:tc>
      </w:tr>
      <w:tr w:rsidR="00B06477" w:rsidRPr="00427EE1" w:rsidTr="002E244C">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06477">
            <w:pPr>
              <w:pStyle w:val="Tabletext"/>
              <w:rPr>
                <w:rFonts w:eastAsia="Calibri"/>
              </w:rPr>
            </w:pPr>
            <w:r w:rsidRPr="00427EE1">
              <w:rPr>
                <w:rFonts w:eastAsia="Calibri"/>
              </w:rPr>
              <w:t>319</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06477">
            <w:pPr>
              <w:pStyle w:val="Tabletext"/>
              <w:rPr>
                <w:rFonts w:asciiTheme="majorHAnsi" w:eastAsia="Calibri" w:hAnsiTheme="majorHAnsi" w:cstheme="majorBidi"/>
                <w:b/>
                <w:sz w:val="40"/>
                <w:lang w:eastAsia="en-US"/>
              </w:rPr>
            </w:pPr>
            <w:r w:rsidRPr="00427EE1">
              <w:rPr>
                <w:rFonts w:eastAsia="Calibri"/>
                <w:lang w:eastAsia="en-US"/>
              </w:rPr>
              <w:t>52</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06477">
            <w:pPr>
              <w:pStyle w:val="Tabletext"/>
              <w:rPr>
                <w:rFonts w:asciiTheme="majorHAnsi" w:eastAsia="Calibri" w:hAnsiTheme="majorHAnsi" w:cstheme="majorBidi"/>
                <w:b/>
                <w:sz w:val="40"/>
                <w:lang w:eastAsia="en-US"/>
              </w:rPr>
            </w:pPr>
            <w:r w:rsidRPr="00427EE1">
              <w:rPr>
                <w:rFonts w:eastAsia="Calibri"/>
                <w:b/>
                <w:lang w:eastAsia="en-US"/>
              </w:rPr>
              <w:t>Documents to be given to council</w:t>
            </w:r>
          </w:p>
          <w:p w:rsidR="00E657D7" w:rsidRDefault="002D140F">
            <w:pPr>
              <w:pStyle w:val="Tabletext"/>
              <w:rPr>
                <w:rFonts w:eastAsia="Calibri"/>
                <w:lang w:eastAsia="en-US"/>
              </w:rPr>
            </w:pPr>
            <w:r>
              <w:rPr>
                <w:rFonts w:eastAsia="Calibri"/>
                <w:lang w:eastAsia="en-US"/>
              </w:rPr>
              <w:t>P</w:t>
            </w:r>
            <w:r w:rsidRPr="00427EE1">
              <w:rPr>
                <w:rFonts w:eastAsia="Calibri"/>
                <w:lang w:eastAsia="en-US"/>
              </w:rPr>
              <w:t xml:space="preserve">rescribes </w:t>
            </w:r>
            <w:r w:rsidR="00B06477" w:rsidRPr="00427EE1">
              <w:rPr>
                <w:rFonts w:eastAsia="Calibri"/>
                <w:lang w:eastAsia="en-US"/>
              </w:rPr>
              <w:t xml:space="preserve">the documentation, in relation to a building permit, that the </w:t>
            </w:r>
            <w:r w:rsidR="00AB414E">
              <w:rPr>
                <w:rFonts w:eastAsia="Calibri"/>
                <w:lang w:eastAsia="en-US"/>
              </w:rPr>
              <w:t>RBS</w:t>
            </w:r>
            <w:r w:rsidR="00B06477" w:rsidRPr="00427EE1">
              <w:rPr>
                <w:rFonts w:eastAsia="Calibri"/>
                <w:lang w:eastAsia="en-US"/>
              </w:rPr>
              <w:t xml:space="preserve"> must lodge with council for </w:t>
            </w:r>
            <w:r w:rsidR="0023395A">
              <w:rPr>
                <w:rFonts w:eastAsia="Calibri"/>
                <w:lang w:eastAsia="en-US"/>
              </w:rPr>
              <w:t>record-keeping</w:t>
            </w:r>
            <w:r w:rsidR="00B06477" w:rsidRPr="00427EE1">
              <w:rPr>
                <w:rFonts w:eastAsia="Calibri"/>
                <w:lang w:eastAsia="en-US"/>
              </w:rPr>
              <w:t xml:space="preserve"> purposes.</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06477" w:rsidRPr="00427EE1" w:rsidRDefault="00B06477" w:rsidP="00C0279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06477" w:rsidRPr="00427EE1" w:rsidRDefault="00B06477" w:rsidP="00C02798">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06477" w:rsidRPr="00427EE1" w:rsidRDefault="00B06477" w:rsidP="00C02798">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06477" w:rsidRPr="00427EE1" w:rsidRDefault="00B06477" w:rsidP="00C02798">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06477" w:rsidRPr="00427EE1" w:rsidRDefault="00B06477" w:rsidP="00C0279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06477">
            <w:pPr>
              <w:pStyle w:val="Tabletext"/>
              <w:rPr>
                <w:rFonts w:eastAsia="Calibri"/>
                <w:sz w:val="16"/>
              </w:rPr>
            </w:pPr>
            <w:r w:rsidRPr="00427EE1">
              <w:rPr>
                <w:rFonts w:eastAsia="Calibri"/>
              </w:rPr>
              <w:t xml:space="preserve">This </w:t>
            </w:r>
            <w:r w:rsidR="008911CB">
              <w:rPr>
                <w:rFonts w:eastAsia="Calibri"/>
              </w:rPr>
              <w:t>Regulation</w:t>
            </w:r>
            <w:r w:rsidRPr="00427EE1">
              <w:rPr>
                <w:rFonts w:eastAsia="Calibri"/>
              </w:rPr>
              <w:t xml:space="preserve"> is required to give effect to </w:t>
            </w:r>
            <w:r w:rsidR="0023395A">
              <w:rPr>
                <w:rFonts w:eastAsia="Calibri"/>
              </w:rPr>
              <w:t xml:space="preserve">s </w:t>
            </w:r>
            <w:r w:rsidRPr="00427EE1">
              <w:rPr>
                <w:rFonts w:eastAsia="Calibri"/>
              </w:rPr>
              <w:t>30(1</w:t>
            </w:r>
            <w:r w:rsidR="00296466">
              <w:rPr>
                <w:rFonts w:eastAsia="Calibri"/>
              </w:rPr>
              <w:t>A</w:t>
            </w:r>
            <w:r w:rsidRPr="00427EE1">
              <w:rPr>
                <w:rFonts w:eastAsia="Calibri"/>
              </w:rPr>
              <w:t>) of the Act. New forms have been added to allow building surveyors to better document and record their assessment and compliance decisions</w:t>
            </w:r>
            <w:r w:rsidR="00504727" w:rsidRPr="00427EE1">
              <w:rPr>
                <w:rFonts w:eastAsia="Calibri"/>
              </w:rPr>
              <w:t>.</w:t>
            </w:r>
            <w:r w:rsidRPr="00427EE1">
              <w:rPr>
                <w:rFonts w:eastAsia="Calibri"/>
              </w:rPr>
              <w:t xml:space="preserve"> These forms have been added to the list of documents required to be lodged by the </w:t>
            </w:r>
            <w:r w:rsidR="00AB414E">
              <w:rPr>
                <w:rFonts w:eastAsia="Calibri"/>
              </w:rPr>
              <w:t>RBS</w:t>
            </w:r>
            <w:r w:rsidRPr="00427EE1">
              <w:rPr>
                <w:rFonts w:eastAsia="Calibri"/>
              </w:rPr>
              <w:t xml:space="preserve"> with the relevant council.</w:t>
            </w:r>
          </w:p>
        </w:tc>
      </w:tr>
      <w:tr w:rsidR="00B751DE" w:rsidRPr="00427EE1" w:rsidTr="002E244C">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pPr>
              <w:pStyle w:val="Tabletext"/>
              <w:rPr>
                <w:rFonts w:eastAsia="Calibri"/>
              </w:rPr>
            </w:pPr>
            <w:r w:rsidRPr="00427EE1">
              <w:rPr>
                <w:rFonts w:eastAsia="Calibri"/>
              </w:rPr>
              <w:t>320</w:t>
            </w:r>
          </w:p>
          <w:p w:rsidR="00E657D7" w:rsidRDefault="00E657D7">
            <w:pPr>
              <w:pStyle w:val="Tabletext"/>
              <w:rPr>
                <w:rFonts w:eastAsia="Calibri"/>
                <w:sz w:val="16"/>
              </w:rPr>
            </w:pP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53</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pPr>
              <w:pStyle w:val="Tabletext"/>
              <w:rPr>
                <w:rFonts w:asciiTheme="majorHAnsi" w:eastAsia="Calibri" w:hAnsiTheme="majorHAnsi" w:cstheme="majorBidi"/>
                <w:b/>
                <w:sz w:val="40"/>
                <w:lang w:eastAsia="en-US"/>
              </w:rPr>
            </w:pPr>
            <w:r w:rsidRPr="00427EE1">
              <w:rPr>
                <w:rFonts w:eastAsia="Calibri"/>
                <w:b/>
                <w:lang w:eastAsia="en-US"/>
              </w:rPr>
              <w:t>Lodgement fees</w:t>
            </w:r>
          </w:p>
          <w:p w:rsidR="00E657D7" w:rsidRDefault="002D140F">
            <w:pPr>
              <w:pStyle w:val="Tabletext"/>
              <w:rPr>
                <w:rFonts w:eastAsia="Calibri"/>
                <w:lang w:eastAsia="en-US"/>
              </w:rPr>
            </w:pPr>
            <w:r>
              <w:rPr>
                <w:rFonts w:eastAsia="Calibri"/>
                <w:lang w:eastAsia="en-US"/>
              </w:rPr>
              <w:t>P</w:t>
            </w:r>
            <w:r w:rsidRPr="00427EE1">
              <w:rPr>
                <w:rFonts w:eastAsia="Calibri"/>
                <w:lang w:eastAsia="en-US"/>
              </w:rPr>
              <w:t xml:space="preserve">rescribes </w:t>
            </w:r>
            <w:r w:rsidR="00B06477" w:rsidRPr="00427EE1">
              <w:rPr>
                <w:rFonts w:eastAsia="Calibri"/>
                <w:lang w:eastAsia="en-US"/>
              </w:rPr>
              <w:t xml:space="preserve">the fee for lodging building </w:t>
            </w:r>
            <w:r w:rsidR="00C85828" w:rsidRPr="00427EE1">
              <w:rPr>
                <w:rFonts w:eastAsia="Calibri"/>
                <w:lang w:eastAsia="en-US"/>
              </w:rPr>
              <w:t>permit documents</w:t>
            </w:r>
            <w:r w:rsidR="00B06477" w:rsidRPr="00427EE1">
              <w:rPr>
                <w:rFonts w:eastAsia="Calibri"/>
                <w:lang w:eastAsia="en-US"/>
              </w:rPr>
              <w:t xml:space="preserve"> with council.</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06477">
            <w:pPr>
              <w:pStyle w:val="Tabletext"/>
              <w:rPr>
                <w:rFonts w:eastAsia="Calibri"/>
              </w:rPr>
            </w:pPr>
            <w:r w:rsidRPr="00427EE1">
              <w:rPr>
                <w:rFonts w:eastAsia="Calibri"/>
              </w:rPr>
              <w:t xml:space="preserve">This </w:t>
            </w:r>
            <w:r w:rsidR="008911CB">
              <w:rPr>
                <w:rFonts w:eastAsia="Calibri"/>
              </w:rPr>
              <w:t>Regulation</w:t>
            </w:r>
            <w:r w:rsidRPr="00427EE1">
              <w:rPr>
                <w:rFonts w:eastAsia="Calibri"/>
              </w:rPr>
              <w:t xml:space="preserve"> is required to give effect to </w:t>
            </w:r>
            <w:r w:rsidR="0023395A">
              <w:rPr>
                <w:rFonts w:eastAsia="Calibri"/>
              </w:rPr>
              <w:t xml:space="preserve">cl </w:t>
            </w:r>
            <w:r w:rsidRPr="00427EE1">
              <w:rPr>
                <w:rFonts w:eastAsia="Calibri"/>
              </w:rPr>
              <w:t xml:space="preserve">1(d) of </w:t>
            </w:r>
            <w:proofErr w:type="spellStart"/>
            <w:r w:rsidR="00995450">
              <w:rPr>
                <w:rFonts w:eastAsia="Calibri"/>
              </w:rPr>
              <w:t>sch</w:t>
            </w:r>
            <w:proofErr w:type="spellEnd"/>
            <w:r w:rsidR="00995450">
              <w:rPr>
                <w:rFonts w:eastAsia="Calibri"/>
              </w:rPr>
              <w:t xml:space="preserve"> </w:t>
            </w:r>
            <w:r w:rsidRPr="00427EE1">
              <w:rPr>
                <w:rFonts w:eastAsia="Calibri"/>
              </w:rPr>
              <w:t xml:space="preserve">2 of the Act and to provide for an exemption from paying the fee in relation to classes of building referred to in proposed </w:t>
            </w:r>
            <w:proofErr w:type="spellStart"/>
            <w:r w:rsidR="003902AD">
              <w:rPr>
                <w:rFonts w:eastAsia="Calibri"/>
              </w:rPr>
              <w:t>reg</w:t>
            </w:r>
            <w:proofErr w:type="spellEnd"/>
            <w:r w:rsidR="003902AD">
              <w:rPr>
                <w:rFonts w:eastAsia="Calibri"/>
              </w:rPr>
              <w:t xml:space="preserve"> 2</w:t>
            </w:r>
            <w:r w:rsidRPr="00427EE1">
              <w:rPr>
                <w:rFonts w:eastAsia="Calibri"/>
              </w:rPr>
              <w:t xml:space="preserve">77. The exemption for work valued at below $5,000 </w:t>
            </w:r>
            <w:r w:rsidR="00B751DE" w:rsidRPr="00427EE1">
              <w:rPr>
                <w:rFonts w:eastAsia="Calibri"/>
              </w:rPr>
              <w:t>is removed to reflect the preferred option of full cost recovery.</w:t>
            </w:r>
            <w:r w:rsidR="0048365D" w:rsidRPr="00427EE1">
              <w:rPr>
                <w:rFonts w:eastAsia="Calibri"/>
              </w:rPr>
              <w:t xml:space="preserve"> It is currently 2.75 fee units</w:t>
            </w:r>
            <w:r w:rsidR="00504727" w:rsidRPr="00427EE1">
              <w:rPr>
                <w:rFonts w:eastAsia="Calibri"/>
              </w:rPr>
              <w:t xml:space="preserve"> and</w:t>
            </w:r>
            <w:r w:rsidR="0048365D" w:rsidRPr="00427EE1">
              <w:rPr>
                <w:rFonts w:eastAsia="Calibri"/>
              </w:rPr>
              <w:t xml:space="preserve"> is proposed to be changed to 8.23 fee units</w:t>
            </w:r>
            <w:r w:rsidR="00995450">
              <w:rPr>
                <w:rFonts w:eastAsia="Calibri"/>
              </w:rPr>
              <w:t>.</w:t>
            </w:r>
          </w:p>
        </w:tc>
      </w:tr>
      <w:tr w:rsidR="00792DCE" w:rsidRPr="00427EE1" w:rsidTr="002E244C">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792DCE">
            <w:pPr>
              <w:pStyle w:val="Tabletext"/>
              <w:rPr>
                <w:rFonts w:eastAsia="Calibri"/>
              </w:rPr>
            </w:pPr>
            <w:r w:rsidRPr="00427EE1">
              <w:rPr>
                <w:rFonts w:eastAsia="Calibri"/>
              </w:rPr>
              <w:t>321</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792DCE">
            <w:pPr>
              <w:pStyle w:val="Tabletext"/>
              <w:rPr>
                <w:rFonts w:asciiTheme="majorHAnsi" w:eastAsia="Calibri" w:hAnsiTheme="majorHAnsi" w:cstheme="majorBidi"/>
                <w:b/>
                <w:sz w:val="40"/>
                <w:lang w:eastAsia="en-US"/>
              </w:rPr>
            </w:pPr>
            <w:r w:rsidRPr="00427EE1">
              <w:rPr>
                <w:rFonts w:eastAsia="Calibri"/>
                <w:lang w:eastAsia="en-US"/>
              </w:rPr>
              <w:t>54</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792DCE">
            <w:pPr>
              <w:pStyle w:val="Tabletext"/>
              <w:rPr>
                <w:rFonts w:asciiTheme="majorHAnsi" w:eastAsia="Calibri" w:hAnsiTheme="majorHAnsi" w:cstheme="majorBidi"/>
                <w:b/>
                <w:sz w:val="40"/>
                <w:lang w:eastAsia="en-US"/>
              </w:rPr>
            </w:pPr>
            <w:r w:rsidRPr="00427EE1">
              <w:rPr>
                <w:rFonts w:eastAsia="Calibri"/>
                <w:b/>
                <w:lang w:eastAsia="en-US"/>
              </w:rPr>
              <w:t>Building permit levies</w:t>
            </w:r>
          </w:p>
          <w:p w:rsidR="00E657D7" w:rsidRDefault="002D140F">
            <w:pPr>
              <w:pStyle w:val="Tabletext"/>
              <w:rPr>
                <w:rFonts w:eastAsia="Calibri"/>
                <w:lang w:eastAsia="en-US"/>
              </w:rPr>
            </w:pPr>
            <w:r>
              <w:rPr>
                <w:rFonts w:eastAsia="Calibri"/>
                <w:lang w:eastAsia="en-US"/>
              </w:rPr>
              <w:t>R</w:t>
            </w:r>
            <w:r w:rsidRPr="00427EE1">
              <w:rPr>
                <w:rFonts w:eastAsia="Calibri"/>
                <w:lang w:eastAsia="en-US"/>
              </w:rPr>
              <w:t xml:space="preserve">equires </w:t>
            </w:r>
            <w:r w:rsidR="00792DCE" w:rsidRPr="00427EE1">
              <w:rPr>
                <w:rFonts w:eastAsia="Calibri"/>
                <w:lang w:eastAsia="en-US"/>
              </w:rPr>
              <w:t xml:space="preserve">the </w:t>
            </w:r>
            <w:r w:rsidR="00AB414E">
              <w:rPr>
                <w:rFonts w:eastAsia="Calibri"/>
                <w:lang w:eastAsia="en-US"/>
              </w:rPr>
              <w:t>RBS</w:t>
            </w:r>
            <w:r w:rsidR="00792DCE" w:rsidRPr="00427EE1">
              <w:rPr>
                <w:rFonts w:eastAsia="Calibri"/>
                <w:lang w:eastAsia="en-US"/>
              </w:rPr>
              <w:t xml:space="preserve"> to provide monthly reports to the VBA on matters relating to the collection of the building permit levy.</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792DCE" w:rsidRPr="00427EE1" w:rsidRDefault="00792DCE" w:rsidP="00C0279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792DCE" w:rsidRPr="00427EE1" w:rsidRDefault="00792DCE" w:rsidP="00C0279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792DCE" w:rsidRPr="00427EE1" w:rsidRDefault="00792DCE" w:rsidP="00C02798">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792DCE" w:rsidRPr="00427EE1" w:rsidRDefault="00792DCE" w:rsidP="00C02798">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792DCE" w:rsidRPr="00427EE1" w:rsidRDefault="00792DCE" w:rsidP="00C02798">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792DCE">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give effect to </w:t>
            </w:r>
            <w:r w:rsidR="0023395A">
              <w:rPr>
                <w:rFonts w:eastAsia="Calibri"/>
              </w:rPr>
              <w:t xml:space="preserve">s </w:t>
            </w:r>
            <w:r w:rsidRPr="00427EE1">
              <w:rPr>
                <w:rFonts w:eastAsia="Calibri"/>
              </w:rPr>
              <w:t>205J of the Act. Its purpose is to address information asymmetr</w:t>
            </w:r>
            <w:r w:rsidR="00504727" w:rsidRPr="00427EE1">
              <w:rPr>
                <w:rFonts w:eastAsia="Calibri"/>
              </w:rPr>
              <w:t>ies</w:t>
            </w:r>
            <w:r w:rsidRPr="00427EE1">
              <w:rPr>
                <w:rFonts w:eastAsia="Calibri"/>
              </w:rPr>
              <w:t xml:space="preserve"> and facilitate the efficient and effective collection of the building permit levy.</w:t>
            </w:r>
          </w:p>
        </w:tc>
      </w:tr>
      <w:tr w:rsidR="00792DCE" w:rsidRPr="00427EE1" w:rsidTr="002E244C">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792DCE">
            <w:pPr>
              <w:pStyle w:val="Tabletext"/>
              <w:rPr>
                <w:rFonts w:eastAsia="Calibri"/>
              </w:rPr>
            </w:pPr>
            <w:r w:rsidRPr="00427EE1">
              <w:rPr>
                <w:rFonts w:eastAsia="Calibri"/>
              </w:rPr>
              <w:lastRenderedPageBreak/>
              <w:t>322</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792DCE">
            <w:pPr>
              <w:pStyle w:val="Tabletext"/>
              <w:rPr>
                <w:rFonts w:asciiTheme="majorHAnsi" w:eastAsia="Calibri" w:hAnsiTheme="majorHAnsi" w:cstheme="majorBidi"/>
                <w:b/>
                <w:sz w:val="40"/>
                <w:lang w:eastAsia="en-US"/>
              </w:rPr>
            </w:pPr>
            <w:r w:rsidRPr="00427EE1">
              <w:rPr>
                <w:rFonts w:eastAsia="Calibri"/>
                <w:lang w:eastAsia="en-US"/>
              </w:rPr>
              <w:t>55</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792DCE">
            <w:pPr>
              <w:pStyle w:val="Tabletext"/>
              <w:rPr>
                <w:rFonts w:asciiTheme="majorHAnsi" w:eastAsia="Calibri" w:hAnsiTheme="majorHAnsi" w:cstheme="majorBidi"/>
                <w:b/>
                <w:sz w:val="40"/>
                <w:lang w:eastAsia="en-US"/>
              </w:rPr>
            </w:pPr>
            <w:r w:rsidRPr="00427EE1">
              <w:rPr>
                <w:rFonts w:eastAsia="Calibri"/>
                <w:b/>
                <w:lang w:eastAsia="en-US"/>
              </w:rPr>
              <w:t xml:space="preserve">Information the </w:t>
            </w:r>
            <w:r w:rsidR="00AB414E">
              <w:rPr>
                <w:rFonts w:eastAsia="Calibri"/>
                <w:b/>
                <w:lang w:eastAsia="en-US"/>
              </w:rPr>
              <w:t>RBS</w:t>
            </w:r>
            <w:r w:rsidRPr="00427EE1">
              <w:rPr>
                <w:rFonts w:eastAsia="Calibri"/>
                <w:b/>
                <w:lang w:eastAsia="en-US"/>
              </w:rPr>
              <w:t xml:space="preserve"> must give to </w:t>
            </w:r>
            <w:r w:rsidR="00720C4E">
              <w:rPr>
                <w:rFonts w:eastAsia="Calibri"/>
                <w:b/>
                <w:lang w:eastAsia="en-US"/>
              </w:rPr>
              <w:t>VBA</w:t>
            </w:r>
          </w:p>
          <w:p w:rsidR="00E657D7" w:rsidRDefault="002D140F">
            <w:pPr>
              <w:pStyle w:val="Tabletext"/>
              <w:rPr>
                <w:rFonts w:eastAsia="Calibri"/>
                <w:lang w:eastAsia="en-US"/>
              </w:rPr>
            </w:pPr>
            <w:r>
              <w:rPr>
                <w:rFonts w:eastAsia="Calibri"/>
                <w:lang w:eastAsia="en-US"/>
              </w:rPr>
              <w:t>R</w:t>
            </w:r>
            <w:r w:rsidRPr="00427EE1">
              <w:rPr>
                <w:rFonts w:eastAsia="Calibri"/>
                <w:lang w:eastAsia="en-US"/>
              </w:rPr>
              <w:t xml:space="preserve">equires </w:t>
            </w:r>
            <w:r w:rsidR="00792DCE" w:rsidRPr="00427EE1">
              <w:rPr>
                <w:rFonts w:eastAsia="Calibri"/>
                <w:lang w:eastAsia="en-US"/>
              </w:rPr>
              <w:t xml:space="preserve">the </w:t>
            </w:r>
            <w:r w:rsidR="00AB414E">
              <w:rPr>
                <w:rFonts w:eastAsia="Calibri"/>
                <w:lang w:eastAsia="en-US"/>
              </w:rPr>
              <w:t>RBS</w:t>
            </w:r>
            <w:r w:rsidR="00792DCE" w:rsidRPr="00427EE1">
              <w:rPr>
                <w:rFonts w:eastAsia="Calibri"/>
                <w:lang w:eastAsia="en-US"/>
              </w:rPr>
              <w:t xml:space="preserve"> to provide targeted information to the VBA, on a monthly basis, in relation to the progress of key stages of building work authorised by the </w:t>
            </w:r>
            <w:r w:rsidR="00AB414E">
              <w:rPr>
                <w:rFonts w:eastAsia="Calibri"/>
                <w:lang w:eastAsia="en-US"/>
              </w:rPr>
              <w:t>RBS</w:t>
            </w:r>
            <w:r w:rsidR="00792DCE" w:rsidRPr="00427EE1">
              <w:rPr>
                <w:rFonts w:eastAsia="Calibri"/>
                <w:lang w:eastAsia="en-US"/>
              </w:rPr>
              <w:t xml:space="preserve"> by means of a building permit.</w:t>
            </w:r>
            <w:r w:rsidR="00E60957">
              <w:rPr>
                <w:rFonts w:eastAsia="Calibri"/>
                <w:lang w:eastAsia="en-US"/>
              </w:rPr>
              <w:t xml:space="preserve">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792DCE" w:rsidRPr="00427EE1" w:rsidRDefault="00792DCE" w:rsidP="00C0279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792DCE" w:rsidRPr="00427EE1" w:rsidRDefault="00792DCE" w:rsidP="00C02798">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792DCE" w:rsidRPr="00427EE1" w:rsidRDefault="00792DCE" w:rsidP="00C02798">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792DCE" w:rsidRPr="00427EE1" w:rsidRDefault="00792DCE" w:rsidP="00C02798">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792DCE" w:rsidRPr="00427EE1" w:rsidRDefault="00792DCE" w:rsidP="00C0279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792DCE">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address information asymmetr</w:t>
            </w:r>
            <w:r w:rsidR="00504727" w:rsidRPr="00427EE1">
              <w:rPr>
                <w:rFonts w:eastAsia="Calibri"/>
              </w:rPr>
              <w:t>ies</w:t>
            </w:r>
            <w:r w:rsidRPr="00427EE1">
              <w:rPr>
                <w:rFonts w:eastAsia="Calibri"/>
              </w:rPr>
              <w:t xml:space="preserve"> and to </w:t>
            </w:r>
            <w:r w:rsidR="00504727" w:rsidRPr="00427EE1">
              <w:rPr>
                <w:rFonts w:eastAsia="Calibri"/>
              </w:rPr>
              <w:t xml:space="preserve">assist </w:t>
            </w:r>
            <w:r w:rsidRPr="00427EE1">
              <w:rPr>
                <w:rFonts w:eastAsia="Calibri"/>
              </w:rPr>
              <w:t>the</w:t>
            </w:r>
            <w:r w:rsidR="00504727" w:rsidRPr="00427EE1">
              <w:rPr>
                <w:rFonts w:eastAsia="Calibri"/>
              </w:rPr>
              <w:t xml:space="preserve"> </w:t>
            </w:r>
            <w:r w:rsidRPr="00427EE1">
              <w:rPr>
                <w:rFonts w:eastAsia="Calibri"/>
              </w:rPr>
              <w:t>VBA in its</w:t>
            </w:r>
            <w:r w:rsidR="00E60957">
              <w:rPr>
                <w:rFonts w:eastAsia="Calibri"/>
              </w:rPr>
              <w:t xml:space="preserve"> </w:t>
            </w:r>
            <w:r w:rsidRPr="00427EE1">
              <w:rPr>
                <w:rFonts w:eastAsia="Calibri"/>
              </w:rPr>
              <w:t>monitoring and enforcement functions under the Act.</w:t>
            </w:r>
            <w:r w:rsidR="00E60957">
              <w:rPr>
                <w:rFonts w:eastAsia="Calibri"/>
              </w:rPr>
              <w:t xml:space="preserve"> </w:t>
            </w:r>
            <w:r w:rsidR="00504727" w:rsidRPr="00427EE1">
              <w:rPr>
                <w:rFonts w:eastAsia="Calibri"/>
              </w:rPr>
              <w:t>It n</w:t>
            </w:r>
            <w:r w:rsidR="005801D7" w:rsidRPr="00427EE1">
              <w:rPr>
                <w:rFonts w:eastAsia="Calibri"/>
              </w:rPr>
              <w:t xml:space="preserve">ow </w:t>
            </w:r>
            <w:r w:rsidRPr="00427EE1">
              <w:rPr>
                <w:rFonts w:eastAsia="Calibri"/>
              </w:rPr>
              <w:t xml:space="preserve">requires </w:t>
            </w:r>
            <w:r w:rsidR="00504727" w:rsidRPr="00427EE1">
              <w:rPr>
                <w:rFonts w:eastAsia="Calibri"/>
              </w:rPr>
              <w:t xml:space="preserve">additional reporting requirements of </w:t>
            </w:r>
            <w:r w:rsidR="00AB414E">
              <w:rPr>
                <w:rFonts w:eastAsia="Calibri"/>
              </w:rPr>
              <w:t>RBS</w:t>
            </w:r>
            <w:r w:rsidR="00504727" w:rsidRPr="00427EE1">
              <w:rPr>
                <w:rFonts w:eastAsia="Calibri"/>
              </w:rPr>
              <w:t>s than previously.</w:t>
            </w:r>
          </w:p>
          <w:p w:rsidR="00E657D7" w:rsidRDefault="00E657D7">
            <w:pPr>
              <w:pStyle w:val="Tabletext"/>
              <w:rPr>
                <w:rFonts w:eastAsia="Calibri"/>
                <w:sz w:val="16"/>
              </w:rPr>
            </w:pPr>
          </w:p>
        </w:tc>
      </w:tr>
      <w:tr w:rsidR="00B751DE" w:rsidRPr="00427EE1" w:rsidTr="002E244C">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E657D7" w:rsidRDefault="00B751DE">
            <w:pPr>
              <w:pStyle w:val="Tabletext"/>
              <w:rPr>
                <w:rFonts w:eastAsia="Calibri"/>
              </w:rPr>
            </w:pPr>
            <w:r w:rsidRPr="00427EE1">
              <w:rPr>
                <w:rFonts w:eastAsia="Calibri"/>
              </w:rPr>
              <w:t>323</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56</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tcPr>
          <w:p w:rsidR="00E657D7" w:rsidRDefault="00B751DE">
            <w:pPr>
              <w:pStyle w:val="Tabletext"/>
              <w:rPr>
                <w:rFonts w:asciiTheme="majorHAnsi" w:eastAsia="Calibri" w:hAnsiTheme="majorHAnsi" w:cstheme="majorBidi"/>
                <w:b/>
                <w:sz w:val="40"/>
                <w:lang w:eastAsia="en-US"/>
              </w:rPr>
            </w:pPr>
            <w:r w:rsidRPr="00427EE1">
              <w:rPr>
                <w:rFonts w:eastAsia="Calibri"/>
                <w:b/>
                <w:lang w:eastAsia="en-US"/>
              </w:rPr>
              <w:t>Guarantees and bonds</w:t>
            </w:r>
          </w:p>
          <w:p w:rsidR="00E657D7" w:rsidRDefault="002E244C">
            <w:pPr>
              <w:pStyle w:val="Tabletext"/>
              <w:rPr>
                <w:rFonts w:asciiTheme="majorHAnsi" w:eastAsia="Calibri" w:hAnsiTheme="majorHAnsi" w:cstheme="majorBidi"/>
                <w:b/>
                <w:sz w:val="40"/>
                <w:lang w:eastAsia="en-US"/>
              </w:rPr>
            </w:pPr>
            <w:r>
              <w:rPr>
                <w:rFonts w:eastAsia="Calibri"/>
                <w:lang w:eastAsia="en-US"/>
              </w:rPr>
              <w:t xml:space="preserve">Specifies </w:t>
            </w:r>
            <w:r w:rsidR="00F30D90" w:rsidRPr="00427EE1">
              <w:rPr>
                <w:rFonts w:eastAsia="Calibri"/>
                <w:lang w:eastAsia="en-US"/>
              </w:rPr>
              <w:t xml:space="preserve">the circumstances in respect of which the </w:t>
            </w:r>
            <w:r w:rsidR="00AB414E">
              <w:rPr>
                <w:rFonts w:eastAsia="Calibri"/>
                <w:lang w:eastAsia="en-US"/>
              </w:rPr>
              <w:t>RBS</w:t>
            </w:r>
            <w:r w:rsidR="00F30D90" w:rsidRPr="00427EE1">
              <w:rPr>
                <w:rFonts w:eastAsia="Calibri"/>
                <w:lang w:eastAsia="en-US"/>
              </w:rPr>
              <w:t xml:space="preserve"> may require a guarantee or bond to secure the completion of building work and also the amount of the security.</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rsidP="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E657D7" w:rsidRDefault="00E51CD5">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w:t>
            </w:r>
            <w:r w:rsidR="00C85828" w:rsidRPr="00427EE1">
              <w:rPr>
                <w:rFonts w:eastAsia="Calibri"/>
              </w:rPr>
              <w:t>required</w:t>
            </w:r>
            <w:r w:rsidRPr="00427EE1">
              <w:rPr>
                <w:rFonts w:eastAsia="Calibri"/>
              </w:rPr>
              <w:t xml:space="preserve"> to give effect to </w:t>
            </w:r>
            <w:r w:rsidR="0023395A">
              <w:rPr>
                <w:rFonts w:eastAsia="Calibri"/>
              </w:rPr>
              <w:t xml:space="preserve">s </w:t>
            </w:r>
            <w:r w:rsidRPr="00427EE1">
              <w:rPr>
                <w:rFonts w:eastAsia="Calibri"/>
              </w:rPr>
              <w:t>22 of the Act. The required security amount for re-erection has been increased from the amount set over 10 years ago, to ensure the costs of rectification can be covered should this be required.</w:t>
            </w:r>
          </w:p>
        </w:tc>
      </w:tr>
    </w:tbl>
    <w:p w:rsidR="00E657D7" w:rsidRDefault="00E657D7"/>
    <w:p w:rsidR="00D615BC" w:rsidRPr="00427EE1" w:rsidRDefault="00EF2008" w:rsidP="006119D2">
      <w:pPr>
        <w:pStyle w:val="Heading4"/>
      </w:pPr>
      <w:proofErr w:type="spellStart"/>
      <w:r>
        <w:t>Div</w:t>
      </w:r>
      <w:proofErr w:type="spellEnd"/>
      <w:r w:rsidR="006E6791" w:rsidRPr="00427EE1">
        <w:t xml:space="preserve"> </w:t>
      </w:r>
      <w:r w:rsidR="00B751DE" w:rsidRPr="00427EE1">
        <w:t>6</w:t>
      </w:r>
      <w:r w:rsidR="008475D9">
        <w:t>—</w:t>
      </w:r>
      <w:r w:rsidR="00B751DE" w:rsidRPr="00427EE1">
        <w:t>Duties of council</w:t>
      </w:r>
    </w:p>
    <w:tbl>
      <w:tblPr>
        <w:tblW w:w="14479" w:type="dxa"/>
        <w:tblInd w:w="-102"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52"/>
        <w:gridCol w:w="959"/>
        <w:gridCol w:w="4243"/>
        <w:gridCol w:w="399"/>
        <w:gridCol w:w="399"/>
        <w:gridCol w:w="402"/>
        <w:gridCol w:w="400"/>
        <w:gridCol w:w="398"/>
        <w:gridCol w:w="6327"/>
      </w:tblGrid>
      <w:tr w:rsidR="006C07F6" w:rsidRPr="00427EE1" w:rsidTr="006119D2">
        <w:trPr>
          <w:cantSplit/>
          <w:trHeight w:val="99"/>
          <w:tblHeader/>
        </w:trPr>
        <w:tc>
          <w:tcPr>
            <w:tcW w:w="952" w:type="dxa"/>
            <w:vMerge w:val="restart"/>
            <w:shd w:val="clear" w:color="auto" w:fill="00B2A9" w:themeFill="accent1"/>
            <w:vAlign w:val="center"/>
            <w:hideMark/>
          </w:tcPr>
          <w:p w:rsidR="006C07F6" w:rsidRDefault="006C07F6" w:rsidP="009B17A5">
            <w:pPr>
              <w:pStyle w:val="Tablecolumnhead"/>
              <w:rPr>
                <w:rFonts w:asciiTheme="majorHAnsi" w:eastAsia="Calibri" w:hAnsiTheme="majorHAnsi" w:cstheme="majorBidi"/>
                <w:sz w:val="40"/>
              </w:rPr>
            </w:pPr>
            <w:r w:rsidRPr="00BE72D7">
              <w:rPr>
                <w:rFonts w:eastAsia="Calibri"/>
              </w:rPr>
              <w:t>2006</w:t>
            </w:r>
          </w:p>
          <w:p w:rsidR="006C07F6" w:rsidRDefault="006C07F6">
            <w:pPr>
              <w:pStyle w:val="Tablecolumnhead"/>
              <w:rPr>
                <w:rFonts w:asciiTheme="majorHAnsi" w:eastAsia="Calibri" w:hAnsiTheme="majorHAnsi" w:cstheme="majorBidi"/>
                <w:sz w:val="40"/>
              </w:rPr>
            </w:pPr>
            <w:r w:rsidRPr="00C44680">
              <w:rPr>
                <w:rFonts w:ascii="Arial Bold" w:eastAsia="Calibri" w:hAnsi="Arial Bold"/>
                <w:spacing w:val="-12"/>
                <w:sz w:val="16"/>
              </w:rPr>
              <w:t>Regulation</w:t>
            </w:r>
          </w:p>
        </w:tc>
        <w:tc>
          <w:tcPr>
            <w:tcW w:w="959" w:type="dxa"/>
            <w:vMerge w:val="restart"/>
            <w:shd w:val="clear" w:color="auto" w:fill="00B2A9" w:themeFill="accent1"/>
            <w:vAlign w:val="center"/>
            <w:hideMark/>
          </w:tcPr>
          <w:p w:rsidR="006C07F6" w:rsidRDefault="006C07F6" w:rsidP="009B17A5">
            <w:pPr>
              <w:pStyle w:val="Tablecolumnhead"/>
              <w:rPr>
                <w:rFonts w:asciiTheme="majorHAnsi" w:eastAsiaTheme="majorEastAsia" w:hAnsiTheme="majorHAnsi" w:cstheme="majorBidi"/>
                <w:sz w:val="40"/>
              </w:rPr>
            </w:pPr>
            <w:r w:rsidRPr="008F0E53">
              <w:rPr>
                <w:rFonts w:eastAsia="Calibri"/>
              </w:rPr>
              <w:t>2017</w:t>
            </w:r>
          </w:p>
          <w:p w:rsidR="006C07F6" w:rsidRDefault="006C07F6">
            <w:pPr>
              <w:pStyle w:val="Tablecolumnhead"/>
              <w:rPr>
                <w:rFonts w:asciiTheme="majorHAnsi" w:eastAsiaTheme="majorEastAsia" w:hAnsiTheme="majorHAnsi" w:cstheme="majorBidi"/>
                <w:sz w:val="40"/>
              </w:rPr>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6C07F6" w:rsidRDefault="006C07F6">
            <w:pPr>
              <w:pStyle w:val="Tablecolumnhead"/>
              <w:rPr>
                <w:rFonts w:asciiTheme="majorHAnsi" w:eastAsia="Calibri" w:hAnsiTheme="majorHAnsi" w:cstheme="majorBidi"/>
                <w:sz w:val="40"/>
              </w:rPr>
            </w:pPr>
            <w:r w:rsidRPr="008F0E53">
              <w:t xml:space="preserve">Short description of the </w:t>
            </w:r>
            <w:r>
              <w:t>Regulation</w:t>
            </w:r>
          </w:p>
        </w:tc>
        <w:tc>
          <w:tcPr>
            <w:tcW w:w="1998" w:type="dxa"/>
            <w:gridSpan w:val="5"/>
            <w:shd w:val="clear" w:color="auto" w:fill="00B2A9" w:themeFill="accent1"/>
            <w:vAlign w:val="center"/>
          </w:tcPr>
          <w:p w:rsidR="006C07F6" w:rsidRDefault="006C07F6">
            <w:pPr>
              <w:pStyle w:val="Tablecolumnhead"/>
              <w:rPr>
                <w:rFonts w:asciiTheme="majorHAnsi" w:eastAsiaTheme="majorEastAsia" w:hAnsiTheme="majorHAnsi" w:cstheme="majorBidi"/>
                <w:sz w:val="40"/>
              </w:rPr>
            </w:pPr>
            <w:r w:rsidRPr="004F24D9">
              <w:t>Proposed regulatory change</w:t>
            </w:r>
          </w:p>
        </w:tc>
        <w:tc>
          <w:tcPr>
            <w:tcW w:w="6327" w:type="dxa"/>
            <w:vMerge w:val="restart"/>
            <w:shd w:val="clear" w:color="auto" w:fill="00B2A9" w:themeFill="accent1"/>
            <w:vAlign w:val="center"/>
          </w:tcPr>
          <w:p w:rsidR="006C07F6" w:rsidRDefault="006C07F6">
            <w:pPr>
              <w:pStyle w:val="Tablecolumnhead"/>
              <w:rPr>
                <w:rFonts w:asciiTheme="majorHAnsi" w:eastAsiaTheme="majorEastAsia" w:hAnsiTheme="majorHAnsi" w:cstheme="majorBidi"/>
                <w:sz w:val="40"/>
              </w:rPr>
            </w:pPr>
            <w:r w:rsidRPr="00354570">
              <w:t>Why the 2017 Regulation is proposed</w:t>
            </w:r>
          </w:p>
        </w:tc>
      </w:tr>
      <w:tr w:rsidR="00B751DE" w:rsidRPr="00427EE1" w:rsidTr="006119D2">
        <w:trPr>
          <w:cantSplit/>
          <w:trHeight w:val="966"/>
          <w:tblHeader/>
        </w:trPr>
        <w:tc>
          <w:tcPr>
            <w:tcW w:w="952" w:type="dxa"/>
            <w:vMerge/>
            <w:shd w:val="clear" w:color="auto" w:fill="00B2A9" w:themeFill="accent1"/>
            <w:vAlign w:val="center"/>
            <w:hideMark/>
          </w:tcPr>
          <w:p w:rsidR="00B751DE" w:rsidRPr="00427EE1" w:rsidRDefault="00B751DE" w:rsidP="00B751DE">
            <w:pPr>
              <w:spacing w:line="276" w:lineRule="auto"/>
              <w:jc w:val="center"/>
              <w:rPr>
                <w:rFonts w:ascii="Calibri" w:eastAsia="Calibri" w:hAnsi="Calibri"/>
                <w:sz w:val="16"/>
                <w:szCs w:val="16"/>
                <w:lang w:eastAsia="en-US"/>
              </w:rPr>
            </w:pPr>
          </w:p>
        </w:tc>
        <w:tc>
          <w:tcPr>
            <w:tcW w:w="959" w:type="dxa"/>
            <w:vMerge/>
            <w:shd w:val="clear" w:color="auto" w:fill="00B2A9" w:themeFill="accent1"/>
            <w:vAlign w:val="center"/>
            <w:hideMark/>
          </w:tcPr>
          <w:p w:rsidR="00B751DE" w:rsidRPr="00427EE1" w:rsidRDefault="00B751DE" w:rsidP="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rsidP="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rsidP="00B751DE">
            <w:pPr>
              <w:spacing w:line="276" w:lineRule="auto"/>
              <w:ind w:left="113" w:right="113"/>
              <w:jc w:val="center"/>
              <w:rPr>
                <w:sz w:val="16"/>
                <w:szCs w:val="16"/>
                <w:lang w:eastAsia="en-US"/>
              </w:rPr>
            </w:pPr>
          </w:p>
        </w:tc>
      </w:tr>
      <w:tr w:rsidR="00B82CCE" w:rsidRPr="00427EE1" w:rsidTr="006119D2">
        <w:trPr>
          <w:cantSplit/>
          <w:trHeight w:val="340"/>
        </w:trPr>
        <w:tc>
          <w:tcPr>
            <w:tcW w:w="95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82CCE">
            <w:pPr>
              <w:pStyle w:val="Tabletext"/>
              <w:rPr>
                <w:rFonts w:eastAsia="Calibri"/>
              </w:rPr>
            </w:pPr>
            <w:r w:rsidRPr="00427EE1">
              <w:rPr>
                <w:rFonts w:eastAsia="Calibri"/>
              </w:rPr>
              <w:t>324</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82CCE">
            <w:pPr>
              <w:pStyle w:val="Tabletext"/>
              <w:rPr>
                <w:rFonts w:asciiTheme="majorHAnsi" w:eastAsia="Calibri" w:hAnsiTheme="majorHAnsi" w:cstheme="majorBidi"/>
                <w:b/>
                <w:sz w:val="40"/>
                <w:lang w:eastAsia="en-US"/>
              </w:rPr>
            </w:pPr>
            <w:r w:rsidRPr="00427EE1">
              <w:rPr>
                <w:rFonts w:eastAsia="Calibri"/>
                <w:lang w:eastAsia="en-US"/>
              </w:rPr>
              <w:t>57</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82CCE">
            <w:pPr>
              <w:pStyle w:val="Tabletext"/>
              <w:rPr>
                <w:rFonts w:asciiTheme="majorHAnsi" w:eastAsia="Calibri" w:hAnsiTheme="majorHAnsi" w:cstheme="majorBidi"/>
                <w:b/>
                <w:sz w:val="40"/>
                <w:lang w:eastAsia="en-US"/>
              </w:rPr>
            </w:pPr>
            <w:r w:rsidRPr="00427EE1">
              <w:rPr>
                <w:rFonts w:eastAsia="Calibri"/>
                <w:b/>
                <w:lang w:eastAsia="en-US"/>
              </w:rPr>
              <w:t>Period that documents must be kept</w:t>
            </w:r>
          </w:p>
          <w:p w:rsidR="00E657D7" w:rsidRDefault="002D140F">
            <w:pPr>
              <w:pStyle w:val="Tabletext"/>
              <w:rPr>
                <w:rFonts w:eastAsia="Calibri"/>
                <w:lang w:eastAsia="en-US"/>
              </w:rPr>
            </w:pPr>
            <w:r>
              <w:rPr>
                <w:rFonts w:eastAsia="Calibri"/>
                <w:lang w:eastAsia="en-US"/>
              </w:rPr>
              <w:t>R</w:t>
            </w:r>
            <w:r w:rsidRPr="00427EE1">
              <w:rPr>
                <w:rFonts w:eastAsia="Calibri"/>
                <w:lang w:eastAsia="en-US"/>
              </w:rPr>
              <w:t xml:space="preserve">equires </w:t>
            </w:r>
            <w:r w:rsidR="00B82CCE" w:rsidRPr="00427EE1">
              <w:rPr>
                <w:rFonts w:eastAsia="Calibri"/>
                <w:lang w:eastAsia="en-US"/>
              </w:rPr>
              <w:t>council to hold records</w:t>
            </w:r>
            <w:r w:rsidR="00E60957">
              <w:rPr>
                <w:rFonts w:eastAsia="Calibri"/>
                <w:lang w:eastAsia="en-US"/>
              </w:rPr>
              <w:t xml:space="preserve"> </w:t>
            </w:r>
            <w:r w:rsidR="00B82CCE" w:rsidRPr="00427EE1">
              <w:rPr>
                <w:rFonts w:eastAsia="Calibri"/>
                <w:lang w:eastAsia="en-US"/>
              </w:rPr>
              <w:t>of all documents lodged in relation to issued building permits.</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82CCE" w:rsidRPr="00427EE1" w:rsidRDefault="00B82CCE" w:rsidP="00C0279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82CCE" w:rsidRPr="00427EE1" w:rsidRDefault="00B82CCE" w:rsidP="00C02798">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82CCE" w:rsidRPr="00427EE1" w:rsidRDefault="00B82CCE" w:rsidP="00C0279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82CCE" w:rsidRPr="00427EE1" w:rsidRDefault="00B82CCE" w:rsidP="00C02798">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82CCE" w:rsidRPr="00427EE1" w:rsidRDefault="00B82CCE" w:rsidP="00C02798">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82CCE">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addresses information asymmetry. It aligns the requirement to hold records with the obligations council have under the </w:t>
            </w:r>
            <w:r w:rsidRPr="00427EE1">
              <w:rPr>
                <w:rFonts w:eastAsia="Calibri"/>
                <w:i/>
              </w:rPr>
              <w:t>Public Records Act 1973</w:t>
            </w:r>
            <w:r w:rsidRPr="00427EE1">
              <w:rPr>
                <w:rFonts w:eastAsia="Calibri"/>
              </w:rPr>
              <w:t>.</w:t>
            </w:r>
          </w:p>
        </w:tc>
      </w:tr>
      <w:tr w:rsidR="00B82CCE" w:rsidRPr="00427EE1" w:rsidTr="006119D2">
        <w:trPr>
          <w:cantSplit/>
          <w:trHeight w:val="340"/>
        </w:trPr>
        <w:tc>
          <w:tcPr>
            <w:tcW w:w="95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B82CCE">
            <w:pPr>
              <w:pStyle w:val="Tabletext"/>
              <w:rPr>
                <w:rFonts w:eastAsia="Calibri"/>
              </w:rPr>
            </w:pPr>
            <w:r w:rsidRPr="00427EE1">
              <w:rPr>
                <w:rFonts w:eastAsia="Calibri"/>
              </w:rPr>
              <w:t>325</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B82CCE">
            <w:pPr>
              <w:pStyle w:val="Tabletext"/>
              <w:rPr>
                <w:rFonts w:asciiTheme="majorHAnsi" w:eastAsia="Calibri" w:hAnsiTheme="majorHAnsi" w:cstheme="majorBidi"/>
                <w:b/>
                <w:sz w:val="40"/>
                <w:lang w:eastAsia="en-US"/>
              </w:rPr>
            </w:pPr>
            <w:r w:rsidRPr="00427EE1">
              <w:rPr>
                <w:rFonts w:eastAsia="Calibri"/>
                <w:lang w:eastAsia="en-US"/>
              </w:rPr>
              <w:t>58</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E657D7" w:rsidRDefault="00B82CCE">
            <w:pPr>
              <w:pStyle w:val="Tabletext"/>
              <w:rPr>
                <w:rFonts w:asciiTheme="majorHAnsi" w:eastAsia="Calibri" w:hAnsiTheme="majorHAnsi" w:cstheme="majorBidi"/>
                <w:b/>
                <w:sz w:val="40"/>
                <w:lang w:eastAsia="en-US"/>
              </w:rPr>
            </w:pPr>
            <w:r w:rsidRPr="00427EE1">
              <w:rPr>
                <w:rFonts w:eastAsia="Calibri"/>
                <w:b/>
                <w:lang w:eastAsia="en-US"/>
              </w:rPr>
              <w:t>Council to make documents available on request</w:t>
            </w:r>
          </w:p>
          <w:p w:rsidR="00E657D7" w:rsidRDefault="002D140F">
            <w:pPr>
              <w:pStyle w:val="Tabletext"/>
              <w:rPr>
                <w:rFonts w:eastAsia="Calibri"/>
                <w:lang w:eastAsia="en-US"/>
              </w:rPr>
            </w:pPr>
            <w:r>
              <w:rPr>
                <w:rFonts w:eastAsia="Calibri"/>
                <w:lang w:eastAsia="en-US"/>
              </w:rPr>
              <w:t>R</w:t>
            </w:r>
            <w:r w:rsidRPr="00427EE1">
              <w:rPr>
                <w:rFonts w:eastAsia="Calibri"/>
                <w:lang w:eastAsia="en-US"/>
              </w:rPr>
              <w:t xml:space="preserve">equires </w:t>
            </w:r>
            <w:r w:rsidR="00B82CCE" w:rsidRPr="00427EE1">
              <w:rPr>
                <w:rFonts w:eastAsia="Calibri"/>
                <w:lang w:eastAsia="en-US"/>
              </w:rPr>
              <w:t xml:space="preserve">council to make building permit documents available to the owner or mortgagee in respect of any </w:t>
            </w:r>
            <w:r w:rsidR="00C85828" w:rsidRPr="00427EE1">
              <w:rPr>
                <w:rFonts w:eastAsia="Calibri"/>
                <w:lang w:eastAsia="en-US"/>
              </w:rPr>
              <w:t>building</w:t>
            </w:r>
            <w:r w:rsidR="00B82CCE" w:rsidRPr="00427EE1">
              <w:rPr>
                <w:rFonts w:eastAsia="Calibri"/>
                <w:lang w:eastAsia="en-US"/>
              </w:rPr>
              <w:t xml:space="preserve"> or land they have an interest in.</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82CCE" w:rsidRPr="00427EE1" w:rsidRDefault="00B82CCE" w:rsidP="00C0279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82CCE" w:rsidRPr="00427EE1" w:rsidRDefault="00B82CCE" w:rsidP="00C0279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82CCE" w:rsidRPr="00427EE1" w:rsidRDefault="00B82CCE" w:rsidP="00C02798">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82CCE" w:rsidRPr="00427EE1" w:rsidRDefault="00B82CCE" w:rsidP="00C02798">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82CCE" w:rsidRPr="00427EE1" w:rsidRDefault="00B82CCE" w:rsidP="00C02798">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B82CCE">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addresses information asymmetry for prospective or subsequent owners of a building.</w:t>
            </w:r>
          </w:p>
        </w:tc>
      </w:tr>
      <w:tr w:rsidR="00B82CCE" w:rsidRPr="00427EE1" w:rsidTr="006119D2">
        <w:trPr>
          <w:cantSplit/>
          <w:trHeight w:val="340"/>
        </w:trPr>
        <w:tc>
          <w:tcPr>
            <w:tcW w:w="95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B82CCE">
            <w:pPr>
              <w:pStyle w:val="Tabletext"/>
              <w:rPr>
                <w:rFonts w:eastAsia="Calibri"/>
              </w:rPr>
            </w:pPr>
            <w:r w:rsidRPr="00427EE1">
              <w:rPr>
                <w:rFonts w:eastAsia="Calibri"/>
              </w:rPr>
              <w:lastRenderedPageBreak/>
              <w:t>326</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B82CCE">
            <w:pPr>
              <w:pStyle w:val="Tabletext"/>
              <w:rPr>
                <w:rFonts w:asciiTheme="majorHAnsi" w:eastAsia="Calibri" w:hAnsiTheme="majorHAnsi" w:cstheme="majorBidi"/>
                <w:b/>
                <w:sz w:val="40"/>
                <w:lang w:eastAsia="en-US"/>
              </w:rPr>
            </w:pPr>
            <w:r w:rsidRPr="00427EE1">
              <w:rPr>
                <w:rFonts w:eastAsia="Calibri"/>
                <w:lang w:eastAsia="en-US"/>
              </w:rPr>
              <w:t>59</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E657D7" w:rsidRDefault="00B82CCE">
            <w:pPr>
              <w:pStyle w:val="Tabletext"/>
              <w:rPr>
                <w:rFonts w:asciiTheme="majorHAnsi" w:eastAsia="Calibri" w:hAnsiTheme="majorHAnsi" w:cstheme="majorBidi"/>
                <w:b/>
                <w:sz w:val="40"/>
                <w:lang w:eastAsia="en-US"/>
              </w:rPr>
            </w:pPr>
            <w:r w:rsidRPr="00427EE1">
              <w:rPr>
                <w:rFonts w:eastAsia="Calibri"/>
                <w:b/>
                <w:lang w:eastAsia="en-US"/>
              </w:rPr>
              <w:t>Requests for information from relevant council</w:t>
            </w:r>
          </w:p>
          <w:p w:rsidR="00E657D7" w:rsidRDefault="002E244C">
            <w:pPr>
              <w:pStyle w:val="Tabletext"/>
              <w:rPr>
                <w:rFonts w:asciiTheme="majorHAnsi" w:eastAsia="Calibri" w:hAnsiTheme="majorHAnsi" w:cstheme="majorBidi"/>
                <w:b/>
                <w:sz w:val="40"/>
                <w:lang w:eastAsia="en-US"/>
              </w:rPr>
            </w:pPr>
            <w:r>
              <w:rPr>
                <w:rFonts w:eastAsia="Calibri"/>
                <w:lang w:eastAsia="en-US"/>
              </w:rPr>
              <w:t xml:space="preserve">Specifies </w:t>
            </w:r>
            <w:r w:rsidR="00B82CCE" w:rsidRPr="00427EE1">
              <w:rPr>
                <w:rFonts w:eastAsia="Calibri"/>
                <w:lang w:eastAsia="en-US"/>
              </w:rPr>
              <w:t>the documents any person can request from the relevant council in relation to any building or land.</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82CCE" w:rsidRPr="00427EE1" w:rsidRDefault="00B82CCE" w:rsidP="00C0279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82CCE" w:rsidRPr="00427EE1" w:rsidRDefault="00B82CCE" w:rsidP="00C0279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82CCE" w:rsidRPr="00427EE1" w:rsidRDefault="00B82CCE" w:rsidP="00C02798">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82CCE" w:rsidRPr="00427EE1" w:rsidRDefault="00B82CCE" w:rsidP="00C02798">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82CCE" w:rsidRPr="00427EE1" w:rsidRDefault="00B82CCE" w:rsidP="00C02798">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B82CCE">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addresses information asymmetry for prospective or subsequent owners of a building. The information that can be requested has been broadened.</w:t>
            </w:r>
          </w:p>
        </w:tc>
      </w:tr>
      <w:tr w:rsidR="00B751DE" w:rsidRPr="00427EE1" w:rsidTr="006119D2">
        <w:trPr>
          <w:cantSplit/>
          <w:trHeight w:val="340"/>
        </w:trPr>
        <w:tc>
          <w:tcPr>
            <w:tcW w:w="95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B751DE">
            <w:pPr>
              <w:pStyle w:val="Tabletext"/>
              <w:rPr>
                <w:rFonts w:eastAsia="Calibri"/>
              </w:rPr>
            </w:pPr>
            <w:r w:rsidRPr="00427EE1">
              <w:rPr>
                <w:rFonts w:eastAsia="Calibri"/>
              </w:rPr>
              <w:t>327</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B751DE">
            <w:pPr>
              <w:pStyle w:val="Tabletext"/>
              <w:rPr>
                <w:rFonts w:asciiTheme="majorHAnsi" w:eastAsia="Calibri" w:hAnsiTheme="majorHAnsi" w:cstheme="majorBidi"/>
                <w:b/>
                <w:sz w:val="40"/>
                <w:lang w:eastAsia="en-US"/>
              </w:rPr>
            </w:pPr>
            <w:r w:rsidRPr="00427EE1">
              <w:rPr>
                <w:rFonts w:eastAsia="Calibri"/>
                <w:lang w:eastAsia="en-US"/>
              </w:rPr>
              <w:t>60</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E657D7" w:rsidRDefault="00B751DE">
            <w:pPr>
              <w:pStyle w:val="Tabletext"/>
              <w:rPr>
                <w:rFonts w:asciiTheme="majorHAnsi" w:eastAsia="Calibri" w:hAnsiTheme="majorHAnsi" w:cstheme="majorBidi"/>
                <w:b/>
                <w:sz w:val="40"/>
                <w:lang w:eastAsia="en-US"/>
              </w:rPr>
            </w:pPr>
            <w:r w:rsidRPr="00427EE1">
              <w:rPr>
                <w:rFonts w:eastAsia="Calibri"/>
                <w:b/>
                <w:lang w:eastAsia="en-US"/>
              </w:rPr>
              <w:t>Fees for requests for information</w:t>
            </w:r>
          </w:p>
          <w:p w:rsidR="00E657D7" w:rsidRDefault="002E244C">
            <w:pPr>
              <w:pStyle w:val="Tabletext"/>
              <w:rPr>
                <w:rFonts w:asciiTheme="majorHAnsi" w:eastAsia="Calibri" w:hAnsiTheme="majorHAnsi" w:cstheme="majorBidi"/>
                <w:b/>
                <w:sz w:val="40"/>
                <w:lang w:eastAsia="en-US"/>
              </w:rPr>
            </w:pPr>
            <w:r>
              <w:rPr>
                <w:rFonts w:eastAsia="Calibri"/>
                <w:lang w:eastAsia="en-US"/>
              </w:rPr>
              <w:t xml:space="preserve">Prescribes </w:t>
            </w:r>
            <w:r w:rsidR="0025057A" w:rsidRPr="00427EE1">
              <w:rPr>
                <w:rFonts w:eastAsia="Calibri"/>
                <w:lang w:eastAsia="en-US"/>
              </w:rPr>
              <w:t>the application fee which must accompany a request for information.</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B82CCE">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subsidise the cost to councils to respond to requests for building records and information. The fee unit amount is </w:t>
            </w:r>
            <w:r w:rsidR="00C85828" w:rsidRPr="00427EE1">
              <w:rPr>
                <w:rFonts w:eastAsia="Calibri"/>
              </w:rPr>
              <w:t>proposed</w:t>
            </w:r>
            <w:r w:rsidRPr="00427EE1">
              <w:rPr>
                <w:rFonts w:eastAsia="Calibri"/>
              </w:rPr>
              <w:t xml:space="preserve"> to be updated to allow for full cost </w:t>
            </w:r>
            <w:r w:rsidR="00B751DE" w:rsidRPr="00427EE1">
              <w:rPr>
                <w:rFonts w:eastAsia="Calibri"/>
              </w:rPr>
              <w:t>recovery</w:t>
            </w:r>
            <w:r w:rsidR="00632B06" w:rsidRPr="00427EE1">
              <w:rPr>
                <w:rFonts w:eastAsia="Calibri"/>
              </w:rPr>
              <w:t>. It is currently 3.67 fee units. It is proposed to be changed to 3.19 fee units</w:t>
            </w:r>
            <w:r w:rsidR="006C07F6">
              <w:rPr>
                <w:rFonts w:eastAsia="Calibri"/>
              </w:rPr>
              <w:t>.</w:t>
            </w:r>
          </w:p>
        </w:tc>
      </w:tr>
    </w:tbl>
    <w:p w:rsidR="005F38AC" w:rsidRDefault="005F38AC"/>
    <w:p w:rsidR="00B751DE" w:rsidRPr="00427EE1" w:rsidRDefault="00EF2008" w:rsidP="006119D2">
      <w:pPr>
        <w:pStyle w:val="Heading4"/>
      </w:pPr>
      <w:proofErr w:type="spellStart"/>
      <w:r>
        <w:t>Div</w:t>
      </w:r>
      <w:proofErr w:type="spellEnd"/>
      <w:r w:rsidR="006E6791" w:rsidRPr="00427EE1">
        <w:t xml:space="preserve"> </w:t>
      </w:r>
      <w:r w:rsidR="00B751DE" w:rsidRPr="00427EE1">
        <w:t>7</w:t>
      </w:r>
      <w:r w:rsidR="008475D9">
        <w:t>—</w:t>
      </w:r>
      <w:r w:rsidR="00B751DE" w:rsidRPr="00427EE1">
        <w:t>Time limits for building work and permits</w:t>
      </w:r>
    </w:p>
    <w:tbl>
      <w:tblPr>
        <w:tblW w:w="14479" w:type="dxa"/>
        <w:tblInd w:w="-102"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66"/>
        <w:gridCol w:w="945"/>
        <w:gridCol w:w="4243"/>
        <w:gridCol w:w="399"/>
        <w:gridCol w:w="399"/>
        <w:gridCol w:w="402"/>
        <w:gridCol w:w="400"/>
        <w:gridCol w:w="398"/>
        <w:gridCol w:w="6327"/>
      </w:tblGrid>
      <w:tr w:rsidR="006C07F6" w:rsidRPr="00427EE1" w:rsidTr="006119D2">
        <w:trPr>
          <w:cantSplit/>
          <w:trHeight w:val="110"/>
          <w:tblHeader/>
        </w:trPr>
        <w:tc>
          <w:tcPr>
            <w:tcW w:w="966" w:type="dxa"/>
            <w:vMerge w:val="restart"/>
            <w:shd w:val="clear" w:color="auto" w:fill="00B2A9" w:themeFill="accent1"/>
            <w:vAlign w:val="center"/>
            <w:hideMark/>
          </w:tcPr>
          <w:p w:rsidR="006C07F6" w:rsidRDefault="006C07F6" w:rsidP="009B17A5">
            <w:pPr>
              <w:pStyle w:val="Tablecolumnhead"/>
              <w:rPr>
                <w:rFonts w:asciiTheme="majorHAnsi" w:eastAsia="Calibri" w:hAnsiTheme="majorHAnsi" w:cstheme="majorBidi"/>
                <w:sz w:val="40"/>
              </w:rPr>
            </w:pPr>
            <w:r w:rsidRPr="00BE72D7">
              <w:rPr>
                <w:rFonts w:eastAsia="Calibri"/>
              </w:rPr>
              <w:t>2006</w:t>
            </w:r>
          </w:p>
          <w:p w:rsidR="006C07F6" w:rsidRDefault="006C07F6">
            <w:pPr>
              <w:pStyle w:val="Tablecolumnhead"/>
              <w:rPr>
                <w:rFonts w:asciiTheme="majorHAnsi" w:eastAsia="Calibri" w:hAnsiTheme="majorHAnsi" w:cstheme="majorBidi"/>
                <w:sz w:val="40"/>
              </w:rPr>
            </w:pPr>
            <w:r w:rsidRPr="00C44680">
              <w:rPr>
                <w:rFonts w:ascii="Arial Bold" w:eastAsia="Calibri" w:hAnsi="Arial Bold"/>
                <w:spacing w:val="-12"/>
                <w:sz w:val="16"/>
              </w:rPr>
              <w:t>Regulation</w:t>
            </w:r>
          </w:p>
        </w:tc>
        <w:tc>
          <w:tcPr>
            <w:tcW w:w="945" w:type="dxa"/>
            <w:vMerge w:val="restart"/>
            <w:shd w:val="clear" w:color="auto" w:fill="00B2A9" w:themeFill="accent1"/>
            <w:vAlign w:val="center"/>
            <w:hideMark/>
          </w:tcPr>
          <w:p w:rsidR="006C07F6" w:rsidRDefault="006C07F6" w:rsidP="009B17A5">
            <w:pPr>
              <w:pStyle w:val="Tablecolumnhead"/>
              <w:rPr>
                <w:rFonts w:asciiTheme="majorHAnsi" w:eastAsiaTheme="majorEastAsia" w:hAnsiTheme="majorHAnsi" w:cstheme="majorBidi"/>
                <w:sz w:val="40"/>
              </w:rPr>
            </w:pPr>
            <w:r w:rsidRPr="008F0E53">
              <w:rPr>
                <w:rFonts w:eastAsia="Calibri"/>
              </w:rPr>
              <w:t>2017</w:t>
            </w:r>
          </w:p>
          <w:p w:rsidR="006C07F6" w:rsidRDefault="006C07F6">
            <w:pPr>
              <w:pStyle w:val="Tablecolumnhead"/>
              <w:rPr>
                <w:rFonts w:asciiTheme="majorHAnsi" w:eastAsiaTheme="majorEastAsia" w:hAnsiTheme="majorHAnsi" w:cstheme="majorBidi"/>
                <w:sz w:val="40"/>
              </w:rPr>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6C07F6" w:rsidRDefault="006C07F6">
            <w:pPr>
              <w:pStyle w:val="Tablecolumnhead"/>
              <w:rPr>
                <w:rFonts w:asciiTheme="majorHAnsi" w:eastAsia="Calibri" w:hAnsiTheme="majorHAnsi" w:cstheme="majorBidi"/>
                <w:sz w:val="40"/>
              </w:rPr>
            </w:pPr>
            <w:r w:rsidRPr="008F0E53">
              <w:t xml:space="preserve">Short description of the </w:t>
            </w:r>
            <w:r>
              <w:t>Regulation</w:t>
            </w:r>
          </w:p>
        </w:tc>
        <w:tc>
          <w:tcPr>
            <w:tcW w:w="1998" w:type="dxa"/>
            <w:gridSpan w:val="5"/>
            <w:shd w:val="clear" w:color="auto" w:fill="00B2A9" w:themeFill="accent1"/>
            <w:vAlign w:val="center"/>
          </w:tcPr>
          <w:p w:rsidR="006C07F6" w:rsidRDefault="006C07F6">
            <w:pPr>
              <w:pStyle w:val="Tablecolumnhead"/>
              <w:rPr>
                <w:rFonts w:asciiTheme="majorHAnsi" w:eastAsiaTheme="majorEastAsia" w:hAnsiTheme="majorHAnsi" w:cstheme="majorBidi"/>
                <w:sz w:val="40"/>
              </w:rPr>
            </w:pPr>
            <w:r w:rsidRPr="00873DF8">
              <w:t>Proposed regulatory change</w:t>
            </w:r>
          </w:p>
        </w:tc>
        <w:tc>
          <w:tcPr>
            <w:tcW w:w="6327" w:type="dxa"/>
            <w:vMerge w:val="restart"/>
            <w:shd w:val="clear" w:color="auto" w:fill="00B2A9" w:themeFill="accent1"/>
            <w:vAlign w:val="center"/>
          </w:tcPr>
          <w:p w:rsidR="006C07F6" w:rsidRDefault="006C07F6">
            <w:pPr>
              <w:pStyle w:val="Tablecolumnhead"/>
              <w:rPr>
                <w:rFonts w:asciiTheme="majorHAnsi" w:eastAsiaTheme="majorEastAsia" w:hAnsiTheme="majorHAnsi" w:cstheme="majorBidi"/>
                <w:sz w:val="40"/>
              </w:rPr>
            </w:pPr>
            <w:r w:rsidRPr="004F24D9">
              <w:t xml:space="preserve">Why the 2017 </w:t>
            </w:r>
            <w:r w:rsidRPr="00C46BF3">
              <w:t>Regulation is proposed</w:t>
            </w:r>
          </w:p>
        </w:tc>
      </w:tr>
      <w:tr w:rsidR="00B751DE" w:rsidRPr="00427EE1" w:rsidTr="006119D2">
        <w:trPr>
          <w:cantSplit/>
          <w:trHeight w:val="966"/>
          <w:tblHeader/>
        </w:trPr>
        <w:tc>
          <w:tcPr>
            <w:tcW w:w="966" w:type="dxa"/>
            <w:vMerge/>
            <w:shd w:val="clear" w:color="auto" w:fill="00B2A9" w:themeFill="accent1"/>
            <w:vAlign w:val="center"/>
            <w:hideMark/>
          </w:tcPr>
          <w:p w:rsidR="00B751DE" w:rsidRPr="00427EE1" w:rsidRDefault="00B751DE" w:rsidP="00B751DE">
            <w:pPr>
              <w:spacing w:line="276" w:lineRule="auto"/>
              <w:jc w:val="center"/>
              <w:rPr>
                <w:rFonts w:ascii="Calibri" w:eastAsia="Calibri" w:hAnsi="Calibri"/>
                <w:sz w:val="16"/>
                <w:szCs w:val="16"/>
                <w:lang w:eastAsia="en-US"/>
              </w:rPr>
            </w:pPr>
          </w:p>
        </w:tc>
        <w:tc>
          <w:tcPr>
            <w:tcW w:w="945" w:type="dxa"/>
            <w:vMerge/>
            <w:shd w:val="clear" w:color="auto" w:fill="00B2A9" w:themeFill="accent1"/>
            <w:vAlign w:val="center"/>
            <w:hideMark/>
          </w:tcPr>
          <w:p w:rsidR="00B751DE" w:rsidRPr="00427EE1" w:rsidRDefault="00B751DE" w:rsidP="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rsidP="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E657D7" w:rsidRDefault="00B751DE">
            <w:pPr>
              <w:spacing w:after="0" w:line="240"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rsidP="00B751DE">
            <w:pPr>
              <w:spacing w:line="276" w:lineRule="auto"/>
              <w:ind w:left="113" w:right="113"/>
              <w:jc w:val="center"/>
              <w:rPr>
                <w:sz w:val="16"/>
                <w:szCs w:val="16"/>
                <w:lang w:eastAsia="en-US"/>
              </w:rPr>
            </w:pPr>
          </w:p>
        </w:tc>
      </w:tr>
      <w:tr w:rsidR="00195A47"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195A47">
            <w:pPr>
              <w:pStyle w:val="Tabletext"/>
              <w:rPr>
                <w:rFonts w:eastAsia="Calibri"/>
              </w:rPr>
            </w:pPr>
            <w:r w:rsidRPr="00427EE1">
              <w:rPr>
                <w:rFonts w:eastAsia="Calibri"/>
              </w:rPr>
              <w:t>315(1)</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195A47">
            <w:pPr>
              <w:pStyle w:val="Tabletext"/>
              <w:rPr>
                <w:rFonts w:asciiTheme="majorHAnsi" w:eastAsia="Calibri" w:hAnsiTheme="majorHAnsi" w:cstheme="majorBidi"/>
                <w:b/>
                <w:sz w:val="40"/>
                <w:lang w:eastAsia="en-US"/>
              </w:rPr>
            </w:pPr>
            <w:r w:rsidRPr="00427EE1">
              <w:rPr>
                <w:rFonts w:eastAsia="Calibri"/>
                <w:lang w:eastAsia="en-US"/>
              </w:rPr>
              <w:t>61</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195A47">
            <w:pPr>
              <w:pStyle w:val="Tabletext"/>
              <w:rPr>
                <w:rFonts w:asciiTheme="majorHAnsi" w:eastAsia="Calibri" w:hAnsiTheme="majorHAnsi" w:cstheme="majorBidi"/>
                <w:b/>
                <w:sz w:val="40"/>
                <w:lang w:eastAsia="en-US"/>
              </w:rPr>
            </w:pPr>
            <w:r w:rsidRPr="00427EE1">
              <w:rPr>
                <w:rFonts w:eastAsia="Calibri"/>
                <w:b/>
                <w:lang w:eastAsia="en-US"/>
              </w:rPr>
              <w:t>Commencement of work</w:t>
            </w:r>
          </w:p>
          <w:p w:rsidR="00E657D7" w:rsidRDefault="002E244C">
            <w:pPr>
              <w:pStyle w:val="Tabletext"/>
              <w:rPr>
                <w:rFonts w:asciiTheme="majorHAnsi" w:eastAsia="Calibri" w:hAnsiTheme="majorHAnsi" w:cstheme="majorBidi"/>
                <w:b/>
                <w:sz w:val="40"/>
                <w:lang w:eastAsia="en-US"/>
              </w:rPr>
            </w:pPr>
            <w:r>
              <w:rPr>
                <w:rFonts w:eastAsia="Calibri"/>
                <w:lang w:eastAsia="en-US"/>
              </w:rPr>
              <w:t xml:space="preserve">Specifies </w:t>
            </w:r>
            <w:r w:rsidR="00195A47" w:rsidRPr="00427EE1">
              <w:rPr>
                <w:rFonts w:eastAsia="Calibri"/>
                <w:lang w:eastAsia="en-US"/>
              </w:rPr>
              <w:t xml:space="preserve">when </w:t>
            </w:r>
            <w:r w:rsidR="00C85828" w:rsidRPr="00427EE1">
              <w:rPr>
                <w:rFonts w:eastAsia="Calibri"/>
                <w:lang w:eastAsia="en-US"/>
              </w:rPr>
              <w:t>building</w:t>
            </w:r>
            <w:r w:rsidR="00195A47" w:rsidRPr="00427EE1">
              <w:rPr>
                <w:rFonts w:eastAsia="Calibri"/>
                <w:lang w:eastAsia="en-US"/>
              </w:rPr>
              <w:t xml:space="preserve"> work authorised by a building permit must commence.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195A47" w:rsidRPr="00427EE1" w:rsidRDefault="00195A47" w:rsidP="00C0279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195A47" w:rsidRPr="00427EE1" w:rsidRDefault="00195A47" w:rsidP="00C0279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195A47" w:rsidRPr="00427EE1" w:rsidRDefault="00195A47" w:rsidP="00C02798">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195A47" w:rsidRPr="00427EE1" w:rsidRDefault="00195A47" w:rsidP="00C02798">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195A47" w:rsidRPr="00427EE1" w:rsidRDefault="00195A47" w:rsidP="00C02798">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195A47">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mitigate the risk of a design not being in accordance with the most up</w:t>
            </w:r>
            <w:r w:rsidR="00504727" w:rsidRPr="00427EE1">
              <w:rPr>
                <w:rFonts w:eastAsia="Calibri"/>
              </w:rPr>
              <w:t>-</w:t>
            </w:r>
            <w:r w:rsidRPr="00427EE1">
              <w:rPr>
                <w:rFonts w:eastAsia="Calibri"/>
              </w:rPr>
              <w:t>to</w:t>
            </w:r>
            <w:r w:rsidR="00504727" w:rsidRPr="00427EE1">
              <w:rPr>
                <w:rFonts w:eastAsia="Calibri"/>
              </w:rPr>
              <w:t>-</w:t>
            </w:r>
            <w:r w:rsidRPr="00427EE1">
              <w:rPr>
                <w:rFonts w:eastAsia="Calibri"/>
              </w:rPr>
              <w:t>date requirements due to changing</w:t>
            </w:r>
            <w:r w:rsidR="00E60957">
              <w:rPr>
                <w:rFonts w:eastAsia="Calibri"/>
              </w:rPr>
              <w:t xml:space="preserve"> </w:t>
            </w:r>
            <w:r w:rsidRPr="00427EE1">
              <w:rPr>
                <w:rFonts w:eastAsia="Calibri"/>
              </w:rPr>
              <w:t>building standards. Regulatory time limits also provide a level of project certainty (outside the terms of a building contract).</w:t>
            </w:r>
          </w:p>
        </w:tc>
      </w:tr>
      <w:tr w:rsidR="00195A47"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195A47">
            <w:pPr>
              <w:pStyle w:val="Tabletext"/>
              <w:rPr>
                <w:rFonts w:eastAsia="Calibri"/>
              </w:rPr>
            </w:pPr>
            <w:r w:rsidRPr="00427EE1">
              <w:rPr>
                <w:rFonts w:eastAsia="Calibri"/>
              </w:rPr>
              <w:t>315(2)</w:t>
            </w:r>
          </w:p>
          <w:p w:rsidR="00E657D7" w:rsidRDefault="00195A47">
            <w:pPr>
              <w:pStyle w:val="Tabletext"/>
              <w:rPr>
                <w:rFonts w:eastAsia="Calibri"/>
              </w:rPr>
            </w:pPr>
            <w:r w:rsidRPr="00427EE1">
              <w:rPr>
                <w:rFonts w:eastAsia="Calibri"/>
              </w:rPr>
              <w:t>315(3)</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195A47">
            <w:pPr>
              <w:pStyle w:val="Tabletext"/>
              <w:rPr>
                <w:rFonts w:asciiTheme="majorHAnsi" w:eastAsia="Calibri" w:hAnsiTheme="majorHAnsi" w:cstheme="majorBidi"/>
                <w:b/>
                <w:sz w:val="40"/>
                <w:lang w:eastAsia="en-US"/>
              </w:rPr>
            </w:pPr>
            <w:r w:rsidRPr="00427EE1">
              <w:rPr>
                <w:rFonts w:eastAsia="Calibri"/>
                <w:lang w:eastAsia="en-US"/>
              </w:rPr>
              <w:t>62</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E657D7" w:rsidRDefault="00195A47">
            <w:pPr>
              <w:pStyle w:val="Tabletext"/>
              <w:rPr>
                <w:rFonts w:asciiTheme="majorHAnsi" w:eastAsia="Calibri" w:hAnsiTheme="majorHAnsi" w:cstheme="majorBidi"/>
                <w:b/>
                <w:sz w:val="40"/>
                <w:lang w:eastAsia="en-US"/>
              </w:rPr>
            </w:pPr>
            <w:r w:rsidRPr="00427EE1">
              <w:rPr>
                <w:rFonts w:eastAsia="Calibri"/>
                <w:b/>
                <w:lang w:eastAsia="en-US"/>
              </w:rPr>
              <w:t>Completion of building work</w:t>
            </w:r>
          </w:p>
          <w:p w:rsidR="00E657D7" w:rsidRDefault="002E244C">
            <w:pPr>
              <w:pStyle w:val="Tabletext"/>
              <w:rPr>
                <w:rFonts w:asciiTheme="majorHAnsi" w:eastAsia="Calibri" w:hAnsiTheme="majorHAnsi" w:cstheme="majorBidi"/>
                <w:b/>
                <w:sz w:val="40"/>
                <w:lang w:eastAsia="en-US"/>
              </w:rPr>
            </w:pPr>
            <w:r>
              <w:rPr>
                <w:rFonts w:eastAsia="Calibri"/>
                <w:lang w:eastAsia="en-US"/>
              </w:rPr>
              <w:t xml:space="preserve">Specifies </w:t>
            </w:r>
            <w:r w:rsidR="00195A47" w:rsidRPr="00427EE1">
              <w:rPr>
                <w:rFonts w:eastAsia="Calibri"/>
                <w:lang w:eastAsia="en-US"/>
              </w:rPr>
              <w:t>when building work authorised by a building permit must be completed by.</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195A47" w:rsidRPr="00427EE1" w:rsidRDefault="00195A47" w:rsidP="00C0279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195A47" w:rsidRPr="00427EE1" w:rsidRDefault="00195A47" w:rsidP="00C0279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195A47" w:rsidRPr="00427EE1" w:rsidRDefault="00195A47" w:rsidP="00C02798">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195A47" w:rsidRPr="00427EE1" w:rsidRDefault="00195A47" w:rsidP="00C02798">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195A47" w:rsidRPr="00427EE1" w:rsidRDefault="00195A47" w:rsidP="00C02798">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195A47">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mitigate the risk of building work not being in accordance with current</w:t>
            </w:r>
            <w:r w:rsidR="00E60957">
              <w:rPr>
                <w:rFonts w:eastAsia="Calibri"/>
              </w:rPr>
              <w:t xml:space="preserve"> </w:t>
            </w:r>
            <w:r w:rsidRPr="00427EE1">
              <w:rPr>
                <w:rFonts w:eastAsia="Calibri"/>
              </w:rPr>
              <w:t>building standards. Regulatory time limits also provide a level of project certainty (outside the terms of a building contract).</w:t>
            </w:r>
          </w:p>
        </w:tc>
      </w:tr>
      <w:tr w:rsidR="00195A47"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195A47">
            <w:pPr>
              <w:pStyle w:val="Tabletext"/>
              <w:rPr>
                <w:rFonts w:eastAsia="Calibri"/>
              </w:rPr>
            </w:pPr>
            <w:r w:rsidRPr="00427EE1">
              <w:rPr>
                <w:rFonts w:eastAsia="Calibri"/>
              </w:rPr>
              <w:lastRenderedPageBreak/>
              <w:t>315(4)</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195A47">
            <w:pPr>
              <w:pStyle w:val="Tabletext"/>
              <w:rPr>
                <w:rFonts w:asciiTheme="majorHAnsi" w:eastAsia="Calibri" w:hAnsiTheme="majorHAnsi" w:cstheme="majorBidi"/>
                <w:b/>
                <w:sz w:val="40"/>
                <w:lang w:eastAsia="en-US"/>
              </w:rPr>
            </w:pPr>
            <w:r w:rsidRPr="00427EE1">
              <w:rPr>
                <w:rFonts w:eastAsia="Calibri"/>
                <w:lang w:eastAsia="en-US"/>
              </w:rPr>
              <w:t>63</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E657D7" w:rsidRDefault="00195A47">
            <w:pPr>
              <w:pStyle w:val="Tabletext"/>
              <w:rPr>
                <w:rFonts w:asciiTheme="majorHAnsi" w:eastAsia="Calibri" w:hAnsiTheme="majorHAnsi" w:cstheme="majorBidi"/>
                <w:b/>
                <w:sz w:val="40"/>
                <w:lang w:eastAsia="en-US"/>
              </w:rPr>
            </w:pPr>
            <w:r w:rsidRPr="00427EE1">
              <w:rPr>
                <w:rFonts w:eastAsia="Calibri"/>
                <w:b/>
                <w:lang w:eastAsia="en-US"/>
              </w:rPr>
              <w:t>Lapsing of building permit</w:t>
            </w:r>
          </w:p>
          <w:p w:rsidR="00E657D7" w:rsidRDefault="002E244C">
            <w:pPr>
              <w:pStyle w:val="Tabletext"/>
              <w:rPr>
                <w:rFonts w:asciiTheme="majorHAnsi" w:eastAsia="Calibri" w:hAnsiTheme="majorHAnsi" w:cstheme="majorBidi"/>
                <w:b/>
                <w:sz w:val="40"/>
                <w:lang w:eastAsia="en-US"/>
              </w:rPr>
            </w:pPr>
            <w:r>
              <w:rPr>
                <w:rFonts w:eastAsia="Calibri"/>
                <w:lang w:eastAsia="en-US"/>
              </w:rPr>
              <w:t xml:space="preserve">Specifies </w:t>
            </w:r>
            <w:r w:rsidR="00195A47" w:rsidRPr="00427EE1">
              <w:rPr>
                <w:rFonts w:eastAsia="Calibri"/>
                <w:lang w:eastAsia="en-US"/>
              </w:rPr>
              <w:t>when a building permit will lapse</w:t>
            </w:r>
            <w:r w:rsidR="00E60957">
              <w:rPr>
                <w:rFonts w:eastAsia="Calibri"/>
                <w:lang w:eastAsia="en-US"/>
              </w:rPr>
              <w:t xml:space="preserve"> </w:t>
            </w:r>
            <w:r w:rsidR="00195A47" w:rsidRPr="00427EE1">
              <w:rPr>
                <w:rFonts w:eastAsia="Calibri"/>
                <w:lang w:eastAsia="en-US"/>
              </w:rPr>
              <w:t>in relation to</w:t>
            </w:r>
            <w:r w:rsidR="00E60957">
              <w:rPr>
                <w:rFonts w:eastAsia="Calibri"/>
                <w:lang w:eastAsia="en-US"/>
              </w:rPr>
              <w:t xml:space="preserve"> </w:t>
            </w:r>
            <w:r w:rsidR="00195A47" w:rsidRPr="00427EE1">
              <w:rPr>
                <w:rFonts w:eastAsia="Calibri"/>
                <w:lang w:eastAsia="en-US"/>
              </w:rPr>
              <w:t>building work authorised by a building permit and the effect on a permit when it has lapsed.</w:t>
            </w:r>
            <w:r w:rsidR="00E60957">
              <w:rPr>
                <w:rFonts w:eastAsia="Calibri"/>
                <w:lang w:eastAsia="en-US"/>
              </w:rPr>
              <w:t xml:space="preserve">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195A47" w:rsidRPr="00427EE1" w:rsidRDefault="00195A47" w:rsidP="00C0279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195A47" w:rsidRPr="00427EE1" w:rsidRDefault="00195A47" w:rsidP="00C02798">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195A47" w:rsidRPr="00427EE1" w:rsidRDefault="00195A47" w:rsidP="00C0279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195A47" w:rsidRPr="00427EE1" w:rsidRDefault="00195A47" w:rsidP="00C02798">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195A47" w:rsidRPr="00427EE1" w:rsidRDefault="00195A47" w:rsidP="00C02798">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195A47">
            <w:pPr>
              <w:pStyle w:val="Tabletext"/>
              <w:rPr>
                <w:rFonts w:eastAsia="Calibri"/>
              </w:rPr>
            </w:pPr>
            <w:r w:rsidRPr="00427EE1">
              <w:rPr>
                <w:rFonts w:eastAsia="Calibri"/>
              </w:rPr>
              <w:t xml:space="preserve">The purpose of this </w:t>
            </w:r>
            <w:r w:rsidR="000273F9">
              <w:rPr>
                <w:rFonts w:eastAsia="Calibri"/>
              </w:rPr>
              <w:t>Regulation</w:t>
            </w:r>
            <w:r w:rsidRPr="00427EE1">
              <w:rPr>
                <w:rFonts w:eastAsia="Calibri"/>
              </w:rPr>
              <w:t xml:space="preserve"> is to provide incentive for an owner and a builder to ensure building work is commenced and completed within regulatory time limits. </w:t>
            </w:r>
          </w:p>
        </w:tc>
      </w:tr>
      <w:tr w:rsidR="00195A47"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195A47">
            <w:pPr>
              <w:pStyle w:val="Tabletext"/>
              <w:rPr>
                <w:rFonts w:eastAsia="Calibri"/>
              </w:rPr>
            </w:pPr>
            <w:r w:rsidRPr="00427EE1">
              <w:rPr>
                <w:rFonts w:eastAsia="Calibri"/>
              </w:rPr>
              <w:t>n/a</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195A47">
            <w:pPr>
              <w:pStyle w:val="Tabletext"/>
              <w:rPr>
                <w:rFonts w:asciiTheme="majorHAnsi" w:eastAsia="Calibri" w:hAnsiTheme="majorHAnsi" w:cstheme="majorBidi"/>
                <w:b/>
                <w:sz w:val="40"/>
                <w:lang w:eastAsia="en-US"/>
              </w:rPr>
            </w:pPr>
            <w:r w:rsidRPr="00427EE1">
              <w:rPr>
                <w:rFonts w:eastAsia="Calibri"/>
                <w:lang w:eastAsia="en-US"/>
              </w:rPr>
              <w:t>NEW</w:t>
            </w:r>
          </w:p>
          <w:p w:rsidR="00E657D7" w:rsidRDefault="00195A47">
            <w:pPr>
              <w:pStyle w:val="Tabletext"/>
              <w:rPr>
                <w:rFonts w:asciiTheme="majorHAnsi" w:eastAsia="Calibri" w:hAnsiTheme="majorHAnsi" w:cstheme="majorBidi"/>
                <w:b/>
                <w:sz w:val="40"/>
                <w:lang w:eastAsia="en-US"/>
              </w:rPr>
            </w:pPr>
            <w:r w:rsidRPr="00427EE1">
              <w:rPr>
                <w:rFonts w:eastAsia="Calibri"/>
                <w:lang w:eastAsia="en-US"/>
              </w:rPr>
              <w:t>64</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E657D7" w:rsidRDefault="00195A47">
            <w:pPr>
              <w:pStyle w:val="Tabletext"/>
              <w:rPr>
                <w:rFonts w:asciiTheme="majorHAnsi" w:eastAsia="Calibri" w:hAnsiTheme="majorHAnsi" w:cstheme="majorBidi"/>
                <w:b/>
                <w:sz w:val="40"/>
                <w:lang w:eastAsia="en-US"/>
              </w:rPr>
            </w:pPr>
            <w:r w:rsidRPr="00427EE1">
              <w:rPr>
                <w:rFonts w:eastAsia="Calibri"/>
                <w:b/>
                <w:lang w:eastAsia="en-US"/>
              </w:rPr>
              <w:t>Notice of imminent lapse of building permit – commencement of work</w:t>
            </w:r>
          </w:p>
          <w:p w:rsidR="00E657D7" w:rsidRDefault="002D140F">
            <w:pPr>
              <w:pStyle w:val="Tabletext"/>
              <w:rPr>
                <w:rFonts w:eastAsia="Calibri"/>
                <w:lang w:eastAsia="en-US"/>
              </w:rPr>
            </w:pPr>
            <w:r>
              <w:rPr>
                <w:rFonts w:eastAsia="Calibri"/>
                <w:lang w:eastAsia="en-US"/>
              </w:rPr>
              <w:t>R</w:t>
            </w:r>
            <w:r w:rsidRPr="00427EE1">
              <w:rPr>
                <w:rFonts w:eastAsia="Calibri"/>
                <w:lang w:eastAsia="en-US"/>
              </w:rPr>
              <w:t xml:space="preserve">equires </w:t>
            </w:r>
            <w:r w:rsidR="00195A47" w:rsidRPr="00427EE1">
              <w:rPr>
                <w:rFonts w:eastAsia="Calibri"/>
                <w:lang w:eastAsia="en-US"/>
              </w:rPr>
              <w:t xml:space="preserve">the </w:t>
            </w:r>
            <w:r w:rsidR="00AB414E">
              <w:rPr>
                <w:rFonts w:eastAsia="Calibri"/>
                <w:lang w:eastAsia="en-US"/>
              </w:rPr>
              <w:t>RBS</w:t>
            </w:r>
            <w:r w:rsidR="00195A47" w:rsidRPr="00427EE1">
              <w:rPr>
                <w:rFonts w:eastAsia="Calibri"/>
                <w:lang w:eastAsia="en-US"/>
              </w:rPr>
              <w:t xml:space="preserve"> to issue a notice to the applicant of a building permit</w:t>
            </w:r>
            <w:r w:rsidR="00E60957">
              <w:rPr>
                <w:rFonts w:eastAsia="Calibri"/>
                <w:lang w:eastAsia="en-US"/>
              </w:rPr>
              <w:t xml:space="preserve"> </w:t>
            </w:r>
            <w:r w:rsidR="00195A47" w:rsidRPr="00427EE1">
              <w:rPr>
                <w:rFonts w:eastAsia="Calibri"/>
                <w:lang w:eastAsia="en-US"/>
              </w:rPr>
              <w:t xml:space="preserve">of the date building work must be commenced by, if the </w:t>
            </w:r>
            <w:r w:rsidR="00AB414E">
              <w:rPr>
                <w:rFonts w:eastAsia="Calibri"/>
                <w:lang w:eastAsia="en-US"/>
              </w:rPr>
              <w:t>RBS</w:t>
            </w:r>
            <w:r w:rsidR="00195A47" w:rsidRPr="00427EE1">
              <w:rPr>
                <w:rFonts w:eastAsia="Calibri"/>
                <w:lang w:eastAsia="en-US"/>
              </w:rPr>
              <w:t xml:space="preserve"> has not conducted the first mandatory inspection of building work within </w:t>
            </w:r>
            <w:r w:rsidR="006C07F6">
              <w:rPr>
                <w:rFonts w:eastAsia="Calibri"/>
                <w:lang w:eastAsia="en-US"/>
              </w:rPr>
              <w:t>three</w:t>
            </w:r>
            <w:r w:rsidR="00195A47" w:rsidRPr="00427EE1">
              <w:rPr>
                <w:rFonts w:eastAsia="Calibri"/>
                <w:lang w:eastAsia="en-US"/>
              </w:rPr>
              <w:t xml:space="preserve"> months of the required commencement date.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195A47" w:rsidRPr="00427EE1" w:rsidRDefault="00195A47" w:rsidP="00C0279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195A47" w:rsidRPr="00427EE1" w:rsidRDefault="00195A47" w:rsidP="00C02798">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195A47" w:rsidRPr="00427EE1" w:rsidRDefault="00195A47" w:rsidP="00C02798">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195A47" w:rsidRPr="00427EE1" w:rsidRDefault="00195A47" w:rsidP="00C02798">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195A47" w:rsidRPr="00427EE1" w:rsidRDefault="00195A47" w:rsidP="00C0279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195A47">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w:t>
            </w:r>
            <w:r w:rsidRPr="00427EE1">
              <w:rPr>
                <w:rFonts w:eastAsia="Calibri"/>
                <w:lang w:eastAsia="en-US"/>
              </w:rPr>
              <w:t xml:space="preserve">to help ensure a building permit is not left to lapse </w:t>
            </w:r>
            <w:r w:rsidR="00C85828" w:rsidRPr="00427EE1">
              <w:rPr>
                <w:rFonts w:eastAsia="Calibri"/>
                <w:lang w:eastAsia="en-US"/>
              </w:rPr>
              <w:t>inadvertently</w:t>
            </w:r>
            <w:r w:rsidRPr="00427EE1">
              <w:rPr>
                <w:rFonts w:eastAsia="Calibri"/>
                <w:lang w:eastAsia="en-US"/>
              </w:rPr>
              <w:t>. It i</w:t>
            </w:r>
            <w:r w:rsidRPr="00427EE1">
              <w:rPr>
                <w:rFonts w:eastAsia="Calibri"/>
              </w:rPr>
              <w:t xml:space="preserve">mproves administrative efficiency because the notice gives the owner enough time to take action to either commence work or to apply for an extension to the commencement date for building work, before the permit lapses. </w:t>
            </w:r>
          </w:p>
        </w:tc>
      </w:tr>
      <w:tr w:rsidR="00195A47"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E657D7" w:rsidRDefault="00195A47">
            <w:pPr>
              <w:pStyle w:val="Tabletext"/>
              <w:rPr>
                <w:rFonts w:eastAsia="Calibri"/>
              </w:rPr>
            </w:pPr>
            <w:r w:rsidRPr="00427EE1">
              <w:rPr>
                <w:rFonts w:eastAsia="Calibri"/>
              </w:rPr>
              <w:t>n/a</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E657D7" w:rsidRDefault="00195A47">
            <w:pPr>
              <w:pStyle w:val="Tabletext"/>
              <w:rPr>
                <w:rFonts w:asciiTheme="majorHAnsi" w:eastAsia="Calibri" w:hAnsiTheme="majorHAnsi" w:cstheme="majorBidi"/>
                <w:b/>
                <w:sz w:val="40"/>
                <w:lang w:eastAsia="en-US"/>
              </w:rPr>
            </w:pPr>
            <w:r w:rsidRPr="00427EE1">
              <w:rPr>
                <w:rFonts w:eastAsia="Calibri"/>
                <w:lang w:eastAsia="en-US"/>
              </w:rPr>
              <w:t>NEW</w:t>
            </w:r>
          </w:p>
          <w:p w:rsidR="00E657D7" w:rsidRDefault="00195A47">
            <w:pPr>
              <w:pStyle w:val="Tabletext"/>
              <w:rPr>
                <w:rFonts w:asciiTheme="majorHAnsi" w:eastAsia="Calibri" w:hAnsiTheme="majorHAnsi" w:cstheme="majorBidi"/>
                <w:b/>
                <w:sz w:val="40"/>
                <w:lang w:eastAsia="en-US"/>
              </w:rPr>
            </w:pPr>
            <w:r w:rsidRPr="00427EE1">
              <w:rPr>
                <w:rFonts w:eastAsia="Calibri"/>
                <w:lang w:eastAsia="en-US"/>
              </w:rPr>
              <w:t>65</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tcPr>
          <w:p w:rsidR="00E657D7" w:rsidRDefault="00195A47">
            <w:pPr>
              <w:pStyle w:val="Tabletext"/>
              <w:rPr>
                <w:rFonts w:asciiTheme="majorHAnsi" w:eastAsia="Calibri" w:hAnsiTheme="majorHAnsi" w:cstheme="majorBidi"/>
                <w:b/>
                <w:sz w:val="40"/>
                <w:lang w:eastAsia="en-US"/>
              </w:rPr>
            </w:pPr>
            <w:r w:rsidRPr="00427EE1">
              <w:rPr>
                <w:rFonts w:eastAsia="Calibri"/>
                <w:b/>
                <w:lang w:eastAsia="en-US"/>
              </w:rPr>
              <w:t>Notice of imminent lapse of building permit – completion of work</w:t>
            </w:r>
          </w:p>
          <w:p w:rsidR="00E657D7" w:rsidRDefault="002D140F">
            <w:pPr>
              <w:pStyle w:val="Tabletext"/>
              <w:rPr>
                <w:rFonts w:eastAsia="Calibri"/>
                <w:lang w:eastAsia="en-US"/>
              </w:rPr>
            </w:pPr>
            <w:r>
              <w:rPr>
                <w:rFonts w:eastAsia="Calibri"/>
                <w:lang w:eastAsia="en-US"/>
              </w:rPr>
              <w:t>R</w:t>
            </w:r>
            <w:r w:rsidRPr="00427EE1">
              <w:rPr>
                <w:rFonts w:eastAsia="Calibri"/>
                <w:lang w:eastAsia="en-US"/>
              </w:rPr>
              <w:t xml:space="preserve">equires </w:t>
            </w:r>
            <w:r w:rsidR="00195A47" w:rsidRPr="00427EE1">
              <w:rPr>
                <w:rFonts w:eastAsia="Calibri"/>
                <w:lang w:eastAsia="en-US"/>
              </w:rPr>
              <w:t xml:space="preserve">the </w:t>
            </w:r>
            <w:r w:rsidR="00AB414E">
              <w:rPr>
                <w:rFonts w:eastAsia="Calibri"/>
                <w:lang w:eastAsia="en-US"/>
              </w:rPr>
              <w:t>RBS</w:t>
            </w:r>
            <w:r w:rsidR="00195A47" w:rsidRPr="00427EE1">
              <w:rPr>
                <w:rFonts w:eastAsia="Calibri"/>
                <w:lang w:eastAsia="en-US"/>
              </w:rPr>
              <w:t xml:space="preserve"> to issue a notice to the applicant of a building permit</w:t>
            </w:r>
            <w:r w:rsidR="00E60957">
              <w:rPr>
                <w:rFonts w:eastAsia="Calibri"/>
                <w:lang w:eastAsia="en-US"/>
              </w:rPr>
              <w:t xml:space="preserve"> </w:t>
            </w:r>
            <w:r w:rsidR="00195A47" w:rsidRPr="00427EE1">
              <w:rPr>
                <w:rFonts w:eastAsia="Calibri"/>
                <w:lang w:eastAsia="en-US"/>
              </w:rPr>
              <w:t xml:space="preserve">of the date building work must be completed by, if the </w:t>
            </w:r>
            <w:r w:rsidR="00AB414E">
              <w:rPr>
                <w:rFonts w:eastAsia="Calibri"/>
                <w:lang w:eastAsia="en-US"/>
              </w:rPr>
              <w:t>RBS</w:t>
            </w:r>
            <w:r w:rsidR="00195A47" w:rsidRPr="00427EE1">
              <w:rPr>
                <w:rFonts w:eastAsia="Calibri"/>
                <w:lang w:eastAsia="en-US"/>
              </w:rPr>
              <w:t xml:space="preserve"> has not conducted the final mandatory inspection within 3 months of the completion date.</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195A47" w:rsidRPr="00427EE1" w:rsidRDefault="00195A47" w:rsidP="00C0279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195A47" w:rsidRPr="00427EE1" w:rsidRDefault="00195A47" w:rsidP="00C02798">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195A47" w:rsidRPr="00427EE1" w:rsidRDefault="00195A47" w:rsidP="00C02798">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195A47" w:rsidRPr="00427EE1" w:rsidRDefault="00195A47" w:rsidP="00C02798">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195A47" w:rsidRPr="00427EE1" w:rsidRDefault="00195A47" w:rsidP="00C0279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E657D7" w:rsidRDefault="00195A47">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w:t>
            </w:r>
            <w:r w:rsidRPr="00427EE1">
              <w:rPr>
                <w:rFonts w:eastAsia="Calibri"/>
                <w:lang w:eastAsia="en-US"/>
              </w:rPr>
              <w:t xml:space="preserve">to help ensure a building permit is not left to lapse </w:t>
            </w:r>
            <w:r w:rsidR="00C85828" w:rsidRPr="00427EE1">
              <w:rPr>
                <w:rFonts w:eastAsia="Calibri"/>
                <w:lang w:eastAsia="en-US"/>
              </w:rPr>
              <w:t>inadvertently</w:t>
            </w:r>
            <w:r w:rsidRPr="00427EE1">
              <w:rPr>
                <w:rFonts w:eastAsia="Calibri"/>
                <w:lang w:eastAsia="en-US"/>
              </w:rPr>
              <w:t>. It also i</w:t>
            </w:r>
            <w:r w:rsidRPr="00427EE1">
              <w:rPr>
                <w:rFonts w:eastAsia="Calibri"/>
              </w:rPr>
              <w:t xml:space="preserve">mproves administrative efficiency because the notice gives the owner enough time to take action to either complete work or to apply for an extension to the </w:t>
            </w:r>
            <w:r w:rsidR="00C85828" w:rsidRPr="00427EE1">
              <w:rPr>
                <w:rFonts w:eastAsia="Calibri"/>
              </w:rPr>
              <w:t>completion</w:t>
            </w:r>
            <w:r w:rsidRPr="00427EE1">
              <w:rPr>
                <w:rFonts w:eastAsia="Calibri"/>
              </w:rPr>
              <w:t xml:space="preserve"> date nominated for the building work, before the permit lapses. </w:t>
            </w:r>
          </w:p>
        </w:tc>
      </w:tr>
      <w:tr w:rsidR="00195A47"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E657D7" w:rsidRDefault="00195A47">
            <w:pPr>
              <w:pStyle w:val="Tabletext"/>
              <w:rPr>
                <w:rFonts w:eastAsia="Calibri"/>
              </w:rPr>
            </w:pPr>
            <w:r w:rsidRPr="00427EE1">
              <w:rPr>
                <w:rFonts w:eastAsia="Calibri"/>
              </w:rPr>
              <w:t>n/a</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E657D7" w:rsidRDefault="00195A47">
            <w:pPr>
              <w:pStyle w:val="Tabletext"/>
              <w:rPr>
                <w:rFonts w:asciiTheme="majorHAnsi" w:eastAsia="Calibri" w:hAnsiTheme="majorHAnsi" w:cstheme="majorBidi"/>
                <w:b/>
                <w:sz w:val="40"/>
                <w:lang w:eastAsia="en-US"/>
              </w:rPr>
            </w:pPr>
            <w:r w:rsidRPr="00427EE1">
              <w:rPr>
                <w:rFonts w:eastAsia="Calibri"/>
                <w:lang w:eastAsia="en-US"/>
              </w:rPr>
              <w:t>NEW</w:t>
            </w:r>
          </w:p>
          <w:p w:rsidR="00E657D7" w:rsidRDefault="00195A47">
            <w:pPr>
              <w:pStyle w:val="Tabletext"/>
              <w:rPr>
                <w:rFonts w:asciiTheme="majorHAnsi" w:eastAsia="Calibri" w:hAnsiTheme="majorHAnsi" w:cstheme="majorBidi"/>
                <w:b/>
                <w:sz w:val="40"/>
                <w:lang w:eastAsia="en-US"/>
              </w:rPr>
            </w:pPr>
            <w:r w:rsidRPr="00427EE1">
              <w:rPr>
                <w:rFonts w:eastAsia="Calibri"/>
                <w:lang w:eastAsia="en-US"/>
              </w:rPr>
              <w:t>66</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tcPr>
          <w:p w:rsidR="00E657D7" w:rsidRDefault="00195A47">
            <w:pPr>
              <w:pStyle w:val="Tabletext"/>
              <w:rPr>
                <w:rFonts w:asciiTheme="majorHAnsi" w:eastAsia="Calibri" w:hAnsiTheme="majorHAnsi" w:cstheme="majorBidi"/>
                <w:b/>
                <w:sz w:val="40"/>
                <w:lang w:eastAsia="en-US"/>
              </w:rPr>
            </w:pPr>
            <w:r w:rsidRPr="00427EE1">
              <w:rPr>
                <w:rFonts w:eastAsia="Calibri"/>
                <w:b/>
                <w:lang w:eastAsia="en-US"/>
              </w:rPr>
              <w:t>Copy of notice of imminent lapse of building permit to be provided</w:t>
            </w:r>
          </w:p>
          <w:p w:rsidR="00E657D7" w:rsidRDefault="002D140F">
            <w:pPr>
              <w:pStyle w:val="Tabletext"/>
              <w:rPr>
                <w:rFonts w:eastAsia="Calibri"/>
                <w:lang w:eastAsia="en-US"/>
              </w:rPr>
            </w:pPr>
            <w:r>
              <w:rPr>
                <w:rFonts w:eastAsia="Calibri"/>
                <w:lang w:eastAsia="en-US"/>
              </w:rPr>
              <w:t>R</w:t>
            </w:r>
            <w:r w:rsidRPr="00427EE1">
              <w:rPr>
                <w:rFonts w:eastAsia="Calibri"/>
                <w:lang w:eastAsia="en-US"/>
              </w:rPr>
              <w:t xml:space="preserve">equires </w:t>
            </w:r>
            <w:r w:rsidR="00195A47" w:rsidRPr="00427EE1">
              <w:rPr>
                <w:rFonts w:eastAsia="Calibri"/>
                <w:lang w:eastAsia="en-US"/>
              </w:rPr>
              <w:t xml:space="preserve">the </w:t>
            </w:r>
            <w:r w:rsidR="00AB414E">
              <w:rPr>
                <w:rFonts w:eastAsia="Calibri"/>
                <w:lang w:eastAsia="en-US"/>
              </w:rPr>
              <w:t>RBS</w:t>
            </w:r>
            <w:r w:rsidR="00195A47" w:rsidRPr="00427EE1">
              <w:rPr>
                <w:rFonts w:eastAsia="Calibri"/>
                <w:lang w:eastAsia="en-US"/>
              </w:rPr>
              <w:t xml:space="preserve"> to give a copy of any notice issued under proposed new </w:t>
            </w:r>
            <w:r w:rsidR="008911CB">
              <w:rPr>
                <w:rFonts w:eastAsia="Calibri"/>
                <w:lang w:eastAsia="en-US"/>
              </w:rPr>
              <w:t>Regulations</w:t>
            </w:r>
            <w:r w:rsidR="00195A47" w:rsidRPr="00427EE1">
              <w:rPr>
                <w:rFonts w:eastAsia="Calibri"/>
                <w:lang w:eastAsia="en-US"/>
              </w:rPr>
              <w:t xml:space="preserve"> 64 and 65</w:t>
            </w:r>
            <w:r w:rsidR="00E60957">
              <w:rPr>
                <w:rFonts w:eastAsia="Calibri"/>
                <w:lang w:eastAsia="en-US"/>
              </w:rPr>
              <w:t xml:space="preserve"> </w:t>
            </w:r>
            <w:r w:rsidR="00195A47" w:rsidRPr="00427EE1">
              <w:rPr>
                <w:rFonts w:eastAsia="Calibri"/>
                <w:lang w:eastAsia="en-US"/>
              </w:rPr>
              <w:t>to the owner (if not the building permit applicant), the builder, the relevant council and to the VBA.</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195A47" w:rsidRPr="00427EE1" w:rsidRDefault="00195A47" w:rsidP="00C0279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195A47" w:rsidRPr="00427EE1" w:rsidRDefault="00195A47" w:rsidP="00C02798">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195A47" w:rsidRPr="00427EE1" w:rsidRDefault="00195A47" w:rsidP="00C02798">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195A47" w:rsidRPr="00427EE1" w:rsidRDefault="00195A47" w:rsidP="00C02798">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195A47" w:rsidRPr="00427EE1" w:rsidRDefault="00195A47" w:rsidP="00C0279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E657D7" w:rsidRDefault="00195A47">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ensures compliance </w:t>
            </w:r>
            <w:r w:rsidR="00CD6176" w:rsidRPr="00427EE1">
              <w:rPr>
                <w:rFonts w:eastAsia="Calibri"/>
              </w:rPr>
              <w:t xml:space="preserve">with </w:t>
            </w:r>
            <w:r w:rsidR="00C85828" w:rsidRPr="00427EE1">
              <w:rPr>
                <w:rFonts w:eastAsia="Calibri"/>
              </w:rPr>
              <w:t>building</w:t>
            </w:r>
            <w:r w:rsidRPr="00427EE1">
              <w:rPr>
                <w:rFonts w:eastAsia="Calibri"/>
              </w:rPr>
              <w:t xml:space="preserve"> work </w:t>
            </w:r>
            <w:r w:rsidR="00CD6176" w:rsidRPr="00427EE1">
              <w:rPr>
                <w:rFonts w:eastAsia="Calibri"/>
              </w:rPr>
              <w:t>and the</w:t>
            </w:r>
            <w:r w:rsidRPr="00427EE1">
              <w:rPr>
                <w:rFonts w:eastAsia="Calibri"/>
              </w:rPr>
              <w:t xml:space="preserve"> regulatory time frames </w:t>
            </w:r>
            <w:r w:rsidR="00CD6176" w:rsidRPr="00427EE1">
              <w:rPr>
                <w:rFonts w:eastAsia="Calibri"/>
              </w:rPr>
              <w:t xml:space="preserve">under the Act and </w:t>
            </w:r>
            <w:r w:rsidR="008911CB">
              <w:rPr>
                <w:rFonts w:eastAsia="Calibri"/>
              </w:rPr>
              <w:t>Regulations</w:t>
            </w:r>
            <w:r w:rsidR="00CD6176" w:rsidRPr="00427EE1">
              <w:rPr>
                <w:rFonts w:eastAsia="Calibri"/>
              </w:rPr>
              <w:t xml:space="preserve">, by making relevant parties </w:t>
            </w:r>
            <w:r w:rsidRPr="00427EE1">
              <w:rPr>
                <w:rFonts w:eastAsia="Calibri"/>
              </w:rPr>
              <w:t>aware of any potential issu</w:t>
            </w:r>
            <w:r w:rsidR="00CD6176" w:rsidRPr="00427EE1">
              <w:rPr>
                <w:rFonts w:eastAsia="Calibri"/>
              </w:rPr>
              <w:t>es.</w:t>
            </w:r>
          </w:p>
        </w:tc>
      </w:tr>
      <w:tr w:rsidR="00195A47"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E657D7" w:rsidRDefault="00195A47">
            <w:pPr>
              <w:pStyle w:val="Tabletext"/>
              <w:rPr>
                <w:rFonts w:eastAsia="Calibri"/>
              </w:rPr>
            </w:pPr>
            <w:r w:rsidRPr="00427EE1">
              <w:rPr>
                <w:rFonts w:eastAsia="Calibri"/>
              </w:rPr>
              <w:lastRenderedPageBreak/>
              <w:t>315(4)</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E657D7" w:rsidRDefault="00195A47">
            <w:pPr>
              <w:pStyle w:val="Tabletext"/>
              <w:rPr>
                <w:rFonts w:asciiTheme="majorHAnsi" w:eastAsia="Calibri" w:hAnsiTheme="majorHAnsi" w:cstheme="majorBidi"/>
                <w:b/>
                <w:sz w:val="40"/>
                <w:lang w:eastAsia="en-US"/>
              </w:rPr>
            </w:pPr>
            <w:r w:rsidRPr="00427EE1">
              <w:rPr>
                <w:rFonts w:eastAsia="Calibri"/>
                <w:lang w:eastAsia="en-US"/>
              </w:rPr>
              <w:t>67</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tcPr>
          <w:p w:rsidR="00E657D7" w:rsidRDefault="00195A47">
            <w:pPr>
              <w:pStyle w:val="Tabletext"/>
              <w:rPr>
                <w:rFonts w:asciiTheme="majorHAnsi" w:eastAsia="Calibri" w:hAnsiTheme="majorHAnsi" w:cstheme="majorBidi"/>
                <w:b/>
                <w:sz w:val="40"/>
                <w:lang w:eastAsia="en-US"/>
              </w:rPr>
            </w:pPr>
            <w:r w:rsidRPr="00427EE1">
              <w:rPr>
                <w:rFonts w:eastAsia="Calibri"/>
                <w:b/>
                <w:lang w:eastAsia="en-US"/>
              </w:rPr>
              <w:t>Extension of building permit</w:t>
            </w:r>
          </w:p>
          <w:p w:rsidR="00E657D7" w:rsidRDefault="002E244C">
            <w:pPr>
              <w:pStyle w:val="Tabletext"/>
              <w:rPr>
                <w:rFonts w:asciiTheme="majorHAnsi" w:eastAsia="Calibri" w:hAnsiTheme="majorHAnsi" w:cstheme="majorBidi"/>
                <w:b/>
                <w:sz w:val="40"/>
                <w:lang w:eastAsia="en-US"/>
              </w:rPr>
            </w:pPr>
            <w:r>
              <w:rPr>
                <w:rFonts w:eastAsia="Calibri"/>
                <w:lang w:eastAsia="en-US"/>
              </w:rPr>
              <w:t xml:space="preserve">Enables </w:t>
            </w:r>
            <w:r w:rsidR="00195A47" w:rsidRPr="00427EE1">
              <w:rPr>
                <w:rFonts w:eastAsia="Calibri"/>
                <w:lang w:eastAsia="en-US"/>
              </w:rPr>
              <w:t xml:space="preserve">an application to be made to the </w:t>
            </w:r>
            <w:r w:rsidR="00AB414E">
              <w:rPr>
                <w:rFonts w:eastAsia="Calibri"/>
                <w:lang w:eastAsia="en-US"/>
              </w:rPr>
              <w:t>RBS</w:t>
            </w:r>
            <w:r w:rsidR="00195A47" w:rsidRPr="00427EE1">
              <w:rPr>
                <w:rFonts w:eastAsia="Calibri"/>
                <w:lang w:eastAsia="en-US"/>
              </w:rPr>
              <w:t xml:space="preserve"> for an extension to either the required</w:t>
            </w:r>
            <w:r w:rsidR="00E60957">
              <w:rPr>
                <w:rFonts w:eastAsia="Calibri"/>
                <w:lang w:eastAsia="en-US"/>
              </w:rPr>
              <w:t xml:space="preserve"> </w:t>
            </w:r>
            <w:r w:rsidR="00195A47" w:rsidRPr="00427EE1">
              <w:rPr>
                <w:rFonts w:eastAsia="Calibri"/>
                <w:lang w:eastAsia="en-US"/>
              </w:rPr>
              <w:t xml:space="preserve">commencement or completion dates for approved building work.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195A47" w:rsidRPr="00427EE1" w:rsidRDefault="00195A47" w:rsidP="00C0279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195A47" w:rsidRPr="00427EE1" w:rsidRDefault="00195A47" w:rsidP="00C02798">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195A47" w:rsidRPr="00427EE1" w:rsidRDefault="00195A47" w:rsidP="00C0279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195A47" w:rsidRPr="00427EE1" w:rsidRDefault="00195A47" w:rsidP="00C02798">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195A47" w:rsidRPr="00427EE1" w:rsidRDefault="00195A47" w:rsidP="00C02798">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E657D7" w:rsidRDefault="00195A47">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allow an owner to avoid costs associated with a lapsed permit by seeking an extension of a relevant regulatory time limit. Current </w:t>
            </w:r>
            <w:r w:rsidR="000273F9">
              <w:rPr>
                <w:rFonts w:eastAsia="Calibri"/>
              </w:rPr>
              <w:t>Regulation</w:t>
            </w:r>
            <w:r w:rsidRPr="00427EE1">
              <w:rPr>
                <w:rFonts w:eastAsia="Calibri"/>
              </w:rPr>
              <w:t xml:space="preserve"> 315(4) has been revised to clarify the process to apply for such an extension.</w:t>
            </w:r>
          </w:p>
        </w:tc>
      </w:tr>
    </w:tbl>
    <w:p w:rsidR="005F38AC" w:rsidRDefault="005F38AC"/>
    <w:p w:rsidR="00D615BC" w:rsidRPr="00427EE1" w:rsidRDefault="004267C5" w:rsidP="006119D2">
      <w:pPr>
        <w:pStyle w:val="Heading3"/>
      </w:pPr>
      <w:bookmarkStart w:id="179" w:name="_Toc481501600"/>
      <w:r>
        <w:t xml:space="preserve">Pt </w:t>
      </w:r>
      <w:r w:rsidR="00B751DE" w:rsidRPr="00427EE1">
        <w:t>6</w:t>
      </w:r>
      <w:r w:rsidR="008475D9">
        <w:t>—</w:t>
      </w:r>
      <w:r w:rsidR="00B751DE" w:rsidRPr="00427EE1">
        <w:t>Siting</w:t>
      </w:r>
      <w:bookmarkEnd w:id="179"/>
    </w:p>
    <w:p w:rsidR="00B751DE" w:rsidRPr="00427EE1" w:rsidRDefault="00EF2008" w:rsidP="006119D2">
      <w:pPr>
        <w:pStyle w:val="Heading4"/>
      </w:pPr>
      <w:proofErr w:type="spellStart"/>
      <w:r>
        <w:t>Div</w:t>
      </w:r>
      <w:proofErr w:type="spellEnd"/>
      <w:r w:rsidR="006E6791" w:rsidRPr="00427EE1">
        <w:t xml:space="preserve"> </w:t>
      </w:r>
      <w:r w:rsidR="00B751DE" w:rsidRPr="00427EE1">
        <w:t>1</w:t>
      </w:r>
      <w:r w:rsidR="008475D9">
        <w:t>—</w:t>
      </w:r>
      <w:r w:rsidR="00C7328F">
        <w:t>Introduction</w:t>
      </w:r>
    </w:p>
    <w:tbl>
      <w:tblPr>
        <w:tblW w:w="14465" w:type="dxa"/>
        <w:tblInd w:w="-88"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52"/>
        <w:gridCol w:w="945"/>
        <w:gridCol w:w="4243"/>
        <w:gridCol w:w="399"/>
        <w:gridCol w:w="399"/>
        <w:gridCol w:w="402"/>
        <w:gridCol w:w="400"/>
        <w:gridCol w:w="398"/>
        <w:gridCol w:w="6327"/>
      </w:tblGrid>
      <w:tr w:rsidR="006C07F6" w:rsidRPr="00427EE1" w:rsidTr="006119D2">
        <w:trPr>
          <w:cantSplit/>
          <w:trHeight w:val="79"/>
          <w:tblHeader/>
        </w:trPr>
        <w:tc>
          <w:tcPr>
            <w:tcW w:w="952" w:type="dxa"/>
            <w:vMerge w:val="restart"/>
            <w:shd w:val="clear" w:color="auto" w:fill="00B2A9" w:themeFill="accent1"/>
            <w:vAlign w:val="center"/>
            <w:hideMark/>
          </w:tcPr>
          <w:p w:rsidR="006C07F6" w:rsidRDefault="006C07F6">
            <w:pPr>
              <w:pStyle w:val="Tablecolumnhead"/>
              <w:rPr>
                <w:rFonts w:asciiTheme="majorHAnsi" w:eastAsia="Calibri" w:hAnsiTheme="majorHAnsi" w:cstheme="majorBidi"/>
                <w:sz w:val="40"/>
              </w:rPr>
            </w:pPr>
            <w:r w:rsidRPr="00BE72D7">
              <w:rPr>
                <w:rFonts w:eastAsia="Calibri"/>
              </w:rPr>
              <w:t>2006</w:t>
            </w:r>
          </w:p>
          <w:p w:rsidR="006C07F6" w:rsidRDefault="006C07F6">
            <w:pPr>
              <w:pStyle w:val="Tablecolumnhead"/>
              <w:rPr>
                <w:rFonts w:asciiTheme="majorHAnsi" w:eastAsia="Calibri" w:hAnsiTheme="majorHAnsi" w:cstheme="majorBidi"/>
                <w:sz w:val="40"/>
              </w:rPr>
            </w:pPr>
            <w:r w:rsidRPr="00C44680">
              <w:rPr>
                <w:rFonts w:ascii="Arial Bold" w:eastAsia="Calibri" w:hAnsi="Arial Bold"/>
                <w:spacing w:val="-12"/>
                <w:sz w:val="16"/>
              </w:rPr>
              <w:t>Regulation</w:t>
            </w:r>
          </w:p>
        </w:tc>
        <w:tc>
          <w:tcPr>
            <w:tcW w:w="945" w:type="dxa"/>
            <w:vMerge w:val="restart"/>
            <w:shd w:val="clear" w:color="auto" w:fill="00B2A9" w:themeFill="accent1"/>
            <w:vAlign w:val="center"/>
            <w:hideMark/>
          </w:tcPr>
          <w:p w:rsidR="006C07F6" w:rsidRDefault="006C07F6">
            <w:pPr>
              <w:pStyle w:val="Tablecolumnhead"/>
              <w:rPr>
                <w:rFonts w:asciiTheme="majorHAnsi" w:eastAsiaTheme="majorEastAsia" w:hAnsiTheme="majorHAnsi" w:cstheme="majorBidi"/>
                <w:sz w:val="40"/>
              </w:rPr>
            </w:pPr>
            <w:r w:rsidRPr="008F0E53">
              <w:rPr>
                <w:rFonts w:eastAsia="Calibri"/>
              </w:rPr>
              <w:t>2017</w:t>
            </w:r>
          </w:p>
          <w:p w:rsidR="006C07F6" w:rsidRDefault="006C07F6">
            <w:pPr>
              <w:pStyle w:val="Tablecolumnhead"/>
              <w:rPr>
                <w:rFonts w:asciiTheme="majorHAnsi" w:eastAsiaTheme="majorEastAsia" w:hAnsiTheme="majorHAnsi" w:cstheme="majorBidi"/>
                <w:sz w:val="40"/>
              </w:rPr>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6C07F6" w:rsidRDefault="006C07F6">
            <w:pPr>
              <w:pStyle w:val="Tablecolumnhead"/>
              <w:rPr>
                <w:rFonts w:asciiTheme="majorHAnsi" w:eastAsia="Calibri" w:hAnsiTheme="majorHAnsi" w:cstheme="majorBidi"/>
                <w:sz w:val="40"/>
              </w:rPr>
            </w:pPr>
            <w:r w:rsidRPr="008F0E53">
              <w:t xml:space="preserve">Short description of the </w:t>
            </w:r>
            <w:r>
              <w:t>Regulation</w:t>
            </w:r>
          </w:p>
        </w:tc>
        <w:tc>
          <w:tcPr>
            <w:tcW w:w="1998" w:type="dxa"/>
            <w:gridSpan w:val="5"/>
            <w:shd w:val="clear" w:color="auto" w:fill="00B2A9" w:themeFill="accent1"/>
            <w:vAlign w:val="center"/>
          </w:tcPr>
          <w:p w:rsidR="006C07F6" w:rsidRDefault="006C07F6">
            <w:pPr>
              <w:pStyle w:val="Tablecolumnhead"/>
              <w:rPr>
                <w:rFonts w:asciiTheme="majorHAnsi" w:eastAsiaTheme="majorEastAsia" w:hAnsiTheme="majorHAnsi" w:cstheme="majorBidi"/>
                <w:sz w:val="40"/>
              </w:rPr>
            </w:pPr>
            <w:r w:rsidRPr="004F24D9">
              <w:t>Proposed regulatory change</w:t>
            </w:r>
          </w:p>
        </w:tc>
        <w:tc>
          <w:tcPr>
            <w:tcW w:w="6327" w:type="dxa"/>
            <w:vMerge w:val="restart"/>
            <w:shd w:val="clear" w:color="auto" w:fill="00B2A9" w:themeFill="accent1"/>
            <w:vAlign w:val="center"/>
          </w:tcPr>
          <w:p w:rsidR="006C07F6" w:rsidRDefault="006C07F6">
            <w:pPr>
              <w:pStyle w:val="Tablecolumnhead"/>
              <w:rPr>
                <w:rFonts w:asciiTheme="majorHAnsi" w:eastAsiaTheme="majorEastAsia" w:hAnsiTheme="majorHAnsi" w:cstheme="majorBidi"/>
                <w:sz w:val="40"/>
              </w:rPr>
            </w:pPr>
            <w:r w:rsidRPr="00354570">
              <w:t>Why the 2017 Regulation is proposed</w:t>
            </w:r>
          </w:p>
        </w:tc>
      </w:tr>
      <w:tr w:rsidR="00B751DE" w:rsidRPr="00427EE1" w:rsidTr="006119D2">
        <w:trPr>
          <w:cantSplit/>
          <w:trHeight w:val="966"/>
          <w:tblHeader/>
        </w:trPr>
        <w:tc>
          <w:tcPr>
            <w:tcW w:w="952"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945"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B751DE" w:rsidRPr="00427EE1" w:rsidTr="006119D2">
        <w:trPr>
          <w:cantSplit/>
          <w:trHeight w:val="340"/>
        </w:trPr>
        <w:tc>
          <w:tcPr>
            <w:tcW w:w="95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eastAsia="Calibri"/>
              </w:rPr>
            </w:pPr>
            <w:r w:rsidRPr="00427EE1">
              <w:rPr>
                <w:rFonts w:eastAsia="Calibri"/>
              </w:rPr>
              <w:t>401</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68</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rsidP="006757E8">
            <w:pPr>
              <w:pStyle w:val="Tabletext"/>
              <w:rPr>
                <w:rFonts w:asciiTheme="majorHAnsi" w:eastAsia="Calibri" w:hAnsiTheme="majorHAnsi" w:cstheme="majorBidi"/>
                <w:b/>
                <w:sz w:val="40"/>
                <w:lang w:eastAsia="en-US"/>
              </w:rPr>
            </w:pPr>
            <w:r w:rsidRPr="00427EE1">
              <w:rPr>
                <w:rFonts w:eastAsia="Calibri"/>
                <w:b/>
                <w:lang w:eastAsia="en-US"/>
              </w:rPr>
              <w:t>Application</w:t>
            </w:r>
          </w:p>
          <w:p w:rsidR="00E657D7" w:rsidRDefault="00C02798" w:rsidP="006757E8">
            <w:pPr>
              <w:pStyle w:val="Tabletext"/>
              <w:rPr>
                <w:rFonts w:asciiTheme="majorHAnsi" w:eastAsia="Calibri" w:hAnsiTheme="majorHAnsi" w:cstheme="majorBidi"/>
                <w:b/>
                <w:sz w:val="40"/>
                <w:lang w:eastAsia="en-US"/>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e</w:t>
            </w:r>
            <w:r w:rsidR="00B751DE" w:rsidRPr="00427EE1">
              <w:rPr>
                <w:rFonts w:eastAsia="Calibri"/>
                <w:lang w:eastAsia="en-US"/>
              </w:rPr>
              <w:t xml:space="preserve">xempts </w:t>
            </w:r>
            <w:r w:rsidR="0078476C" w:rsidRPr="00427EE1">
              <w:rPr>
                <w:rFonts w:eastAsia="Calibri"/>
                <w:lang w:eastAsia="en-US"/>
              </w:rPr>
              <w:t xml:space="preserve">the operation of </w:t>
            </w:r>
            <w:proofErr w:type="spellStart"/>
            <w:r w:rsidR="004267C5">
              <w:rPr>
                <w:rFonts w:eastAsia="Calibri"/>
                <w:lang w:eastAsia="en-US"/>
              </w:rPr>
              <w:t>p</w:t>
            </w:r>
            <w:r w:rsidR="0078476C" w:rsidRPr="00427EE1">
              <w:rPr>
                <w:rFonts w:eastAsia="Calibri"/>
                <w:lang w:eastAsia="en-US"/>
              </w:rPr>
              <w:t>t</w:t>
            </w:r>
            <w:proofErr w:type="spellEnd"/>
            <w:r w:rsidR="0078476C" w:rsidRPr="00427EE1">
              <w:rPr>
                <w:rFonts w:eastAsia="Calibri"/>
                <w:lang w:eastAsia="en-US"/>
              </w:rPr>
              <w:t xml:space="preserve"> 6 to </w:t>
            </w:r>
            <w:r w:rsidR="00B751DE" w:rsidRPr="00427EE1">
              <w:rPr>
                <w:rFonts w:eastAsia="Calibri"/>
                <w:lang w:eastAsia="en-US"/>
              </w:rPr>
              <w:t>building work that has had the same matter</w:t>
            </w:r>
            <w:r w:rsidR="00CD6176" w:rsidRPr="00427EE1">
              <w:rPr>
                <w:rFonts w:eastAsia="Calibri"/>
                <w:lang w:eastAsia="en-US"/>
              </w:rPr>
              <w:t xml:space="preserve"> </w:t>
            </w:r>
            <w:r w:rsidR="00B751DE" w:rsidRPr="00427EE1">
              <w:rPr>
                <w:rFonts w:eastAsia="Calibri"/>
                <w:lang w:eastAsia="en-US"/>
              </w:rPr>
              <w:t>assessed under the planning scheme</w:t>
            </w:r>
            <w:r w:rsidR="006C07F6">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C02798">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r</w:t>
            </w:r>
            <w:r w:rsidR="00B751DE" w:rsidRPr="00427EE1">
              <w:rPr>
                <w:rFonts w:eastAsia="Calibri"/>
              </w:rPr>
              <w:t xml:space="preserve">emoves duplication with the planning system. </w:t>
            </w:r>
            <w:r w:rsidRPr="00427EE1">
              <w:rPr>
                <w:rFonts w:eastAsia="Calibri"/>
              </w:rPr>
              <w:t>It h</w:t>
            </w:r>
            <w:r w:rsidR="00B751DE" w:rsidRPr="00427EE1">
              <w:rPr>
                <w:rFonts w:eastAsia="Calibri"/>
              </w:rPr>
              <w:t>as been updated to clarify that the exemption only applies if the matter has been assessed as part of a planning permit application.</w:t>
            </w:r>
          </w:p>
          <w:p w:rsidR="00E657D7" w:rsidRDefault="00B751DE">
            <w:pPr>
              <w:pStyle w:val="Tabletext"/>
              <w:rPr>
                <w:rFonts w:eastAsia="Calibri"/>
              </w:rPr>
            </w:pPr>
            <w:r w:rsidRPr="00427EE1">
              <w:rPr>
                <w:rFonts w:eastAsia="Calibri"/>
              </w:rPr>
              <w:t xml:space="preserve"> </w:t>
            </w:r>
          </w:p>
        </w:tc>
      </w:tr>
      <w:tr w:rsidR="00B751DE" w:rsidRPr="00427EE1" w:rsidTr="006119D2">
        <w:trPr>
          <w:cantSplit/>
          <w:trHeight w:val="591"/>
        </w:trPr>
        <w:tc>
          <w:tcPr>
            <w:tcW w:w="95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B751DE" w:rsidP="006757E8">
            <w:pPr>
              <w:pStyle w:val="Tabletext"/>
              <w:rPr>
                <w:rFonts w:eastAsia="Calibri"/>
              </w:rPr>
            </w:pPr>
            <w:r w:rsidRPr="00427EE1">
              <w:rPr>
                <w:rFonts w:eastAsia="Calibri"/>
              </w:rPr>
              <w:t>404</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69</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E657D7" w:rsidRDefault="00B751DE" w:rsidP="006757E8">
            <w:pPr>
              <w:pStyle w:val="Tabletext"/>
              <w:rPr>
                <w:rFonts w:asciiTheme="majorHAnsi" w:eastAsia="Calibri" w:hAnsiTheme="majorHAnsi" w:cstheme="majorBidi"/>
                <w:b/>
                <w:sz w:val="40"/>
                <w:lang w:eastAsia="en-US"/>
              </w:rPr>
            </w:pPr>
            <w:r w:rsidRPr="00427EE1">
              <w:rPr>
                <w:rFonts w:eastAsia="Calibri"/>
                <w:b/>
                <w:lang w:eastAsia="en-US"/>
              </w:rPr>
              <w:t>What is an existing building?</w:t>
            </w:r>
          </w:p>
          <w:p w:rsidR="00E657D7" w:rsidRDefault="002E244C" w:rsidP="006757E8">
            <w:pPr>
              <w:pStyle w:val="Tabletext"/>
              <w:rPr>
                <w:rFonts w:asciiTheme="majorHAnsi" w:eastAsia="Calibri" w:hAnsiTheme="majorHAnsi" w:cstheme="majorBidi"/>
                <w:b/>
                <w:sz w:val="40"/>
                <w:lang w:eastAsia="en-US"/>
              </w:rPr>
            </w:pPr>
            <w:r>
              <w:rPr>
                <w:rFonts w:eastAsia="Calibri"/>
                <w:lang w:eastAsia="en-US"/>
              </w:rPr>
              <w:t xml:space="preserve">Defines </w:t>
            </w:r>
            <w:r w:rsidR="00A32EE3" w:rsidRPr="00427EE1">
              <w:rPr>
                <w:rFonts w:eastAsia="Calibri"/>
                <w:lang w:eastAsia="en-US"/>
              </w:rPr>
              <w:t>‘</w:t>
            </w:r>
            <w:r w:rsidR="00B751DE" w:rsidRPr="00427EE1">
              <w:rPr>
                <w:rFonts w:eastAsia="Calibri"/>
                <w:lang w:eastAsia="en-US"/>
              </w:rPr>
              <w:t>existing building</w:t>
            </w:r>
            <w:r w:rsidR="00C02798" w:rsidRPr="00427EE1">
              <w:rPr>
                <w:rFonts w:eastAsia="Calibri"/>
                <w:lang w:eastAsia="en-US"/>
              </w:rPr>
              <w:t>’</w:t>
            </w:r>
            <w:r w:rsidR="0078476C" w:rsidRPr="00427EE1">
              <w:rPr>
                <w:rFonts w:eastAsia="Calibri"/>
                <w:lang w:eastAsia="en-US"/>
              </w:rPr>
              <w:t xml:space="preserve"> for the purposes of </w:t>
            </w:r>
            <w:proofErr w:type="spellStart"/>
            <w:r w:rsidR="004267C5">
              <w:rPr>
                <w:rFonts w:eastAsia="Calibri"/>
                <w:lang w:eastAsia="en-US"/>
              </w:rPr>
              <w:t>pt</w:t>
            </w:r>
            <w:proofErr w:type="spellEnd"/>
            <w:r w:rsidR="004267C5">
              <w:rPr>
                <w:rFonts w:eastAsia="Calibri"/>
                <w:lang w:eastAsia="en-US"/>
              </w:rPr>
              <w:t xml:space="preserve"> </w:t>
            </w:r>
            <w:r w:rsidR="0078476C" w:rsidRPr="00427EE1">
              <w:rPr>
                <w:rFonts w:eastAsia="Calibri"/>
                <w:lang w:eastAsia="en-US"/>
              </w:rPr>
              <w:t>6,</w:t>
            </w:r>
            <w:r w:rsidR="00C02798" w:rsidRPr="00427EE1">
              <w:rPr>
                <w:rFonts w:eastAsia="Calibri"/>
                <w:lang w:eastAsia="en-US"/>
              </w:rPr>
              <w:t xml:space="preserve"> </w:t>
            </w:r>
            <w:r w:rsidR="00B751DE" w:rsidRPr="00427EE1">
              <w:rPr>
                <w:rFonts w:eastAsia="Calibri"/>
                <w:lang w:eastAsia="en-US"/>
              </w:rPr>
              <w:t xml:space="preserve">to clarify </w:t>
            </w:r>
            <w:r w:rsidR="002138D3" w:rsidRPr="00427EE1">
              <w:rPr>
                <w:rFonts w:eastAsia="Calibri"/>
                <w:lang w:eastAsia="en-US"/>
              </w:rPr>
              <w:t>how the referen</w:t>
            </w:r>
            <w:r w:rsidR="0078476C" w:rsidRPr="00427EE1">
              <w:rPr>
                <w:rFonts w:eastAsia="Calibri"/>
                <w:lang w:eastAsia="en-US"/>
              </w:rPr>
              <w:t xml:space="preserve">ce </w:t>
            </w:r>
            <w:r w:rsidR="002138D3" w:rsidRPr="00427EE1">
              <w:rPr>
                <w:rFonts w:eastAsia="Calibri"/>
                <w:lang w:eastAsia="en-US"/>
              </w:rPr>
              <w:t xml:space="preserve">is to be treated in </w:t>
            </w:r>
            <w:r w:rsidR="00B751DE" w:rsidRPr="00427EE1">
              <w:rPr>
                <w:rFonts w:eastAsia="Calibri"/>
                <w:lang w:eastAsia="en-US"/>
              </w:rPr>
              <w:t>relation to an adjoining property.</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C02798">
            <w:pPr>
              <w:pStyle w:val="Tabletext"/>
              <w:rPr>
                <w:rFonts w:eastAsia="Calibri"/>
                <w:sz w:val="16"/>
              </w:rPr>
            </w:pPr>
            <w:r w:rsidRPr="00427EE1">
              <w:rPr>
                <w:rFonts w:eastAsia="Calibri"/>
              </w:rPr>
              <w:t xml:space="preserve">This </w:t>
            </w:r>
            <w:r w:rsidR="000273F9">
              <w:rPr>
                <w:rFonts w:eastAsia="Calibri"/>
              </w:rPr>
              <w:t>Regulation</w:t>
            </w:r>
            <w:r w:rsidRPr="00427EE1">
              <w:rPr>
                <w:rFonts w:eastAsia="Calibri"/>
              </w:rPr>
              <w:t xml:space="preserve"> e</w:t>
            </w:r>
            <w:r w:rsidR="00B751DE" w:rsidRPr="00427EE1">
              <w:rPr>
                <w:rFonts w:eastAsia="Calibri"/>
              </w:rPr>
              <w:t xml:space="preserve">nsures consistency in </w:t>
            </w:r>
            <w:r w:rsidR="002138D3" w:rsidRPr="00427EE1">
              <w:rPr>
                <w:rFonts w:eastAsia="Calibri"/>
              </w:rPr>
              <w:t xml:space="preserve">the </w:t>
            </w:r>
            <w:r w:rsidR="00B751DE" w:rsidRPr="00427EE1">
              <w:rPr>
                <w:rFonts w:eastAsia="Calibri"/>
              </w:rPr>
              <w:t>interpretation</w:t>
            </w:r>
            <w:r w:rsidR="002138D3" w:rsidRPr="00427EE1">
              <w:rPr>
                <w:rFonts w:eastAsia="Calibri"/>
              </w:rPr>
              <w:t xml:space="preserve"> of the term ‘existing building’</w:t>
            </w:r>
            <w:r w:rsidR="00CD6176" w:rsidRPr="00427EE1">
              <w:rPr>
                <w:rFonts w:eastAsia="Calibri"/>
              </w:rPr>
              <w:t xml:space="preserve"> for the purposes of this </w:t>
            </w:r>
            <w:r w:rsidR="008911CB">
              <w:rPr>
                <w:rFonts w:eastAsia="Calibri"/>
              </w:rPr>
              <w:t>part</w:t>
            </w:r>
            <w:r w:rsidR="00CD6176" w:rsidRPr="00427EE1">
              <w:rPr>
                <w:rFonts w:eastAsia="Calibri"/>
              </w:rPr>
              <w:t xml:space="preserve"> of the </w:t>
            </w:r>
            <w:r w:rsidR="008911CB">
              <w:rPr>
                <w:rFonts w:eastAsia="Calibri"/>
              </w:rPr>
              <w:t>Regulations</w:t>
            </w:r>
            <w:r w:rsidR="00CD6176" w:rsidRPr="00427EE1">
              <w:rPr>
                <w:rFonts w:eastAsia="Calibri"/>
              </w:rPr>
              <w:t>.</w:t>
            </w:r>
          </w:p>
        </w:tc>
      </w:tr>
      <w:tr w:rsidR="00B751DE" w:rsidRPr="00427EE1" w:rsidTr="006119D2">
        <w:trPr>
          <w:cantSplit/>
          <w:trHeight w:val="340"/>
        </w:trPr>
        <w:tc>
          <w:tcPr>
            <w:tcW w:w="95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eastAsia="Calibri"/>
              </w:rPr>
            </w:pPr>
            <w:r w:rsidRPr="00427EE1">
              <w:rPr>
                <w:rFonts w:eastAsia="Calibri"/>
              </w:rPr>
              <w:lastRenderedPageBreak/>
              <w:t>405</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70</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rsidP="006757E8">
            <w:pPr>
              <w:pStyle w:val="Tabletext"/>
              <w:rPr>
                <w:rFonts w:asciiTheme="majorHAnsi" w:eastAsia="Calibri" w:hAnsiTheme="majorHAnsi" w:cstheme="majorBidi"/>
                <w:b/>
                <w:sz w:val="40"/>
                <w:lang w:eastAsia="en-US"/>
              </w:rPr>
            </w:pPr>
            <w:r w:rsidRPr="00427EE1">
              <w:rPr>
                <w:rFonts w:eastAsia="Calibri"/>
                <w:b/>
                <w:lang w:eastAsia="en-US"/>
              </w:rPr>
              <w:t>What is a single dwelling?</w:t>
            </w:r>
          </w:p>
          <w:p w:rsidR="00E657D7" w:rsidRDefault="002E244C" w:rsidP="006757E8">
            <w:pPr>
              <w:pStyle w:val="Tabletext"/>
              <w:rPr>
                <w:rFonts w:asciiTheme="majorHAnsi" w:eastAsia="Calibri" w:hAnsiTheme="majorHAnsi" w:cstheme="majorBidi"/>
                <w:b/>
                <w:sz w:val="40"/>
                <w:lang w:eastAsia="en-US"/>
              </w:rPr>
            </w:pPr>
            <w:r>
              <w:rPr>
                <w:rFonts w:eastAsia="Calibri"/>
                <w:lang w:eastAsia="en-US"/>
              </w:rPr>
              <w:t xml:space="preserve">Clarifies </w:t>
            </w:r>
            <w:r w:rsidR="00B751DE" w:rsidRPr="00427EE1">
              <w:rPr>
                <w:rFonts w:eastAsia="Calibri"/>
                <w:lang w:eastAsia="en-US"/>
              </w:rPr>
              <w:t>that the Ministerial Guidelines only apply to a single dwelling and structures associated with those dwellings, such as sheds and carports.</w:t>
            </w:r>
            <w:r w:rsidR="00534101" w:rsidRPr="00427EE1">
              <w:rPr>
                <w:rStyle w:val="FootnoteReference"/>
                <w:rFonts w:ascii="Calibri" w:eastAsia="Calibri" w:hAnsi="Calibri"/>
                <w:lang w:eastAsia="en-US"/>
              </w:rPr>
              <w:footnoteReference w:id="59"/>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78476C">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e</w:t>
            </w:r>
            <w:r w:rsidR="00B751DE" w:rsidRPr="00427EE1">
              <w:rPr>
                <w:rFonts w:eastAsia="Calibri"/>
              </w:rPr>
              <w:t>nsures consistency in interpretation between the Act and Regulations.</w:t>
            </w:r>
          </w:p>
        </w:tc>
      </w:tr>
      <w:tr w:rsidR="00195A47" w:rsidRPr="00427EE1" w:rsidTr="006119D2">
        <w:trPr>
          <w:cantSplit/>
          <w:trHeight w:val="340"/>
        </w:trPr>
        <w:tc>
          <w:tcPr>
            <w:tcW w:w="95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195A47" w:rsidP="006757E8">
            <w:pPr>
              <w:pStyle w:val="Tabletext"/>
              <w:rPr>
                <w:rFonts w:eastAsia="Calibri"/>
              </w:rPr>
            </w:pPr>
            <w:r w:rsidRPr="00427EE1">
              <w:rPr>
                <w:rFonts w:eastAsia="Calibri"/>
              </w:rPr>
              <w:t>406</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195A47" w:rsidP="006757E8">
            <w:pPr>
              <w:pStyle w:val="Tabletext"/>
              <w:rPr>
                <w:rFonts w:asciiTheme="majorHAnsi" w:eastAsia="Calibri" w:hAnsiTheme="majorHAnsi" w:cstheme="majorBidi"/>
                <w:b/>
                <w:sz w:val="40"/>
                <w:lang w:eastAsia="en-US"/>
              </w:rPr>
            </w:pPr>
            <w:r w:rsidRPr="00427EE1">
              <w:rPr>
                <w:rFonts w:eastAsia="Calibri"/>
                <w:lang w:eastAsia="en-US"/>
              </w:rPr>
              <w:t>71</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195A47" w:rsidP="006757E8">
            <w:pPr>
              <w:pStyle w:val="Tabletext"/>
              <w:rPr>
                <w:rFonts w:asciiTheme="majorHAnsi" w:eastAsia="Calibri" w:hAnsiTheme="majorHAnsi" w:cstheme="majorBidi"/>
                <w:b/>
                <w:sz w:val="40"/>
                <w:lang w:eastAsia="en-US"/>
              </w:rPr>
            </w:pPr>
            <w:r w:rsidRPr="00427EE1">
              <w:rPr>
                <w:rFonts w:eastAsia="Calibri"/>
                <w:b/>
                <w:lang w:eastAsia="en-US"/>
              </w:rPr>
              <w:t>Approved building envelope design overrides siting requirement</w:t>
            </w:r>
          </w:p>
          <w:p w:rsidR="00E657D7" w:rsidRDefault="002E244C" w:rsidP="006757E8">
            <w:pPr>
              <w:pStyle w:val="Tabletext"/>
              <w:rPr>
                <w:rFonts w:asciiTheme="majorHAnsi" w:eastAsia="Calibri" w:hAnsiTheme="majorHAnsi" w:cstheme="majorBidi"/>
                <w:b/>
                <w:sz w:val="40"/>
                <w:lang w:eastAsia="en-US"/>
              </w:rPr>
            </w:pPr>
            <w:r>
              <w:rPr>
                <w:rFonts w:eastAsia="Calibri"/>
                <w:lang w:eastAsia="en-US"/>
              </w:rPr>
              <w:t xml:space="preserve">Clarifies </w:t>
            </w:r>
            <w:r w:rsidR="00195A47" w:rsidRPr="00427EE1">
              <w:rPr>
                <w:rFonts w:eastAsia="Calibri"/>
                <w:lang w:eastAsia="en-US"/>
              </w:rPr>
              <w:t>when</w:t>
            </w:r>
            <w:r w:rsidR="004C7276" w:rsidRPr="00427EE1">
              <w:rPr>
                <w:rFonts w:eastAsia="Calibri"/>
                <w:lang w:eastAsia="en-US"/>
              </w:rPr>
              <w:t xml:space="preserve"> </w:t>
            </w:r>
            <w:proofErr w:type="spellStart"/>
            <w:r w:rsidR="004267C5">
              <w:rPr>
                <w:rFonts w:eastAsia="Calibri"/>
                <w:lang w:eastAsia="en-US"/>
              </w:rPr>
              <w:t>pt</w:t>
            </w:r>
            <w:proofErr w:type="spellEnd"/>
            <w:r w:rsidR="004267C5">
              <w:rPr>
                <w:rFonts w:eastAsia="Calibri"/>
                <w:lang w:eastAsia="en-US"/>
              </w:rPr>
              <w:t xml:space="preserve"> </w:t>
            </w:r>
            <w:r w:rsidR="004C7276" w:rsidRPr="00427EE1">
              <w:rPr>
                <w:rFonts w:eastAsia="Calibri"/>
                <w:lang w:eastAsia="en-US"/>
              </w:rPr>
              <w:t>6</w:t>
            </w:r>
            <w:r w:rsidR="00195A47" w:rsidRPr="00427EE1">
              <w:rPr>
                <w:rFonts w:eastAsia="Calibri"/>
                <w:lang w:eastAsia="en-US"/>
              </w:rPr>
              <w:t xml:space="preserve"> applies to proposed buildings</w:t>
            </w:r>
            <w:r w:rsidR="00C02798" w:rsidRPr="00427EE1">
              <w:rPr>
                <w:rFonts w:eastAsia="Calibri"/>
                <w:lang w:eastAsia="en-US"/>
              </w:rPr>
              <w:t>,</w:t>
            </w:r>
            <w:r w:rsidR="00195A47" w:rsidRPr="00427EE1">
              <w:rPr>
                <w:rFonts w:eastAsia="Calibri"/>
                <w:lang w:eastAsia="en-US"/>
              </w:rPr>
              <w:t xml:space="preserve"> where a building envelope applies to site and deals with the same matter</w:t>
            </w:r>
            <w:r w:rsidR="00C02798" w:rsidRPr="00427EE1">
              <w:rPr>
                <w:rFonts w:eastAsia="Calibri"/>
                <w:lang w:eastAsia="en-US"/>
              </w:rPr>
              <w:t>.</w:t>
            </w:r>
            <w:r w:rsidR="00195A47" w:rsidRPr="00427EE1">
              <w:rPr>
                <w:rFonts w:eastAsia="Calibri"/>
                <w:lang w:eastAsia="en-US"/>
              </w:rPr>
              <w:t xml:space="preserve">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195A47" w:rsidRPr="00427EE1" w:rsidRDefault="00195A47"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195A47" w:rsidRPr="00427EE1" w:rsidRDefault="00195A47" w:rsidP="006757E8">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195A47" w:rsidRPr="00427EE1" w:rsidRDefault="00195A47">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195A47" w:rsidRPr="00427EE1" w:rsidRDefault="00195A47">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195A47" w:rsidRPr="00427EE1" w:rsidRDefault="00195A47">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CD6176">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m</w:t>
            </w:r>
            <w:r w:rsidR="00195A47" w:rsidRPr="00427EE1">
              <w:rPr>
                <w:rFonts w:eastAsia="Calibri"/>
              </w:rPr>
              <w:t xml:space="preserve">anages inconsistencies between </w:t>
            </w:r>
            <w:proofErr w:type="spellStart"/>
            <w:r w:rsidR="004267C5">
              <w:rPr>
                <w:rFonts w:eastAsia="Calibri"/>
              </w:rPr>
              <w:t>pt</w:t>
            </w:r>
            <w:proofErr w:type="spellEnd"/>
            <w:r w:rsidR="004267C5">
              <w:rPr>
                <w:rFonts w:eastAsia="Calibri"/>
              </w:rPr>
              <w:t xml:space="preserve"> </w:t>
            </w:r>
            <w:r w:rsidR="004C7276" w:rsidRPr="00427EE1">
              <w:rPr>
                <w:rFonts w:eastAsia="Calibri"/>
              </w:rPr>
              <w:t>6</w:t>
            </w:r>
            <w:r w:rsidR="00E60957">
              <w:rPr>
                <w:rFonts w:eastAsia="Calibri"/>
              </w:rPr>
              <w:t xml:space="preserve"> </w:t>
            </w:r>
            <w:r w:rsidR="00195A47" w:rsidRPr="00427EE1">
              <w:rPr>
                <w:rFonts w:eastAsia="Calibri"/>
              </w:rPr>
              <w:t xml:space="preserve">and an approved building envelope. </w:t>
            </w:r>
            <w:r w:rsidRPr="00427EE1">
              <w:rPr>
                <w:rFonts w:eastAsia="Calibri"/>
              </w:rPr>
              <w:t>It e</w:t>
            </w:r>
            <w:r w:rsidR="00195A47" w:rsidRPr="00427EE1">
              <w:rPr>
                <w:rFonts w:eastAsia="Calibri"/>
              </w:rPr>
              <w:t>nsures effective integration with the planning system and has been updated to include definitions.</w:t>
            </w:r>
          </w:p>
        </w:tc>
      </w:tr>
    </w:tbl>
    <w:p w:rsidR="005F38AC" w:rsidRDefault="005F38AC" w:rsidP="006757E8"/>
    <w:p w:rsidR="00B751DE" w:rsidRPr="00427EE1" w:rsidRDefault="00EF2008" w:rsidP="006119D2">
      <w:pPr>
        <w:pStyle w:val="Heading4"/>
      </w:pPr>
      <w:proofErr w:type="spellStart"/>
      <w:r>
        <w:t>Div</w:t>
      </w:r>
      <w:proofErr w:type="spellEnd"/>
      <w:r w:rsidR="006E6791" w:rsidRPr="00427EE1">
        <w:t xml:space="preserve"> </w:t>
      </w:r>
      <w:r w:rsidR="00B751DE" w:rsidRPr="00427EE1">
        <w:t>2</w:t>
      </w:r>
      <w:r w:rsidR="008475D9">
        <w:t>—</w:t>
      </w:r>
      <w:r w:rsidR="00B751DE" w:rsidRPr="00427EE1">
        <w:t>Single Class 1 buildings and associated Class 10 buildings</w:t>
      </w:r>
    </w:p>
    <w:tbl>
      <w:tblPr>
        <w:tblW w:w="14479" w:type="dxa"/>
        <w:tblInd w:w="-102"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66"/>
        <w:gridCol w:w="945"/>
        <w:gridCol w:w="4243"/>
        <w:gridCol w:w="399"/>
        <w:gridCol w:w="399"/>
        <w:gridCol w:w="402"/>
        <w:gridCol w:w="400"/>
        <w:gridCol w:w="398"/>
        <w:gridCol w:w="6327"/>
      </w:tblGrid>
      <w:tr w:rsidR="006C07F6" w:rsidRPr="00427EE1" w:rsidTr="006119D2">
        <w:trPr>
          <w:cantSplit/>
          <w:trHeight w:val="162"/>
          <w:tblHeader/>
        </w:trPr>
        <w:tc>
          <w:tcPr>
            <w:tcW w:w="966" w:type="dxa"/>
            <w:vMerge w:val="restart"/>
            <w:shd w:val="clear" w:color="auto" w:fill="00B2A9" w:themeFill="accent1"/>
            <w:vAlign w:val="center"/>
            <w:hideMark/>
          </w:tcPr>
          <w:p w:rsidR="006C07F6" w:rsidRDefault="006C07F6">
            <w:pPr>
              <w:pStyle w:val="Tablecolumnhead"/>
              <w:rPr>
                <w:rFonts w:asciiTheme="majorHAnsi" w:eastAsia="Calibri" w:hAnsiTheme="majorHAnsi" w:cstheme="majorBidi"/>
                <w:sz w:val="40"/>
              </w:rPr>
            </w:pPr>
            <w:r w:rsidRPr="00BE72D7">
              <w:rPr>
                <w:rFonts w:eastAsia="Calibri"/>
              </w:rPr>
              <w:t>2006</w:t>
            </w:r>
          </w:p>
          <w:p w:rsidR="006C07F6" w:rsidRDefault="006C07F6">
            <w:pPr>
              <w:pStyle w:val="Tablecolumnhead"/>
              <w:rPr>
                <w:rFonts w:asciiTheme="majorHAnsi" w:eastAsia="Calibri" w:hAnsiTheme="majorHAnsi" w:cstheme="majorBidi"/>
                <w:sz w:val="40"/>
              </w:rPr>
            </w:pPr>
            <w:r w:rsidRPr="00C44680">
              <w:rPr>
                <w:rFonts w:ascii="Arial Bold" w:eastAsia="Calibri" w:hAnsi="Arial Bold"/>
                <w:spacing w:val="-12"/>
                <w:sz w:val="16"/>
              </w:rPr>
              <w:t>Regulation</w:t>
            </w:r>
          </w:p>
        </w:tc>
        <w:tc>
          <w:tcPr>
            <w:tcW w:w="945" w:type="dxa"/>
            <w:vMerge w:val="restart"/>
            <w:shd w:val="clear" w:color="auto" w:fill="00B2A9" w:themeFill="accent1"/>
            <w:vAlign w:val="center"/>
            <w:hideMark/>
          </w:tcPr>
          <w:p w:rsidR="006C07F6" w:rsidRDefault="006C07F6">
            <w:pPr>
              <w:pStyle w:val="Tablecolumnhead"/>
              <w:rPr>
                <w:rFonts w:asciiTheme="majorHAnsi" w:eastAsiaTheme="majorEastAsia" w:hAnsiTheme="majorHAnsi" w:cstheme="majorBidi"/>
                <w:sz w:val="40"/>
              </w:rPr>
            </w:pPr>
            <w:r w:rsidRPr="008F0E53">
              <w:rPr>
                <w:rFonts w:eastAsia="Calibri"/>
              </w:rPr>
              <w:t>2017</w:t>
            </w:r>
          </w:p>
          <w:p w:rsidR="006C07F6" w:rsidRDefault="006C07F6">
            <w:pPr>
              <w:pStyle w:val="Tablecolumnhead"/>
              <w:rPr>
                <w:rFonts w:asciiTheme="majorHAnsi" w:eastAsiaTheme="majorEastAsia" w:hAnsiTheme="majorHAnsi" w:cstheme="majorBidi"/>
                <w:sz w:val="40"/>
              </w:rPr>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6C07F6" w:rsidRDefault="006C07F6">
            <w:pPr>
              <w:pStyle w:val="Tablecolumnhead"/>
              <w:rPr>
                <w:rFonts w:asciiTheme="majorHAnsi" w:eastAsia="Calibri" w:hAnsiTheme="majorHAnsi" w:cstheme="majorBidi"/>
                <w:sz w:val="40"/>
              </w:rPr>
            </w:pPr>
            <w:r w:rsidRPr="00DC3F02">
              <w:t xml:space="preserve">Short description of the </w:t>
            </w:r>
            <w:r>
              <w:t>Regulation</w:t>
            </w:r>
          </w:p>
        </w:tc>
        <w:tc>
          <w:tcPr>
            <w:tcW w:w="1998" w:type="dxa"/>
            <w:gridSpan w:val="5"/>
            <w:shd w:val="clear" w:color="auto" w:fill="00B2A9" w:themeFill="accent1"/>
            <w:vAlign w:val="center"/>
          </w:tcPr>
          <w:p w:rsidR="006C07F6" w:rsidRDefault="006C07F6">
            <w:pPr>
              <w:pStyle w:val="Tablecolumnhead"/>
              <w:rPr>
                <w:rFonts w:asciiTheme="majorHAnsi" w:eastAsiaTheme="majorEastAsia" w:hAnsiTheme="majorHAnsi" w:cstheme="majorBidi"/>
                <w:sz w:val="40"/>
              </w:rPr>
            </w:pPr>
            <w:r w:rsidRPr="00DC3F02">
              <w:t>Proposed regulatory change</w:t>
            </w:r>
          </w:p>
        </w:tc>
        <w:tc>
          <w:tcPr>
            <w:tcW w:w="6327" w:type="dxa"/>
            <w:vMerge w:val="restart"/>
            <w:shd w:val="clear" w:color="auto" w:fill="00B2A9" w:themeFill="accent1"/>
            <w:vAlign w:val="center"/>
          </w:tcPr>
          <w:p w:rsidR="006C07F6" w:rsidRDefault="006C07F6">
            <w:pPr>
              <w:pStyle w:val="Tablecolumnhead"/>
              <w:rPr>
                <w:rFonts w:asciiTheme="majorHAnsi" w:eastAsiaTheme="majorEastAsia" w:hAnsiTheme="majorHAnsi" w:cstheme="majorBidi"/>
                <w:sz w:val="40"/>
              </w:rPr>
            </w:pPr>
            <w:r w:rsidRPr="00DC3F02">
              <w:t>Why the 2017 Regulation is proposed</w:t>
            </w:r>
          </w:p>
        </w:tc>
      </w:tr>
      <w:tr w:rsidR="00B751DE" w:rsidRPr="00427EE1" w:rsidTr="006119D2">
        <w:trPr>
          <w:cantSplit/>
          <w:trHeight w:val="966"/>
          <w:tblHeader/>
        </w:trPr>
        <w:tc>
          <w:tcPr>
            <w:tcW w:w="966"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945"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B751DE"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eastAsia="Calibri"/>
              </w:rPr>
            </w:pPr>
            <w:r w:rsidRPr="00427EE1">
              <w:rPr>
                <w:rFonts w:eastAsia="Calibri"/>
              </w:rPr>
              <w:t>407</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72</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rsidP="006757E8">
            <w:pPr>
              <w:pStyle w:val="Tabletext"/>
              <w:rPr>
                <w:rFonts w:asciiTheme="majorHAnsi" w:eastAsia="Calibri" w:hAnsiTheme="majorHAnsi" w:cstheme="majorBidi"/>
                <w:b/>
                <w:sz w:val="40"/>
                <w:lang w:eastAsia="en-US"/>
              </w:rPr>
            </w:pPr>
            <w:r w:rsidRPr="00427EE1">
              <w:rPr>
                <w:rFonts w:eastAsia="Calibri"/>
                <w:b/>
                <w:lang w:eastAsia="en-US"/>
              </w:rPr>
              <w:t xml:space="preserve">Application of </w:t>
            </w:r>
            <w:r w:rsidR="00451D07">
              <w:rPr>
                <w:rFonts w:eastAsia="Calibri"/>
                <w:b/>
                <w:lang w:eastAsia="en-US"/>
              </w:rPr>
              <w:t>d</w:t>
            </w:r>
            <w:r w:rsidRPr="00427EE1">
              <w:rPr>
                <w:rFonts w:eastAsia="Calibri"/>
                <w:b/>
                <w:lang w:eastAsia="en-US"/>
              </w:rPr>
              <w:t>ivision</w:t>
            </w:r>
          </w:p>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 xml:space="preserve">Requires single dwellings and certain structures associated with those dwellings, such as sheds and carports to comply with </w:t>
            </w:r>
            <w:r w:rsidR="008911CB">
              <w:rPr>
                <w:rFonts w:eastAsia="Calibri"/>
                <w:lang w:eastAsia="en-US"/>
              </w:rPr>
              <w:t xml:space="preserve">proposed </w:t>
            </w:r>
            <w:proofErr w:type="spellStart"/>
            <w:r w:rsidR="003902AD">
              <w:rPr>
                <w:rFonts w:eastAsia="Calibri"/>
                <w:lang w:eastAsia="en-US"/>
              </w:rPr>
              <w:t>regs</w:t>
            </w:r>
            <w:proofErr w:type="spellEnd"/>
            <w:r w:rsidR="00255C71" w:rsidRPr="00427EE1">
              <w:rPr>
                <w:rFonts w:eastAsia="Calibri"/>
                <w:lang w:eastAsia="en-US"/>
              </w:rPr>
              <w:t xml:space="preserve"> 7</w:t>
            </w:r>
            <w:r w:rsidR="00195A47" w:rsidRPr="00427EE1">
              <w:rPr>
                <w:rFonts w:eastAsia="Calibri"/>
                <w:lang w:eastAsia="en-US"/>
              </w:rPr>
              <w:t>3</w:t>
            </w:r>
            <w:r w:rsidR="00255C71" w:rsidRPr="00427EE1">
              <w:rPr>
                <w:rFonts w:eastAsia="Calibri"/>
                <w:lang w:eastAsia="en-US"/>
              </w:rPr>
              <w:t>–8</w:t>
            </w:r>
            <w:r w:rsidR="00195A47" w:rsidRPr="00427EE1">
              <w:rPr>
                <w:rFonts w:eastAsia="Calibri"/>
                <w:lang w:eastAsia="en-US"/>
              </w:rPr>
              <w:t>6</w:t>
            </w:r>
            <w:r w:rsidR="00451D07">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CD6176">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w:t>
            </w:r>
            <w:r w:rsidR="00B751DE" w:rsidRPr="00427EE1">
              <w:rPr>
                <w:rFonts w:eastAsia="Calibri"/>
              </w:rPr>
              <w:t>specif</w:t>
            </w:r>
            <w:r w:rsidRPr="00427EE1">
              <w:rPr>
                <w:rFonts w:eastAsia="Calibri"/>
              </w:rPr>
              <w:t>ies</w:t>
            </w:r>
            <w:r w:rsidR="00B751DE" w:rsidRPr="00427EE1">
              <w:rPr>
                <w:rFonts w:eastAsia="Calibri"/>
              </w:rPr>
              <w:t xml:space="preserve"> the types of buildings that must comply with these requirements.</w:t>
            </w:r>
          </w:p>
        </w:tc>
      </w:tr>
      <w:tr w:rsidR="00B751DE"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eastAsia="Calibri"/>
              </w:rPr>
            </w:pPr>
            <w:r w:rsidRPr="00427EE1">
              <w:rPr>
                <w:rFonts w:eastAsia="Calibri"/>
              </w:rPr>
              <w:lastRenderedPageBreak/>
              <w:t>408</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73</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rsidP="006757E8">
            <w:pPr>
              <w:pStyle w:val="Tabletext"/>
              <w:rPr>
                <w:rFonts w:asciiTheme="majorHAnsi" w:eastAsia="Calibri" w:hAnsiTheme="majorHAnsi" w:cstheme="majorBidi"/>
                <w:b/>
                <w:sz w:val="40"/>
                <w:lang w:eastAsia="en-US"/>
              </w:rPr>
            </w:pPr>
            <w:r w:rsidRPr="00427EE1">
              <w:rPr>
                <w:rFonts w:eastAsia="Calibri"/>
                <w:b/>
                <w:lang w:eastAsia="en-US"/>
              </w:rPr>
              <w:t>Maximum street setback</w:t>
            </w:r>
          </w:p>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Restricts how far back the building can be from the street</w:t>
            </w:r>
            <w:r w:rsidR="00451D07">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0F1317">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intends</w:t>
            </w:r>
            <w:r w:rsidR="00B751DE" w:rsidRPr="00427EE1">
              <w:rPr>
                <w:rFonts w:eastAsia="Calibri"/>
              </w:rPr>
              <w:t xml:space="preserve"> to manage inappropriate subdivision, which is likely to be encouraged if owners are permitted to develop</w:t>
            </w:r>
            <w:r w:rsidRPr="00427EE1">
              <w:rPr>
                <w:rFonts w:eastAsia="Calibri"/>
              </w:rPr>
              <w:t xml:space="preserve"> at</w:t>
            </w:r>
            <w:r w:rsidR="00B751DE" w:rsidRPr="00427EE1">
              <w:rPr>
                <w:rFonts w:eastAsia="Calibri"/>
              </w:rPr>
              <w:t xml:space="preserve"> the rear of </w:t>
            </w:r>
            <w:r w:rsidRPr="00427EE1">
              <w:rPr>
                <w:rFonts w:eastAsia="Calibri"/>
              </w:rPr>
              <w:t>a</w:t>
            </w:r>
            <w:r w:rsidR="00B751DE" w:rsidRPr="00427EE1">
              <w:rPr>
                <w:rFonts w:eastAsia="Calibri"/>
              </w:rPr>
              <w:t xml:space="preserve"> block</w:t>
            </w:r>
            <w:r w:rsidRPr="00427EE1">
              <w:rPr>
                <w:rFonts w:eastAsia="Calibri"/>
              </w:rPr>
              <w:t>.</w:t>
            </w:r>
          </w:p>
        </w:tc>
      </w:tr>
      <w:tr w:rsidR="00B751DE"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eastAsia="Calibri"/>
              </w:rPr>
            </w:pPr>
            <w:r w:rsidRPr="00427EE1">
              <w:rPr>
                <w:rFonts w:eastAsia="Calibri"/>
              </w:rPr>
              <w:t>409</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74</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rsidP="006757E8">
            <w:pPr>
              <w:pStyle w:val="Tabletext"/>
              <w:rPr>
                <w:rFonts w:asciiTheme="majorHAnsi" w:eastAsia="Calibri" w:hAnsiTheme="majorHAnsi" w:cstheme="majorBidi"/>
                <w:b/>
                <w:sz w:val="40"/>
                <w:lang w:eastAsia="en-US"/>
              </w:rPr>
            </w:pPr>
            <w:r w:rsidRPr="00427EE1">
              <w:rPr>
                <w:rFonts w:eastAsia="Calibri"/>
                <w:b/>
                <w:lang w:eastAsia="en-US"/>
              </w:rPr>
              <w:t>Minimum street setbacks</w:t>
            </w:r>
          </w:p>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Restricts the distance that a building can be positioned in relation to a front or side street</w:t>
            </w:r>
            <w:r w:rsidR="00451D07">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0F1317">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r</w:t>
            </w:r>
            <w:r w:rsidR="00B751DE" w:rsidRPr="00427EE1">
              <w:rPr>
                <w:rFonts w:eastAsia="Calibri"/>
              </w:rPr>
              <w:t>eflects Standard A3 (</w:t>
            </w:r>
            <w:r w:rsidR="0023395A">
              <w:rPr>
                <w:rFonts w:eastAsia="Calibri"/>
              </w:rPr>
              <w:t xml:space="preserve">cl </w:t>
            </w:r>
            <w:r w:rsidR="00B751DE" w:rsidRPr="00427EE1">
              <w:rPr>
                <w:rFonts w:eastAsia="Calibri"/>
              </w:rPr>
              <w:t xml:space="preserve">54.03-1 of the </w:t>
            </w:r>
            <w:r w:rsidR="005E2285">
              <w:rPr>
                <w:rFonts w:eastAsia="Calibri"/>
              </w:rPr>
              <w:t>Victoria Planning Provisions</w:t>
            </w:r>
            <w:r w:rsidR="00B751DE" w:rsidRPr="00427EE1">
              <w:rPr>
                <w:rFonts w:eastAsia="Calibri"/>
              </w:rPr>
              <w:t xml:space="preserve">). </w:t>
            </w:r>
            <w:r w:rsidRPr="00427EE1">
              <w:rPr>
                <w:rFonts w:eastAsia="Calibri"/>
              </w:rPr>
              <w:t>It e</w:t>
            </w:r>
            <w:r w:rsidR="00B751DE" w:rsidRPr="00427EE1">
              <w:rPr>
                <w:rFonts w:eastAsia="Calibri"/>
              </w:rPr>
              <w:t>nsures</w:t>
            </w:r>
            <w:r w:rsidRPr="00427EE1">
              <w:rPr>
                <w:rFonts w:eastAsia="Calibri"/>
              </w:rPr>
              <w:t xml:space="preserve"> that</w:t>
            </w:r>
            <w:r w:rsidR="00B751DE" w:rsidRPr="00427EE1">
              <w:rPr>
                <w:rFonts w:eastAsia="Calibri"/>
              </w:rPr>
              <w:t xml:space="preserve"> residential development</w:t>
            </w:r>
            <w:r w:rsidRPr="00427EE1">
              <w:rPr>
                <w:rFonts w:eastAsia="Calibri"/>
              </w:rPr>
              <w:t>s</w:t>
            </w:r>
            <w:r w:rsidR="00B751DE" w:rsidRPr="00427EE1">
              <w:rPr>
                <w:rFonts w:eastAsia="Calibri"/>
              </w:rPr>
              <w:t xml:space="preserve"> make efficient use of the site and that street character</w:t>
            </w:r>
            <w:r w:rsidRPr="00427EE1">
              <w:rPr>
                <w:rFonts w:eastAsia="Calibri"/>
              </w:rPr>
              <w:t xml:space="preserve"> be respected. </w:t>
            </w:r>
          </w:p>
        </w:tc>
      </w:tr>
      <w:tr w:rsidR="00B751DE"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eastAsia="Calibri"/>
              </w:rPr>
            </w:pPr>
            <w:r w:rsidRPr="00427EE1">
              <w:rPr>
                <w:rFonts w:eastAsia="Calibri"/>
              </w:rPr>
              <w:t>410</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75</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rsidP="006757E8">
            <w:pPr>
              <w:pStyle w:val="Tabletext"/>
              <w:rPr>
                <w:rFonts w:asciiTheme="majorHAnsi" w:eastAsia="Calibri" w:hAnsiTheme="majorHAnsi" w:cstheme="majorBidi"/>
                <w:b/>
                <w:sz w:val="40"/>
                <w:lang w:eastAsia="en-US"/>
              </w:rPr>
            </w:pPr>
            <w:r w:rsidRPr="00427EE1">
              <w:rPr>
                <w:rFonts w:eastAsia="Calibri"/>
                <w:b/>
                <w:lang w:eastAsia="en-US"/>
              </w:rPr>
              <w:t>Building height</w:t>
            </w:r>
          </w:p>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 xml:space="preserve">Restricts how high the building can be.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0F1317">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r</w:t>
            </w:r>
            <w:r w:rsidR="00B751DE" w:rsidRPr="00427EE1">
              <w:rPr>
                <w:rFonts w:eastAsia="Calibri"/>
              </w:rPr>
              <w:t>eflects Standard A4 (</w:t>
            </w:r>
            <w:r w:rsidR="0023395A">
              <w:rPr>
                <w:rFonts w:eastAsia="Calibri"/>
              </w:rPr>
              <w:t xml:space="preserve">cl </w:t>
            </w:r>
            <w:r w:rsidR="00B751DE" w:rsidRPr="00427EE1">
              <w:rPr>
                <w:rFonts w:eastAsia="Calibri"/>
              </w:rPr>
              <w:t xml:space="preserve">54.03-2 of the </w:t>
            </w:r>
            <w:r w:rsidR="005E2285">
              <w:rPr>
                <w:rFonts w:eastAsia="Calibri"/>
              </w:rPr>
              <w:t>Victoria Planning Provisions</w:t>
            </w:r>
            <w:r w:rsidR="00B751DE" w:rsidRPr="00427EE1">
              <w:rPr>
                <w:rFonts w:eastAsia="Calibri"/>
              </w:rPr>
              <w:t xml:space="preserve">). </w:t>
            </w:r>
            <w:r w:rsidRPr="00427EE1">
              <w:rPr>
                <w:rFonts w:eastAsia="Calibri"/>
              </w:rPr>
              <w:t>It p</w:t>
            </w:r>
            <w:r w:rsidR="00B751DE" w:rsidRPr="00427EE1">
              <w:rPr>
                <w:rFonts w:eastAsia="Calibri"/>
              </w:rPr>
              <w:t>rotects the amenity of existing buildings and reduce</w:t>
            </w:r>
            <w:r w:rsidRPr="00427EE1">
              <w:rPr>
                <w:rFonts w:eastAsia="Calibri"/>
              </w:rPr>
              <w:t>s</w:t>
            </w:r>
            <w:r w:rsidR="00B751DE" w:rsidRPr="00427EE1">
              <w:rPr>
                <w:rFonts w:eastAsia="Calibri"/>
              </w:rPr>
              <w:t xml:space="preserve"> bulk and high dwellings.</w:t>
            </w:r>
          </w:p>
        </w:tc>
      </w:tr>
      <w:tr w:rsidR="00B751DE"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eastAsia="Calibri"/>
              </w:rPr>
            </w:pPr>
            <w:r w:rsidRPr="00427EE1">
              <w:rPr>
                <w:rFonts w:eastAsia="Calibri"/>
              </w:rPr>
              <w:t>411</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76</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rsidP="006757E8">
            <w:pPr>
              <w:pStyle w:val="Tabletext"/>
              <w:rPr>
                <w:rFonts w:asciiTheme="majorHAnsi" w:eastAsia="Calibri" w:hAnsiTheme="majorHAnsi" w:cstheme="majorBidi"/>
                <w:b/>
                <w:sz w:val="40"/>
                <w:lang w:eastAsia="en-US"/>
              </w:rPr>
            </w:pPr>
            <w:r w:rsidRPr="00427EE1">
              <w:rPr>
                <w:rFonts w:eastAsia="Calibri"/>
                <w:b/>
                <w:lang w:eastAsia="en-US"/>
              </w:rPr>
              <w:t>Site coverage</w:t>
            </w:r>
          </w:p>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Restricts how much of the property can be covered by the building</w:t>
            </w:r>
            <w:r w:rsidR="00451D07">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0F1317">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r</w:t>
            </w:r>
            <w:r w:rsidR="00B751DE" w:rsidRPr="00427EE1">
              <w:rPr>
                <w:rFonts w:eastAsia="Calibri"/>
              </w:rPr>
              <w:t>eflects Standard A5 (</w:t>
            </w:r>
            <w:r w:rsidR="0023395A">
              <w:rPr>
                <w:rFonts w:eastAsia="Calibri"/>
              </w:rPr>
              <w:t xml:space="preserve">cl </w:t>
            </w:r>
            <w:r w:rsidR="00B751DE" w:rsidRPr="00427EE1">
              <w:rPr>
                <w:rFonts w:eastAsia="Calibri"/>
              </w:rPr>
              <w:t xml:space="preserve">54.03-3 of the </w:t>
            </w:r>
            <w:r w:rsidR="005E2285">
              <w:rPr>
                <w:rFonts w:eastAsia="Calibri"/>
              </w:rPr>
              <w:t>Victoria Planning Provisions</w:t>
            </w:r>
            <w:r w:rsidR="00B751DE" w:rsidRPr="00427EE1">
              <w:rPr>
                <w:rFonts w:eastAsia="Calibri"/>
              </w:rPr>
              <w:t xml:space="preserve">). </w:t>
            </w:r>
            <w:r w:rsidRPr="00427EE1">
              <w:rPr>
                <w:rFonts w:eastAsia="Calibri"/>
              </w:rPr>
              <w:t>It e</w:t>
            </w:r>
            <w:r w:rsidR="00B751DE" w:rsidRPr="00427EE1">
              <w:rPr>
                <w:rFonts w:eastAsia="Calibri"/>
              </w:rPr>
              <w:t xml:space="preserve">nsures adequate outdoor space is provided for the amenity of occupiers to </w:t>
            </w:r>
            <w:r w:rsidRPr="00427EE1">
              <w:rPr>
                <w:rFonts w:eastAsia="Calibri"/>
              </w:rPr>
              <w:t>a</w:t>
            </w:r>
            <w:r w:rsidR="00B751DE" w:rsidRPr="00427EE1">
              <w:rPr>
                <w:rFonts w:eastAsia="Calibri"/>
              </w:rPr>
              <w:t xml:space="preserve"> dwelling.</w:t>
            </w:r>
          </w:p>
        </w:tc>
      </w:tr>
      <w:tr w:rsidR="00B751DE"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eastAsia="Calibri"/>
              </w:rPr>
            </w:pPr>
            <w:r w:rsidRPr="00427EE1">
              <w:rPr>
                <w:rFonts w:eastAsia="Calibri"/>
              </w:rPr>
              <w:t>412</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77</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rsidP="006757E8">
            <w:pPr>
              <w:pStyle w:val="Tabletext"/>
              <w:rPr>
                <w:rFonts w:asciiTheme="majorHAnsi" w:eastAsia="Calibri" w:hAnsiTheme="majorHAnsi" w:cstheme="majorBidi"/>
                <w:b/>
                <w:sz w:val="40"/>
                <w:lang w:eastAsia="en-US"/>
              </w:rPr>
            </w:pPr>
            <w:r w:rsidRPr="00427EE1">
              <w:rPr>
                <w:rFonts w:eastAsia="Calibri"/>
                <w:b/>
                <w:lang w:eastAsia="en-US"/>
              </w:rPr>
              <w:t>Permeability</w:t>
            </w:r>
          </w:p>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Specifies how much of the property must have absorbent surfaces</w:t>
            </w:r>
            <w:r w:rsidR="00A14EA0">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0F1317">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r</w:t>
            </w:r>
            <w:r w:rsidR="00B751DE" w:rsidRPr="00427EE1">
              <w:rPr>
                <w:rFonts w:eastAsia="Calibri"/>
              </w:rPr>
              <w:t>eflects Standard A6 (</w:t>
            </w:r>
            <w:r w:rsidR="0023395A">
              <w:rPr>
                <w:rFonts w:eastAsia="Calibri"/>
              </w:rPr>
              <w:t xml:space="preserve">cl </w:t>
            </w:r>
            <w:r w:rsidR="00B751DE" w:rsidRPr="00427EE1">
              <w:rPr>
                <w:rFonts w:eastAsia="Calibri"/>
              </w:rPr>
              <w:t xml:space="preserve">54.03-4 of the </w:t>
            </w:r>
            <w:r w:rsidR="005E2285">
              <w:rPr>
                <w:rFonts w:eastAsia="Calibri"/>
              </w:rPr>
              <w:t>Victoria Planning Provisions</w:t>
            </w:r>
            <w:r w:rsidR="00B751DE" w:rsidRPr="00427EE1">
              <w:rPr>
                <w:rFonts w:eastAsia="Calibri"/>
              </w:rPr>
              <w:t xml:space="preserve">). </w:t>
            </w:r>
            <w:r w:rsidRPr="00427EE1">
              <w:rPr>
                <w:rFonts w:eastAsia="Calibri"/>
              </w:rPr>
              <w:t>It m</w:t>
            </w:r>
            <w:r w:rsidR="00B751DE" w:rsidRPr="00427EE1">
              <w:rPr>
                <w:rFonts w:eastAsia="Calibri"/>
              </w:rPr>
              <w:t xml:space="preserve">anages the amount of </w:t>
            </w:r>
            <w:proofErr w:type="spellStart"/>
            <w:r w:rsidR="00B751DE" w:rsidRPr="00427EE1">
              <w:rPr>
                <w:rFonts w:eastAsia="Calibri"/>
              </w:rPr>
              <w:t>stormwater</w:t>
            </w:r>
            <w:proofErr w:type="spellEnd"/>
            <w:r w:rsidR="00B751DE" w:rsidRPr="00427EE1">
              <w:rPr>
                <w:rFonts w:eastAsia="Calibri"/>
              </w:rPr>
              <w:t xml:space="preserve"> that runs off </w:t>
            </w:r>
            <w:r w:rsidRPr="00427EE1">
              <w:rPr>
                <w:rFonts w:eastAsia="Calibri"/>
              </w:rPr>
              <w:t>a</w:t>
            </w:r>
            <w:r w:rsidR="00B751DE" w:rsidRPr="00427EE1">
              <w:rPr>
                <w:rFonts w:eastAsia="Calibri"/>
              </w:rPr>
              <w:t xml:space="preserve"> property.</w:t>
            </w:r>
          </w:p>
        </w:tc>
      </w:tr>
      <w:tr w:rsidR="00B751DE"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eastAsia="Calibri"/>
              </w:rPr>
            </w:pPr>
            <w:r w:rsidRPr="00427EE1">
              <w:rPr>
                <w:rFonts w:eastAsia="Calibri"/>
              </w:rPr>
              <w:t>413</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78</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rsidP="006757E8">
            <w:pPr>
              <w:pStyle w:val="Tabletext"/>
              <w:rPr>
                <w:rFonts w:asciiTheme="majorHAnsi" w:eastAsia="Calibri" w:hAnsiTheme="majorHAnsi" w:cstheme="majorBidi"/>
                <w:b/>
                <w:sz w:val="40"/>
                <w:lang w:eastAsia="en-US"/>
              </w:rPr>
            </w:pPr>
            <w:r w:rsidRPr="00427EE1">
              <w:rPr>
                <w:rFonts w:eastAsia="Calibri"/>
                <w:b/>
                <w:lang w:eastAsia="en-US"/>
              </w:rPr>
              <w:t>Car parking</w:t>
            </w:r>
          </w:p>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Specifies car parking requirements</w:t>
            </w:r>
            <w:r w:rsidR="00451D07">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0F1317">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r</w:t>
            </w:r>
            <w:r w:rsidR="00B751DE" w:rsidRPr="00427EE1">
              <w:rPr>
                <w:rFonts w:eastAsia="Calibri"/>
              </w:rPr>
              <w:t xml:space="preserve">eflects </w:t>
            </w:r>
            <w:r w:rsidR="0023395A">
              <w:rPr>
                <w:rFonts w:eastAsia="Calibri"/>
              </w:rPr>
              <w:t xml:space="preserve">cl </w:t>
            </w:r>
            <w:r w:rsidR="00B751DE" w:rsidRPr="00427EE1">
              <w:rPr>
                <w:rFonts w:eastAsia="Calibri"/>
              </w:rPr>
              <w:t xml:space="preserve">52.06 of the </w:t>
            </w:r>
            <w:r w:rsidR="005E2285">
              <w:rPr>
                <w:rFonts w:eastAsia="Calibri"/>
              </w:rPr>
              <w:t>Victoria Planning Provisions</w:t>
            </w:r>
            <w:r w:rsidR="00B751DE" w:rsidRPr="00427EE1">
              <w:rPr>
                <w:rFonts w:eastAsia="Calibri"/>
              </w:rPr>
              <w:t xml:space="preserve">. </w:t>
            </w:r>
            <w:r w:rsidRPr="00427EE1">
              <w:rPr>
                <w:rFonts w:eastAsia="Calibri"/>
              </w:rPr>
              <w:t>It e</w:t>
            </w:r>
            <w:r w:rsidR="00B751DE" w:rsidRPr="00427EE1">
              <w:rPr>
                <w:rFonts w:eastAsia="Calibri"/>
              </w:rPr>
              <w:t xml:space="preserve">nsures </w:t>
            </w:r>
            <w:r w:rsidRPr="00427EE1">
              <w:rPr>
                <w:rFonts w:eastAsia="Calibri"/>
              </w:rPr>
              <w:t xml:space="preserve">that </w:t>
            </w:r>
            <w:r w:rsidR="00B751DE" w:rsidRPr="00427EE1">
              <w:rPr>
                <w:rFonts w:eastAsia="Calibri"/>
              </w:rPr>
              <w:t>new dwellings have adequate onsite car parking.</w:t>
            </w:r>
          </w:p>
        </w:tc>
      </w:tr>
      <w:tr w:rsidR="00B751DE"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eastAsia="Calibri"/>
              </w:rPr>
            </w:pPr>
            <w:r w:rsidRPr="00427EE1">
              <w:rPr>
                <w:rFonts w:eastAsia="Calibri"/>
              </w:rPr>
              <w:t>414</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eastAsia="Calibri"/>
                <w:lang w:eastAsia="en-US"/>
              </w:rPr>
            </w:pPr>
            <w:r w:rsidRPr="00427EE1">
              <w:rPr>
                <w:rFonts w:eastAsia="Calibri"/>
                <w:lang w:eastAsia="en-US"/>
              </w:rPr>
              <w:t>79</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rsidP="006757E8">
            <w:pPr>
              <w:pStyle w:val="Tabletext"/>
              <w:rPr>
                <w:rFonts w:asciiTheme="majorHAnsi" w:eastAsia="Calibri" w:hAnsiTheme="majorHAnsi" w:cstheme="majorBidi"/>
                <w:b/>
                <w:sz w:val="40"/>
                <w:lang w:eastAsia="en-US"/>
              </w:rPr>
            </w:pPr>
            <w:r w:rsidRPr="00427EE1">
              <w:rPr>
                <w:rFonts w:eastAsia="Calibri"/>
                <w:b/>
                <w:lang w:eastAsia="en-US"/>
              </w:rPr>
              <w:t>Side and rear setbacks</w:t>
            </w:r>
          </w:p>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Restricts the distance a building can be positioned in relation to the side and rear boundary</w:t>
            </w:r>
            <w:r w:rsidR="00451D07">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0F1317">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r</w:t>
            </w:r>
            <w:r w:rsidR="00B751DE" w:rsidRPr="00427EE1">
              <w:rPr>
                <w:rFonts w:eastAsia="Calibri"/>
              </w:rPr>
              <w:t>eflects Standard A10 (</w:t>
            </w:r>
            <w:r w:rsidR="0023395A">
              <w:rPr>
                <w:rFonts w:eastAsia="Calibri"/>
              </w:rPr>
              <w:t xml:space="preserve">cl </w:t>
            </w:r>
            <w:r w:rsidR="00B751DE" w:rsidRPr="00427EE1">
              <w:rPr>
                <w:rFonts w:eastAsia="Calibri"/>
              </w:rPr>
              <w:t xml:space="preserve">54.04-1 of the </w:t>
            </w:r>
            <w:r w:rsidR="005E2285">
              <w:rPr>
                <w:rFonts w:eastAsia="Calibri"/>
              </w:rPr>
              <w:t>Victoria Planning Provisions</w:t>
            </w:r>
            <w:r w:rsidR="00B751DE" w:rsidRPr="00427EE1">
              <w:rPr>
                <w:rFonts w:eastAsia="Calibri"/>
              </w:rPr>
              <w:t xml:space="preserve">). </w:t>
            </w:r>
            <w:r w:rsidRPr="00427EE1">
              <w:rPr>
                <w:rFonts w:eastAsia="Calibri"/>
              </w:rPr>
              <w:t>It e</w:t>
            </w:r>
            <w:r w:rsidR="00B751DE" w:rsidRPr="00427EE1">
              <w:rPr>
                <w:rFonts w:eastAsia="Calibri"/>
              </w:rPr>
              <w:t>nsures that there is adequate separation between buildings on adjoining properties</w:t>
            </w:r>
            <w:r w:rsidR="00393413" w:rsidRPr="00427EE1">
              <w:rPr>
                <w:rFonts w:eastAsia="Calibri"/>
              </w:rPr>
              <w:t xml:space="preserve"> and</w:t>
            </w:r>
            <w:r w:rsidR="00B751DE" w:rsidRPr="00427EE1">
              <w:rPr>
                <w:rFonts w:eastAsia="Calibri"/>
              </w:rPr>
              <w:t xml:space="preserve"> </w:t>
            </w:r>
            <w:r w:rsidR="00393413" w:rsidRPr="00427EE1">
              <w:rPr>
                <w:rFonts w:eastAsia="Calibri"/>
              </w:rPr>
              <w:t>i</w:t>
            </w:r>
            <w:r w:rsidR="00B751DE" w:rsidRPr="00427EE1">
              <w:rPr>
                <w:rFonts w:eastAsia="Calibri"/>
              </w:rPr>
              <w:t>ncludes eaves, fascia and gutters as allowable encroachments into the setback.</w:t>
            </w:r>
          </w:p>
        </w:tc>
      </w:tr>
      <w:tr w:rsidR="00B751DE"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eastAsia="Calibri"/>
              </w:rPr>
            </w:pPr>
            <w:r w:rsidRPr="00427EE1">
              <w:rPr>
                <w:rFonts w:eastAsia="Calibri"/>
              </w:rPr>
              <w:t>415</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80</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rsidP="006757E8">
            <w:pPr>
              <w:pStyle w:val="Tabletext"/>
              <w:rPr>
                <w:rFonts w:asciiTheme="majorHAnsi" w:eastAsia="Calibri" w:hAnsiTheme="majorHAnsi" w:cstheme="majorBidi"/>
                <w:b/>
                <w:sz w:val="40"/>
                <w:lang w:eastAsia="en-US"/>
              </w:rPr>
            </w:pPr>
            <w:r w:rsidRPr="00427EE1">
              <w:rPr>
                <w:rFonts w:eastAsia="Calibri"/>
                <w:b/>
                <w:lang w:eastAsia="en-US"/>
              </w:rPr>
              <w:t>Walls and carports on boundaries</w:t>
            </w:r>
          </w:p>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Restricts the height and length of walls or carports along the boundary</w:t>
            </w:r>
            <w:r w:rsidR="00451D07">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393413">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r</w:t>
            </w:r>
            <w:r w:rsidR="00B751DE" w:rsidRPr="00427EE1">
              <w:rPr>
                <w:rFonts w:eastAsia="Calibri"/>
              </w:rPr>
              <w:t>eflects Standard A11 (</w:t>
            </w:r>
            <w:r w:rsidR="0023395A">
              <w:rPr>
                <w:rFonts w:eastAsia="Calibri"/>
              </w:rPr>
              <w:t xml:space="preserve">cl </w:t>
            </w:r>
            <w:r w:rsidR="00B751DE" w:rsidRPr="00427EE1">
              <w:rPr>
                <w:rFonts w:eastAsia="Calibri"/>
              </w:rPr>
              <w:t>54.04-2</w:t>
            </w:r>
            <w:r w:rsidRPr="00427EE1">
              <w:rPr>
                <w:rFonts w:eastAsia="Calibri"/>
              </w:rPr>
              <w:t xml:space="preserve"> of the </w:t>
            </w:r>
            <w:r w:rsidR="005E2285">
              <w:rPr>
                <w:rFonts w:eastAsia="Calibri"/>
              </w:rPr>
              <w:t>Victoria Planning Provisions</w:t>
            </w:r>
            <w:r w:rsidR="00B751DE" w:rsidRPr="00427EE1">
              <w:rPr>
                <w:rFonts w:eastAsia="Calibri"/>
              </w:rPr>
              <w:t>)</w:t>
            </w:r>
            <w:r w:rsidRPr="00427EE1">
              <w:rPr>
                <w:rFonts w:eastAsia="Calibri"/>
              </w:rPr>
              <w:t xml:space="preserve"> and p</w:t>
            </w:r>
            <w:r w:rsidR="00B751DE" w:rsidRPr="00427EE1">
              <w:rPr>
                <w:rFonts w:eastAsia="Calibri"/>
              </w:rPr>
              <w:t xml:space="preserve">rotects the amenity of adjoining allotments. </w:t>
            </w:r>
          </w:p>
        </w:tc>
      </w:tr>
      <w:tr w:rsidR="00B751DE"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eastAsia="Calibri"/>
              </w:rPr>
            </w:pPr>
            <w:r w:rsidRPr="00427EE1">
              <w:rPr>
                <w:rFonts w:eastAsia="Calibri"/>
              </w:rPr>
              <w:lastRenderedPageBreak/>
              <w:t>416</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81</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rsidP="006757E8">
            <w:pPr>
              <w:pStyle w:val="Tabletext"/>
              <w:rPr>
                <w:rFonts w:asciiTheme="majorHAnsi" w:eastAsia="Calibri" w:hAnsiTheme="majorHAnsi" w:cstheme="majorBidi"/>
                <w:b/>
                <w:sz w:val="40"/>
                <w:lang w:eastAsia="en-US"/>
              </w:rPr>
            </w:pPr>
            <w:r w:rsidRPr="00427EE1">
              <w:rPr>
                <w:rFonts w:eastAsia="Calibri"/>
                <w:b/>
                <w:lang w:eastAsia="en-US"/>
              </w:rPr>
              <w:t>Daylight to existing habitable room windows</w:t>
            </w:r>
          </w:p>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Restricts how close a building can be positioned in relation to windows of an existing dwelling</w:t>
            </w:r>
            <w:r w:rsidR="00451D07">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393413">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r</w:t>
            </w:r>
            <w:r w:rsidR="00B751DE" w:rsidRPr="00427EE1">
              <w:rPr>
                <w:rFonts w:eastAsia="Calibri"/>
              </w:rPr>
              <w:t>eflects Standard A12 (</w:t>
            </w:r>
            <w:r w:rsidR="0023395A">
              <w:rPr>
                <w:rFonts w:eastAsia="Calibri"/>
              </w:rPr>
              <w:t xml:space="preserve">cl </w:t>
            </w:r>
            <w:r w:rsidR="00B751DE" w:rsidRPr="00427EE1">
              <w:rPr>
                <w:rFonts w:eastAsia="Calibri"/>
              </w:rPr>
              <w:t>54.04-3</w:t>
            </w:r>
            <w:r w:rsidRPr="00427EE1">
              <w:rPr>
                <w:rFonts w:eastAsia="Calibri"/>
              </w:rPr>
              <w:t xml:space="preserve"> of the </w:t>
            </w:r>
            <w:r w:rsidR="005E2285">
              <w:rPr>
                <w:rFonts w:eastAsia="Calibri"/>
              </w:rPr>
              <w:t>Victoria Planning Provisions</w:t>
            </w:r>
            <w:r w:rsidR="00B751DE" w:rsidRPr="00427EE1">
              <w:rPr>
                <w:rFonts w:eastAsia="Calibri"/>
              </w:rPr>
              <w:t>).</w:t>
            </w:r>
            <w:r w:rsidRPr="00427EE1">
              <w:rPr>
                <w:rFonts w:eastAsia="Calibri"/>
              </w:rPr>
              <w:t xml:space="preserve"> It e</w:t>
            </w:r>
            <w:r w:rsidR="00B751DE" w:rsidRPr="00427EE1">
              <w:rPr>
                <w:rFonts w:eastAsia="Calibri"/>
              </w:rPr>
              <w:t>nsures adequate daylight is provided to existing habitable room windows on adjoining allotments.</w:t>
            </w:r>
          </w:p>
        </w:tc>
      </w:tr>
      <w:tr w:rsidR="00B751DE"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eastAsia="Calibri"/>
              </w:rPr>
            </w:pPr>
            <w:r w:rsidRPr="00427EE1">
              <w:rPr>
                <w:rFonts w:eastAsia="Calibri"/>
              </w:rPr>
              <w:t>417</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82</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rsidP="006757E8">
            <w:pPr>
              <w:pStyle w:val="Tabletext"/>
              <w:rPr>
                <w:rFonts w:asciiTheme="majorHAnsi" w:eastAsia="Calibri" w:hAnsiTheme="majorHAnsi" w:cstheme="majorBidi"/>
                <w:b/>
                <w:sz w:val="40"/>
                <w:lang w:eastAsia="en-US"/>
              </w:rPr>
            </w:pPr>
            <w:r w:rsidRPr="00427EE1">
              <w:rPr>
                <w:rFonts w:eastAsia="Calibri"/>
                <w:b/>
                <w:lang w:eastAsia="en-US"/>
              </w:rPr>
              <w:t>Solar access to existing north-facing windows</w:t>
            </w:r>
          </w:p>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Restricts how close a building can be constructed in relation to an existing dwellings north-facing windows</w:t>
            </w:r>
            <w:r w:rsidR="00451D07">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393413">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r</w:t>
            </w:r>
            <w:r w:rsidR="00B751DE" w:rsidRPr="00427EE1">
              <w:rPr>
                <w:rFonts w:eastAsia="Calibri"/>
              </w:rPr>
              <w:t>eflects Standard A13 (</w:t>
            </w:r>
            <w:r w:rsidR="0023395A">
              <w:rPr>
                <w:rFonts w:eastAsia="Calibri"/>
              </w:rPr>
              <w:t xml:space="preserve">cl </w:t>
            </w:r>
            <w:r w:rsidR="00B751DE" w:rsidRPr="00427EE1">
              <w:rPr>
                <w:rFonts w:eastAsia="Calibri"/>
              </w:rPr>
              <w:t>54.04-4</w:t>
            </w:r>
            <w:r w:rsidRPr="00427EE1">
              <w:rPr>
                <w:rFonts w:eastAsia="Calibri"/>
              </w:rPr>
              <w:t xml:space="preserve"> of the </w:t>
            </w:r>
            <w:r w:rsidR="005E2285">
              <w:rPr>
                <w:rFonts w:eastAsia="Calibri"/>
              </w:rPr>
              <w:t>Victoria Planning Provisions</w:t>
            </w:r>
            <w:r w:rsidR="00B751DE" w:rsidRPr="00427EE1">
              <w:rPr>
                <w:rFonts w:eastAsia="Calibri"/>
              </w:rPr>
              <w:t xml:space="preserve">). </w:t>
            </w:r>
            <w:r w:rsidRPr="00427EE1">
              <w:rPr>
                <w:rFonts w:eastAsia="Calibri"/>
              </w:rPr>
              <w:t>It p</w:t>
            </w:r>
            <w:r w:rsidR="00B751DE" w:rsidRPr="00427EE1">
              <w:rPr>
                <w:rFonts w:eastAsia="Calibri"/>
              </w:rPr>
              <w:t xml:space="preserve">rotects the energy efficiency of existing dwellings which receive passive solar heating. Aspects of this </w:t>
            </w:r>
            <w:r w:rsidR="000273F9">
              <w:rPr>
                <w:rFonts w:eastAsia="Calibri"/>
              </w:rPr>
              <w:t>Regulation</w:t>
            </w:r>
            <w:r w:rsidR="00B751DE" w:rsidRPr="00427EE1">
              <w:rPr>
                <w:rFonts w:eastAsia="Calibri"/>
              </w:rPr>
              <w:t xml:space="preserve"> are transferred to a definiti</w:t>
            </w:r>
            <w:r w:rsidR="00B751DE" w:rsidRPr="00451D07">
              <w:rPr>
                <w:rFonts w:eastAsia="Calibri"/>
              </w:rPr>
              <w:t>on (</w:t>
            </w:r>
            <w:r w:rsidR="005E2285">
              <w:rPr>
                <w:rFonts w:eastAsia="Calibri"/>
              </w:rPr>
              <w:t>'</w:t>
            </w:r>
            <w:r w:rsidR="00B751DE" w:rsidRPr="006119D2">
              <w:rPr>
                <w:rFonts w:eastAsia="Calibri"/>
              </w:rPr>
              <w:t>north-facing windows</w:t>
            </w:r>
            <w:r w:rsidR="005E2285">
              <w:rPr>
                <w:rFonts w:eastAsia="Calibri"/>
              </w:rPr>
              <w:t>'</w:t>
            </w:r>
            <w:r w:rsidR="00B751DE" w:rsidRPr="00451D07">
              <w:rPr>
                <w:rFonts w:eastAsia="Calibri"/>
              </w:rPr>
              <w:t>)</w:t>
            </w:r>
            <w:r w:rsidR="00B751DE" w:rsidRPr="00427EE1">
              <w:rPr>
                <w:rFonts w:eastAsia="Calibri"/>
              </w:rPr>
              <w:t xml:space="preserve"> and does not apply to existing windows, which will be situated above the eaves of the proposed dwelling. </w:t>
            </w:r>
          </w:p>
        </w:tc>
      </w:tr>
      <w:tr w:rsidR="00B751DE"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eastAsia="Calibri"/>
              </w:rPr>
            </w:pPr>
            <w:r w:rsidRPr="00427EE1">
              <w:rPr>
                <w:rFonts w:eastAsia="Calibri"/>
              </w:rPr>
              <w:t>418</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83</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rsidP="006757E8">
            <w:pPr>
              <w:pStyle w:val="Tabletext"/>
              <w:rPr>
                <w:rFonts w:asciiTheme="majorHAnsi" w:eastAsia="Calibri" w:hAnsiTheme="majorHAnsi" w:cstheme="majorBidi"/>
                <w:b/>
                <w:sz w:val="40"/>
                <w:lang w:eastAsia="en-US"/>
              </w:rPr>
            </w:pPr>
            <w:r w:rsidRPr="00427EE1">
              <w:rPr>
                <w:rFonts w:eastAsia="Calibri"/>
                <w:b/>
                <w:lang w:eastAsia="en-US"/>
              </w:rPr>
              <w:t>Overshadowing of recreational private open space</w:t>
            </w:r>
          </w:p>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Restricts the construction of a building if it reduces sunlight to the outdoor space of an existing dwelling</w:t>
            </w:r>
            <w:r w:rsidR="00451D07">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993080">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r</w:t>
            </w:r>
            <w:r w:rsidR="00B751DE" w:rsidRPr="00427EE1">
              <w:rPr>
                <w:rFonts w:eastAsia="Calibri"/>
              </w:rPr>
              <w:t>eflects Standard A14 (</w:t>
            </w:r>
            <w:r w:rsidR="0023395A">
              <w:rPr>
                <w:rFonts w:eastAsia="Calibri"/>
              </w:rPr>
              <w:t xml:space="preserve">cl </w:t>
            </w:r>
            <w:r w:rsidR="00B751DE" w:rsidRPr="00427EE1">
              <w:rPr>
                <w:rFonts w:eastAsia="Calibri"/>
              </w:rPr>
              <w:t>54.04-5</w:t>
            </w:r>
            <w:r w:rsidRPr="00427EE1">
              <w:rPr>
                <w:rFonts w:eastAsia="Calibri"/>
              </w:rPr>
              <w:t xml:space="preserve"> of the </w:t>
            </w:r>
            <w:r w:rsidR="005E2285">
              <w:rPr>
                <w:rFonts w:eastAsia="Calibri"/>
              </w:rPr>
              <w:t>Victoria Planning Provisions</w:t>
            </w:r>
            <w:r w:rsidR="00B751DE" w:rsidRPr="00427EE1">
              <w:rPr>
                <w:rFonts w:eastAsia="Calibri"/>
              </w:rPr>
              <w:t>).</w:t>
            </w:r>
            <w:r w:rsidRPr="00427EE1">
              <w:rPr>
                <w:rFonts w:eastAsia="Calibri"/>
              </w:rPr>
              <w:t xml:space="preserve"> It</w:t>
            </w:r>
            <w:r w:rsidR="00B751DE" w:rsidRPr="00427EE1">
              <w:rPr>
                <w:rFonts w:eastAsia="Calibri"/>
              </w:rPr>
              <w:t xml:space="preserve"> </w:t>
            </w:r>
            <w:r w:rsidRPr="00427EE1">
              <w:rPr>
                <w:rFonts w:eastAsia="Calibri"/>
              </w:rPr>
              <w:t>p</w:t>
            </w:r>
            <w:r w:rsidR="00B751DE" w:rsidRPr="00427EE1">
              <w:rPr>
                <w:rFonts w:eastAsia="Calibri"/>
              </w:rPr>
              <w:t xml:space="preserve">rotects existing recreation private space of the adjoining property. Aspects of the </w:t>
            </w:r>
            <w:r w:rsidR="000273F9">
              <w:rPr>
                <w:rFonts w:eastAsia="Calibri"/>
              </w:rPr>
              <w:t>Regulation</w:t>
            </w:r>
            <w:r w:rsidR="00B751DE" w:rsidRPr="00427EE1">
              <w:rPr>
                <w:rFonts w:eastAsia="Calibri"/>
              </w:rPr>
              <w:t xml:space="preserve"> </w:t>
            </w:r>
            <w:r w:rsidRPr="00427EE1">
              <w:rPr>
                <w:rFonts w:eastAsia="Calibri"/>
              </w:rPr>
              <w:t>have been</w:t>
            </w:r>
            <w:r w:rsidR="00B751DE" w:rsidRPr="00427EE1">
              <w:rPr>
                <w:rFonts w:eastAsia="Calibri"/>
              </w:rPr>
              <w:t xml:space="preserve"> transferred to </w:t>
            </w:r>
            <w:r w:rsidRPr="00427EE1">
              <w:rPr>
                <w:rFonts w:eastAsia="Calibri"/>
              </w:rPr>
              <w:t xml:space="preserve">the </w:t>
            </w:r>
            <w:r w:rsidR="00B751DE" w:rsidRPr="00427EE1">
              <w:rPr>
                <w:rFonts w:eastAsia="Calibri"/>
              </w:rPr>
              <w:t xml:space="preserve">definition </w:t>
            </w:r>
            <w:r w:rsidRPr="00451D07">
              <w:rPr>
                <w:rFonts w:eastAsia="Calibri"/>
              </w:rPr>
              <w:t xml:space="preserve">of </w:t>
            </w:r>
            <w:r w:rsidR="005E2285">
              <w:rPr>
                <w:rFonts w:eastAsia="Calibri"/>
              </w:rPr>
              <w:t>'</w:t>
            </w:r>
            <w:r w:rsidR="00B751DE" w:rsidRPr="006119D2">
              <w:rPr>
                <w:rFonts w:eastAsia="Calibri"/>
              </w:rPr>
              <w:t>recreational private open space</w:t>
            </w:r>
            <w:r w:rsidR="005E2285">
              <w:rPr>
                <w:rFonts w:eastAsia="Calibri"/>
              </w:rPr>
              <w:t>'</w:t>
            </w:r>
            <w:r w:rsidRPr="00451D07">
              <w:rPr>
                <w:rFonts w:eastAsia="Calibri"/>
              </w:rPr>
              <w:t>.</w:t>
            </w:r>
          </w:p>
        </w:tc>
      </w:tr>
      <w:tr w:rsidR="00B751DE"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eastAsia="Calibri"/>
              </w:rPr>
            </w:pPr>
            <w:r w:rsidRPr="00427EE1">
              <w:rPr>
                <w:rFonts w:eastAsia="Calibri"/>
              </w:rPr>
              <w:t>419</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84</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rsidP="006757E8">
            <w:pPr>
              <w:pStyle w:val="Tabletext"/>
              <w:rPr>
                <w:rFonts w:asciiTheme="majorHAnsi" w:eastAsia="Calibri" w:hAnsiTheme="majorHAnsi" w:cstheme="majorBidi"/>
                <w:b/>
                <w:sz w:val="40"/>
                <w:lang w:eastAsia="en-US"/>
              </w:rPr>
            </w:pPr>
            <w:r w:rsidRPr="00427EE1">
              <w:rPr>
                <w:rFonts w:eastAsia="Calibri"/>
                <w:b/>
                <w:lang w:eastAsia="en-US"/>
              </w:rPr>
              <w:t>Overlooking</w:t>
            </w:r>
          </w:p>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Restricts the construction of a building if it reduces the privacy of an existing dwelling.</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993080">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r</w:t>
            </w:r>
            <w:r w:rsidR="00B751DE" w:rsidRPr="00427EE1">
              <w:rPr>
                <w:rFonts w:eastAsia="Calibri"/>
              </w:rPr>
              <w:t>eflects Standard A15 (</w:t>
            </w:r>
            <w:r w:rsidR="0023395A">
              <w:rPr>
                <w:rFonts w:eastAsia="Calibri"/>
              </w:rPr>
              <w:t xml:space="preserve">cl </w:t>
            </w:r>
            <w:r w:rsidR="00B751DE" w:rsidRPr="00427EE1">
              <w:rPr>
                <w:rFonts w:eastAsia="Calibri"/>
              </w:rPr>
              <w:t>54.04-6</w:t>
            </w:r>
            <w:r w:rsidRPr="00427EE1">
              <w:rPr>
                <w:rFonts w:eastAsia="Calibri"/>
              </w:rPr>
              <w:t xml:space="preserve"> of the </w:t>
            </w:r>
            <w:r w:rsidR="005E2285">
              <w:rPr>
                <w:rFonts w:eastAsia="Calibri"/>
              </w:rPr>
              <w:t>Victoria Planning Provisions</w:t>
            </w:r>
            <w:r w:rsidR="00B751DE" w:rsidRPr="00427EE1">
              <w:rPr>
                <w:rFonts w:eastAsia="Calibri"/>
              </w:rPr>
              <w:t>).</w:t>
            </w:r>
            <w:r w:rsidRPr="00427EE1">
              <w:rPr>
                <w:rFonts w:eastAsia="Calibri"/>
              </w:rPr>
              <w:t xml:space="preserve"> It</w:t>
            </w:r>
            <w:r w:rsidR="00B751DE" w:rsidRPr="00427EE1">
              <w:rPr>
                <w:rFonts w:eastAsia="Calibri"/>
              </w:rPr>
              <w:t xml:space="preserve"> </w:t>
            </w:r>
            <w:r w:rsidRPr="00427EE1">
              <w:rPr>
                <w:rFonts w:eastAsia="Calibri"/>
              </w:rPr>
              <w:t>p</w:t>
            </w:r>
            <w:r w:rsidR="00B751DE" w:rsidRPr="00427EE1">
              <w:rPr>
                <w:rFonts w:eastAsia="Calibri"/>
              </w:rPr>
              <w:t xml:space="preserve">rotects existing habitable rooms and secluded private open space from overlooking. </w:t>
            </w:r>
          </w:p>
        </w:tc>
      </w:tr>
      <w:tr w:rsidR="00B751DE"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eastAsia="Calibri"/>
              </w:rPr>
            </w:pPr>
            <w:r w:rsidRPr="00427EE1">
              <w:rPr>
                <w:rFonts w:eastAsia="Calibri"/>
              </w:rPr>
              <w:t>420</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85</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rsidP="006757E8">
            <w:pPr>
              <w:pStyle w:val="Tabletext"/>
              <w:rPr>
                <w:rFonts w:asciiTheme="majorHAnsi" w:eastAsia="Calibri" w:hAnsiTheme="majorHAnsi" w:cstheme="majorBidi"/>
                <w:b/>
                <w:sz w:val="40"/>
                <w:lang w:eastAsia="en-US"/>
              </w:rPr>
            </w:pPr>
            <w:r w:rsidRPr="00427EE1">
              <w:rPr>
                <w:rFonts w:eastAsia="Calibri"/>
                <w:b/>
                <w:lang w:eastAsia="en-US"/>
              </w:rPr>
              <w:t>Daylight to habitable room windows</w:t>
            </w:r>
          </w:p>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Specifies the minimum design requirements for habitable room windows</w:t>
            </w:r>
            <w:r w:rsidR="00451D07">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993080">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r</w:t>
            </w:r>
            <w:r w:rsidR="00B751DE" w:rsidRPr="00427EE1">
              <w:rPr>
                <w:rFonts w:eastAsia="Calibri"/>
              </w:rPr>
              <w:t>eflects Standard A16 (</w:t>
            </w:r>
            <w:r w:rsidR="0023395A">
              <w:rPr>
                <w:rFonts w:eastAsia="Calibri"/>
              </w:rPr>
              <w:t xml:space="preserve">cl </w:t>
            </w:r>
            <w:r w:rsidR="00B751DE" w:rsidRPr="00427EE1">
              <w:rPr>
                <w:rFonts w:eastAsia="Calibri"/>
              </w:rPr>
              <w:t>54.05-1</w:t>
            </w:r>
            <w:r w:rsidRPr="00427EE1">
              <w:rPr>
                <w:rFonts w:eastAsia="Calibri"/>
              </w:rPr>
              <w:t xml:space="preserve"> of the </w:t>
            </w:r>
            <w:r w:rsidR="005E2285">
              <w:rPr>
                <w:rFonts w:eastAsia="Calibri"/>
              </w:rPr>
              <w:t>Victoria Planning Provisions</w:t>
            </w:r>
            <w:r w:rsidR="00B751DE" w:rsidRPr="00427EE1">
              <w:rPr>
                <w:rFonts w:eastAsia="Calibri"/>
              </w:rPr>
              <w:t>).</w:t>
            </w:r>
            <w:r w:rsidRPr="00427EE1">
              <w:rPr>
                <w:rFonts w:eastAsia="Calibri"/>
              </w:rPr>
              <w:t xml:space="preserve"> It</w:t>
            </w:r>
            <w:r w:rsidR="00B751DE" w:rsidRPr="00427EE1">
              <w:rPr>
                <w:rFonts w:eastAsia="Calibri"/>
              </w:rPr>
              <w:t xml:space="preserve"> </w:t>
            </w:r>
            <w:r w:rsidRPr="00427EE1">
              <w:rPr>
                <w:rFonts w:eastAsia="Calibri"/>
              </w:rPr>
              <w:t>e</w:t>
            </w:r>
            <w:r w:rsidR="00B751DE" w:rsidRPr="00427EE1">
              <w:rPr>
                <w:rFonts w:eastAsia="Calibri"/>
              </w:rPr>
              <w:t>nsures that all windows of habitable rooms receive adequate light.</w:t>
            </w:r>
          </w:p>
        </w:tc>
      </w:tr>
      <w:tr w:rsidR="00B751DE"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eastAsia="Calibri"/>
              </w:rPr>
            </w:pPr>
            <w:r w:rsidRPr="00427EE1">
              <w:rPr>
                <w:rFonts w:eastAsia="Calibri"/>
              </w:rPr>
              <w:t>421</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86</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rsidP="006757E8">
            <w:pPr>
              <w:pStyle w:val="Tabletext"/>
              <w:rPr>
                <w:rFonts w:asciiTheme="majorHAnsi" w:eastAsia="Calibri" w:hAnsiTheme="majorHAnsi" w:cstheme="majorBidi"/>
                <w:b/>
                <w:sz w:val="40"/>
                <w:lang w:eastAsia="en-US"/>
              </w:rPr>
            </w:pPr>
            <w:r w:rsidRPr="00427EE1">
              <w:rPr>
                <w:rFonts w:eastAsia="Calibri"/>
                <w:b/>
                <w:lang w:eastAsia="en-US"/>
              </w:rPr>
              <w:t>Private open space</w:t>
            </w:r>
          </w:p>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Specifies the required area of private open space that is required on an allotment for residential dwellings</w:t>
            </w:r>
            <w:r w:rsidR="00451D07">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993080">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r</w:t>
            </w:r>
            <w:r w:rsidR="00B751DE" w:rsidRPr="00427EE1">
              <w:rPr>
                <w:rFonts w:eastAsia="Calibri"/>
              </w:rPr>
              <w:t>eflects Standard A17 (</w:t>
            </w:r>
            <w:r w:rsidR="0023395A">
              <w:rPr>
                <w:rFonts w:eastAsia="Calibri"/>
              </w:rPr>
              <w:t xml:space="preserve">cl </w:t>
            </w:r>
            <w:r w:rsidR="00B751DE" w:rsidRPr="00427EE1">
              <w:rPr>
                <w:rFonts w:eastAsia="Calibri"/>
              </w:rPr>
              <w:t>54.05-2</w:t>
            </w:r>
            <w:r w:rsidRPr="00427EE1">
              <w:rPr>
                <w:rFonts w:eastAsia="Calibri"/>
              </w:rPr>
              <w:t xml:space="preserve"> of the </w:t>
            </w:r>
            <w:r w:rsidR="005E2285">
              <w:rPr>
                <w:rFonts w:eastAsia="Calibri"/>
              </w:rPr>
              <w:t>Victoria Planning Provisions</w:t>
            </w:r>
            <w:r w:rsidR="00B751DE" w:rsidRPr="00427EE1">
              <w:rPr>
                <w:rFonts w:eastAsia="Calibri"/>
              </w:rPr>
              <w:t>).</w:t>
            </w:r>
            <w:r w:rsidRPr="00427EE1">
              <w:rPr>
                <w:rFonts w:eastAsia="Calibri"/>
              </w:rPr>
              <w:t xml:space="preserve"> It</w:t>
            </w:r>
            <w:r w:rsidR="00B751DE" w:rsidRPr="00427EE1">
              <w:rPr>
                <w:rFonts w:eastAsia="Calibri"/>
              </w:rPr>
              <w:t xml:space="preserve"> </w:t>
            </w:r>
            <w:r w:rsidRPr="00427EE1">
              <w:rPr>
                <w:rFonts w:eastAsia="Calibri"/>
              </w:rPr>
              <w:t>e</w:t>
            </w:r>
            <w:r w:rsidR="00B751DE" w:rsidRPr="00427EE1">
              <w:rPr>
                <w:rFonts w:eastAsia="Calibri"/>
              </w:rPr>
              <w:t>nsures that residents have access to adequate private open space for their reasonable recreation and service needs.</w:t>
            </w:r>
          </w:p>
        </w:tc>
      </w:tr>
    </w:tbl>
    <w:p w:rsidR="005F38AC" w:rsidRDefault="005F38AC" w:rsidP="006757E8"/>
    <w:p w:rsidR="00B751DE" w:rsidRPr="00427EE1" w:rsidRDefault="00EF2008" w:rsidP="006119D2">
      <w:pPr>
        <w:pStyle w:val="Heading4"/>
      </w:pPr>
      <w:proofErr w:type="spellStart"/>
      <w:r>
        <w:lastRenderedPageBreak/>
        <w:t>Div</w:t>
      </w:r>
      <w:proofErr w:type="spellEnd"/>
      <w:r w:rsidR="006E6791" w:rsidRPr="00427EE1">
        <w:t xml:space="preserve"> </w:t>
      </w:r>
      <w:r w:rsidR="00B751DE" w:rsidRPr="00427EE1">
        <w:t>3</w:t>
      </w:r>
      <w:r w:rsidR="008475D9">
        <w:t>—</w:t>
      </w:r>
      <w:r w:rsidR="00B751DE" w:rsidRPr="00427EE1">
        <w:t>Siting of Class 10a buildings</w:t>
      </w:r>
    </w:p>
    <w:tbl>
      <w:tblPr>
        <w:tblW w:w="14465" w:type="dxa"/>
        <w:tblInd w:w="-88"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52"/>
        <w:gridCol w:w="945"/>
        <w:gridCol w:w="4243"/>
        <w:gridCol w:w="399"/>
        <w:gridCol w:w="399"/>
        <w:gridCol w:w="402"/>
        <w:gridCol w:w="400"/>
        <w:gridCol w:w="398"/>
        <w:gridCol w:w="6327"/>
      </w:tblGrid>
      <w:tr w:rsidR="00451D07" w:rsidRPr="00427EE1" w:rsidTr="006119D2">
        <w:trPr>
          <w:cantSplit/>
          <w:trHeight w:val="152"/>
          <w:tblHeader/>
        </w:trPr>
        <w:tc>
          <w:tcPr>
            <w:tcW w:w="952" w:type="dxa"/>
            <w:vMerge w:val="restart"/>
            <w:shd w:val="clear" w:color="auto" w:fill="00B2A9" w:themeFill="accent1"/>
            <w:vAlign w:val="center"/>
            <w:hideMark/>
          </w:tcPr>
          <w:p w:rsidR="00451D07" w:rsidRDefault="00451D07">
            <w:pPr>
              <w:pStyle w:val="Tablecolumnhead"/>
              <w:rPr>
                <w:rFonts w:asciiTheme="majorHAnsi" w:eastAsia="Calibri" w:hAnsiTheme="majorHAnsi" w:cstheme="majorBidi"/>
                <w:sz w:val="40"/>
              </w:rPr>
            </w:pPr>
            <w:r w:rsidRPr="00BE72D7">
              <w:rPr>
                <w:rFonts w:eastAsia="Calibri"/>
              </w:rPr>
              <w:t>2006</w:t>
            </w:r>
          </w:p>
          <w:p w:rsidR="00451D07" w:rsidRDefault="00451D07">
            <w:pPr>
              <w:pStyle w:val="Tablecolumnhead"/>
              <w:rPr>
                <w:rFonts w:asciiTheme="majorHAnsi" w:eastAsia="Calibri" w:hAnsiTheme="majorHAnsi" w:cstheme="majorBidi"/>
                <w:sz w:val="40"/>
              </w:rPr>
            </w:pPr>
            <w:r w:rsidRPr="00C44680">
              <w:rPr>
                <w:rFonts w:ascii="Arial Bold" w:eastAsia="Calibri" w:hAnsi="Arial Bold"/>
                <w:spacing w:val="-12"/>
                <w:sz w:val="16"/>
              </w:rPr>
              <w:t>Regulation</w:t>
            </w:r>
          </w:p>
        </w:tc>
        <w:tc>
          <w:tcPr>
            <w:tcW w:w="945" w:type="dxa"/>
            <w:vMerge w:val="restart"/>
            <w:shd w:val="clear" w:color="auto" w:fill="00B2A9" w:themeFill="accent1"/>
            <w:vAlign w:val="center"/>
            <w:hideMark/>
          </w:tcPr>
          <w:p w:rsidR="00451D07" w:rsidRDefault="00451D07">
            <w:pPr>
              <w:pStyle w:val="Tablecolumnhead"/>
              <w:rPr>
                <w:rFonts w:asciiTheme="majorHAnsi" w:eastAsiaTheme="majorEastAsia" w:hAnsiTheme="majorHAnsi" w:cstheme="majorBidi"/>
                <w:sz w:val="40"/>
              </w:rPr>
            </w:pPr>
            <w:r w:rsidRPr="008F0E53">
              <w:rPr>
                <w:rFonts w:eastAsia="Calibri"/>
              </w:rPr>
              <w:t>2017</w:t>
            </w:r>
          </w:p>
          <w:p w:rsidR="00451D07" w:rsidRDefault="00451D07">
            <w:pPr>
              <w:pStyle w:val="Tablecolumnhead"/>
              <w:rPr>
                <w:rFonts w:asciiTheme="majorHAnsi" w:eastAsiaTheme="majorEastAsia" w:hAnsiTheme="majorHAnsi" w:cstheme="majorBidi"/>
                <w:sz w:val="40"/>
              </w:rPr>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451D07" w:rsidRDefault="00451D07">
            <w:pPr>
              <w:pStyle w:val="Tablecolumnhead"/>
              <w:rPr>
                <w:rFonts w:asciiTheme="majorHAnsi" w:eastAsia="Calibri" w:hAnsiTheme="majorHAnsi" w:cstheme="majorBidi"/>
                <w:sz w:val="40"/>
              </w:rPr>
            </w:pPr>
            <w:r w:rsidRPr="008F0E53">
              <w:t xml:space="preserve">Short description of the </w:t>
            </w:r>
            <w:r>
              <w:t>Regulation</w:t>
            </w:r>
          </w:p>
        </w:tc>
        <w:tc>
          <w:tcPr>
            <w:tcW w:w="1998" w:type="dxa"/>
            <w:gridSpan w:val="5"/>
            <w:shd w:val="clear" w:color="auto" w:fill="00B2A9" w:themeFill="accent1"/>
            <w:vAlign w:val="center"/>
          </w:tcPr>
          <w:p w:rsidR="00451D07" w:rsidRDefault="00451D07">
            <w:pPr>
              <w:pStyle w:val="Tablecolumnhead"/>
              <w:rPr>
                <w:rFonts w:asciiTheme="majorHAnsi" w:eastAsiaTheme="majorEastAsia" w:hAnsiTheme="majorHAnsi" w:cstheme="majorBidi"/>
                <w:sz w:val="40"/>
              </w:rPr>
            </w:pPr>
            <w:r w:rsidRPr="004F24D9">
              <w:t>Proposed regulatory change</w:t>
            </w:r>
          </w:p>
        </w:tc>
        <w:tc>
          <w:tcPr>
            <w:tcW w:w="6327" w:type="dxa"/>
            <w:vMerge w:val="restart"/>
            <w:shd w:val="clear" w:color="auto" w:fill="00B2A9" w:themeFill="accent1"/>
            <w:vAlign w:val="center"/>
          </w:tcPr>
          <w:p w:rsidR="00451D07" w:rsidRDefault="00451D07">
            <w:pPr>
              <w:pStyle w:val="Tablecolumnhead"/>
              <w:rPr>
                <w:rFonts w:asciiTheme="majorHAnsi" w:eastAsiaTheme="majorEastAsia" w:hAnsiTheme="majorHAnsi" w:cstheme="majorBidi"/>
                <w:sz w:val="40"/>
              </w:rPr>
            </w:pPr>
            <w:r w:rsidRPr="00354570">
              <w:t>Why the 2017 Regulation is proposed</w:t>
            </w:r>
          </w:p>
        </w:tc>
      </w:tr>
      <w:tr w:rsidR="00B751DE" w:rsidRPr="00427EE1" w:rsidTr="006119D2">
        <w:trPr>
          <w:cantSplit/>
          <w:trHeight w:val="966"/>
          <w:tblHeader/>
        </w:trPr>
        <w:tc>
          <w:tcPr>
            <w:tcW w:w="952"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945"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B751DE" w:rsidRPr="00427EE1" w:rsidTr="006119D2">
        <w:trPr>
          <w:cantSplit/>
          <w:trHeight w:val="340"/>
        </w:trPr>
        <w:tc>
          <w:tcPr>
            <w:tcW w:w="95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eastAsia="Calibri"/>
              </w:rPr>
            </w:pPr>
            <w:r w:rsidRPr="00427EE1">
              <w:rPr>
                <w:rFonts w:eastAsia="Calibri"/>
              </w:rPr>
              <w:t>422</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87</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rsidP="006757E8">
            <w:pPr>
              <w:pStyle w:val="Tabletext"/>
              <w:rPr>
                <w:rFonts w:asciiTheme="majorHAnsi" w:eastAsia="Calibri" w:hAnsiTheme="majorHAnsi" w:cstheme="majorBidi"/>
                <w:b/>
                <w:sz w:val="40"/>
                <w:lang w:eastAsia="en-US"/>
              </w:rPr>
            </w:pPr>
            <w:r w:rsidRPr="00427EE1">
              <w:rPr>
                <w:rFonts w:eastAsia="Calibri"/>
                <w:b/>
                <w:lang w:eastAsia="en-US"/>
              </w:rPr>
              <w:t>Sitting of Class 10a buildings</w:t>
            </w:r>
          </w:p>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Prevents sheds and the like from being constructed on an allotment, unless it is appurtenant to another building on the same allotment.</w:t>
            </w:r>
            <w:r w:rsidR="00D71A15" w:rsidRPr="00427EE1">
              <w:rPr>
                <w:rFonts w:eastAsia="Calibri"/>
                <w:lang w:eastAsia="en-US"/>
              </w:rPr>
              <w:t xml:space="preserve">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993080" w:rsidP="00CE14B6">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e</w:t>
            </w:r>
            <w:r w:rsidR="00B751DE" w:rsidRPr="00427EE1">
              <w:rPr>
                <w:rFonts w:eastAsia="Calibri"/>
              </w:rPr>
              <w:t xml:space="preserve">nsures that </w:t>
            </w:r>
            <w:proofErr w:type="spellStart"/>
            <w:r w:rsidR="00B751DE" w:rsidRPr="00427EE1">
              <w:rPr>
                <w:rFonts w:eastAsia="Calibri"/>
              </w:rPr>
              <w:t>nonhabitable</w:t>
            </w:r>
            <w:proofErr w:type="spellEnd"/>
            <w:r w:rsidR="00B751DE" w:rsidRPr="00427EE1">
              <w:rPr>
                <w:rFonts w:eastAsia="Calibri"/>
              </w:rPr>
              <w:t xml:space="preserve"> buildings do not have a negative amenity impact on neighbouring properties. A Class 10a building</w:t>
            </w:r>
            <w:r w:rsidRPr="00427EE1">
              <w:rPr>
                <w:rFonts w:eastAsia="Calibri"/>
              </w:rPr>
              <w:t xml:space="preserve"> </w:t>
            </w:r>
            <w:r w:rsidR="00B751DE" w:rsidRPr="00427EE1">
              <w:rPr>
                <w:rFonts w:eastAsia="Calibri"/>
              </w:rPr>
              <w:t>(with a floor area less than 10</w:t>
            </w:r>
            <w:r w:rsidR="00296466">
              <w:rPr>
                <w:rFonts w:eastAsia="Calibri"/>
              </w:rPr>
              <w:t> m</w:t>
            </w:r>
            <w:r w:rsidR="00B751DE" w:rsidRPr="00427EE1">
              <w:rPr>
                <w:rFonts w:eastAsia="Calibri"/>
              </w:rPr>
              <w:t>²) to be constructed on an otherwise vacant allotment</w:t>
            </w:r>
            <w:r w:rsidRPr="00427EE1">
              <w:rPr>
                <w:rFonts w:eastAsia="Calibri"/>
              </w:rPr>
              <w:t xml:space="preserve"> </w:t>
            </w:r>
            <w:r w:rsidR="00B751DE" w:rsidRPr="00427EE1">
              <w:rPr>
                <w:rFonts w:eastAsia="Calibri"/>
              </w:rPr>
              <w:t xml:space="preserve">is consistent with an existing exemption in proposed </w:t>
            </w:r>
            <w:proofErr w:type="spellStart"/>
            <w:r w:rsidR="00995450">
              <w:rPr>
                <w:rFonts w:eastAsia="Calibri"/>
              </w:rPr>
              <w:t>sch</w:t>
            </w:r>
            <w:proofErr w:type="spellEnd"/>
            <w:r w:rsidR="00995450">
              <w:rPr>
                <w:rFonts w:eastAsia="Calibri"/>
              </w:rPr>
              <w:t xml:space="preserve"> </w:t>
            </w:r>
            <w:r w:rsidR="00CE14B6">
              <w:rPr>
                <w:rFonts w:eastAsia="Calibri"/>
              </w:rPr>
              <w:t>4</w:t>
            </w:r>
            <w:r w:rsidR="00B751DE" w:rsidRPr="00427EE1">
              <w:rPr>
                <w:rFonts w:eastAsia="Calibri"/>
              </w:rPr>
              <w:t xml:space="preserve"> (see item 1). </w:t>
            </w:r>
          </w:p>
        </w:tc>
      </w:tr>
    </w:tbl>
    <w:p w:rsidR="005F38AC" w:rsidRDefault="005F38AC" w:rsidP="006757E8"/>
    <w:p w:rsidR="00B751DE" w:rsidRPr="00427EE1" w:rsidRDefault="00EF2008" w:rsidP="006119D2">
      <w:pPr>
        <w:pStyle w:val="Heading4"/>
      </w:pPr>
      <w:proofErr w:type="spellStart"/>
      <w:r>
        <w:t>Div</w:t>
      </w:r>
      <w:proofErr w:type="spellEnd"/>
      <w:r w:rsidR="006E6791" w:rsidRPr="00427EE1">
        <w:t xml:space="preserve"> </w:t>
      </w:r>
      <w:r w:rsidR="00B751DE" w:rsidRPr="00427EE1">
        <w:t>4</w:t>
      </w:r>
      <w:r w:rsidR="008475D9">
        <w:t>—</w:t>
      </w:r>
      <w:r w:rsidR="00B751DE" w:rsidRPr="00427EE1">
        <w:t>Class 10b structures</w:t>
      </w:r>
    </w:p>
    <w:tbl>
      <w:tblPr>
        <w:tblW w:w="14479" w:type="dxa"/>
        <w:tblInd w:w="-102"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66"/>
        <w:gridCol w:w="945"/>
        <w:gridCol w:w="4243"/>
        <w:gridCol w:w="399"/>
        <w:gridCol w:w="399"/>
        <w:gridCol w:w="402"/>
        <w:gridCol w:w="400"/>
        <w:gridCol w:w="398"/>
        <w:gridCol w:w="6327"/>
      </w:tblGrid>
      <w:tr w:rsidR="00451D07" w:rsidRPr="00427EE1" w:rsidTr="006119D2">
        <w:trPr>
          <w:cantSplit/>
          <w:trHeight w:val="178"/>
          <w:tblHeader/>
        </w:trPr>
        <w:tc>
          <w:tcPr>
            <w:tcW w:w="966" w:type="dxa"/>
            <w:vMerge w:val="restart"/>
            <w:shd w:val="clear" w:color="auto" w:fill="00B2A9" w:themeFill="accent1"/>
            <w:vAlign w:val="center"/>
            <w:hideMark/>
          </w:tcPr>
          <w:p w:rsidR="00451D07" w:rsidRDefault="00451D07">
            <w:pPr>
              <w:pStyle w:val="Tablecolumnhead"/>
              <w:rPr>
                <w:rFonts w:asciiTheme="majorHAnsi" w:eastAsia="Calibri" w:hAnsiTheme="majorHAnsi" w:cstheme="majorBidi"/>
                <w:sz w:val="40"/>
              </w:rPr>
            </w:pPr>
            <w:r w:rsidRPr="00BE72D7">
              <w:rPr>
                <w:rFonts w:eastAsia="Calibri"/>
              </w:rPr>
              <w:t>2006</w:t>
            </w:r>
          </w:p>
          <w:p w:rsidR="00451D07" w:rsidRDefault="00451D07">
            <w:pPr>
              <w:pStyle w:val="Tablecolumnhead"/>
              <w:rPr>
                <w:rFonts w:asciiTheme="majorHAnsi" w:eastAsia="Calibri" w:hAnsiTheme="majorHAnsi" w:cstheme="majorBidi"/>
                <w:sz w:val="40"/>
              </w:rPr>
            </w:pPr>
            <w:r w:rsidRPr="00C44680">
              <w:rPr>
                <w:rFonts w:ascii="Arial Bold" w:eastAsia="Calibri" w:hAnsi="Arial Bold"/>
                <w:spacing w:val="-12"/>
                <w:sz w:val="16"/>
              </w:rPr>
              <w:t>Regulation</w:t>
            </w:r>
          </w:p>
        </w:tc>
        <w:tc>
          <w:tcPr>
            <w:tcW w:w="945" w:type="dxa"/>
            <w:vMerge w:val="restart"/>
            <w:shd w:val="clear" w:color="auto" w:fill="00B2A9" w:themeFill="accent1"/>
            <w:vAlign w:val="center"/>
            <w:hideMark/>
          </w:tcPr>
          <w:p w:rsidR="00451D07" w:rsidRDefault="00451D07">
            <w:pPr>
              <w:pStyle w:val="Tablecolumnhead"/>
              <w:rPr>
                <w:rFonts w:asciiTheme="majorHAnsi" w:eastAsiaTheme="majorEastAsia" w:hAnsiTheme="majorHAnsi" w:cstheme="majorBidi"/>
                <w:sz w:val="40"/>
              </w:rPr>
            </w:pPr>
            <w:r w:rsidRPr="008F0E53">
              <w:rPr>
                <w:rFonts w:eastAsia="Calibri"/>
              </w:rPr>
              <w:t>2017</w:t>
            </w:r>
          </w:p>
          <w:p w:rsidR="00451D07" w:rsidRDefault="00451D07">
            <w:pPr>
              <w:pStyle w:val="Tablecolumnhead"/>
              <w:rPr>
                <w:rFonts w:asciiTheme="majorHAnsi" w:eastAsiaTheme="majorEastAsia" w:hAnsiTheme="majorHAnsi" w:cstheme="majorBidi"/>
                <w:sz w:val="40"/>
              </w:rPr>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451D07" w:rsidRDefault="00451D07">
            <w:pPr>
              <w:pStyle w:val="Tablecolumnhead"/>
              <w:rPr>
                <w:rFonts w:asciiTheme="majorHAnsi" w:eastAsia="Calibri" w:hAnsiTheme="majorHAnsi" w:cstheme="majorBidi"/>
                <w:sz w:val="40"/>
              </w:rPr>
            </w:pPr>
            <w:r w:rsidRPr="008F0E53">
              <w:t xml:space="preserve">Short description of the </w:t>
            </w:r>
            <w:r>
              <w:t>Regulation</w:t>
            </w:r>
          </w:p>
        </w:tc>
        <w:tc>
          <w:tcPr>
            <w:tcW w:w="1998" w:type="dxa"/>
            <w:gridSpan w:val="5"/>
            <w:shd w:val="clear" w:color="auto" w:fill="00B2A9" w:themeFill="accent1"/>
            <w:vAlign w:val="center"/>
          </w:tcPr>
          <w:p w:rsidR="00451D07" w:rsidRDefault="00451D07">
            <w:pPr>
              <w:pStyle w:val="Tablecolumnhead"/>
              <w:rPr>
                <w:rFonts w:asciiTheme="majorHAnsi" w:eastAsiaTheme="majorEastAsia" w:hAnsiTheme="majorHAnsi" w:cstheme="majorBidi"/>
                <w:sz w:val="40"/>
              </w:rPr>
            </w:pPr>
            <w:r w:rsidRPr="008F0E53">
              <w:t>Proposed regulatory change</w:t>
            </w:r>
          </w:p>
        </w:tc>
        <w:tc>
          <w:tcPr>
            <w:tcW w:w="6327" w:type="dxa"/>
            <w:vMerge w:val="restart"/>
            <w:shd w:val="clear" w:color="auto" w:fill="00B2A9" w:themeFill="accent1"/>
            <w:vAlign w:val="center"/>
          </w:tcPr>
          <w:p w:rsidR="00451D07" w:rsidRDefault="00451D07">
            <w:pPr>
              <w:pStyle w:val="Tablecolumnhead"/>
              <w:rPr>
                <w:rFonts w:asciiTheme="majorHAnsi" w:eastAsiaTheme="majorEastAsia" w:hAnsiTheme="majorHAnsi" w:cstheme="majorBidi"/>
                <w:sz w:val="40"/>
              </w:rPr>
            </w:pPr>
            <w:r w:rsidRPr="00873DF8">
              <w:t>Why the 2017 Regulation is proposed</w:t>
            </w:r>
          </w:p>
        </w:tc>
      </w:tr>
      <w:tr w:rsidR="00B751DE" w:rsidRPr="00427EE1" w:rsidTr="006119D2">
        <w:trPr>
          <w:cantSplit/>
          <w:trHeight w:val="966"/>
          <w:tblHeader/>
        </w:trPr>
        <w:tc>
          <w:tcPr>
            <w:tcW w:w="966"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945"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B751DE"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eastAsia="Calibri"/>
              </w:rPr>
            </w:pPr>
            <w:r w:rsidRPr="00427EE1">
              <w:rPr>
                <w:rFonts w:eastAsia="Calibri"/>
              </w:rPr>
              <w:t>423</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88</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rsidP="006757E8">
            <w:pPr>
              <w:pStyle w:val="Tabletext"/>
              <w:rPr>
                <w:rFonts w:asciiTheme="majorHAnsi" w:eastAsia="Calibri" w:hAnsiTheme="majorHAnsi" w:cstheme="majorBidi"/>
                <w:b/>
                <w:sz w:val="40"/>
                <w:lang w:eastAsia="en-US"/>
              </w:rPr>
            </w:pPr>
            <w:r w:rsidRPr="00427EE1">
              <w:rPr>
                <w:rFonts w:eastAsia="Calibri"/>
                <w:b/>
                <w:lang w:eastAsia="en-US"/>
              </w:rPr>
              <w:t xml:space="preserve">Application of </w:t>
            </w:r>
            <w:r w:rsidR="00EF2008">
              <w:rPr>
                <w:rFonts w:eastAsia="Calibri"/>
                <w:b/>
                <w:lang w:eastAsia="en-US"/>
              </w:rPr>
              <w:t>d</w:t>
            </w:r>
            <w:r w:rsidRPr="00427EE1">
              <w:rPr>
                <w:rFonts w:eastAsia="Calibri"/>
                <w:b/>
                <w:lang w:eastAsia="en-US"/>
              </w:rPr>
              <w:t>ivision</w:t>
            </w:r>
          </w:p>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 xml:space="preserve">Requires fences and other Class 10b structures to comply with </w:t>
            </w:r>
            <w:proofErr w:type="spellStart"/>
            <w:r w:rsidR="003902AD">
              <w:rPr>
                <w:rFonts w:eastAsia="Calibri"/>
                <w:lang w:eastAsia="en-US"/>
              </w:rPr>
              <w:t>regs</w:t>
            </w:r>
            <w:proofErr w:type="spellEnd"/>
            <w:r w:rsidRPr="00427EE1">
              <w:rPr>
                <w:rFonts w:eastAsia="Calibri"/>
                <w:lang w:eastAsia="en-US"/>
              </w:rPr>
              <w:t xml:space="preserve"> 424–431</w:t>
            </w:r>
            <w:r w:rsidR="00451D07">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993080">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w:t>
            </w:r>
            <w:r w:rsidR="00B751DE" w:rsidRPr="00427EE1">
              <w:rPr>
                <w:rFonts w:eastAsia="Calibri"/>
              </w:rPr>
              <w:t>specif</w:t>
            </w:r>
            <w:r w:rsidRPr="00427EE1">
              <w:rPr>
                <w:rFonts w:eastAsia="Calibri"/>
              </w:rPr>
              <w:t>ies</w:t>
            </w:r>
            <w:r w:rsidR="00B751DE" w:rsidRPr="00427EE1">
              <w:rPr>
                <w:rFonts w:eastAsia="Calibri"/>
              </w:rPr>
              <w:t xml:space="preserve"> the types of structures that must comply with these requirements. </w:t>
            </w:r>
            <w:r w:rsidRPr="00427EE1">
              <w:rPr>
                <w:rFonts w:eastAsia="Calibri"/>
              </w:rPr>
              <w:t>It e</w:t>
            </w:r>
            <w:r w:rsidR="00B751DE" w:rsidRPr="00427EE1">
              <w:rPr>
                <w:rFonts w:eastAsia="Calibri"/>
              </w:rPr>
              <w:t xml:space="preserve">nsures </w:t>
            </w:r>
            <w:proofErr w:type="spellStart"/>
            <w:r w:rsidR="00B751DE" w:rsidRPr="00427EE1">
              <w:rPr>
                <w:rFonts w:eastAsia="Calibri"/>
              </w:rPr>
              <w:t>nonhabitable</w:t>
            </w:r>
            <w:proofErr w:type="spellEnd"/>
            <w:r w:rsidR="00B751DE" w:rsidRPr="00427EE1">
              <w:rPr>
                <w:rFonts w:eastAsia="Calibri"/>
              </w:rPr>
              <w:t xml:space="preserve"> structures do not have adverse siting and amenity impacts.</w:t>
            </w:r>
          </w:p>
        </w:tc>
      </w:tr>
      <w:tr w:rsidR="00B751DE"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eastAsia="Calibri"/>
              </w:rPr>
            </w:pPr>
            <w:r w:rsidRPr="00427EE1">
              <w:rPr>
                <w:rFonts w:eastAsia="Calibri"/>
              </w:rPr>
              <w:t>424</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89</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rsidP="006757E8">
            <w:pPr>
              <w:pStyle w:val="Tabletext"/>
              <w:rPr>
                <w:rFonts w:asciiTheme="majorHAnsi" w:eastAsia="Calibri" w:hAnsiTheme="majorHAnsi" w:cstheme="majorBidi"/>
                <w:b/>
                <w:sz w:val="40"/>
                <w:lang w:eastAsia="en-US"/>
              </w:rPr>
            </w:pPr>
            <w:r w:rsidRPr="00427EE1">
              <w:rPr>
                <w:rFonts w:eastAsia="Calibri"/>
                <w:b/>
                <w:lang w:eastAsia="en-US"/>
              </w:rPr>
              <w:t>Front fence height</w:t>
            </w:r>
          </w:p>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Restricts how high a fence can be that within 3</w:t>
            </w:r>
            <w:r w:rsidR="00296466">
              <w:rPr>
                <w:rFonts w:eastAsia="Calibri"/>
                <w:lang w:eastAsia="en-US"/>
              </w:rPr>
              <w:t> m</w:t>
            </w:r>
            <w:r w:rsidRPr="00427EE1">
              <w:rPr>
                <w:rFonts w:eastAsia="Calibri"/>
                <w:lang w:eastAsia="en-US"/>
              </w:rPr>
              <w:t xml:space="preserve"> of the street alignment</w:t>
            </w:r>
            <w:r w:rsidR="00451D07">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993080">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r</w:t>
            </w:r>
            <w:r w:rsidR="00B751DE" w:rsidRPr="00427EE1">
              <w:rPr>
                <w:rFonts w:eastAsia="Calibri"/>
              </w:rPr>
              <w:t>eflects Standard A20 (</w:t>
            </w:r>
            <w:r w:rsidR="0023395A">
              <w:rPr>
                <w:rFonts w:eastAsia="Calibri"/>
              </w:rPr>
              <w:t xml:space="preserve">cl </w:t>
            </w:r>
            <w:r w:rsidR="00B751DE" w:rsidRPr="00427EE1">
              <w:rPr>
                <w:rFonts w:eastAsia="Calibri"/>
              </w:rPr>
              <w:t>54.06-2</w:t>
            </w:r>
            <w:r w:rsidRPr="00427EE1">
              <w:rPr>
                <w:rFonts w:eastAsia="Calibri"/>
              </w:rPr>
              <w:t xml:space="preserve"> of the </w:t>
            </w:r>
            <w:r w:rsidR="005E2285">
              <w:rPr>
                <w:rFonts w:eastAsia="Calibri"/>
              </w:rPr>
              <w:t>Victoria Planning Provisions</w:t>
            </w:r>
            <w:r w:rsidR="00B751DE" w:rsidRPr="00427EE1">
              <w:rPr>
                <w:rFonts w:eastAsia="Calibri"/>
              </w:rPr>
              <w:t>).</w:t>
            </w:r>
            <w:r w:rsidRPr="00427EE1">
              <w:rPr>
                <w:rFonts w:eastAsia="Calibri"/>
              </w:rPr>
              <w:t xml:space="preserve"> It</w:t>
            </w:r>
            <w:r w:rsidR="00B751DE" w:rsidRPr="00427EE1">
              <w:rPr>
                <w:rFonts w:eastAsia="Calibri"/>
              </w:rPr>
              <w:t xml:space="preserve"> </w:t>
            </w:r>
            <w:r w:rsidRPr="00427EE1">
              <w:rPr>
                <w:rFonts w:eastAsia="Calibri"/>
              </w:rPr>
              <w:t>e</w:t>
            </w:r>
            <w:r w:rsidR="00B751DE" w:rsidRPr="00427EE1">
              <w:rPr>
                <w:rFonts w:eastAsia="Calibri"/>
              </w:rPr>
              <w:t>ncourages design detail that reflects the existing or preferred neighbourhood character.</w:t>
            </w:r>
          </w:p>
        </w:tc>
      </w:tr>
      <w:tr w:rsidR="00B751DE"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eastAsia="Calibri"/>
              </w:rPr>
            </w:pPr>
            <w:r w:rsidRPr="00427EE1">
              <w:rPr>
                <w:rFonts w:eastAsia="Calibri"/>
              </w:rPr>
              <w:t>425</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90</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rsidP="006757E8">
            <w:pPr>
              <w:pStyle w:val="Tabletext"/>
              <w:rPr>
                <w:rFonts w:asciiTheme="majorHAnsi" w:eastAsia="Calibri" w:hAnsiTheme="majorHAnsi" w:cstheme="majorBidi"/>
                <w:b/>
                <w:sz w:val="40"/>
                <w:lang w:eastAsia="en-US"/>
              </w:rPr>
            </w:pPr>
            <w:r w:rsidRPr="00427EE1">
              <w:rPr>
                <w:rFonts w:eastAsia="Calibri"/>
                <w:b/>
                <w:lang w:eastAsia="en-US"/>
              </w:rPr>
              <w:t>Fence setbacks from side and rear boundaries</w:t>
            </w:r>
          </w:p>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 xml:space="preserve">Same as </w:t>
            </w:r>
            <w:proofErr w:type="spellStart"/>
            <w:r w:rsidR="003902AD">
              <w:rPr>
                <w:rFonts w:eastAsia="Calibri"/>
                <w:lang w:eastAsia="en-US"/>
              </w:rPr>
              <w:t>reg</w:t>
            </w:r>
            <w:proofErr w:type="spellEnd"/>
            <w:r w:rsidR="003902AD">
              <w:rPr>
                <w:rFonts w:eastAsia="Calibri"/>
                <w:lang w:eastAsia="en-US"/>
              </w:rPr>
              <w:t xml:space="preserve"> 4</w:t>
            </w:r>
            <w:r w:rsidRPr="00427EE1">
              <w:rPr>
                <w:rFonts w:eastAsia="Calibri"/>
                <w:lang w:eastAsia="en-US"/>
              </w:rPr>
              <w:t>14 but relates to fences</w:t>
            </w:r>
            <w:r w:rsidR="00451D07">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22015">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993080">
            <w:pPr>
              <w:pStyle w:val="Tabletext"/>
              <w:rPr>
                <w:rFonts w:eastAsia="Calibri"/>
              </w:rPr>
            </w:pPr>
            <w:r w:rsidRPr="00427EE1">
              <w:rPr>
                <w:rFonts w:eastAsia="Calibri"/>
              </w:rPr>
              <w:t>R</w:t>
            </w:r>
            <w:r w:rsidR="00B751DE" w:rsidRPr="00427EE1">
              <w:rPr>
                <w:rFonts w:eastAsia="Calibri"/>
              </w:rPr>
              <w:t xml:space="preserve">efer reasoning in relation to proposed </w:t>
            </w:r>
            <w:proofErr w:type="spellStart"/>
            <w:r w:rsidR="003902AD">
              <w:rPr>
                <w:rFonts w:eastAsia="Calibri"/>
              </w:rPr>
              <w:t>reg</w:t>
            </w:r>
            <w:proofErr w:type="spellEnd"/>
            <w:r w:rsidR="003902AD">
              <w:rPr>
                <w:rFonts w:eastAsia="Calibri"/>
              </w:rPr>
              <w:t xml:space="preserve"> 7</w:t>
            </w:r>
            <w:r w:rsidR="00B751DE" w:rsidRPr="00427EE1">
              <w:rPr>
                <w:rFonts w:eastAsia="Calibri"/>
              </w:rPr>
              <w:t>9.</w:t>
            </w:r>
          </w:p>
        </w:tc>
      </w:tr>
      <w:tr w:rsidR="00B751DE"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eastAsia="Calibri"/>
              </w:rPr>
            </w:pPr>
            <w:r w:rsidRPr="00427EE1">
              <w:rPr>
                <w:rFonts w:eastAsia="Calibri"/>
              </w:rPr>
              <w:t>426</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91</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rsidP="006757E8">
            <w:pPr>
              <w:pStyle w:val="Tabletext"/>
              <w:rPr>
                <w:rFonts w:asciiTheme="majorHAnsi" w:eastAsia="Calibri" w:hAnsiTheme="majorHAnsi" w:cstheme="majorBidi"/>
                <w:b/>
                <w:sz w:val="40"/>
                <w:lang w:eastAsia="en-US"/>
              </w:rPr>
            </w:pPr>
            <w:r w:rsidRPr="00427EE1">
              <w:rPr>
                <w:rFonts w:eastAsia="Calibri"/>
                <w:b/>
                <w:lang w:eastAsia="en-US"/>
              </w:rPr>
              <w:t>Fences on or within 150</w:t>
            </w:r>
            <w:r w:rsidR="00296466">
              <w:rPr>
                <w:rFonts w:eastAsia="Calibri"/>
                <w:b/>
                <w:lang w:eastAsia="en-US"/>
              </w:rPr>
              <w:t> mm</w:t>
            </w:r>
            <w:r w:rsidRPr="00427EE1">
              <w:rPr>
                <w:rFonts w:eastAsia="Calibri"/>
                <w:b/>
                <w:lang w:eastAsia="en-US"/>
              </w:rPr>
              <w:t xml:space="preserve"> of side or rear boundaries</w:t>
            </w:r>
          </w:p>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 xml:space="preserve">Same as </w:t>
            </w:r>
            <w:proofErr w:type="spellStart"/>
            <w:r w:rsidR="003902AD">
              <w:rPr>
                <w:rFonts w:eastAsia="Calibri"/>
                <w:lang w:eastAsia="en-US"/>
              </w:rPr>
              <w:t>reg</w:t>
            </w:r>
            <w:proofErr w:type="spellEnd"/>
            <w:r w:rsidR="003902AD">
              <w:rPr>
                <w:rFonts w:eastAsia="Calibri"/>
                <w:lang w:eastAsia="en-US"/>
              </w:rPr>
              <w:t xml:space="preserve"> 4</w:t>
            </w:r>
            <w:r w:rsidRPr="00427EE1">
              <w:rPr>
                <w:rFonts w:eastAsia="Calibri"/>
                <w:lang w:eastAsia="en-US"/>
              </w:rPr>
              <w:t>15 but relates to fences</w:t>
            </w:r>
            <w:r w:rsidR="00451D07">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pPr>
              <w:pStyle w:val="Tabletext"/>
              <w:rPr>
                <w:rFonts w:eastAsia="Calibri"/>
              </w:rPr>
            </w:pPr>
            <w:r w:rsidRPr="00427EE1">
              <w:rPr>
                <w:rFonts w:eastAsia="Calibri"/>
              </w:rPr>
              <w:t xml:space="preserve">Refer reasoning in relation to proposed </w:t>
            </w:r>
            <w:proofErr w:type="spellStart"/>
            <w:r w:rsidR="003902AD">
              <w:rPr>
                <w:rFonts w:eastAsia="Calibri"/>
              </w:rPr>
              <w:t>reg</w:t>
            </w:r>
            <w:proofErr w:type="spellEnd"/>
            <w:r w:rsidR="003902AD">
              <w:rPr>
                <w:rFonts w:eastAsia="Calibri"/>
              </w:rPr>
              <w:t xml:space="preserve"> 8</w:t>
            </w:r>
            <w:r w:rsidRPr="00427EE1">
              <w:rPr>
                <w:rFonts w:eastAsia="Calibri"/>
              </w:rPr>
              <w:t>0.</w:t>
            </w:r>
          </w:p>
        </w:tc>
      </w:tr>
      <w:tr w:rsidR="00B751DE"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eastAsia="Calibri"/>
              </w:rPr>
            </w:pPr>
            <w:r w:rsidRPr="00427EE1">
              <w:rPr>
                <w:rFonts w:eastAsia="Calibri"/>
              </w:rPr>
              <w:lastRenderedPageBreak/>
              <w:t>427(1)</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92</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rsidP="006757E8">
            <w:pPr>
              <w:pStyle w:val="Tabletext"/>
              <w:rPr>
                <w:rFonts w:asciiTheme="majorHAnsi" w:eastAsia="Calibri" w:hAnsiTheme="majorHAnsi" w:cstheme="majorBidi"/>
                <w:b/>
                <w:sz w:val="40"/>
                <w:lang w:eastAsia="en-US"/>
              </w:rPr>
            </w:pPr>
            <w:r w:rsidRPr="00427EE1">
              <w:rPr>
                <w:rFonts w:eastAsia="Calibri"/>
                <w:b/>
                <w:lang w:eastAsia="en-US"/>
              </w:rPr>
              <w:t>Fences on intersecting street alignments</w:t>
            </w:r>
          </w:p>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Restricts how high a fence can be within 9</w:t>
            </w:r>
            <w:r w:rsidR="00296466">
              <w:rPr>
                <w:rFonts w:eastAsia="Calibri"/>
                <w:lang w:eastAsia="en-US"/>
              </w:rPr>
              <w:t> m</w:t>
            </w:r>
            <w:r w:rsidRPr="00427EE1">
              <w:rPr>
                <w:rFonts w:eastAsia="Calibri"/>
                <w:lang w:eastAsia="en-US"/>
              </w:rPr>
              <w:t xml:space="preserve"> of an intersection</w:t>
            </w:r>
            <w:r w:rsidR="00451D07">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pPr>
              <w:pStyle w:val="Tabletext"/>
              <w:rPr>
                <w:rFonts w:eastAsia="Calibri"/>
              </w:rPr>
            </w:pPr>
            <w:r w:rsidRPr="00427EE1">
              <w:rPr>
                <w:rFonts w:eastAsia="Calibri"/>
              </w:rPr>
              <w:t>Mitigates risk. Fences on intersections can be safety risk to motorists if they are blocking their line of sight.</w:t>
            </w:r>
            <w:r w:rsidR="00D71A15" w:rsidRPr="00427EE1">
              <w:rPr>
                <w:rFonts w:eastAsia="Calibri"/>
              </w:rPr>
              <w:t xml:space="preserve"> </w:t>
            </w:r>
            <w:r w:rsidRPr="00427EE1">
              <w:rPr>
                <w:rFonts w:eastAsia="Calibri"/>
              </w:rPr>
              <w:t xml:space="preserve">There are structural changes to how this </w:t>
            </w:r>
            <w:r w:rsidR="000273F9">
              <w:rPr>
                <w:rFonts w:eastAsia="Calibri"/>
              </w:rPr>
              <w:t>Regulation</w:t>
            </w:r>
            <w:r w:rsidRPr="00427EE1">
              <w:rPr>
                <w:rFonts w:eastAsia="Calibri"/>
              </w:rPr>
              <w:t xml:space="preserve"> has been drafted.</w:t>
            </w:r>
          </w:p>
        </w:tc>
      </w:tr>
      <w:tr w:rsidR="00B751DE"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eastAsia="Calibri"/>
              </w:rPr>
            </w:pPr>
            <w:r w:rsidRPr="00427EE1">
              <w:rPr>
                <w:rFonts w:eastAsia="Calibri"/>
              </w:rPr>
              <w:t>427(2)</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93</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rsidP="006757E8">
            <w:pPr>
              <w:pStyle w:val="Tabletext"/>
              <w:rPr>
                <w:rFonts w:asciiTheme="majorHAnsi" w:eastAsia="Calibri" w:hAnsiTheme="majorHAnsi" w:cstheme="majorBidi"/>
                <w:b/>
                <w:sz w:val="40"/>
                <w:lang w:eastAsia="en-US"/>
              </w:rPr>
            </w:pPr>
            <w:r w:rsidRPr="00427EE1">
              <w:rPr>
                <w:rFonts w:eastAsia="Calibri"/>
                <w:b/>
                <w:lang w:eastAsia="en-US"/>
              </w:rPr>
              <w:t>Fences must not include barbed wire</w:t>
            </w:r>
          </w:p>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Restricts the installation of fences with sharp protrusions where the fence is adjacent to streets or public spaces.</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pPr>
              <w:pStyle w:val="Tabletext"/>
              <w:rPr>
                <w:rFonts w:eastAsia="Calibri"/>
              </w:rPr>
            </w:pPr>
            <w:r w:rsidRPr="00427EE1">
              <w:rPr>
                <w:rFonts w:eastAsia="Calibri"/>
              </w:rPr>
              <w:t xml:space="preserve">Mitigates risk. Sharp protrusions can be a public hazard. The </w:t>
            </w:r>
            <w:r w:rsidR="000273F9">
              <w:rPr>
                <w:rFonts w:eastAsia="Calibri"/>
              </w:rPr>
              <w:t>Regulation</w:t>
            </w:r>
            <w:r w:rsidRPr="00427EE1">
              <w:rPr>
                <w:rFonts w:eastAsia="Calibri"/>
              </w:rPr>
              <w:t xml:space="preserve"> has been updated to clarify that barb</w:t>
            </w:r>
            <w:r w:rsidR="00296466">
              <w:rPr>
                <w:rFonts w:eastAsia="Calibri"/>
              </w:rPr>
              <w:t>ed wire</w:t>
            </w:r>
            <w:r w:rsidRPr="00427EE1">
              <w:rPr>
                <w:rFonts w:eastAsia="Calibri"/>
              </w:rPr>
              <w:t xml:space="preserve"> fencing can be allowed for agricultural purposes.</w:t>
            </w:r>
          </w:p>
        </w:tc>
      </w:tr>
      <w:tr w:rsidR="00B751DE"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eastAsia="Calibri"/>
              </w:rPr>
            </w:pPr>
            <w:r w:rsidRPr="00427EE1">
              <w:rPr>
                <w:rFonts w:eastAsia="Calibri"/>
              </w:rPr>
              <w:t>428</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94</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rsidP="006757E8">
            <w:pPr>
              <w:pStyle w:val="Tabletext"/>
              <w:rPr>
                <w:rFonts w:asciiTheme="majorHAnsi" w:eastAsia="Calibri" w:hAnsiTheme="majorHAnsi" w:cstheme="majorBidi"/>
                <w:b/>
                <w:sz w:val="40"/>
                <w:lang w:eastAsia="en-US"/>
              </w:rPr>
            </w:pPr>
            <w:r w:rsidRPr="00427EE1">
              <w:rPr>
                <w:rFonts w:eastAsia="Calibri"/>
                <w:b/>
                <w:lang w:eastAsia="en-US"/>
              </w:rPr>
              <w:t>Fences and daylight to windows in existing dwelling</w:t>
            </w:r>
          </w:p>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 xml:space="preserve">Same as </w:t>
            </w:r>
            <w:proofErr w:type="spellStart"/>
            <w:r w:rsidR="003902AD">
              <w:rPr>
                <w:rFonts w:eastAsia="Calibri"/>
                <w:lang w:eastAsia="en-US"/>
              </w:rPr>
              <w:t>reg</w:t>
            </w:r>
            <w:proofErr w:type="spellEnd"/>
            <w:r w:rsidR="003902AD">
              <w:rPr>
                <w:rFonts w:eastAsia="Calibri"/>
                <w:lang w:eastAsia="en-US"/>
              </w:rPr>
              <w:t xml:space="preserve"> 4</w:t>
            </w:r>
            <w:r w:rsidRPr="00427EE1">
              <w:rPr>
                <w:rFonts w:eastAsia="Calibri"/>
                <w:lang w:eastAsia="en-US"/>
              </w:rPr>
              <w:t>16 but relates to fences</w:t>
            </w:r>
            <w:r w:rsidR="00451D07">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pPr>
              <w:pStyle w:val="Tabletext"/>
              <w:rPr>
                <w:rFonts w:eastAsia="Calibri"/>
              </w:rPr>
            </w:pPr>
            <w:r w:rsidRPr="00427EE1">
              <w:rPr>
                <w:rFonts w:eastAsia="Calibri"/>
              </w:rPr>
              <w:t xml:space="preserve">Refer reasoning in relation to proposed </w:t>
            </w:r>
            <w:proofErr w:type="spellStart"/>
            <w:r w:rsidR="003902AD">
              <w:rPr>
                <w:rFonts w:eastAsia="Calibri"/>
              </w:rPr>
              <w:t>reg</w:t>
            </w:r>
            <w:proofErr w:type="spellEnd"/>
            <w:r w:rsidR="003902AD">
              <w:rPr>
                <w:rFonts w:eastAsia="Calibri"/>
              </w:rPr>
              <w:t xml:space="preserve"> 8</w:t>
            </w:r>
            <w:r w:rsidRPr="00427EE1">
              <w:rPr>
                <w:rFonts w:eastAsia="Calibri"/>
              </w:rPr>
              <w:t>1.</w:t>
            </w:r>
          </w:p>
        </w:tc>
      </w:tr>
      <w:tr w:rsidR="00B751DE"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eastAsia="Calibri"/>
              </w:rPr>
            </w:pPr>
            <w:r w:rsidRPr="00427EE1">
              <w:rPr>
                <w:rFonts w:eastAsia="Calibri"/>
              </w:rPr>
              <w:t>429</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95</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rsidP="006757E8">
            <w:pPr>
              <w:pStyle w:val="Tabletext"/>
              <w:rPr>
                <w:rFonts w:asciiTheme="majorHAnsi" w:eastAsia="Calibri" w:hAnsiTheme="majorHAnsi" w:cstheme="majorBidi"/>
                <w:b/>
                <w:sz w:val="40"/>
                <w:lang w:eastAsia="en-US"/>
              </w:rPr>
            </w:pPr>
            <w:r w:rsidRPr="00427EE1">
              <w:rPr>
                <w:rFonts w:eastAsia="Calibri"/>
                <w:b/>
                <w:lang w:eastAsia="en-US"/>
              </w:rPr>
              <w:t>Fences and solar access to existing north-facing habitable room windows</w:t>
            </w:r>
          </w:p>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 xml:space="preserve">Same as </w:t>
            </w:r>
            <w:proofErr w:type="spellStart"/>
            <w:r w:rsidR="003902AD">
              <w:rPr>
                <w:rFonts w:eastAsia="Calibri"/>
                <w:lang w:eastAsia="en-US"/>
              </w:rPr>
              <w:t>reg</w:t>
            </w:r>
            <w:proofErr w:type="spellEnd"/>
            <w:r w:rsidR="003902AD">
              <w:rPr>
                <w:rFonts w:eastAsia="Calibri"/>
                <w:lang w:eastAsia="en-US"/>
              </w:rPr>
              <w:t xml:space="preserve"> 4</w:t>
            </w:r>
            <w:r w:rsidRPr="00427EE1">
              <w:rPr>
                <w:rFonts w:eastAsia="Calibri"/>
                <w:lang w:eastAsia="en-US"/>
              </w:rPr>
              <w:t>17 but relates to fences</w:t>
            </w:r>
            <w:r w:rsidR="00451D07">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pPr>
              <w:pStyle w:val="Tabletext"/>
              <w:rPr>
                <w:rFonts w:eastAsia="Calibri"/>
              </w:rPr>
            </w:pPr>
            <w:r w:rsidRPr="00427EE1">
              <w:rPr>
                <w:rFonts w:eastAsia="Calibri"/>
              </w:rPr>
              <w:t xml:space="preserve">Refer reasoning in relation to proposed </w:t>
            </w:r>
            <w:proofErr w:type="spellStart"/>
            <w:r w:rsidR="003902AD">
              <w:rPr>
                <w:rFonts w:eastAsia="Calibri"/>
              </w:rPr>
              <w:t>reg</w:t>
            </w:r>
            <w:proofErr w:type="spellEnd"/>
            <w:r w:rsidR="003902AD">
              <w:rPr>
                <w:rFonts w:eastAsia="Calibri"/>
              </w:rPr>
              <w:t xml:space="preserve"> 8</w:t>
            </w:r>
            <w:r w:rsidRPr="00427EE1">
              <w:rPr>
                <w:rFonts w:eastAsia="Calibri"/>
              </w:rPr>
              <w:t>2.</w:t>
            </w:r>
          </w:p>
        </w:tc>
      </w:tr>
      <w:tr w:rsidR="00B751DE"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eastAsia="Calibri"/>
              </w:rPr>
            </w:pPr>
            <w:r w:rsidRPr="00427EE1">
              <w:rPr>
                <w:rFonts w:eastAsia="Calibri"/>
              </w:rPr>
              <w:t>430</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96</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rsidP="006757E8">
            <w:pPr>
              <w:pStyle w:val="Tabletext"/>
              <w:rPr>
                <w:rFonts w:asciiTheme="majorHAnsi" w:eastAsia="Calibri" w:hAnsiTheme="majorHAnsi" w:cstheme="majorBidi"/>
                <w:b/>
                <w:sz w:val="40"/>
                <w:lang w:eastAsia="en-US"/>
              </w:rPr>
            </w:pPr>
            <w:r w:rsidRPr="00427EE1">
              <w:rPr>
                <w:rFonts w:eastAsia="Calibri"/>
                <w:b/>
                <w:lang w:eastAsia="en-US"/>
              </w:rPr>
              <w:t>Fences and overshadowing of recreational private open space</w:t>
            </w:r>
          </w:p>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 xml:space="preserve">Same as </w:t>
            </w:r>
            <w:proofErr w:type="spellStart"/>
            <w:r w:rsidR="003902AD">
              <w:rPr>
                <w:rFonts w:eastAsia="Calibri"/>
                <w:lang w:eastAsia="en-US"/>
              </w:rPr>
              <w:t>reg</w:t>
            </w:r>
            <w:proofErr w:type="spellEnd"/>
            <w:r w:rsidR="003902AD">
              <w:rPr>
                <w:rFonts w:eastAsia="Calibri"/>
                <w:lang w:eastAsia="en-US"/>
              </w:rPr>
              <w:t xml:space="preserve"> 4</w:t>
            </w:r>
            <w:r w:rsidRPr="00427EE1">
              <w:rPr>
                <w:rFonts w:eastAsia="Calibri"/>
                <w:lang w:eastAsia="en-US"/>
              </w:rPr>
              <w:t>18 but relates to fences</w:t>
            </w:r>
            <w:r w:rsidR="00451D07">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975337">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pPr>
              <w:pStyle w:val="Tabletext"/>
              <w:rPr>
                <w:rFonts w:eastAsia="Calibri"/>
              </w:rPr>
            </w:pPr>
            <w:r w:rsidRPr="00427EE1">
              <w:rPr>
                <w:rFonts w:eastAsia="Calibri"/>
              </w:rPr>
              <w:t xml:space="preserve">Refer reasoning in relation to proposed </w:t>
            </w:r>
            <w:proofErr w:type="spellStart"/>
            <w:r w:rsidR="003902AD">
              <w:rPr>
                <w:rFonts w:eastAsia="Calibri"/>
              </w:rPr>
              <w:t>reg</w:t>
            </w:r>
            <w:proofErr w:type="spellEnd"/>
            <w:r w:rsidR="003902AD">
              <w:rPr>
                <w:rFonts w:eastAsia="Calibri"/>
              </w:rPr>
              <w:t xml:space="preserve"> 8</w:t>
            </w:r>
            <w:r w:rsidRPr="00427EE1">
              <w:rPr>
                <w:rFonts w:eastAsia="Calibri"/>
              </w:rPr>
              <w:t>3.</w:t>
            </w:r>
          </w:p>
        </w:tc>
      </w:tr>
      <w:tr w:rsidR="00B751DE"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eastAsia="Calibri"/>
              </w:rPr>
            </w:pPr>
            <w:r w:rsidRPr="00427EE1">
              <w:rPr>
                <w:rFonts w:eastAsia="Calibri"/>
              </w:rPr>
              <w:t>431</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97</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51DE" w:rsidP="006757E8">
            <w:pPr>
              <w:pStyle w:val="Tabletext"/>
              <w:rPr>
                <w:rFonts w:asciiTheme="majorHAnsi" w:eastAsia="Calibri" w:hAnsiTheme="majorHAnsi" w:cstheme="majorBidi"/>
                <w:b/>
                <w:sz w:val="40"/>
                <w:lang w:eastAsia="en-US"/>
              </w:rPr>
            </w:pPr>
            <w:r w:rsidRPr="00427EE1">
              <w:rPr>
                <w:rFonts w:eastAsia="Calibri"/>
                <w:b/>
                <w:lang w:eastAsia="en-US"/>
              </w:rPr>
              <w:t>Masts, poles etc.</w:t>
            </w:r>
          </w:p>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Prohibits the construction of tall Class 10b structures</w:t>
            </w:r>
            <w:r w:rsidR="00451D07">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51DE">
            <w:pPr>
              <w:pStyle w:val="Tabletext"/>
              <w:rPr>
                <w:rFonts w:eastAsia="Calibri"/>
              </w:rPr>
            </w:pPr>
            <w:r w:rsidRPr="00427EE1">
              <w:rPr>
                <w:rFonts w:eastAsia="Calibri"/>
              </w:rPr>
              <w:t xml:space="preserve">Ensures that </w:t>
            </w:r>
            <w:proofErr w:type="spellStart"/>
            <w:r w:rsidR="0023395A">
              <w:rPr>
                <w:rFonts w:eastAsia="Calibri"/>
              </w:rPr>
              <w:t>non</w:t>
            </w:r>
            <w:r w:rsidRPr="00427EE1">
              <w:rPr>
                <w:rFonts w:eastAsia="Calibri"/>
              </w:rPr>
              <w:t>habitable</w:t>
            </w:r>
            <w:proofErr w:type="spellEnd"/>
            <w:r w:rsidRPr="00427EE1">
              <w:rPr>
                <w:rFonts w:eastAsia="Calibri"/>
              </w:rPr>
              <w:t xml:space="preserve"> structures do not have a negative amenity impact on neighbouring properties.</w:t>
            </w:r>
          </w:p>
        </w:tc>
      </w:tr>
    </w:tbl>
    <w:p w:rsidR="005F38AC" w:rsidRDefault="005F38AC" w:rsidP="006757E8"/>
    <w:p w:rsidR="002D5E35" w:rsidRDefault="002D5E35">
      <w:pPr>
        <w:spacing w:after="0"/>
        <w:rPr>
          <w:b/>
          <w:i/>
          <w:color w:val="00B2A9" w:themeColor="accent1"/>
          <w:sz w:val="28"/>
        </w:rPr>
      </w:pPr>
      <w:bookmarkStart w:id="180" w:name="_Toc481501601"/>
      <w:r>
        <w:br w:type="page"/>
      </w:r>
    </w:p>
    <w:p w:rsidR="00B751DE" w:rsidRPr="00427EE1" w:rsidRDefault="004267C5" w:rsidP="006119D2">
      <w:pPr>
        <w:pStyle w:val="Heading3"/>
      </w:pPr>
      <w:r>
        <w:lastRenderedPageBreak/>
        <w:t xml:space="preserve">Pt </w:t>
      </w:r>
      <w:r w:rsidR="00B751DE" w:rsidRPr="00427EE1">
        <w:t>7</w:t>
      </w:r>
      <w:r w:rsidR="008475D9">
        <w:t>—</w:t>
      </w:r>
      <w:r w:rsidR="00B751DE" w:rsidRPr="00427EE1">
        <w:t>Projections beyond street alignment</w:t>
      </w:r>
      <w:bookmarkEnd w:id="180"/>
    </w:p>
    <w:tbl>
      <w:tblPr>
        <w:tblW w:w="14552" w:type="dxa"/>
        <w:tblInd w:w="-175"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1039"/>
        <w:gridCol w:w="945"/>
        <w:gridCol w:w="4243"/>
        <w:gridCol w:w="399"/>
        <w:gridCol w:w="399"/>
        <w:gridCol w:w="402"/>
        <w:gridCol w:w="400"/>
        <w:gridCol w:w="398"/>
        <w:gridCol w:w="6327"/>
      </w:tblGrid>
      <w:tr w:rsidR="00451D07" w:rsidRPr="00427EE1" w:rsidTr="006119D2">
        <w:trPr>
          <w:cantSplit/>
          <w:trHeight w:val="111"/>
          <w:tblHeader/>
        </w:trPr>
        <w:tc>
          <w:tcPr>
            <w:tcW w:w="1039" w:type="dxa"/>
            <w:vMerge w:val="restart"/>
            <w:shd w:val="clear" w:color="auto" w:fill="00B2A9" w:themeFill="accent1"/>
            <w:vAlign w:val="center"/>
            <w:hideMark/>
          </w:tcPr>
          <w:p w:rsidR="00451D07" w:rsidRDefault="00451D07">
            <w:pPr>
              <w:pStyle w:val="Tablecolumnhead"/>
              <w:rPr>
                <w:rFonts w:asciiTheme="majorHAnsi" w:eastAsia="Calibri" w:hAnsiTheme="majorHAnsi" w:cstheme="majorBidi"/>
                <w:sz w:val="40"/>
              </w:rPr>
            </w:pPr>
            <w:r w:rsidRPr="00BE72D7">
              <w:rPr>
                <w:rFonts w:eastAsia="Calibri"/>
              </w:rPr>
              <w:t>2006</w:t>
            </w:r>
          </w:p>
          <w:p w:rsidR="00451D07" w:rsidRDefault="00451D07">
            <w:pPr>
              <w:pStyle w:val="Tablecolumnhead"/>
              <w:rPr>
                <w:rFonts w:asciiTheme="majorHAnsi" w:eastAsia="Calibri" w:hAnsiTheme="majorHAnsi" w:cstheme="majorBidi"/>
                <w:sz w:val="40"/>
              </w:rPr>
            </w:pPr>
            <w:r w:rsidRPr="00C44680">
              <w:rPr>
                <w:rFonts w:ascii="Arial Bold" w:eastAsia="Calibri" w:hAnsi="Arial Bold"/>
                <w:spacing w:val="-12"/>
                <w:sz w:val="16"/>
              </w:rPr>
              <w:t>Regulation</w:t>
            </w:r>
          </w:p>
        </w:tc>
        <w:tc>
          <w:tcPr>
            <w:tcW w:w="945" w:type="dxa"/>
            <w:vMerge w:val="restart"/>
            <w:shd w:val="clear" w:color="auto" w:fill="00B2A9" w:themeFill="accent1"/>
            <w:vAlign w:val="center"/>
            <w:hideMark/>
          </w:tcPr>
          <w:p w:rsidR="00451D07" w:rsidRDefault="00451D07">
            <w:pPr>
              <w:pStyle w:val="Tablecolumnhead"/>
              <w:rPr>
                <w:rFonts w:asciiTheme="majorHAnsi" w:eastAsiaTheme="majorEastAsia" w:hAnsiTheme="majorHAnsi" w:cstheme="majorBidi"/>
                <w:sz w:val="40"/>
              </w:rPr>
            </w:pPr>
            <w:r w:rsidRPr="008F0E53">
              <w:rPr>
                <w:rFonts w:eastAsia="Calibri"/>
              </w:rPr>
              <w:t>2017</w:t>
            </w:r>
          </w:p>
          <w:p w:rsidR="00451D07" w:rsidRDefault="00451D07">
            <w:pPr>
              <w:pStyle w:val="Tablecolumnhead"/>
              <w:rPr>
                <w:rFonts w:asciiTheme="majorHAnsi" w:eastAsiaTheme="majorEastAsia" w:hAnsiTheme="majorHAnsi" w:cstheme="majorBidi"/>
                <w:sz w:val="40"/>
              </w:rPr>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451D07" w:rsidRDefault="00451D07">
            <w:pPr>
              <w:pStyle w:val="Tablecolumnhead"/>
              <w:rPr>
                <w:rFonts w:asciiTheme="majorHAnsi" w:eastAsia="Calibri" w:hAnsiTheme="majorHAnsi" w:cstheme="majorBidi"/>
                <w:sz w:val="40"/>
              </w:rPr>
            </w:pPr>
            <w:r w:rsidRPr="008F0E53">
              <w:t xml:space="preserve">Short description of the </w:t>
            </w:r>
            <w:r>
              <w:t>Regulation</w:t>
            </w:r>
          </w:p>
        </w:tc>
        <w:tc>
          <w:tcPr>
            <w:tcW w:w="1998" w:type="dxa"/>
            <w:gridSpan w:val="5"/>
            <w:shd w:val="clear" w:color="auto" w:fill="00B2A9" w:themeFill="accent1"/>
            <w:vAlign w:val="center"/>
          </w:tcPr>
          <w:p w:rsidR="00451D07" w:rsidRDefault="00451D07">
            <w:pPr>
              <w:pStyle w:val="Tablecolumnhead"/>
              <w:rPr>
                <w:rFonts w:asciiTheme="majorHAnsi" w:eastAsiaTheme="majorEastAsia" w:hAnsiTheme="majorHAnsi" w:cstheme="majorBidi"/>
                <w:sz w:val="40"/>
              </w:rPr>
            </w:pPr>
            <w:r w:rsidRPr="008F0E53">
              <w:t>Proposed regulatory change</w:t>
            </w:r>
          </w:p>
        </w:tc>
        <w:tc>
          <w:tcPr>
            <w:tcW w:w="6327" w:type="dxa"/>
            <w:vMerge w:val="restart"/>
            <w:shd w:val="clear" w:color="auto" w:fill="00B2A9" w:themeFill="accent1"/>
            <w:vAlign w:val="center"/>
          </w:tcPr>
          <w:p w:rsidR="00451D07" w:rsidRDefault="00451D07">
            <w:pPr>
              <w:pStyle w:val="Tablecolumnhead"/>
              <w:rPr>
                <w:rFonts w:asciiTheme="majorHAnsi" w:eastAsiaTheme="majorEastAsia" w:hAnsiTheme="majorHAnsi" w:cstheme="majorBidi"/>
                <w:sz w:val="40"/>
              </w:rPr>
            </w:pPr>
            <w:r w:rsidRPr="00873DF8">
              <w:t>Why the 2017 Regulation is proposed</w:t>
            </w:r>
          </w:p>
        </w:tc>
      </w:tr>
      <w:tr w:rsidR="00B751DE" w:rsidRPr="00427EE1" w:rsidTr="006119D2">
        <w:trPr>
          <w:cantSplit/>
          <w:trHeight w:val="966"/>
          <w:tblHeader/>
        </w:trPr>
        <w:tc>
          <w:tcPr>
            <w:tcW w:w="1039"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945"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DC53B5" w:rsidRPr="00427EE1" w:rsidTr="006119D2">
        <w:trPr>
          <w:cantSplit/>
          <w:trHeight w:val="340"/>
        </w:trPr>
        <w:tc>
          <w:tcPr>
            <w:tcW w:w="103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DC53B5" w:rsidP="006757E8">
            <w:pPr>
              <w:pStyle w:val="Tabletext"/>
              <w:rPr>
                <w:rFonts w:eastAsia="Calibri"/>
              </w:rPr>
            </w:pPr>
            <w:r w:rsidRPr="00427EE1">
              <w:rPr>
                <w:rFonts w:eastAsia="Calibri"/>
              </w:rPr>
              <w:t>504</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DC53B5" w:rsidP="006757E8">
            <w:pPr>
              <w:pStyle w:val="Tabletext"/>
              <w:rPr>
                <w:rFonts w:asciiTheme="majorHAnsi" w:eastAsia="Calibri" w:hAnsiTheme="majorHAnsi" w:cstheme="majorBidi"/>
                <w:b/>
                <w:sz w:val="40"/>
                <w:lang w:eastAsia="en-US"/>
              </w:rPr>
            </w:pPr>
            <w:r w:rsidRPr="00427EE1">
              <w:rPr>
                <w:rFonts w:eastAsia="Calibri"/>
                <w:lang w:eastAsia="en-US"/>
              </w:rPr>
              <w:t>98</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DC53B5" w:rsidP="006757E8">
            <w:pPr>
              <w:pStyle w:val="Tabletext"/>
              <w:rPr>
                <w:rFonts w:asciiTheme="majorHAnsi" w:eastAsia="Calibri" w:hAnsiTheme="majorHAnsi" w:cstheme="majorBidi"/>
                <w:b/>
                <w:sz w:val="40"/>
                <w:lang w:eastAsia="en-US"/>
              </w:rPr>
            </w:pPr>
            <w:r w:rsidRPr="00427EE1">
              <w:rPr>
                <w:rFonts w:eastAsia="Calibri"/>
                <w:b/>
                <w:lang w:eastAsia="en-US"/>
              </w:rPr>
              <w:t>Projections beyond the street alignment</w:t>
            </w:r>
          </w:p>
          <w:p w:rsidR="00E657D7" w:rsidRDefault="002D140F" w:rsidP="006757E8">
            <w:pPr>
              <w:pStyle w:val="Tabletext"/>
              <w:rPr>
                <w:rFonts w:eastAsia="Calibri"/>
                <w:lang w:eastAsia="en-US"/>
              </w:rPr>
            </w:pPr>
            <w:r>
              <w:rPr>
                <w:rFonts w:eastAsia="Calibri"/>
                <w:lang w:eastAsia="en-US"/>
              </w:rPr>
              <w:t>P</w:t>
            </w:r>
            <w:r w:rsidR="00DC53B5" w:rsidRPr="00427EE1">
              <w:rPr>
                <w:rFonts w:eastAsia="Calibri"/>
                <w:lang w:eastAsia="en-US"/>
              </w:rPr>
              <w:t>rohibits any part of a building</w:t>
            </w:r>
            <w:r w:rsidR="00E60957">
              <w:rPr>
                <w:rFonts w:eastAsia="Calibri"/>
                <w:lang w:eastAsia="en-US"/>
              </w:rPr>
              <w:t xml:space="preserve"> </w:t>
            </w:r>
            <w:r w:rsidR="00DC53B5" w:rsidRPr="00427EE1">
              <w:rPr>
                <w:rFonts w:eastAsia="Calibri"/>
                <w:lang w:eastAsia="en-US"/>
              </w:rPr>
              <w:t>from extending out beyond an allotment boundary over a footpath or street.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rsidP="006757E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DC53B5">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protects the health and safety of the public by ensuring buildings do not impact on the safe movement of pedestrians and/or vehicles on footpaths and streets. </w:t>
            </w:r>
          </w:p>
        </w:tc>
      </w:tr>
      <w:tr w:rsidR="00DC53B5" w:rsidRPr="00427EE1" w:rsidTr="006119D2">
        <w:trPr>
          <w:cantSplit/>
          <w:trHeight w:val="340"/>
        </w:trPr>
        <w:tc>
          <w:tcPr>
            <w:tcW w:w="103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DC53B5" w:rsidP="006757E8">
            <w:pPr>
              <w:pStyle w:val="Tabletext"/>
              <w:rPr>
                <w:rFonts w:eastAsia="Calibri"/>
              </w:rPr>
            </w:pPr>
            <w:r w:rsidRPr="00427EE1">
              <w:rPr>
                <w:rFonts w:eastAsia="Calibri"/>
              </w:rPr>
              <w:t>505(1)(b)</w:t>
            </w:r>
          </w:p>
          <w:p w:rsidR="00E657D7" w:rsidRDefault="00DC53B5" w:rsidP="006757E8">
            <w:pPr>
              <w:pStyle w:val="Tabletext"/>
              <w:rPr>
                <w:rFonts w:eastAsia="Calibri"/>
              </w:rPr>
            </w:pPr>
            <w:r w:rsidRPr="00427EE1">
              <w:rPr>
                <w:rFonts w:eastAsia="Calibri"/>
              </w:rPr>
              <w:t>505(1)(d)</w:t>
            </w:r>
          </w:p>
          <w:p w:rsidR="00E657D7" w:rsidRDefault="00DC53B5" w:rsidP="006757E8">
            <w:pPr>
              <w:pStyle w:val="Tabletext"/>
              <w:rPr>
                <w:rFonts w:eastAsia="Calibri"/>
              </w:rPr>
            </w:pPr>
            <w:r w:rsidRPr="00427EE1">
              <w:rPr>
                <w:rFonts w:eastAsia="Calibri"/>
              </w:rPr>
              <w:t>505(1)(e)</w:t>
            </w:r>
          </w:p>
          <w:p w:rsidR="00E657D7" w:rsidRDefault="00DC53B5" w:rsidP="006757E8">
            <w:pPr>
              <w:pStyle w:val="Tabletext"/>
              <w:rPr>
                <w:rFonts w:eastAsia="Calibri"/>
              </w:rPr>
            </w:pPr>
            <w:r w:rsidRPr="00427EE1">
              <w:rPr>
                <w:rFonts w:eastAsia="Calibri"/>
              </w:rPr>
              <w:t>505(2)</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DC53B5" w:rsidP="006757E8">
            <w:pPr>
              <w:pStyle w:val="Tabletext"/>
              <w:rPr>
                <w:rFonts w:asciiTheme="majorHAnsi" w:eastAsia="Calibri" w:hAnsiTheme="majorHAnsi" w:cstheme="majorBidi"/>
                <w:b/>
                <w:sz w:val="40"/>
                <w:lang w:eastAsia="en-US"/>
              </w:rPr>
            </w:pPr>
            <w:r w:rsidRPr="00427EE1">
              <w:rPr>
                <w:rFonts w:eastAsia="Calibri"/>
                <w:lang w:eastAsia="en-US"/>
              </w:rPr>
              <w:t>99</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E657D7" w:rsidRDefault="00DC53B5" w:rsidP="006757E8">
            <w:pPr>
              <w:pStyle w:val="Tabletext"/>
              <w:rPr>
                <w:rFonts w:asciiTheme="majorHAnsi" w:eastAsia="Calibri" w:hAnsiTheme="majorHAnsi" w:cstheme="majorBidi"/>
                <w:b/>
                <w:sz w:val="40"/>
                <w:lang w:eastAsia="en-US"/>
              </w:rPr>
            </w:pPr>
            <w:r w:rsidRPr="00427EE1">
              <w:rPr>
                <w:rFonts w:eastAsia="Calibri"/>
                <w:b/>
                <w:lang w:eastAsia="en-US"/>
              </w:rPr>
              <w:t>Architectural features – narrow street</w:t>
            </w:r>
          </w:p>
          <w:p w:rsidR="00E657D7" w:rsidRDefault="002D140F">
            <w:pPr>
              <w:pStyle w:val="Tabletext"/>
              <w:rPr>
                <w:rFonts w:eastAsia="Calibri"/>
                <w:lang w:eastAsia="en-US"/>
              </w:rPr>
            </w:pPr>
            <w:r>
              <w:rPr>
                <w:rFonts w:eastAsia="Calibri"/>
                <w:lang w:eastAsia="en-US"/>
              </w:rPr>
              <w:t>L</w:t>
            </w:r>
            <w:r w:rsidR="00DC53B5" w:rsidRPr="00427EE1">
              <w:rPr>
                <w:rFonts w:eastAsia="Calibri"/>
                <w:lang w:eastAsia="en-US"/>
              </w:rPr>
              <w:t>imits when an architectural feature can extend out from a building over</w:t>
            </w:r>
            <w:r w:rsidR="00E60957">
              <w:rPr>
                <w:rFonts w:eastAsia="Calibri"/>
                <w:lang w:eastAsia="en-US"/>
              </w:rPr>
              <w:t xml:space="preserve"> </w:t>
            </w:r>
            <w:r w:rsidR="00DC53B5" w:rsidRPr="00427EE1">
              <w:rPr>
                <w:rFonts w:eastAsia="Calibri"/>
                <w:lang w:eastAsia="en-US"/>
              </w:rPr>
              <w:t xml:space="preserve">a narrow street.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DC53B5" w:rsidRPr="00427EE1" w:rsidRDefault="00DC53B5">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DC53B5">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ensure suitable clearances for architectural features are provided to allow for the safe passage of pedestrian and vehicular traffic</w:t>
            </w:r>
            <w:r w:rsidR="00E60957">
              <w:rPr>
                <w:rFonts w:eastAsia="Calibri"/>
              </w:rPr>
              <w:t xml:space="preserve"> </w:t>
            </w:r>
            <w:r w:rsidRPr="00427EE1">
              <w:rPr>
                <w:rFonts w:eastAsia="Calibri"/>
              </w:rPr>
              <w:t xml:space="preserve">For clarity, this requirement has been made the subject of its own </w:t>
            </w:r>
            <w:r w:rsidR="000273F9">
              <w:rPr>
                <w:rFonts w:eastAsia="Calibri"/>
              </w:rPr>
              <w:t>Regulation</w:t>
            </w:r>
            <w:r w:rsidRPr="00427EE1">
              <w:rPr>
                <w:rFonts w:eastAsia="Calibri"/>
              </w:rPr>
              <w:t xml:space="preserve"> and the term ‘narrow street’ is now defined in the definitions clause of the </w:t>
            </w:r>
            <w:r w:rsidR="008911CB">
              <w:rPr>
                <w:rFonts w:eastAsia="Calibri"/>
              </w:rPr>
              <w:t>Regulations</w:t>
            </w:r>
            <w:r w:rsidRPr="00427EE1">
              <w:rPr>
                <w:rFonts w:eastAsia="Calibri"/>
              </w:rPr>
              <w:t xml:space="preserve">. </w:t>
            </w:r>
          </w:p>
        </w:tc>
      </w:tr>
      <w:tr w:rsidR="00DC53B5" w:rsidRPr="00427EE1" w:rsidTr="006119D2">
        <w:trPr>
          <w:cantSplit/>
          <w:trHeight w:val="340"/>
        </w:trPr>
        <w:tc>
          <w:tcPr>
            <w:tcW w:w="103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DC53B5" w:rsidP="006757E8">
            <w:pPr>
              <w:pStyle w:val="Tabletext"/>
              <w:rPr>
                <w:rFonts w:eastAsia="Calibri"/>
              </w:rPr>
            </w:pPr>
            <w:r w:rsidRPr="00427EE1">
              <w:rPr>
                <w:rFonts w:eastAsia="Calibri"/>
              </w:rPr>
              <w:t>505(1)(b)</w:t>
            </w:r>
          </w:p>
          <w:p w:rsidR="00E657D7" w:rsidRDefault="00DC53B5" w:rsidP="006757E8">
            <w:pPr>
              <w:pStyle w:val="Tabletext"/>
              <w:rPr>
                <w:rFonts w:eastAsia="Calibri"/>
              </w:rPr>
            </w:pPr>
            <w:r w:rsidRPr="00427EE1">
              <w:rPr>
                <w:rFonts w:eastAsia="Calibri"/>
              </w:rPr>
              <w:t>505(1)(d)</w:t>
            </w:r>
          </w:p>
          <w:p w:rsidR="00E657D7" w:rsidRDefault="00DC53B5" w:rsidP="006757E8">
            <w:pPr>
              <w:pStyle w:val="Tabletext"/>
              <w:rPr>
                <w:rFonts w:eastAsia="Calibri"/>
              </w:rPr>
            </w:pPr>
            <w:r w:rsidRPr="00427EE1">
              <w:rPr>
                <w:rFonts w:eastAsia="Calibri"/>
              </w:rPr>
              <w:t>505(1)(e)</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DC53B5" w:rsidP="006757E8">
            <w:pPr>
              <w:pStyle w:val="Tabletext"/>
              <w:rPr>
                <w:rFonts w:asciiTheme="majorHAnsi" w:eastAsia="Calibri" w:hAnsiTheme="majorHAnsi" w:cstheme="majorBidi"/>
                <w:b/>
                <w:sz w:val="40"/>
                <w:lang w:eastAsia="en-US"/>
              </w:rPr>
            </w:pPr>
            <w:r w:rsidRPr="00427EE1">
              <w:rPr>
                <w:rFonts w:eastAsia="Calibri"/>
                <w:lang w:eastAsia="en-US"/>
              </w:rPr>
              <w:t>100</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E657D7" w:rsidRDefault="00DC53B5" w:rsidP="006757E8">
            <w:pPr>
              <w:pStyle w:val="Tabletext"/>
              <w:rPr>
                <w:rFonts w:asciiTheme="majorHAnsi" w:eastAsia="Calibri" w:hAnsiTheme="majorHAnsi" w:cstheme="majorBidi"/>
                <w:b/>
                <w:sz w:val="40"/>
                <w:lang w:eastAsia="en-US"/>
              </w:rPr>
            </w:pPr>
            <w:r w:rsidRPr="00427EE1">
              <w:rPr>
                <w:rFonts w:eastAsia="Calibri"/>
                <w:b/>
                <w:lang w:eastAsia="en-US"/>
              </w:rPr>
              <w:t>Architectural features – medium street</w:t>
            </w:r>
          </w:p>
          <w:p w:rsidR="00E657D7" w:rsidRDefault="002D140F" w:rsidP="006757E8">
            <w:pPr>
              <w:pStyle w:val="Tabletext"/>
              <w:rPr>
                <w:rFonts w:eastAsia="Calibri"/>
                <w:lang w:eastAsia="en-US"/>
              </w:rPr>
            </w:pPr>
            <w:r>
              <w:rPr>
                <w:rFonts w:eastAsia="Calibri"/>
                <w:lang w:eastAsia="en-US"/>
              </w:rPr>
              <w:t>L</w:t>
            </w:r>
            <w:r w:rsidR="00DC53B5" w:rsidRPr="00427EE1">
              <w:rPr>
                <w:rFonts w:eastAsia="Calibri"/>
                <w:lang w:eastAsia="en-US"/>
              </w:rPr>
              <w:t>imits when an architectural feature can extend out from a building over a medium street.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DC53B5" w:rsidRPr="00427EE1" w:rsidRDefault="00DC53B5">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DC53B5">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ensure suitable clearances for architectural features are provided for the safe passage of pedestrian and vehicular traffic.</w:t>
            </w:r>
            <w:r w:rsidR="00E60957">
              <w:rPr>
                <w:rFonts w:eastAsia="Calibri"/>
              </w:rPr>
              <w:t xml:space="preserve"> </w:t>
            </w:r>
            <w:r w:rsidRPr="00427EE1">
              <w:rPr>
                <w:rFonts w:eastAsia="Calibri"/>
              </w:rPr>
              <w:t xml:space="preserve">For clarity, this requirement has been made the subject of its own </w:t>
            </w:r>
            <w:r w:rsidR="000273F9">
              <w:rPr>
                <w:rFonts w:eastAsia="Calibri"/>
              </w:rPr>
              <w:t>Regulation</w:t>
            </w:r>
            <w:r w:rsidRPr="00427EE1">
              <w:rPr>
                <w:rFonts w:eastAsia="Calibri"/>
              </w:rPr>
              <w:t xml:space="preserve"> and the term ‘medium street’ is now defined in the definitions clause of the </w:t>
            </w:r>
            <w:r w:rsidR="008911CB">
              <w:rPr>
                <w:rFonts w:eastAsia="Calibri"/>
              </w:rPr>
              <w:t>Regulations</w:t>
            </w:r>
            <w:r w:rsidRPr="00427EE1">
              <w:rPr>
                <w:rFonts w:eastAsia="Calibri"/>
              </w:rPr>
              <w:t xml:space="preserve">. </w:t>
            </w:r>
          </w:p>
        </w:tc>
      </w:tr>
      <w:tr w:rsidR="00DC53B5" w:rsidRPr="00427EE1" w:rsidTr="006119D2">
        <w:trPr>
          <w:cantSplit/>
          <w:trHeight w:val="340"/>
        </w:trPr>
        <w:tc>
          <w:tcPr>
            <w:tcW w:w="103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DC53B5" w:rsidP="006757E8">
            <w:pPr>
              <w:pStyle w:val="Tabletext"/>
              <w:rPr>
                <w:rFonts w:eastAsia="Calibri"/>
              </w:rPr>
            </w:pPr>
            <w:r w:rsidRPr="00427EE1">
              <w:rPr>
                <w:rFonts w:eastAsia="Calibri"/>
              </w:rPr>
              <w:t>505(1)(c)</w:t>
            </w:r>
          </w:p>
          <w:p w:rsidR="00E657D7" w:rsidRDefault="00DC53B5" w:rsidP="006757E8">
            <w:pPr>
              <w:pStyle w:val="Tabletext"/>
              <w:rPr>
                <w:rFonts w:eastAsia="Calibri"/>
              </w:rPr>
            </w:pPr>
            <w:r w:rsidRPr="00427EE1">
              <w:rPr>
                <w:rFonts w:eastAsia="Calibri"/>
              </w:rPr>
              <w:t>505(1)(d)</w:t>
            </w:r>
          </w:p>
          <w:p w:rsidR="00E657D7" w:rsidRDefault="00DC53B5" w:rsidP="006757E8">
            <w:pPr>
              <w:pStyle w:val="Tabletext"/>
              <w:rPr>
                <w:rFonts w:eastAsia="Calibri"/>
              </w:rPr>
            </w:pPr>
            <w:r w:rsidRPr="00427EE1">
              <w:rPr>
                <w:rFonts w:eastAsia="Calibri"/>
              </w:rPr>
              <w:t>505(1)(e)</w:t>
            </w:r>
          </w:p>
          <w:p w:rsidR="00E657D7" w:rsidRDefault="00E657D7" w:rsidP="006757E8">
            <w:pPr>
              <w:pStyle w:val="Tabletext"/>
              <w:rPr>
                <w:rFonts w:eastAsia="Calibri"/>
                <w:sz w:val="16"/>
              </w:rPr>
            </w:pP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DC53B5" w:rsidP="006757E8">
            <w:pPr>
              <w:pStyle w:val="Tabletext"/>
              <w:rPr>
                <w:rFonts w:asciiTheme="majorHAnsi" w:eastAsia="Calibri" w:hAnsiTheme="majorHAnsi" w:cstheme="majorBidi"/>
                <w:b/>
                <w:sz w:val="40"/>
                <w:lang w:eastAsia="en-US"/>
              </w:rPr>
            </w:pPr>
            <w:r w:rsidRPr="00427EE1">
              <w:rPr>
                <w:rFonts w:eastAsia="Calibri"/>
                <w:lang w:eastAsia="en-US"/>
              </w:rPr>
              <w:t>101</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E657D7" w:rsidRDefault="00DC53B5" w:rsidP="006757E8">
            <w:pPr>
              <w:pStyle w:val="Tabletext"/>
              <w:rPr>
                <w:rFonts w:asciiTheme="majorHAnsi" w:eastAsia="Calibri" w:hAnsiTheme="majorHAnsi" w:cstheme="majorBidi"/>
                <w:b/>
                <w:sz w:val="40"/>
                <w:lang w:eastAsia="en-US"/>
              </w:rPr>
            </w:pPr>
            <w:r w:rsidRPr="00427EE1">
              <w:rPr>
                <w:rFonts w:eastAsia="Calibri"/>
                <w:b/>
                <w:lang w:eastAsia="en-US"/>
              </w:rPr>
              <w:t>Architectural – wide street</w:t>
            </w:r>
          </w:p>
          <w:p w:rsidR="00E657D7" w:rsidRDefault="002D140F">
            <w:pPr>
              <w:pStyle w:val="Tabletext"/>
              <w:rPr>
                <w:rFonts w:eastAsia="Calibri"/>
                <w:lang w:eastAsia="en-US"/>
              </w:rPr>
            </w:pPr>
            <w:r>
              <w:rPr>
                <w:rFonts w:eastAsia="Calibri"/>
                <w:lang w:eastAsia="en-US"/>
              </w:rPr>
              <w:t>L</w:t>
            </w:r>
            <w:r w:rsidRPr="00427EE1">
              <w:rPr>
                <w:rFonts w:eastAsia="Calibri"/>
                <w:lang w:eastAsia="en-US"/>
              </w:rPr>
              <w:t xml:space="preserve">imits </w:t>
            </w:r>
            <w:r w:rsidR="00DC53B5" w:rsidRPr="00427EE1">
              <w:rPr>
                <w:rFonts w:eastAsia="Calibri"/>
                <w:lang w:eastAsia="en-US"/>
              </w:rPr>
              <w:t xml:space="preserve">when an architectural feature can extend out from a building over a wide street.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DC53B5" w:rsidRPr="00427EE1" w:rsidRDefault="00DC53B5">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DC53B5">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ensure suitable clearances for architectural features are provided for the safe passage of pedestrian and vehicular traffic.</w:t>
            </w:r>
            <w:r w:rsidR="00E60957">
              <w:rPr>
                <w:rFonts w:eastAsia="Calibri"/>
              </w:rPr>
              <w:t xml:space="preserve"> </w:t>
            </w:r>
            <w:r w:rsidRPr="00427EE1">
              <w:rPr>
                <w:rFonts w:eastAsia="Calibri"/>
              </w:rPr>
              <w:t xml:space="preserve">For clarity, this requirement has been made the subject of its own </w:t>
            </w:r>
            <w:r w:rsidR="000273F9">
              <w:rPr>
                <w:rFonts w:eastAsia="Calibri"/>
              </w:rPr>
              <w:t>Regulation</w:t>
            </w:r>
            <w:r w:rsidRPr="00427EE1">
              <w:rPr>
                <w:rFonts w:eastAsia="Calibri"/>
              </w:rPr>
              <w:t xml:space="preserve"> and the term ‘</w:t>
            </w:r>
            <w:r w:rsidR="00C85828" w:rsidRPr="00427EE1">
              <w:rPr>
                <w:rFonts w:eastAsia="Calibri"/>
              </w:rPr>
              <w:t>wide street</w:t>
            </w:r>
            <w:r w:rsidRPr="00427EE1">
              <w:rPr>
                <w:rFonts w:eastAsia="Calibri"/>
              </w:rPr>
              <w:t xml:space="preserve">’ is now defined in the definitions clause of the </w:t>
            </w:r>
            <w:r w:rsidR="008911CB">
              <w:rPr>
                <w:rFonts w:eastAsia="Calibri"/>
              </w:rPr>
              <w:t>Regulations</w:t>
            </w:r>
            <w:r w:rsidRPr="00427EE1">
              <w:rPr>
                <w:rFonts w:eastAsia="Calibri"/>
              </w:rPr>
              <w:t xml:space="preserve">. </w:t>
            </w:r>
          </w:p>
        </w:tc>
      </w:tr>
      <w:tr w:rsidR="00DC53B5" w:rsidRPr="00427EE1" w:rsidTr="006119D2">
        <w:trPr>
          <w:cantSplit/>
          <w:trHeight w:val="340"/>
        </w:trPr>
        <w:tc>
          <w:tcPr>
            <w:tcW w:w="103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DC53B5" w:rsidP="006757E8">
            <w:pPr>
              <w:pStyle w:val="Tabletext"/>
              <w:rPr>
                <w:rFonts w:eastAsia="Calibri"/>
              </w:rPr>
            </w:pPr>
            <w:r w:rsidRPr="00427EE1">
              <w:rPr>
                <w:rFonts w:eastAsia="Calibri"/>
              </w:rPr>
              <w:t>506</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DC53B5" w:rsidP="006757E8">
            <w:pPr>
              <w:pStyle w:val="Tabletext"/>
              <w:rPr>
                <w:rFonts w:asciiTheme="majorHAnsi" w:eastAsia="Calibri" w:hAnsiTheme="majorHAnsi" w:cstheme="majorBidi"/>
                <w:b/>
                <w:sz w:val="40"/>
                <w:lang w:eastAsia="en-US"/>
              </w:rPr>
            </w:pPr>
            <w:r w:rsidRPr="00427EE1">
              <w:rPr>
                <w:rFonts w:eastAsia="Calibri"/>
                <w:lang w:eastAsia="en-US"/>
              </w:rPr>
              <w:t>102</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DC53B5" w:rsidP="006757E8">
            <w:pPr>
              <w:pStyle w:val="Tabletext"/>
              <w:rPr>
                <w:rFonts w:eastAsia="Calibri"/>
                <w:b/>
                <w:lang w:eastAsia="en-US"/>
              </w:rPr>
            </w:pPr>
            <w:r w:rsidRPr="00427EE1">
              <w:rPr>
                <w:rFonts w:eastAsia="Calibri"/>
                <w:b/>
                <w:lang w:eastAsia="en-US"/>
              </w:rPr>
              <w:t>Windows and balconies</w:t>
            </w:r>
          </w:p>
          <w:p w:rsidR="00E657D7" w:rsidRDefault="002D140F" w:rsidP="006757E8">
            <w:pPr>
              <w:pStyle w:val="Tabletext"/>
              <w:rPr>
                <w:rFonts w:eastAsia="Calibri"/>
                <w:lang w:eastAsia="en-US"/>
              </w:rPr>
            </w:pPr>
            <w:r>
              <w:rPr>
                <w:rFonts w:eastAsia="Calibri"/>
                <w:lang w:eastAsia="en-US"/>
              </w:rPr>
              <w:t>L</w:t>
            </w:r>
            <w:r w:rsidRPr="00427EE1">
              <w:rPr>
                <w:rFonts w:eastAsia="Calibri"/>
                <w:lang w:eastAsia="en-US"/>
              </w:rPr>
              <w:t xml:space="preserve">imits </w:t>
            </w:r>
            <w:r w:rsidR="00DC53B5" w:rsidRPr="00427EE1">
              <w:rPr>
                <w:rFonts w:eastAsia="Calibri"/>
                <w:lang w:eastAsia="en-US"/>
              </w:rPr>
              <w:t xml:space="preserve">when a balcony or window can extend out from a building over a street or footpath.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rsidP="006757E8">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DC53B5">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ensure suitable clearances for windows and balconies</w:t>
            </w:r>
            <w:r w:rsidR="00E60957">
              <w:rPr>
                <w:rFonts w:eastAsia="Calibri"/>
              </w:rPr>
              <w:t xml:space="preserve"> </w:t>
            </w:r>
            <w:r w:rsidRPr="00427EE1">
              <w:rPr>
                <w:rFonts w:eastAsia="Calibri"/>
              </w:rPr>
              <w:t>are provided for the safe passage of pedestrian and vehicular traffic.</w:t>
            </w:r>
            <w:r w:rsidR="00E60957">
              <w:rPr>
                <w:rFonts w:eastAsia="Calibri"/>
              </w:rPr>
              <w:t xml:space="preserve"> </w:t>
            </w:r>
            <w:r w:rsidRPr="00427EE1">
              <w:rPr>
                <w:rFonts w:eastAsia="Calibri"/>
              </w:rPr>
              <w:t xml:space="preserve">This </w:t>
            </w:r>
            <w:r w:rsidR="000273F9">
              <w:rPr>
                <w:rFonts w:eastAsia="Calibri"/>
              </w:rPr>
              <w:t>Regulation</w:t>
            </w:r>
            <w:r w:rsidRPr="00427EE1">
              <w:rPr>
                <w:rFonts w:eastAsia="Calibri"/>
              </w:rPr>
              <w:t xml:space="preserve"> has been updated to specify how permissible clearances will apply to narrow, medium and wide streets.</w:t>
            </w:r>
          </w:p>
          <w:p w:rsidR="00E657D7" w:rsidRDefault="00E657D7">
            <w:pPr>
              <w:pStyle w:val="Tabletext"/>
              <w:rPr>
                <w:rFonts w:eastAsia="Calibri"/>
                <w:sz w:val="16"/>
              </w:rPr>
            </w:pPr>
          </w:p>
        </w:tc>
      </w:tr>
      <w:tr w:rsidR="00DC53B5" w:rsidRPr="00427EE1" w:rsidTr="006119D2">
        <w:trPr>
          <w:cantSplit/>
          <w:trHeight w:val="675"/>
        </w:trPr>
        <w:tc>
          <w:tcPr>
            <w:tcW w:w="103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DC53B5" w:rsidP="006757E8">
            <w:pPr>
              <w:pStyle w:val="Tabletext"/>
              <w:rPr>
                <w:rFonts w:eastAsia="Calibri"/>
              </w:rPr>
            </w:pPr>
            <w:r w:rsidRPr="00427EE1">
              <w:rPr>
                <w:rFonts w:eastAsia="Calibri"/>
              </w:rPr>
              <w:t>507</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DC53B5" w:rsidP="006757E8">
            <w:pPr>
              <w:pStyle w:val="Tabletext"/>
              <w:rPr>
                <w:rFonts w:asciiTheme="majorHAnsi" w:eastAsia="Calibri" w:hAnsiTheme="majorHAnsi" w:cstheme="majorBidi"/>
                <w:b/>
                <w:sz w:val="40"/>
                <w:lang w:eastAsia="en-US"/>
              </w:rPr>
            </w:pPr>
            <w:r w:rsidRPr="00427EE1">
              <w:rPr>
                <w:rFonts w:eastAsia="Calibri"/>
                <w:lang w:eastAsia="en-US"/>
              </w:rPr>
              <w:t>103</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DC53B5" w:rsidP="006757E8">
            <w:pPr>
              <w:pStyle w:val="Tabletext"/>
              <w:rPr>
                <w:rFonts w:asciiTheme="majorHAnsi" w:eastAsia="Calibri" w:hAnsiTheme="majorHAnsi" w:cstheme="majorBidi"/>
                <w:b/>
                <w:sz w:val="40"/>
                <w:lang w:eastAsia="en-US"/>
              </w:rPr>
            </w:pPr>
            <w:r w:rsidRPr="00427EE1">
              <w:rPr>
                <w:rFonts w:eastAsia="Calibri"/>
                <w:b/>
                <w:lang w:eastAsia="en-US"/>
              </w:rPr>
              <w:t>Verandahs</w:t>
            </w:r>
          </w:p>
          <w:p w:rsidR="00E657D7" w:rsidRDefault="002D140F" w:rsidP="006757E8">
            <w:pPr>
              <w:pStyle w:val="Tabletext"/>
              <w:rPr>
                <w:rFonts w:eastAsia="Calibri"/>
                <w:lang w:eastAsia="en-US"/>
              </w:rPr>
            </w:pPr>
            <w:r>
              <w:rPr>
                <w:rFonts w:eastAsia="Calibri"/>
                <w:lang w:eastAsia="en-US"/>
              </w:rPr>
              <w:t>L</w:t>
            </w:r>
            <w:r w:rsidRPr="00427EE1">
              <w:rPr>
                <w:rFonts w:eastAsia="Calibri"/>
                <w:lang w:eastAsia="en-US"/>
              </w:rPr>
              <w:t xml:space="preserve">imits </w:t>
            </w:r>
            <w:r w:rsidR="00DC53B5" w:rsidRPr="00427EE1">
              <w:rPr>
                <w:rFonts w:eastAsia="Calibri"/>
                <w:lang w:eastAsia="en-US"/>
              </w:rPr>
              <w:t xml:space="preserve">when verandas can extend out from a building over a street or footpath.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rsidP="006757E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DC53B5">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ensure suitable clearances for verandahs are provided for the safe passage of pedestrian and vehicular traffic</w:t>
            </w:r>
            <w:r w:rsidR="00A14EA0">
              <w:rPr>
                <w:rFonts w:eastAsia="Calibri"/>
              </w:rPr>
              <w:t>.</w:t>
            </w:r>
          </w:p>
        </w:tc>
      </w:tr>
      <w:tr w:rsidR="00DC53B5" w:rsidRPr="00427EE1" w:rsidTr="006119D2">
        <w:trPr>
          <w:cantSplit/>
          <w:trHeight w:val="340"/>
        </w:trPr>
        <w:tc>
          <w:tcPr>
            <w:tcW w:w="103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DC53B5" w:rsidP="006757E8">
            <w:pPr>
              <w:pStyle w:val="Tabletext"/>
              <w:rPr>
                <w:rFonts w:eastAsia="Calibri"/>
              </w:rPr>
            </w:pPr>
            <w:r w:rsidRPr="00427EE1">
              <w:rPr>
                <w:rFonts w:eastAsia="Calibri"/>
              </w:rPr>
              <w:lastRenderedPageBreak/>
              <w:t>508</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DC53B5" w:rsidP="006757E8">
            <w:pPr>
              <w:pStyle w:val="Tabletext"/>
              <w:rPr>
                <w:rFonts w:asciiTheme="majorHAnsi" w:eastAsia="Calibri" w:hAnsiTheme="majorHAnsi" w:cstheme="majorBidi"/>
                <w:b/>
                <w:sz w:val="40"/>
                <w:lang w:eastAsia="en-US"/>
              </w:rPr>
            </w:pPr>
            <w:r w:rsidRPr="00427EE1">
              <w:rPr>
                <w:rFonts w:eastAsia="Calibri"/>
                <w:lang w:eastAsia="en-US"/>
              </w:rPr>
              <w:t>104</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DC53B5" w:rsidP="006757E8">
            <w:pPr>
              <w:pStyle w:val="Tabletext"/>
              <w:rPr>
                <w:rFonts w:asciiTheme="majorHAnsi" w:eastAsia="Calibri" w:hAnsiTheme="majorHAnsi" w:cstheme="majorBidi"/>
                <w:b/>
                <w:sz w:val="40"/>
                <w:lang w:eastAsia="en-US"/>
              </w:rPr>
            </w:pPr>
            <w:proofErr w:type="spellStart"/>
            <w:r w:rsidRPr="00427EE1">
              <w:rPr>
                <w:rFonts w:eastAsia="Calibri"/>
                <w:b/>
                <w:lang w:eastAsia="en-US"/>
              </w:rPr>
              <w:t>Sunblinds</w:t>
            </w:r>
            <w:proofErr w:type="spellEnd"/>
            <w:r w:rsidRPr="00427EE1">
              <w:rPr>
                <w:rFonts w:eastAsia="Calibri"/>
                <w:b/>
                <w:lang w:eastAsia="en-US"/>
              </w:rPr>
              <w:t xml:space="preserve"> and awnings</w:t>
            </w:r>
          </w:p>
          <w:p w:rsidR="00E657D7" w:rsidRDefault="002D140F" w:rsidP="006757E8">
            <w:pPr>
              <w:pStyle w:val="Tabletext"/>
              <w:rPr>
                <w:rFonts w:eastAsia="Calibri"/>
                <w:lang w:eastAsia="en-US"/>
              </w:rPr>
            </w:pPr>
            <w:r>
              <w:rPr>
                <w:rFonts w:eastAsia="Calibri"/>
                <w:lang w:eastAsia="en-US"/>
              </w:rPr>
              <w:t>L</w:t>
            </w:r>
            <w:r w:rsidRPr="00427EE1">
              <w:rPr>
                <w:rFonts w:eastAsia="Calibri"/>
                <w:lang w:eastAsia="en-US"/>
              </w:rPr>
              <w:t xml:space="preserve">imits </w:t>
            </w:r>
            <w:r w:rsidR="00DC53B5" w:rsidRPr="00427EE1">
              <w:rPr>
                <w:rFonts w:eastAsia="Calibri"/>
                <w:lang w:eastAsia="en-US"/>
              </w:rPr>
              <w:t xml:space="preserve">when </w:t>
            </w:r>
            <w:proofErr w:type="spellStart"/>
            <w:r w:rsidR="00DC53B5" w:rsidRPr="00427EE1">
              <w:rPr>
                <w:rFonts w:eastAsia="Calibri"/>
                <w:lang w:eastAsia="en-US"/>
              </w:rPr>
              <w:t>sunblinds</w:t>
            </w:r>
            <w:proofErr w:type="spellEnd"/>
            <w:r w:rsidR="00DC53B5" w:rsidRPr="00427EE1">
              <w:rPr>
                <w:rFonts w:eastAsia="Calibri"/>
                <w:lang w:eastAsia="en-US"/>
              </w:rPr>
              <w:t xml:space="preserve"> and awnings can extend out from the building over a street or footpath.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rsidP="006757E8">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DC53B5">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ensure suitable clearances for </w:t>
            </w:r>
            <w:proofErr w:type="spellStart"/>
            <w:r w:rsidRPr="00427EE1">
              <w:rPr>
                <w:rFonts w:eastAsia="Calibri"/>
              </w:rPr>
              <w:t>sunblinds</w:t>
            </w:r>
            <w:proofErr w:type="spellEnd"/>
            <w:r w:rsidRPr="00427EE1">
              <w:rPr>
                <w:rFonts w:eastAsia="Calibri"/>
              </w:rPr>
              <w:t xml:space="preserve"> and awnings are provided for the safe passage of pedestrian</w:t>
            </w:r>
            <w:r w:rsidR="00E60957">
              <w:rPr>
                <w:rFonts w:eastAsia="Calibri"/>
              </w:rPr>
              <w:t xml:space="preserve"> </w:t>
            </w:r>
            <w:r w:rsidRPr="00427EE1">
              <w:rPr>
                <w:rFonts w:eastAsia="Calibri"/>
              </w:rPr>
              <w:t>and vehicular traffic</w:t>
            </w:r>
            <w:r w:rsidR="00A14EA0">
              <w:rPr>
                <w:rFonts w:eastAsia="Calibri"/>
              </w:rPr>
              <w:t>.</w:t>
            </w:r>
            <w:r w:rsidRPr="00427EE1">
              <w:rPr>
                <w:rFonts w:eastAsia="Calibri"/>
              </w:rPr>
              <w:t xml:space="preserve"> </w:t>
            </w:r>
            <w:r w:rsidR="000E0F87" w:rsidRPr="00427EE1">
              <w:rPr>
                <w:rFonts w:eastAsia="Calibri"/>
              </w:rPr>
              <w:t>The c</w:t>
            </w:r>
            <w:r w:rsidRPr="00427EE1">
              <w:rPr>
                <w:rFonts w:eastAsia="Calibri"/>
              </w:rPr>
              <w:t>learance for vehicle traffic is new.</w:t>
            </w:r>
          </w:p>
          <w:p w:rsidR="00E657D7" w:rsidRDefault="00E657D7">
            <w:pPr>
              <w:pStyle w:val="Tabletext"/>
              <w:rPr>
                <w:rFonts w:eastAsia="Calibri"/>
                <w:sz w:val="16"/>
              </w:rPr>
            </w:pPr>
          </w:p>
        </w:tc>
      </w:tr>
      <w:tr w:rsidR="00DC53B5" w:rsidRPr="00427EE1" w:rsidTr="006119D2">
        <w:trPr>
          <w:cantSplit/>
          <w:trHeight w:val="340"/>
        </w:trPr>
        <w:tc>
          <w:tcPr>
            <w:tcW w:w="103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DC53B5" w:rsidP="006757E8">
            <w:pPr>
              <w:pStyle w:val="Tabletext"/>
              <w:rPr>
                <w:rFonts w:eastAsia="Calibri"/>
              </w:rPr>
            </w:pPr>
            <w:r w:rsidRPr="00427EE1">
              <w:rPr>
                <w:rFonts w:eastAsia="Calibri"/>
              </w:rPr>
              <w:t>509</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DC53B5" w:rsidP="006757E8">
            <w:pPr>
              <w:pStyle w:val="Tabletext"/>
              <w:rPr>
                <w:rFonts w:asciiTheme="majorHAnsi" w:eastAsia="Calibri" w:hAnsiTheme="majorHAnsi" w:cstheme="majorBidi"/>
                <w:b/>
                <w:sz w:val="40"/>
                <w:lang w:eastAsia="en-US"/>
              </w:rPr>
            </w:pPr>
            <w:r w:rsidRPr="00427EE1">
              <w:rPr>
                <w:rFonts w:eastAsia="Calibri"/>
                <w:lang w:eastAsia="en-US"/>
              </w:rPr>
              <w:t>105</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DC53B5" w:rsidP="006757E8">
            <w:pPr>
              <w:pStyle w:val="Tabletext"/>
              <w:rPr>
                <w:rFonts w:asciiTheme="majorHAnsi" w:eastAsia="Calibri" w:hAnsiTheme="majorHAnsi" w:cstheme="majorBidi"/>
                <w:b/>
                <w:sz w:val="40"/>
                <w:lang w:eastAsia="en-US"/>
              </w:rPr>
            </w:pPr>
            <w:r w:rsidRPr="00427EE1">
              <w:rPr>
                <w:rFonts w:eastAsia="Calibri"/>
                <w:b/>
                <w:lang w:eastAsia="en-US"/>
              </w:rPr>
              <w:t>Service pipes and rainwater heads</w:t>
            </w:r>
          </w:p>
          <w:p w:rsidR="00E657D7" w:rsidRDefault="002D140F" w:rsidP="006757E8">
            <w:pPr>
              <w:pStyle w:val="Tabletext"/>
              <w:rPr>
                <w:rFonts w:eastAsia="Calibri"/>
                <w:lang w:eastAsia="en-US"/>
              </w:rPr>
            </w:pPr>
            <w:r>
              <w:rPr>
                <w:rFonts w:eastAsia="Calibri"/>
                <w:lang w:eastAsia="en-US"/>
              </w:rPr>
              <w:t>R</w:t>
            </w:r>
            <w:r w:rsidR="00DC53B5" w:rsidRPr="00427EE1">
              <w:rPr>
                <w:rFonts w:eastAsia="Calibri"/>
                <w:lang w:eastAsia="en-US"/>
              </w:rPr>
              <w:t>estricts when service pipes and rainwater heads can</w:t>
            </w:r>
            <w:r w:rsidR="00E60957">
              <w:rPr>
                <w:rFonts w:eastAsia="Calibri"/>
                <w:lang w:eastAsia="en-US"/>
              </w:rPr>
              <w:t xml:space="preserve"> </w:t>
            </w:r>
            <w:r w:rsidR="00DC53B5" w:rsidRPr="00427EE1">
              <w:rPr>
                <w:rFonts w:eastAsia="Calibri"/>
                <w:lang w:eastAsia="en-US"/>
              </w:rPr>
              <w:t xml:space="preserve">extend out from a building over a street or footpath.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rsidP="006757E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DC53B5">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ensure suitable clearances are provided for </w:t>
            </w:r>
            <w:r w:rsidR="004E083D">
              <w:rPr>
                <w:rFonts w:eastAsia="Calibri"/>
              </w:rPr>
              <w:t>protecting</w:t>
            </w:r>
            <w:r w:rsidRPr="00427EE1">
              <w:rPr>
                <w:rFonts w:eastAsia="Calibri"/>
              </w:rPr>
              <w:t xml:space="preserve"> pedestrian traffic.</w:t>
            </w:r>
          </w:p>
        </w:tc>
      </w:tr>
      <w:tr w:rsidR="00DC53B5" w:rsidRPr="00427EE1" w:rsidTr="006119D2">
        <w:trPr>
          <w:cantSplit/>
          <w:trHeight w:val="340"/>
        </w:trPr>
        <w:tc>
          <w:tcPr>
            <w:tcW w:w="103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DC53B5" w:rsidP="006757E8">
            <w:pPr>
              <w:pStyle w:val="Tabletext"/>
              <w:rPr>
                <w:rFonts w:eastAsia="Calibri"/>
              </w:rPr>
            </w:pPr>
            <w:r w:rsidRPr="00427EE1">
              <w:rPr>
                <w:rFonts w:eastAsia="Calibri"/>
              </w:rPr>
              <w:t>510</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DC53B5" w:rsidP="006757E8">
            <w:pPr>
              <w:pStyle w:val="Tabletext"/>
              <w:rPr>
                <w:rFonts w:asciiTheme="majorHAnsi" w:eastAsia="Calibri" w:hAnsiTheme="majorHAnsi" w:cstheme="majorBidi"/>
                <w:b/>
                <w:sz w:val="40"/>
                <w:lang w:eastAsia="en-US"/>
              </w:rPr>
            </w:pPr>
            <w:r w:rsidRPr="00427EE1">
              <w:rPr>
                <w:rFonts w:eastAsia="Calibri"/>
                <w:lang w:eastAsia="en-US"/>
              </w:rPr>
              <w:t>106</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DC53B5" w:rsidP="006757E8">
            <w:pPr>
              <w:pStyle w:val="Tabletext"/>
              <w:rPr>
                <w:rFonts w:asciiTheme="majorHAnsi" w:eastAsia="Calibri" w:hAnsiTheme="majorHAnsi" w:cstheme="majorBidi"/>
                <w:b/>
                <w:sz w:val="40"/>
                <w:lang w:eastAsia="en-US"/>
              </w:rPr>
            </w:pPr>
            <w:r w:rsidRPr="00427EE1">
              <w:rPr>
                <w:rFonts w:eastAsia="Calibri"/>
                <w:b/>
                <w:lang w:eastAsia="en-US"/>
              </w:rPr>
              <w:t>Window shutters</w:t>
            </w:r>
          </w:p>
          <w:p w:rsidR="00E657D7" w:rsidRDefault="002D140F" w:rsidP="006757E8">
            <w:pPr>
              <w:pStyle w:val="Tabletext"/>
              <w:rPr>
                <w:rFonts w:eastAsia="Calibri"/>
                <w:lang w:eastAsia="en-US"/>
              </w:rPr>
            </w:pPr>
            <w:r>
              <w:rPr>
                <w:rFonts w:eastAsia="Calibri"/>
                <w:lang w:eastAsia="en-US"/>
              </w:rPr>
              <w:t>L</w:t>
            </w:r>
            <w:r w:rsidRPr="00427EE1">
              <w:rPr>
                <w:rFonts w:eastAsia="Calibri"/>
                <w:lang w:eastAsia="en-US"/>
              </w:rPr>
              <w:t xml:space="preserve">imits </w:t>
            </w:r>
            <w:r w:rsidR="00DC53B5" w:rsidRPr="00427EE1">
              <w:rPr>
                <w:rFonts w:eastAsia="Calibri"/>
                <w:lang w:eastAsia="en-US"/>
              </w:rPr>
              <w:t xml:space="preserve">when window shutters can extend out from a building over a street or footpath.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rsidP="006757E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DC53B5">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ensure suitable clearance is provided for </w:t>
            </w:r>
            <w:r w:rsidR="004E083D">
              <w:rPr>
                <w:rFonts w:eastAsia="Calibri"/>
              </w:rPr>
              <w:t>protecting</w:t>
            </w:r>
            <w:r w:rsidRPr="00427EE1">
              <w:rPr>
                <w:rFonts w:eastAsia="Calibri"/>
              </w:rPr>
              <w:t xml:space="preserve"> pedestrian traffic.</w:t>
            </w:r>
          </w:p>
        </w:tc>
      </w:tr>
      <w:tr w:rsidR="00DC53B5" w:rsidRPr="00427EE1" w:rsidTr="006119D2">
        <w:trPr>
          <w:cantSplit/>
          <w:trHeight w:val="340"/>
        </w:trPr>
        <w:tc>
          <w:tcPr>
            <w:tcW w:w="103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DC53B5" w:rsidP="006757E8">
            <w:pPr>
              <w:pStyle w:val="Tabletext"/>
              <w:rPr>
                <w:rFonts w:eastAsia="Calibri"/>
              </w:rPr>
            </w:pPr>
            <w:r w:rsidRPr="00427EE1">
              <w:rPr>
                <w:rFonts w:eastAsia="Calibri"/>
              </w:rPr>
              <w:t>511</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DC53B5" w:rsidP="006757E8">
            <w:pPr>
              <w:pStyle w:val="Tabletext"/>
              <w:rPr>
                <w:rFonts w:asciiTheme="majorHAnsi" w:eastAsia="Calibri" w:hAnsiTheme="majorHAnsi" w:cstheme="majorBidi"/>
                <w:b/>
                <w:sz w:val="40"/>
                <w:lang w:eastAsia="en-US"/>
              </w:rPr>
            </w:pPr>
            <w:r w:rsidRPr="00427EE1">
              <w:rPr>
                <w:rFonts w:eastAsia="Calibri"/>
                <w:lang w:eastAsia="en-US"/>
              </w:rPr>
              <w:t>107</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DC53B5" w:rsidP="006757E8">
            <w:pPr>
              <w:pStyle w:val="Tabletext"/>
              <w:rPr>
                <w:rFonts w:asciiTheme="majorHAnsi" w:eastAsia="Calibri" w:hAnsiTheme="majorHAnsi" w:cstheme="majorBidi"/>
                <w:b/>
                <w:sz w:val="40"/>
                <w:lang w:eastAsia="en-US"/>
              </w:rPr>
            </w:pPr>
            <w:r w:rsidRPr="00427EE1">
              <w:rPr>
                <w:rFonts w:eastAsia="Calibri"/>
                <w:b/>
                <w:lang w:eastAsia="en-US"/>
              </w:rPr>
              <w:t>Signs</w:t>
            </w:r>
          </w:p>
          <w:p w:rsidR="00E657D7" w:rsidRDefault="002D140F" w:rsidP="006757E8">
            <w:pPr>
              <w:pStyle w:val="Tabletext"/>
              <w:rPr>
                <w:rFonts w:eastAsia="Calibri"/>
                <w:lang w:eastAsia="en-US"/>
              </w:rPr>
            </w:pPr>
            <w:r>
              <w:rPr>
                <w:rFonts w:eastAsia="Calibri"/>
                <w:lang w:eastAsia="en-US"/>
              </w:rPr>
              <w:t>L</w:t>
            </w:r>
            <w:r w:rsidRPr="00427EE1">
              <w:rPr>
                <w:rFonts w:eastAsia="Calibri"/>
                <w:lang w:eastAsia="en-US"/>
              </w:rPr>
              <w:t xml:space="preserve">imits </w:t>
            </w:r>
            <w:r w:rsidR="00DC53B5" w:rsidRPr="00427EE1">
              <w:rPr>
                <w:rFonts w:eastAsia="Calibri"/>
                <w:lang w:eastAsia="en-US"/>
              </w:rPr>
              <w:t xml:space="preserve">when signs or other Class 10b structures can extend out form a building over a street or footpath.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rsidP="006757E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DC53B5">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ensure suitable clearance is provided for </w:t>
            </w:r>
            <w:r w:rsidR="004E083D">
              <w:rPr>
                <w:rFonts w:eastAsia="Calibri"/>
              </w:rPr>
              <w:t>protecting</w:t>
            </w:r>
            <w:r w:rsidRPr="00427EE1">
              <w:rPr>
                <w:rFonts w:eastAsia="Calibri"/>
              </w:rPr>
              <w:t xml:space="preserve"> pedestrian traffic.</w:t>
            </w:r>
          </w:p>
        </w:tc>
      </w:tr>
      <w:tr w:rsidR="00DC53B5" w:rsidRPr="00427EE1" w:rsidTr="006119D2">
        <w:trPr>
          <w:cantSplit/>
          <w:trHeight w:val="340"/>
        </w:trPr>
        <w:tc>
          <w:tcPr>
            <w:tcW w:w="103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DC53B5" w:rsidP="006757E8">
            <w:pPr>
              <w:pStyle w:val="Tabletext"/>
              <w:rPr>
                <w:rFonts w:eastAsia="Calibri"/>
              </w:rPr>
            </w:pPr>
            <w:r w:rsidRPr="00427EE1">
              <w:rPr>
                <w:rFonts w:eastAsia="Calibri"/>
              </w:rPr>
              <w:t>512</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DC53B5" w:rsidP="006757E8">
            <w:pPr>
              <w:pStyle w:val="Tabletext"/>
              <w:rPr>
                <w:rFonts w:asciiTheme="majorHAnsi" w:eastAsia="Calibri" w:hAnsiTheme="majorHAnsi" w:cstheme="majorBidi"/>
                <w:b/>
                <w:sz w:val="40"/>
                <w:lang w:eastAsia="en-US"/>
              </w:rPr>
            </w:pPr>
            <w:r w:rsidRPr="00427EE1">
              <w:rPr>
                <w:rFonts w:eastAsia="Calibri"/>
                <w:lang w:eastAsia="en-US"/>
              </w:rPr>
              <w:t>108</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DC53B5" w:rsidP="006757E8">
            <w:pPr>
              <w:pStyle w:val="Tabletext"/>
              <w:rPr>
                <w:rFonts w:asciiTheme="majorHAnsi" w:eastAsia="Calibri" w:hAnsiTheme="majorHAnsi" w:cstheme="majorBidi"/>
                <w:b/>
                <w:sz w:val="40"/>
                <w:lang w:eastAsia="en-US"/>
              </w:rPr>
            </w:pPr>
            <w:r w:rsidRPr="00427EE1">
              <w:rPr>
                <w:rFonts w:eastAsia="Calibri"/>
                <w:b/>
                <w:lang w:eastAsia="en-US"/>
              </w:rPr>
              <w:t>Service cabinet doors</w:t>
            </w:r>
          </w:p>
          <w:p w:rsidR="00E657D7" w:rsidRDefault="002D140F" w:rsidP="006757E8">
            <w:pPr>
              <w:pStyle w:val="Tabletext"/>
              <w:rPr>
                <w:rFonts w:eastAsia="Calibri"/>
                <w:lang w:eastAsia="en-US"/>
              </w:rPr>
            </w:pPr>
            <w:r>
              <w:rPr>
                <w:rFonts w:eastAsia="Calibri"/>
                <w:lang w:eastAsia="en-US"/>
              </w:rPr>
              <w:t>L</w:t>
            </w:r>
            <w:r w:rsidRPr="00427EE1">
              <w:rPr>
                <w:rFonts w:eastAsia="Calibri"/>
                <w:lang w:eastAsia="en-US"/>
              </w:rPr>
              <w:t xml:space="preserve">imits </w:t>
            </w:r>
            <w:r w:rsidR="00DC53B5" w:rsidRPr="00427EE1">
              <w:rPr>
                <w:rFonts w:eastAsia="Calibri"/>
                <w:lang w:eastAsia="en-US"/>
              </w:rPr>
              <w:t xml:space="preserve">when service cabinet doors, when open, can extend from a building over a street or footpath.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rsidP="006757E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DC53B5">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ensure suitable clearance is provided for </w:t>
            </w:r>
            <w:r w:rsidR="004E083D">
              <w:rPr>
                <w:rFonts w:eastAsia="Calibri"/>
              </w:rPr>
              <w:t>protecting</w:t>
            </w:r>
            <w:r w:rsidRPr="00427EE1">
              <w:rPr>
                <w:rFonts w:eastAsia="Calibri"/>
              </w:rPr>
              <w:t xml:space="preserve"> pedestrian traffic.</w:t>
            </w:r>
          </w:p>
        </w:tc>
      </w:tr>
      <w:tr w:rsidR="00DC53B5" w:rsidRPr="00427EE1" w:rsidTr="006119D2">
        <w:trPr>
          <w:cantSplit/>
          <w:trHeight w:val="340"/>
        </w:trPr>
        <w:tc>
          <w:tcPr>
            <w:tcW w:w="103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E657D7" w:rsidRDefault="00DC53B5" w:rsidP="006757E8">
            <w:pPr>
              <w:pStyle w:val="Tabletext"/>
              <w:rPr>
                <w:rFonts w:eastAsia="Calibri"/>
              </w:rPr>
            </w:pPr>
            <w:r w:rsidRPr="00427EE1">
              <w:rPr>
                <w:rFonts w:eastAsia="Calibri"/>
              </w:rPr>
              <w:t>513</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E657D7" w:rsidRDefault="00DC53B5" w:rsidP="006757E8">
            <w:pPr>
              <w:pStyle w:val="Tabletext"/>
              <w:rPr>
                <w:rFonts w:asciiTheme="majorHAnsi" w:eastAsia="Calibri" w:hAnsiTheme="majorHAnsi" w:cstheme="majorBidi"/>
                <w:b/>
                <w:sz w:val="40"/>
                <w:lang w:eastAsia="en-US"/>
              </w:rPr>
            </w:pPr>
            <w:r w:rsidRPr="00427EE1">
              <w:rPr>
                <w:rFonts w:eastAsia="Calibri"/>
                <w:lang w:eastAsia="en-US"/>
              </w:rPr>
              <w:t>109</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tcPr>
          <w:p w:rsidR="00E657D7" w:rsidRDefault="00DC53B5" w:rsidP="006757E8">
            <w:pPr>
              <w:pStyle w:val="Tabletext"/>
              <w:rPr>
                <w:rFonts w:asciiTheme="majorHAnsi" w:eastAsia="Calibri" w:hAnsiTheme="majorHAnsi" w:cstheme="majorBidi"/>
                <w:b/>
                <w:sz w:val="40"/>
                <w:lang w:eastAsia="en-US"/>
              </w:rPr>
            </w:pPr>
            <w:r w:rsidRPr="00427EE1">
              <w:rPr>
                <w:rFonts w:eastAsia="Calibri"/>
                <w:b/>
                <w:lang w:eastAsia="en-US"/>
              </w:rPr>
              <w:t>Report and consent required</w:t>
            </w:r>
          </w:p>
          <w:p w:rsidR="00E657D7" w:rsidRDefault="002D140F" w:rsidP="006757E8">
            <w:pPr>
              <w:pStyle w:val="Tabletext"/>
              <w:rPr>
                <w:rFonts w:eastAsia="Calibri"/>
                <w:lang w:eastAsia="en-US"/>
              </w:rPr>
            </w:pPr>
            <w:r>
              <w:rPr>
                <w:rFonts w:eastAsia="Calibri"/>
                <w:lang w:eastAsia="en-US"/>
              </w:rPr>
              <w:t>R</w:t>
            </w:r>
            <w:r w:rsidR="00DC53B5" w:rsidRPr="00427EE1">
              <w:rPr>
                <w:rFonts w:eastAsia="Calibri"/>
                <w:lang w:eastAsia="en-US"/>
              </w:rPr>
              <w:t xml:space="preserve">equires a report and consent of the relevant council for a projection which is proposed to extend at a vertical and/or horizontal clearance which is different from a clearance specified in </w:t>
            </w:r>
            <w:proofErr w:type="spellStart"/>
            <w:r w:rsidR="004267C5">
              <w:rPr>
                <w:rFonts w:eastAsia="Calibri"/>
                <w:lang w:eastAsia="en-US"/>
              </w:rPr>
              <w:t>pt</w:t>
            </w:r>
            <w:proofErr w:type="spellEnd"/>
            <w:r w:rsidR="00DC53B5" w:rsidRPr="00427EE1">
              <w:rPr>
                <w:rFonts w:eastAsia="Calibri"/>
                <w:lang w:eastAsia="en-US"/>
              </w:rPr>
              <w:t xml:space="preserve"> 7 of the Regulations.</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DC53B5" w:rsidRPr="00427EE1" w:rsidRDefault="00DC53B5"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DC53B5" w:rsidRPr="00427EE1" w:rsidRDefault="00DC53B5" w:rsidP="006757E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E657D7" w:rsidRDefault="00DC53B5">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provides flexibility for building permit applicants by allowing the relevant council to authorise a </w:t>
            </w:r>
            <w:r w:rsidR="0023395A">
              <w:rPr>
                <w:rFonts w:eastAsia="Calibri"/>
              </w:rPr>
              <w:t>non</w:t>
            </w:r>
            <w:r w:rsidRPr="00427EE1">
              <w:rPr>
                <w:rFonts w:eastAsia="Calibri"/>
              </w:rPr>
              <w:t>compliant projection if it will not have an adverse impact on public safety.</w:t>
            </w:r>
          </w:p>
        </w:tc>
      </w:tr>
      <w:tr w:rsidR="00DC53B5" w:rsidRPr="00427EE1" w:rsidTr="006119D2">
        <w:trPr>
          <w:cantSplit/>
          <w:trHeight w:val="340"/>
        </w:trPr>
        <w:tc>
          <w:tcPr>
            <w:tcW w:w="103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DC53B5" w:rsidP="006757E8">
            <w:pPr>
              <w:pStyle w:val="Tabletext"/>
              <w:rPr>
                <w:rFonts w:eastAsia="Calibri"/>
              </w:rPr>
            </w:pPr>
            <w:r w:rsidRPr="00427EE1">
              <w:rPr>
                <w:rFonts w:eastAsia="Calibri"/>
              </w:rPr>
              <w:t>514</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DC53B5" w:rsidP="006757E8">
            <w:pPr>
              <w:pStyle w:val="Tabletext"/>
              <w:rPr>
                <w:rFonts w:asciiTheme="majorHAnsi" w:eastAsia="Calibri" w:hAnsiTheme="majorHAnsi" w:cstheme="majorBidi"/>
                <w:b/>
                <w:sz w:val="40"/>
                <w:lang w:eastAsia="en-US"/>
              </w:rPr>
            </w:pPr>
            <w:r w:rsidRPr="00427EE1">
              <w:rPr>
                <w:rFonts w:eastAsia="Calibri"/>
                <w:lang w:eastAsia="en-US"/>
              </w:rPr>
              <w:t>110</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DC53B5" w:rsidP="006757E8">
            <w:pPr>
              <w:pStyle w:val="Tabletext"/>
              <w:rPr>
                <w:rFonts w:asciiTheme="majorHAnsi" w:eastAsia="Calibri" w:hAnsiTheme="majorHAnsi" w:cstheme="majorBidi"/>
                <w:b/>
                <w:sz w:val="40"/>
                <w:lang w:eastAsia="en-US"/>
              </w:rPr>
            </w:pPr>
            <w:r w:rsidRPr="00427EE1">
              <w:rPr>
                <w:rFonts w:eastAsia="Calibri"/>
                <w:b/>
                <w:lang w:eastAsia="en-US"/>
              </w:rPr>
              <w:t>Footings adjoining boundaries are permissible</w:t>
            </w:r>
          </w:p>
          <w:p w:rsidR="00E657D7" w:rsidRDefault="002D140F" w:rsidP="006757E8">
            <w:pPr>
              <w:pStyle w:val="Tabletext"/>
              <w:rPr>
                <w:rFonts w:eastAsia="Calibri"/>
                <w:lang w:eastAsia="en-US"/>
              </w:rPr>
            </w:pPr>
            <w:r>
              <w:rPr>
                <w:rFonts w:eastAsia="Calibri"/>
                <w:lang w:eastAsia="en-US"/>
              </w:rPr>
              <w:t>A</w:t>
            </w:r>
            <w:r w:rsidR="00DC53B5" w:rsidRPr="00427EE1">
              <w:rPr>
                <w:rFonts w:eastAsia="Calibri"/>
                <w:lang w:eastAsia="en-US"/>
              </w:rPr>
              <w:t xml:space="preserve">llows a footing to support party wall.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rsidP="006757E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C53B5" w:rsidRPr="00427EE1" w:rsidRDefault="00DC53B5">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E657D7" w:rsidRDefault="008A3C08">
            <w:pPr>
              <w:pStyle w:val="Tabletext"/>
              <w:rPr>
                <w:rFonts w:eastAsia="Calibri"/>
              </w:rPr>
            </w:pPr>
            <w:r w:rsidRPr="008A3C08">
              <w:rPr>
                <w:rFonts w:eastAsia="Calibri"/>
              </w:rPr>
              <w:t xml:space="preserve">This </w:t>
            </w:r>
            <w:r w:rsidR="000273F9">
              <w:rPr>
                <w:rFonts w:eastAsia="Calibri"/>
              </w:rPr>
              <w:t>Regulation</w:t>
            </w:r>
            <w:r w:rsidRPr="008A3C08">
              <w:rPr>
                <w:rFonts w:eastAsia="Calibri"/>
              </w:rPr>
              <w:t xml:space="preserve"> provides generic clearances for footings proposed to extend beyond the street alignment.</w:t>
            </w:r>
          </w:p>
        </w:tc>
      </w:tr>
    </w:tbl>
    <w:p w:rsidR="00B751DE" w:rsidRPr="00427EE1" w:rsidRDefault="004267C5" w:rsidP="006119D2">
      <w:pPr>
        <w:pStyle w:val="Heading3"/>
      </w:pPr>
      <w:bookmarkStart w:id="181" w:name="_Toc481501602"/>
      <w:r>
        <w:lastRenderedPageBreak/>
        <w:t xml:space="preserve">Pt </w:t>
      </w:r>
      <w:r w:rsidR="00B751DE" w:rsidRPr="00427EE1">
        <w:t>8</w:t>
      </w:r>
      <w:r w:rsidR="008475D9">
        <w:t>—</w:t>
      </w:r>
      <w:r w:rsidR="00B751DE" w:rsidRPr="00427EE1">
        <w:t>Protection of adjoining property and the public</w:t>
      </w:r>
      <w:bookmarkEnd w:id="181"/>
    </w:p>
    <w:p w:rsidR="00B751DE" w:rsidRPr="00427EE1" w:rsidRDefault="00EF2008" w:rsidP="006119D2">
      <w:pPr>
        <w:pStyle w:val="Heading4"/>
      </w:pPr>
      <w:proofErr w:type="spellStart"/>
      <w:r>
        <w:t>Div</w:t>
      </w:r>
      <w:proofErr w:type="spellEnd"/>
      <w:r w:rsidR="006E6791" w:rsidRPr="00427EE1">
        <w:t xml:space="preserve"> </w:t>
      </w:r>
      <w:r w:rsidR="00B751DE" w:rsidRPr="00427EE1">
        <w:t>1</w:t>
      </w:r>
      <w:r w:rsidR="008475D9">
        <w:t>—</w:t>
      </w:r>
      <w:r w:rsidR="00B751DE" w:rsidRPr="00427EE1">
        <w:t>Protection of adjoining property by means of protection work</w:t>
      </w:r>
    </w:p>
    <w:tbl>
      <w:tblPr>
        <w:tblW w:w="14437" w:type="dxa"/>
        <w:tblInd w:w="-60"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38"/>
        <w:gridCol w:w="931"/>
        <w:gridCol w:w="4243"/>
        <w:gridCol w:w="399"/>
        <w:gridCol w:w="399"/>
        <w:gridCol w:w="402"/>
        <w:gridCol w:w="400"/>
        <w:gridCol w:w="398"/>
        <w:gridCol w:w="6327"/>
      </w:tblGrid>
      <w:tr w:rsidR="00451D07" w:rsidRPr="00427EE1" w:rsidTr="006119D2">
        <w:trPr>
          <w:cantSplit/>
          <w:trHeight w:val="54"/>
          <w:tblHeader/>
        </w:trPr>
        <w:tc>
          <w:tcPr>
            <w:tcW w:w="938" w:type="dxa"/>
            <w:vMerge w:val="restart"/>
            <w:shd w:val="clear" w:color="auto" w:fill="00B2A9" w:themeFill="accent1"/>
            <w:vAlign w:val="center"/>
            <w:hideMark/>
          </w:tcPr>
          <w:p w:rsidR="00451D07" w:rsidRDefault="00451D07">
            <w:pPr>
              <w:pStyle w:val="Tablecolumnhead"/>
              <w:rPr>
                <w:rFonts w:asciiTheme="majorHAnsi" w:eastAsia="Calibri" w:hAnsiTheme="majorHAnsi" w:cstheme="majorBidi"/>
                <w:sz w:val="40"/>
              </w:rPr>
            </w:pPr>
            <w:r w:rsidRPr="00BE72D7">
              <w:rPr>
                <w:rFonts w:eastAsia="Calibri"/>
              </w:rPr>
              <w:t>2006</w:t>
            </w:r>
          </w:p>
          <w:p w:rsidR="00451D07" w:rsidRDefault="00451D07">
            <w:pPr>
              <w:pStyle w:val="Tablecolumnhead"/>
              <w:rPr>
                <w:rFonts w:asciiTheme="majorHAnsi" w:eastAsia="Calibri" w:hAnsiTheme="majorHAnsi" w:cstheme="majorBidi"/>
                <w:sz w:val="40"/>
              </w:rPr>
            </w:pPr>
            <w:r w:rsidRPr="00C44680">
              <w:rPr>
                <w:rFonts w:ascii="Arial Bold" w:eastAsia="Calibri" w:hAnsi="Arial Bold"/>
                <w:spacing w:val="-12"/>
                <w:sz w:val="16"/>
              </w:rPr>
              <w:t>Regulation</w:t>
            </w:r>
          </w:p>
        </w:tc>
        <w:tc>
          <w:tcPr>
            <w:tcW w:w="931" w:type="dxa"/>
            <w:vMerge w:val="restart"/>
            <w:shd w:val="clear" w:color="auto" w:fill="00B2A9" w:themeFill="accent1"/>
            <w:vAlign w:val="center"/>
            <w:hideMark/>
          </w:tcPr>
          <w:p w:rsidR="00451D07" w:rsidRDefault="00451D07">
            <w:pPr>
              <w:pStyle w:val="Tablecolumnhead"/>
              <w:rPr>
                <w:rFonts w:asciiTheme="majorHAnsi" w:eastAsiaTheme="majorEastAsia" w:hAnsiTheme="majorHAnsi" w:cstheme="majorBidi"/>
                <w:sz w:val="40"/>
              </w:rPr>
            </w:pPr>
            <w:r w:rsidRPr="008F0E53">
              <w:rPr>
                <w:rFonts w:eastAsia="Calibri"/>
              </w:rPr>
              <w:t>2017</w:t>
            </w:r>
          </w:p>
          <w:p w:rsidR="00451D07" w:rsidRDefault="00451D07">
            <w:pPr>
              <w:pStyle w:val="Tablecolumnhead"/>
              <w:rPr>
                <w:rFonts w:asciiTheme="majorHAnsi" w:eastAsiaTheme="majorEastAsia" w:hAnsiTheme="majorHAnsi" w:cstheme="majorBidi"/>
                <w:sz w:val="40"/>
              </w:rPr>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451D07" w:rsidRDefault="00451D07">
            <w:pPr>
              <w:pStyle w:val="Tablecolumnhead"/>
              <w:rPr>
                <w:rFonts w:asciiTheme="majorHAnsi" w:eastAsia="Calibri" w:hAnsiTheme="majorHAnsi" w:cstheme="majorBidi"/>
                <w:sz w:val="40"/>
              </w:rPr>
            </w:pPr>
            <w:r w:rsidRPr="00DC3F02">
              <w:t xml:space="preserve">Short description of the </w:t>
            </w:r>
            <w:r>
              <w:t>Regulation</w:t>
            </w:r>
          </w:p>
        </w:tc>
        <w:tc>
          <w:tcPr>
            <w:tcW w:w="1998" w:type="dxa"/>
            <w:gridSpan w:val="5"/>
            <w:shd w:val="clear" w:color="auto" w:fill="00B2A9" w:themeFill="accent1"/>
            <w:vAlign w:val="center"/>
          </w:tcPr>
          <w:p w:rsidR="00451D07" w:rsidRDefault="00451D07">
            <w:pPr>
              <w:pStyle w:val="Tablecolumnhead"/>
              <w:rPr>
                <w:rFonts w:asciiTheme="majorHAnsi" w:eastAsiaTheme="majorEastAsia" w:hAnsiTheme="majorHAnsi" w:cstheme="majorBidi"/>
                <w:sz w:val="40"/>
              </w:rPr>
            </w:pPr>
            <w:r w:rsidRPr="00DC3F02">
              <w:t>Proposed regulatory change</w:t>
            </w:r>
          </w:p>
        </w:tc>
        <w:tc>
          <w:tcPr>
            <w:tcW w:w="6327" w:type="dxa"/>
            <w:vMerge w:val="restart"/>
            <w:shd w:val="clear" w:color="auto" w:fill="00B2A9" w:themeFill="accent1"/>
            <w:vAlign w:val="center"/>
          </w:tcPr>
          <w:p w:rsidR="00451D07" w:rsidRDefault="00451D07">
            <w:pPr>
              <w:pStyle w:val="Tablecolumnhead"/>
              <w:rPr>
                <w:rFonts w:asciiTheme="majorHAnsi" w:eastAsiaTheme="majorEastAsia" w:hAnsiTheme="majorHAnsi" w:cstheme="majorBidi"/>
                <w:sz w:val="40"/>
              </w:rPr>
            </w:pPr>
            <w:r w:rsidRPr="00DC3F02">
              <w:t>Why the 2017 Regulation is proposed</w:t>
            </w:r>
          </w:p>
        </w:tc>
      </w:tr>
      <w:tr w:rsidR="00B751DE" w:rsidRPr="00427EE1" w:rsidTr="006119D2">
        <w:trPr>
          <w:cantSplit/>
          <w:trHeight w:val="966"/>
          <w:tblHeader/>
        </w:trPr>
        <w:tc>
          <w:tcPr>
            <w:tcW w:w="938"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931"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B7686E" w:rsidRPr="00427EE1" w:rsidTr="006119D2">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686E" w:rsidP="006757E8">
            <w:pPr>
              <w:pStyle w:val="Tabletext"/>
              <w:rPr>
                <w:rFonts w:eastAsia="Calibri"/>
              </w:rPr>
            </w:pPr>
            <w:r w:rsidRPr="00427EE1">
              <w:rPr>
                <w:rFonts w:eastAsia="Calibri"/>
              </w:rPr>
              <w:t>602</w:t>
            </w:r>
          </w:p>
        </w:tc>
        <w:tc>
          <w:tcPr>
            <w:tcW w:w="931"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686E" w:rsidP="006757E8">
            <w:pPr>
              <w:pStyle w:val="Tabletext"/>
              <w:rPr>
                <w:rFonts w:asciiTheme="majorHAnsi" w:eastAsia="Calibri" w:hAnsiTheme="majorHAnsi" w:cstheme="majorBidi"/>
                <w:b/>
                <w:sz w:val="40"/>
                <w:lang w:eastAsia="en-US"/>
              </w:rPr>
            </w:pPr>
            <w:r w:rsidRPr="00427EE1">
              <w:rPr>
                <w:rFonts w:eastAsia="Calibri"/>
                <w:lang w:eastAsia="en-US"/>
              </w:rPr>
              <w:t>111</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7686E" w:rsidP="006757E8">
            <w:pPr>
              <w:pStyle w:val="Tabletext"/>
              <w:rPr>
                <w:rFonts w:asciiTheme="majorHAnsi" w:eastAsia="Calibri" w:hAnsiTheme="majorHAnsi" w:cstheme="majorBidi"/>
                <w:b/>
                <w:sz w:val="40"/>
                <w:lang w:eastAsia="en-US"/>
              </w:rPr>
            </w:pPr>
            <w:r w:rsidRPr="00427EE1">
              <w:rPr>
                <w:rFonts w:eastAsia="Calibri"/>
                <w:b/>
                <w:lang w:eastAsia="en-US"/>
              </w:rPr>
              <w:t>Required protection work</w:t>
            </w:r>
          </w:p>
          <w:p w:rsidR="00E657D7" w:rsidRDefault="00EF2008" w:rsidP="006757E8">
            <w:pPr>
              <w:pStyle w:val="Tabletext"/>
              <w:rPr>
                <w:rFonts w:eastAsia="Calibri"/>
                <w:lang w:eastAsia="en-US"/>
              </w:rPr>
            </w:pPr>
            <w:r>
              <w:rPr>
                <w:rFonts w:eastAsia="Calibri"/>
                <w:lang w:eastAsia="en-US"/>
              </w:rPr>
              <w:t>Requires</w:t>
            </w:r>
            <w:r w:rsidR="002D140F" w:rsidRPr="00427EE1">
              <w:rPr>
                <w:rFonts w:eastAsia="Calibri"/>
                <w:lang w:eastAsia="en-US"/>
              </w:rPr>
              <w:t xml:space="preserve"> </w:t>
            </w:r>
            <w:r w:rsidR="00B7686E" w:rsidRPr="00427EE1">
              <w:rPr>
                <w:rFonts w:eastAsia="Calibri"/>
                <w:lang w:eastAsia="en-US"/>
              </w:rPr>
              <w:t xml:space="preserve">the </w:t>
            </w:r>
            <w:r w:rsidR="00AB414E">
              <w:rPr>
                <w:rFonts w:eastAsia="Calibri"/>
                <w:lang w:eastAsia="en-US"/>
              </w:rPr>
              <w:t>RBS</w:t>
            </w:r>
            <w:r w:rsidR="00B7686E" w:rsidRPr="00427EE1">
              <w:rPr>
                <w:rFonts w:eastAsia="Calibri"/>
                <w:lang w:eastAsia="en-US"/>
              </w:rPr>
              <w:t xml:space="preserve"> to determine if building work gives rise to the need for protection work. It also provides for how this determination should be documented and the owner notified of the outcome of the determination.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686E" w:rsidRPr="00427EE1" w:rsidRDefault="00B7686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686E" w:rsidRPr="00427EE1" w:rsidRDefault="00B7686E" w:rsidP="006757E8">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686E" w:rsidRPr="00427EE1" w:rsidRDefault="00B7686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686E" w:rsidRPr="00427EE1" w:rsidRDefault="00B7686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686E" w:rsidRPr="00427EE1" w:rsidRDefault="00B7686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7686E">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triggers the application of </w:t>
            </w:r>
            <w:proofErr w:type="spellStart"/>
            <w:r w:rsidR="004267C5">
              <w:rPr>
                <w:rFonts w:eastAsia="Calibri"/>
              </w:rPr>
              <w:t>pt</w:t>
            </w:r>
            <w:proofErr w:type="spellEnd"/>
            <w:r w:rsidRPr="00427EE1">
              <w:rPr>
                <w:rFonts w:eastAsia="Calibri"/>
              </w:rPr>
              <w:t xml:space="preserve"> 7 of the Act to </w:t>
            </w:r>
            <w:r w:rsidR="00C85828" w:rsidRPr="00427EE1">
              <w:rPr>
                <w:rFonts w:eastAsia="Calibri"/>
              </w:rPr>
              <w:t>building</w:t>
            </w:r>
            <w:r w:rsidRPr="00427EE1">
              <w:rPr>
                <w:rFonts w:eastAsia="Calibri"/>
              </w:rPr>
              <w:t xml:space="preserve"> work which gives rise to the need for protection work. This requirement has been strengthened to require the </w:t>
            </w:r>
            <w:r w:rsidR="00AB414E">
              <w:rPr>
                <w:rFonts w:eastAsia="Calibri"/>
              </w:rPr>
              <w:t>RBS</w:t>
            </w:r>
            <w:r w:rsidRPr="00427EE1">
              <w:rPr>
                <w:rFonts w:eastAsia="Calibri"/>
              </w:rPr>
              <w:t xml:space="preserve"> to document and record a determination to require (or not the require) protection work in the prescribed </w:t>
            </w:r>
            <w:r w:rsidR="00195602">
              <w:rPr>
                <w:rFonts w:eastAsia="Calibri"/>
              </w:rPr>
              <w:t>form</w:t>
            </w:r>
            <w:r w:rsidRPr="00427EE1">
              <w:rPr>
                <w:rFonts w:eastAsia="Calibri"/>
              </w:rPr>
              <w:t>.</w:t>
            </w:r>
          </w:p>
        </w:tc>
      </w:tr>
      <w:tr w:rsidR="00B7686E" w:rsidRPr="00427EE1" w:rsidTr="006119D2">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B7686E" w:rsidP="006757E8">
            <w:pPr>
              <w:pStyle w:val="Tabletext"/>
              <w:rPr>
                <w:rFonts w:eastAsia="Calibri"/>
              </w:rPr>
            </w:pPr>
            <w:r w:rsidRPr="00427EE1">
              <w:rPr>
                <w:rFonts w:eastAsia="Calibri"/>
              </w:rPr>
              <w:t>603</w:t>
            </w:r>
          </w:p>
        </w:tc>
        <w:tc>
          <w:tcPr>
            <w:tcW w:w="931"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B7686E" w:rsidP="006757E8">
            <w:pPr>
              <w:pStyle w:val="Tabletext"/>
              <w:rPr>
                <w:rFonts w:asciiTheme="majorHAnsi" w:eastAsia="Calibri" w:hAnsiTheme="majorHAnsi" w:cstheme="majorBidi"/>
                <w:b/>
                <w:sz w:val="40"/>
                <w:lang w:eastAsia="en-US"/>
              </w:rPr>
            </w:pPr>
            <w:r w:rsidRPr="00427EE1">
              <w:rPr>
                <w:rFonts w:eastAsia="Calibri"/>
                <w:lang w:eastAsia="en-US"/>
              </w:rPr>
              <w:t>112</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E657D7" w:rsidRDefault="00B7686E" w:rsidP="006757E8">
            <w:pPr>
              <w:pStyle w:val="Tabletext"/>
              <w:rPr>
                <w:rFonts w:asciiTheme="majorHAnsi" w:eastAsia="Calibri" w:hAnsiTheme="majorHAnsi" w:cstheme="majorBidi"/>
                <w:b/>
                <w:sz w:val="40"/>
                <w:lang w:eastAsia="en-US"/>
              </w:rPr>
            </w:pPr>
            <w:r w:rsidRPr="00427EE1">
              <w:rPr>
                <w:rFonts w:eastAsia="Calibri"/>
                <w:b/>
                <w:lang w:eastAsia="en-US"/>
              </w:rPr>
              <w:t xml:space="preserve">Matters </w:t>
            </w:r>
            <w:r w:rsidR="00AB414E">
              <w:rPr>
                <w:rFonts w:eastAsia="Calibri"/>
                <w:b/>
                <w:lang w:eastAsia="en-US"/>
              </w:rPr>
              <w:t>RBS</w:t>
            </w:r>
            <w:r w:rsidRPr="00427EE1">
              <w:rPr>
                <w:rFonts w:eastAsia="Calibri"/>
                <w:b/>
                <w:lang w:eastAsia="en-US"/>
              </w:rPr>
              <w:t xml:space="preserve"> must consider when determining if protection work required</w:t>
            </w:r>
          </w:p>
          <w:p w:rsidR="00E657D7" w:rsidRDefault="002D140F" w:rsidP="006757E8">
            <w:pPr>
              <w:pStyle w:val="Tabletext"/>
              <w:rPr>
                <w:rFonts w:eastAsia="Calibri"/>
                <w:lang w:eastAsia="en-US"/>
              </w:rPr>
            </w:pPr>
            <w:r>
              <w:rPr>
                <w:rFonts w:eastAsia="Calibri"/>
                <w:lang w:eastAsia="en-US"/>
              </w:rPr>
              <w:t>S</w:t>
            </w:r>
            <w:r w:rsidR="00B7686E" w:rsidRPr="00427EE1">
              <w:rPr>
                <w:rFonts w:eastAsia="Calibri"/>
                <w:lang w:eastAsia="en-US"/>
              </w:rPr>
              <w:t xml:space="preserve">pecifies matters which the </w:t>
            </w:r>
            <w:r w:rsidR="00AB414E">
              <w:rPr>
                <w:rFonts w:eastAsia="Calibri"/>
                <w:lang w:eastAsia="en-US"/>
              </w:rPr>
              <w:t>RBS</w:t>
            </w:r>
            <w:r w:rsidR="00B7686E" w:rsidRPr="00427EE1">
              <w:rPr>
                <w:rFonts w:eastAsia="Calibri"/>
                <w:lang w:eastAsia="en-US"/>
              </w:rPr>
              <w:t xml:space="preserve"> must consider when making a determination as to whether or not building work gives rise to the need for protection work.</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686E" w:rsidRPr="00427EE1" w:rsidRDefault="00B7686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686E" w:rsidRPr="00427EE1" w:rsidRDefault="00B7686E" w:rsidP="006757E8">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686E" w:rsidRPr="00427EE1" w:rsidRDefault="00B7686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686E" w:rsidRPr="00427EE1" w:rsidRDefault="00B7686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686E" w:rsidRPr="00427EE1" w:rsidRDefault="00B7686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B7686E">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set out the mandatory minimum criteria which the </w:t>
            </w:r>
            <w:r w:rsidR="00AB414E">
              <w:rPr>
                <w:rFonts w:eastAsia="Calibri"/>
              </w:rPr>
              <w:t>RBS</w:t>
            </w:r>
            <w:r w:rsidRPr="00427EE1">
              <w:rPr>
                <w:rFonts w:eastAsia="Calibri"/>
              </w:rPr>
              <w:t xml:space="preserve"> must take into account when making a determination in relation to whether or not building work gives rise to the need for protection work. This is a new </w:t>
            </w:r>
            <w:r w:rsidR="000273F9">
              <w:rPr>
                <w:rFonts w:eastAsia="Calibri"/>
              </w:rPr>
              <w:t>Regulation</w:t>
            </w:r>
            <w:r w:rsidRPr="00427EE1">
              <w:rPr>
                <w:rFonts w:eastAsia="Calibri"/>
              </w:rPr>
              <w:t xml:space="preserve"> to support consistent decision</w:t>
            </w:r>
            <w:r w:rsidR="007C5A88">
              <w:rPr>
                <w:rFonts w:eastAsia="Calibri"/>
              </w:rPr>
              <w:t>-making</w:t>
            </w:r>
            <w:r w:rsidRPr="00427EE1">
              <w:rPr>
                <w:rFonts w:eastAsia="Calibri"/>
              </w:rPr>
              <w:t xml:space="preserve"> between building surveyors, in respect </w:t>
            </w:r>
            <w:r w:rsidR="00C85828" w:rsidRPr="00427EE1">
              <w:rPr>
                <w:rFonts w:eastAsia="Calibri"/>
              </w:rPr>
              <w:t>of</w:t>
            </w:r>
            <w:r w:rsidRPr="00427EE1">
              <w:rPr>
                <w:rFonts w:eastAsia="Calibri"/>
              </w:rPr>
              <w:t xml:space="preserve"> the need for protection work.</w:t>
            </w:r>
          </w:p>
        </w:tc>
      </w:tr>
      <w:tr w:rsidR="00B751DE" w:rsidRPr="00427EE1" w:rsidTr="006119D2">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B751DE" w:rsidP="006757E8">
            <w:pPr>
              <w:pStyle w:val="Tabletext"/>
              <w:rPr>
                <w:rFonts w:eastAsia="Calibri"/>
              </w:rPr>
            </w:pPr>
            <w:r w:rsidRPr="00427EE1">
              <w:rPr>
                <w:rFonts w:eastAsia="Calibri"/>
              </w:rPr>
              <w:t>602(2)</w:t>
            </w:r>
          </w:p>
          <w:p w:rsidR="00E657D7" w:rsidRDefault="00B751DE" w:rsidP="006757E8">
            <w:pPr>
              <w:pStyle w:val="Tabletext"/>
              <w:rPr>
                <w:rFonts w:eastAsia="Calibri"/>
              </w:rPr>
            </w:pPr>
            <w:r w:rsidRPr="00427EE1">
              <w:rPr>
                <w:rFonts w:eastAsia="Calibri"/>
              </w:rPr>
              <w:t>602(3)</w:t>
            </w:r>
          </w:p>
          <w:p w:rsidR="00E657D7" w:rsidRDefault="00E657D7" w:rsidP="006757E8">
            <w:pPr>
              <w:pStyle w:val="Tabletext"/>
              <w:rPr>
                <w:rFonts w:eastAsia="Calibri"/>
                <w:sz w:val="16"/>
              </w:rPr>
            </w:pPr>
          </w:p>
        </w:tc>
        <w:tc>
          <w:tcPr>
            <w:tcW w:w="931"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113</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E657D7" w:rsidRDefault="00B751DE" w:rsidP="006757E8">
            <w:pPr>
              <w:pStyle w:val="Tabletext"/>
              <w:rPr>
                <w:rFonts w:asciiTheme="majorHAnsi" w:eastAsia="Calibri" w:hAnsiTheme="majorHAnsi" w:cstheme="majorBidi"/>
                <w:b/>
                <w:sz w:val="40"/>
                <w:lang w:eastAsia="en-US"/>
              </w:rPr>
            </w:pPr>
            <w:r w:rsidRPr="00427EE1">
              <w:rPr>
                <w:rFonts w:eastAsia="Calibri"/>
                <w:b/>
                <w:lang w:eastAsia="en-US"/>
              </w:rPr>
              <w:t>Protection work notice</w:t>
            </w:r>
          </w:p>
          <w:p w:rsidR="00E657D7" w:rsidRDefault="002D140F" w:rsidP="006757E8">
            <w:pPr>
              <w:pStyle w:val="Tabletext"/>
              <w:rPr>
                <w:rFonts w:eastAsia="Calibri"/>
                <w:lang w:eastAsia="en-US"/>
              </w:rPr>
            </w:pPr>
            <w:r>
              <w:rPr>
                <w:rFonts w:eastAsia="Calibri"/>
                <w:lang w:eastAsia="en-US"/>
              </w:rPr>
              <w:t>S</w:t>
            </w:r>
            <w:r w:rsidRPr="00427EE1">
              <w:rPr>
                <w:rFonts w:eastAsia="Calibri"/>
                <w:lang w:eastAsia="en-US"/>
              </w:rPr>
              <w:t xml:space="preserve">pecifies </w:t>
            </w:r>
            <w:r w:rsidR="006A59A2" w:rsidRPr="00427EE1">
              <w:rPr>
                <w:rFonts w:eastAsia="Calibri"/>
                <w:lang w:eastAsia="en-US"/>
              </w:rPr>
              <w:t xml:space="preserve">the form to be used for a protection work notice required by </w:t>
            </w:r>
            <w:r w:rsidR="0023395A">
              <w:rPr>
                <w:rFonts w:eastAsia="Calibri"/>
                <w:lang w:eastAsia="en-US"/>
              </w:rPr>
              <w:t xml:space="preserve">s </w:t>
            </w:r>
            <w:r w:rsidR="006A59A2" w:rsidRPr="00427EE1">
              <w:rPr>
                <w:rFonts w:eastAsia="Calibri"/>
                <w:lang w:eastAsia="en-US"/>
              </w:rPr>
              <w:t>84 of the Act and also the information which must accompany that form when served</w:t>
            </w:r>
            <w:r w:rsidR="00451D07">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E657D7" w:rsidRDefault="006D7C88">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w:t>
            </w:r>
            <w:r w:rsidR="00E60957">
              <w:rPr>
                <w:rFonts w:eastAsia="Calibri"/>
              </w:rPr>
              <w:t xml:space="preserve"> </w:t>
            </w:r>
            <w:r w:rsidRPr="00427EE1">
              <w:rPr>
                <w:rFonts w:eastAsia="Calibri"/>
              </w:rPr>
              <w:t xml:space="preserve">give effect to </w:t>
            </w:r>
            <w:r w:rsidR="0023395A">
              <w:rPr>
                <w:rFonts w:eastAsia="Calibri"/>
              </w:rPr>
              <w:t xml:space="preserve">s </w:t>
            </w:r>
            <w:r w:rsidRPr="00427EE1">
              <w:rPr>
                <w:rFonts w:eastAsia="Calibri"/>
              </w:rPr>
              <w:t xml:space="preserve">84 of the Act. </w:t>
            </w:r>
            <w:r w:rsidR="007532E6" w:rsidRPr="00427EE1">
              <w:rPr>
                <w:rFonts w:eastAsia="Calibri"/>
              </w:rPr>
              <w:t>Amended</w:t>
            </w:r>
            <w:r w:rsidRPr="00427EE1">
              <w:rPr>
                <w:rFonts w:eastAsia="Calibri"/>
              </w:rPr>
              <w:t xml:space="preserve"> to strengthen the operation of the </w:t>
            </w:r>
            <w:r w:rsidR="000273F9">
              <w:rPr>
                <w:rFonts w:eastAsia="Calibri"/>
              </w:rPr>
              <w:t>Regulation</w:t>
            </w:r>
            <w:r w:rsidRPr="00427EE1">
              <w:rPr>
                <w:rFonts w:eastAsia="Calibri"/>
              </w:rPr>
              <w:t xml:space="preserve"> to address information asymmetry for the benefit of the adjoining owner.</w:t>
            </w:r>
            <w:r w:rsidR="00E60957">
              <w:rPr>
                <w:rFonts w:eastAsia="Calibri"/>
              </w:rPr>
              <w:t xml:space="preserve"> </w:t>
            </w:r>
          </w:p>
        </w:tc>
      </w:tr>
      <w:tr w:rsidR="005C45B9" w:rsidRPr="00427EE1" w:rsidTr="006119D2">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5C45B9" w:rsidP="006757E8">
            <w:pPr>
              <w:pStyle w:val="Tabletext"/>
              <w:rPr>
                <w:rFonts w:eastAsia="Calibri"/>
              </w:rPr>
            </w:pPr>
            <w:r w:rsidRPr="00427EE1">
              <w:rPr>
                <w:rFonts w:eastAsia="Calibri"/>
              </w:rPr>
              <w:t>602(4)</w:t>
            </w:r>
          </w:p>
          <w:p w:rsidR="00E657D7" w:rsidRDefault="005C45B9" w:rsidP="006757E8">
            <w:pPr>
              <w:pStyle w:val="Tabletext"/>
              <w:rPr>
                <w:rFonts w:eastAsia="Calibri"/>
              </w:rPr>
            </w:pPr>
            <w:r w:rsidRPr="00427EE1">
              <w:rPr>
                <w:rFonts w:eastAsia="Calibri"/>
              </w:rPr>
              <w:t>602(5)</w:t>
            </w:r>
          </w:p>
        </w:tc>
        <w:tc>
          <w:tcPr>
            <w:tcW w:w="931"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5C45B9" w:rsidP="006757E8">
            <w:pPr>
              <w:pStyle w:val="Tabletext"/>
              <w:rPr>
                <w:rFonts w:asciiTheme="majorHAnsi" w:eastAsia="Calibri" w:hAnsiTheme="majorHAnsi" w:cstheme="majorBidi"/>
                <w:b/>
                <w:sz w:val="40"/>
                <w:lang w:eastAsia="en-US"/>
              </w:rPr>
            </w:pPr>
            <w:r w:rsidRPr="00427EE1">
              <w:rPr>
                <w:rFonts w:eastAsia="Calibri"/>
                <w:lang w:eastAsia="en-US"/>
              </w:rPr>
              <w:t>114</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E657D7" w:rsidRDefault="005C45B9" w:rsidP="006757E8">
            <w:pPr>
              <w:pStyle w:val="Tabletext"/>
              <w:rPr>
                <w:rFonts w:asciiTheme="majorHAnsi" w:eastAsia="Calibri" w:hAnsiTheme="majorHAnsi" w:cstheme="majorBidi"/>
                <w:b/>
                <w:sz w:val="40"/>
                <w:lang w:eastAsia="en-US"/>
              </w:rPr>
            </w:pPr>
            <w:r w:rsidRPr="00427EE1">
              <w:rPr>
                <w:rFonts w:eastAsia="Calibri"/>
                <w:b/>
                <w:lang w:eastAsia="en-US"/>
              </w:rPr>
              <w:t>Protection work response notice</w:t>
            </w:r>
          </w:p>
          <w:p w:rsidR="00E657D7" w:rsidRDefault="002D140F" w:rsidP="006757E8">
            <w:pPr>
              <w:pStyle w:val="Tabletext"/>
              <w:rPr>
                <w:rFonts w:eastAsia="Calibri"/>
                <w:lang w:eastAsia="en-US"/>
              </w:rPr>
            </w:pPr>
            <w:r>
              <w:rPr>
                <w:rFonts w:eastAsia="Calibri"/>
                <w:lang w:eastAsia="en-US"/>
              </w:rPr>
              <w:t>S</w:t>
            </w:r>
            <w:r w:rsidRPr="00427EE1">
              <w:rPr>
                <w:rFonts w:eastAsia="Calibri"/>
                <w:lang w:eastAsia="en-US"/>
              </w:rPr>
              <w:t xml:space="preserve">pecifies </w:t>
            </w:r>
            <w:r w:rsidR="005C45B9" w:rsidRPr="00427EE1">
              <w:rPr>
                <w:rFonts w:eastAsia="Calibri"/>
                <w:lang w:eastAsia="en-US"/>
              </w:rPr>
              <w:t xml:space="preserve">the form a response notice of an adjoining owner under </w:t>
            </w:r>
            <w:r w:rsidR="0023395A">
              <w:rPr>
                <w:rFonts w:eastAsia="Calibri"/>
                <w:lang w:eastAsia="en-US"/>
              </w:rPr>
              <w:t xml:space="preserve">s </w:t>
            </w:r>
            <w:r w:rsidR="005C45B9" w:rsidRPr="00427EE1">
              <w:rPr>
                <w:rFonts w:eastAsia="Calibri"/>
                <w:lang w:eastAsia="en-US"/>
              </w:rPr>
              <w:t>85 of the Act must take and also the information which must be contained in that notice.</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5C45B9" w:rsidRPr="00427EE1" w:rsidRDefault="005C45B9"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5C45B9" w:rsidRPr="00427EE1" w:rsidRDefault="005C45B9">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5C45B9" w:rsidRPr="00427EE1" w:rsidRDefault="005C45B9">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5C45B9" w:rsidRPr="00427EE1" w:rsidRDefault="005C45B9">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5C45B9" w:rsidRPr="00427EE1" w:rsidRDefault="005C45B9">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E657D7" w:rsidRDefault="005C45B9">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give effect to </w:t>
            </w:r>
            <w:r w:rsidR="0023395A">
              <w:rPr>
                <w:rFonts w:eastAsia="Calibri"/>
              </w:rPr>
              <w:t xml:space="preserve">s </w:t>
            </w:r>
            <w:r w:rsidRPr="00427EE1">
              <w:rPr>
                <w:rFonts w:eastAsia="Calibri"/>
              </w:rPr>
              <w:t xml:space="preserve">85 of the Act. </w:t>
            </w:r>
          </w:p>
        </w:tc>
      </w:tr>
      <w:tr w:rsidR="00F35AC9" w:rsidRPr="00427EE1" w:rsidTr="006119D2">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F35AC9" w:rsidP="006757E8">
            <w:pPr>
              <w:pStyle w:val="Tabletext"/>
              <w:rPr>
                <w:rFonts w:eastAsia="Calibri"/>
              </w:rPr>
            </w:pPr>
            <w:r w:rsidRPr="00427EE1">
              <w:rPr>
                <w:rFonts w:eastAsia="Calibri"/>
              </w:rPr>
              <w:lastRenderedPageBreak/>
              <w:t>602(6)</w:t>
            </w:r>
          </w:p>
        </w:tc>
        <w:tc>
          <w:tcPr>
            <w:tcW w:w="931"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F35AC9" w:rsidP="006757E8">
            <w:pPr>
              <w:pStyle w:val="Tabletext"/>
              <w:rPr>
                <w:rFonts w:asciiTheme="majorHAnsi" w:eastAsia="Calibri" w:hAnsiTheme="majorHAnsi" w:cstheme="majorBidi"/>
                <w:b/>
                <w:sz w:val="40"/>
                <w:lang w:eastAsia="en-US"/>
              </w:rPr>
            </w:pPr>
            <w:r w:rsidRPr="00427EE1">
              <w:rPr>
                <w:rFonts w:eastAsia="Calibri"/>
                <w:lang w:eastAsia="en-US"/>
              </w:rPr>
              <w:t>115</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E657D7" w:rsidRDefault="00F35AC9" w:rsidP="006757E8">
            <w:pPr>
              <w:pStyle w:val="Tabletext"/>
              <w:rPr>
                <w:rFonts w:asciiTheme="majorHAnsi" w:eastAsia="Calibri" w:hAnsiTheme="majorHAnsi" w:cstheme="majorBidi"/>
                <w:b/>
                <w:sz w:val="40"/>
                <w:lang w:eastAsia="en-US"/>
              </w:rPr>
            </w:pPr>
            <w:r w:rsidRPr="00427EE1">
              <w:rPr>
                <w:rFonts w:eastAsia="Calibri"/>
                <w:b/>
                <w:lang w:eastAsia="en-US"/>
              </w:rPr>
              <w:t xml:space="preserve">Notice of </w:t>
            </w:r>
            <w:r w:rsidR="00AB414E">
              <w:rPr>
                <w:rFonts w:eastAsia="Calibri"/>
                <w:b/>
                <w:lang w:eastAsia="en-US"/>
              </w:rPr>
              <w:t>RBS</w:t>
            </w:r>
            <w:r w:rsidRPr="00427EE1">
              <w:rPr>
                <w:rFonts w:eastAsia="Calibri"/>
                <w:b/>
                <w:lang w:eastAsia="en-US"/>
              </w:rPr>
              <w:t xml:space="preserve"> determination</w:t>
            </w:r>
          </w:p>
          <w:p w:rsidR="00E657D7" w:rsidRDefault="003D75DD" w:rsidP="006757E8">
            <w:pPr>
              <w:pStyle w:val="Tabletext"/>
              <w:rPr>
                <w:rFonts w:eastAsia="Calibri"/>
                <w:lang w:eastAsia="en-US"/>
              </w:rPr>
            </w:pPr>
            <w:r>
              <w:rPr>
                <w:rFonts w:eastAsia="Calibri"/>
                <w:lang w:eastAsia="en-US"/>
              </w:rPr>
              <w:t>S</w:t>
            </w:r>
            <w:r w:rsidRPr="00427EE1">
              <w:rPr>
                <w:rFonts w:eastAsia="Calibri"/>
                <w:lang w:eastAsia="en-US"/>
              </w:rPr>
              <w:t xml:space="preserve">pecifies </w:t>
            </w:r>
            <w:r w:rsidR="00F35AC9" w:rsidRPr="00427EE1">
              <w:rPr>
                <w:rFonts w:eastAsia="Calibri"/>
                <w:lang w:eastAsia="en-US"/>
              </w:rPr>
              <w:t>the</w:t>
            </w:r>
            <w:r w:rsidR="00E60957">
              <w:rPr>
                <w:rFonts w:eastAsia="Calibri"/>
                <w:lang w:eastAsia="en-US"/>
              </w:rPr>
              <w:t xml:space="preserve"> </w:t>
            </w:r>
            <w:r w:rsidR="00F35AC9" w:rsidRPr="00427EE1">
              <w:rPr>
                <w:rFonts w:eastAsia="Calibri"/>
                <w:lang w:eastAsia="en-US"/>
              </w:rPr>
              <w:t xml:space="preserve">form the </w:t>
            </w:r>
            <w:r w:rsidR="00AB414E">
              <w:rPr>
                <w:rFonts w:eastAsia="Calibri"/>
                <w:lang w:eastAsia="en-US"/>
              </w:rPr>
              <w:t>RBS</w:t>
            </w:r>
            <w:r w:rsidR="00F35AC9" w:rsidRPr="00427EE1">
              <w:rPr>
                <w:rFonts w:eastAsia="Calibri"/>
                <w:lang w:eastAsia="en-US"/>
              </w:rPr>
              <w:t xml:space="preserve"> must use to make a determination under </w:t>
            </w:r>
            <w:r w:rsidR="0023395A">
              <w:rPr>
                <w:rFonts w:eastAsia="Calibri"/>
                <w:lang w:eastAsia="en-US"/>
              </w:rPr>
              <w:t xml:space="preserve">s </w:t>
            </w:r>
            <w:r w:rsidR="00F35AC9" w:rsidRPr="00427EE1">
              <w:rPr>
                <w:rFonts w:eastAsia="Calibri"/>
                <w:lang w:eastAsia="en-US"/>
              </w:rPr>
              <w:t xml:space="preserve">87 of the Act and also the information which the </w:t>
            </w:r>
            <w:r w:rsidR="00AB414E">
              <w:rPr>
                <w:rFonts w:eastAsia="Calibri"/>
                <w:lang w:eastAsia="en-US"/>
              </w:rPr>
              <w:t>RBS</w:t>
            </w:r>
            <w:r w:rsidR="00F35AC9" w:rsidRPr="00427EE1">
              <w:rPr>
                <w:rFonts w:eastAsia="Calibri"/>
                <w:lang w:eastAsia="en-US"/>
              </w:rPr>
              <w:t xml:space="preserve"> must include in the determination.</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35AC9" w:rsidRPr="00427EE1" w:rsidRDefault="00F35AC9"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35AC9" w:rsidRPr="00427EE1" w:rsidRDefault="00F35AC9" w:rsidP="006757E8">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35AC9" w:rsidRPr="00427EE1" w:rsidRDefault="00F35AC9">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35AC9" w:rsidRPr="00427EE1" w:rsidRDefault="00F35AC9">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35AC9" w:rsidRPr="00427EE1" w:rsidRDefault="00F35AC9">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E657D7" w:rsidRDefault="00F35AC9">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give effect to </w:t>
            </w:r>
            <w:r w:rsidR="0023395A">
              <w:rPr>
                <w:rFonts w:eastAsia="Calibri"/>
              </w:rPr>
              <w:t xml:space="preserve">s </w:t>
            </w:r>
            <w:r w:rsidRPr="00427EE1">
              <w:rPr>
                <w:rFonts w:eastAsia="Calibri"/>
              </w:rPr>
              <w:t>87 of the Act.</w:t>
            </w:r>
            <w:r w:rsidR="00E60957">
              <w:rPr>
                <w:rFonts w:eastAsia="Calibri"/>
              </w:rPr>
              <w:t xml:space="preserve"> </w:t>
            </w:r>
            <w:r w:rsidRPr="00427EE1">
              <w:rPr>
                <w:rFonts w:eastAsia="Calibri"/>
              </w:rPr>
              <w:t>It clarifies information which</w:t>
            </w:r>
            <w:r w:rsidR="00E60957">
              <w:rPr>
                <w:rFonts w:eastAsia="Calibri"/>
              </w:rPr>
              <w:t xml:space="preserve"> </w:t>
            </w:r>
            <w:r w:rsidRPr="00427EE1">
              <w:rPr>
                <w:rFonts w:eastAsia="Calibri"/>
              </w:rPr>
              <w:t>must be included in the determination</w:t>
            </w:r>
            <w:r w:rsidR="00E60957">
              <w:rPr>
                <w:rFonts w:eastAsia="Calibri"/>
              </w:rPr>
              <w:t xml:space="preserve"> </w:t>
            </w:r>
            <w:r w:rsidRPr="00427EE1">
              <w:rPr>
                <w:rFonts w:eastAsia="Calibri"/>
              </w:rPr>
              <w:t>and to require the determination to be documented and recorded in a prescribed form.</w:t>
            </w:r>
          </w:p>
          <w:p w:rsidR="00E657D7" w:rsidRDefault="00E657D7">
            <w:pPr>
              <w:pStyle w:val="Tabletext"/>
              <w:rPr>
                <w:rFonts w:eastAsia="Calibri"/>
                <w:sz w:val="16"/>
              </w:rPr>
            </w:pPr>
          </w:p>
        </w:tc>
      </w:tr>
    </w:tbl>
    <w:p w:rsidR="005F38AC" w:rsidRDefault="005F38AC" w:rsidP="006757E8"/>
    <w:p w:rsidR="00B751DE" w:rsidRPr="00427EE1" w:rsidRDefault="00EF2008" w:rsidP="006119D2">
      <w:pPr>
        <w:pStyle w:val="Heading4"/>
      </w:pPr>
      <w:proofErr w:type="spellStart"/>
      <w:r>
        <w:t>Div</w:t>
      </w:r>
      <w:proofErr w:type="spellEnd"/>
      <w:r w:rsidR="006E6791" w:rsidRPr="00427EE1">
        <w:t xml:space="preserve"> </w:t>
      </w:r>
      <w:r w:rsidR="00B751DE" w:rsidRPr="00427EE1">
        <w:t>2</w:t>
      </w:r>
      <w:r w:rsidR="008475D9">
        <w:t>—</w:t>
      </w:r>
      <w:r w:rsidR="00B751DE" w:rsidRPr="00427EE1">
        <w:t>Protection of the public</w:t>
      </w:r>
    </w:p>
    <w:tbl>
      <w:tblPr>
        <w:tblW w:w="14451" w:type="dxa"/>
        <w:tblInd w:w="-74"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52"/>
        <w:gridCol w:w="931"/>
        <w:gridCol w:w="4243"/>
        <w:gridCol w:w="399"/>
        <w:gridCol w:w="399"/>
        <w:gridCol w:w="402"/>
        <w:gridCol w:w="400"/>
        <w:gridCol w:w="398"/>
        <w:gridCol w:w="6327"/>
      </w:tblGrid>
      <w:tr w:rsidR="009B17A5" w:rsidRPr="00427EE1" w:rsidTr="006119D2">
        <w:trPr>
          <w:cantSplit/>
          <w:trHeight w:val="317"/>
          <w:tblHeader/>
        </w:trPr>
        <w:tc>
          <w:tcPr>
            <w:tcW w:w="952" w:type="dxa"/>
            <w:vMerge w:val="restart"/>
            <w:shd w:val="clear" w:color="auto" w:fill="00B2A9" w:themeFill="accent1"/>
            <w:vAlign w:val="center"/>
            <w:hideMark/>
          </w:tcPr>
          <w:p w:rsidR="009B17A5" w:rsidRDefault="009B17A5">
            <w:pPr>
              <w:pStyle w:val="Tablecolumnhead"/>
              <w:rPr>
                <w:rFonts w:asciiTheme="majorHAnsi" w:eastAsia="Calibri" w:hAnsiTheme="majorHAnsi" w:cstheme="majorBidi"/>
                <w:sz w:val="40"/>
              </w:rPr>
            </w:pPr>
            <w:r w:rsidRPr="00BE72D7">
              <w:rPr>
                <w:rFonts w:eastAsia="Calibri"/>
              </w:rPr>
              <w:t>2006</w:t>
            </w:r>
          </w:p>
          <w:p w:rsidR="009B17A5" w:rsidRDefault="009B17A5">
            <w:pPr>
              <w:pStyle w:val="Tablecolumnhead"/>
              <w:rPr>
                <w:rFonts w:asciiTheme="majorHAnsi" w:eastAsia="Calibri" w:hAnsiTheme="majorHAnsi" w:cstheme="majorBidi"/>
                <w:sz w:val="40"/>
              </w:rPr>
            </w:pPr>
            <w:r w:rsidRPr="00C44680">
              <w:rPr>
                <w:rFonts w:ascii="Arial Bold" w:eastAsia="Calibri" w:hAnsi="Arial Bold"/>
                <w:spacing w:val="-12"/>
                <w:sz w:val="16"/>
              </w:rPr>
              <w:t>Regulation</w:t>
            </w:r>
          </w:p>
        </w:tc>
        <w:tc>
          <w:tcPr>
            <w:tcW w:w="931" w:type="dxa"/>
            <w:vMerge w:val="restart"/>
            <w:shd w:val="clear" w:color="auto" w:fill="00B2A9" w:themeFill="accent1"/>
            <w:vAlign w:val="center"/>
            <w:hideMark/>
          </w:tcPr>
          <w:p w:rsidR="009B17A5" w:rsidRDefault="009B17A5">
            <w:pPr>
              <w:pStyle w:val="Tablecolumnhead"/>
              <w:rPr>
                <w:rFonts w:asciiTheme="majorHAnsi" w:eastAsiaTheme="majorEastAsia" w:hAnsiTheme="majorHAnsi" w:cstheme="majorBidi"/>
                <w:sz w:val="40"/>
              </w:rPr>
            </w:pPr>
            <w:r w:rsidRPr="008F0E53">
              <w:rPr>
                <w:rFonts w:eastAsia="Calibri"/>
              </w:rPr>
              <w:t>2017</w:t>
            </w:r>
          </w:p>
          <w:p w:rsidR="009B17A5" w:rsidRDefault="009B17A5">
            <w:pPr>
              <w:pStyle w:val="Tablecolumnhead"/>
              <w:rPr>
                <w:rFonts w:asciiTheme="majorHAnsi" w:eastAsiaTheme="majorEastAsia" w:hAnsiTheme="majorHAnsi" w:cstheme="majorBidi"/>
                <w:sz w:val="40"/>
              </w:rPr>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9B17A5" w:rsidRDefault="009B17A5">
            <w:pPr>
              <w:pStyle w:val="Tablecolumnhead"/>
              <w:rPr>
                <w:rFonts w:asciiTheme="majorHAnsi" w:eastAsia="Calibri" w:hAnsiTheme="majorHAnsi" w:cstheme="majorBidi"/>
                <w:sz w:val="40"/>
              </w:rPr>
            </w:pPr>
            <w:r w:rsidRPr="00DC3F02">
              <w:t xml:space="preserve">Short description of the </w:t>
            </w:r>
            <w:r>
              <w:t>Regulation</w:t>
            </w:r>
          </w:p>
        </w:tc>
        <w:tc>
          <w:tcPr>
            <w:tcW w:w="1998" w:type="dxa"/>
            <w:gridSpan w:val="5"/>
            <w:shd w:val="clear" w:color="auto" w:fill="00B2A9" w:themeFill="accent1"/>
            <w:vAlign w:val="center"/>
          </w:tcPr>
          <w:p w:rsidR="009B17A5" w:rsidRDefault="009B17A5">
            <w:pPr>
              <w:pStyle w:val="Tablecolumnhead"/>
              <w:rPr>
                <w:rFonts w:asciiTheme="majorHAnsi" w:eastAsiaTheme="majorEastAsia" w:hAnsiTheme="majorHAnsi" w:cstheme="majorBidi"/>
                <w:sz w:val="40"/>
              </w:rPr>
            </w:pPr>
            <w:r w:rsidRPr="00DC3F02">
              <w:t>Proposed regulatory change</w:t>
            </w:r>
          </w:p>
        </w:tc>
        <w:tc>
          <w:tcPr>
            <w:tcW w:w="6327" w:type="dxa"/>
            <w:vMerge w:val="restart"/>
            <w:shd w:val="clear" w:color="auto" w:fill="00B2A9" w:themeFill="accent1"/>
            <w:vAlign w:val="center"/>
          </w:tcPr>
          <w:p w:rsidR="009B17A5" w:rsidRDefault="009B17A5">
            <w:pPr>
              <w:pStyle w:val="Tablecolumnhead"/>
              <w:rPr>
                <w:rFonts w:asciiTheme="majorHAnsi" w:eastAsiaTheme="majorEastAsia" w:hAnsiTheme="majorHAnsi" w:cstheme="majorBidi"/>
                <w:sz w:val="40"/>
              </w:rPr>
            </w:pPr>
            <w:r w:rsidRPr="00DC3F02">
              <w:t>Why the 2017 Regulation is proposed</w:t>
            </w:r>
          </w:p>
        </w:tc>
      </w:tr>
      <w:tr w:rsidR="00B751DE" w:rsidRPr="00427EE1" w:rsidTr="006119D2">
        <w:trPr>
          <w:cantSplit/>
          <w:trHeight w:val="966"/>
          <w:tblHeader/>
        </w:trPr>
        <w:tc>
          <w:tcPr>
            <w:tcW w:w="952"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931"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B50BF4" w:rsidRPr="00427EE1" w:rsidTr="006119D2">
        <w:trPr>
          <w:cantSplit/>
          <w:trHeight w:val="340"/>
        </w:trPr>
        <w:tc>
          <w:tcPr>
            <w:tcW w:w="95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50BF4" w:rsidP="006757E8">
            <w:pPr>
              <w:pStyle w:val="Tabletext"/>
              <w:rPr>
                <w:rFonts w:eastAsia="Calibri"/>
              </w:rPr>
            </w:pPr>
            <w:r w:rsidRPr="00427EE1">
              <w:rPr>
                <w:rFonts w:eastAsia="Calibri"/>
              </w:rPr>
              <w:t>604</w:t>
            </w:r>
          </w:p>
        </w:tc>
        <w:tc>
          <w:tcPr>
            <w:tcW w:w="931"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50BF4" w:rsidP="006757E8">
            <w:pPr>
              <w:pStyle w:val="Tabletext"/>
              <w:rPr>
                <w:rFonts w:asciiTheme="majorHAnsi" w:eastAsia="Calibri" w:hAnsiTheme="majorHAnsi" w:cstheme="majorBidi"/>
                <w:b/>
                <w:sz w:val="40"/>
                <w:lang w:eastAsia="en-US"/>
              </w:rPr>
            </w:pPr>
            <w:r w:rsidRPr="00427EE1">
              <w:rPr>
                <w:rFonts w:eastAsia="Calibri"/>
                <w:lang w:eastAsia="en-US"/>
              </w:rPr>
              <w:t>116</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B50BF4" w:rsidP="006757E8">
            <w:pPr>
              <w:pStyle w:val="Tabletext"/>
              <w:rPr>
                <w:rFonts w:asciiTheme="majorHAnsi" w:eastAsia="Calibri" w:hAnsiTheme="majorHAnsi" w:cstheme="majorBidi"/>
                <w:b/>
                <w:sz w:val="40"/>
                <w:lang w:eastAsia="en-US"/>
              </w:rPr>
            </w:pPr>
            <w:r w:rsidRPr="00427EE1">
              <w:rPr>
                <w:rFonts w:eastAsia="Calibri"/>
                <w:b/>
                <w:lang w:eastAsia="en-US"/>
              </w:rPr>
              <w:t>Protection of the public</w:t>
            </w:r>
          </w:p>
          <w:p w:rsidR="00E657D7" w:rsidRDefault="003D75DD" w:rsidP="006757E8">
            <w:pPr>
              <w:pStyle w:val="Tabletext"/>
              <w:rPr>
                <w:rFonts w:eastAsia="Calibri"/>
                <w:lang w:eastAsia="en-US"/>
              </w:rPr>
            </w:pPr>
            <w:r>
              <w:rPr>
                <w:rFonts w:eastAsia="Calibri"/>
                <w:lang w:eastAsia="en-US"/>
              </w:rPr>
              <w:t>R</w:t>
            </w:r>
            <w:r w:rsidR="00B50BF4" w:rsidRPr="00427EE1">
              <w:rPr>
                <w:rFonts w:eastAsia="Calibri"/>
                <w:lang w:eastAsia="en-US"/>
              </w:rPr>
              <w:t xml:space="preserve">equires the </w:t>
            </w:r>
            <w:r w:rsidR="00AB414E">
              <w:rPr>
                <w:rFonts w:eastAsia="Calibri"/>
                <w:lang w:eastAsia="en-US"/>
              </w:rPr>
              <w:t>RBS</w:t>
            </w:r>
            <w:r w:rsidR="00B50BF4" w:rsidRPr="00427EE1">
              <w:rPr>
                <w:rFonts w:eastAsia="Calibri"/>
                <w:lang w:eastAsia="en-US"/>
              </w:rPr>
              <w:t xml:space="preserve"> to</w:t>
            </w:r>
            <w:r w:rsidR="00E60957">
              <w:rPr>
                <w:rFonts w:eastAsia="Calibri"/>
                <w:lang w:eastAsia="en-US"/>
              </w:rPr>
              <w:t xml:space="preserve"> </w:t>
            </w:r>
            <w:r w:rsidR="00B50BF4" w:rsidRPr="00427EE1">
              <w:rPr>
                <w:rFonts w:eastAsia="Calibri"/>
                <w:lang w:eastAsia="en-US"/>
              </w:rPr>
              <w:t xml:space="preserve">consider if proposed building work will pose a risk to the safety of the public. If the </w:t>
            </w:r>
            <w:r w:rsidR="00AB414E">
              <w:rPr>
                <w:rFonts w:eastAsia="Calibri"/>
                <w:lang w:eastAsia="en-US"/>
              </w:rPr>
              <w:t>RBS</w:t>
            </w:r>
            <w:r w:rsidR="00B50BF4" w:rsidRPr="00427EE1">
              <w:rPr>
                <w:rFonts w:eastAsia="Calibri"/>
                <w:lang w:eastAsia="en-US"/>
              </w:rPr>
              <w:t xml:space="preserve"> considers that building work will pose such a risk, the </w:t>
            </w:r>
            <w:r w:rsidR="00AB414E">
              <w:rPr>
                <w:rFonts w:eastAsia="Calibri"/>
                <w:lang w:eastAsia="en-US"/>
              </w:rPr>
              <w:t>RBS</w:t>
            </w:r>
            <w:r w:rsidR="00B50BF4" w:rsidRPr="00427EE1">
              <w:rPr>
                <w:rFonts w:eastAsia="Calibri"/>
                <w:lang w:eastAsia="en-US"/>
              </w:rPr>
              <w:t xml:space="preserve"> must require safety measures to be put in place to guard against that risk both before and during the building work which gives rise to that risk.</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50BF4" w:rsidRPr="00427EE1" w:rsidRDefault="00B50BF4"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50BF4" w:rsidRPr="00427EE1" w:rsidRDefault="00B50BF4">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50BF4" w:rsidRPr="00427EE1" w:rsidRDefault="00B50BF4">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50BF4" w:rsidRPr="00427EE1" w:rsidRDefault="00B50BF4">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50BF4" w:rsidRPr="00427EE1" w:rsidRDefault="00B50BF4">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B50BF4">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ensure the </w:t>
            </w:r>
            <w:r w:rsidR="00AB414E">
              <w:rPr>
                <w:rFonts w:eastAsia="Calibri"/>
              </w:rPr>
              <w:t>RBS</w:t>
            </w:r>
            <w:r w:rsidRPr="00427EE1">
              <w:rPr>
                <w:rFonts w:eastAsia="Calibri"/>
              </w:rPr>
              <w:t xml:space="preserve"> manages health and safety risks to the public before and during building work. </w:t>
            </w:r>
          </w:p>
        </w:tc>
      </w:tr>
    </w:tbl>
    <w:p w:rsidR="005F38AC" w:rsidRDefault="005F38AC" w:rsidP="006757E8"/>
    <w:p w:rsidR="00B751DE" w:rsidRPr="00427EE1" w:rsidRDefault="00EF2008" w:rsidP="006119D2">
      <w:pPr>
        <w:pStyle w:val="Heading4"/>
      </w:pPr>
      <w:proofErr w:type="spellStart"/>
      <w:r>
        <w:lastRenderedPageBreak/>
        <w:t>Div</w:t>
      </w:r>
      <w:proofErr w:type="spellEnd"/>
      <w:r w:rsidR="006E6791" w:rsidRPr="00427EE1">
        <w:t xml:space="preserve"> </w:t>
      </w:r>
      <w:r w:rsidR="00B751DE" w:rsidRPr="00427EE1">
        <w:t>3</w:t>
      </w:r>
      <w:r w:rsidR="008475D9">
        <w:t>—</w:t>
      </w:r>
      <w:r w:rsidR="00B751DE" w:rsidRPr="00427EE1">
        <w:t>Demolition</w:t>
      </w:r>
    </w:p>
    <w:tbl>
      <w:tblPr>
        <w:tblW w:w="14451" w:type="dxa"/>
        <w:tblInd w:w="-74"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38"/>
        <w:gridCol w:w="945"/>
        <w:gridCol w:w="4243"/>
        <w:gridCol w:w="399"/>
        <w:gridCol w:w="399"/>
        <w:gridCol w:w="402"/>
        <w:gridCol w:w="400"/>
        <w:gridCol w:w="398"/>
        <w:gridCol w:w="6327"/>
      </w:tblGrid>
      <w:tr w:rsidR="009B17A5" w:rsidRPr="00427EE1" w:rsidTr="006119D2">
        <w:trPr>
          <w:cantSplit/>
          <w:trHeight w:val="54"/>
          <w:tblHeader/>
        </w:trPr>
        <w:tc>
          <w:tcPr>
            <w:tcW w:w="938" w:type="dxa"/>
            <w:vMerge w:val="restart"/>
            <w:shd w:val="clear" w:color="auto" w:fill="00B2A9" w:themeFill="accent1"/>
            <w:vAlign w:val="center"/>
            <w:hideMark/>
          </w:tcPr>
          <w:p w:rsidR="009B17A5" w:rsidRDefault="009B17A5">
            <w:pPr>
              <w:pStyle w:val="Tablecolumnhead"/>
              <w:rPr>
                <w:rFonts w:asciiTheme="majorHAnsi" w:eastAsia="Calibri" w:hAnsiTheme="majorHAnsi" w:cstheme="majorBidi"/>
                <w:sz w:val="40"/>
              </w:rPr>
            </w:pPr>
            <w:r w:rsidRPr="00BE72D7">
              <w:rPr>
                <w:rFonts w:eastAsia="Calibri"/>
              </w:rPr>
              <w:t>2006</w:t>
            </w:r>
          </w:p>
          <w:p w:rsidR="009B17A5" w:rsidRDefault="009B17A5">
            <w:pPr>
              <w:pStyle w:val="Tablecolumnhead"/>
              <w:rPr>
                <w:rFonts w:asciiTheme="majorHAnsi" w:eastAsia="Calibri" w:hAnsiTheme="majorHAnsi" w:cstheme="majorBidi"/>
                <w:sz w:val="40"/>
              </w:rPr>
            </w:pPr>
            <w:r w:rsidRPr="00C44680">
              <w:rPr>
                <w:rFonts w:ascii="Arial Bold" w:eastAsia="Calibri" w:hAnsi="Arial Bold"/>
                <w:spacing w:val="-12"/>
                <w:sz w:val="16"/>
              </w:rPr>
              <w:t>Regulation</w:t>
            </w:r>
          </w:p>
        </w:tc>
        <w:tc>
          <w:tcPr>
            <w:tcW w:w="945" w:type="dxa"/>
            <w:vMerge w:val="restart"/>
            <w:shd w:val="clear" w:color="auto" w:fill="00B2A9" w:themeFill="accent1"/>
            <w:vAlign w:val="center"/>
            <w:hideMark/>
          </w:tcPr>
          <w:p w:rsidR="009B17A5" w:rsidRDefault="009B17A5">
            <w:pPr>
              <w:pStyle w:val="Tablecolumnhead"/>
              <w:rPr>
                <w:rFonts w:asciiTheme="majorHAnsi" w:eastAsiaTheme="majorEastAsia" w:hAnsiTheme="majorHAnsi" w:cstheme="majorBidi"/>
                <w:sz w:val="40"/>
              </w:rPr>
            </w:pPr>
            <w:r w:rsidRPr="008F0E53">
              <w:rPr>
                <w:rFonts w:eastAsia="Calibri"/>
              </w:rPr>
              <w:t>2017</w:t>
            </w:r>
          </w:p>
          <w:p w:rsidR="009B17A5" w:rsidRDefault="009B17A5">
            <w:pPr>
              <w:pStyle w:val="Tablecolumnhead"/>
              <w:rPr>
                <w:rFonts w:asciiTheme="majorHAnsi" w:eastAsiaTheme="majorEastAsia" w:hAnsiTheme="majorHAnsi" w:cstheme="majorBidi"/>
                <w:sz w:val="40"/>
              </w:rPr>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9B17A5" w:rsidRDefault="009B17A5">
            <w:pPr>
              <w:pStyle w:val="Tablecolumnhead"/>
              <w:rPr>
                <w:rFonts w:asciiTheme="majorHAnsi" w:eastAsia="Calibri" w:hAnsiTheme="majorHAnsi" w:cstheme="majorBidi"/>
                <w:sz w:val="40"/>
              </w:rPr>
            </w:pPr>
            <w:r w:rsidRPr="00DC3F02">
              <w:t xml:space="preserve">Short description of the </w:t>
            </w:r>
            <w:r>
              <w:t>Regulation</w:t>
            </w:r>
          </w:p>
        </w:tc>
        <w:tc>
          <w:tcPr>
            <w:tcW w:w="1998" w:type="dxa"/>
            <w:gridSpan w:val="5"/>
            <w:shd w:val="clear" w:color="auto" w:fill="00B2A9" w:themeFill="accent1"/>
            <w:vAlign w:val="center"/>
          </w:tcPr>
          <w:p w:rsidR="009B17A5" w:rsidRDefault="009B17A5">
            <w:pPr>
              <w:pStyle w:val="Tablecolumnhead"/>
              <w:rPr>
                <w:rFonts w:asciiTheme="majorHAnsi" w:eastAsiaTheme="majorEastAsia" w:hAnsiTheme="majorHAnsi" w:cstheme="majorBidi"/>
                <w:sz w:val="40"/>
              </w:rPr>
            </w:pPr>
            <w:r w:rsidRPr="00DC3F02">
              <w:t>Proposed regulatory change</w:t>
            </w:r>
          </w:p>
        </w:tc>
        <w:tc>
          <w:tcPr>
            <w:tcW w:w="6327" w:type="dxa"/>
            <w:vMerge w:val="restart"/>
            <w:shd w:val="clear" w:color="auto" w:fill="00B2A9" w:themeFill="accent1"/>
            <w:vAlign w:val="center"/>
          </w:tcPr>
          <w:p w:rsidR="009B17A5" w:rsidRDefault="009B17A5">
            <w:pPr>
              <w:pStyle w:val="Tablecolumnhead"/>
              <w:rPr>
                <w:rFonts w:asciiTheme="majorHAnsi" w:eastAsiaTheme="majorEastAsia" w:hAnsiTheme="majorHAnsi" w:cstheme="majorBidi"/>
                <w:sz w:val="40"/>
              </w:rPr>
            </w:pPr>
            <w:r w:rsidRPr="00DC3F02">
              <w:t>Why the 2017 Regulation is proposed</w:t>
            </w:r>
          </w:p>
        </w:tc>
      </w:tr>
      <w:tr w:rsidR="00B751DE" w:rsidRPr="00427EE1" w:rsidTr="006119D2">
        <w:trPr>
          <w:cantSplit/>
          <w:trHeight w:val="966"/>
          <w:tblHeader/>
        </w:trPr>
        <w:tc>
          <w:tcPr>
            <w:tcW w:w="938"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945"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2B26F5" w:rsidRPr="00427EE1" w:rsidTr="006119D2">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2B26F5" w:rsidP="006757E8">
            <w:pPr>
              <w:pStyle w:val="Tabletext"/>
              <w:rPr>
                <w:rFonts w:eastAsia="Calibri"/>
              </w:rPr>
            </w:pPr>
            <w:r w:rsidRPr="00427EE1">
              <w:rPr>
                <w:rFonts w:eastAsia="Calibri"/>
              </w:rPr>
              <w:t>607</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2B26F5" w:rsidP="006757E8">
            <w:pPr>
              <w:pStyle w:val="Tabletext"/>
              <w:rPr>
                <w:rFonts w:asciiTheme="majorHAnsi" w:eastAsia="Calibri" w:hAnsiTheme="majorHAnsi" w:cstheme="majorBidi"/>
                <w:b/>
                <w:sz w:val="40"/>
                <w:lang w:eastAsia="en-US"/>
              </w:rPr>
            </w:pPr>
            <w:r w:rsidRPr="00427EE1">
              <w:rPr>
                <w:rFonts w:eastAsia="Calibri"/>
                <w:lang w:eastAsia="en-US"/>
              </w:rPr>
              <w:t>117</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2B26F5" w:rsidP="006757E8">
            <w:pPr>
              <w:pStyle w:val="Tabletext"/>
              <w:rPr>
                <w:rFonts w:asciiTheme="majorHAnsi" w:eastAsia="Calibri" w:hAnsiTheme="majorHAnsi" w:cstheme="majorBidi"/>
                <w:b/>
                <w:sz w:val="40"/>
                <w:lang w:eastAsia="en-US"/>
              </w:rPr>
            </w:pPr>
            <w:r w:rsidRPr="00427EE1">
              <w:rPr>
                <w:rFonts w:eastAsia="Calibri"/>
                <w:b/>
                <w:lang w:eastAsia="en-US"/>
              </w:rPr>
              <w:t>Demolition</w:t>
            </w:r>
          </w:p>
          <w:p w:rsidR="00E657D7" w:rsidRDefault="003D75DD" w:rsidP="006757E8">
            <w:pPr>
              <w:pStyle w:val="Tabletext"/>
              <w:rPr>
                <w:rFonts w:eastAsia="Calibri"/>
                <w:lang w:eastAsia="en-US"/>
              </w:rPr>
            </w:pPr>
            <w:r>
              <w:rPr>
                <w:rFonts w:eastAsia="Calibri"/>
                <w:lang w:eastAsia="en-US"/>
              </w:rPr>
              <w:t>I</w:t>
            </w:r>
            <w:r w:rsidR="002B26F5" w:rsidRPr="00427EE1">
              <w:rPr>
                <w:rFonts w:eastAsia="Calibri"/>
                <w:lang w:eastAsia="en-US"/>
              </w:rPr>
              <w:t>mposes minimum required safety standards for demolition.</w:t>
            </w:r>
            <w:r w:rsidR="00E60957">
              <w:rPr>
                <w:rFonts w:eastAsia="Calibri"/>
                <w:lang w:eastAsia="en-US"/>
              </w:rPr>
              <w:t xml:space="preserve"> </w:t>
            </w:r>
            <w:r w:rsidR="002B26F5" w:rsidRPr="00427EE1">
              <w:rPr>
                <w:rFonts w:eastAsia="Calibri"/>
                <w:lang w:eastAsia="en-US"/>
              </w:rPr>
              <w:t xml:space="preserve">It also grants the </w:t>
            </w:r>
            <w:r w:rsidR="00AB414E">
              <w:rPr>
                <w:rFonts w:eastAsia="Calibri"/>
                <w:lang w:eastAsia="en-US"/>
              </w:rPr>
              <w:t>RBS</w:t>
            </w:r>
            <w:r w:rsidR="002B26F5" w:rsidRPr="00427EE1">
              <w:rPr>
                <w:rFonts w:eastAsia="Calibri"/>
                <w:lang w:eastAsia="en-US"/>
              </w:rPr>
              <w:t xml:space="preserve"> the power to exempt minor demolition work from these requirements in appropriate circumstances.</w:t>
            </w:r>
            <w:r w:rsidR="00E60957">
              <w:rPr>
                <w:rFonts w:eastAsia="Calibri"/>
                <w:lang w:eastAsia="en-US"/>
              </w:rPr>
              <w:t xml:space="preserve">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2B26F5" w:rsidRPr="00427EE1" w:rsidRDefault="002B26F5"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2B26F5" w:rsidRPr="00427EE1" w:rsidRDefault="002B26F5">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2B26F5" w:rsidRPr="00427EE1" w:rsidRDefault="002B26F5">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2B26F5" w:rsidRPr="00427EE1" w:rsidRDefault="002B26F5">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2B26F5" w:rsidRPr="00427EE1" w:rsidRDefault="002B26F5">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2B26F5">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mitigate health and safety risks associated with demolition, including the removal of hazardous waste.</w:t>
            </w:r>
          </w:p>
        </w:tc>
      </w:tr>
    </w:tbl>
    <w:p w:rsidR="005F38AC" w:rsidRDefault="005F38AC" w:rsidP="006757E8"/>
    <w:p w:rsidR="002B26F5" w:rsidRPr="00427EE1" w:rsidRDefault="00EF2008" w:rsidP="006119D2">
      <w:pPr>
        <w:pStyle w:val="Heading4"/>
      </w:pPr>
      <w:proofErr w:type="spellStart"/>
      <w:r>
        <w:t>Div</w:t>
      </w:r>
      <w:proofErr w:type="spellEnd"/>
      <w:r w:rsidR="006E6791" w:rsidRPr="00427EE1">
        <w:t xml:space="preserve"> </w:t>
      </w:r>
      <w:r w:rsidR="002B26F5" w:rsidRPr="00427EE1">
        <w:t>4</w:t>
      </w:r>
      <w:r w:rsidR="008475D9">
        <w:t>—</w:t>
      </w:r>
      <w:r w:rsidR="002B26F5" w:rsidRPr="00427EE1">
        <w:t>Excavations and retaining walls</w:t>
      </w:r>
    </w:p>
    <w:tbl>
      <w:tblPr>
        <w:tblW w:w="14465" w:type="dxa"/>
        <w:tblInd w:w="-88"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66"/>
        <w:gridCol w:w="931"/>
        <w:gridCol w:w="4243"/>
        <w:gridCol w:w="399"/>
        <w:gridCol w:w="399"/>
        <w:gridCol w:w="402"/>
        <w:gridCol w:w="400"/>
        <w:gridCol w:w="398"/>
        <w:gridCol w:w="6327"/>
      </w:tblGrid>
      <w:tr w:rsidR="009B17A5" w:rsidRPr="00427EE1" w:rsidTr="006119D2">
        <w:trPr>
          <w:cantSplit/>
          <w:trHeight w:val="54"/>
          <w:tblHeader/>
        </w:trPr>
        <w:tc>
          <w:tcPr>
            <w:tcW w:w="966" w:type="dxa"/>
            <w:vMerge w:val="restart"/>
            <w:shd w:val="clear" w:color="auto" w:fill="00B2A9" w:themeFill="accent1"/>
            <w:vAlign w:val="center"/>
            <w:hideMark/>
          </w:tcPr>
          <w:p w:rsidR="009B17A5" w:rsidRDefault="009B17A5">
            <w:pPr>
              <w:pStyle w:val="Tablecolumnhead"/>
              <w:rPr>
                <w:rFonts w:asciiTheme="majorHAnsi" w:eastAsia="Calibri" w:hAnsiTheme="majorHAnsi" w:cstheme="majorBidi"/>
                <w:sz w:val="40"/>
              </w:rPr>
            </w:pPr>
            <w:r w:rsidRPr="00BE72D7">
              <w:rPr>
                <w:rFonts w:eastAsia="Calibri"/>
              </w:rPr>
              <w:t>2006</w:t>
            </w:r>
          </w:p>
          <w:p w:rsidR="009B17A5" w:rsidRDefault="009B17A5">
            <w:pPr>
              <w:pStyle w:val="Tablecolumnhead"/>
              <w:rPr>
                <w:rFonts w:asciiTheme="majorHAnsi" w:eastAsia="Calibri" w:hAnsiTheme="majorHAnsi" w:cstheme="majorBidi"/>
                <w:sz w:val="40"/>
              </w:rPr>
            </w:pPr>
            <w:r w:rsidRPr="00C44680">
              <w:rPr>
                <w:rFonts w:ascii="Arial Bold" w:eastAsia="Calibri" w:hAnsi="Arial Bold"/>
                <w:spacing w:val="-12"/>
                <w:sz w:val="16"/>
              </w:rPr>
              <w:t>Regulation</w:t>
            </w:r>
          </w:p>
        </w:tc>
        <w:tc>
          <w:tcPr>
            <w:tcW w:w="931" w:type="dxa"/>
            <w:vMerge w:val="restart"/>
            <w:shd w:val="clear" w:color="auto" w:fill="00B2A9" w:themeFill="accent1"/>
            <w:vAlign w:val="center"/>
            <w:hideMark/>
          </w:tcPr>
          <w:p w:rsidR="009B17A5" w:rsidRDefault="009B17A5">
            <w:pPr>
              <w:pStyle w:val="Tablecolumnhead"/>
              <w:rPr>
                <w:rFonts w:asciiTheme="majorHAnsi" w:eastAsiaTheme="majorEastAsia" w:hAnsiTheme="majorHAnsi" w:cstheme="majorBidi"/>
                <w:sz w:val="40"/>
              </w:rPr>
            </w:pPr>
            <w:r w:rsidRPr="008F0E53">
              <w:rPr>
                <w:rFonts w:eastAsia="Calibri"/>
              </w:rPr>
              <w:t>2017</w:t>
            </w:r>
          </w:p>
          <w:p w:rsidR="009B17A5" w:rsidRDefault="009B17A5">
            <w:pPr>
              <w:pStyle w:val="Tablecolumnhead"/>
              <w:rPr>
                <w:rFonts w:asciiTheme="majorHAnsi" w:eastAsiaTheme="majorEastAsia" w:hAnsiTheme="majorHAnsi" w:cstheme="majorBidi"/>
                <w:sz w:val="40"/>
              </w:rPr>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9B17A5" w:rsidRDefault="009B17A5">
            <w:pPr>
              <w:pStyle w:val="Tablecolumnhead"/>
              <w:rPr>
                <w:rFonts w:asciiTheme="majorHAnsi" w:eastAsia="Calibri" w:hAnsiTheme="majorHAnsi" w:cstheme="majorBidi"/>
                <w:sz w:val="40"/>
              </w:rPr>
            </w:pPr>
            <w:r w:rsidRPr="00DC3F02">
              <w:t xml:space="preserve">Short description of the </w:t>
            </w:r>
            <w:r>
              <w:t>Regulation</w:t>
            </w:r>
          </w:p>
        </w:tc>
        <w:tc>
          <w:tcPr>
            <w:tcW w:w="1998" w:type="dxa"/>
            <w:gridSpan w:val="5"/>
            <w:shd w:val="clear" w:color="auto" w:fill="00B2A9" w:themeFill="accent1"/>
            <w:vAlign w:val="center"/>
          </w:tcPr>
          <w:p w:rsidR="009B17A5" w:rsidRDefault="009B17A5">
            <w:pPr>
              <w:pStyle w:val="Tablecolumnhead"/>
              <w:rPr>
                <w:rFonts w:asciiTheme="majorHAnsi" w:eastAsiaTheme="majorEastAsia" w:hAnsiTheme="majorHAnsi" w:cstheme="majorBidi"/>
                <w:sz w:val="40"/>
              </w:rPr>
            </w:pPr>
            <w:r w:rsidRPr="00DC3F02">
              <w:t>Proposed regulatory change</w:t>
            </w:r>
          </w:p>
        </w:tc>
        <w:tc>
          <w:tcPr>
            <w:tcW w:w="6327" w:type="dxa"/>
            <w:vMerge w:val="restart"/>
            <w:shd w:val="clear" w:color="auto" w:fill="00B2A9" w:themeFill="accent1"/>
            <w:vAlign w:val="center"/>
          </w:tcPr>
          <w:p w:rsidR="009B17A5" w:rsidRDefault="009B17A5">
            <w:pPr>
              <w:pStyle w:val="Tablecolumnhead"/>
              <w:rPr>
                <w:rFonts w:asciiTheme="majorHAnsi" w:eastAsiaTheme="majorEastAsia" w:hAnsiTheme="majorHAnsi" w:cstheme="majorBidi"/>
                <w:sz w:val="40"/>
              </w:rPr>
            </w:pPr>
            <w:r w:rsidRPr="00DC3F02">
              <w:t>Why the 2017 Regulation is proposed</w:t>
            </w:r>
          </w:p>
        </w:tc>
      </w:tr>
      <w:tr w:rsidR="002B26F5" w:rsidRPr="00427EE1" w:rsidTr="006119D2">
        <w:trPr>
          <w:cantSplit/>
          <w:trHeight w:val="966"/>
          <w:tblHeader/>
        </w:trPr>
        <w:tc>
          <w:tcPr>
            <w:tcW w:w="966" w:type="dxa"/>
            <w:vMerge/>
            <w:shd w:val="clear" w:color="auto" w:fill="00B2A9" w:themeFill="accent1"/>
            <w:vAlign w:val="center"/>
            <w:hideMark/>
          </w:tcPr>
          <w:p w:rsidR="002B26F5" w:rsidRPr="00427EE1" w:rsidRDefault="002B26F5">
            <w:pPr>
              <w:spacing w:line="276" w:lineRule="auto"/>
              <w:jc w:val="center"/>
              <w:rPr>
                <w:rFonts w:ascii="Calibri" w:eastAsia="Calibri" w:hAnsi="Calibri"/>
                <w:sz w:val="16"/>
                <w:szCs w:val="16"/>
                <w:lang w:eastAsia="en-US"/>
              </w:rPr>
            </w:pPr>
          </w:p>
        </w:tc>
        <w:tc>
          <w:tcPr>
            <w:tcW w:w="931" w:type="dxa"/>
            <w:vMerge/>
            <w:shd w:val="clear" w:color="auto" w:fill="00B2A9" w:themeFill="accent1"/>
            <w:vAlign w:val="center"/>
            <w:hideMark/>
          </w:tcPr>
          <w:p w:rsidR="002B26F5" w:rsidRPr="00427EE1" w:rsidRDefault="002B26F5">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2B26F5" w:rsidRPr="00427EE1" w:rsidRDefault="002B26F5">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E657D7" w:rsidRDefault="002B26F5">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E657D7" w:rsidRDefault="002B26F5">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E657D7" w:rsidRDefault="002B26F5">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E657D7" w:rsidRDefault="002B26F5">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E657D7" w:rsidRDefault="002B26F5">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2B26F5" w:rsidRPr="00427EE1" w:rsidRDefault="002B26F5">
            <w:pPr>
              <w:spacing w:line="276" w:lineRule="auto"/>
              <w:ind w:left="113" w:right="113"/>
              <w:jc w:val="center"/>
              <w:rPr>
                <w:sz w:val="16"/>
                <w:szCs w:val="16"/>
                <w:lang w:eastAsia="en-US"/>
              </w:rPr>
            </w:pPr>
          </w:p>
        </w:tc>
      </w:tr>
      <w:tr w:rsidR="002B26F5"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2B26F5" w:rsidP="006757E8">
            <w:pPr>
              <w:pStyle w:val="Tabletext"/>
              <w:rPr>
                <w:rFonts w:eastAsia="Calibri"/>
              </w:rPr>
            </w:pPr>
            <w:r w:rsidRPr="00427EE1">
              <w:rPr>
                <w:rFonts w:eastAsia="Calibri"/>
              </w:rPr>
              <w:t>605</w:t>
            </w:r>
          </w:p>
        </w:tc>
        <w:tc>
          <w:tcPr>
            <w:tcW w:w="931"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2B26F5" w:rsidP="006757E8">
            <w:pPr>
              <w:pStyle w:val="Tabletext"/>
              <w:rPr>
                <w:rFonts w:asciiTheme="majorHAnsi" w:eastAsia="Calibri" w:hAnsiTheme="majorHAnsi" w:cstheme="majorBidi"/>
                <w:b/>
                <w:sz w:val="40"/>
                <w:lang w:eastAsia="en-US"/>
              </w:rPr>
            </w:pPr>
            <w:r w:rsidRPr="00427EE1">
              <w:rPr>
                <w:rFonts w:eastAsia="Calibri"/>
                <w:lang w:eastAsia="en-US"/>
              </w:rPr>
              <w:t>118</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2B26F5" w:rsidP="006757E8">
            <w:pPr>
              <w:pStyle w:val="Tabletext"/>
              <w:rPr>
                <w:rFonts w:asciiTheme="majorHAnsi" w:eastAsia="Calibri" w:hAnsiTheme="majorHAnsi" w:cstheme="majorBidi"/>
                <w:b/>
                <w:sz w:val="40"/>
                <w:lang w:eastAsia="en-US"/>
              </w:rPr>
            </w:pPr>
            <w:r w:rsidRPr="00427EE1">
              <w:rPr>
                <w:rFonts w:eastAsia="Calibri"/>
                <w:b/>
                <w:lang w:eastAsia="en-US"/>
              </w:rPr>
              <w:t>Excavations</w:t>
            </w:r>
          </w:p>
          <w:p w:rsidR="00E657D7" w:rsidRDefault="003D75DD" w:rsidP="006757E8">
            <w:pPr>
              <w:pStyle w:val="Tabletext"/>
              <w:rPr>
                <w:rFonts w:eastAsia="Calibri"/>
                <w:lang w:eastAsia="en-US"/>
              </w:rPr>
            </w:pPr>
            <w:r>
              <w:rPr>
                <w:rFonts w:eastAsia="Calibri"/>
                <w:lang w:eastAsia="en-US"/>
              </w:rPr>
              <w:t>I</w:t>
            </w:r>
            <w:r w:rsidR="002B26F5" w:rsidRPr="00427EE1">
              <w:rPr>
                <w:rFonts w:eastAsia="Calibri"/>
                <w:lang w:eastAsia="en-US"/>
              </w:rPr>
              <w:t>mposes safety and building standards which are specific to excavations</w:t>
            </w:r>
            <w:r>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2B26F5" w:rsidRPr="00427EE1" w:rsidRDefault="002B26F5"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2B26F5" w:rsidRPr="00427EE1" w:rsidRDefault="002B26F5">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2B26F5" w:rsidRPr="00427EE1" w:rsidRDefault="002B26F5">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2B26F5" w:rsidRPr="00427EE1" w:rsidRDefault="002B26F5">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2B26F5" w:rsidRPr="00427EE1" w:rsidRDefault="002B26F5">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2B26F5">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mitigate</w:t>
            </w:r>
            <w:r w:rsidR="00E60957">
              <w:rPr>
                <w:rFonts w:eastAsia="Calibri"/>
              </w:rPr>
              <w:t xml:space="preserve"> </w:t>
            </w:r>
            <w:r w:rsidRPr="00427EE1">
              <w:rPr>
                <w:rFonts w:eastAsia="Calibri"/>
              </w:rPr>
              <w:t>health and safety risks associated with excavations and to ensure foundation soil is not subject to significant moisture.</w:t>
            </w:r>
          </w:p>
        </w:tc>
      </w:tr>
      <w:tr w:rsidR="002B26F5"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2B26F5" w:rsidP="006757E8">
            <w:pPr>
              <w:pStyle w:val="Tabletext"/>
              <w:rPr>
                <w:rFonts w:eastAsia="Calibri"/>
              </w:rPr>
            </w:pPr>
            <w:r w:rsidRPr="00427EE1">
              <w:rPr>
                <w:rFonts w:eastAsia="Calibri"/>
              </w:rPr>
              <w:t>606</w:t>
            </w:r>
          </w:p>
        </w:tc>
        <w:tc>
          <w:tcPr>
            <w:tcW w:w="931"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2B26F5" w:rsidP="006757E8">
            <w:pPr>
              <w:pStyle w:val="Tabletext"/>
              <w:rPr>
                <w:rFonts w:asciiTheme="majorHAnsi" w:eastAsia="Calibri" w:hAnsiTheme="majorHAnsi" w:cstheme="majorBidi"/>
                <w:b/>
                <w:sz w:val="40"/>
                <w:lang w:eastAsia="en-US"/>
              </w:rPr>
            </w:pPr>
            <w:r w:rsidRPr="00427EE1">
              <w:rPr>
                <w:rFonts w:eastAsia="Calibri"/>
                <w:lang w:eastAsia="en-US"/>
              </w:rPr>
              <w:t>119</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E657D7" w:rsidRDefault="002B26F5" w:rsidP="006757E8">
            <w:pPr>
              <w:pStyle w:val="Tabletext"/>
              <w:rPr>
                <w:rFonts w:asciiTheme="majorHAnsi" w:eastAsia="Calibri" w:hAnsiTheme="majorHAnsi" w:cstheme="majorBidi"/>
                <w:b/>
                <w:sz w:val="40"/>
                <w:lang w:eastAsia="en-US"/>
              </w:rPr>
            </w:pPr>
            <w:r w:rsidRPr="00427EE1">
              <w:rPr>
                <w:rFonts w:eastAsia="Calibri"/>
                <w:b/>
                <w:lang w:eastAsia="en-US"/>
              </w:rPr>
              <w:t>Retaining walls</w:t>
            </w:r>
          </w:p>
          <w:p w:rsidR="00E657D7" w:rsidRDefault="003D75DD" w:rsidP="006757E8">
            <w:pPr>
              <w:pStyle w:val="Tabletext"/>
              <w:rPr>
                <w:rFonts w:eastAsia="Calibri"/>
                <w:lang w:eastAsia="en-US"/>
              </w:rPr>
            </w:pPr>
            <w:r>
              <w:rPr>
                <w:rFonts w:eastAsia="Calibri"/>
                <w:lang w:eastAsia="en-US"/>
              </w:rPr>
              <w:t>E</w:t>
            </w:r>
            <w:r w:rsidR="002B26F5" w:rsidRPr="00427EE1">
              <w:rPr>
                <w:rFonts w:eastAsia="Calibri"/>
                <w:lang w:eastAsia="en-US"/>
              </w:rPr>
              <w:t xml:space="preserve">mpowers the </w:t>
            </w:r>
            <w:r w:rsidR="00C85843">
              <w:rPr>
                <w:rFonts w:eastAsia="Calibri"/>
                <w:lang w:eastAsia="en-US"/>
              </w:rPr>
              <w:t>MBS</w:t>
            </w:r>
            <w:r w:rsidR="002B26F5" w:rsidRPr="00427EE1">
              <w:rPr>
                <w:rFonts w:eastAsia="Calibri"/>
                <w:lang w:eastAsia="en-US"/>
              </w:rPr>
              <w:t xml:space="preserve"> to require retaining walls or other means of maintaining the stability of the soil on an owner’s allotment or an adjoining property in circumstances where any excavation or soil filling activity may adversely effect the stability of the same.</w:t>
            </w:r>
            <w:r w:rsidR="00E60957">
              <w:rPr>
                <w:rFonts w:eastAsia="Calibri"/>
                <w:lang w:eastAsia="en-US"/>
              </w:rPr>
              <w:t xml:space="preserve">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2B26F5" w:rsidRPr="00427EE1" w:rsidRDefault="002B26F5"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2B26F5" w:rsidRPr="00427EE1" w:rsidRDefault="002B26F5">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2B26F5" w:rsidRPr="00427EE1" w:rsidRDefault="002B26F5">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2B26F5" w:rsidRPr="00427EE1" w:rsidRDefault="002B26F5">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2B26F5" w:rsidRPr="00427EE1" w:rsidRDefault="002B26F5">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2B26F5">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ensure power exists</w:t>
            </w:r>
            <w:r w:rsidR="00E60957">
              <w:rPr>
                <w:rFonts w:eastAsia="Calibri"/>
              </w:rPr>
              <w:t xml:space="preserve"> </w:t>
            </w:r>
            <w:r w:rsidRPr="00427EE1">
              <w:rPr>
                <w:rFonts w:eastAsia="Calibri"/>
              </w:rPr>
              <w:t xml:space="preserve">for the </w:t>
            </w:r>
            <w:r w:rsidR="00C85843">
              <w:rPr>
                <w:rFonts w:eastAsia="Calibri"/>
              </w:rPr>
              <w:t>MBS</w:t>
            </w:r>
            <w:r w:rsidRPr="00427EE1">
              <w:rPr>
                <w:rFonts w:eastAsia="Calibri"/>
              </w:rPr>
              <w:t xml:space="preserve"> to require an owner to provide retaining walls or other means of maintaining stability of soil on their own allotment or an adjoining allotment to protect against potential collapse or other adverse </w:t>
            </w:r>
            <w:r w:rsidR="00C85828" w:rsidRPr="00427EE1">
              <w:rPr>
                <w:rFonts w:eastAsia="Calibri"/>
              </w:rPr>
              <w:t>consequences</w:t>
            </w:r>
            <w:r w:rsidRPr="00427EE1">
              <w:rPr>
                <w:rFonts w:eastAsia="Calibri"/>
              </w:rPr>
              <w:t xml:space="preserve"> which arise as a result of excavation or soil infilling work on the owner’s property. </w:t>
            </w:r>
          </w:p>
        </w:tc>
      </w:tr>
    </w:tbl>
    <w:p w:rsidR="005F38AC" w:rsidRDefault="005F38AC" w:rsidP="006757E8"/>
    <w:p w:rsidR="00B751DE" w:rsidRPr="00427EE1" w:rsidRDefault="004267C5" w:rsidP="006119D2">
      <w:pPr>
        <w:pStyle w:val="Heading3"/>
      </w:pPr>
      <w:bookmarkStart w:id="182" w:name="_Toc481501603"/>
      <w:r>
        <w:lastRenderedPageBreak/>
        <w:t xml:space="preserve">Pt </w:t>
      </w:r>
      <w:r w:rsidR="00B751DE" w:rsidRPr="00427EE1">
        <w:t>9</w:t>
      </w:r>
      <w:r w:rsidR="008475D9">
        <w:t>—</w:t>
      </w:r>
      <w:r w:rsidR="00B751DE" w:rsidRPr="00427EE1">
        <w:t>Building work</w:t>
      </w:r>
      <w:bookmarkEnd w:id="182"/>
    </w:p>
    <w:p w:rsidR="00B751DE" w:rsidRPr="00427EE1" w:rsidRDefault="00EF2008" w:rsidP="006119D2">
      <w:pPr>
        <w:pStyle w:val="Heading4"/>
      </w:pPr>
      <w:proofErr w:type="spellStart"/>
      <w:r>
        <w:t>Div</w:t>
      </w:r>
      <w:proofErr w:type="spellEnd"/>
      <w:r w:rsidR="00B751DE" w:rsidRPr="00427EE1">
        <w:t xml:space="preserve"> 1</w:t>
      </w:r>
      <w:r w:rsidR="008475D9">
        <w:t>—</w:t>
      </w:r>
      <w:r w:rsidR="00B751DE" w:rsidRPr="00427EE1">
        <w:t>Methods of assessment of compliance</w:t>
      </w:r>
    </w:p>
    <w:tbl>
      <w:tblPr>
        <w:tblW w:w="14479" w:type="dxa"/>
        <w:tblInd w:w="-102"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66"/>
        <w:gridCol w:w="945"/>
        <w:gridCol w:w="4253"/>
        <w:gridCol w:w="396"/>
        <w:gridCol w:w="397"/>
        <w:gridCol w:w="397"/>
        <w:gridCol w:w="397"/>
        <w:gridCol w:w="397"/>
        <w:gridCol w:w="6331"/>
      </w:tblGrid>
      <w:tr w:rsidR="009B17A5" w:rsidRPr="00427EE1" w:rsidTr="006119D2">
        <w:trPr>
          <w:cantSplit/>
          <w:trHeight w:val="54"/>
          <w:tblHeader/>
        </w:trPr>
        <w:tc>
          <w:tcPr>
            <w:tcW w:w="966" w:type="dxa"/>
            <w:vMerge w:val="restart"/>
            <w:shd w:val="clear" w:color="auto" w:fill="00B2A9" w:themeFill="accent1"/>
            <w:vAlign w:val="center"/>
            <w:hideMark/>
          </w:tcPr>
          <w:p w:rsidR="009B17A5" w:rsidRDefault="009B17A5">
            <w:pPr>
              <w:pStyle w:val="Tablecolumnhead"/>
              <w:rPr>
                <w:rFonts w:asciiTheme="majorHAnsi" w:eastAsia="Calibri" w:hAnsiTheme="majorHAnsi" w:cstheme="majorBidi"/>
                <w:sz w:val="40"/>
              </w:rPr>
            </w:pPr>
            <w:r w:rsidRPr="00BE72D7">
              <w:rPr>
                <w:rFonts w:eastAsia="Calibri"/>
              </w:rPr>
              <w:t>2006</w:t>
            </w:r>
          </w:p>
          <w:p w:rsidR="009B17A5" w:rsidRDefault="009B17A5">
            <w:pPr>
              <w:pStyle w:val="Tablecolumnhead"/>
              <w:rPr>
                <w:rFonts w:asciiTheme="majorHAnsi" w:eastAsia="Calibri" w:hAnsiTheme="majorHAnsi" w:cstheme="majorBidi"/>
                <w:sz w:val="40"/>
              </w:rPr>
            </w:pPr>
            <w:r w:rsidRPr="00C44680">
              <w:rPr>
                <w:rFonts w:ascii="Arial Bold" w:eastAsia="Calibri" w:hAnsi="Arial Bold"/>
                <w:spacing w:val="-12"/>
                <w:sz w:val="16"/>
              </w:rPr>
              <w:t>Regulation</w:t>
            </w:r>
          </w:p>
        </w:tc>
        <w:tc>
          <w:tcPr>
            <w:tcW w:w="945" w:type="dxa"/>
            <w:vMerge w:val="restart"/>
            <w:shd w:val="clear" w:color="auto" w:fill="00B2A9" w:themeFill="accent1"/>
            <w:vAlign w:val="center"/>
            <w:hideMark/>
          </w:tcPr>
          <w:p w:rsidR="009B17A5" w:rsidRDefault="009B17A5">
            <w:pPr>
              <w:pStyle w:val="Tablecolumnhead"/>
              <w:rPr>
                <w:rFonts w:asciiTheme="majorHAnsi" w:eastAsiaTheme="majorEastAsia" w:hAnsiTheme="majorHAnsi" w:cstheme="majorBidi"/>
                <w:sz w:val="40"/>
              </w:rPr>
            </w:pPr>
            <w:r w:rsidRPr="008F0E53">
              <w:rPr>
                <w:rFonts w:eastAsia="Calibri"/>
              </w:rPr>
              <w:t>2017</w:t>
            </w:r>
          </w:p>
          <w:p w:rsidR="009B17A5" w:rsidRDefault="009B17A5">
            <w:pPr>
              <w:pStyle w:val="Tablecolumnhead"/>
              <w:rPr>
                <w:rFonts w:asciiTheme="majorHAnsi" w:eastAsiaTheme="majorEastAsia" w:hAnsiTheme="majorHAnsi" w:cstheme="majorBidi"/>
                <w:sz w:val="40"/>
              </w:rPr>
            </w:pPr>
            <w:r w:rsidRPr="00C44680">
              <w:rPr>
                <w:rFonts w:ascii="Arial Bold" w:eastAsia="Calibri" w:hAnsi="Arial Bold"/>
                <w:spacing w:val="-12"/>
                <w:sz w:val="16"/>
              </w:rPr>
              <w:t>Regulation</w:t>
            </w:r>
          </w:p>
        </w:tc>
        <w:tc>
          <w:tcPr>
            <w:tcW w:w="4253" w:type="dxa"/>
            <w:vMerge w:val="restart"/>
            <w:shd w:val="clear" w:color="auto" w:fill="00B2A9" w:themeFill="accent1"/>
            <w:vAlign w:val="center"/>
            <w:hideMark/>
          </w:tcPr>
          <w:p w:rsidR="009B17A5" w:rsidRDefault="009B17A5">
            <w:pPr>
              <w:pStyle w:val="Tablecolumnhead"/>
              <w:rPr>
                <w:rFonts w:asciiTheme="majorHAnsi" w:eastAsia="Calibri" w:hAnsiTheme="majorHAnsi" w:cstheme="majorBidi"/>
                <w:sz w:val="40"/>
              </w:rPr>
            </w:pPr>
            <w:r w:rsidRPr="00DC3F02">
              <w:t xml:space="preserve">Short description of the </w:t>
            </w:r>
            <w:r>
              <w:t>Regulation</w:t>
            </w:r>
          </w:p>
        </w:tc>
        <w:tc>
          <w:tcPr>
            <w:tcW w:w="1984" w:type="dxa"/>
            <w:gridSpan w:val="5"/>
            <w:shd w:val="clear" w:color="auto" w:fill="00B2A9" w:themeFill="accent1"/>
            <w:vAlign w:val="center"/>
          </w:tcPr>
          <w:p w:rsidR="009B17A5" w:rsidRDefault="009B17A5">
            <w:pPr>
              <w:pStyle w:val="Tablecolumnhead"/>
              <w:rPr>
                <w:rFonts w:asciiTheme="majorHAnsi" w:eastAsiaTheme="majorEastAsia" w:hAnsiTheme="majorHAnsi" w:cstheme="majorBidi"/>
                <w:sz w:val="40"/>
              </w:rPr>
            </w:pPr>
            <w:r w:rsidRPr="00DC3F02">
              <w:t>Proposed regulatory change</w:t>
            </w:r>
          </w:p>
        </w:tc>
        <w:tc>
          <w:tcPr>
            <w:tcW w:w="6331" w:type="dxa"/>
            <w:vMerge w:val="restart"/>
            <w:shd w:val="clear" w:color="auto" w:fill="00B2A9" w:themeFill="accent1"/>
            <w:vAlign w:val="center"/>
          </w:tcPr>
          <w:p w:rsidR="009B17A5" w:rsidRDefault="009B17A5">
            <w:pPr>
              <w:pStyle w:val="Tablecolumnhead"/>
              <w:rPr>
                <w:rFonts w:asciiTheme="majorHAnsi" w:eastAsiaTheme="majorEastAsia" w:hAnsiTheme="majorHAnsi" w:cstheme="majorBidi"/>
                <w:sz w:val="40"/>
              </w:rPr>
            </w:pPr>
            <w:r w:rsidRPr="00DC3F02">
              <w:t>Why the 2017 Regulation is proposed</w:t>
            </w:r>
          </w:p>
        </w:tc>
      </w:tr>
      <w:tr w:rsidR="009C1595" w:rsidRPr="00427EE1" w:rsidTr="006119D2">
        <w:trPr>
          <w:cantSplit/>
          <w:trHeight w:val="937"/>
          <w:tblHeader/>
        </w:trPr>
        <w:tc>
          <w:tcPr>
            <w:tcW w:w="966"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945"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5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6" w:type="dxa"/>
            <w:shd w:val="clear" w:color="auto" w:fill="FFFFFF" w:themeFill="background1"/>
            <w:textDirection w:val="btLr"/>
            <w:vAlign w:val="cente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Revoke</w:t>
            </w:r>
          </w:p>
        </w:tc>
        <w:tc>
          <w:tcPr>
            <w:tcW w:w="397" w:type="dxa"/>
            <w:shd w:val="clear" w:color="auto" w:fill="FFFFFF" w:themeFill="background1"/>
            <w:textDirection w:val="btLr"/>
            <w:vAlign w:val="center"/>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No Change</w:t>
            </w:r>
          </w:p>
        </w:tc>
        <w:tc>
          <w:tcPr>
            <w:tcW w:w="397" w:type="dxa"/>
            <w:shd w:val="clear" w:color="auto" w:fill="FFFFFF" w:themeFill="background1"/>
            <w:textDirection w:val="btLr"/>
            <w:vAlign w:val="cente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Updated</w:t>
            </w:r>
          </w:p>
        </w:tc>
        <w:tc>
          <w:tcPr>
            <w:tcW w:w="397" w:type="dxa"/>
            <w:shd w:val="clear" w:color="auto" w:fill="BCFFFB" w:themeFill="accent1" w:themeFillTint="33"/>
            <w:textDirection w:val="btLr"/>
            <w:vAlign w:val="cente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Reduce</w:t>
            </w:r>
          </w:p>
        </w:tc>
        <w:tc>
          <w:tcPr>
            <w:tcW w:w="397" w:type="dxa"/>
            <w:shd w:val="clear" w:color="auto" w:fill="37FFF4" w:themeFill="accent1" w:themeFillTint="99"/>
            <w:textDirection w:val="btLr"/>
            <w:vAlign w:val="cente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Strengthen</w:t>
            </w:r>
          </w:p>
        </w:tc>
        <w:tc>
          <w:tcPr>
            <w:tcW w:w="6331"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81091C"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81091C" w:rsidP="006757E8">
            <w:pPr>
              <w:pStyle w:val="Tabletext"/>
              <w:rPr>
                <w:rFonts w:eastAsia="Calibri"/>
              </w:rPr>
            </w:pPr>
            <w:r w:rsidRPr="00427EE1">
              <w:rPr>
                <w:rFonts w:eastAsia="Calibri"/>
              </w:rPr>
              <w:t>601</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81091C" w:rsidP="006757E8">
            <w:pPr>
              <w:pStyle w:val="Tabletext"/>
              <w:rPr>
                <w:rFonts w:asciiTheme="majorHAnsi" w:eastAsia="Calibri" w:hAnsiTheme="majorHAnsi" w:cstheme="majorBidi"/>
                <w:b/>
                <w:sz w:val="40"/>
                <w:lang w:eastAsia="en-US"/>
              </w:rPr>
            </w:pPr>
            <w:r w:rsidRPr="00427EE1">
              <w:rPr>
                <w:rFonts w:eastAsia="Calibri"/>
                <w:lang w:eastAsia="en-US"/>
              </w:rPr>
              <w:t>120</w:t>
            </w:r>
          </w:p>
        </w:tc>
        <w:tc>
          <w:tcPr>
            <w:tcW w:w="425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E657D7" w:rsidRDefault="0081091C" w:rsidP="006757E8">
            <w:pPr>
              <w:pStyle w:val="Tabletext"/>
              <w:rPr>
                <w:rFonts w:asciiTheme="majorHAnsi" w:eastAsia="Calibri" w:hAnsiTheme="majorHAnsi" w:cstheme="majorBidi"/>
                <w:b/>
                <w:sz w:val="40"/>
                <w:lang w:eastAsia="en-US"/>
              </w:rPr>
            </w:pPr>
            <w:r w:rsidRPr="00427EE1">
              <w:rPr>
                <w:rFonts w:eastAsia="Calibri"/>
                <w:b/>
                <w:lang w:eastAsia="en-US"/>
              </w:rPr>
              <w:t>Testing of materials</w:t>
            </w:r>
          </w:p>
          <w:p w:rsidR="00E657D7" w:rsidRDefault="003D75DD" w:rsidP="006757E8">
            <w:pPr>
              <w:pStyle w:val="Tabletext"/>
              <w:rPr>
                <w:rFonts w:eastAsia="Calibri"/>
                <w:lang w:eastAsia="en-US"/>
              </w:rPr>
            </w:pPr>
            <w:r>
              <w:rPr>
                <w:rFonts w:eastAsia="Calibri"/>
                <w:lang w:eastAsia="en-US"/>
              </w:rPr>
              <w:t>E</w:t>
            </w:r>
            <w:r w:rsidR="0081091C" w:rsidRPr="00427EE1">
              <w:rPr>
                <w:rFonts w:eastAsia="Calibri"/>
                <w:lang w:eastAsia="en-US"/>
              </w:rPr>
              <w:t xml:space="preserve">nables the </w:t>
            </w:r>
            <w:r w:rsidR="00AB414E">
              <w:rPr>
                <w:rFonts w:eastAsia="Calibri"/>
                <w:lang w:eastAsia="en-US"/>
              </w:rPr>
              <w:t>RBS</w:t>
            </w:r>
            <w:r w:rsidR="0081091C" w:rsidRPr="00427EE1">
              <w:rPr>
                <w:rFonts w:eastAsia="Calibri"/>
                <w:lang w:eastAsia="en-US"/>
              </w:rPr>
              <w:t xml:space="preserve"> to require testing of any material used in</w:t>
            </w:r>
            <w:r w:rsidR="00E60957">
              <w:rPr>
                <w:rFonts w:eastAsia="Calibri"/>
                <w:lang w:eastAsia="en-US"/>
              </w:rPr>
              <w:t xml:space="preserve"> </w:t>
            </w:r>
            <w:r w:rsidR="0081091C" w:rsidRPr="00427EE1">
              <w:rPr>
                <w:rFonts w:eastAsia="Calibri"/>
                <w:lang w:eastAsia="en-US"/>
              </w:rPr>
              <w:t xml:space="preserve">building work in respect of which a building permit has been issued, and prohibit the use of any material if, after testing, is found to be </w:t>
            </w:r>
            <w:r w:rsidR="0023395A">
              <w:rPr>
                <w:rFonts w:eastAsia="Calibri"/>
                <w:lang w:eastAsia="en-US"/>
              </w:rPr>
              <w:t>non</w:t>
            </w:r>
            <w:r w:rsidR="0081091C" w:rsidRPr="00427EE1">
              <w:rPr>
                <w:rFonts w:eastAsia="Calibri"/>
                <w:lang w:eastAsia="en-US"/>
              </w:rPr>
              <w:t>compliant or unsuitable or unfit for its intended use.</w:t>
            </w:r>
          </w:p>
        </w:tc>
        <w:tc>
          <w:tcPr>
            <w:tcW w:w="39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1091C" w:rsidRPr="00427EE1" w:rsidRDefault="0081091C" w:rsidP="006757E8">
            <w:pPr>
              <w:tabs>
                <w:tab w:val="left" w:pos="567"/>
              </w:tabs>
              <w:spacing w:line="276" w:lineRule="auto"/>
              <w:jc w:val="center"/>
              <w:rPr>
                <w:rFonts w:ascii="Calibri" w:eastAsia="Calibri" w:hAnsi="Calibri"/>
                <w:lang w:eastAsia="en-US"/>
              </w:rPr>
            </w:pPr>
          </w:p>
        </w:tc>
        <w:tc>
          <w:tcPr>
            <w:tcW w:w="39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1091C" w:rsidRPr="00427EE1" w:rsidRDefault="0081091C">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39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1091C" w:rsidRPr="00427EE1" w:rsidRDefault="0081091C">
            <w:pPr>
              <w:tabs>
                <w:tab w:val="left" w:pos="567"/>
              </w:tabs>
              <w:spacing w:line="276" w:lineRule="auto"/>
              <w:jc w:val="center"/>
              <w:rPr>
                <w:rFonts w:ascii="Calibri" w:eastAsia="Calibri" w:hAnsi="Calibri"/>
                <w:lang w:eastAsia="en-US"/>
              </w:rPr>
            </w:pPr>
          </w:p>
        </w:tc>
        <w:tc>
          <w:tcPr>
            <w:tcW w:w="39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1091C" w:rsidRPr="00427EE1" w:rsidRDefault="0081091C">
            <w:pPr>
              <w:tabs>
                <w:tab w:val="left" w:pos="567"/>
              </w:tabs>
              <w:spacing w:line="276" w:lineRule="auto"/>
              <w:jc w:val="center"/>
              <w:rPr>
                <w:rFonts w:ascii="Calibri" w:eastAsia="Calibri" w:hAnsi="Calibri"/>
                <w:lang w:eastAsia="en-US"/>
              </w:rPr>
            </w:pPr>
          </w:p>
        </w:tc>
        <w:tc>
          <w:tcPr>
            <w:tcW w:w="39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81091C" w:rsidRPr="00427EE1" w:rsidRDefault="0081091C">
            <w:pPr>
              <w:tabs>
                <w:tab w:val="left" w:pos="567"/>
              </w:tabs>
              <w:spacing w:line="276" w:lineRule="auto"/>
              <w:jc w:val="center"/>
              <w:rPr>
                <w:rFonts w:ascii="Calibri" w:eastAsia="Calibri" w:hAnsi="Calibri"/>
                <w:lang w:eastAsia="en-US"/>
              </w:rPr>
            </w:pPr>
          </w:p>
        </w:tc>
        <w:tc>
          <w:tcPr>
            <w:tcW w:w="6331"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E657D7" w:rsidRDefault="0081091C">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assist the </w:t>
            </w:r>
            <w:r w:rsidR="00AB414E">
              <w:rPr>
                <w:rFonts w:eastAsia="Calibri"/>
              </w:rPr>
              <w:t>RBS</w:t>
            </w:r>
            <w:r w:rsidRPr="00427EE1">
              <w:rPr>
                <w:rFonts w:eastAsia="Calibri"/>
              </w:rPr>
              <w:t xml:space="preserve"> to monitor and enforce building standards in respect of building work which they have approved under a building permit.</w:t>
            </w:r>
            <w:r w:rsidR="00E60957">
              <w:rPr>
                <w:rFonts w:eastAsia="Calibri"/>
              </w:rPr>
              <w:t xml:space="preserve"> </w:t>
            </w:r>
            <w:r w:rsidRPr="00427EE1">
              <w:rPr>
                <w:rFonts w:eastAsia="Calibri"/>
              </w:rPr>
              <w:t xml:space="preserve">The objective of this </w:t>
            </w:r>
            <w:r w:rsidR="000273F9">
              <w:rPr>
                <w:rFonts w:eastAsia="Calibri"/>
              </w:rPr>
              <w:t>Regulation</w:t>
            </w:r>
            <w:r w:rsidRPr="00427EE1">
              <w:rPr>
                <w:rFonts w:eastAsia="Calibri"/>
              </w:rPr>
              <w:t xml:space="preserve"> is to reduce risks associated with the use of </w:t>
            </w:r>
            <w:r w:rsidR="0023395A">
              <w:rPr>
                <w:rFonts w:eastAsia="Calibri"/>
              </w:rPr>
              <w:t>non</w:t>
            </w:r>
            <w:r w:rsidRPr="00427EE1">
              <w:rPr>
                <w:rFonts w:eastAsia="Calibri"/>
              </w:rPr>
              <w:t xml:space="preserve">compliant building materials by providing additional powers to the </w:t>
            </w:r>
            <w:r w:rsidR="00AB414E">
              <w:rPr>
                <w:rFonts w:eastAsia="Calibri"/>
              </w:rPr>
              <w:t>RBS</w:t>
            </w:r>
            <w:r w:rsidRPr="00427EE1">
              <w:rPr>
                <w:rFonts w:eastAsia="Calibri"/>
              </w:rPr>
              <w:t xml:space="preserve"> to verify that</w:t>
            </w:r>
            <w:r w:rsidR="00E60957">
              <w:rPr>
                <w:rFonts w:eastAsia="Calibri"/>
              </w:rPr>
              <w:t xml:space="preserve"> </w:t>
            </w:r>
            <w:r w:rsidRPr="00427EE1">
              <w:rPr>
                <w:rFonts w:eastAsia="Calibri"/>
              </w:rPr>
              <w:t xml:space="preserve">building materials meet relevant building standards. </w:t>
            </w:r>
          </w:p>
        </w:tc>
      </w:tr>
      <w:tr w:rsidR="009C1595"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81091C" w:rsidP="006757E8">
            <w:pPr>
              <w:pStyle w:val="Tabletext"/>
              <w:rPr>
                <w:rFonts w:eastAsia="Calibri"/>
              </w:rPr>
            </w:pPr>
            <w:r w:rsidRPr="00427EE1">
              <w:rPr>
                <w:rFonts w:eastAsia="Calibri"/>
              </w:rPr>
              <w:t>113</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81091C" w:rsidP="006757E8">
            <w:pPr>
              <w:pStyle w:val="Tabletext"/>
              <w:rPr>
                <w:rFonts w:asciiTheme="majorHAnsi" w:eastAsia="Calibri" w:hAnsiTheme="majorHAnsi" w:cstheme="majorBidi"/>
                <w:b/>
                <w:sz w:val="40"/>
                <w:lang w:eastAsia="en-US"/>
              </w:rPr>
            </w:pPr>
            <w:r w:rsidRPr="00427EE1">
              <w:rPr>
                <w:rFonts w:eastAsia="Calibri"/>
                <w:lang w:eastAsia="en-US"/>
              </w:rPr>
              <w:t>121</w:t>
            </w:r>
          </w:p>
        </w:tc>
        <w:tc>
          <w:tcPr>
            <w:tcW w:w="425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E657D7" w:rsidRDefault="0081091C" w:rsidP="006757E8">
            <w:pPr>
              <w:pStyle w:val="Tabletext"/>
              <w:rPr>
                <w:rFonts w:asciiTheme="majorHAnsi" w:eastAsia="Calibri" w:hAnsiTheme="majorHAnsi" w:cstheme="majorBidi"/>
                <w:b/>
                <w:sz w:val="40"/>
                <w:lang w:eastAsia="en-US"/>
              </w:rPr>
            </w:pPr>
            <w:r w:rsidRPr="00427EE1">
              <w:rPr>
                <w:rFonts w:eastAsia="Calibri"/>
                <w:b/>
                <w:lang w:eastAsia="en-US"/>
              </w:rPr>
              <w:t>Fire</w:t>
            </w:r>
            <w:r w:rsidR="00181511">
              <w:rPr>
                <w:rFonts w:eastAsia="Calibri"/>
                <w:b/>
                <w:lang w:eastAsia="en-US"/>
              </w:rPr>
              <w:t>-performance</w:t>
            </w:r>
            <w:r w:rsidRPr="00427EE1">
              <w:rPr>
                <w:rFonts w:eastAsia="Calibri"/>
                <w:b/>
                <w:lang w:eastAsia="en-US"/>
              </w:rPr>
              <w:t xml:space="preserve"> requirements—performance solutions</w:t>
            </w:r>
          </w:p>
          <w:p w:rsidR="00E657D7" w:rsidRDefault="003D75DD" w:rsidP="006757E8">
            <w:pPr>
              <w:pStyle w:val="Tabletext"/>
              <w:rPr>
                <w:rFonts w:eastAsia="Calibri"/>
                <w:lang w:eastAsia="en-US"/>
              </w:rPr>
            </w:pPr>
            <w:r>
              <w:rPr>
                <w:rFonts w:eastAsia="Calibri"/>
                <w:lang w:eastAsia="en-US"/>
              </w:rPr>
              <w:t>L</w:t>
            </w:r>
            <w:r w:rsidR="0081091C" w:rsidRPr="00427EE1">
              <w:rPr>
                <w:rFonts w:eastAsia="Calibri"/>
                <w:lang w:eastAsia="en-US"/>
              </w:rPr>
              <w:t xml:space="preserve">imits the circumstances in which the </w:t>
            </w:r>
            <w:r w:rsidR="00AB414E">
              <w:rPr>
                <w:rFonts w:eastAsia="Calibri"/>
                <w:lang w:eastAsia="en-US"/>
              </w:rPr>
              <w:t>RBS</w:t>
            </w:r>
            <w:r w:rsidR="0081091C" w:rsidRPr="00427EE1">
              <w:rPr>
                <w:rFonts w:eastAsia="Calibri"/>
                <w:lang w:eastAsia="en-US"/>
              </w:rPr>
              <w:t xml:space="preserve"> is empowered to determine that a performance solution complies with a fire</w:t>
            </w:r>
            <w:r w:rsidR="00181511">
              <w:rPr>
                <w:rFonts w:eastAsia="Calibri"/>
                <w:lang w:eastAsia="en-US"/>
              </w:rPr>
              <w:t>-performance</w:t>
            </w:r>
            <w:r w:rsidR="0081091C" w:rsidRPr="00427EE1">
              <w:rPr>
                <w:rFonts w:eastAsia="Calibri"/>
                <w:lang w:eastAsia="en-US"/>
              </w:rPr>
              <w:t xml:space="preserve"> requirement of the BCA.</w:t>
            </w:r>
          </w:p>
        </w:tc>
        <w:tc>
          <w:tcPr>
            <w:tcW w:w="39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81091C" w:rsidRPr="00427EE1" w:rsidRDefault="0081091C" w:rsidP="006757E8">
            <w:pPr>
              <w:tabs>
                <w:tab w:val="left" w:pos="567"/>
              </w:tabs>
              <w:spacing w:line="276" w:lineRule="auto"/>
              <w:jc w:val="center"/>
              <w:rPr>
                <w:rFonts w:ascii="Calibri" w:eastAsia="Calibri" w:hAnsi="Calibri"/>
                <w:lang w:eastAsia="en-US"/>
              </w:rPr>
            </w:pPr>
          </w:p>
        </w:tc>
        <w:tc>
          <w:tcPr>
            <w:tcW w:w="39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81091C" w:rsidRPr="00427EE1" w:rsidRDefault="0081091C">
            <w:pPr>
              <w:tabs>
                <w:tab w:val="left" w:pos="567"/>
              </w:tabs>
              <w:spacing w:line="276" w:lineRule="auto"/>
              <w:jc w:val="center"/>
              <w:rPr>
                <w:rFonts w:ascii="Calibri" w:eastAsia="Calibri" w:hAnsi="Calibri"/>
                <w:lang w:eastAsia="en-US"/>
              </w:rPr>
            </w:pPr>
          </w:p>
        </w:tc>
        <w:tc>
          <w:tcPr>
            <w:tcW w:w="39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81091C" w:rsidRPr="00427EE1" w:rsidRDefault="0081091C">
            <w:pPr>
              <w:tabs>
                <w:tab w:val="left" w:pos="567"/>
              </w:tabs>
              <w:spacing w:line="276" w:lineRule="auto"/>
              <w:jc w:val="center"/>
              <w:rPr>
                <w:rFonts w:ascii="Calibri" w:eastAsia="Calibri" w:hAnsi="Calibri"/>
                <w:lang w:eastAsia="en-US"/>
              </w:rPr>
            </w:pPr>
          </w:p>
        </w:tc>
        <w:tc>
          <w:tcPr>
            <w:tcW w:w="39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81091C" w:rsidRPr="00427EE1" w:rsidRDefault="0081091C">
            <w:pPr>
              <w:tabs>
                <w:tab w:val="left" w:pos="567"/>
              </w:tabs>
              <w:spacing w:line="276" w:lineRule="auto"/>
              <w:jc w:val="center"/>
              <w:rPr>
                <w:rFonts w:ascii="Calibri" w:eastAsia="Calibri" w:hAnsi="Calibri"/>
                <w:lang w:eastAsia="en-US"/>
              </w:rPr>
            </w:pPr>
          </w:p>
        </w:tc>
        <w:tc>
          <w:tcPr>
            <w:tcW w:w="39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81091C" w:rsidRPr="00427EE1" w:rsidRDefault="0081091C">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31"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81091C">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reduce health and safety risks associated with building fires by requiring additional expert oversight of approvals of fire</w:t>
            </w:r>
            <w:r w:rsidR="00181511">
              <w:rPr>
                <w:rFonts w:eastAsia="Calibri"/>
              </w:rPr>
              <w:t>-performance</w:t>
            </w:r>
            <w:r w:rsidRPr="00427EE1">
              <w:rPr>
                <w:rFonts w:eastAsia="Calibri"/>
              </w:rPr>
              <w:t xml:space="preserve"> solutions owing to the complex nature of fire</w:t>
            </w:r>
            <w:r w:rsidR="00181511">
              <w:rPr>
                <w:rFonts w:eastAsia="Calibri"/>
              </w:rPr>
              <w:t>-safety</w:t>
            </w:r>
            <w:r w:rsidRPr="00427EE1">
              <w:rPr>
                <w:rFonts w:eastAsia="Calibri"/>
              </w:rPr>
              <w:t xml:space="preserve"> measures.</w:t>
            </w:r>
            <w:r w:rsidR="00E60957">
              <w:rPr>
                <w:rFonts w:eastAsia="Calibri"/>
              </w:rPr>
              <w:t xml:space="preserve"> </w:t>
            </w:r>
            <w:r w:rsidRPr="00427EE1">
              <w:rPr>
                <w:rFonts w:eastAsia="Calibri"/>
              </w:rPr>
              <w:t xml:space="preserve">This </w:t>
            </w:r>
            <w:r w:rsidR="000273F9">
              <w:rPr>
                <w:rFonts w:eastAsia="Calibri"/>
              </w:rPr>
              <w:t>Regulation</w:t>
            </w:r>
            <w:r w:rsidRPr="00427EE1">
              <w:rPr>
                <w:rFonts w:eastAsia="Calibri"/>
              </w:rPr>
              <w:t xml:space="preserve"> remakes current </w:t>
            </w:r>
            <w:proofErr w:type="spellStart"/>
            <w:r w:rsidR="003902AD">
              <w:rPr>
                <w:rFonts w:eastAsia="Calibri"/>
              </w:rPr>
              <w:t>reg</w:t>
            </w:r>
            <w:proofErr w:type="spellEnd"/>
            <w:r w:rsidR="003902AD">
              <w:rPr>
                <w:rFonts w:eastAsia="Calibri"/>
              </w:rPr>
              <w:t xml:space="preserve"> 1</w:t>
            </w:r>
            <w:r w:rsidRPr="00427EE1">
              <w:rPr>
                <w:rFonts w:eastAsia="Calibri"/>
              </w:rPr>
              <w:t>13 with amendments to clarify options to meet the additional layer of fire expertise required to approve fire</w:t>
            </w:r>
            <w:r w:rsidR="00181511">
              <w:rPr>
                <w:rFonts w:eastAsia="Calibri"/>
              </w:rPr>
              <w:t>-performance</w:t>
            </w:r>
            <w:r w:rsidRPr="00427EE1">
              <w:rPr>
                <w:rFonts w:eastAsia="Calibri"/>
              </w:rPr>
              <w:t xml:space="preserve"> solutions. </w:t>
            </w:r>
          </w:p>
        </w:tc>
      </w:tr>
      <w:tr w:rsidR="009C1595"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81091C" w:rsidP="006757E8">
            <w:pPr>
              <w:pStyle w:val="Tabletext"/>
              <w:rPr>
                <w:rFonts w:eastAsia="Calibri"/>
              </w:rPr>
            </w:pPr>
            <w:r w:rsidRPr="00427EE1">
              <w:rPr>
                <w:rFonts w:eastAsia="Calibri"/>
              </w:rPr>
              <w:t>1505</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81091C" w:rsidP="006757E8">
            <w:pPr>
              <w:pStyle w:val="Tabletext"/>
              <w:rPr>
                <w:rFonts w:asciiTheme="majorHAnsi" w:eastAsia="Calibri" w:hAnsiTheme="majorHAnsi" w:cstheme="majorBidi"/>
                <w:b/>
                <w:sz w:val="40"/>
                <w:lang w:eastAsia="en-US"/>
              </w:rPr>
            </w:pPr>
            <w:r w:rsidRPr="00427EE1">
              <w:rPr>
                <w:rFonts w:eastAsia="Calibri"/>
                <w:lang w:eastAsia="en-US"/>
              </w:rPr>
              <w:t>122</w:t>
            </w:r>
          </w:p>
        </w:tc>
        <w:tc>
          <w:tcPr>
            <w:tcW w:w="425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E657D7" w:rsidRDefault="0081091C" w:rsidP="006757E8">
            <w:pPr>
              <w:pStyle w:val="Tabletext"/>
              <w:rPr>
                <w:rFonts w:asciiTheme="majorHAnsi" w:eastAsia="Calibri" w:hAnsiTheme="majorHAnsi" w:cstheme="majorBidi"/>
                <w:b/>
                <w:sz w:val="40"/>
                <w:lang w:eastAsia="en-US"/>
              </w:rPr>
            </w:pPr>
            <w:r w:rsidRPr="00427EE1">
              <w:rPr>
                <w:rFonts w:eastAsia="Calibri"/>
                <w:b/>
                <w:lang w:eastAsia="en-US"/>
              </w:rPr>
              <w:t>Certificates of compliance—proposed building work</w:t>
            </w:r>
          </w:p>
          <w:p w:rsidR="00E657D7" w:rsidRDefault="003D75DD" w:rsidP="006757E8">
            <w:pPr>
              <w:pStyle w:val="Tabletext"/>
              <w:rPr>
                <w:rFonts w:eastAsia="Calibri"/>
                <w:lang w:eastAsia="en-US"/>
              </w:rPr>
            </w:pPr>
            <w:r>
              <w:rPr>
                <w:rFonts w:eastAsia="Calibri"/>
                <w:lang w:eastAsia="en-US"/>
              </w:rPr>
              <w:t xml:space="preserve">Specifies </w:t>
            </w:r>
            <w:r w:rsidR="0081091C" w:rsidRPr="00427EE1">
              <w:rPr>
                <w:rFonts w:eastAsia="Calibri"/>
                <w:lang w:eastAsia="en-US"/>
              </w:rPr>
              <w:t>the categories and classes of building practitioner who may give a certificate of compliance in respect of certain types of</w:t>
            </w:r>
            <w:r w:rsidR="00E60957">
              <w:rPr>
                <w:rFonts w:eastAsia="Calibri"/>
                <w:lang w:eastAsia="en-US"/>
              </w:rPr>
              <w:t xml:space="preserve"> </w:t>
            </w:r>
            <w:r w:rsidR="0081091C" w:rsidRPr="00427EE1">
              <w:rPr>
                <w:rFonts w:eastAsia="Calibri"/>
                <w:lang w:eastAsia="en-US"/>
              </w:rPr>
              <w:t>proposed building work.</w:t>
            </w:r>
          </w:p>
        </w:tc>
        <w:tc>
          <w:tcPr>
            <w:tcW w:w="39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81091C" w:rsidRPr="00427EE1" w:rsidRDefault="0081091C" w:rsidP="006757E8">
            <w:pPr>
              <w:tabs>
                <w:tab w:val="left" w:pos="567"/>
              </w:tabs>
              <w:spacing w:line="276" w:lineRule="auto"/>
              <w:jc w:val="center"/>
              <w:rPr>
                <w:rFonts w:ascii="Calibri" w:eastAsia="Calibri" w:hAnsi="Calibri"/>
                <w:lang w:eastAsia="en-US"/>
              </w:rPr>
            </w:pPr>
          </w:p>
        </w:tc>
        <w:tc>
          <w:tcPr>
            <w:tcW w:w="39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81091C" w:rsidRPr="00427EE1" w:rsidRDefault="0081091C">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39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81091C" w:rsidRPr="00427EE1" w:rsidRDefault="0081091C">
            <w:pPr>
              <w:tabs>
                <w:tab w:val="left" w:pos="567"/>
              </w:tabs>
              <w:spacing w:line="276" w:lineRule="auto"/>
              <w:jc w:val="center"/>
              <w:rPr>
                <w:rFonts w:ascii="Calibri" w:eastAsia="Calibri" w:hAnsi="Calibri"/>
                <w:lang w:eastAsia="en-US"/>
              </w:rPr>
            </w:pPr>
          </w:p>
        </w:tc>
        <w:tc>
          <w:tcPr>
            <w:tcW w:w="39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81091C" w:rsidRPr="00427EE1" w:rsidRDefault="0081091C">
            <w:pPr>
              <w:tabs>
                <w:tab w:val="left" w:pos="567"/>
              </w:tabs>
              <w:spacing w:line="276" w:lineRule="auto"/>
              <w:jc w:val="center"/>
              <w:rPr>
                <w:rFonts w:ascii="Calibri" w:eastAsia="Calibri" w:hAnsi="Calibri"/>
                <w:lang w:eastAsia="en-US"/>
              </w:rPr>
            </w:pPr>
          </w:p>
        </w:tc>
        <w:tc>
          <w:tcPr>
            <w:tcW w:w="39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81091C" w:rsidRPr="00427EE1" w:rsidRDefault="0081091C">
            <w:pPr>
              <w:tabs>
                <w:tab w:val="left" w:pos="567"/>
              </w:tabs>
              <w:spacing w:line="276" w:lineRule="auto"/>
              <w:jc w:val="center"/>
              <w:rPr>
                <w:rFonts w:ascii="Calibri" w:eastAsia="Calibri" w:hAnsi="Calibri"/>
                <w:lang w:eastAsia="en-US"/>
              </w:rPr>
            </w:pPr>
          </w:p>
        </w:tc>
        <w:tc>
          <w:tcPr>
            <w:tcW w:w="6331"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81091C">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prescribe information to give effect to </w:t>
            </w:r>
            <w:r w:rsidR="0023395A">
              <w:rPr>
                <w:rFonts w:eastAsia="Calibri"/>
              </w:rPr>
              <w:t xml:space="preserve">s </w:t>
            </w:r>
            <w:r w:rsidRPr="00427EE1">
              <w:rPr>
                <w:rFonts w:eastAsia="Calibri"/>
              </w:rPr>
              <w:t xml:space="preserve">238(1)(a) of the Act. </w:t>
            </w:r>
          </w:p>
        </w:tc>
      </w:tr>
      <w:tr w:rsidR="009C1595"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81091C" w:rsidP="006757E8">
            <w:pPr>
              <w:pStyle w:val="Tabletext"/>
              <w:rPr>
                <w:rFonts w:eastAsia="Calibri"/>
              </w:rPr>
            </w:pPr>
            <w:r w:rsidRPr="00427EE1">
              <w:rPr>
                <w:rFonts w:eastAsia="Calibri"/>
              </w:rPr>
              <w:t>1506</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81091C" w:rsidP="006757E8">
            <w:pPr>
              <w:pStyle w:val="Tabletext"/>
              <w:rPr>
                <w:rFonts w:asciiTheme="majorHAnsi" w:eastAsia="Calibri" w:hAnsiTheme="majorHAnsi" w:cstheme="majorBidi"/>
                <w:b/>
                <w:sz w:val="40"/>
                <w:lang w:eastAsia="en-US"/>
              </w:rPr>
            </w:pPr>
            <w:r w:rsidRPr="00427EE1">
              <w:rPr>
                <w:rFonts w:eastAsia="Calibri"/>
                <w:lang w:eastAsia="en-US"/>
              </w:rPr>
              <w:t>123</w:t>
            </w:r>
          </w:p>
        </w:tc>
        <w:tc>
          <w:tcPr>
            <w:tcW w:w="425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E657D7" w:rsidRDefault="0081091C" w:rsidP="006757E8">
            <w:pPr>
              <w:pStyle w:val="Tabletext"/>
              <w:rPr>
                <w:rFonts w:asciiTheme="majorHAnsi" w:eastAsia="Calibri" w:hAnsiTheme="majorHAnsi" w:cstheme="majorBidi"/>
                <w:b/>
                <w:sz w:val="40"/>
                <w:lang w:eastAsia="en-US"/>
              </w:rPr>
            </w:pPr>
            <w:r w:rsidRPr="00427EE1">
              <w:rPr>
                <w:rFonts w:eastAsia="Calibri"/>
                <w:b/>
                <w:lang w:eastAsia="en-US"/>
              </w:rPr>
              <w:t>Certificates of compliance—building work</w:t>
            </w:r>
          </w:p>
          <w:p w:rsidR="00E657D7" w:rsidRDefault="003D75DD" w:rsidP="006757E8">
            <w:pPr>
              <w:pStyle w:val="Tabletext"/>
              <w:rPr>
                <w:rFonts w:eastAsia="Calibri"/>
                <w:lang w:eastAsia="en-US"/>
              </w:rPr>
            </w:pPr>
            <w:r>
              <w:rPr>
                <w:rFonts w:eastAsia="Calibri"/>
                <w:lang w:eastAsia="en-US"/>
              </w:rPr>
              <w:t xml:space="preserve">Specifies </w:t>
            </w:r>
            <w:r w:rsidR="0081091C" w:rsidRPr="00427EE1">
              <w:rPr>
                <w:rFonts w:eastAsia="Calibri"/>
                <w:lang w:eastAsia="en-US"/>
              </w:rPr>
              <w:t>the categories and classes of building practitioner who may give a certificate of compliance in respect of certain types of building work.</w:t>
            </w:r>
          </w:p>
        </w:tc>
        <w:tc>
          <w:tcPr>
            <w:tcW w:w="39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81091C" w:rsidRPr="00427EE1" w:rsidRDefault="0081091C" w:rsidP="006757E8">
            <w:pPr>
              <w:tabs>
                <w:tab w:val="left" w:pos="567"/>
              </w:tabs>
              <w:spacing w:line="276" w:lineRule="auto"/>
              <w:jc w:val="center"/>
              <w:rPr>
                <w:rFonts w:ascii="Calibri" w:eastAsia="Calibri" w:hAnsi="Calibri"/>
                <w:lang w:eastAsia="en-US"/>
              </w:rPr>
            </w:pPr>
          </w:p>
        </w:tc>
        <w:tc>
          <w:tcPr>
            <w:tcW w:w="39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81091C" w:rsidRPr="00427EE1" w:rsidRDefault="0081091C">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39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81091C" w:rsidRPr="00427EE1" w:rsidRDefault="0081091C">
            <w:pPr>
              <w:tabs>
                <w:tab w:val="left" w:pos="567"/>
              </w:tabs>
              <w:spacing w:line="276" w:lineRule="auto"/>
              <w:jc w:val="center"/>
              <w:rPr>
                <w:rFonts w:ascii="Calibri" w:eastAsia="Calibri" w:hAnsi="Calibri"/>
                <w:lang w:eastAsia="en-US"/>
              </w:rPr>
            </w:pPr>
          </w:p>
        </w:tc>
        <w:tc>
          <w:tcPr>
            <w:tcW w:w="39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81091C" w:rsidRPr="00427EE1" w:rsidRDefault="0081091C">
            <w:pPr>
              <w:tabs>
                <w:tab w:val="left" w:pos="567"/>
              </w:tabs>
              <w:spacing w:line="276" w:lineRule="auto"/>
              <w:jc w:val="center"/>
              <w:rPr>
                <w:rFonts w:ascii="Calibri" w:eastAsia="Calibri" w:hAnsi="Calibri"/>
                <w:lang w:eastAsia="en-US"/>
              </w:rPr>
            </w:pPr>
          </w:p>
        </w:tc>
        <w:tc>
          <w:tcPr>
            <w:tcW w:w="39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81091C" w:rsidRPr="00427EE1" w:rsidRDefault="0081091C">
            <w:pPr>
              <w:tabs>
                <w:tab w:val="left" w:pos="567"/>
              </w:tabs>
              <w:spacing w:line="276" w:lineRule="auto"/>
              <w:jc w:val="center"/>
              <w:rPr>
                <w:rFonts w:ascii="Calibri" w:eastAsia="Calibri" w:hAnsi="Calibri"/>
                <w:lang w:eastAsia="en-US"/>
              </w:rPr>
            </w:pPr>
          </w:p>
        </w:tc>
        <w:tc>
          <w:tcPr>
            <w:tcW w:w="6331"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E657D7" w:rsidRDefault="0081091C">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prescribe information to give effect to </w:t>
            </w:r>
            <w:r w:rsidR="0023395A">
              <w:rPr>
                <w:rFonts w:eastAsia="Calibri"/>
              </w:rPr>
              <w:t xml:space="preserve">s </w:t>
            </w:r>
            <w:r w:rsidRPr="00427EE1">
              <w:rPr>
                <w:rFonts w:eastAsia="Calibri"/>
              </w:rPr>
              <w:t xml:space="preserve">238(1)(b) of the Act. </w:t>
            </w:r>
          </w:p>
        </w:tc>
      </w:tr>
      <w:tr w:rsidR="00B751DE"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E657D7" w:rsidRDefault="00B751DE" w:rsidP="006757E8">
            <w:pPr>
              <w:pStyle w:val="Tabletext"/>
              <w:rPr>
                <w:rFonts w:eastAsia="Calibri"/>
              </w:rPr>
            </w:pPr>
            <w:r w:rsidRPr="00427EE1">
              <w:rPr>
                <w:rFonts w:eastAsia="Calibri"/>
              </w:rPr>
              <w:lastRenderedPageBreak/>
              <w:t>111</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E657D7" w:rsidRDefault="00B751DE" w:rsidP="006757E8">
            <w:pPr>
              <w:pStyle w:val="Tabletext"/>
              <w:rPr>
                <w:rFonts w:asciiTheme="majorHAnsi" w:eastAsia="Calibri" w:hAnsiTheme="majorHAnsi" w:cstheme="majorBidi"/>
                <w:b/>
                <w:sz w:val="40"/>
                <w:lang w:eastAsia="en-US"/>
              </w:rPr>
            </w:pPr>
            <w:r w:rsidRPr="00427EE1">
              <w:rPr>
                <w:rFonts w:eastAsia="Calibri"/>
                <w:lang w:eastAsia="en-US"/>
              </w:rPr>
              <w:t>124</w:t>
            </w:r>
          </w:p>
        </w:tc>
        <w:tc>
          <w:tcPr>
            <w:tcW w:w="425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tcPr>
          <w:p w:rsidR="00E657D7" w:rsidRDefault="00B751DE" w:rsidP="006757E8">
            <w:pPr>
              <w:pStyle w:val="Tabletext"/>
              <w:rPr>
                <w:rFonts w:asciiTheme="majorHAnsi" w:eastAsia="Calibri" w:hAnsiTheme="majorHAnsi" w:cstheme="majorBidi"/>
                <w:b/>
                <w:sz w:val="40"/>
                <w:lang w:eastAsia="en-US"/>
              </w:rPr>
            </w:pPr>
            <w:r w:rsidRPr="00427EE1">
              <w:rPr>
                <w:rFonts w:eastAsia="Calibri"/>
                <w:b/>
                <w:lang w:eastAsia="en-US"/>
              </w:rPr>
              <w:t>Assessment Method—Evidence of suitability—certificate from professional engineer or other qualified person</w:t>
            </w:r>
          </w:p>
          <w:p w:rsidR="00E657D7" w:rsidRDefault="007514C0" w:rsidP="006757E8">
            <w:pPr>
              <w:pStyle w:val="Tabletext"/>
              <w:rPr>
                <w:rFonts w:asciiTheme="majorHAnsi" w:eastAsia="Calibri" w:hAnsiTheme="majorHAnsi" w:cstheme="majorBidi"/>
                <w:b/>
                <w:sz w:val="40"/>
                <w:lang w:eastAsia="en-US"/>
              </w:rPr>
            </w:pPr>
            <w:r w:rsidRPr="00427EE1">
              <w:rPr>
                <w:rFonts w:cs="Calibri"/>
                <w:color w:val="2F2F2F"/>
              </w:rPr>
              <w:t xml:space="preserve">This </w:t>
            </w:r>
            <w:r w:rsidR="000273F9">
              <w:rPr>
                <w:rFonts w:cs="Calibri"/>
                <w:color w:val="2F2F2F"/>
              </w:rPr>
              <w:t>Regulation</w:t>
            </w:r>
            <w:r w:rsidRPr="00427EE1">
              <w:rPr>
                <w:rFonts w:cs="Calibri"/>
                <w:color w:val="2F2F2F"/>
              </w:rPr>
              <w:t xml:space="preserve"> aligns the BCA with the Act with the 2017 Regulations by specifying who has appropriate expertise to determine a </w:t>
            </w:r>
            <w:r w:rsidR="009B17A5">
              <w:rPr>
                <w:rFonts w:cs="Calibri"/>
                <w:color w:val="2F2F2F"/>
              </w:rPr>
              <w:t>b</w:t>
            </w:r>
            <w:r w:rsidRPr="00427EE1">
              <w:rPr>
                <w:rFonts w:cs="Calibri"/>
                <w:color w:val="2F2F2F"/>
              </w:rPr>
              <w:t xml:space="preserve">uilding </w:t>
            </w:r>
            <w:r w:rsidR="009B17A5">
              <w:rPr>
                <w:rFonts w:cs="Calibri"/>
                <w:color w:val="2F2F2F"/>
              </w:rPr>
              <w:t>s</w:t>
            </w:r>
            <w:r w:rsidRPr="00427EE1">
              <w:rPr>
                <w:rFonts w:cs="Calibri"/>
                <w:color w:val="2F2F2F"/>
              </w:rPr>
              <w:t xml:space="preserve">olution complies with the </w:t>
            </w:r>
            <w:r w:rsidR="009B17A5">
              <w:rPr>
                <w:rFonts w:cs="Calibri"/>
                <w:color w:val="2F2F2F"/>
              </w:rPr>
              <w:t>p</w:t>
            </w:r>
            <w:r w:rsidRPr="00427EE1">
              <w:rPr>
                <w:rFonts w:cs="Calibri"/>
                <w:color w:val="2F2F2F"/>
              </w:rPr>
              <w:t xml:space="preserve">erformance </w:t>
            </w:r>
            <w:r w:rsidR="009B17A5">
              <w:rPr>
                <w:rFonts w:cs="Calibri"/>
                <w:color w:val="2F2F2F"/>
              </w:rPr>
              <w:t>r</w:t>
            </w:r>
            <w:r w:rsidRPr="00427EE1">
              <w:rPr>
                <w:rFonts w:cs="Calibri"/>
                <w:color w:val="2F2F2F"/>
              </w:rPr>
              <w:t>equirements of the BCA.</w:t>
            </w:r>
            <w:r w:rsidR="00E60957">
              <w:rPr>
                <w:rFonts w:cs="Calibri"/>
                <w:color w:val="2F2F2F"/>
              </w:rPr>
              <w:t xml:space="preserve"> </w:t>
            </w:r>
          </w:p>
        </w:tc>
        <w:tc>
          <w:tcPr>
            <w:tcW w:w="39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39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31"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E657D7" w:rsidRDefault="00CD1FB8">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provides that this evidence of suitability in the form of a certificate from a professional engineer or other appropriately qualified person must be provided as a certificate of a prescribed building practitioner under </w:t>
            </w:r>
            <w:r w:rsidR="0023395A">
              <w:rPr>
                <w:rFonts w:eastAsia="Calibri"/>
              </w:rPr>
              <w:t xml:space="preserve">s </w:t>
            </w:r>
            <w:r w:rsidRPr="00427EE1">
              <w:rPr>
                <w:rFonts w:eastAsia="Calibri"/>
              </w:rPr>
              <w:t xml:space="preserve">238 of the Act complying with current </w:t>
            </w:r>
            <w:proofErr w:type="spellStart"/>
            <w:r w:rsidR="003902AD">
              <w:rPr>
                <w:rFonts w:eastAsia="Calibri"/>
              </w:rPr>
              <w:t>regs</w:t>
            </w:r>
            <w:proofErr w:type="spellEnd"/>
            <w:r w:rsidRPr="00427EE1">
              <w:rPr>
                <w:rFonts w:eastAsia="Calibri"/>
              </w:rPr>
              <w:t xml:space="preserve"> 122 or 123 (as the case requires).</w:t>
            </w:r>
          </w:p>
          <w:p w:rsidR="00E657D7" w:rsidRDefault="00E657D7">
            <w:pPr>
              <w:pStyle w:val="Tabletext"/>
              <w:rPr>
                <w:rFonts w:eastAsia="Calibri"/>
              </w:rPr>
            </w:pPr>
          </w:p>
        </w:tc>
      </w:tr>
      <w:tr w:rsidR="0056383A"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E657D7" w:rsidRDefault="0056383A" w:rsidP="006757E8">
            <w:pPr>
              <w:pStyle w:val="Tabletext"/>
              <w:rPr>
                <w:rFonts w:eastAsia="Calibri"/>
              </w:rPr>
            </w:pPr>
            <w:r w:rsidRPr="00427EE1">
              <w:rPr>
                <w:rFonts w:eastAsia="Calibri"/>
              </w:rPr>
              <w:t>1507</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E657D7" w:rsidRDefault="0056383A" w:rsidP="006757E8">
            <w:pPr>
              <w:pStyle w:val="Tabletext"/>
              <w:rPr>
                <w:rFonts w:asciiTheme="majorHAnsi" w:eastAsia="Calibri" w:hAnsiTheme="majorHAnsi" w:cstheme="majorBidi"/>
                <w:b/>
                <w:sz w:val="40"/>
                <w:lang w:eastAsia="en-US"/>
              </w:rPr>
            </w:pPr>
            <w:r w:rsidRPr="00427EE1">
              <w:rPr>
                <w:rFonts w:eastAsia="Calibri"/>
                <w:lang w:eastAsia="en-US"/>
              </w:rPr>
              <w:t>125</w:t>
            </w:r>
          </w:p>
        </w:tc>
        <w:tc>
          <w:tcPr>
            <w:tcW w:w="425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tcPr>
          <w:p w:rsidR="00E657D7" w:rsidRDefault="0056383A" w:rsidP="006757E8">
            <w:pPr>
              <w:pStyle w:val="Tabletext"/>
              <w:rPr>
                <w:rFonts w:asciiTheme="majorHAnsi" w:eastAsia="Calibri" w:hAnsiTheme="majorHAnsi" w:cstheme="majorBidi"/>
                <w:b/>
                <w:sz w:val="40"/>
                <w:lang w:eastAsia="en-US"/>
              </w:rPr>
            </w:pPr>
            <w:r w:rsidRPr="00427EE1">
              <w:rPr>
                <w:rFonts w:eastAsia="Calibri"/>
                <w:b/>
                <w:lang w:eastAsia="en-US"/>
              </w:rPr>
              <w:t>Forms of certificates of compliance</w:t>
            </w:r>
          </w:p>
          <w:p w:rsidR="00E657D7" w:rsidRDefault="002E244C" w:rsidP="006757E8">
            <w:pPr>
              <w:pStyle w:val="Tabletext"/>
              <w:rPr>
                <w:rFonts w:asciiTheme="majorHAnsi" w:eastAsia="Calibri" w:hAnsiTheme="majorHAnsi" w:cstheme="majorBidi"/>
                <w:b/>
                <w:sz w:val="40"/>
                <w:lang w:eastAsia="en-US"/>
              </w:rPr>
            </w:pPr>
            <w:r>
              <w:rPr>
                <w:rFonts w:eastAsia="Calibri"/>
                <w:lang w:eastAsia="en-US"/>
              </w:rPr>
              <w:t xml:space="preserve">Provides </w:t>
            </w:r>
            <w:r w:rsidR="0056383A" w:rsidRPr="00427EE1">
              <w:rPr>
                <w:rFonts w:eastAsia="Calibri"/>
                <w:lang w:eastAsia="en-US"/>
              </w:rPr>
              <w:t xml:space="preserve">that a building practitioner may issue a certificate of compliance in the relevant form approved by the VBA. </w:t>
            </w:r>
          </w:p>
        </w:tc>
        <w:tc>
          <w:tcPr>
            <w:tcW w:w="39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56383A" w:rsidRPr="00427EE1" w:rsidRDefault="0056383A" w:rsidP="006757E8">
            <w:pPr>
              <w:tabs>
                <w:tab w:val="left" w:pos="567"/>
              </w:tabs>
              <w:spacing w:line="276" w:lineRule="auto"/>
              <w:jc w:val="center"/>
              <w:rPr>
                <w:rFonts w:ascii="Calibri" w:eastAsia="Calibri" w:hAnsi="Calibri"/>
                <w:lang w:eastAsia="en-US"/>
              </w:rPr>
            </w:pPr>
          </w:p>
        </w:tc>
        <w:tc>
          <w:tcPr>
            <w:tcW w:w="39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56383A" w:rsidRPr="00427EE1" w:rsidRDefault="0056383A">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39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56383A" w:rsidRPr="00427EE1" w:rsidRDefault="0056383A">
            <w:pPr>
              <w:tabs>
                <w:tab w:val="left" w:pos="567"/>
              </w:tabs>
              <w:spacing w:line="276" w:lineRule="auto"/>
              <w:jc w:val="center"/>
              <w:rPr>
                <w:rFonts w:ascii="Calibri" w:eastAsia="Calibri" w:hAnsi="Calibri"/>
                <w:lang w:eastAsia="en-US"/>
              </w:rPr>
            </w:pPr>
          </w:p>
        </w:tc>
        <w:tc>
          <w:tcPr>
            <w:tcW w:w="39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56383A" w:rsidRPr="00427EE1" w:rsidRDefault="0056383A">
            <w:pPr>
              <w:tabs>
                <w:tab w:val="left" w:pos="567"/>
              </w:tabs>
              <w:spacing w:line="276" w:lineRule="auto"/>
              <w:jc w:val="center"/>
              <w:rPr>
                <w:rFonts w:ascii="Calibri" w:eastAsia="Calibri" w:hAnsi="Calibri"/>
                <w:lang w:eastAsia="en-US"/>
              </w:rPr>
            </w:pPr>
          </w:p>
        </w:tc>
        <w:tc>
          <w:tcPr>
            <w:tcW w:w="39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56383A" w:rsidRPr="00427EE1" w:rsidRDefault="0056383A">
            <w:pPr>
              <w:tabs>
                <w:tab w:val="left" w:pos="567"/>
              </w:tabs>
              <w:spacing w:line="276" w:lineRule="auto"/>
              <w:jc w:val="center"/>
              <w:rPr>
                <w:rFonts w:ascii="Calibri" w:eastAsia="Calibri" w:hAnsi="Calibri"/>
                <w:lang w:eastAsia="en-US"/>
              </w:rPr>
            </w:pPr>
          </w:p>
        </w:tc>
        <w:tc>
          <w:tcPr>
            <w:tcW w:w="6331"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E657D7" w:rsidRDefault="0056383A">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authorise the VBA to produce a form</w:t>
            </w:r>
            <w:r w:rsidR="00E60957">
              <w:rPr>
                <w:rFonts w:eastAsia="Calibri"/>
              </w:rPr>
              <w:t xml:space="preserve"> </w:t>
            </w:r>
            <w:r w:rsidRPr="00427EE1">
              <w:rPr>
                <w:rFonts w:eastAsia="Calibri"/>
              </w:rPr>
              <w:t>for certificates of compliance.</w:t>
            </w:r>
            <w:r w:rsidR="00E60957">
              <w:rPr>
                <w:rFonts w:eastAsia="Calibri"/>
              </w:rPr>
              <w:t xml:space="preserve"> </w:t>
            </w:r>
          </w:p>
        </w:tc>
      </w:tr>
    </w:tbl>
    <w:p w:rsidR="005F38AC" w:rsidRDefault="005F38AC" w:rsidP="006757E8"/>
    <w:p w:rsidR="00B751DE" w:rsidRPr="00427EE1" w:rsidRDefault="00EF2008" w:rsidP="006119D2">
      <w:pPr>
        <w:pStyle w:val="Heading4"/>
      </w:pPr>
      <w:proofErr w:type="spellStart"/>
      <w:r>
        <w:t>Div</w:t>
      </w:r>
      <w:proofErr w:type="spellEnd"/>
      <w:r w:rsidR="00B751DE" w:rsidRPr="00427EE1">
        <w:t xml:space="preserve"> 2</w:t>
      </w:r>
      <w:r w:rsidR="008475D9">
        <w:t>—</w:t>
      </w:r>
      <w:r w:rsidR="00B751DE" w:rsidRPr="00427EE1">
        <w:t>Special provisions</w:t>
      </w:r>
    </w:p>
    <w:tbl>
      <w:tblPr>
        <w:tblW w:w="14493" w:type="dxa"/>
        <w:tblInd w:w="-116"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80"/>
        <w:gridCol w:w="945"/>
        <w:gridCol w:w="4243"/>
        <w:gridCol w:w="399"/>
        <w:gridCol w:w="399"/>
        <w:gridCol w:w="402"/>
        <w:gridCol w:w="400"/>
        <w:gridCol w:w="398"/>
        <w:gridCol w:w="6327"/>
      </w:tblGrid>
      <w:tr w:rsidR="009B17A5" w:rsidRPr="00427EE1" w:rsidTr="006119D2">
        <w:trPr>
          <w:cantSplit/>
          <w:trHeight w:val="54"/>
          <w:tblHeader/>
        </w:trPr>
        <w:tc>
          <w:tcPr>
            <w:tcW w:w="980" w:type="dxa"/>
            <w:vMerge w:val="restart"/>
            <w:shd w:val="clear" w:color="auto" w:fill="00B2A9" w:themeFill="accent1"/>
            <w:vAlign w:val="center"/>
            <w:hideMark/>
          </w:tcPr>
          <w:p w:rsidR="009B17A5" w:rsidRDefault="009B17A5">
            <w:pPr>
              <w:pStyle w:val="Tablecolumnhead"/>
              <w:rPr>
                <w:rFonts w:asciiTheme="majorHAnsi" w:eastAsia="Calibri" w:hAnsiTheme="majorHAnsi" w:cstheme="majorBidi"/>
                <w:sz w:val="40"/>
              </w:rPr>
            </w:pPr>
            <w:r w:rsidRPr="00BE72D7">
              <w:rPr>
                <w:rFonts w:eastAsia="Calibri"/>
              </w:rPr>
              <w:t>2006</w:t>
            </w:r>
          </w:p>
          <w:p w:rsidR="009B17A5" w:rsidRDefault="009B17A5">
            <w:pPr>
              <w:pStyle w:val="Tablecolumnhead"/>
              <w:rPr>
                <w:rFonts w:asciiTheme="majorHAnsi" w:eastAsia="Calibri" w:hAnsiTheme="majorHAnsi" w:cstheme="majorBidi"/>
                <w:sz w:val="40"/>
              </w:rPr>
            </w:pPr>
            <w:r w:rsidRPr="00C44680">
              <w:rPr>
                <w:rFonts w:ascii="Arial Bold" w:eastAsia="Calibri" w:hAnsi="Arial Bold"/>
                <w:spacing w:val="-12"/>
                <w:sz w:val="16"/>
              </w:rPr>
              <w:t>Regulation</w:t>
            </w:r>
          </w:p>
        </w:tc>
        <w:tc>
          <w:tcPr>
            <w:tcW w:w="945" w:type="dxa"/>
            <w:vMerge w:val="restart"/>
            <w:shd w:val="clear" w:color="auto" w:fill="00B2A9" w:themeFill="accent1"/>
            <w:vAlign w:val="center"/>
            <w:hideMark/>
          </w:tcPr>
          <w:p w:rsidR="009B17A5" w:rsidRDefault="009B17A5">
            <w:pPr>
              <w:pStyle w:val="Tablecolumnhead"/>
              <w:rPr>
                <w:rFonts w:asciiTheme="majorHAnsi" w:eastAsiaTheme="majorEastAsia" w:hAnsiTheme="majorHAnsi" w:cstheme="majorBidi"/>
                <w:sz w:val="40"/>
              </w:rPr>
            </w:pPr>
            <w:r w:rsidRPr="008F0E53">
              <w:rPr>
                <w:rFonts w:eastAsia="Calibri"/>
              </w:rPr>
              <w:t>2017</w:t>
            </w:r>
          </w:p>
          <w:p w:rsidR="009B17A5" w:rsidRDefault="009B17A5">
            <w:pPr>
              <w:pStyle w:val="Tablecolumnhead"/>
              <w:rPr>
                <w:rFonts w:asciiTheme="majorHAnsi" w:eastAsiaTheme="majorEastAsia" w:hAnsiTheme="majorHAnsi" w:cstheme="majorBidi"/>
                <w:sz w:val="40"/>
              </w:rPr>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9B17A5" w:rsidRDefault="009B17A5">
            <w:pPr>
              <w:pStyle w:val="Tablecolumnhead"/>
              <w:rPr>
                <w:rFonts w:asciiTheme="majorHAnsi" w:eastAsia="Calibri" w:hAnsiTheme="majorHAnsi" w:cstheme="majorBidi"/>
                <w:sz w:val="40"/>
              </w:rPr>
            </w:pPr>
            <w:r w:rsidRPr="00F21B23">
              <w:t xml:space="preserve">Short description of the </w:t>
            </w:r>
            <w:r>
              <w:t>Regulation</w:t>
            </w:r>
          </w:p>
        </w:tc>
        <w:tc>
          <w:tcPr>
            <w:tcW w:w="1998" w:type="dxa"/>
            <w:gridSpan w:val="5"/>
            <w:shd w:val="clear" w:color="auto" w:fill="00B2A9" w:themeFill="accent1"/>
            <w:vAlign w:val="center"/>
          </w:tcPr>
          <w:p w:rsidR="009B17A5" w:rsidRDefault="009B17A5">
            <w:pPr>
              <w:pStyle w:val="Tablecolumnhead"/>
              <w:rPr>
                <w:rFonts w:asciiTheme="majorHAnsi" w:eastAsiaTheme="majorEastAsia" w:hAnsiTheme="majorHAnsi" w:cstheme="majorBidi"/>
                <w:sz w:val="40"/>
              </w:rPr>
            </w:pPr>
            <w:r w:rsidRPr="00F21B23">
              <w:t>Proposed regulatory change</w:t>
            </w:r>
          </w:p>
        </w:tc>
        <w:tc>
          <w:tcPr>
            <w:tcW w:w="6327" w:type="dxa"/>
            <w:vMerge w:val="restart"/>
            <w:shd w:val="clear" w:color="auto" w:fill="00B2A9" w:themeFill="accent1"/>
            <w:vAlign w:val="center"/>
          </w:tcPr>
          <w:p w:rsidR="009B17A5" w:rsidRDefault="009B17A5">
            <w:pPr>
              <w:pStyle w:val="Tablecolumnhead"/>
              <w:rPr>
                <w:rFonts w:asciiTheme="majorHAnsi" w:eastAsiaTheme="majorEastAsia" w:hAnsiTheme="majorHAnsi" w:cstheme="majorBidi"/>
                <w:sz w:val="40"/>
              </w:rPr>
            </w:pPr>
            <w:r w:rsidRPr="00F21B23">
              <w:t>Why the 2017 Regulation is proposed</w:t>
            </w:r>
          </w:p>
        </w:tc>
      </w:tr>
      <w:tr w:rsidR="00B751DE" w:rsidRPr="00427EE1" w:rsidTr="006119D2">
        <w:trPr>
          <w:cantSplit/>
          <w:trHeight w:val="966"/>
          <w:tblHeader/>
        </w:trPr>
        <w:tc>
          <w:tcPr>
            <w:tcW w:w="980"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945"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E657D7" w:rsidRDefault="00B751DE">
            <w:pPr>
              <w:spacing w:after="0" w:line="240" w:lineRule="auto"/>
              <w:ind w:left="113" w:right="113"/>
              <w:jc w:val="center"/>
              <w:rPr>
                <w:rFonts w:asciiTheme="majorHAnsi" w:eastAsiaTheme="majorEastAsia" w:hAnsiTheme="majorHAnsi" w:cstheme="majorBidi"/>
                <w:b/>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BC6481" w:rsidRPr="00427EE1" w:rsidTr="006119D2">
        <w:trPr>
          <w:cantSplit/>
          <w:trHeight w:val="340"/>
        </w:trPr>
        <w:tc>
          <w:tcPr>
            <w:tcW w:w="98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C6481" w:rsidRPr="00427EE1" w:rsidRDefault="00BC6481" w:rsidP="006757E8">
            <w:pPr>
              <w:pStyle w:val="Tabletext"/>
              <w:rPr>
                <w:rFonts w:eastAsia="Calibri"/>
              </w:rPr>
            </w:pPr>
            <w:r w:rsidRPr="00427EE1">
              <w:rPr>
                <w:rFonts w:eastAsia="Calibri"/>
              </w:rPr>
              <w:t>612</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C6481" w:rsidRPr="00427EE1" w:rsidRDefault="00BC6481" w:rsidP="006757E8">
            <w:pPr>
              <w:pStyle w:val="Tabletext"/>
              <w:rPr>
                <w:rFonts w:eastAsia="Calibri"/>
                <w:lang w:eastAsia="en-US"/>
              </w:rPr>
            </w:pPr>
            <w:r w:rsidRPr="00427EE1">
              <w:rPr>
                <w:rFonts w:eastAsia="Calibri"/>
                <w:lang w:eastAsia="en-US"/>
              </w:rPr>
              <w:t>126</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BC6481" w:rsidRPr="00427EE1" w:rsidRDefault="00BC6481" w:rsidP="006757E8">
            <w:pPr>
              <w:pStyle w:val="Tabletext"/>
              <w:rPr>
                <w:rFonts w:eastAsia="Calibri"/>
                <w:b/>
                <w:lang w:eastAsia="en-US"/>
              </w:rPr>
            </w:pPr>
            <w:r w:rsidRPr="00427EE1">
              <w:rPr>
                <w:rFonts w:eastAsia="Calibri"/>
                <w:b/>
                <w:lang w:eastAsia="en-US"/>
              </w:rPr>
              <w:t>Record of pile-driving</w:t>
            </w:r>
          </w:p>
          <w:p w:rsidR="00BC6481" w:rsidRPr="00427EE1" w:rsidRDefault="002E244C" w:rsidP="006757E8">
            <w:pPr>
              <w:pStyle w:val="Tabletext"/>
              <w:rPr>
                <w:rFonts w:eastAsia="Calibri"/>
                <w:lang w:eastAsia="en-US"/>
              </w:rPr>
            </w:pPr>
            <w:r>
              <w:rPr>
                <w:rFonts w:eastAsia="Calibri"/>
                <w:lang w:eastAsia="en-US"/>
              </w:rPr>
              <w:t xml:space="preserve">Requires </w:t>
            </w:r>
            <w:r w:rsidR="00BC6481" w:rsidRPr="00427EE1">
              <w:rPr>
                <w:rFonts w:eastAsia="Calibri"/>
                <w:lang w:eastAsia="en-US"/>
              </w:rPr>
              <w:t>a person undertaking pile</w:t>
            </w:r>
            <w:r w:rsidR="007C5A88">
              <w:rPr>
                <w:rFonts w:eastAsia="Calibri"/>
                <w:lang w:eastAsia="en-US"/>
              </w:rPr>
              <w:t>-driving</w:t>
            </w:r>
            <w:r w:rsidR="00BC6481" w:rsidRPr="00427EE1">
              <w:rPr>
                <w:rFonts w:eastAsia="Calibri"/>
                <w:lang w:eastAsia="en-US"/>
              </w:rPr>
              <w:t xml:space="preserve"> operations to keep records of those operations and provide those records to the </w:t>
            </w:r>
            <w:r w:rsidR="00AB414E">
              <w:rPr>
                <w:rFonts w:eastAsia="Calibri"/>
                <w:lang w:eastAsia="en-US"/>
              </w:rPr>
              <w:t>RBS</w:t>
            </w:r>
            <w:r w:rsidR="00BC6481" w:rsidRPr="00427EE1">
              <w:rPr>
                <w:rFonts w:eastAsia="Calibri"/>
                <w:lang w:eastAsia="en-US"/>
              </w:rPr>
              <w:t xml:space="preserve"> within 28 days after completion of the relevant pile</w:t>
            </w:r>
            <w:r w:rsidR="007C5A88">
              <w:rPr>
                <w:rFonts w:eastAsia="Calibri"/>
                <w:lang w:eastAsia="en-US"/>
              </w:rPr>
              <w:t>-driving</w:t>
            </w:r>
            <w:r w:rsidR="00BC6481" w:rsidRPr="00427EE1">
              <w:rPr>
                <w:rFonts w:eastAsia="Calibri"/>
                <w:lang w:eastAsia="en-US"/>
              </w:rPr>
              <w:t xml:space="preserve"> operations.</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C6481" w:rsidRPr="00427EE1" w:rsidRDefault="00BC6481"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C6481" w:rsidRPr="00427EE1" w:rsidRDefault="00BC6481">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C6481" w:rsidRPr="00427EE1" w:rsidRDefault="00BC6481">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C6481" w:rsidRPr="00427EE1" w:rsidRDefault="00BC6481">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C6481" w:rsidRPr="00427EE1" w:rsidRDefault="00BC6481">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C6481" w:rsidRPr="00427EE1" w:rsidRDefault="00BC6481">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ensures that records are kept as evidence</w:t>
            </w:r>
            <w:r w:rsidR="00E60957">
              <w:rPr>
                <w:rFonts w:eastAsia="Calibri"/>
              </w:rPr>
              <w:t xml:space="preserve"> </w:t>
            </w:r>
            <w:r w:rsidRPr="00427EE1">
              <w:rPr>
                <w:rFonts w:eastAsia="Calibri"/>
              </w:rPr>
              <w:t>that compliant pile</w:t>
            </w:r>
            <w:r w:rsidR="007C5A88">
              <w:rPr>
                <w:rFonts w:eastAsia="Calibri"/>
              </w:rPr>
              <w:t>-driving</w:t>
            </w:r>
            <w:r w:rsidRPr="00427EE1">
              <w:rPr>
                <w:rFonts w:eastAsia="Calibri"/>
              </w:rPr>
              <w:t xml:space="preserve"> operations have been carried out to ensure the adequate load-bearing capacity of the foundations of a building.</w:t>
            </w:r>
          </w:p>
        </w:tc>
      </w:tr>
      <w:tr w:rsidR="00BC6481" w:rsidRPr="00427EE1" w:rsidTr="006119D2">
        <w:trPr>
          <w:cantSplit/>
          <w:trHeight w:val="340"/>
        </w:trPr>
        <w:tc>
          <w:tcPr>
            <w:tcW w:w="98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C6481" w:rsidRPr="00427EE1" w:rsidRDefault="00BC6481" w:rsidP="006757E8">
            <w:pPr>
              <w:pStyle w:val="Tabletext"/>
              <w:rPr>
                <w:rFonts w:eastAsia="Calibri"/>
              </w:rPr>
            </w:pPr>
            <w:r w:rsidRPr="00427EE1">
              <w:rPr>
                <w:rFonts w:eastAsia="Calibri"/>
              </w:rPr>
              <w:lastRenderedPageBreak/>
              <w:t>613</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C6481" w:rsidRPr="00427EE1" w:rsidRDefault="00BC6481" w:rsidP="006757E8">
            <w:pPr>
              <w:pStyle w:val="Tabletext"/>
              <w:rPr>
                <w:rFonts w:eastAsia="Calibri"/>
                <w:lang w:eastAsia="en-US"/>
              </w:rPr>
            </w:pPr>
            <w:r w:rsidRPr="00427EE1">
              <w:rPr>
                <w:rFonts w:eastAsia="Calibri"/>
                <w:lang w:eastAsia="en-US"/>
              </w:rPr>
              <w:t>127</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C6481" w:rsidRPr="00427EE1" w:rsidRDefault="00BC6481" w:rsidP="006757E8">
            <w:pPr>
              <w:pStyle w:val="Tabletext"/>
              <w:rPr>
                <w:rFonts w:eastAsia="Calibri"/>
                <w:b/>
                <w:lang w:eastAsia="en-US"/>
              </w:rPr>
            </w:pPr>
            <w:r w:rsidRPr="00427EE1">
              <w:rPr>
                <w:rFonts w:eastAsia="Calibri"/>
                <w:b/>
                <w:lang w:eastAsia="en-US"/>
              </w:rPr>
              <w:t>Branding of timber</w:t>
            </w:r>
          </w:p>
          <w:p w:rsidR="00BC6481" w:rsidRPr="00427EE1" w:rsidRDefault="002E244C" w:rsidP="006757E8">
            <w:pPr>
              <w:pStyle w:val="Tabletext"/>
              <w:rPr>
                <w:rFonts w:eastAsia="Calibri"/>
                <w:lang w:eastAsia="en-US"/>
              </w:rPr>
            </w:pPr>
            <w:r>
              <w:rPr>
                <w:rFonts w:eastAsia="Calibri"/>
                <w:lang w:eastAsia="en-US"/>
              </w:rPr>
              <w:t xml:space="preserve">Requires </w:t>
            </w:r>
            <w:r w:rsidR="00BC6481" w:rsidRPr="00427EE1">
              <w:rPr>
                <w:rFonts w:eastAsia="Calibri"/>
                <w:lang w:eastAsia="en-US"/>
              </w:rPr>
              <w:t>every piece of timber used for structural building work to be stress graded and marked accordingly.</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C6481" w:rsidRPr="00427EE1" w:rsidRDefault="00BC6481"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C6481" w:rsidRPr="00427EE1" w:rsidRDefault="00BC6481">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C6481" w:rsidRPr="00427EE1" w:rsidRDefault="00BC6481">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C6481" w:rsidRPr="00427EE1" w:rsidRDefault="00BC6481">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C6481" w:rsidRPr="00427EE1" w:rsidRDefault="00BC6481">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C6481" w:rsidRPr="00427EE1" w:rsidRDefault="00BC6481">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operates in addition to</w:t>
            </w:r>
            <w:r w:rsidR="00E60957">
              <w:rPr>
                <w:rFonts w:eastAsia="Calibri"/>
              </w:rPr>
              <w:t xml:space="preserve"> </w:t>
            </w:r>
            <w:r w:rsidRPr="00427EE1">
              <w:rPr>
                <w:rFonts w:eastAsia="Calibri"/>
              </w:rPr>
              <w:t>requirements in</w:t>
            </w:r>
            <w:r w:rsidR="00E60957">
              <w:rPr>
                <w:rFonts w:eastAsia="Calibri"/>
              </w:rPr>
              <w:t xml:space="preserve"> </w:t>
            </w:r>
            <w:r w:rsidRPr="00427EE1">
              <w:rPr>
                <w:rFonts w:eastAsia="Calibri"/>
              </w:rPr>
              <w:t>the BCA and has been revised to</w:t>
            </w:r>
            <w:r w:rsidR="00E60957">
              <w:rPr>
                <w:rFonts w:eastAsia="Calibri"/>
              </w:rPr>
              <w:t xml:space="preserve"> </w:t>
            </w:r>
            <w:r w:rsidRPr="00427EE1">
              <w:rPr>
                <w:rFonts w:eastAsia="Calibri"/>
              </w:rPr>
              <w:t>updated technical standards.</w:t>
            </w:r>
            <w:r w:rsidR="00E60957">
              <w:rPr>
                <w:rFonts w:eastAsia="Calibri"/>
              </w:rPr>
              <w:t xml:space="preserve"> </w:t>
            </w:r>
          </w:p>
        </w:tc>
      </w:tr>
      <w:tr w:rsidR="00B751DE" w:rsidRPr="00427EE1" w:rsidTr="006119D2">
        <w:trPr>
          <w:cantSplit/>
          <w:trHeight w:val="340"/>
        </w:trPr>
        <w:tc>
          <w:tcPr>
            <w:tcW w:w="98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309</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128</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B751DE" w:rsidP="006757E8">
            <w:pPr>
              <w:pStyle w:val="Tabletext"/>
              <w:rPr>
                <w:rFonts w:eastAsia="Calibri"/>
                <w:b/>
                <w:lang w:eastAsia="en-US"/>
              </w:rPr>
            </w:pPr>
            <w:r w:rsidRPr="00427EE1">
              <w:rPr>
                <w:rFonts w:eastAsia="Calibri"/>
                <w:b/>
                <w:lang w:eastAsia="en-US"/>
              </w:rPr>
              <w:t>Requirements for permits involving fire</w:t>
            </w:r>
            <w:r w:rsidR="00181511">
              <w:rPr>
                <w:rFonts w:eastAsia="Calibri"/>
                <w:b/>
                <w:lang w:eastAsia="en-US"/>
              </w:rPr>
              <w:t>-safety</w:t>
            </w:r>
            <w:r w:rsidRPr="00427EE1">
              <w:rPr>
                <w:rFonts w:eastAsia="Calibri"/>
                <w:b/>
                <w:lang w:eastAsia="en-US"/>
              </w:rPr>
              <w:t xml:space="preserve"> matters</w:t>
            </w:r>
          </w:p>
          <w:p w:rsidR="00B751DE" w:rsidRPr="00427EE1" w:rsidRDefault="00B751DE" w:rsidP="006757E8">
            <w:pPr>
              <w:pStyle w:val="Tabletext"/>
              <w:rPr>
                <w:rFonts w:eastAsia="Calibri"/>
                <w:lang w:eastAsia="en-US"/>
              </w:rPr>
            </w:pPr>
            <w:r w:rsidRPr="00427EE1">
              <w:rPr>
                <w:rFonts w:eastAsia="Calibri"/>
                <w:lang w:eastAsia="en-US"/>
              </w:rPr>
              <w:t xml:space="preserve">Specifies when the report and consent of </w:t>
            </w:r>
            <w:r w:rsidR="00AC0013">
              <w:rPr>
                <w:rFonts w:eastAsia="Calibri"/>
                <w:lang w:eastAsia="en-US"/>
              </w:rPr>
              <w:t>a</w:t>
            </w:r>
            <w:r w:rsidR="004267C5">
              <w:rPr>
                <w:rFonts w:eastAsia="Calibri"/>
                <w:lang w:eastAsia="en-US"/>
              </w:rPr>
              <w:t xml:space="preserve"> </w:t>
            </w:r>
            <w:r w:rsidRPr="00427EE1">
              <w:rPr>
                <w:rFonts w:eastAsia="Calibri"/>
                <w:lang w:eastAsia="en-US"/>
              </w:rPr>
              <w:t>chief officer is required in relation to a building permit application.</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pStyle w:val="Tabletext"/>
              <w:rPr>
                <w:rFonts w:eastAsia="Calibri"/>
              </w:rPr>
            </w:pPr>
            <w:r w:rsidRPr="00427EE1">
              <w:rPr>
                <w:rFonts w:eastAsia="Calibri"/>
              </w:rPr>
              <w:t>Mitigates risks for fire</w:t>
            </w:r>
            <w:r w:rsidR="00D90FC3">
              <w:rPr>
                <w:rFonts w:eastAsia="Calibri"/>
              </w:rPr>
              <w:t>fighters</w:t>
            </w:r>
            <w:r w:rsidRPr="00427EE1">
              <w:rPr>
                <w:rFonts w:eastAsia="Calibri"/>
              </w:rPr>
              <w:t xml:space="preserve"> caused by information asymmetry. Updated to remove fire reels and proscenium curtain drencher systems (not commonly required) and to add fire extinguishers (are more commonly required), and the emergency vehicle access provision </w:t>
            </w:r>
            <w:r w:rsidR="00BC6481" w:rsidRPr="00427EE1">
              <w:rPr>
                <w:rFonts w:eastAsia="Calibri"/>
              </w:rPr>
              <w:t>is redrafted to make it</w:t>
            </w:r>
            <w:r w:rsidR="00E60957">
              <w:rPr>
                <w:rFonts w:eastAsia="Calibri"/>
              </w:rPr>
              <w:t xml:space="preserve"> </w:t>
            </w:r>
            <w:r w:rsidR="00BC6481" w:rsidRPr="00427EE1">
              <w:rPr>
                <w:rFonts w:eastAsia="Calibri"/>
              </w:rPr>
              <w:t>easier to understand.</w:t>
            </w:r>
            <w:r w:rsidRPr="00427EE1">
              <w:rPr>
                <w:rFonts w:eastAsia="Calibri"/>
              </w:rPr>
              <w:t xml:space="preserve"> </w:t>
            </w:r>
          </w:p>
        </w:tc>
      </w:tr>
      <w:tr w:rsidR="00B751DE" w:rsidRPr="00427EE1" w:rsidTr="006119D2">
        <w:trPr>
          <w:cantSplit/>
          <w:trHeight w:val="340"/>
        </w:trPr>
        <w:tc>
          <w:tcPr>
            <w:tcW w:w="98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310</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129</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B751DE" w:rsidP="006757E8">
            <w:pPr>
              <w:pStyle w:val="Tabletext"/>
              <w:rPr>
                <w:rFonts w:eastAsia="Calibri"/>
                <w:b/>
                <w:lang w:eastAsia="en-US"/>
              </w:rPr>
            </w:pPr>
            <w:r w:rsidRPr="00427EE1">
              <w:rPr>
                <w:rFonts w:eastAsia="Calibri"/>
                <w:b/>
                <w:lang w:eastAsia="en-US"/>
              </w:rPr>
              <w:t>Report and consent for building over easements</w:t>
            </w:r>
          </w:p>
          <w:p w:rsidR="00B751DE" w:rsidRPr="00427EE1" w:rsidRDefault="00B751DE" w:rsidP="006757E8">
            <w:pPr>
              <w:pStyle w:val="Tabletext"/>
              <w:rPr>
                <w:rFonts w:eastAsia="Calibri"/>
                <w:lang w:eastAsia="en-US"/>
              </w:rPr>
            </w:pPr>
            <w:r w:rsidRPr="00427EE1">
              <w:rPr>
                <w:rFonts w:eastAsia="Calibri"/>
                <w:lang w:eastAsia="en-US"/>
              </w:rPr>
              <w:t>Specifies when the report and consent of a service authority is required in relation to a building permit application.</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F11682">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align the building regulatory framework with</w:t>
            </w:r>
            <w:r w:rsidR="00F21B23">
              <w:rPr>
                <w:rFonts w:eastAsia="Calibri"/>
              </w:rPr>
              <w:t xml:space="preserve"> </w:t>
            </w:r>
            <w:r w:rsidRPr="00427EE1">
              <w:rPr>
                <w:rFonts w:eastAsia="Calibri"/>
              </w:rPr>
              <w:t>the property rights of service authorities.</w:t>
            </w:r>
          </w:p>
        </w:tc>
      </w:tr>
      <w:tr w:rsidR="00FC292D" w:rsidRPr="00427EE1" w:rsidTr="006119D2">
        <w:trPr>
          <w:cantSplit/>
          <w:trHeight w:val="340"/>
        </w:trPr>
        <w:tc>
          <w:tcPr>
            <w:tcW w:w="98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C292D" w:rsidRPr="00427EE1" w:rsidRDefault="00FC292D" w:rsidP="006757E8">
            <w:pPr>
              <w:pStyle w:val="Tabletext"/>
              <w:rPr>
                <w:rFonts w:eastAsia="Calibri"/>
              </w:rPr>
            </w:pPr>
            <w:r w:rsidRPr="00427EE1">
              <w:rPr>
                <w:rFonts w:eastAsia="Calibri"/>
              </w:rPr>
              <w:t>311</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C292D" w:rsidRPr="00427EE1" w:rsidRDefault="00FC292D" w:rsidP="006757E8">
            <w:pPr>
              <w:pStyle w:val="Tabletext"/>
              <w:rPr>
                <w:rFonts w:eastAsia="Calibri"/>
                <w:lang w:eastAsia="en-US"/>
              </w:rPr>
            </w:pPr>
            <w:r w:rsidRPr="00427EE1">
              <w:rPr>
                <w:rFonts w:eastAsia="Calibri"/>
                <w:lang w:eastAsia="en-US"/>
              </w:rPr>
              <w:t>130</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FC292D" w:rsidRPr="00427EE1" w:rsidRDefault="00FC292D" w:rsidP="006757E8">
            <w:pPr>
              <w:pStyle w:val="Tabletext"/>
              <w:rPr>
                <w:rFonts w:eastAsia="Calibri"/>
                <w:b/>
                <w:lang w:eastAsia="en-US"/>
              </w:rPr>
            </w:pPr>
            <w:r w:rsidRPr="00427EE1">
              <w:rPr>
                <w:rFonts w:eastAsia="Calibri"/>
                <w:b/>
                <w:lang w:eastAsia="en-US"/>
              </w:rPr>
              <w:t xml:space="preserve"> Report concerning need for electricity sub</w:t>
            </w:r>
            <w:r w:rsidR="00181511">
              <w:rPr>
                <w:rFonts w:eastAsia="Calibri"/>
                <w:b/>
                <w:lang w:eastAsia="en-US"/>
              </w:rPr>
              <w:t>stations</w:t>
            </w:r>
          </w:p>
          <w:p w:rsidR="00FC292D" w:rsidRPr="00427EE1" w:rsidRDefault="002E244C" w:rsidP="006757E8">
            <w:pPr>
              <w:pStyle w:val="Tabletext"/>
              <w:rPr>
                <w:rFonts w:eastAsia="Calibri"/>
                <w:lang w:eastAsia="en-US"/>
              </w:rPr>
            </w:pPr>
            <w:r>
              <w:rPr>
                <w:rFonts w:eastAsia="Calibri"/>
                <w:lang w:eastAsia="en-US"/>
              </w:rPr>
              <w:t xml:space="preserve">Enables </w:t>
            </w:r>
            <w:r w:rsidR="00FC292D" w:rsidRPr="00427EE1">
              <w:rPr>
                <w:rFonts w:eastAsia="Calibri"/>
                <w:lang w:eastAsia="en-US"/>
              </w:rPr>
              <w:t xml:space="preserve">the </w:t>
            </w:r>
            <w:r w:rsidR="00AB414E">
              <w:rPr>
                <w:rFonts w:eastAsia="Calibri"/>
                <w:lang w:eastAsia="en-US"/>
              </w:rPr>
              <w:t>RBS</w:t>
            </w:r>
            <w:r w:rsidR="00FC292D" w:rsidRPr="00427EE1">
              <w:rPr>
                <w:rFonts w:eastAsia="Calibri"/>
                <w:lang w:eastAsia="en-US"/>
              </w:rPr>
              <w:t xml:space="preserve"> to require a report from the relevant electricity supply authority in relation to a building permit application for a building other than a Class 1 or Class 10 building.</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C292D" w:rsidRPr="00427EE1" w:rsidRDefault="00FC292D"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C292D" w:rsidRPr="00427EE1" w:rsidRDefault="00FC292D">
            <w:pPr>
              <w:tabs>
                <w:tab w:val="left" w:pos="567"/>
              </w:tabs>
              <w:spacing w:line="276" w:lineRule="auto"/>
              <w:jc w:val="center"/>
              <w:rPr>
                <w:rFonts w:ascii="Calibri" w:eastAsia="Calibri" w:hAnsi="Calibri"/>
                <w:lang w:eastAsia="en-US"/>
              </w:rPr>
            </w:pPr>
          </w:p>
          <w:p w:rsidR="00FC292D" w:rsidRPr="00427EE1" w:rsidRDefault="00FC292D">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C292D" w:rsidRPr="00427EE1" w:rsidRDefault="00FC292D">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C292D" w:rsidRPr="00427EE1" w:rsidRDefault="00FC292D">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C292D" w:rsidRPr="00427EE1" w:rsidRDefault="00FC292D">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C292D" w:rsidRPr="00427EE1" w:rsidRDefault="00FC292D">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better align the building </w:t>
            </w:r>
            <w:r w:rsidR="00C85828" w:rsidRPr="00427EE1">
              <w:rPr>
                <w:rFonts w:eastAsia="Calibri"/>
              </w:rPr>
              <w:t>regulatory</w:t>
            </w:r>
            <w:r w:rsidRPr="00427EE1">
              <w:rPr>
                <w:rFonts w:eastAsia="Calibri"/>
              </w:rPr>
              <w:t xml:space="preserve"> framework with the infrastructure needs of electricity supply authorities by allowing the </w:t>
            </w:r>
            <w:r w:rsidR="00AB414E">
              <w:rPr>
                <w:rFonts w:eastAsia="Calibri"/>
              </w:rPr>
              <w:t>RBS</w:t>
            </w:r>
            <w:r w:rsidRPr="00427EE1">
              <w:rPr>
                <w:rFonts w:eastAsia="Calibri"/>
              </w:rPr>
              <w:t xml:space="preserve"> to take into </w:t>
            </w:r>
            <w:r w:rsidR="00D90FC3">
              <w:rPr>
                <w:rFonts w:eastAsia="Calibri"/>
              </w:rPr>
              <w:t>inquire</w:t>
            </w:r>
            <w:r w:rsidRPr="00427EE1">
              <w:rPr>
                <w:rFonts w:eastAsia="Calibri"/>
              </w:rPr>
              <w:t xml:space="preserve"> whether there will be adequate electricity infrastructure for any applicable proposed development. </w:t>
            </w:r>
          </w:p>
        </w:tc>
      </w:tr>
      <w:tr w:rsidR="00FC292D" w:rsidRPr="00427EE1" w:rsidTr="006119D2">
        <w:trPr>
          <w:cantSplit/>
          <w:trHeight w:val="340"/>
        </w:trPr>
        <w:tc>
          <w:tcPr>
            <w:tcW w:w="98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C292D" w:rsidRPr="00427EE1" w:rsidRDefault="00FC292D" w:rsidP="006757E8">
            <w:pPr>
              <w:pStyle w:val="Tabletext"/>
              <w:rPr>
                <w:rFonts w:eastAsia="Calibri"/>
              </w:rPr>
            </w:pPr>
            <w:r w:rsidRPr="00427EE1">
              <w:rPr>
                <w:rFonts w:eastAsia="Calibri"/>
              </w:rPr>
              <w:t>801</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C292D" w:rsidRPr="00427EE1" w:rsidRDefault="00FC292D" w:rsidP="006757E8">
            <w:pPr>
              <w:pStyle w:val="Tabletext"/>
              <w:rPr>
                <w:rFonts w:eastAsia="Calibri"/>
                <w:lang w:eastAsia="en-US"/>
              </w:rPr>
            </w:pPr>
            <w:r w:rsidRPr="00427EE1">
              <w:rPr>
                <w:rFonts w:eastAsia="Calibri"/>
                <w:lang w:eastAsia="en-US"/>
              </w:rPr>
              <w:t>131</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FC292D" w:rsidRPr="00427EE1" w:rsidRDefault="00FC292D" w:rsidP="006757E8">
            <w:pPr>
              <w:pStyle w:val="Tabletext"/>
              <w:rPr>
                <w:rFonts w:eastAsia="Calibri"/>
                <w:b/>
                <w:lang w:eastAsia="en-US"/>
              </w:rPr>
            </w:pPr>
            <w:r w:rsidRPr="00427EE1">
              <w:rPr>
                <w:rFonts w:eastAsia="Calibri"/>
                <w:b/>
                <w:lang w:eastAsia="en-US"/>
              </w:rPr>
              <w:t>Report and consent for septic tank systems</w:t>
            </w:r>
          </w:p>
          <w:p w:rsidR="00FC292D" w:rsidRPr="00427EE1" w:rsidRDefault="002E244C" w:rsidP="006757E8">
            <w:pPr>
              <w:pStyle w:val="Tabletext"/>
              <w:rPr>
                <w:rFonts w:eastAsia="Calibri"/>
                <w:lang w:eastAsia="en-US"/>
              </w:rPr>
            </w:pPr>
            <w:r>
              <w:rPr>
                <w:rFonts w:eastAsia="Calibri"/>
                <w:lang w:eastAsia="en-US"/>
              </w:rPr>
              <w:t xml:space="preserve">Requires </w:t>
            </w:r>
            <w:r w:rsidR="00FC292D" w:rsidRPr="00427EE1">
              <w:rPr>
                <w:rFonts w:eastAsia="Calibri"/>
                <w:lang w:eastAsia="en-US"/>
              </w:rPr>
              <w:t xml:space="preserve">the report and consent of the relevant council in a relation to an application for a building permit that requires a septic tank, if approval for work in relation to a septic tank has not been given under </w:t>
            </w:r>
            <w:r w:rsidR="00FC292D" w:rsidRPr="00427EE1">
              <w:rPr>
                <w:rFonts w:eastAsia="Calibri"/>
              </w:rPr>
              <w:t xml:space="preserve">the </w:t>
            </w:r>
            <w:r w:rsidR="00FC292D" w:rsidRPr="00427EE1">
              <w:rPr>
                <w:rFonts w:eastAsia="Calibri"/>
                <w:i/>
              </w:rPr>
              <w:t>Environment Protection Act 1970</w:t>
            </w:r>
            <w:r w:rsidR="00FC292D" w:rsidRPr="00427EE1">
              <w:rPr>
                <w:rFonts w:eastAsia="Calibri"/>
                <w:lang w:eastAsia="en-US"/>
              </w:rPr>
              <w:t>.</w:t>
            </w:r>
            <w:r w:rsidR="00E60957">
              <w:rPr>
                <w:rFonts w:eastAsia="Calibri"/>
                <w:lang w:eastAsia="en-US"/>
              </w:rPr>
              <w:t xml:space="preserve">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C292D" w:rsidRPr="00427EE1" w:rsidRDefault="00FC292D"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C292D" w:rsidRPr="00427EE1" w:rsidRDefault="00FC292D">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C292D" w:rsidRPr="00427EE1" w:rsidRDefault="00FC292D">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C292D" w:rsidRPr="00427EE1" w:rsidRDefault="00FC292D">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C292D" w:rsidRPr="00427EE1" w:rsidRDefault="00FC292D">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D615BC" w:rsidRPr="00427EE1" w:rsidRDefault="00FC292D">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mitigates health risks associated with incorrectly installed septic tanks and provides a checkpoint that the septic tank has a permit under </w:t>
            </w:r>
            <w:r w:rsidR="0023395A">
              <w:rPr>
                <w:rFonts w:eastAsia="Calibri"/>
              </w:rPr>
              <w:t xml:space="preserve">s </w:t>
            </w:r>
            <w:r w:rsidRPr="00427EE1">
              <w:rPr>
                <w:rFonts w:eastAsia="Calibri"/>
              </w:rPr>
              <w:t xml:space="preserve">53L of the </w:t>
            </w:r>
            <w:r w:rsidRPr="00427EE1">
              <w:rPr>
                <w:rFonts w:eastAsia="Calibri"/>
                <w:i/>
              </w:rPr>
              <w:t>Environment Protection Act 1970</w:t>
            </w:r>
            <w:r w:rsidRPr="00427EE1">
              <w:rPr>
                <w:rFonts w:eastAsia="Calibri"/>
              </w:rPr>
              <w:t>.</w:t>
            </w:r>
          </w:p>
          <w:p w:rsidR="00FC292D" w:rsidRPr="00427EE1" w:rsidRDefault="00FC292D">
            <w:pPr>
              <w:pStyle w:val="Tabletext"/>
              <w:rPr>
                <w:rFonts w:eastAsia="Calibri"/>
              </w:rPr>
            </w:pPr>
          </w:p>
        </w:tc>
      </w:tr>
      <w:tr w:rsidR="00FC292D" w:rsidRPr="00427EE1" w:rsidTr="006119D2">
        <w:trPr>
          <w:cantSplit/>
          <w:trHeight w:val="340"/>
        </w:trPr>
        <w:tc>
          <w:tcPr>
            <w:tcW w:w="98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C292D" w:rsidRPr="00427EE1" w:rsidRDefault="00FC292D" w:rsidP="006757E8">
            <w:pPr>
              <w:pStyle w:val="Tabletext"/>
              <w:rPr>
                <w:rFonts w:eastAsia="Calibri"/>
              </w:rPr>
            </w:pPr>
            <w:r w:rsidRPr="00427EE1">
              <w:rPr>
                <w:rFonts w:eastAsia="Calibri"/>
              </w:rPr>
              <w:lastRenderedPageBreak/>
              <w:t>610</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C292D" w:rsidRPr="00427EE1" w:rsidRDefault="00FC292D" w:rsidP="006757E8">
            <w:pPr>
              <w:pStyle w:val="Tabletext"/>
              <w:rPr>
                <w:rFonts w:eastAsia="Calibri"/>
                <w:lang w:eastAsia="en-US"/>
              </w:rPr>
            </w:pPr>
            <w:r w:rsidRPr="00427EE1">
              <w:rPr>
                <w:rFonts w:eastAsia="Calibri"/>
                <w:lang w:eastAsia="en-US"/>
              </w:rPr>
              <w:t>132</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FC292D" w:rsidRPr="00427EE1" w:rsidRDefault="00FC292D" w:rsidP="006757E8">
            <w:pPr>
              <w:pStyle w:val="Tabletext"/>
              <w:rPr>
                <w:rFonts w:eastAsia="Calibri"/>
                <w:b/>
                <w:lang w:eastAsia="en-US"/>
              </w:rPr>
            </w:pPr>
            <w:r w:rsidRPr="00427EE1">
              <w:rPr>
                <w:rFonts w:eastAsia="Calibri"/>
                <w:b/>
                <w:lang w:eastAsia="en-US"/>
              </w:rPr>
              <w:t>Storm water drainage</w:t>
            </w:r>
          </w:p>
          <w:p w:rsidR="00FC292D" w:rsidRPr="00427EE1" w:rsidRDefault="002E244C" w:rsidP="006757E8">
            <w:pPr>
              <w:pStyle w:val="Tabletext"/>
              <w:rPr>
                <w:rFonts w:eastAsia="Calibri"/>
                <w:lang w:eastAsia="en-US"/>
              </w:rPr>
            </w:pPr>
            <w:r>
              <w:rPr>
                <w:rFonts w:eastAsia="Calibri"/>
                <w:lang w:eastAsia="en-US"/>
              </w:rPr>
              <w:t xml:space="preserve">Requires </w:t>
            </w:r>
            <w:r w:rsidR="00FC292D" w:rsidRPr="00427EE1">
              <w:rPr>
                <w:rFonts w:eastAsia="Calibri"/>
                <w:lang w:eastAsia="en-US"/>
              </w:rPr>
              <w:t xml:space="preserve">specific additional approval requirements in relation to </w:t>
            </w:r>
            <w:proofErr w:type="spellStart"/>
            <w:r w:rsidR="00FC292D" w:rsidRPr="00427EE1">
              <w:rPr>
                <w:rFonts w:eastAsia="Calibri"/>
                <w:lang w:eastAsia="en-US"/>
              </w:rPr>
              <w:t>stormwater</w:t>
            </w:r>
            <w:proofErr w:type="spellEnd"/>
            <w:r w:rsidR="00FC292D" w:rsidRPr="00427EE1">
              <w:rPr>
                <w:rFonts w:eastAsia="Calibri"/>
                <w:lang w:eastAsia="en-US"/>
              </w:rPr>
              <w:t xml:space="preserve"> drainage systems, including a requirement to obtain a report from the relevant council in relation to how a proposed point of discharge aligns with council infrastructure.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C292D" w:rsidRPr="00427EE1" w:rsidRDefault="00FC292D"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C292D" w:rsidRPr="00427EE1" w:rsidRDefault="00FC292D">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C292D" w:rsidRPr="00427EE1" w:rsidRDefault="00FC292D">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C292D" w:rsidRPr="00427EE1" w:rsidRDefault="00FC292D">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C292D" w:rsidRPr="00427EE1" w:rsidRDefault="00FC292D">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C292D" w:rsidRPr="00427EE1" w:rsidRDefault="00FC292D">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ensure the proper management of </w:t>
            </w:r>
            <w:proofErr w:type="spellStart"/>
            <w:r w:rsidRPr="00427EE1">
              <w:rPr>
                <w:rFonts w:eastAsia="Calibri"/>
              </w:rPr>
              <w:t>stormwater</w:t>
            </w:r>
            <w:proofErr w:type="spellEnd"/>
            <w:r w:rsidRPr="00427EE1">
              <w:rPr>
                <w:rFonts w:eastAsia="Calibri"/>
              </w:rPr>
              <w:t xml:space="preserve">, including to reduces the risk of flooding arising as a result of ineffective </w:t>
            </w:r>
            <w:proofErr w:type="spellStart"/>
            <w:r w:rsidRPr="00427EE1">
              <w:rPr>
                <w:rFonts w:eastAsia="Calibri"/>
              </w:rPr>
              <w:t>stormwater</w:t>
            </w:r>
            <w:proofErr w:type="spellEnd"/>
            <w:r w:rsidRPr="00427EE1">
              <w:rPr>
                <w:rFonts w:eastAsia="Calibri"/>
              </w:rPr>
              <w:t xml:space="preserve"> drainage systems. Minor amendment is proposed to current </w:t>
            </w:r>
            <w:proofErr w:type="spellStart"/>
            <w:r w:rsidR="003902AD">
              <w:rPr>
                <w:rFonts w:eastAsia="Calibri"/>
              </w:rPr>
              <w:t>reg</w:t>
            </w:r>
            <w:proofErr w:type="spellEnd"/>
            <w:r w:rsidR="003902AD">
              <w:rPr>
                <w:rFonts w:eastAsia="Calibri"/>
              </w:rPr>
              <w:t xml:space="preserve"> 6</w:t>
            </w:r>
            <w:r w:rsidRPr="00427EE1">
              <w:rPr>
                <w:rFonts w:eastAsia="Calibri"/>
              </w:rPr>
              <w:t xml:space="preserve">12 to ensure that the design of </w:t>
            </w:r>
            <w:proofErr w:type="spellStart"/>
            <w:r w:rsidRPr="00427EE1">
              <w:rPr>
                <w:rFonts w:eastAsia="Calibri"/>
              </w:rPr>
              <w:t>stormwater</w:t>
            </w:r>
            <w:proofErr w:type="spellEnd"/>
            <w:r w:rsidRPr="00427EE1">
              <w:rPr>
                <w:rFonts w:eastAsia="Calibri"/>
              </w:rPr>
              <w:t xml:space="preserve"> drainage system from the property is only approved if the point of discharge is consistent with the report of the relevant council. </w:t>
            </w:r>
          </w:p>
        </w:tc>
      </w:tr>
      <w:tr w:rsidR="00FC292D" w:rsidRPr="00427EE1" w:rsidTr="006119D2">
        <w:trPr>
          <w:cantSplit/>
          <w:trHeight w:val="340"/>
        </w:trPr>
        <w:tc>
          <w:tcPr>
            <w:tcW w:w="98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C292D" w:rsidRPr="00427EE1" w:rsidRDefault="00FC292D" w:rsidP="006757E8">
            <w:pPr>
              <w:pStyle w:val="Tabletext"/>
              <w:rPr>
                <w:rFonts w:eastAsia="Calibri"/>
              </w:rPr>
            </w:pPr>
            <w:r w:rsidRPr="00427EE1">
              <w:rPr>
                <w:rFonts w:eastAsia="Calibri"/>
              </w:rPr>
              <w:t>515</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C292D" w:rsidRPr="00427EE1" w:rsidRDefault="00FC292D" w:rsidP="006757E8">
            <w:pPr>
              <w:pStyle w:val="Tabletext"/>
              <w:rPr>
                <w:rFonts w:eastAsia="Calibri"/>
                <w:lang w:eastAsia="en-US"/>
              </w:rPr>
            </w:pPr>
            <w:r w:rsidRPr="00427EE1">
              <w:rPr>
                <w:rFonts w:eastAsia="Calibri"/>
                <w:lang w:eastAsia="en-US"/>
              </w:rPr>
              <w:t>133</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FC292D" w:rsidRPr="00427EE1" w:rsidRDefault="00FC292D" w:rsidP="006757E8">
            <w:pPr>
              <w:pStyle w:val="Tabletext"/>
              <w:rPr>
                <w:rFonts w:eastAsia="Calibri"/>
                <w:b/>
                <w:lang w:eastAsia="en-US"/>
              </w:rPr>
            </w:pPr>
            <w:r w:rsidRPr="00427EE1">
              <w:rPr>
                <w:rFonts w:eastAsia="Calibri"/>
                <w:b/>
                <w:lang w:eastAsia="en-US"/>
              </w:rPr>
              <w:t>Building above or below certain public facilities</w:t>
            </w:r>
          </w:p>
          <w:p w:rsidR="00FC292D" w:rsidRPr="00427EE1" w:rsidRDefault="002E244C" w:rsidP="006757E8">
            <w:pPr>
              <w:pStyle w:val="Tabletext"/>
              <w:rPr>
                <w:rFonts w:eastAsia="Calibri"/>
                <w:lang w:eastAsia="en-US"/>
              </w:rPr>
            </w:pPr>
            <w:r>
              <w:rPr>
                <w:rFonts w:eastAsia="Calibri"/>
                <w:lang w:eastAsia="en-US"/>
              </w:rPr>
              <w:t xml:space="preserve">Requires </w:t>
            </w:r>
            <w:r w:rsidR="00FC292D" w:rsidRPr="00427EE1">
              <w:rPr>
                <w:rFonts w:eastAsia="Calibri"/>
                <w:lang w:eastAsia="en-US"/>
              </w:rPr>
              <w:t xml:space="preserve">the report and consent of the relevant council to the construction of a building </w:t>
            </w:r>
            <w:r w:rsidR="00C85828" w:rsidRPr="00427EE1">
              <w:rPr>
                <w:rFonts w:eastAsia="Calibri"/>
                <w:lang w:eastAsia="en-US"/>
              </w:rPr>
              <w:t>which</w:t>
            </w:r>
            <w:r w:rsidR="00FC292D" w:rsidRPr="00427EE1">
              <w:rPr>
                <w:rFonts w:eastAsia="Calibri"/>
                <w:lang w:eastAsia="en-US"/>
              </w:rPr>
              <w:t xml:space="preserve"> is proposed above or below public infrastructure.</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C292D" w:rsidRPr="00427EE1" w:rsidRDefault="00FC292D"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C292D" w:rsidRPr="00427EE1" w:rsidRDefault="00FC292D">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C292D" w:rsidRPr="00427EE1" w:rsidRDefault="00FC292D">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C292D" w:rsidRPr="00427EE1" w:rsidRDefault="00FC292D">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C292D" w:rsidRPr="00427EE1" w:rsidRDefault="00FC292D">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C292D" w:rsidRPr="00427EE1" w:rsidRDefault="00FC292D">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align public and private infrastructure requirements to mitigate risks to public health and safety.</w:t>
            </w:r>
          </w:p>
        </w:tc>
      </w:tr>
    </w:tbl>
    <w:p w:rsidR="00B751DE" w:rsidRPr="00427EE1" w:rsidRDefault="00B751DE" w:rsidP="006757E8"/>
    <w:p w:rsidR="00B751DE" w:rsidRPr="00427EE1" w:rsidRDefault="004267C5" w:rsidP="006119D2">
      <w:pPr>
        <w:pStyle w:val="Heading3"/>
      </w:pPr>
      <w:bookmarkStart w:id="183" w:name="_Toc481501604"/>
      <w:r>
        <w:t xml:space="preserve">Pt </w:t>
      </w:r>
      <w:r w:rsidR="00B751DE" w:rsidRPr="00427EE1">
        <w:t>10</w:t>
      </w:r>
      <w:r w:rsidR="008475D9">
        <w:t>—</w:t>
      </w:r>
      <w:r w:rsidR="00B751DE" w:rsidRPr="00427EE1">
        <w:t>Building work</w:t>
      </w:r>
      <w:r w:rsidR="008475D9">
        <w:t>—</w:t>
      </w:r>
      <w:r w:rsidR="00B751DE" w:rsidRPr="00427EE1">
        <w:t>safety requirements</w:t>
      </w:r>
      <w:bookmarkEnd w:id="183"/>
    </w:p>
    <w:p w:rsidR="00B751DE" w:rsidRPr="00427EE1" w:rsidRDefault="00EF2008" w:rsidP="006119D2">
      <w:pPr>
        <w:pStyle w:val="Heading4"/>
      </w:pPr>
      <w:proofErr w:type="spellStart"/>
      <w:r>
        <w:t>Div</w:t>
      </w:r>
      <w:proofErr w:type="spellEnd"/>
      <w:r w:rsidR="00B751DE" w:rsidRPr="00427EE1">
        <w:t xml:space="preserve"> 1</w:t>
      </w:r>
      <w:r w:rsidR="008475D9">
        <w:t>—</w:t>
      </w:r>
      <w:r w:rsidR="00B751DE" w:rsidRPr="00427EE1">
        <w:t>Requirements for barriers for swimming pools and spas until 1 October 2020</w:t>
      </w:r>
    </w:p>
    <w:tbl>
      <w:tblPr>
        <w:tblW w:w="14493" w:type="dxa"/>
        <w:tblInd w:w="-116"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94"/>
        <w:gridCol w:w="931"/>
        <w:gridCol w:w="4243"/>
        <w:gridCol w:w="399"/>
        <w:gridCol w:w="399"/>
        <w:gridCol w:w="402"/>
        <w:gridCol w:w="400"/>
        <w:gridCol w:w="398"/>
        <w:gridCol w:w="6327"/>
      </w:tblGrid>
      <w:tr w:rsidR="009B17A5" w:rsidRPr="00427EE1" w:rsidTr="006119D2">
        <w:trPr>
          <w:cantSplit/>
          <w:trHeight w:val="54"/>
          <w:tblHeader/>
        </w:trPr>
        <w:tc>
          <w:tcPr>
            <w:tcW w:w="994" w:type="dxa"/>
            <w:vMerge w:val="restart"/>
            <w:shd w:val="clear" w:color="auto" w:fill="00B2A9" w:themeFill="accent1"/>
            <w:vAlign w:val="center"/>
            <w:hideMark/>
          </w:tcPr>
          <w:p w:rsidR="009B17A5" w:rsidRDefault="009B17A5">
            <w:pPr>
              <w:pStyle w:val="Tablecolumnhead"/>
              <w:rPr>
                <w:rFonts w:asciiTheme="majorHAnsi" w:eastAsia="Calibri" w:hAnsiTheme="majorHAnsi" w:cstheme="majorBidi"/>
                <w:sz w:val="40"/>
              </w:rPr>
            </w:pPr>
            <w:r w:rsidRPr="00BE72D7">
              <w:rPr>
                <w:rFonts w:eastAsia="Calibri"/>
              </w:rPr>
              <w:t>2006</w:t>
            </w:r>
          </w:p>
          <w:p w:rsidR="009B17A5" w:rsidRPr="00F21B23" w:rsidRDefault="009B17A5">
            <w:pPr>
              <w:pStyle w:val="Tablecolumnhead"/>
              <w:rPr>
                <w:rFonts w:eastAsia="Calibri"/>
              </w:rPr>
            </w:pPr>
            <w:r w:rsidRPr="00C44680">
              <w:rPr>
                <w:rFonts w:ascii="Arial Bold" w:eastAsia="Calibri" w:hAnsi="Arial Bold"/>
                <w:spacing w:val="-12"/>
                <w:sz w:val="16"/>
              </w:rPr>
              <w:t>Regulation</w:t>
            </w:r>
          </w:p>
        </w:tc>
        <w:tc>
          <w:tcPr>
            <w:tcW w:w="931" w:type="dxa"/>
            <w:vMerge w:val="restart"/>
            <w:shd w:val="clear" w:color="auto" w:fill="00B2A9" w:themeFill="accent1"/>
            <w:vAlign w:val="center"/>
            <w:hideMark/>
          </w:tcPr>
          <w:p w:rsidR="009B17A5" w:rsidRDefault="009B17A5">
            <w:pPr>
              <w:pStyle w:val="Tablecolumnhead"/>
              <w:rPr>
                <w:rFonts w:asciiTheme="majorHAnsi" w:eastAsiaTheme="majorEastAsia" w:hAnsiTheme="majorHAnsi" w:cstheme="majorBidi"/>
                <w:sz w:val="40"/>
              </w:rPr>
            </w:pPr>
            <w:r w:rsidRPr="008F0E53">
              <w:rPr>
                <w:rFonts w:eastAsia="Calibri"/>
              </w:rPr>
              <w:t>2017</w:t>
            </w:r>
          </w:p>
          <w:p w:rsidR="009B17A5" w:rsidRPr="00F21B23" w:rsidRDefault="009B17A5">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9B17A5" w:rsidRPr="00F21B23" w:rsidRDefault="009B17A5">
            <w:pPr>
              <w:pStyle w:val="Tablecolumnhead"/>
              <w:rPr>
                <w:rFonts w:eastAsia="Calibri"/>
              </w:rPr>
            </w:pPr>
            <w:r w:rsidRPr="00F21B23">
              <w:t xml:space="preserve">Short description of the </w:t>
            </w:r>
            <w:r>
              <w:t>Regulation</w:t>
            </w:r>
          </w:p>
        </w:tc>
        <w:tc>
          <w:tcPr>
            <w:tcW w:w="1998" w:type="dxa"/>
            <w:gridSpan w:val="5"/>
            <w:shd w:val="clear" w:color="auto" w:fill="00B2A9" w:themeFill="accent1"/>
            <w:vAlign w:val="center"/>
          </w:tcPr>
          <w:p w:rsidR="009B17A5" w:rsidRPr="00F21B23" w:rsidRDefault="009B17A5">
            <w:pPr>
              <w:pStyle w:val="Tablecolumnhead"/>
            </w:pPr>
            <w:r w:rsidRPr="00F21B23">
              <w:t>Proposed regulatory change</w:t>
            </w:r>
          </w:p>
        </w:tc>
        <w:tc>
          <w:tcPr>
            <w:tcW w:w="6327" w:type="dxa"/>
            <w:vMerge w:val="restart"/>
            <w:shd w:val="clear" w:color="auto" w:fill="00B2A9" w:themeFill="accent1"/>
            <w:vAlign w:val="center"/>
          </w:tcPr>
          <w:p w:rsidR="009B17A5" w:rsidRPr="00F21B23" w:rsidRDefault="009B17A5">
            <w:pPr>
              <w:pStyle w:val="Tablecolumnhead"/>
            </w:pPr>
            <w:r w:rsidRPr="00F21B23">
              <w:t>Why the 2017 Regulation is proposed</w:t>
            </w:r>
          </w:p>
        </w:tc>
      </w:tr>
      <w:tr w:rsidR="00B751DE" w:rsidRPr="00427EE1" w:rsidTr="006119D2">
        <w:trPr>
          <w:cantSplit/>
          <w:trHeight w:val="966"/>
          <w:tblHeader/>
        </w:trPr>
        <w:tc>
          <w:tcPr>
            <w:tcW w:w="994"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931"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975337" w:rsidRPr="00427EE1" w:rsidTr="006119D2">
        <w:trPr>
          <w:cantSplit/>
          <w:trHeight w:val="340"/>
        </w:trPr>
        <w:tc>
          <w:tcPr>
            <w:tcW w:w="99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rsidP="006757E8">
            <w:pPr>
              <w:pStyle w:val="Tabletext"/>
              <w:rPr>
                <w:rFonts w:eastAsia="Calibri"/>
              </w:rPr>
            </w:pPr>
            <w:r w:rsidRPr="00427EE1">
              <w:rPr>
                <w:rFonts w:eastAsia="Calibri"/>
              </w:rPr>
              <w:t>701</w:t>
            </w:r>
          </w:p>
        </w:tc>
        <w:tc>
          <w:tcPr>
            <w:tcW w:w="931"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rsidP="006757E8">
            <w:pPr>
              <w:pStyle w:val="Tabletext"/>
              <w:rPr>
                <w:rFonts w:eastAsia="Calibri"/>
                <w:lang w:eastAsia="en-US"/>
              </w:rPr>
            </w:pPr>
            <w:r w:rsidRPr="00427EE1">
              <w:rPr>
                <w:rFonts w:eastAsia="Calibri"/>
                <w:lang w:eastAsia="en-US"/>
              </w:rPr>
              <w:t>134</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975337" w:rsidRPr="00427EE1" w:rsidRDefault="00975337" w:rsidP="006757E8">
            <w:pPr>
              <w:pStyle w:val="Tabletext"/>
              <w:rPr>
                <w:rFonts w:eastAsia="Calibri"/>
                <w:b/>
                <w:lang w:eastAsia="en-US"/>
              </w:rPr>
            </w:pPr>
            <w:r w:rsidRPr="00427EE1">
              <w:rPr>
                <w:rFonts w:eastAsia="Calibri"/>
                <w:b/>
                <w:lang w:eastAsia="en-US"/>
              </w:rPr>
              <w:t>Definition of owner</w:t>
            </w:r>
          </w:p>
          <w:p w:rsidR="00975337" w:rsidRPr="00427EE1" w:rsidRDefault="002E244C" w:rsidP="005E2285">
            <w:pPr>
              <w:pStyle w:val="Tabletext"/>
              <w:rPr>
                <w:rFonts w:eastAsia="Calibri"/>
                <w:lang w:eastAsia="en-US"/>
              </w:rPr>
            </w:pPr>
            <w:r>
              <w:rPr>
                <w:rFonts w:eastAsia="Calibri"/>
                <w:lang w:eastAsia="en-US"/>
              </w:rPr>
              <w:t xml:space="preserve">Defines </w:t>
            </w:r>
            <w:r w:rsidR="005E2285">
              <w:rPr>
                <w:rFonts w:eastAsia="Calibri"/>
                <w:lang w:eastAsia="en-US"/>
              </w:rPr>
              <w:t>'</w:t>
            </w:r>
            <w:r w:rsidR="00975337" w:rsidRPr="00427EE1">
              <w:rPr>
                <w:rFonts w:eastAsia="Calibri"/>
                <w:lang w:eastAsia="en-US"/>
              </w:rPr>
              <w:t>owner</w:t>
            </w:r>
            <w:r w:rsidR="005E2285">
              <w:rPr>
                <w:rFonts w:eastAsia="Calibri"/>
                <w:lang w:eastAsia="en-US"/>
              </w:rPr>
              <w:t>'</w:t>
            </w:r>
            <w:r w:rsidR="00975337" w:rsidRPr="00427EE1">
              <w:rPr>
                <w:rFonts w:eastAsia="Calibri"/>
                <w:lang w:eastAsia="en-US"/>
              </w:rPr>
              <w:t xml:space="preserve"> in relation to a swimming pool and/or spa</w:t>
            </w:r>
            <w:r w:rsidR="005719C2">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rsidP="006757E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reduces inconsistency in interpretation. The owner of a swimming pool and/or spa is best placed to manage the risks associated with the use of those structures</w:t>
            </w:r>
            <w:r w:rsidR="00995450">
              <w:rPr>
                <w:rFonts w:eastAsia="Calibri"/>
              </w:rPr>
              <w:t>.</w:t>
            </w:r>
          </w:p>
        </w:tc>
      </w:tr>
      <w:tr w:rsidR="00975337" w:rsidRPr="00427EE1" w:rsidTr="006119D2">
        <w:trPr>
          <w:cantSplit/>
          <w:trHeight w:val="340"/>
        </w:trPr>
        <w:tc>
          <w:tcPr>
            <w:tcW w:w="99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rsidP="006757E8">
            <w:pPr>
              <w:pStyle w:val="Tabletext"/>
              <w:rPr>
                <w:rFonts w:eastAsia="Calibri"/>
              </w:rPr>
            </w:pPr>
            <w:r w:rsidRPr="00427EE1">
              <w:rPr>
                <w:rFonts w:eastAsia="Calibri"/>
              </w:rPr>
              <w:lastRenderedPageBreak/>
              <w:t>702</w:t>
            </w:r>
          </w:p>
        </w:tc>
        <w:tc>
          <w:tcPr>
            <w:tcW w:w="931"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rsidP="006757E8">
            <w:pPr>
              <w:pStyle w:val="Tabletext"/>
              <w:rPr>
                <w:rFonts w:eastAsia="Calibri"/>
                <w:lang w:eastAsia="en-US"/>
              </w:rPr>
            </w:pPr>
            <w:r w:rsidRPr="00427EE1">
              <w:rPr>
                <w:rFonts w:eastAsia="Calibri"/>
                <w:lang w:eastAsia="en-US"/>
              </w:rPr>
              <w:t>135</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975337" w:rsidRPr="00427EE1" w:rsidRDefault="00975337" w:rsidP="006757E8">
            <w:pPr>
              <w:pStyle w:val="Tabletext"/>
              <w:rPr>
                <w:rFonts w:eastAsia="Calibri"/>
                <w:b/>
                <w:lang w:eastAsia="en-US"/>
              </w:rPr>
            </w:pPr>
            <w:r w:rsidRPr="00427EE1">
              <w:rPr>
                <w:rFonts w:eastAsia="Calibri"/>
                <w:b/>
                <w:lang w:eastAsia="en-US"/>
              </w:rPr>
              <w:t xml:space="preserve">Application and revocation of this </w:t>
            </w:r>
            <w:r w:rsidR="00EF2008">
              <w:rPr>
                <w:rFonts w:eastAsia="Calibri"/>
                <w:b/>
                <w:lang w:eastAsia="en-US"/>
              </w:rPr>
              <w:t>d</w:t>
            </w:r>
            <w:r w:rsidRPr="00427EE1">
              <w:rPr>
                <w:rFonts w:eastAsia="Calibri"/>
                <w:b/>
                <w:lang w:eastAsia="en-US"/>
              </w:rPr>
              <w:t>ivision</w:t>
            </w:r>
          </w:p>
          <w:p w:rsidR="00975337" w:rsidRPr="00427EE1" w:rsidRDefault="003D75DD" w:rsidP="006757E8">
            <w:pPr>
              <w:pStyle w:val="Tabletext"/>
              <w:rPr>
                <w:rFonts w:eastAsia="Calibri"/>
                <w:lang w:eastAsia="en-US"/>
              </w:rPr>
            </w:pPr>
            <w:r>
              <w:rPr>
                <w:rFonts w:eastAsia="Calibri"/>
                <w:lang w:eastAsia="en-US"/>
              </w:rPr>
              <w:t xml:space="preserve">Specifies </w:t>
            </w:r>
            <w:r w:rsidR="00975337" w:rsidRPr="00427EE1">
              <w:rPr>
                <w:rFonts w:eastAsia="Calibri"/>
                <w:lang w:eastAsia="en-US"/>
              </w:rPr>
              <w:t xml:space="preserve">which swimming pools and spas are required to comply with </w:t>
            </w:r>
            <w:proofErr w:type="spellStart"/>
            <w:r w:rsidR="00EF2008">
              <w:rPr>
                <w:rFonts w:eastAsia="Calibri"/>
                <w:lang w:eastAsia="en-US"/>
              </w:rPr>
              <w:t>Div</w:t>
            </w:r>
            <w:proofErr w:type="spellEnd"/>
            <w:r w:rsidR="00975337" w:rsidRPr="00427EE1">
              <w:rPr>
                <w:rFonts w:eastAsia="Calibri"/>
                <w:lang w:eastAsia="en-US"/>
              </w:rPr>
              <w:t xml:space="preserve"> 1 of the proposed Regulations</w:t>
            </w:r>
            <w:r w:rsidR="009B17A5">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pStyle w:val="Tabletext"/>
              <w:rPr>
                <w:rFonts w:eastAsia="Calibri"/>
              </w:rPr>
            </w:pPr>
            <w:r w:rsidRPr="00427EE1">
              <w:rPr>
                <w:rFonts w:eastAsia="Calibri"/>
                <w:lang w:eastAsia="en-US"/>
              </w:rPr>
              <w:t xml:space="preserve">This </w:t>
            </w:r>
            <w:r w:rsidR="000273F9">
              <w:rPr>
                <w:rFonts w:eastAsia="Calibri"/>
                <w:lang w:eastAsia="en-US"/>
              </w:rPr>
              <w:t>Regulation</w:t>
            </w:r>
            <w:r w:rsidR="00E60957">
              <w:rPr>
                <w:rFonts w:eastAsia="Calibri"/>
                <w:lang w:eastAsia="en-US"/>
              </w:rPr>
              <w:t xml:space="preserve"> </w:t>
            </w:r>
            <w:r w:rsidRPr="00427EE1">
              <w:rPr>
                <w:rFonts w:eastAsia="Calibri"/>
              </w:rPr>
              <w:t xml:space="preserve">is required to revoke the current </w:t>
            </w:r>
            <w:r w:rsidR="008911CB">
              <w:rPr>
                <w:rFonts w:eastAsia="Calibri"/>
              </w:rPr>
              <w:t>Regulations</w:t>
            </w:r>
            <w:r w:rsidRPr="00427EE1">
              <w:rPr>
                <w:rFonts w:eastAsia="Calibri"/>
              </w:rPr>
              <w:t xml:space="preserve"> to enable </w:t>
            </w:r>
            <w:r w:rsidR="008911CB">
              <w:rPr>
                <w:rFonts w:eastAsia="Calibri"/>
              </w:rPr>
              <w:t>proposed Regulations</w:t>
            </w:r>
            <w:r w:rsidRPr="00427EE1">
              <w:rPr>
                <w:rFonts w:eastAsia="Calibri"/>
              </w:rPr>
              <w:t xml:space="preserve"> 139–141 to come into effect in 2020. </w:t>
            </w:r>
          </w:p>
        </w:tc>
      </w:tr>
      <w:tr w:rsidR="00975337" w:rsidRPr="00427EE1" w:rsidTr="006119D2">
        <w:trPr>
          <w:cantSplit/>
          <w:trHeight w:val="340"/>
        </w:trPr>
        <w:tc>
          <w:tcPr>
            <w:tcW w:w="99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rsidP="006757E8">
            <w:pPr>
              <w:pStyle w:val="Tabletext"/>
              <w:rPr>
                <w:rFonts w:eastAsia="Calibri"/>
              </w:rPr>
            </w:pPr>
            <w:r w:rsidRPr="00427EE1">
              <w:rPr>
                <w:rFonts w:eastAsia="Calibri"/>
              </w:rPr>
              <w:t>703</w:t>
            </w:r>
          </w:p>
        </w:tc>
        <w:tc>
          <w:tcPr>
            <w:tcW w:w="931"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rsidP="006757E8">
            <w:pPr>
              <w:pStyle w:val="Tabletext"/>
              <w:rPr>
                <w:rFonts w:eastAsia="Calibri"/>
                <w:lang w:eastAsia="en-US"/>
              </w:rPr>
            </w:pPr>
            <w:r w:rsidRPr="00427EE1">
              <w:rPr>
                <w:rFonts w:eastAsia="Calibri"/>
                <w:lang w:eastAsia="en-US"/>
              </w:rPr>
              <w:t>136</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975337" w:rsidRPr="00427EE1" w:rsidRDefault="00975337" w:rsidP="006757E8">
            <w:pPr>
              <w:pStyle w:val="Tabletext"/>
              <w:rPr>
                <w:rFonts w:eastAsia="Calibri"/>
                <w:b/>
                <w:lang w:eastAsia="en-US"/>
              </w:rPr>
            </w:pPr>
            <w:r w:rsidRPr="00427EE1">
              <w:rPr>
                <w:rFonts w:eastAsia="Calibri"/>
                <w:b/>
                <w:lang w:eastAsia="en-US"/>
              </w:rPr>
              <w:t>Requirement for barriers</w:t>
            </w:r>
          </w:p>
          <w:p w:rsidR="00975337" w:rsidRPr="00427EE1" w:rsidRDefault="002E244C" w:rsidP="006757E8">
            <w:pPr>
              <w:pStyle w:val="Tabletext"/>
              <w:rPr>
                <w:rFonts w:eastAsia="Calibri"/>
                <w:lang w:eastAsia="en-US"/>
              </w:rPr>
            </w:pPr>
            <w:r>
              <w:rPr>
                <w:rFonts w:eastAsia="Calibri"/>
                <w:lang w:eastAsia="en-US"/>
              </w:rPr>
              <w:t xml:space="preserve">Requires </w:t>
            </w:r>
            <w:r w:rsidR="00975337" w:rsidRPr="00427EE1">
              <w:rPr>
                <w:rFonts w:eastAsia="Calibri"/>
                <w:lang w:eastAsia="en-US"/>
              </w:rPr>
              <w:t>specific safety barriers and gates for a swimming pool and/or spa</w:t>
            </w:r>
            <w:r w:rsidR="009B17A5">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975337" w:rsidRPr="00427EE1" w:rsidRDefault="00975337">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 xml:space="preserve">mitigates risks to health and safety by providing for a barrier to prevent a child from being able to access the pool area. </w:t>
            </w:r>
          </w:p>
        </w:tc>
      </w:tr>
      <w:tr w:rsidR="00975337" w:rsidRPr="00427EE1" w:rsidTr="006119D2">
        <w:trPr>
          <w:cantSplit/>
          <w:trHeight w:val="340"/>
        </w:trPr>
        <w:tc>
          <w:tcPr>
            <w:tcW w:w="99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rsidP="006757E8">
            <w:pPr>
              <w:pStyle w:val="Tabletext"/>
              <w:rPr>
                <w:rFonts w:eastAsia="Calibri"/>
              </w:rPr>
            </w:pPr>
            <w:r w:rsidRPr="00427EE1">
              <w:rPr>
                <w:rFonts w:eastAsia="Calibri"/>
              </w:rPr>
              <w:t>704</w:t>
            </w:r>
          </w:p>
        </w:tc>
        <w:tc>
          <w:tcPr>
            <w:tcW w:w="931"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rsidP="006757E8">
            <w:pPr>
              <w:pStyle w:val="Tabletext"/>
              <w:rPr>
                <w:rFonts w:eastAsia="Calibri"/>
                <w:lang w:eastAsia="en-US"/>
              </w:rPr>
            </w:pPr>
            <w:r w:rsidRPr="00427EE1">
              <w:rPr>
                <w:rFonts w:eastAsia="Calibri"/>
                <w:lang w:eastAsia="en-US"/>
              </w:rPr>
              <w:t>137</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975337" w:rsidRPr="00427EE1" w:rsidRDefault="00975337" w:rsidP="006757E8">
            <w:pPr>
              <w:pStyle w:val="Tabletext"/>
              <w:rPr>
                <w:rFonts w:eastAsia="Calibri"/>
                <w:b/>
                <w:lang w:eastAsia="en-US"/>
              </w:rPr>
            </w:pPr>
            <w:r w:rsidRPr="00427EE1">
              <w:rPr>
                <w:rFonts w:eastAsia="Calibri"/>
                <w:b/>
                <w:lang w:eastAsia="en-US"/>
              </w:rPr>
              <w:t>Requirements for doors or gates</w:t>
            </w:r>
          </w:p>
          <w:p w:rsidR="00975337" w:rsidRPr="00427EE1" w:rsidRDefault="002E244C" w:rsidP="006757E8">
            <w:pPr>
              <w:pStyle w:val="Tabletext"/>
              <w:rPr>
                <w:rFonts w:eastAsia="Calibri"/>
                <w:lang w:eastAsia="en-US"/>
              </w:rPr>
            </w:pPr>
            <w:r>
              <w:rPr>
                <w:rFonts w:eastAsia="Calibri"/>
                <w:lang w:eastAsia="en-US"/>
              </w:rPr>
              <w:t xml:space="preserve">Requires </w:t>
            </w:r>
            <w:r w:rsidR="00975337" w:rsidRPr="00427EE1">
              <w:rPr>
                <w:rFonts w:eastAsia="Calibri"/>
                <w:lang w:eastAsia="en-US"/>
              </w:rPr>
              <w:t>all doors and gates, which form part of a swimming pool and/or spa safety barrier, must be self-closing</w:t>
            </w:r>
            <w:r w:rsidR="009B17A5">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975337" w:rsidRPr="00427EE1" w:rsidRDefault="00975337">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mitigates risks to health and safety by preventing a door or gate from being left open by accident, if left open a child will be able to access the pool area.</w:t>
            </w:r>
          </w:p>
        </w:tc>
      </w:tr>
      <w:tr w:rsidR="00975337" w:rsidRPr="00427EE1" w:rsidTr="006119D2">
        <w:trPr>
          <w:cantSplit/>
          <w:trHeight w:val="340"/>
        </w:trPr>
        <w:tc>
          <w:tcPr>
            <w:tcW w:w="99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rsidP="006757E8">
            <w:pPr>
              <w:pStyle w:val="Tabletext"/>
              <w:rPr>
                <w:rFonts w:eastAsia="Calibri"/>
              </w:rPr>
            </w:pPr>
            <w:r w:rsidRPr="00427EE1">
              <w:rPr>
                <w:rFonts w:eastAsia="Calibri"/>
              </w:rPr>
              <w:t>705</w:t>
            </w:r>
          </w:p>
        </w:tc>
        <w:tc>
          <w:tcPr>
            <w:tcW w:w="931"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rsidP="006757E8">
            <w:pPr>
              <w:pStyle w:val="Tabletext"/>
              <w:rPr>
                <w:rFonts w:eastAsia="Calibri"/>
                <w:lang w:eastAsia="en-US"/>
              </w:rPr>
            </w:pPr>
            <w:r w:rsidRPr="00427EE1">
              <w:rPr>
                <w:rFonts w:eastAsia="Calibri"/>
                <w:lang w:eastAsia="en-US"/>
              </w:rPr>
              <w:t>138</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975337" w:rsidRPr="00427EE1" w:rsidRDefault="00975337" w:rsidP="006757E8">
            <w:pPr>
              <w:pStyle w:val="Tabletext"/>
              <w:rPr>
                <w:rFonts w:eastAsia="Calibri"/>
                <w:b/>
                <w:lang w:eastAsia="en-US"/>
              </w:rPr>
            </w:pPr>
            <w:r w:rsidRPr="00427EE1">
              <w:rPr>
                <w:rFonts w:eastAsia="Calibri"/>
                <w:b/>
                <w:lang w:eastAsia="en-US"/>
              </w:rPr>
              <w:t>Requirements for windows in walls used as barriers</w:t>
            </w:r>
          </w:p>
          <w:p w:rsidR="00975337" w:rsidRPr="00427EE1" w:rsidRDefault="002E244C" w:rsidP="006757E8">
            <w:pPr>
              <w:pStyle w:val="Tabletext"/>
              <w:rPr>
                <w:rFonts w:eastAsia="Calibri"/>
                <w:lang w:eastAsia="en-US"/>
              </w:rPr>
            </w:pPr>
            <w:r>
              <w:rPr>
                <w:rFonts w:eastAsia="Calibri"/>
                <w:lang w:eastAsia="en-US"/>
              </w:rPr>
              <w:t xml:space="preserve">Establishes </w:t>
            </w:r>
            <w:r w:rsidR="00975337" w:rsidRPr="00427EE1">
              <w:rPr>
                <w:rFonts w:eastAsia="Calibri"/>
                <w:lang w:eastAsia="en-US"/>
              </w:rPr>
              <w:t>the requirements for windows in walls which form part of a safety barrier</w:t>
            </w:r>
            <w:r w:rsidR="009B17A5">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975337" w:rsidRPr="00427EE1" w:rsidRDefault="00975337">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mitigates risks to public health and safety by requiring additional safety features to be installed on windows, which a child could climb through to access the pool area.</w:t>
            </w:r>
          </w:p>
        </w:tc>
      </w:tr>
    </w:tbl>
    <w:p w:rsidR="00AC4E58" w:rsidRPr="00427EE1" w:rsidRDefault="00AC4E58" w:rsidP="006757E8"/>
    <w:p w:rsidR="00B751DE" w:rsidRPr="00427EE1" w:rsidRDefault="00EF2008" w:rsidP="006119D2">
      <w:pPr>
        <w:pStyle w:val="Heading4"/>
      </w:pPr>
      <w:proofErr w:type="spellStart"/>
      <w:r>
        <w:t>Div</w:t>
      </w:r>
      <w:proofErr w:type="spellEnd"/>
      <w:r w:rsidR="00B751DE" w:rsidRPr="00427EE1">
        <w:t xml:space="preserve"> 2</w:t>
      </w:r>
      <w:r w:rsidR="008475D9">
        <w:t>—</w:t>
      </w:r>
      <w:r w:rsidR="00B751DE" w:rsidRPr="00427EE1">
        <w:t>Requirements for barriers for swimming pools and spas from 1 October 2020</w:t>
      </w:r>
    </w:p>
    <w:tbl>
      <w:tblPr>
        <w:tblW w:w="14507" w:type="dxa"/>
        <w:tblInd w:w="-130"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1008"/>
        <w:gridCol w:w="931"/>
        <w:gridCol w:w="4243"/>
        <w:gridCol w:w="399"/>
        <w:gridCol w:w="399"/>
        <w:gridCol w:w="402"/>
        <w:gridCol w:w="400"/>
        <w:gridCol w:w="398"/>
        <w:gridCol w:w="6327"/>
      </w:tblGrid>
      <w:tr w:rsidR="00CC3C64" w:rsidRPr="00427EE1" w:rsidTr="006119D2">
        <w:trPr>
          <w:cantSplit/>
          <w:trHeight w:val="145"/>
          <w:tblHeader/>
        </w:trPr>
        <w:tc>
          <w:tcPr>
            <w:tcW w:w="1008" w:type="dxa"/>
            <w:vMerge w:val="restart"/>
            <w:shd w:val="clear" w:color="auto" w:fill="00B2A9" w:themeFill="accent1"/>
            <w:vAlign w:val="center"/>
            <w:hideMark/>
          </w:tcPr>
          <w:p w:rsidR="00CC3C64" w:rsidRDefault="00CC3C64">
            <w:pPr>
              <w:pStyle w:val="Tablecolumnhead"/>
              <w:rPr>
                <w:rFonts w:asciiTheme="majorHAnsi" w:eastAsia="Calibri" w:hAnsiTheme="majorHAnsi" w:cstheme="majorBidi"/>
                <w:sz w:val="40"/>
              </w:rPr>
            </w:pPr>
            <w:r w:rsidRPr="00BE72D7">
              <w:rPr>
                <w:rFonts w:eastAsia="Calibri"/>
              </w:rPr>
              <w:t>2006</w:t>
            </w:r>
          </w:p>
          <w:p w:rsidR="00CC3C64" w:rsidRPr="00F21B23" w:rsidRDefault="00CC3C64">
            <w:pPr>
              <w:pStyle w:val="Tablecolumnhead"/>
              <w:rPr>
                <w:rFonts w:eastAsia="Calibri"/>
              </w:rPr>
            </w:pPr>
            <w:r w:rsidRPr="00C44680">
              <w:rPr>
                <w:rFonts w:ascii="Arial Bold" w:eastAsia="Calibri" w:hAnsi="Arial Bold"/>
                <w:spacing w:val="-12"/>
                <w:sz w:val="16"/>
              </w:rPr>
              <w:t>Regulation</w:t>
            </w:r>
          </w:p>
        </w:tc>
        <w:tc>
          <w:tcPr>
            <w:tcW w:w="931" w:type="dxa"/>
            <w:vMerge w:val="restart"/>
            <w:shd w:val="clear" w:color="auto" w:fill="00B2A9" w:themeFill="accent1"/>
            <w:vAlign w:val="center"/>
            <w:hideMark/>
          </w:tcPr>
          <w:p w:rsidR="00CC3C64" w:rsidRDefault="00CC3C64">
            <w:pPr>
              <w:pStyle w:val="Tablecolumnhead"/>
              <w:rPr>
                <w:rFonts w:asciiTheme="majorHAnsi" w:eastAsiaTheme="majorEastAsia" w:hAnsiTheme="majorHAnsi" w:cstheme="majorBidi"/>
                <w:sz w:val="40"/>
              </w:rPr>
            </w:pPr>
            <w:r w:rsidRPr="008F0E53">
              <w:rPr>
                <w:rFonts w:eastAsia="Calibri"/>
              </w:rPr>
              <w:t>2017</w:t>
            </w:r>
          </w:p>
          <w:p w:rsidR="00CC3C64" w:rsidRPr="00F21B23" w:rsidRDefault="00CC3C64">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CC3C64" w:rsidRPr="00F21B23" w:rsidRDefault="00CC3C64">
            <w:pPr>
              <w:pStyle w:val="Tablecolumnhead"/>
              <w:rPr>
                <w:rFonts w:eastAsia="Calibri"/>
              </w:rPr>
            </w:pPr>
            <w:r w:rsidRPr="00F21B23">
              <w:t xml:space="preserve">Short description of the </w:t>
            </w:r>
            <w:r>
              <w:t>Regulation</w:t>
            </w:r>
          </w:p>
        </w:tc>
        <w:tc>
          <w:tcPr>
            <w:tcW w:w="1998" w:type="dxa"/>
            <w:gridSpan w:val="5"/>
            <w:shd w:val="clear" w:color="auto" w:fill="00B2A9" w:themeFill="accent1"/>
            <w:vAlign w:val="center"/>
          </w:tcPr>
          <w:p w:rsidR="00CC3C64" w:rsidRPr="00F21B23" w:rsidRDefault="00CC3C64">
            <w:pPr>
              <w:pStyle w:val="Tablecolumnhead"/>
            </w:pPr>
            <w:r w:rsidRPr="00F21B23">
              <w:t>Proposed regulatory change</w:t>
            </w:r>
          </w:p>
        </w:tc>
        <w:tc>
          <w:tcPr>
            <w:tcW w:w="6327" w:type="dxa"/>
            <w:vMerge w:val="restart"/>
            <w:shd w:val="clear" w:color="auto" w:fill="00B2A9" w:themeFill="accent1"/>
            <w:vAlign w:val="center"/>
          </w:tcPr>
          <w:p w:rsidR="00CC3C64" w:rsidRPr="00F21B23" w:rsidRDefault="00CC3C64">
            <w:pPr>
              <w:pStyle w:val="Tablecolumnhead"/>
            </w:pPr>
            <w:r w:rsidRPr="00F21B23">
              <w:t>Why the 2017 Regulation is proposed</w:t>
            </w:r>
          </w:p>
        </w:tc>
      </w:tr>
      <w:tr w:rsidR="00B751DE" w:rsidRPr="00427EE1" w:rsidTr="006119D2">
        <w:trPr>
          <w:cantSplit/>
          <w:trHeight w:val="966"/>
          <w:tblHeader/>
        </w:trPr>
        <w:tc>
          <w:tcPr>
            <w:tcW w:w="1008"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931"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975337" w:rsidRPr="00427EE1" w:rsidTr="006119D2">
        <w:trPr>
          <w:cantSplit/>
          <w:trHeight w:val="340"/>
        </w:trPr>
        <w:tc>
          <w:tcPr>
            <w:tcW w:w="100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rsidP="006757E8">
            <w:pPr>
              <w:pStyle w:val="Tabletext"/>
              <w:rPr>
                <w:rFonts w:eastAsia="Calibri"/>
              </w:rPr>
            </w:pPr>
            <w:r w:rsidRPr="00427EE1">
              <w:rPr>
                <w:rFonts w:eastAsia="Calibri"/>
              </w:rPr>
              <w:t>701</w:t>
            </w:r>
          </w:p>
        </w:tc>
        <w:tc>
          <w:tcPr>
            <w:tcW w:w="931"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rsidP="006757E8">
            <w:pPr>
              <w:pStyle w:val="Tabletext"/>
              <w:rPr>
                <w:rFonts w:eastAsia="Calibri"/>
                <w:lang w:eastAsia="en-US"/>
              </w:rPr>
            </w:pPr>
            <w:r w:rsidRPr="00427EE1">
              <w:rPr>
                <w:rFonts w:eastAsia="Calibri"/>
                <w:lang w:eastAsia="en-US"/>
              </w:rPr>
              <w:t>139</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975337" w:rsidRPr="00427EE1" w:rsidRDefault="00975337" w:rsidP="006757E8">
            <w:pPr>
              <w:pStyle w:val="Tabletext"/>
              <w:rPr>
                <w:rFonts w:eastAsia="Calibri"/>
                <w:b/>
                <w:lang w:eastAsia="en-US"/>
              </w:rPr>
            </w:pPr>
            <w:r w:rsidRPr="00427EE1">
              <w:rPr>
                <w:rFonts w:eastAsia="Calibri"/>
                <w:b/>
                <w:lang w:eastAsia="en-US"/>
              </w:rPr>
              <w:t>Definition of owner</w:t>
            </w:r>
          </w:p>
          <w:p w:rsidR="00975337" w:rsidRPr="00427EE1" w:rsidRDefault="002E244C" w:rsidP="005E2285">
            <w:pPr>
              <w:pStyle w:val="Tabletext"/>
              <w:rPr>
                <w:rFonts w:eastAsia="Calibri"/>
                <w:lang w:eastAsia="en-US"/>
              </w:rPr>
            </w:pPr>
            <w:r>
              <w:rPr>
                <w:rFonts w:eastAsia="Calibri"/>
                <w:lang w:eastAsia="en-US"/>
              </w:rPr>
              <w:t xml:space="preserve">Defines </w:t>
            </w:r>
            <w:r w:rsidR="005E2285">
              <w:rPr>
                <w:rFonts w:eastAsia="Calibri"/>
                <w:lang w:eastAsia="en-US"/>
              </w:rPr>
              <w:t>'</w:t>
            </w:r>
            <w:r w:rsidR="00975337" w:rsidRPr="00427EE1">
              <w:rPr>
                <w:rFonts w:eastAsia="Calibri"/>
                <w:lang w:eastAsia="en-US"/>
              </w:rPr>
              <w:t>owner</w:t>
            </w:r>
            <w:r w:rsidR="00F717BE">
              <w:rPr>
                <w:rFonts w:eastAsia="Calibri"/>
                <w:lang w:eastAsia="en-US"/>
              </w:rPr>
              <w:t xml:space="preserve">' </w:t>
            </w:r>
            <w:r w:rsidR="00975337" w:rsidRPr="00427EE1">
              <w:rPr>
                <w:rFonts w:eastAsia="Calibri"/>
                <w:lang w:eastAsia="en-US"/>
              </w:rPr>
              <w:t>in relation to a swimming pool and/or spa</w:t>
            </w:r>
            <w:r w:rsidR="00995450">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rsidP="006757E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promotes consistency in interpretation. The owner of a swimming pool and/or spa is best placed to manage the risks associated with the use of those structures</w:t>
            </w:r>
            <w:r w:rsidR="00995450">
              <w:rPr>
                <w:rFonts w:eastAsia="Calibri"/>
              </w:rPr>
              <w:t>.</w:t>
            </w:r>
          </w:p>
        </w:tc>
      </w:tr>
      <w:tr w:rsidR="00975337" w:rsidRPr="00427EE1" w:rsidTr="006119D2">
        <w:trPr>
          <w:cantSplit/>
          <w:trHeight w:val="340"/>
        </w:trPr>
        <w:tc>
          <w:tcPr>
            <w:tcW w:w="100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rsidP="006757E8">
            <w:pPr>
              <w:pStyle w:val="Tabletext"/>
              <w:rPr>
                <w:rFonts w:eastAsia="Calibri"/>
              </w:rPr>
            </w:pPr>
            <w:r w:rsidRPr="00427EE1">
              <w:rPr>
                <w:rFonts w:eastAsia="Calibri"/>
              </w:rPr>
              <w:lastRenderedPageBreak/>
              <w:t>n/a</w:t>
            </w:r>
          </w:p>
        </w:tc>
        <w:tc>
          <w:tcPr>
            <w:tcW w:w="931"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rsidP="006757E8">
            <w:pPr>
              <w:pStyle w:val="Tabletext"/>
              <w:rPr>
                <w:rFonts w:eastAsia="Calibri"/>
                <w:lang w:eastAsia="en-US"/>
              </w:rPr>
            </w:pPr>
            <w:r w:rsidRPr="00427EE1">
              <w:rPr>
                <w:rFonts w:eastAsia="Calibri"/>
                <w:lang w:eastAsia="en-US"/>
              </w:rPr>
              <w:t>NEW</w:t>
            </w:r>
          </w:p>
          <w:p w:rsidR="00975337" w:rsidRPr="00427EE1" w:rsidRDefault="00975337" w:rsidP="006757E8">
            <w:pPr>
              <w:pStyle w:val="Tabletext"/>
              <w:rPr>
                <w:rFonts w:eastAsia="Calibri"/>
                <w:lang w:eastAsia="en-US"/>
              </w:rPr>
            </w:pPr>
            <w:r w:rsidRPr="00427EE1">
              <w:rPr>
                <w:rFonts w:eastAsia="Calibri"/>
                <w:lang w:eastAsia="en-US"/>
              </w:rPr>
              <w:t>140</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975337" w:rsidRPr="00427EE1" w:rsidRDefault="00975337" w:rsidP="006757E8">
            <w:pPr>
              <w:pStyle w:val="Tabletext"/>
              <w:rPr>
                <w:rFonts w:eastAsia="Calibri"/>
                <w:b/>
                <w:lang w:eastAsia="en-US"/>
              </w:rPr>
            </w:pPr>
            <w:r w:rsidRPr="00427EE1">
              <w:rPr>
                <w:rFonts w:eastAsia="Calibri"/>
                <w:b/>
                <w:lang w:eastAsia="en-US"/>
              </w:rPr>
              <w:t xml:space="preserve">Application of this </w:t>
            </w:r>
            <w:r w:rsidR="00EF2008">
              <w:rPr>
                <w:rFonts w:eastAsia="Calibri"/>
                <w:b/>
                <w:lang w:eastAsia="en-US"/>
              </w:rPr>
              <w:t>d</w:t>
            </w:r>
            <w:r w:rsidRPr="00427EE1">
              <w:rPr>
                <w:rFonts w:eastAsia="Calibri"/>
                <w:b/>
                <w:lang w:eastAsia="en-US"/>
              </w:rPr>
              <w:t>ivision</w:t>
            </w:r>
          </w:p>
          <w:p w:rsidR="00975337" w:rsidRPr="00427EE1" w:rsidRDefault="003D75DD" w:rsidP="00EF2008">
            <w:pPr>
              <w:pStyle w:val="Tabletext"/>
              <w:rPr>
                <w:rFonts w:eastAsia="Calibri"/>
                <w:lang w:eastAsia="en-US"/>
              </w:rPr>
            </w:pPr>
            <w:r>
              <w:rPr>
                <w:rFonts w:eastAsia="Calibri"/>
                <w:lang w:eastAsia="en-US"/>
              </w:rPr>
              <w:t xml:space="preserve">Specifies </w:t>
            </w:r>
            <w:r w:rsidR="00975337" w:rsidRPr="00427EE1">
              <w:rPr>
                <w:rFonts w:eastAsia="Calibri"/>
                <w:lang w:eastAsia="en-US"/>
              </w:rPr>
              <w:t xml:space="preserve">which swimming pools and spas are required to comply with </w:t>
            </w:r>
            <w:r w:rsidR="00EF2008">
              <w:rPr>
                <w:rFonts w:eastAsia="Calibri"/>
                <w:lang w:eastAsia="en-US"/>
              </w:rPr>
              <w:t>div</w:t>
            </w:r>
            <w:r w:rsidR="00975337" w:rsidRPr="00427EE1">
              <w:rPr>
                <w:rFonts w:eastAsia="Calibri"/>
                <w:lang w:eastAsia="en-US"/>
              </w:rPr>
              <w:t xml:space="preserve"> 2 of the proposed Regulations</w:t>
            </w:r>
            <w:r w:rsidR="00995450">
              <w:rPr>
                <w:rFonts w:eastAsia="Calibri"/>
                <w:lang w:eastAsia="en-US"/>
              </w:rPr>
              <w:t>.</w:t>
            </w:r>
            <w:r w:rsidR="00EF2008">
              <w:rPr>
                <w:rFonts w:eastAsia="Calibri"/>
                <w:lang w:eastAsia="en-US"/>
              </w:rPr>
              <w:t xml:space="preserve">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pPr>
              <w:pStyle w:val="Tabletext"/>
              <w:rPr>
                <w:rFonts w:eastAsia="Calibri"/>
              </w:rPr>
            </w:pPr>
            <w:r w:rsidRPr="00427EE1">
              <w:rPr>
                <w:rFonts w:eastAsia="Calibri"/>
              </w:rPr>
              <w:t xml:space="preserve">Refer also to proposed </w:t>
            </w:r>
            <w:proofErr w:type="spellStart"/>
            <w:r w:rsidR="003902AD">
              <w:rPr>
                <w:rFonts w:eastAsia="Calibri"/>
              </w:rPr>
              <w:t>reg</w:t>
            </w:r>
            <w:proofErr w:type="spellEnd"/>
            <w:r w:rsidR="003902AD">
              <w:rPr>
                <w:rFonts w:eastAsia="Calibri"/>
              </w:rPr>
              <w:t xml:space="preserve"> 1</w:t>
            </w:r>
            <w:r w:rsidRPr="00427EE1">
              <w:rPr>
                <w:rFonts w:eastAsia="Calibri"/>
              </w:rPr>
              <w:t xml:space="preserve">35. This </w:t>
            </w:r>
            <w:r w:rsidR="000273F9">
              <w:rPr>
                <w:rFonts w:eastAsia="Calibri"/>
              </w:rPr>
              <w:t>Regulation</w:t>
            </w:r>
            <w:r w:rsidRPr="00427EE1">
              <w:rPr>
                <w:rFonts w:eastAsia="Calibri"/>
              </w:rPr>
              <w:t xml:space="preserve"> will apply standards retrospectively to existing swimming pools and spas constructed </w:t>
            </w:r>
            <w:r w:rsidR="00D90FC3">
              <w:rPr>
                <w:rFonts w:eastAsia="Calibri"/>
              </w:rPr>
              <w:t>before</w:t>
            </w:r>
            <w:r w:rsidRPr="00427EE1">
              <w:rPr>
                <w:rFonts w:eastAsia="Calibri"/>
              </w:rPr>
              <w:t xml:space="preserve"> 1 May 2010, because they will not have a barrier that meets current safety standards.</w:t>
            </w:r>
          </w:p>
        </w:tc>
      </w:tr>
      <w:tr w:rsidR="00975337" w:rsidRPr="00427EE1" w:rsidTr="006119D2">
        <w:trPr>
          <w:cantSplit/>
          <w:trHeight w:val="340"/>
        </w:trPr>
        <w:tc>
          <w:tcPr>
            <w:tcW w:w="100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rsidP="006757E8">
            <w:pPr>
              <w:pStyle w:val="Tabletext"/>
              <w:rPr>
                <w:rFonts w:eastAsia="Calibri"/>
              </w:rPr>
            </w:pPr>
            <w:r w:rsidRPr="00427EE1">
              <w:rPr>
                <w:rFonts w:eastAsia="Calibri"/>
              </w:rPr>
              <w:t>n/a</w:t>
            </w:r>
          </w:p>
        </w:tc>
        <w:tc>
          <w:tcPr>
            <w:tcW w:w="931"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rsidP="006757E8">
            <w:pPr>
              <w:pStyle w:val="Tabletext"/>
              <w:rPr>
                <w:rFonts w:eastAsia="Calibri"/>
                <w:lang w:eastAsia="en-US"/>
              </w:rPr>
            </w:pPr>
            <w:r w:rsidRPr="00427EE1">
              <w:rPr>
                <w:rFonts w:eastAsia="Calibri"/>
                <w:lang w:eastAsia="en-US"/>
              </w:rPr>
              <w:t>NEW</w:t>
            </w:r>
          </w:p>
          <w:p w:rsidR="00975337" w:rsidRPr="00427EE1" w:rsidRDefault="00975337" w:rsidP="006757E8">
            <w:pPr>
              <w:pStyle w:val="Tabletext"/>
              <w:rPr>
                <w:rFonts w:eastAsia="Calibri"/>
                <w:lang w:eastAsia="en-US"/>
              </w:rPr>
            </w:pPr>
            <w:r w:rsidRPr="00427EE1">
              <w:rPr>
                <w:rFonts w:eastAsia="Calibri"/>
                <w:lang w:eastAsia="en-US"/>
              </w:rPr>
              <w:t>141</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975337" w:rsidRPr="00427EE1" w:rsidRDefault="00975337" w:rsidP="006757E8">
            <w:pPr>
              <w:pStyle w:val="Tabletext"/>
              <w:rPr>
                <w:rFonts w:eastAsia="Calibri"/>
                <w:b/>
                <w:lang w:eastAsia="en-US"/>
              </w:rPr>
            </w:pPr>
            <w:r w:rsidRPr="00427EE1">
              <w:rPr>
                <w:rFonts w:eastAsia="Calibri"/>
                <w:b/>
                <w:lang w:eastAsia="en-US"/>
              </w:rPr>
              <w:t>Swimming pool and spa barriers</w:t>
            </w:r>
          </w:p>
          <w:p w:rsidR="00975337" w:rsidRPr="00427EE1" w:rsidRDefault="002E244C" w:rsidP="006757E8">
            <w:pPr>
              <w:pStyle w:val="Tabletext"/>
              <w:rPr>
                <w:rFonts w:eastAsia="Calibri"/>
                <w:lang w:eastAsia="en-US"/>
              </w:rPr>
            </w:pPr>
            <w:r>
              <w:rPr>
                <w:rFonts w:eastAsia="Calibri"/>
                <w:lang w:eastAsia="en-US"/>
              </w:rPr>
              <w:t xml:space="preserve">Requires </w:t>
            </w:r>
            <w:r w:rsidR="00975337" w:rsidRPr="00427EE1">
              <w:rPr>
                <w:rFonts w:eastAsia="Calibri"/>
                <w:lang w:eastAsia="en-US"/>
              </w:rPr>
              <w:t xml:space="preserve">safety barriers to be upgraded to the current standards, which currently apply to all new swimming pools and spas.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pPr>
              <w:pStyle w:val="Tabletext"/>
              <w:rPr>
                <w:rFonts w:eastAsia="Calibri"/>
              </w:rPr>
            </w:pPr>
            <w:r w:rsidRPr="00427EE1">
              <w:rPr>
                <w:rFonts w:eastAsia="Calibri"/>
              </w:rPr>
              <w:t xml:space="preserve">Refer also to proposed </w:t>
            </w:r>
            <w:proofErr w:type="spellStart"/>
            <w:r w:rsidR="003902AD">
              <w:rPr>
                <w:rFonts w:eastAsia="Calibri"/>
              </w:rPr>
              <w:t>reg</w:t>
            </w:r>
            <w:proofErr w:type="spellEnd"/>
            <w:r w:rsidR="003902AD">
              <w:rPr>
                <w:rFonts w:eastAsia="Calibri"/>
              </w:rPr>
              <w:t xml:space="preserve"> 1</w:t>
            </w:r>
            <w:r w:rsidRPr="00427EE1">
              <w:rPr>
                <w:rFonts w:eastAsia="Calibri"/>
              </w:rPr>
              <w:t xml:space="preserve">35. </w:t>
            </w: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mitigates risks to health and safety by requiring the upgrading of safety barriers to current standards, which is the installation of a four-sided isolation barrier around all existing swimming pools and/or spas</w:t>
            </w:r>
            <w:r w:rsidR="00995450">
              <w:rPr>
                <w:rFonts w:eastAsia="Calibri"/>
              </w:rPr>
              <w:t>.</w:t>
            </w:r>
          </w:p>
        </w:tc>
      </w:tr>
    </w:tbl>
    <w:p w:rsidR="00B751DE" w:rsidRPr="00427EE1" w:rsidRDefault="00B751DE" w:rsidP="006757E8">
      <w:pPr>
        <w:spacing w:line="276" w:lineRule="auto"/>
        <w:rPr>
          <w:rFonts w:ascii="Arial" w:hAnsi="Arial"/>
          <w:b/>
        </w:rPr>
      </w:pPr>
    </w:p>
    <w:p w:rsidR="00B751DE" w:rsidRPr="00427EE1" w:rsidRDefault="00EF2008" w:rsidP="006119D2">
      <w:pPr>
        <w:pStyle w:val="Heading4"/>
      </w:pPr>
      <w:proofErr w:type="spellStart"/>
      <w:r>
        <w:t>Div</w:t>
      </w:r>
      <w:proofErr w:type="spellEnd"/>
      <w:r w:rsidR="00B751DE" w:rsidRPr="00427EE1">
        <w:t xml:space="preserve"> 3</w:t>
      </w:r>
      <w:r w:rsidR="008475D9">
        <w:t>—</w:t>
      </w:r>
      <w:r w:rsidR="00B751DE" w:rsidRPr="00427EE1">
        <w:t>Maintenance and operation of barriers for swimming pools and spas</w:t>
      </w:r>
    </w:p>
    <w:tbl>
      <w:tblPr>
        <w:tblW w:w="14507" w:type="dxa"/>
        <w:tblInd w:w="-130"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94"/>
        <w:gridCol w:w="945"/>
        <w:gridCol w:w="4243"/>
        <w:gridCol w:w="399"/>
        <w:gridCol w:w="399"/>
        <w:gridCol w:w="402"/>
        <w:gridCol w:w="400"/>
        <w:gridCol w:w="398"/>
        <w:gridCol w:w="6327"/>
      </w:tblGrid>
      <w:tr w:rsidR="00CC3C64" w:rsidRPr="00427EE1" w:rsidTr="006119D2">
        <w:trPr>
          <w:cantSplit/>
          <w:trHeight w:val="71"/>
          <w:tblHeader/>
        </w:trPr>
        <w:tc>
          <w:tcPr>
            <w:tcW w:w="994" w:type="dxa"/>
            <w:vMerge w:val="restart"/>
            <w:shd w:val="clear" w:color="auto" w:fill="00B2A9" w:themeFill="accent1"/>
            <w:vAlign w:val="center"/>
            <w:hideMark/>
          </w:tcPr>
          <w:p w:rsidR="00CC3C64" w:rsidRDefault="00CC3C64">
            <w:pPr>
              <w:pStyle w:val="Tablecolumnhead"/>
              <w:rPr>
                <w:rFonts w:asciiTheme="majorHAnsi" w:eastAsia="Calibri" w:hAnsiTheme="majorHAnsi" w:cstheme="majorBidi"/>
                <w:sz w:val="40"/>
              </w:rPr>
            </w:pPr>
            <w:r w:rsidRPr="00BE72D7">
              <w:rPr>
                <w:rFonts w:eastAsia="Calibri"/>
              </w:rPr>
              <w:t>2006</w:t>
            </w:r>
          </w:p>
          <w:p w:rsidR="00CC3C64" w:rsidRPr="00F21B23" w:rsidRDefault="00CC3C64">
            <w:pPr>
              <w:pStyle w:val="Tablecolumnhead"/>
              <w:rPr>
                <w:rFonts w:eastAsia="Calibri"/>
              </w:rPr>
            </w:pPr>
            <w:r w:rsidRPr="00C44680">
              <w:rPr>
                <w:rFonts w:ascii="Arial Bold" w:eastAsia="Calibri" w:hAnsi="Arial Bold"/>
                <w:spacing w:val="-12"/>
                <w:sz w:val="16"/>
              </w:rPr>
              <w:t>Regulation</w:t>
            </w:r>
          </w:p>
        </w:tc>
        <w:tc>
          <w:tcPr>
            <w:tcW w:w="945" w:type="dxa"/>
            <w:vMerge w:val="restart"/>
            <w:shd w:val="clear" w:color="auto" w:fill="00B2A9" w:themeFill="accent1"/>
            <w:vAlign w:val="center"/>
            <w:hideMark/>
          </w:tcPr>
          <w:p w:rsidR="00CC3C64" w:rsidRDefault="00CC3C64">
            <w:pPr>
              <w:pStyle w:val="Tablecolumnhead"/>
              <w:rPr>
                <w:rFonts w:asciiTheme="majorHAnsi" w:eastAsiaTheme="majorEastAsia" w:hAnsiTheme="majorHAnsi" w:cstheme="majorBidi"/>
                <w:sz w:val="40"/>
              </w:rPr>
            </w:pPr>
            <w:r w:rsidRPr="008F0E53">
              <w:rPr>
                <w:rFonts w:eastAsia="Calibri"/>
              </w:rPr>
              <w:t>2017</w:t>
            </w:r>
          </w:p>
          <w:p w:rsidR="00CC3C64" w:rsidRPr="00F21B23" w:rsidRDefault="00CC3C64">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CC3C64" w:rsidRPr="00F21B23" w:rsidRDefault="00CC3C64">
            <w:pPr>
              <w:pStyle w:val="Tablecolumnhead"/>
              <w:rPr>
                <w:rFonts w:eastAsia="Calibri"/>
              </w:rPr>
            </w:pPr>
            <w:r w:rsidRPr="00F21B23">
              <w:rPr>
                <w:szCs w:val="22"/>
              </w:rPr>
              <w:t xml:space="preserve">Short description of the </w:t>
            </w:r>
            <w:r>
              <w:rPr>
                <w:szCs w:val="22"/>
              </w:rPr>
              <w:t>Regulation</w:t>
            </w:r>
          </w:p>
        </w:tc>
        <w:tc>
          <w:tcPr>
            <w:tcW w:w="1998" w:type="dxa"/>
            <w:gridSpan w:val="5"/>
            <w:shd w:val="clear" w:color="auto" w:fill="00B2A9" w:themeFill="accent1"/>
            <w:vAlign w:val="center"/>
          </w:tcPr>
          <w:p w:rsidR="00CC3C64" w:rsidRPr="00F21B23" w:rsidRDefault="00CC3C64">
            <w:pPr>
              <w:pStyle w:val="Tablecolumnhead"/>
            </w:pPr>
            <w:r w:rsidRPr="00F21B23">
              <w:rPr>
                <w:szCs w:val="22"/>
              </w:rPr>
              <w:t>Proposed regulatory change</w:t>
            </w:r>
          </w:p>
        </w:tc>
        <w:tc>
          <w:tcPr>
            <w:tcW w:w="6327" w:type="dxa"/>
            <w:vMerge w:val="restart"/>
            <w:shd w:val="clear" w:color="auto" w:fill="00B2A9" w:themeFill="accent1"/>
            <w:vAlign w:val="center"/>
          </w:tcPr>
          <w:p w:rsidR="00CC3C64" w:rsidRPr="00F21B23" w:rsidRDefault="00CC3C64">
            <w:pPr>
              <w:pStyle w:val="Tablecolumnhead"/>
            </w:pPr>
            <w:r w:rsidRPr="00F21B23">
              <w:rPr>
                <w:szCs w:val="22"/>
              </w:rPr>
              <w:t>Why the 2017 Regulation is proposed</w:t>
            </w:r>
          </w:p>
        </w:tc>
      </w:tr>
      <w:tr w:rsidR="00B751DE" w:rsidRPr="00427EE1" w:rsidTr="006119D2">
        <w:trPr>
          <w:cantSplit/>
          <w:trHeight w:val="966"/>
          <w:tblHeader/>
        </w:trPr>
        <w:tc>
          <w:tcPr>
            <w:tcW w:w="994"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945"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975337" w:rsidRPr="00427EE1" w:rsidTr="006119D2">
        <w:trPr>
          <w:cantSplit/>
          <w:trHeight w:val="340"/>
        </w:trPr>
        <w:tc>
          <w:tcPr>
            <w:tcW w:w="99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rsidP="006757E8">
            <w:pPr>
              <w:pStyle w:val="Tabletext"/>
              <w:rPr>
                <w:rFonts w:eastAsia="Calibri"/>
              </w:rPr>
            </w:pPr>
            <w:r w:rsidRPr="00427EE1">
              <w:rPr>
                <w:rFonts w:eastAsia="Calibri"/>
              </w:rPr>
              <w:t>1219</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rsidP="006757E8">
            <w:pPr>
              <w:pStyle w:val="Tabletext"/>
              <w:rPr>
                <w:rFonts w:eastAsia="Calibri"/>
                <w:lang w:eastAsia="en-US"/>
              </w:rPr>
            </w:pPr>
            <w:r w:rsidRPr="00427EE1">
              <w:rPr>
                <w:rFonts w:eastAsia="Calibri"/>
                <w:lang w:eastAsia="en-US"/>
              </w:rPr>
              <w:t>142</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975337" w:rsidRPr="00427EE1" w:rsidRDefault="00975337" w:rsidP="006757E8">
            <w:pPr>
              <w:pStyle w:val="Tabletext"/>
              <w:rPr>
                <w:rFonts w:eastAsia="Calibri"/>
                <w:b/>
                <w:lang w:eastAsia="en-US"/>
              </w:rPr>
            </w:pPr>
            <w:r w:rsidRPr="00427EE1">
              <w:rPr>
                <w:rFonts w:eastAsia="Calibri"/>
                <w:b/>
                <w:lang w:eastAsia="en-US"/>
              </w:rPr>
              <w:t xml:space="preserve">Application of this </w:t>
            </w:r>
            <w:r w:rsidR="00CC3C64">
              <w:rPr>
                <w:rFonts w:eastAsia="Calibri"/>
                <w:b/>
                <w:lang w:eastAsia="en-US"/>
              </w:rPr>
              <w:t>d</w:t>
            </w:r>
            <w:r w:rsidRPr="00427EE1">
              <w:rPr>
                <w:rFonts w:eastAsia="Calibri"/>
                <w:b/>
                <w:lang w:eastAsia="en-US"/>
              </w:rPr>
              <w:t>ivision</w:t>
            </w:r>
          </w:p>
          <w:p w:rsidR="00975337" w:rsidRPr="00427EE1" w:rsidRDefault="00975337" w:rsidP="00EF2008">
            <w:pPr>
              <w:pStyle w:val="Tabletext"/>
              <w:rPr>
                <w:rFonts w:eastAsia="Calibri"/>
                <w:lang w:eastAsia="en-US"/>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applies to swimming pools and/or spas that belong to classes 1,2,3,4 or 10 buildings will be affected by the requirements under </w:t>
            </w:r>
            <w:r w:rsidR="00EF2008">
              <w:rPr>
                <w:rFonts w:eastAsia="Calibri"/>
                <w:lang w:eastAsia="en-US"/>
              </w:rPr>
              <w:t>d</w:t>
            </w:r>
            <w:r w:rsidRPr="00427EE1">
              <w:rPr>
                <w:rFonts w:eastAsia="Calibri"/>
                <w:lang w:eastAsia="en-US"/>
              </w:rPr>
              <w:t>iv 2 of the proposed Regulations</w:t>
            </w:r>
            <w:r w:rsidR="00CC3C64">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specifies the </w:t>
            </w:r>
            <w:r w:rsidR="00CC3C64">
              <w:rPr>
                <w:rFonts w:eastAsia="Calibri"/>
              </w:rPr>
              <w:t>c</w:t>
            </w:r>
            <w:r w:rsidRPr="00427EE1">
              <w:rPr>
                <w:rFonts w:eastAsia="Calibri"/>
              </w:rPr>
              <w:t xml:space="preserve">lass of building that is required to comply with the </w:t>
            </w:r>
            <w:r w:rsidR="008911CB">
              <w:rPr>
                <w:rFonts w:eastAsia="Calibri"/>
              </w:rPr>
              <w:t>proposed Regulations</w:t>
            </w:r>
            <w:r w:rsidRPr="00427EE1">
              <w:rPr>
                <w:rFonts w:eastAsia="Calibri"/>
              </w:rPr>
              <w:t xml:space="preserve"> in this </w:t>
            </w:r>
            <w:r w:rsidR="00CC3C64">
              <w:rPr>
                <w:rFonts w:eastAsia="Calibri"/>
              </w:rPr>
              <w:t>d</w:t>
            </w:r>
            <w:r w:rsidRPr="00427EE1">
              <w:rPr>
                <w:rFonts w:eastAsia="Calibri"/>
              </w:rPr>
              <w:t>ivision.</w:t>
            </w:r>
          </w:p>
        </w:tc>
      </w:tr>
      <w:tr w:rsidR="00975337" w:rsidRPr="00427EE1" w:rsidTr="006119D2">
        <w:trPr>
          <w:cantSplit/>
          <w:trHeight w:val="340"/>
        </w:trPr>
        <w:tc>
          <w:tcPr>
            <w:tcW w:w="99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rsidP="006757E8">
            <w:pPr>
              <w:pStyle w:val="Tabletext"/>
              <w:rPr>
                <w:rFonts w:eastAsia="Calibri"/>
              </w:rPr>
            </w:pPr>
            <w:r w:rsidRPr="00427EE1">
              <w:rPr>
                <w:rFonts w:eastAsia="Calibri"/>
              </w:rPr>
              <w:t>n/a</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rsidP="006757E8">
            <w:pPr>
              <w:pStyle w:val="Tabletext"/>
              <w:rPr>
                <w:rFonts w:eastAsia="Calibri"/>
                <w:lang w:eastAsia="en-US"/>
              </w:rPr>
            </w:pPr>
            <w:r w:rsidRPr="00427EE1">
              <w:rPr>
                <w:rFonts w:eastAsia="Calibri"/>
                <w:lang w:eastAsia="en-US"/>
              </w:rPr>
              <w:t>NEW</w:t>
            </w:r>
          </w:p>
          <w:p w:rsidR="00975337" w:rsidRPr="00427EE1" w:rsidRDefault="00975337" w:rsidP="006757E8">
            <w:pPr>
              <w:pStyle w:val="Tabletext"/>
              <w:rPr>
                <w:rFonts w:eastAsia="Calibri"/>
                <w:lang w:eastAsia="en-US"/>
              </w:rPr>
            </w:pPr>
            <w:r w:rsidRPr="00427EE1">
              <w:rPr>
                <w:rFonts w:eastAsia="Calibri"/>
                <w:lang w:eastAsia="en-US"/>
              </w:rPr>
              <w:t>143</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975337" w:rsidRPr="00427EE1" w:rsidRDefault="00975337" w:rsidP="006757E8">
            <w:pPr>
              <w:pStyle w:val="Tabletext"/>
              <w:rPr>
                <w:rFonts w:eastAsia="Calibri"/>
                <w:b/>
                <w:lang w:eastAsia="en-US"/>
              </w:rPr>
            </w:pPr>
            <w:r w:rsidRPr="00427EE1">
              <w:rPr>
                <w:rFonts w:eastAsia="Calibri"/>
                <w:b/>
                <w:lang w:eastAsia="en-US"/>
              </w:rPr>
              <w:t>Swimming pool and spa barrier maintenance</w:t>
            </w:r>
          </w:p>
          <w:p w:rsidR="00975337" w:rsidRPr="00427EE1" w:rsidRDefault="002E244C" w:rsidP="006757E8">
            <w:pPr>
              <w:pStyle w:val="Tabletext"/>
              <w:rPr>
                <w:rFonts w:eastAsia="Calibri"/>
                <w:lang w:eastAsia="en-US"/>
              </w:rPr>
            </w:pPr>
            <w:r>
              <w:rPr>
                <w:rFonts w:eastAsia="Calibri"/>
                <w:lang w:eastAsia="en-US"/>
              </w:rPr>
              <w:t xml:space="preserve">Requires </w:t>
            </w:r>
            <w:r w:rsidR="00975337" w:rsidRPr="00427EE1">
              <w:rPr>
                <w:rFonts w:eastAsia="Calibri"/>
                <w:lang w:eastAsia="en-US"/>
              </w:rPr>
              <w:t>the owner to maintain the pool and/or spa safety barrier</w:t>
            </w:r>
            <w:r w:rsidR="00CC3C64">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mitigates risks of safety barriers becoming ineffectual due to poor maintenance. This obligation is similar to proposed </w:t>
            </w:r>
            <w:proofErr w:type="spellStart"/>
            <w:r w:rsidR="003902AD">
              <w:rPr>
                <w:rFonts w:eastAsia="Calibri"/>
              </w:rPr>
              <w:t>reg</w:t>
            </w:r>
            <w:proofErr w:type="spellEnd"/>
            <w:r w:rsidR="003902AD">
              <w:rPr>
                <w:rFonts w:eastAsia="Calibri"/>
              </w:rPr>
              <w:t xml:space="preserve"> 1</w:t>
            </w:r>
            <w:r w:rsidRPr="00427EE1">
              <w:rPr>
                <w:rFonts w:eastAsia="Calibri"/>
              </w:rPr>
              <w:t>44, however</w:t>
            </w:r>
            <w:r w:rsidR="00D90FC3">
              <w:rPr>
                <w:rFonts w:eastAsia="Calibri"/>
              </w:rPr>
              <w:t>,</w:t>
            </w:r>
            <w:r w:rsidRPr="00427EE1">
              <w:rPr>
                <w:rFonts w:eastAsia="Calibri"/>
              </w:rPr>
              <w:t xml:space="preserve"> there was previously no obligation imposed on the owner. </w:t>
            </w:r>
          </w:p>
        </w:tc>
      </w:tr>
      <w:tr w:rsidR="00975337" w:rsidRPr="00427EE1" w:rsidTr="006119D2">
        <w:trPr>
          <w:cantSplit/>
          <w:trHeight w:val="340"/>
        </w:trPr>
        <w:tc>
          <w:tcPr>
            <w:tcW w:w="99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rsidP="006757E8">
            <w:pPr>
              <w:pStyle w:val="Tabletext"/>
              <w:rPr>
                <w:rFonts w:eastAsia="Calibri"/>
              </w:rPr>
            </w:pPr>
            <w:r w:rsidRPr="00427EE1">
              <w:rPr>
                <w:rFonts w:eastAsia="Calibri"/>
              </w:rPr>
              <w:lastRenderedPageBreak/>
              <w:t>1220(1)</w:t>
            </w:r>
          </w:p>
          <w:p w:rsidR="00975337" w:rsidRPr="00427EE1" w:rsidRDefault="00975337" w:rsidP="006757E8">
            <w:pPr>
              <w:pStyle w:val="Tabletext"/>
              <w:rPr>
                <w:rFonts w:eastAsia="Calibri"/>
              </w:rPr>
            </w:pP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rsidP="006757E8">
            <w:pPr>
              <w:pStyle w:val="Tabletext"/>
              <w:rPr>
                <w:rFonts w:eastAsia="Calibri"/>
                <w:lang w:eastAsia="en-US"/>
              </w:rPr>
            </w:pPr>
            <w:r w:rsidRPr="00427EE1">
              <w:rPr>
                <w:rFonts w:eastAsia="Calibri"/>
                <w:lang w:eastAsia="en-US"/>
              </w:rPr>
              <w:t>144</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975337" w:rsidRPr="00427EE1" w:rsidRDefault="00975337" w:rsidP="006757E8">
            <w:pPr>
              <w:pStyle w:val="Tabletext"/>
              <w:rPr>
                <w:rFonts w:eastAsia="Calibri"/>
                <w:b/>
                <w:lang w:eastAsia="en-US"/>
              </w:rPr>
            </w:pPr>
            <w:r w:rsidRPr="00427EE1">
              <w:rPr>
                <w:rFonts w:eastAsia="Calibri"/>
                <w:b/>
                <w:lang w:eastAsia="en-US"/>
              </w:rPr>
              <w:t>Swimming pool and spa barrier operation</w:t>
            </w:r>
          </w:p>
          <w:p w:rsidR="00975337" w:rsidRPr="00427EE1" w:rsidRDefault="002E244C" w:rsidP="006757E8">
            <w:pPr>
              <w:pStyle w:val="Tabletext"/>
              <w:rPr>
                <w:rFonts w:eastAsia="Calibri"/>
                <w:lang w:eastAsia="en-US"/>
              </w:rPr>
            </w:pPr>
            <w:r>
              <w:rPr>
                <w:rFonts w:eastAsia="Calibri"/>
                <w:lang w:eastAsia="en-US"/>
              </w:rPr>
              <w:t xml:space="preserve">Requires </w:t>
            </w:r>
            <w:r w:rsidR="00975337" w:rsidRPr="00427EE1">
              <w:rPr>
                <w:rFonts w:eastAsia="Calibri"/>
                <w:lang w:eastAsia="en-US"/>
              </w:rPr>
              <w:t>an occupier to ensure that the pool and/or spa safety barrier is operating effectively</w:t>
            </w:r>
            <w:r w:rsidR="00CC3C64">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mitigates safety risks by imposing an obligation on the occupier to ensure that the safety barrier is in working order. The obligation is imposed specifically on the occupier. </w:t>
            </w:r>
          </w:p>
        </w:tc>
      </w:tr>
      <w:tr w:rsidR="00975337" w:rsidRPr="00427EE1" w:rsidTr="006119D2">
        <w:trPr>
          <w:cantSplit/>
          <w:trHeight w:val="340"/>
        </w:trPr>
        <w:tc>
          <w:tcPr>
            <w:tcW w:w="99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rsidP="006757E8">
            <w:pPr>
              <w:pStyle w:val="Tabletext"/>
              <w:rPr>
                <w:rFonts w:eastAsia="Calibri"/>
              </w:rPr>
            </w:pPr>
            <w:r w:rsidRPr="00427EE1">
              <w:rPr>
                <w:rFonts w:eastAsia="Calibri"/>
              </w:rPr>
              <w:t>1220(2)</w:t>
            </w:r>
          </w:p>
          <w:p w:rsidR="00975337" w:rsidRPr="00427EE1" w:rsidRDefault="00975337" w:rsidP="006757E8">
            <w:pPr>
              <w:pStyle w:val="Tabletext"/>
              <w:rPr>
                <w:rFonts w:eastAsia="Calibri"/>
              </w:rPr>
            </w:pPr>
            <w:r w:rsidRPr="00427EE1">
              <w:rPr>
                <w:rFonts w:eastAsia="Calibri"/>
              </w:rPr>
              <w:t>1220(3)</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rsidP="006757E8">
            <w:pPr>
              <w:pStyle w:val="Tabletext"/>
              <w:rPr>
                <w:rFonts w:eastAsia="Calibri"/>
                <w:lang w:eastAsia="en-US"/>
              </w:rPr>
            </w:pPr>
            <w:r w:rsidRPr="00427EE1">
              <w:rPr>
                <w:rFonts w:eastAsia="Calibri"/>
                <w:lang w:eastAsia="en-US"/>
              </w:rPr>
              <w:t>145</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975337" w:rsidRPr="00427EE1" w:rsidRDefault="00975337" w:rsidP="006757E8">
            <w:pPr>
              <w:pStyle w:val="Tabletext"/>
              <w:rPr>
                <w:rFonts w:eastAsia="Calibri"/>
                <w:b/>
                <w:lang w:eastAsia="en-US"/>
              </w:rPr>
            </w:pPr>
            <w:r w:rsidRPr="00427EE1">
              <w:rPr>
                <w:rFonts w:eastAsia="Calibri"/>
                <w:b/>
                <w:lang w:eastAsia="en-US"/>
              </w:rPr>
              <w:t>Swimming pool and spa barrier gate must remain closed</w:t>
            </w:r>
          </w:p>
          <w:p w:rsidR="00975337" w:rsidRPr="00427EE1" w:rsidRDefault="002E244C" w:rsidP="0061434B">
            <w:pPr>
              <w:pStyle w:val="Tabletext"/>
              <w:rPr>
                <w:rFonts w:eastAsia="Calibri"/>
                <w:lang w:eastAsia="en-US"/>
              </w:rPr>
            </w:pPr>
            <w:r>
              <w:rPr>
                <w:rFonts w:eastAsia="Calibri"/>
                <w:lang w:eastAsia="en-US"/>
              </w:rPr>
              <w:t xml:space="preserve">Establishes </w:t>
            </w:r>
            <w:r w:rsidR="00975337" w:rsidRPr="00427EE1">
              <w:rPr>
                <w:rFonts w:eastAsia="Calibri"/>
                <w:lang w:eastAsia="en-US"/>
              </w:rPr>
              <w:t xml:space="preserve">the requirement that any gate or door, which forms part of a safety barrier, must remain closed </w:t>
            </w:r>
            <w:r w:rsidR="0061434B">
              <w:rPr>
                <w:rFonts w:eastAsia="Calibri"/>
                <w:lang w:eastAsia="en-US"/>
              </w:rPr>
              <w:t>except when a person is entering or leaving the pool or spa area</w:t>
            </w:r>
            <w:r w:rsidR="00CC3C64">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975337">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mitigates safety risks by imposing an obligation on the occupier to ensure that the any gates or doors remain closed. The broader application to any person is removed. This strengthens the offence because it is straightforward to determine liability because it now falls on the occupier. It is too </w:t>
            </w:r>
            <w:r w:rsidR="00BB3A66" w:rsidRPr="00427EE1">
              <w:rPr>
                <w:rFonts w:eastAsia="Calibri"/>
              </w:rPr>
              <w:t>difficult</w:t>
            </w:r>
            <w:r w:rsidRPr="00427EE1">
              <w:rPr>
                <w:rFonts w:eastAsia="Calibri"/>
              </w:rPr>
              <w:t xml:space="preserve"> to determine liability if there are multiple people using the gate or door on a day to day basis.</w:t>
            </w:r>
          </w:p>
        </w:tc>
      </w:tr>
    </w:tbl>
    <w:p w:rsidR="00B751DE" w:rsidRPr="00427EE1" w:rsidRDefault="00B751DE" w:rsidP="006757E8"/>
    <w:p w:rsidR="00B751DE" w:rsidRPr="00427EE1" w:rsidRDefault="00EF2008" w:rsidP="006119D2">
      <w:pPr>
        <w:pStyle w:val="Heading4"/>
      </w:pPr>
      <w:proofErr w:type="spellStart"/>
      <w:r>
        <w:t>Div</w:t>
      </w:r>
      <w:proofErr w:type="spellEnd"/>
      <w:r w:rsidR="00B751DE" w:rsidRPr="00427EE1">
        <w:t xml:space="preserve"> 4</w:t>
      </w:r>
      <w:r w:rsidR="008475D9">
        <w:t>—</w:t>
      </w:r>
      <w:r w:rsidR="00B751DE" w:rsidRPr="00427EE1">
        <w:t>Fire safety in certain existing residential buildings</w:t>
      </w:r>
    </w:p>
    <w:tbl>
      <w:tblPr>
        <w:tblW w:w="14535" w:type="dxa"/>
        <w:tblInd w:w="-158"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1022"/>
        <w:gridCol w:w="945"/>
        <w:gridCol w:w="4243"/>
        <w:gridCol w:w="399"/>
        <w:gridCol w:w="399"/>
        <w:gridCol w:w="402"/>
        <w:gridCol w:w="400"/>
        <w:gridCol w:w="398"/>
        <w:gridCol w:w="6327"/>
      </w:tblGrid>
      <w:tr w:rsidR="00CC3C64" w:rsidRPr="00427EE1" w:rsidTr="006119D2">
        <w:trPr>
          <w:cantSplit/>
          <w:trHeight w:val="54"/>
          <w:tblHeader/>
        </w:trPr>
        <w:tc>
          <w:tcPr>
            <w:tcW w:w="1022" w:type="dxa"/>
            <w:vMerge w:val="restart"/>
            <w:shd w:val="clear" w:color="auto" w:fill="00B2A9" w:themeFill="accent1"/>
            <w:vAlign w:val="center"/>
            <w:hideMark/>
          </w:tcPr>
          <w:p w:rsidR="00CC3C64" w:rsidRDefault="00CC3C64">
            <w:pPr>
              <w:pStyle w:val="Tablecolumnhead"/>
              <w:rPr>
                <w:rFonts w:asciiTheme="majorHAnsi" w:eastAsia="Calibri" w:hAnsiTheme="majorHAnsi" w:cstheme="majorBidi"/>
                <w:sz w:val="40"/>
              </w:rPr>
            </w:pPr>
            <w:r w:rsidRPr="00BE72D7">
              <w:rPr>
                <w:rFonts w:eastAsia="Calibri"/>
              </w:rPr>
              <w:t>2006</w:t>
            </w:r>
          </w:p>
          <w:p w:rsidR="00CC3C64" w:rsidRPr="00F21B23" w:rsidRDefault="00CC3C64">
            <w:pPr>
              <w:pStyle w:val="Tablecolumnhead"/>
              <w:rPr>
                <w:rFonts w:eastAsia="Calibri"/>
              </w:rPr>
            </w:pPr>
            <w:r w:rsidRPr="00C44680">
              <w:rPr>
                <w:rFonts w:ascii="Arial Bold" w:eastAsia="Calibri" w:hAnsi="Arial Bold"/>
                <w:spacing w:val="-12"/>
                <w:sz w:val="16"/>
              </w:rPr>
              <w:t>Regulation</w:t>
            </w:r>
          </w:p>
        </w:tc>
        <w:tc>
          <w:tcPr>
            <w:tcW w:w="945" w:type="dxa"/>
            <w:vMerge w:val="restart"/>
            <w:shd w:val="clear" w:color="auto" w:fill="00B2A9" w:themeFill="accent1"/>
            <w:vAlign w:val="center"/>
            <w:hideMark/>
          </w:tcPr>
          <w:p w:rsidR="00CC3C64" w:rsidRDefault="00CC3C64">
            <w:pPr>
              <w:pStyle w:val="Tablecolumnhead"/>
              <w:rPr>
                <w:rFonts w:asciiTheme="majorHAnsi" w:eastAsiaTheme="majorEastAsia" w:hAnsiTheme="majorHAnsi" w:cstheme="majorBidi"/>
                <w:sz w:val="40"/>
              </w:rPr>
            </w:pPr>
            <w:r w:rsidRPr="008F0E53">
              <w:rPr>
                <w:rFonts w:eastAsia="Calibri"/>
              </w:rPr>
              <w:t>2017</w:t>
            </w:r>
          </w:p>
          <w:p w:rsidR="00CC3C64" w:rsidRPr="00F21B23" w:rsidRDefault="00CC3C64">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CC3C64" w:rsidRPr="00F21B23" w:rsidRDefault="00CC3C64">
            <w:pPr>
              <w:pStyle w:val="Tablecolumnhead"/>
              <w:rPr>
                <w:rFonts w:eastAsia="Calibri"/>
              </w:rPr>
            </w:pPr>
            <w:r w:rsidRPr="00F21B23">
              <w:t xml:space="preserve">Short description of the </w:t>
            </w:r>
            <w:r>
              <w:t>Regulation</w:t>
            </w:r>
          </w:p>
        </w:tc>
        <w:tc>
          <w:tcPr>
            <w:tcW w:w="1998" w:type="dxa"/>
            <w:gridSpan w:val="5"/>
            <w:shd w:val="clear" w:color="auto" w:fill="00B2A9" w:themeFill="accent1"/>
            <w:vAlign w:val="center"/>
          </w:tcPr>
          <w:p w:rsidR="00CC3C64" w:rsidRPr="00F21B23" w:rsidRDefault="00CC3C64">
            <w:pPr>
              <w:pStyle w:val="Tablecolumnhead"/>
            </w:pPr>
            <w:r w:rsidRPr="00F21B23">
              <w:t>Proposed regulatory change</w:t>
            </w:r>
          </w:p>
        </w:tc>
        <w:tc>
          <w:tcPr>
            <w:tcW w:w="6327" w:type="dxa"/>
            <w:vMerge w:val="restart"/>
            <w:shd w:val="clear" w:color="auto" w:fill="00B2A9" w:themeFill="accent1"/>
            <w:vAlign w:val="center"/>
          </w:tcPr>
          <w:p w:rsidR="00CC3C64" w:rsidRPr="00F21B23" w:rsidRDefault="00CC3C64">
            <w:pPr>
              <w:pStyle w:val="Tablecolumnhead"/>
            </w:pPr>
            <w:r w:rsidRPr="00F21B23">
              <w:t>Why the 2017 Regulation is proposed</w:t>
            </w:r>
          </w:p>
        </w:tc>
      </w:tr>
      <w:tr w:rsidR="00B751DE" w:rsidRPr="00427EE1" w:rsidTr="006119D2">
        <w:trPr>
          <w:cantSplit/>
          <w:trHeight w:val="966"/>
          <w:tblHeader/>
        </w:trPr>
        <w:tc>
          <w:tcPr>
            <w:tcW w:w="1022"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945"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975337" w:rsidRPr="00427EE1" w:rsidTr="006119D2">
        <w:trPr>
          <w:cantSplit/>
          <w:trHeight w:val="340"/>
        </w:trPr>
        <w:tc>
          <w:tcPr>
            <w:tcW w:w="102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rsidP="006757E8">
            <w:pPr>
              <w:pStyle w:val="Tabletext"/>
              <w:rPr>
                <w:rFonts w:eastAsia="Calibri"/>
              </w:rPr>
            </w:pPr>
            <w:r w:rsidRPr="00427EE1">
              <w:rPr>
                <w:rFonts w:eastAsia="Calibri"/>
              </w:rPr>
              <w:t>706</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rsidP="006757E8">
            <w:pPr>
              <w:pStyle w:val="Tabletext"/>
              <w:rPr>
                <w:rFonts w:eastAsia="Calibri"/>
                <w:lang w:eastAsia="en-US"/>
              </w:rPr>
            </w:pPr>
            <w:r w:rsidRPr="00427EE1">
              <w:rPr>
                <w:rFonts w:eastAsia="Calibri"/>
                <w:lang w:eastAsia="en-US"/>
              </w:rPr>
              <w:t>146</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975337" w:rsidRPr="00427EE1" w:rsidRDefault="00975337" w:rsidP="006757E8">
            <w:pPr>
              <w:pStyle w:val="Tabletext"/>
              <w:rPr>
                <w:rFonts w:eastAsia="Calibri"/>
                <w:b/>
                <w:lang w:eastAsia="en-US"/>
              </w:rPr>
            </w:pPr>
            <w:r w:rsidRPr="00427EE1">
              <w:rPr>
                <w:rFonts w:eastAsia="Calibri"/>
                <w:b/>
                <w:lang w:eastAsia="en-US"/>
              </w:rPr>
              <w:t>Definition of owner</w:t>
            </w:r>
          </w:p>
          <w:p w:rsidR="00975337" w:rsidRPr="00427EE1" w:rsidRDefault="002E244C" w:rsidP="006757E8">
            <w:pPr>
              <w:pStyle w:val="Tabletext"/>
              <w:rPr>
                <w:rFonts w:eastAsia="Calibri"/>
                <w:lang w:eastAsia="en-US"/>
              </w:rPr>
            </w:pPr>
            <w:r>
              <w:rPr>
                <w:rFonts w:eastAsia="Calibri"/>
                <w:lang w:eastAsia="en-US"/>
              </w:rPr>
              <w:t xml:space="preserve">Defines </w:t>
            </w:r>
            <w:r w:rsidR="00975337" w:rsidRPr="00427EE1">
              <w:rPr>
                <w:rFonts w:eastAsia="Calibri"/>
                <w:lang w:eastAsia="en-US"/>
              </w:rPr>
              <w:t>an owner</w:t>
            </w:r>
            <w:r w:rsidR="00CC3C64">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promotes consistency in interpretation</w:t>
            </w:r>
            <w:r w:rsidR="00995450">
              <w:rPr>
                <w:rFonts w:eastAsia="Calibri"/>
              </w:rPr>
              <w:t>.</w:t>
            </w:r>
          </w:p>
        </w:tc>
      </w:tr>
      <w:tr w:rsidR="00975337" w:rsidRPr="00427EE1" w:rsidTr="006119D2">
        <w:trPr>
          <w:cantSplit/>
          <w:trHeight w:val="340"/>
        </w:trPr>
        <w:tc>
          <w:tcPr>
            <w:tcW w:w="102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rsidP="006757E8">
            <w:pPr>
              <w:pStyle w:val="Tabletext"/>
              <w:rPr>
                <w:rFonts w:eastAsia="Calibri"/>
              </w:rPr>
            </w:pPr>
            <w:r w:rsidRPr="00427EE1">
              <w:rPr>
                <w:rFonts w:eastAsia="Calibri"/>
              </w:rPr>
              <w:t>707</w:t>
            </w:r>
          </w:p>
          <w:p w:rsidR="00975337" w:rsidRPr="00427EE1" w:rsidRDefault="00975337" w:rsidP="006757E8">
            <w:pPr>
              <w:pStyle w:val="Tabletext"/>
              <w:rPr>
                <w:rFonts w:eastAsia="Calibri"/>
              </w:rPr>
            </w:pPr>
            <w:r w:rsidRPr="00427EE1">
              <w:rPr>
                <w:rFonts w:eastAsia="Calibri"/>
              </w:rPr>
              <w:t>709</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rsidP="006757E8">
            <w:pPr>
              <w:pStyle w:val="Tabletext"/>
              <w:rPr>
                <w:rFonts w:eastAsia="Calibri"/>
                <w:lang w:eastAsia="en-US"/>
              </w:rPr>
            </w:pPr>
            <w:r w:rsidRPr="00427EE1">
              <w:rPr>
                <w:rFonts w:eastAsia="Calibri"/>
                <w:lang w:eastAsia="en-US"/>
              </w:rPr>
              <w:t>147</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975337" w:rsidRPr="00427EE1" w:rsidRDefault="00975337" w:rsidP="006757E8">
            <w:pPr>
              <w:pStyle w:val="Tabletext"/>
              <w:rPr>
                <w:rFonts w:eastAsia="Calibri"/>
                <w:b/>
                <w:lang w:eastAsia="en-US"/>
              </w:rPr>
            </w:pPr>
            <w:r w:rsidRPr="00427EE1">
              <w:rPr>
                <w:rFonts w:eastAsia="Calibri"/>
                <w:b/>
                <w:lang w:eastAsia="en-US"/>
              </w:rPr>
              <w:t>Automatic smoke detection and alarm systems for residential care buildings</w:t>
            </w:r>
          </w:p>
          <w:p w:rsidR="00975337" w:rsidRPr="00427EE1" w:rsidRDefault="002E244C" w:rsidP="006757E8">
            <w:pPr>
              <w:pStyle w:val="Tabletext"/>
              <w:rPr>
                <w:rFonts w:eastAsia="Calibri"/>
                <w:lang w:eastAsia="en-US"/>
              </w:rPr>
            </w:pPr>
            <w:r>
              <w:rPr>
                <w:rFonts w:eastAsia="Calibri"/>
                <w:lang w:eastAsia="en-US"/>
              </w:rPr>
              <w:t xml:space="preserve">Requires </w:t>
            </w:r>
            <w:r w:rsidR="00975337" w:rsidRPr="00427EE1">
              <w:rPr>
                <w:rFonts w:eastAsia="Calibri"/>
                <w:lang w:eastAsia="en-US"/>
              </w:rPr>
              <w:t xml:space="preserve">all residential care buildings to have an automatic smoke detection and alarm system that complies with </w:t>
            </w:r>
            <w:r w:rsidR="00CC3C64">
              <w:rPr>
                <w:rFonts w:eastAsia="Calibri"/>
                <w:lang w:eastAsia="en-US"/>
              </w:rPr>
              <w:t>s</w:t>
            </w:r>
            <w:r w:rsidR="00975337" w:rsidRPr="00427EE1">
              <w:rPr>
                <w:rFonts w:eastAsia="Calibri"/>
                <w:lang w:eastAsia="en-US"/>
              </w:rPr>
              <w:t>pecification E2.2a of the BCA Volume One installed.</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 xml:space="preserve">protects health and safety of occupants, who may be vulnerable to fire risks, by ensuring older buildings have early detection and warning systems installed to enable escape in the event of a fire. Combines current </w:t>
            </w:r>
            <w:proofErr w:type="spellStart"/>
            <w:r w:rsidR="003902AD">
              <w:rPr>
                <w:rFonts w:eastAsia="Calibri"/>
              </w:rPr>
              <w:t>regs</w:t>
            </w:r>
            <w:proofErr w:type="spellEnd"/>
            <w:r w:rsidRPr="00427EE1">
              <w:rPr>
                <w:rFonts w:eastAsia="Calibri"/>
              </w:rPr>
              <w:t xml:space="preserve"> 707 and 709. The proposed Regulation is updated as a current requirement as all buildings should have been brought into compliance with this Regulation.</w:t>
            </w:r>
          </w:p>
        </w:tc>
      </w:tr>
      <w:tr w:rsidR="00975337" w:rsidRPr="00427EE1" w:rsidTr="006119D2">
        <w:trPr>
          <w:cantSplit/>
          <w:trHeight w:val="340"/>
        </w:trPr>
        <w:tc>
          <w:tcPr>
            <w:tcW w:w="102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rsidP="006757E8">
            <w:pPr>
              <w:pStyle w:val="Tabletext"/>
              <w:rPr>
                <w:rFonts w:eastAsia="Calibri"/>
              </w:rPr>
            </w:pPr>
            <w:r w:rsidRPr="00427EE1">
              <w:rPr>
                <w:rFonts w:eastAsia="Calibri"/>
              </w:rPr>
              <w:lastRenderedPageBreak/>
              <w:t>708</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rsidP="006757E8">
            <w:pPr>
              <w:pStyle w:val="Tabletext"/>
              <w:rPr>
                <w:rFonts w:eastAsia="Calibri"/>
                <w:lang w:eastAsia="en-US"/>
              </w:rPr>
            </w:pPr>
            <w:r w:rsidRPr="00427EE1">
              <w:rPr>
                <w:rFonts w:eastAsia="Calibri"/>
                <w:lang w:eastAsia="en-US"/>
              </w:rPr>
              <w:t>148</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975337" w:rsidRPr="00427EE1" w:rsidRDefault="00975337" w:rsidP="006757E8">
            <w:pPr>
              <w:pStyle w:val="Tabletext"/>
              <w:rPr>
                <w:rFonts w:eastAsia="Calibri"/>
                <w:b/>
                <w:lang w:eastAsia="en-US"/>
              </w:rPr>
            </w:pPr>
            <w:r w:rsidRPr="00427EE1">
              <w:rPr>
                <w:rFonts w:eastAsia="Calibri"/>
                <w:b/>
                <w:lang w:eastAsia="en-US"/>
              </w:rPr>
              <w:t>Residential care buildings—automatic fire sprinkler systems</w:t>
            </w:r>
          </w:p>
          <w:p w:rsidR="00975337" w:rsidRPr="00427EE1" w:rsidRDefault="002E244C" w:rsidP="006757E8">
            <w:pPr>
              <w:pStyle w:val="Tabletext"/>
              <w:rPr>
                <w:rFonts w:eastAsia="Calibri"/>
                <w:lang w:eastAsia="en-US"/>
              </w:rPr>
            </w:pPr>
            <w:r>
              <w:rPr>
                <w:rFonts w:eastAsia="Calibri"/>
                <w:lang w:eastAsia="en-US"/>
              </w:rPr>
              <w:t xml:space="preserve">Requires </w:t>
            </w:r>
            <w:r w:rsidR="00975337" w:rsidRPr="00427EE1">
              <w:rPr>
                <w:rFonts w:eastAsia="Calibri"/>
                <w:lang w:eastAsia="en-US"/>
              </w:rPr>
              <w:t>fire sprinkler systems to be installed in residential care buildings.</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protects health and safety of occupants, who may have difficulty moving quickly in a fire, by ensuring older buildings have adequate fire</w:t>
            </w:r>
            <w:r w:rsidR="00AC0013">
              <w:rPr>
                <w:rFonts w:eastAsia="Calibri"/>
              </w:rPr>
              <w:t>-</w:t>
            </w:r>
            <w:r w:rsidRPr="00427EE1">
              <w:rPr>
                <w:rFonts w:eastAsia="Calibri"/>
              </w:rPr>
              <w:t>suppression systems installed. The proposed Regulation is updated as a current requirement as all buildings should have been brought into compliance with this Regulation.</w:t>
            </w:r>
          </w:p>
        </w:tc>
      </w:tr>
      <w:tr w:rsidR="00975337" w:rsidRPr="00427EE1" w:rsidTr="006119D2">
        <w:trPr>
          <w:cantSplit/>
          <w:trHeight w:val="340"/>
        </w:trPr>
        <w:tc>
          <w:tcPr>
            <w:tcW w:w="102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rsidP="006757E8">
            <w:pPr>
              <w:pStyle w:val="Tabletext"/>
              <w:rPr>
                <w:rFonts w:eastAsia="Calibri"/>
              </w:rPr>
            </w:pPr>
            <w:r w:rsidRPr="00427EE1">
              <w:rPr>
                <w:rFonts w:eastAsia="Calibri"/>
              </w:rPr>
              <w:t>710</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rsidP="006757E8">
            <w:pPr>
              <w:pStyle w:val="Tabletext"/>
              <w:rPr>
                <w:rFonts w:eastAsia="Calibri"/>
                <w:lang w:eastAsia="en-US"/>
              </w:rPr>
            </w:pPr>
            <w:r w:rsidRPr="00427EE1">
              <w:rPr>
                <w:rFonts w:eastAsia="Calibri"/>
                <w:lang w:eastAsia="en-US"/>
              </w:rPr>
              <w:t>149</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975337" w:rsidRPr="00427EE1" w:rsidRDefault="00975337" w:rsidP="006757E8">
            <w:pPr>
              <w:pStyle w:val="Tabletext"/>
              <w:rPr>
                <w:rFonts w:eastAsia="Calibri"/>
                <w:b/>
                <w:lang w:eastAsia="en-US"/>
              </w:rPr>
            </w:pPr>
            <w:r w:rsidRPr="00427EE1">
              <w:rPr>
                <w:rFonts w:eastAsia="Calibri"/>
                <w:b/>
                <w:lang w:eastAsia="en-US"/>
              </w:rPr>
              <w:t>Shared accommodation buildings—automatic sprinkler systems</w:t>
            </w:r>
          </w:p>
          <w:p w:rsidR="00975337" w:rsidRPr="00427EE1" w:rsidRDefault="002E244C" w:rsidP="006757E8">
            <w:pPr>
              <w:pStyle w:val="Tabletext"/>
              <w:rPr>
                <w:rFonts w:eastAsia="Calibri"/>
                <w:lang w:eastAsia="en-US"/>
              </w:rPr>
            </w:pPr>
            <w:r>
              <w:rPr>
                <w:rFonts w:eastAsia="Calibri"/>
                <w:lang w:eastAsia="en-US"/>
              </w:rPr>
              <w:t xml:space="preserve">Requires </w:t>
            </w:r>
            <w:r w:rsidR="00975337" w:rsidRPr="00427EE1">
              <w:rPr>
                <w:rFonts w:eastAsia="Calibri"/>
                <w:lang w:eastAsia="en-US"/>
              </w:rPr>
              <w:t>fire sprinkler systems to be installed in all shared accommodation buildings</w:t>
            </w:r>
            <w:r w:rsidR="00CC3C64">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975337" w:rsidRPr="00427EE1" w:rsidRDefault="00975337">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protects health and safety of occupiers using of temporary accommodation by requiring older buildings to have adequate fire</w:t>
            </w:r>
            <w:r w:rsidR="00181511">
              <w:rPr>
                <w:rFonts w:eastAsia="Calibri"/>
              </w:rPr>
              <w:t>-suppression</w:t>
            </w:r>
            <w:r w:rsidRPr="00427EE1">
              <w:rPr>
                <w:rFonts w:eastAsia="Calibri"/>
              </w:rPr>
              <w:t xml:space="preserve"> systems installed. The proposed Regulation is updated as a current requirement as all buildings should have been brought into compliance with this Regulation.</w:t>
            </w:r>
          </w:p>
        </w:tc>
      </w:tr>
    </w:tbl>
    <w:p w:rsidR="00B751DE" w:rsidRPr="00427EE1" w:rsidRDefault="00B751DE" w:rsidP="006757E8"/>
    <w:p w:rsidR="00B751DE" w:rsidRPr="00427EE1" w:rsidRDefault="004267C5" w:rsidP="006119D2">
      <w:pPr>
        <w:pStyle w:val="Heading3"/>
      </w:pPr>
      <w:bookmarkStart w:id="184" w:name="_Toc481501605"/>
      <w:r>
        <w:t xml:space="preserve">Pt </w:t>
      </w:r>
      <w:r w:rsidR="00B751DE" w:rsidRPr="00427EE1">
        <w:t>11</w:t>
      </w:r>
      <w:r w:rsidR="008475D9">
        <w:t>—</w:t>
      </w:r>
      <w:r w:rsidR="00B751DE" w:rsidRPr="00427EE1">
        <w:t>Designation of special areas for building work</w:t>
      </w:r>
      <w:bookmarkEnd w:id="184"/>
    </w:p>
    <w:tbl>
      <w:tblPr>
        <w:tblW w:w="14521" w:type="dxa"/>
        <w:tblInd w:w="-144"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1008"/>
        <w:gridCol w:w="945"/>
        <w:gridCol w:w="4243"/>
        <w:gridCol w:w="399"/>
        <w:gridCol w:w="399"/>
        <w:gridCol w:w="402"/>
        <w:gridCol w:w="400"/>
        <w:gridCol w:w="398"/>
        <w:gridCol w:w="6327"/>
      </w:tblGrid>
      <w:tr w:rsidR="00CC3C64" w:rsidRPr="00427EE1" w:rsidTr="006119D2">
        <w:trPr>
          <w:cantSplit/>
          <w:trHeight w:val="102"/>
          <w:tblHeader/>
        </w:trPr>
        <w:tc>
          <w:tcPr>
            <w:tcW w:w="1008" w:type="dxa"/>
            <w:vMerge w:val="restart"/>
            <w:shd w:val="clear" w:color="auto" w:fill="00B2A9" w:themeFill="accent1"/>
            <w:vAlign w:val="center"/>
            <w:hideMark/>
          </w:tcPr>
          <w:p w:rsidR="00CC3C64" w:rsidRDefault="00CC3C64">
            <w:pPr>
              <w:pStyle w:val="Tablecolumnhead"/>
              <w:rPr>
                <w:rFonts w:asciiTheme="majorHAnsi" w:eastAsia="Calibri" w:hAnsiTheme="majorHAnsi" w:cstheme="majorBidi"/>
                <w:sz w:val="40"/>
              </w:rPr>
            </w:pPr>
            <w:r w:rsidRPr="00BE72D7">
              <w:rPr>
                <w:rFonts w:eastAsia="Calibri"/>
              </w:rPr>
              <w:t>2006</w:t>
            </w:r>
          </w:p>
          <w:p w:rsidR="00CC3C64" w:rsidRPr="00F21B23" w:rsidRDefault="00CC3C64">
            <w:pPr>
              <w:pStyle w:val="Tablecolumnhead"/>
              <w:rPr>
                <w:rFonts w:eastAsia="Calibri"/>
              </w:rPr>
            </w:pPr>
            <w:r w:rsidRPr="00C44680">
              <w:rPr>
                <w:rFonts w:ascii="Arial Bold" w:eastAsia="Calibri" w:hAnsi="Arial Bold"/>
                <w:spacing w:val="-12"/>
                <w:sz w:val="16"/>
              </w:rPr>
              <w:t>Regulation</w:t>
            </w:r>
          </w:p>
        </w:tc>
        <w:tc>
          <w:tcPr>
            <w:tcW w:w="945" w:type="dxa"/>
            <w:vMerge w:val="restart"/>
            <w:shd w:val="clear" w:color="auto" w:fill="00B2A9" w:themeFill="accent1"/>
            <w:vAlign w:val="center"/>
            <w:hideMark/>
          </w:tcPr>
          <w:p w:rsidR="00CC3C64" w:rsidRDefault="00CC3C64">
            <w:pPr>
              <w:pStyle w:val="Tablecolumnhead"/>
              <w:rPr>
                <w:rFonts w:asciiTheme="majorHAnsi" w:eastAsiaTheme="majorEastAsia" w:hAnsiTheme="majorHAnsi" w:cstheme="majorBidi"/>
                <w:sz w:val="40"/>
              </w:rPr>
            </w:pPr>
            <w:r w:rsidRPr="008F0E53">
              <w:rPr>
                <w:rFonts w:eastAsia="Calibri"/>
              </w:rPr>
              <w:t>2017</w:t>
            </w:r>
          </w:p>
          <w:p w:rsidR="00CC3C64" w:rsidRPr="00F21B23" w:rsidRDefault="00CC3C64">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CC3C64" w:rsidRPr="00F21B23" w:rsidRDefault="00CC3C64">
            <w:pPr>
              <w:pStyle w:val="Tablecolumnhead"/>
              <w:rPr>
                <w:rFonts w:eastAsia="Calibri"/>
              </w:rPr>
            </w:pPr>
            <w:r w:rsidRPr="00F21B23">
              <w:t xml:space="preserve">Short description of the </w:t>
            </w:r>
            <w:r>
              <w:t>Regulation</w:t>
            </w:r>
          </w:p>
        </w:tc>
        <w:tc>
          <w:tcPr>
            <w:tcW w:w="1998" w:type="dxa"/>
            <w:gridSpan w:val="5"/>
            <w:shd w:val="clear" w:color="auto" w:fill="00B2A9" w:themeFill="accent1"/>
            <w:vAlign w:val="center"/>
          </w:tcPr>
          <w:p w:rsidR="00CC3C64" w:rsidRPr="00F21B23" w:rsidRDefault="00CC3C64">
            <w:pPr>
              <w:pStyle w:val="Tablecolumnhead"/>
            </w:pPr>
            <w:r w:rsidRPr="00F21B23">
              <w:t>Proposed regulatory change</w:t>
            </w:r>
          </w:p>
        </w:tc>
        <w:tc>
          <w:tcPr>
            <w:tcW w:w="6327" w:type="dxa"/>
            <w:vMerge w:val="restart"/>
            <w:shd w:val="clear" w:color="auto" w:fill="00B2A9" w:themeFill="accent1"/>
            <w:vAlign w:val="center"/>
          </w:tcPr>
          <w:p w:rsidR="00CC3C64" w:rsidRPr="00F21B23" w:rsidRDefault="00CC3C64">
            <w:pPr>
              <w:pStyle w:val="Tablecolumnhead"/>
            </w:pPr>
            <w:r w:rsidRPr="00F21B23">
              <w:t>Why the 2017 Regulation is proposed</w:t>
            </w:r>
          </w:p>
        </w:tc>
      </w:tr>
      <w:tr w:rsidR="00B751DE" w:rsidRPr="00427EE1" w:rsidTr="006119D2">
        <w:trPr>
          <w:cantSplit/>
          <w:trHeight w:val="966"/>
          <w:tblHeader/>
        </w:trPr>
        <w:tc>
          <w:tcPr>
            <w:tcW w:w="1008"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945"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0F09FD" w:rsidRPr="00427EE1" w:rsidTr="006119D2">
        <w:trPr>
          <w:cantSplit/>
          <w:trHeight w:val="340"/>
        </w:trPr>
        <w:tc>
          <w:tcPr>
            <w:tcW w:w="100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0F09FD" w:rsidRPr="00427EE1" w:rsidRDefault="000F09FD" w:rsidP="006757E8">
            <w:pPr>
              <w:pStyle w:val="Tabletext"/>
              <w:rPr>
                <w:rFonts w:eastAsia="Calibri"/>
              </w:rPr>
            </w:pPr>
            <w:r w:rsidRPr="00427EE1">
              <w:rPr>
                <w:rFonts w:eastAsia="Calibri"/>
              </w:rPr>
              <w:t>807(1)</w:t>
            </w:r>
          </w:p>
          <w:p w:rsidR="000F09FD" w:rsidRPr="00427EE1" w:rsidRDefault="000F09FD" w:rsidP="006757E8">
            <w:pPr>
              <w:pStyle w:val="Tabletext"/>
              <w:rPr>
                <w:rFonts w:eastAsia="Calibri"/>
              </w:rPr>
            </w:pPr>
            <w:r w:rsidRPr="00427EE1">
              <w:rPr>
                <w:rFonts w:eastAsia="Calibri"/>
              </w:rPr>
              <w:t>807(6)</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0F09FD" w:rsidRPr="00427EE1" w:rsidRDefault="000F09FD" w:rsidP="006757E8">
            <w:pPr>
              <w:pStyle w:val="Tabletext"/>
              <w:rPr>
                <w:rFonts w:eastAsia="Calibri"/>
                <w:lang w:eastAsia="en-US"/>
              </w:rPr>
            </w:pPr>
            <w:r w:rsidRPr="00427EE1">
              <w:rPr>
                <w:rFonts w:eastAsia="Calibri"/>
                <w:lang w:eastAsia="en-US"/>
              </w:rPr>
              <w:t>150</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0F09FD" w:rsidRPr="00427EE1" w:rsidRDefault="000F09FD" w:rsidP="006757E8">
            <w:pPr>
              <w:pStyle w:val="Tabletext"/>
              <w:rPr>
                <w:rFonts w:eastAsia="Calibri"/>
                <w:b/>
                <w:lang w:eastAsia="en-US"/>
              </w:rPr>
            </w:pPr>
            <w:r w:rsidRPr="00427EE1">
              <w:rPr>
                <w:rFonts w:eastAsia="Calibri"/>
                <w:b/>
                <w:lang w:eastAsia="en-US"/>
              </w:rPr>
              <w:t>Mapping of designated special areas</w:t>
            </w:r>
          </w:p>
          <w:p w:rsidR="000F09FD" w:rsidRPr="00427EE1" w:rsidRDefault="002E244C" w:rsidP="006757E8">
            <w:pPr>
              <w:pStyle w:val="Tabletext"/>
              <w:rPr>
                <w:rFonts w:eastAsia="Calibri"/>
                <w:lang w:eastAsia="en-US"/>
              </w:rPr>
            </w:pPr>
            <w:r>
              <w:rPr>
                <w:rFonts w:eastAsia="Calibri"/>
                <w:lang w:eastAsia="en-US"/>
              </w:rPr>
              <w:t xml:space="preserve">Requires </w:t>
            </w:r>
            <w:r w:rsidR="000F09FD" w:rsidRPr="00427EE1">
              <w:rPr>
                <w:rFonts w:eastAsia="Calibri"/>
                <w:lang w:eastAsia="en-US"/>
              </w:rPr>
              <w:t xml:space="preserve">council to produce maps of designated special areas. The term ‘designated special area’ is defined in the new definitions clause of the proposed 2017 Regulations.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0F09FD" w:rsidRPr="00427EE1" w:rsidRDefault="000F09FD">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0F09FD" w:rsidRPr="00427EE1" w:rsidRDefault="000F09FD">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0F09FD" w:rsidRPr="00427EE1" w:rsidRDefault="000F09FD">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0F09FD" w:rsidRPr="00427EE1" w:rsidRDefault="000F09FD">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0F09FD" w:rsidRPr="00427EE1" w:rsidRDefault="000F09FD">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0F09FD" w:rsidRPr="00427EE1" w:rsidRDefault="000F09FD">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to ensure councils keep up</w:t>
            </w:r>
            <w:r w:rsidR="00181511">
              <w:rPr>
                <w:rFonts w:eastAsia="Calibri"/>
              </w:rPr>
              <w:t>-to-date</w:t>
            </w:r>
            <w:r w:rsidRPr="00427EE1">
              <w:rPr>
                <w:rFonts w:eastAsia="Calibri"/>
              </w:rPr>
              <w:t xml:space="preserve"> records to identify and map</w:t>
            </w:r>
            <w:r w:rsidR="00E60957">
              <w:rPr>
                <w:rFonts w:eastAsia="Calibri"/>
              </w:rPr>
              <w:t xml:space="preserve"> </w:t>
            </w:r>
            <w:r w:rsidRPr="00427EE1">
              <w:rPr>
                <w:rFonts w:eastAsia="Calibri"/>
              </w:rPr>
              <w:t>designated special areas for the benefit of the public and the operation of the 2017 Regulations.</w:t>
            </w:r>
          </w:p>
        </w:tc>
      </w:tr>
      <w:tr w:rsidR="00B751DE" w:rsidRPr="00427EE1" w:rsidTr="006119D2">
        <w:trPr>
          <w:cantSplit/>
          <w:trHeight w:val="340"/>
        </w:trPr>
        <w:tc>
          <w:tcPr>
            <w:tcW w:w="100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8O7(2) -</w:t>
            </w:r>
          </w:p>
          <w:p w:rsidR="00B751DE" w:rsidRPr="00427EE1" w:rsidRDefault="00B751DE" w:rsidP="006757E8">
            <w:pPr>
              <w:pStyle w:val="Tabletext"/>
              <w:rPr>
                <w:rFonts w:eastAsia="Calibri"/>
              </w:rPr>
            </w:pPr>
            <w:r w:rsidRPr="00427EE1">
              <w:rPr>
                <w:rFonts w:eastAsia="Calibri"/>
              </w:rPr>
              <w:t>807(5)</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151</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B751DE" w:rsidP="006757E8">
            <w:pPr>
              <w:pStyle w:val="Tabletext"/>
              <w:rPr>
                <w:rFonts w:eastAsia="Calibri"/>
                <w:b/>
                <w:lang w:eastAsia="en-US"/>
              </w:rPr>
            </w:pPr>
            <w:r w:rsidRPr="00427EE1">
              <w:rPr>
                <w:rFonts w:eastAsia="Calibri"/>
                <w:b/>
                <w:lang w:eastAsia="en-US"/>
              </w:rPr>
              <w:t>Alteration to and creation of new designated special area</w:t>
            </w:r>
          </w:p>
          <w:p w:rsidR="00B751DE" w:rsidRPr="00427EE1" w:rsidRDefault="003D75DD" w:rsidP="006757E8">
            <w:pPr>
              <w:pStyle w:val="Tabletext"/>
              <w:rPr>
                <w:rFonts w:eastAsia="Calibri"/>
                <w:lang w:eastAsia="en-US"/>
              </w:rPr>
            </w:pPr>
            <w:r>
              <w:rPr>
                <w:rFonts w:eastAsia="Calibri"/>
                <w:lang w:eastAsia="en-US"/>
              </w:rPr>
              <w:t xml:space="preserve">Specifies </w:t>
            </w:r>
            <w:r w:rsidR="00B751DE" w:rsidRPr="00427EE1">
              <w:rPr>
                <w:rFonts w:eastAsia="Calibri"/>
                <w:lang w:eastAsia="en-US"/>
              </w:rPr>
              <w:t>the administrative obligations that the council must discharge in meeting their obligation to map special designated areas.</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975337">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a</w:t>
            </w:r>
            <w:r w:rsidR="00B751DE" w:rsidRPr="00427EE1">
              <w:rPr>
                <w:rFonts w:eastAsia="Calibri"/>
              </w:rPr>
              <w:t xml:space="preserve">ddresses information asymmetry by ensuring information </w:t>
            </w:r>
            <w:r w:rsidR="00D90FC3">
              <w:rPr>
                <w:rFonts w:eastAsia="Calibri"/>
              </w:rPr>
              <w:t>about</w:t>
            </w:r>
            <w:r w:rsidR="00B751DE" w:rsidRPr="00427EE1">
              <w:rPr>
                <w:rFonts w:eastAsia="Calibri"/>
              </w:rPr>
              <w:t xml:space="preserve"> the location of special designated areas is accessible.</w:t>
            </w:r>
          </w:p>
        </w:tc>
      </w:tr>
      <w:tr w:rsidR="00B751DE" w:rsidRPr="00427EE1" w:rsidTr="006119D2">
        <w:trPr>
          <w:cantSplit/>
          <w:trHeight w:val="340"/>
        </w:trPr>
        <w:tc>
          <w:tcPr>
            <w:tcW w:w="100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lastRenderedPageBreak/>
              <w:t>803(1)</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152</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B751DE" w:rsidP="006757E8">
            <w:pPr>
              <w:pStyle w:val="Tabletext"/>
              <w:rPr>
                <w:rFonts w:eastAsia="Calibri"/>
                <w:b/>
                <w:lang w:eastAsia="en-US"/>
              </w:rPr>
            </w:pPr>
            <w:r w:rsidRPr="00427EE1">
              <w:rPr>
                <w:rFonts w:eastAsia="Calibri"/>
                <w:b/>
                <w:lang w:eastAsia="en-US"/>
              </w:rPr>
              <w:t>Termite</w:t>
            </w:r>
            <w:r w:rsidR="00181511">
              <w:rPr>
                <w:rFonts w:eastAsia="Calibri"/>
                <w:b/>
                <w:lang w:eastAsia="en-US"/>
              </w:rPr>
              <w:t>-risk</w:t>
            </w:r>
            <w:r w:rsidRPr="00427EE1">
              <w:rPr>
                <w:rFonts w:eastAsia="Calibri"/>
                <w:b/>
                <w:lang w:eastAsia="en-US"/>
              </w:rPr>
              <w:t xml:space="preserve"> areas</w:t>
            </w:r>
          </w:p>
          <w:p w:rsidR="00B751DE" w:rsidRPr="00427EE1" w:rsidRDefault="002E244C" w:rsidP="006757E8">
            <w:pPr>
              <w:pStyle w:val="Tabletext"/>
              <w:rPr>
                <w:rFonts w:eastAsia="Calibri"/>
                <w:lang w:eastAsia="en-US"/>
              </w:rPr>
            </w:pPr>
            <w:r>
              <w:rPr>
                <w:rFonts w:eastAsia="Calibri"/>
                <w:lang w:eastAsia="en-US"/>
              </w:rPr>
              <w:t xml:space="preserve">Enables </w:t>
            </w:r>
            <w:r w:rsidR="00B751DE" w:rsidRPr="00427EE1">
              <w:rPr>
                <w:rFonts w:eastAsia="Calibri"/>
                <w:lang w:eastAsia="en-US"/>
              </w:rPr>
              <w:t>council to declare termite areas.</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975337">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a</w:t>
            </w:r>
            <w:r w:rsidR="00B751DE" w:rsidRPr="00427EE1">
              <w:rPr>
                <w:rFonts w:eastAsia="Calibri"/>
              </w:rPr>
              <w:t xml:space="preserve">ddresses information asymmetry by enabling council to declare termite areas. </w:t>
            </w:r>
          </w:p>
        </w:tc>
      </w:tr>
      <w:tr w:rsidR="00B751DE" w:rsidRPr="00427EE1" w:rsidTr="006119D2">
        <w:trPr>
          <w:cantSplit/>
          <w:trHeight w:val="340"/>
        </w:trPr>
        <w:tc>
          <w:tcPr>
            <w:tcW w:w="100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803(2)</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153</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B751DE" w:rsidP="006757E8">
            <w:pPr>
              <w:pStyle w:val="Tabletext"/>
              <w:rPr>
                <w:rFonts w:eastAsia="Calibri"/>
                <w:b/>
                <w:lang w:eastAsia="en-US"/>
              </w:rPr>
            </w:pPr>
            <w:r w:rsidRPr="00427EE1">
              <w:rPr>
                <w:rFonts w:eastAsia="Calibri"/>
                <w:b/>
                <w:lang w:eastAsia="en-US"/>
              </w:rPr>
              <w:t>Construction in termite</w:t>
            </w:r>
            <w:r w:rsidR="00181511">
              <w:rPr>
                <w:rFonts w:eastAsia="Calibri"/>
                <w:b/>
                <w:lang w:eastAsia="en-US"/>
              </w:rPr>
              <w:t>-risk</w:t>
            </w:r>
            <w:r w:rsidRPr="00427EE1">
              <w:rPr>
                <w:rFonts w:eastAsia="Calibri"/>
                <w:b/>
                <w:lang w:eastAsia="en-US"/>
              </w:rPr>
              <w:t xml:space="preserve"> areas</w:t>
            </w:r>
          </w:p>
          <w:p w:rsidR="00B751DE" w:rsidRPr="00427EE1" w:rsidRDefault="003D75DD" w:rsidP="006757E8">
            <w:pPr>
              <w:pStyle w:val="Tabletext"/>
              <w:rPr>
                <w:rFonts w:eastAsia="Calibri"/>
                <w:lang w:eastAsia="en-US"/>
              </w:rPr>
            </w:pPr>
            <w:r>
              <w:rPr>
                <w:rFonts w:eastAsia="Calibri"/>
                <w:lang w:eastAsia="en-US"/>
              </w:rPr>
              <w:t xml:space="preserve">Specifies </w:t>
            </w:r>
            <w:r w:rsidR="00B751DE" w:rsidRPr="00427EE1">
              <w:rPr>
                <w:rFonts w:eastAsia="Calibri"/>
                <w:lang w:eastAsia="en-US"/>
              </w:rPr>
              <w:t>when a building is required to comply with the termite management requirements in the BCA.</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975337">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m</w:t>
            </w:r>
            <w:r w:rsidR="00B751DE" w:rsidRPr="00427EE1">
              <w:rPr>
                <w:rFonts w:eastAsia="Calibri"/>
              </w:rPr>
              <w:t>odifies the application of the BCA (reduces the compliance burden).</w:t>
            </w:r>
          </w:p>
        </w:tc>
      </w:tr>
      <w:tr w:rsidR="00B751DE" w:rsidRPr="00427EE1" w:rsidTr="006119D2">
        <w:trPr>
          <w:cantSplit/>
          <w:trHeight w:val="340"/>
        </w:trPr>
        <w:tc>
          <w:tcPr>
            <w:tcW w:w="100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rsidP="006757E8">
            <w:pPr>
              <w:pStyle w:val="Tabletext"/>
              <w:rPr>
                <w:rFonts w:eastAsia="Calibri"/>
              </w:rPr>
            </w:pPr>
            <w:r w:rsidRPr="00427EE1">
              <w:rPr>
                <w:rFonts w:eastAsia="Calibri"/>
              </w:rPr>
              <w:t>805</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rsidP="006757E8">
            <w:pPr>
              <w:pStyle w:val="Tabletext"/>
              <w:rPr>
                <w:rFonts w:eastAsia="Calibri"/>
                <w:lang w:eastAsia="en-US"/>
              </w:rPr>
            </w:pPr>
            <w:r w:rsidRPr="00427EE1">
              <w:rPr>
                <w:rFonts w:eastAsia="Calibri"/>
                <w:lang w:eastAsia="en-US"/>
              </w:rPr>
              <w:t>154</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tcPr>
          <w:p w:rsidR="00B751DE" w:rsidRPr="00427EE1" w:rsidRDefault="00B751DE" w:rsidP="006757E8">
            <w:pPr>
              <w:pStyle w:val="Tabletext"/>
              <w:rPr>
                <w:rFonts w:eastAsia="Calibri"/>
                <w:b/>
                <w:lang w:eastAsia="en-US"/>
              </w:rPr>
            </w:pPr>
            <w:r w:rsidRPr="00427EE1">
              <w:rPr>
                <w:rFonts w:eastAsia="Calibri"/>
                <w:b/>
                <w:lang w:eastAsia="en-US"/>
              </w:rPr>
              <w:t>Significant snowfall areas</w:t>
            </w:r>
          </w:p>
          <w:p w:rsidR="00B751DE" w:rsidRPr="00427EE1" w:rsidRDefault="002E244C" w:rsidP="006757E8">
            <w:pPr>
              <w:pStyle w:val="Tabletext"/>
              <w:rPr>
                <w:rFonts w:eastAsia="Calibri"/>
                <w:lang w:eastAsia="en-US"/>
              </w:rPr>
            </w:pPr>
            <w:r>
              <w:rPr>
                <w:rFonts w:eastAsia="Calibri"/>
                <w:lang w:eastAsia="en-US"/>
              </w:rPr>
              <w:t xml:space="preserve">Enables </w:t>
            </w:r>
            <w:r w:rsidR="00B751DE" w:rsidRPr="00427EE1">
              <w:rPr>
                <w:rFonts w:eastAsia="Calibri"/>
                <w:lang w:eastAsia="en-US"/>
              </w:rPr>
              <w:t>council to declare alpine areas.</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975337">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p</w:t>
            </w:r>
            <w:r w:rsidR="00B751DE" w:rsidRPr="00427EE1">
              <w:rPr>
                <w:rFonts w:eastAsia="Calibri"/>
              </w:rPr>
              <w:t>rotects health and safety by ensuring buildings are safe during significant snow fall. Clarifies application of BCA.</w:t>
            </w:r>
          </w:p>
        </w:tc>
      </w:tr>
      <w:tr w:rsidR="00B751DE" w:rsidRPr="00427EE1" w:rsidTr="006119D2">
        <w:trPr>
          <w:cantSplit/>
          <w:trHeight w:val="340"/>
        </w:trPr>
        <w:tc>
          <w:tcPr>
            <w:tcW w:w="100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rsidP="006757E8">
            <w:pPr>
              <w:pStyle w:val="Tabletext"/>
              <w:rPr>
                <w:rFonts w:eastAsia="Calibri"/>
              </w:rPr>
            </w:pPr>
            <w:r w:rsidRPr="00427EE1">
              <w:rPr>
                <w:rFonts w:eastAsia="Calibri"/>
              </w:rPr>
              <w:t>802(1)</w:t>
            </w:r>
          </w:p>
          <w:p w:rsidR="00B751DE" w:rsidRPr="00427EE1" w:rsidRDefault="00B751DE" w:rsidP="006757E8">
            <w:pPr>
              <w:pStyle w:val="Tabletext"/>
              <w:rPr>
                <w:rFonts w:eastAsia="Calibri"/>
              </w:rPr>
            </w:pPr>
            <w:r w:rsidRPr="00427EE1">
              <w:rPr>
                <w:rFonts w:eastAsia="Calibri"/>
              </w:rPr>
              <w:t>802(3)</w:t>
            </w:r>
            <w:r w:rsidR="00EF2008">
              <w:rPr>
                <w:rFonts w:eastAsia="Calibri"/>
              </w:rPr>
              <w:t>–</w:t>
            </w:r>
            <w:r w:rsidRPr="00427EE1">
              <w:rPr>
                <w:rFonts w:eastAsia="Calibri"/>
              </w:rPr>
              <w:t>802(8)</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rsidP="006757E8">
            <w:pPr>
              <w:pStyle w:val="Tabletext"/>
              <w:rPr>
                <w:rFonts w:eastAsia="Calibri"/>
                <w:lang w:eastAsia="en-US"/>
              </w:rPr>
            </w:pPr>
            <w:r w:rsidRPr="00427EE1">
              <w:rPr>
                <w:rFonts w:eastAsia="Calibri"/>
                <w:lang w:eastAsia="en-US"/>
              </w:rPr>
              <w:t>155</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tcPr>
          <w:p w:rsidR="00B751DE" w:rsidRPr="00427EE1" w:rsidRDefault="00B751DE" w:rsidP="006757E8">
            <w:pPr>
              <w:pStyle w:val="Tabletext"/>
              <w:rPr>
                <w:rFonts w:eastAsia="Calibri"/>
                <w:b/>
                <w:lang w:eastAsia="en-US"/>
              </w:rPr>
            </w:pPr>
            <w:r w:rsidRPr="00427EE1">
              <w:rPr>
                <w:rFonts w:eastAsia="Calibri"/>
                <w:b/>
                <w:lang w:eastAsia="en-US"/>
              </w:rPr>
              <w:t>Report and consent for building in areas liable to flooding</w:t>
            </w:r>
          </w:p>
          <w:p w:rsidR="00B751DE" w:rsidRPr="00427EE1" w:rsidRDefault="002E244C" w:rsidP="006757E8">
            <w:pPr>
              <w:pStyle w:val="Tabletext"/>
              <w:rPr>
                <w:rFonts w:eastAsia="Calibri"/>
                <w:lang w:eastAsia="en-US"/>
              </w:rPr>
            </w:pPr>
            <w:r>
              <w:rPr>
                <w:rFonts w:eastAsia="Calibri"/>
                <w:lang w:eastAsia="en-US"/>
              </w:rPr>
              <w:t xml:space="preserve">Requires </w:t>
            </w:r>
            <w:r w:rsidR="00B751DE" w:rsidRPr="00427EE1">
              <w:rPr>
                <w:rFonts w:eastAsia="Calibri"/>
                <w:lang w:eastAsia="en-US"/>
              </w:rPr>
              <w:t xml:space="preserve">the report and consent to be obtained from the relevant council if the building site is in an area liable to flooding.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975337">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r</w:t>
            </w:r>
            <w:r w:rsidR="00B751DE" w:rsidRPr="00427EE1">
              <w:rPr>
                <w:rFonts w:eastAsia="Calibri"/>
              </w:rPr>
              <w:t xml:space="preserve">educes impacts of flooding on buildings and building occupants. The requirement has been adjusted to apply only to residential use buildings. Previously it also applied to Class 5, 6, 7, 8 or Class 9b. These classes are now exempt. Land liable to flooding has been moved to the definitions </w:t>
            </w:r>
            <w:r w:rsidR="000273F9">
              <w:rPr>
                <w:rFonts w:eastAsia="Calibri"/>
              </w:rPr>
              <w:t>Regulation</w:t>
            </w:r>
            <w:r w:rsidR="00B751DE" w:rsidRPr="00427EE1">
              <w:rPr>
                <w:rFonts w:eastAsia="Calibri"/>
              </w:rPr>
              <w:t>.</w:t>
            </w:r>
          </w:p>
        </w:tc>
      </w:tr>
      <w:tr w:rsidR="00B751DE" w:rsidRPr="00427EE1" w:rsidTr="006119D2">
        <w:trPr>
          <w:cantSplit/>
          <w:trHeight w:val="340"/>
        </w:trPr>
        <w:tc>
          <w:tcPr>
            <w:tcW w:w="100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rsidP="006757E8">
            <w:pPr>
              <w:pStyle w:val="Tabletext"/>
              <w:rPr>
                <w:rFonts w:eastAsia="Calibri"/>
              </w:rPr>
            </w:pPr>
            <w:r w:rsidRPr="00427EE1">
              <w:rPr>
                <w:rFonts w:eastAsia="Calibri"/>
              </w:rPr>
              <w:t>806</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rsidP="006757E8">
            <w:pPr>
              <w:pStyle w:val="Tabletext"/>
              <w:rPr>
                <w:rFonts w:eastAsia="Calibri"/>
                <w:lang w:eastAsia="en-US"/>
              </w:rPr>
            </w:pPr>
            <w:r w:rsidRPr="00427EE1">
              <w:rPr>
                <w:rFonts w:eastAsia="Calibri"/>
                <w:lang w:eastAsia="en-US"/>
              </w:rPr>
              <w:t>156</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tcPr>
          <w:p w:rsidR="00B751DE" w:rsidRPr="00427EE1" w:rsidRDefault="00B751DE" w:rsidP="006757E8">
            <w:pPr>
              <w:pStyle w:val="Tabletext"/>
              <w:rPr>
                <w:rFonts w:eastAsia="Calibri"/>
                <w:b/>
                <w:lang w:eastAsia="en-US"/>
              </w:rPr>
            </w:pPr>
            <w:r w:rsidRPr="00427EE1">
              <w:rPr>
                <w:rFonts w:eastAsia="Calibri"/>
                <w:b/>
                <w:lang w:eastAsia="en-US"/>
              </w:rPr>
              <w:t>Report and consent for construction on designated land or designated works</w:t>
            </w:r>
          </w:p>
          <w:p w:rsidR="00B751DE" w:rsidRPr="00427EE1" w:rsidRDefault="002E244C" w:rsidP="006757E8">
            <w:pPr>
              <w:pStyle w:val="Tabletext"/>
              <w:rPr>
                <w:rFonts w:eastAsia="Calibri"/>
                <w:lang w:eastAsia="en-US"/>
              </w:rPr>
            </w:pPr>
            <w:r>
              <w:rPr>
                <w:rFonts w:eastAsia="Calibri"/>
                <w:lang w:eastAsia="en-US"/>
              </w:rPr>
              <w:t xml:space="preserve">Requires </w:t>
            </w:r>
            <w:r w:rsidR="00B751DE" w:rsidRPr="00427EE1">
              <w:rPr>
                <w:rFonts w:eastAsia="Calibri"/>
                <w:lang w:eastAsia="en-US"/>
              </w:rPr>
              <w:t>the report and consent of the relevant council if the construction of a building is proposed on designated land or works.</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975337">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m</w:t>
            </w:r>
            <w:r w:rsidR="00B751DE" w:rsidRPr="00427EE1">
              <w:rPr>
                <w:rFonts w:eastAsia="Calibri"/>
              </w:rPr>
              <w:t xml:space="preserve">itigates risks to public infrastructure by providing a checkpoint to ensure that approval is obtained from the relevant authorities. Designated land or works moved to definitions </w:t>
            </w:r>
            <w:r w:rsidR="000273F9">
              <w:rPr>
                <w:rFonts w:eastAsia="Calibri"/>
              </w:rPr>
              <w:t>Regulation</w:t>
            </w:r>
            <w:r w:rsidR="00B751DE" w:rsidRPr="00427EE1">
              <w:rPr>
                <w:rFonts w:eastAsia="Calibri"/>
              </w:rPr>
              <w:t>.</w:t>
            </w:r>
          </w:p>
        </w:tc>
      </w:tr>
    </w:tbl>
    <w:p w:rsidR="00B751DE" w:rsidRPr="00427EE1" w:rsidRDefault="00B751DE" w:rsidP="006757E8"/>
    <w:p w:rsidR="00AC4E58" w:rsidRPr="00427EE1" w:rsidRDefault="004267C5" w:rsidP="006119D2">
      <w:pPr>
        <w:pStyle w:val="Heading3"/>
      </w:pPr>
      <w:bookmarkStart w:id="185" w:name="_Toc481501606"/>
      <w:r>
        <w:lastRenderedPageBreak/>
        <w:t xml:space="preserve">Pt </w:t>
      </w:r>
      <w:r w:rsidR="00B751DE" w:rsidRPr="00427EE1">
        <w:t>12</w:t>
      </w:r>
      <w:r w:rsidR="008475D9">
        <w:t>—</w:t>
      </w:r>
      <w:r w:rsidR="00B751DE" w:rsidRPr="00427EE1">
        <w:t>Bushfire safety</w:t>
      </w:r>
      <w:bookmarkEnd w:id="185"/>
    </w:p>
    <w:p w:rsidR="00B751DE" w:rsidRPr="00427EE1" w:rsidRDefault="00EF2008" w:rsidP="006119D2">
      <w:pPr>
        <w:pStyle w:val="Heading4"/>
        <w:rPr>
          <w:sz w:val="24"/>
        </w:rPr>
      </w:pPr>
      <w:proofErr w:type="spellStart"/>
      <w:r>
        <w:t>Div</w:t>
      </w:r>
      <w:proofErr w:type="spellEnd"/>
      <w:r w:rsidR="00B751DE" w:rsidRPr="00427EE1">
        <w:t xml:space="preserve"> 1</w:t>
      </w:r>
      <w:r w:rsidR="008475D9">
        <w:t>—</w:t>
      </w:r>
      <w:r w:rsidR="00B751DE" w:rsidRPr="00427EE1">
        <w:t>Construction in designated bushfire</w:t>
      </w:r>
      <w:r w:rsidR="00C7328F">
        <w:t xml:space="preserve"> </w:t>
      </w:r>
      <w:r w:rsidR="00B751DE" w:rsidRPr="00427EE1">
        <w:t>prone areas</w:t>
      </w:r>
    </w:p>
    <w:tbl>
      <w:tblPr>
        <w:tblW w:w="14535" w:type="dxa"/>
        <w:tblInd w:w="-158"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1022"/>
        <w:gridCol w:w="945"/>
        <w:gridCol w:w="4243"/>
        <w:gridCol w:w="399"/>
        <w:gridCol w:w="399"/>
        <w:gridCol w:w="402"/>
        <w:gridCol w:w="400"/>
        <w:gridCol w:w="398"/>
        <w:gridCol w:w="6327"/>
      </w:tblGrid>
      <w:tr w:rsidR="00CC3C64" w:rsidRPr="00427EE1" w:rsidTr="006119D2">
        <w:trPr>
          <w:cantSplit/>
          <w:trHeight w:val="268"/>
          <w:tblHeader/>
        </w:trPr>
        <w:tc>
          <w:tcPr>
            <w:tcW w:w="1022" w:type="dxa"/>
            <w:vMerge w:val="restart"/>
            <w:shd w:val="clear" w:color="auto" w:fill="00B2A9" w:themeFill="accent1"/>
            <w:vAlign w:val="center"/>
            <w:hideMark/>
          </w:tcPr>
          <w:p w:rsidR="00CC3C64" w:rsidRDefault="00CC3C64">
            <w:pPr>
              <w:pStyle w:val="Tablecolumnhead"/>
              <w:rPr>
                <w:rFonts w:asciiTheme="majorHAnsi" w:eastAsia="Calibri" w:hAnsiTheme="majorHAnsi" w:cstheme="majorBidi"/>
                <w:sz w:val="40"/>
              </w:rPr>
            </w:pPr>
            <w:r w:rsidRPr="00BE72D7">
              <w:rPr>
                <w:rFonts w:eastAsia="Calibri"/>
              </w:rPr>
              <w:t>2006</w:t>
            </w:r>
          </w:p>
          <w:p w:rsidR="00CC3C64" w:rsidRPr="00A72717" w:rsidRDefault="00CC3C64">
            <w:pPr>
              <w:pStyle w:val="Tablecolumnhead"/>
              <w:rPr>
                <w:rFonts w:eastAsia="Calibri"/>
              </w:rPr>
            </w:pPr>
            <w:r w:rsidRPr="00C44680">
              <w:rPr>
                <w:rFonts w:ascii="Arial Bold" w:eastAsia="Calibri" w:hAnsi="Arial Bold"/>
                <w:spacing w:val="-12"/>
                <w:sz w:val="16"/>
              </w:rPr>
              <w:t>Regulation</w:t>
            </w:r>
          </w:p>
        </w:tc>
        <w:tc>
          <w:tcPr>
            <w:tcW w:w="945" w:type="dxa"/>
            <w:vMerge w:val="restart"/>
            <w:shd w:val="clear" w:color="auto" w:fill="00B2A9" w:themeFill="accent1"/>
            <w:vAlign w:val="center"/>
            <w:hideMark/>
          </w:tcPr>
          <w:p w:rsidR="00CC3C64" w:rsidRDefault="00CC3C64">
            <w:pPr>
              <w:pStyle w:val="Tablecolumnhead"/>
              <w:rPr>
                <w:rFonts w:asciiTheme="majorHAnsi" w:eastAsiaTheme="majorEastAsia" w:hAnsiTheme="majorHAnsi" w:cstheme="majorBidi"/>
                <w:sz w:val="40"/>
              </w:rPr>
            </w:pPr>
            <w:r w:rsidRPr="008F0E53">
              <w:rPr>
                <w:rFonts w:eastAsia="Calibri"/>
              </w:rPr>
              <w:t>2017</w:t>
            </w:r>
          </w:p>
          <w:p w:rsidR="00CC3C64" w:rsidRPr="00A72717" w:rsidRDefault="00CC3C64">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CC3C64" w:rsidRPr="00A72717" w:rsidRDefault="00CC3C64">
            <w:pPr>
              <w:pStyle w:val="Tablecolumnhead"/>
              <w:rPr>
                <w:rFonts w:eastAsia="Calibri"/>
              </w:rPr>
            </w:pPr>
            <w:r w:rsidRPr="00A72717">
              <w:t xml:space="preserve">Short description of the </w:t>
            </w:r>
            <w:r>
              <w:t>Regulation</w:t>
            </w:r>
          </w:p>
        </w:tc>
        <w:tc>
          <w:tcPr>
            <w:tcW w:w="1998" w:type="dxa"/>
            <w:gridSpan w:val="5"/>
            <w:shd w:val="clear" w:color="auto" w:fill="00B2A9" w:themeFill="accent1"/>
            <w:vAlign w:val="center"/>
          </w:tcPr>
          <w:p w:rsidR="00CC3C64" w:rsidRPr="00A72717" w:rsidRDefault="00CC3C64">
            <w:pPr>
              <w:pStyle w:val="Tablecolumnhead"/>
            </w:pPr>
            <w:r w:rsidRPr="00A72717">
              <w:t>Proposed regulatory change</w:t>
            </w:r>
          </w:p>
        </w:tc>
        <w:tc>
          <w:tcPr>
            <w:tcW w:w="6327" w:type="dxa"/>
            <w:vMerge w:val="restart"/>
            <w:shd w:val="clear" w:color="auto" w:fill="00B2A9" w:themeFill="accent1"/>
            <w:vAlign w:val="center"/>
          </w:tcPr>
          <w:p w:rsidR="00CC3C64" w:rsidRPr="00A72717" w:rsidRDefault="00CC3C64">
            <w:pPr>
              <w:pStyle w:val="Tablecolumnhead"/>
            </w:pPr>
            <w:r w:rsidRPr="00A72717">
              <w:t>Why the 2017 Regulation is proposed</w:t>
            </w:r>
          </w:p>
        </w:tc>
      </w:tr>
      <w:tr w:rsidR="00B751DE" w:rsidRPr="00427EE1" w:rsidTr="006119D2">
        <w:trPr>
          <w:cantSplit/>
          <w:trHeight w:val="966"/>
          <w:tblHeader/>
        </w:trPr>
        <w:tc>
          <w:tcPr>
            <w:tcW w:w="1022"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945"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B751DE" w:rsidRPr="00427EE1" w:rsidTr="006119D2">
        <w:trPr>
          <w:cantSplit/>
          <w:trHeight w:val="853"/>
        </w:trPr>
        <w:tc>
          <w:tcPr>
            <w:tcW w:w="102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rPr>
            </w:pPr>
            <w:r w:rsidRPr="00427EE1">
              <w:rPr>
                <w:rFonts w:eastAsia="Calibri"/>
              </w:rPr>
              <w:t>810</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lang w:eastAsia="en-US"/>
              </w:rPr>
            </w:pPr>
            <w:r w:rsidRPr="00427EE1">
              <w:rPr>
                <w:rFonts w:eastAsia="Calibri"/>
                <w:lang w:eastAsia="en-US"/>
              </w:rPr>
              <w:t>157</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B751DE" w:rsidRPr="00427EE1" w:rsidRDefault="00B751DE" w:rsidP="006757E8">
            <w:pPr>
              <w:pStyle w:val="Tabletext"/>
              <w:rPr>
                <w:rFonts w:eastAsia="Calibri"/>
                <w:b/>
                <w:lang w:eastAsia="en-US"/>
              </w:rPr>
            </w:pPr>
            <w:r w:rsidRPr="00427EE1">
              <w:rPr>
                <w:rFonts w:eastAsia="Calibri"/>
                <w:b/>
                <w:lang w:eastAsia="en-US"/>
              </w:rPr>
              <w:t>Designated bushfire</w:t>
            </w:r>
            <w:r w:rsidR="007C5A88">
              <w:rPr>
                <w:rFonts w:eastAsia="Calibri"/>
                <w:b/>
                <w:lang w:eastAsia="en-US"/>
              </w:rPr>
              <w:t>-</w:t>
            </w:r>
            <w:r w:rsidRPr="00427EE1">
              <w:rPr>
                <w:rFonts w:eastAsia="Calibri"/>
                <w:b/>
                <w:lang w:eastAsia="en-US"/>
              </w:rPr>
              <w:t>prone areas</w:t>
            </w:r>
          </w:p>
          <w:p w:rsidR="00B751DE" w:rsidRPr="00427EE1" w:rsidRDefault="002E244C" w:rsidP="006757E8">
            <w:pPr>
              <w:pStyle w:val="Tabletext"/>
              <w:rPr>
                <w:rFonts w:eastAsia="Calibri"/>
                <w:lang w:eastAsia="en-US"/>
              </w:rPr>
            </w:pPr>
            <w:r>
              <w:rPr>
                <w:rFonts w:eastAsia="Calibri"/>
                <w:lang w:eastAsia="en-US"/>
              </w:rPr>
              <w:t xml:space="preserve">Enables </w:t>
            </w:r>
            <w:r w:rsidR="00B751DE" w:rsidRPr="00427EE1">
              <w:rPr>
                <w:rFonts w:eastAsia="Calibri"/>
                <w:lang w:eastAsia="en-US"/>
              </w:rPr>
              <w:t>the Minister to declare designated bushfire</w:t>
            </w:r>
            <w:r w:rsidR="007C5A88">
              <w:rPr>
                <w:rFonts w:eastAsia="Calibri"/>
                <w:lang w:eastAsia="en-US"/>
              </w:rPr>
              <w:t>-</w:t>
            </w:r>
            <w:r w:rsidR="00B751DE" w:rsidRPr="00427EE1">
              <w:rPr>
                <w:rFonts w:eastAsia="Calibri"/>
                <w:lang w:eastAsia="en-US"/>
              </w:rPr>
              <w:t>prone areas and to map those areas</w:t>
            </w:r>
            <w:r w:rsidR="00CC3C64">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975337">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a</w:t>
            </w:r>
            <w:r w:rsidR="00B751DE" w:rsidRPr="00427EE1">
              <w:rPr>
                <w:rFonts w:eastAsia="Calibri"/>
              </w:rPr>
              <w:t>ddresses information asymmetry by identifying the areas that are at risk of bushfires.</w:t>
            </w:r>
          </w:p>
        </w:tc>
      </w:tr>
      <w:tr w:rsidR="00B751DE" w:rsidRPr="00427EE1" w:rsidTr="006119D2">
        <w:trPr>
          <w:cantSplit/>
          <w:trHeight w:val="340"/>
        </w:trPr>
        <w:tc>
          <w:tcPr>
            <w:tcW w:w="102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811</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158</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AB414E" w:rsidP="006757E8">
            <w:pPr>
              <w:pStyle w:val="Tabletext"/>
              <w:rPr>
                <w:rFonts w:eastAsia="Calibri"/>
                <w:b/>
                <w:lang w:eastAsia="en-US"/>
              </w:rPr>
            </w:pPr>
            <w:r>
              <w:rPr>
                <w:rFonts w:eastAsia="Calibri"/>
                <w:b/>
                <w:lang w:eastAsia="en-US"/>
              </w:rPr>
              <w:t>RBS</w:t>
            </w:r>
            <w:r w:rsidR="00B751DE" w:rsidRPr="00427EE1">
              <w:rPr>
                <w:rFonts w:eastAsia="Calibri"/>
                <w:b/>
                <w:lang w:eastAsia="en-US"/>
              </w:rPr>
              <w:t xml:space="preserve"> must accept bushfire attack level </w:t>
            </w:r>
            <w:r w:rsidR="00666D12">
              <w:rPr>
                <w:rFonts w:eastAsia="Calibri"/>
                <w:b/>
                <w:lang w:eastAsia="en-US"/>
              </w:rPr>
              <w:t xml:space="preserve">(BAL) </w:t>
            </w:r>
            <w:r w:rsidR="00B751DE" w:rsidRPr="00427EE1">
              <w:rPr>
                <w:rFonts w:eastAsia="Calibri"/>
                <w:b/>
                <w:lang w:eastAsia="en-US"/>
              </w:rPr>
              <w:t>in planning scheme or site assessment for planning permit</w:t>
            </w:r>
          </w:p>
          <w:p w:rsidR="00B751DE" w:rsidRPr="00427EE1" w:rsidRDefault="002E244C" w:rsidP="006757E8">
            <w:pPr>
              <w:pStyle w:val="Tabletext"/>
              <w:rPr>
                <w:rFonts w:eastAsia="Calibri"/>
                <w:lang w:eastAsia="en-US"/>
              </w:rPr>
            </w:pPr>
            <w:r>
              <w:rPr>
                <w:rFonts w:eastAsia="Calibri"/>
                <w:lang w:eastAsia="en-US"/>
              </w:rPr>
              <w:t xml:space="preserve">Requires </w:t>
            </w:r>
            <w:r w:rsidR="00975337" w:rsidRPr="00427EE1">
              <w:rPr>
                <w:rFonts w:eastAsia="Calibri"/>
                <w:lang w:eastAsia="en-US"/>
              </w:rPr>
              <w:t>that a</w:t>
            </w:r>
            <w:r w:rsidR="00B751DE" w:rsidRPr="00427EE1">
              <w:rPr>
                <w:rFonts w:eastAsia="Calibri"/>
                <w:lang w:eastAsia="en-US"/>
              </w:rPr>
              <w:t xml:space="preserve"> BAL that has been determined under the planning system must be applied to a building permit. The BCA is modified to increase the minimum</w:t>
            </w:r>
            <w:r w:rsidR="00D71A15" w:rsidRPr="00427EE1">
              <w:rPr>
                <w:rFonts w:eastAsia="Calibri"/>
                <w:lang w:eastAsia="en-US"/>
              </w:rPr>
              <w:t xml:space="preserve"> </w:t>
            </w:r>
            <w:r w:rsidR="00B751DE" w:rsidRPr="00427EE1">
              <w:rPr>
                <w:rFonts w:eastAsia="Calibri"/>
                <w:lang w:eastAsia="en-US"/>
              </w:rPr>
              <w:t>standards for residential buildings</w:t>
            </w:r>
            <w:r w:rsidR="00CC3C64">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975337">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r</w:t>
            </w:r>
            <w:r w:rsidR="00B751DE" w:rsidRPr="00427EE1">
              <w:rPr>
                <w:rFonts w:eastAsia="Calibri"/>
              </w:rPr>
              <w:t>educes duplication with planning system requirements and the construction, in accordance with the BAL rating is aimed at protecting health and safety of occupants of residential properties.</w:t>
            </w:r>
          </w:p>
        </w:tc>
      </w:tr>
      <w:tr w:rsidR="00B751DE" w:rsidRPr="00427EE1" w:rsidTr="006119D2">
        <w:trPr>
          <w:cantSplit/>
          <w:trHeight w:val="340"/>
        </w:trPr>
        <w:tc>
          <w:tcPr>
            <w:tcW w:w="102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812</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159</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AB414E" w:rsidP="006757E8">
            <w:pPr>
              <w:pStyle w:val="Tabletext"/>
              <w:rPr>
                <w:rFonts w:eastAsia="Calibri"/>
                <w:b/>
                <w:lang w:eastAsia="en-US"/>
              </w:rPr>
            </w:pPr>
            <w:r>
              <w:rPr>
                <w:rFonts w:eastAsia="Calibri"/>
                <w:b/>
                <w:lang w:eastAsia="en-US"/>
              </w:rPr>
              <w:t>RBS</w:t>
            </w:r>
            <w:r w:rsidR="00B751DE" w:rsidRPr="00427EE1">
              <w:rPr>
                <w:rFonts w:eastAsia="Calibri"/>
                <w:b/>
                <w:lang w:eastAsia="en-US"/>
              </w:rPr>
              <w:t xml:space="preserve"> must accept </w:t>
            </w:r>
            <w:r w:rsidR="00666D12">
              <w:rPr>
                <w:rFonts w:eastAsia="Calibri"/>
                <w:b/>
                <w:lang w:eastAsia="en-US"/>
              </w:rPr>
              <w:t>BAL</w:t>
            </w:r>
            <w:r w:rsidR="00B751DE" w:rsidRPr="00427EE1">
              <w:rPr>
                <w:rFonts w:eastAsia="Calibri"/>
                <w:b/>
                <w:lang w:eastAsia="en-US"/>
              </w:rPr>
              <w:t xml:space="preserve"> of 12-5</w:t>
            </w:r>
          </w:p>
          <w:p w:rsidR="00B751DE" w:rsidRPr="00427EE1" w:rsidRDefault="002E244C" w:rsidP="006757E8">
            <w:pPr>
              <w:pStyle w:val="Tabletext"/>
              <w:rPr>
                <w:rFonts w:eastAsia="Calibri"/>
                <w:lang w:eastAsia="en-US"/>
              </w:rPr>
            </w:pPr>
            <w:r>
              <w:rPr>
                <w:rFonts w:eastAsia="Calibri"/>
                <w:lang w:eastAsia="en-US"/>
              </w:rPr>
              <w:t xml:space="preserve">Requires </w:t>
            </w:r>
            <w:r w:rsidR="00B751DE" w:rsidRPr="00427EE1">
              <w:rPr>
                <w:rFonts w:eastAsia="Calibri"/>
                <w:lang w:eastAsia="en-US"/>
              </w:rPr>
              <w:t>residential buildings and buildings occupied by young children and the elderly to be constructed to a minimum of 12.5 BAL in a bushfire</w:t>
            </w:r>
            <w:r w:rsidR="007C5A88">
              <w:rPr>
                <w:rFonts w:eastAsia="Calibri"/>
                <w:lang w:eastAsia="en-US"/>
              </w:rPr>
              <w:t>-</w:t>
            </w:r>
            <w:r w:rsidR="00B751DE" w:rsidRPr="00427EE1">
              <w:rPr>
                <w:rFonts w:eastAsia="Calibri"/>
                <w:lang w:eastAsia="en-US"/>
              </w:rPr>
              <w:t>prone area.</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975337">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m</w:t>
            </w:r>
            <w:r w:rsidR="00B751DE" w:rsidRPr="00427EE1">
              <w:rPr>
                <w:rFonts w:eastAsia="Calibri"/>
              </w:rPr>
              <w:t>itigates health and safety risks for occupants of residential buildings, or for occupants who are vulnerable to bushfire (residents and occupants who can not readily evacuate buildings (due to health or age)</w:t>
            </w:r>
            <w:r w:rsidR="00995450">
              <w:rPr>
                <w:rFonts w:eastAsia="Calibri"/>
              </w:rPr>
              <w:t>.</w:t>
            </w:r>
          </w:p>
        </w:tc>
      </w:tr>
      <w:tr w:rsidR="00B751DE" w:rsidRPr="00427EE1" w:rsidTr="006119D2">
        <w:trPr>
          <w:cantSplit/>
          <w:trHeight w:val="340"/>
        </w:trPr>
        <w:tc>
          <w:tcPr>
            <w:tcW w:w="102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114</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160</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B751DE" w:rsidP="006757E8">
            <w:pPr>
              <w:pStyle w:val="Tabletext"/>
              <w:rPr>
                <w:rFonts w:eastAsia="Calibri"/>
                <w:b/>
                <w:lang w:eastAsia="en-US"/>
              </w:rPr>
            </w:pPr>
            <w:r w:rsidRPr="00427EE1">
              <w:rPr>
                <w:rFonts w:eastAsia="Calibri"/>
                <w:b/>
                <w:lang w:eastAsia="en-US"/>
              </w:rPr>
              <w:t>Specific use bushfire protected buildings—Construction requirements</w:t>
            </w:r>
          </w:p>
          <w:p w:rsidR="00B751DE" w:rsidRPr="00427EE1" w:rsidRDefault="002E244C" w:rsidP="006757E8">
            <w:pPr>
              <w:pStyle w:val="Tabletext"/>
              <w:rPr>
                <w:rFonts w:eastAsia="Calibri"/>
                <w:lang w:eastAsia="en-US"/>
              </w:rPr>
            </w:pPr>
            <w:r>
              <w:rPr>
                <w:rFonts w:eastAsia="Calibri"/>
                <w:lang w:eastAsia="en-US"/>
              </w:rPr>
              <w:t xml:space="preserve">Defines </w:t>
            </w:r>
            <w:r w:rsidR="00B751DE" w:rsidRPr="00427EE1">
              <w:rPr>
                <w:rFonts w:eastAsia="Calibri"/>
                <w:lang w:eastAsia="en-US"/>
              </w:rPr>
              <w:t>a specific use bushfire protected building</w:t>
            </w:r>
            <w:r w:rsidR="00995450">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975337">
            <w:pPr>
              <w:pStyle w:val="Tabletext"/>
              <w:rPr>
                <w:rFonts w:eastAsia="Calibri"/>
              </w:rPr>
            </w:pPr>
            <w:r w:rsidRPr="00427EE1">
              <w:rPr>
                <w:rFonts w:eastAsia="Calibri"/>
                <w:lang w:eastAsia="en-US"/>
              </w:rPr>
              <w:t xml:space="preserve">This </w:t>
            </w:r>
            <w:r w:rsidR="000273F9">
              <w:rPr>
                <w:rFonts w:eastAsia="Calibri"/>
                <w:lang w:eastAsia="en-US"/>
              </w:rPr>
              <w:t>Regulation</w:t>
            </w:r>
            <w:r w:rsidR="00E60957">
              <w:rPr>
                <w:rFonts w:eastAsia="Calibri"/>
                <w:lang w:eastAsia="en-US"/>
              </w:rPr>
              <w:t xml:space="preserve"> </w:t>
            </w:r>
            <w:r w:rsidR="00BB3A66" w:rsidRPr="00427EE1">
              <w:rPr>
                <w:rFonts w:eastAsia="Calibri"/>
                <w:lang w:eastAsia="en-US"/>
              </w:rPr>
              <w:t>promotes</w:t>
            </w:r>
            <w:r w:rsidRPr="00427EE1">
              <w:rPr>
                <w:rFonts w:eastAsia="Calibri"/>
                <w:lang w:eastAsia="en-US"/>
              </w:rPr>
              <w:t xml:space="preserve"> consistent</w:t>
            </w:r>
            <w:r w:rsidR="00E60957">
              <w:rPr>
                <w:rFonts w:eastAsia="Calibri"/>
                <w:lang w:eastAsia="en-US"/>
              </w:rPr>
              <w:t xml:space="preserve"> </w:t>
            </w:r>
            <w:r w:rsidR="00B751DE" w:rsidRPr="00427EE1">
              <w:rPr>
                <w:rFonts w:eastAsia="Calibri"/>
              </w:rPr>
              <w:t xml:space="preserve">interpretation. </w:t>
            </w:r>
          </w:p>
        </w:tc>
      </w:tr>
    </w:tbl>
    <w:p w:rsidR="00AC4E58" w:rsidRPr="00427EE1" w:rsidRDefault="00AC4E58" w:rsidP="006757E8"/>
    <w:p w:rsidR="00B751DE" w:rsidRPr="00427EE1" w:rsidRDefault="00EF2008" w:rsidP="006119D2">
      <w:pPr>
        <w:pStyle w:val="Heading4"/>
      </w:pPr>
      <w:proofErr w:type="spellStart"/>
      <w:r>
        <w:lastRenderedPageBreak/>
        <w:t>Div</w:t>
      </w:r>
      <w:proofErr w:type="spellEnd"/>
      <w:r w:rsidR="00B751DE" w:rsidRPr="00427EE1">
        <w:t xml:space="preserve"> 2</w:t>
      </w:r>
      <w:r w:rsidR="008475D9">
        <w:t>—</w:t>
      </w:r>
      <w:r w:rsidR="00B751DE" w:rsidRPr="00427EE1">
        <w:t>Requirements for buildings replacing buildings destroyed in the 2009 bushfires</w:t>
      </w:r>
    </w:p>
    <w:tbl>
      <w:tblPr>
        <w:tblW w:w="14549" w:type="dxa"/>
        <w:tblInd w:w="-172"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1036"/>
        <w:gridCol w:w="945"/>
        <w:gridCol w:w="4243"/>
        <w:gridCol w:w="399"/>
        <w:gridCol w:w="399"/>
        <w:gridCol w:w="402"/>
        <w:gridCol w:w="400"/>
        <w:gridCol w:w="398"/>
        <w:gridCol w:w="6327"/>
      </w:tblGrid>
      <w:tr w:rsidR="00CC3C64" w:rsidRPr="00427EE1" w:rsidTr="006119D2">
        <w:trPr>
          <w:cantSplit/>
          <w:trHeight w:val="235"/>
          <w:tblHeader/>
        </w:trPr>
        <w:tc>
          <w:tcPr>
            <w:tcW w:w="1036" w:type="dxa"/>
            <w:vMerge w:val="restart"/>
            <w:shd w:val="clear" w:color="auto" w:fill="00B2A9" w:themeFill="accent1"/>
            <w:vAlign w:val="center"/>
            <w:hideMark/>
          </w:tcPr>
          <w:p w:rsidR="00CC3C64" w:rsidRDefault="00CC3C64">
            <w:pPr>
              <w:pStyle w:val="Tablecolumnhead"/>
              <w:rPr>
                <w:rFonts w:asciiTheme="majorHAnsi" w:eastAsia="Calibri" w:hAnsiTheme="majorHAnsi" w:cstheme="majorBidi"/>
                <w:sz w:val="40"/>
              </w:rPr>
            </w:pPr>
            <w:r w:rsidRPr="00BE72D7">
              <w:rPr>
                <w:rFonts w:eastAsia="Calibri"/>
              </w:rPr>
              <w:t>2006</w:t>
            </w:r>
          </w:p>
          <w:p w:rsidR="00CC3C64" w:rsidRPr="00A72717" w:rsidRDefault="00CC3C64">
            <w:pPr>
              <w:pStyle w:val="Tablecolumnhead"/>
              <w:rPr>
                <w:rFonts w:eastAsia="Calibri"/>
              </w:rPr>
            </w:pPr>
            <w:r w:rsidRPr="00C44680">
              <w:rPr>
                <w:rFonts w:ascii="Arial Bold" w:eastAsia="Calibri" w:hAnsi="Arial Bold"/>
                <w:spacing w:val="-12"/>
                <w:sz w:val="16"/>
              </w:rPr>
              <w:t>Regulation</w:t>
            </w:r>
          </w:p>
        </w:tc>
        <w:tc>
          <w:tcPr>
            <w:tcW w:w="945" w:type="dxa"/>
            <w:vMerge w:val="restart"/>
            <w:shd w:val="clear" w:color="auto" w:fill="00B2A9" w:themeFill="accent1"/>
            <w:vAlign w:val="center"/>
            <w:hideMark/>
          </w:tcPr>
          <w:p w:rsidR="00CC3C64" w:rsidRDefault="00CC3C64">
            <w:pPr>
              <w:pStyle w:val="Tablecolumnhead"/>
              <w:rPr>
                <w:rFonts w:asciiTheme="majorHAnsi" w:eastAsiaTheme="majorEastAsia" w:hAnsiTheme="majorHAnsi" w:cstheme="majorBidi"/>
                <w:sz w:val="40"/>
              </w:rPr>
            </w:pPr>
            <w:r w:rsidRPr="008F0E53">
              <w:rPr>
                <w:rFonts w:eastAsia="Calibri"/>
              </w:rPr>
              <w:t>2017</w:t>
            </w:r>
          </w:p>
          <w:p w:rsidR="00CC3C64" w:rsidRPr="00A72717" w:rsidRDefault="00CC3C64">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CC3C64" w:rsidRPr="00A72717" w:rsidRDefault="00CC3C64">
            <w:pPr>
              <w:pStyle w:val="Tablecolumnhead"/>
              <w:rPr>
                <w:rFonts w:eastAsia="Calibri"/>
              </w:rPr>
            </w:pPr>
            <w:r w:rsidRPr="00A72717">
              <w:rPr>
                <w:szCs w:val="22"/>
              </w:rPr>
              <w:t xml:space="preserve">Short description of the </w:t>
            </w:r>
            <w:r>
              <w:rPr>
                <w:szCs w:val="22"/>
              </w:rPr>
              <w:t>Regulation</w:t>
            </w:r>
          </w:p>
        </w:tc>
        <w:tc>
          <w:tcPr>
            <w:tcW w:w="1998" w:type="dxa"/>
            <w:gridSpan w:val="5"/>
            <w:shd w:val="clear" w:color="auto" w:fill="00B2A9" w:themeFill="accent1"/>
            <w:vAlign w:val="center"/>
          </w:tcPr>
          <w:p w:rsidR="00CC3C64" w:rsidRPr="00A72717" w:rsidRDefault="00CC3C64">
            <w:pPr>
              <w:pStyle w:val="Tablecolumnhead"/>
            </w:pPr>
            <w:r w:rsidRPr="00A72717">
              <w:rPr>
                <w:szCs w:val="22"/>
              </w:rPr>
              <w:t>Proposed regulatory change</w:t>
            </w:r>
          </w:p>
        </w:tc>
        <w:tc>
          <w:tcPr>
            <w:tcW w:w="6327" w:type="dxa"/>
            <w:vMerge w:val="restart"/>
            <w:shd w:val="clear" w:color="auto" w:fill="00B2A9" w:themeFill="accent1"/>
            <w:vAlign w:val="center"/>
          </w:tcPr>
          <w:p w:rsidR="00CC3C64" w:rsidRPr="00A72717" w:rsidRDefault="00CC3C64">
            <w:pPr>
              <w:pStyle w:val="Tablecolumnhead"/>
            </w:pPr>
            <w:r w:rsidRPr="00A72717">
              <w:rPr>
                <w:szCs w:val="22"/>
              </w:rPr>
              <w:t>Why the 2017 Regulation is proposed</w:t>
            </w:r>
          </w:p>
        </w:tc>
      </w:tr>
      <w:tr w:rsidR="00B751DE" w:rsidRPr="00427EE1" w:rsidTr="006119D2">
        <w:trPr>
          <w:cantSplit/>
          <w:trHeight w:val="1100"/>
          <w:tblHeader/>
        </w:trPr>
        <w:tc>
          <w:tcPr>
            <w:tcW w:w="1036"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945"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B751DE" w:rsidRPr="00427EE1" w:rsidTr="006119D2">
        <w:trPr>
          <w:cantSplit/>
          <w:trHeight w:val="340"/>
        </w:trPr>
        <w:tc>
          <w:tcPr>
            <w:tcW w:w="103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rPr>
            </w:pPr>
            <w:r w:rsidRPr="00427EE1">
              <w:rPr>
                <w:rFonts w:eastAsia="Calibri"/>
              </w:rPr>
              <w:t>808(1)</w:t>
            </w:r>
          </w:p>
          <w:p w:rsidR="00B751DE" w:rsidRPr="00427EE1" w:rsidRDefault="00B751DE" w:rsidP="006757E8">
            <w:pPr>
              <w:pStyle w:val="Tabletext"/>
              <w:rPr>
                <w:rFonts w:eastAsia="Calibri"/>
              </w:rPr>
            </w:pPr>
            <w:r w:rsidRPr="00427EE1">
              <w:rPr>
                <w:rFonts w:eastAsia="Calibri"/>
              </w:rPr>
              <w:t>809(1)</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lang w:eastAsia="en-US"/>
              </w:rPr>
            </w:pPr>
            <w:r w:rsidRPr="00427EE1">
              <w:rPr>
                <w:rFonts w:eastAsia="Calibri"/>
                <w:lang w:eastAsia="en-US"/>
              </w:rPr>
              <w:t>161</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B751DE" w:rsidRPr="00427EE1" w:rsidRDefault="00B751DE" w:rsidP="006757E8">
            <w:pPr>
              <w:pStyle w:val="Tabletext"/>
              <w:rPr>
                <w:rFonts w:eastAsia="Calibri"/>
                <w:b/>
                <w:lang w:eastAsia="en-US"/>
              </w:rPr>
            </w:pPr>
            <w:r w:rsidRPr="00427EE1">
              <w:rPr>
                <w:rFonts w:eastAsia="Calibri"/>
                <w:b/>
                <w:lang w:eastAsia="en-US"/>
              </w:rPr>
              <w:t xml:space="preserve">Application of this </w:t>
            </w:r>
            <w:r w:rsidR="00CC3C64">
              <w:rPr>
                <w:rFonts w:eastAsia="Calibri"/>
                <w:b/>
                <w:lang w:eastAsia="en-US"/>
              </w:rPr>
              <w:t>d</w:t>
            </w:r>
            <w:r w:rsidRPr="00427EE1">
              <w:rPr>
                <w:rFonts w:eastAsia="Calibri"/>
                <w:b/>
                <w:lang w:eastAsia="en-US"/>
              </w:rPr>
              <w:t>ivision</w:t>
            </w:r>
          </w:p>
          <w:p w:rsidR="00B751DE" w:rsidRPr="00427EE1" w:rsidRDefault="003D75DD" w:rsidP="006757E8">
            <w:pPr>
              <w:pStyle w:val="Tabletext"/>
              <w:rPr>
                <w:rFonts w:eastAsia="Calibri"/>
                <w:lang w:eastAsia="en-US"/>
              </w:rPr>
            </w:pPr>
            <w:r>
              <w:rPr>
                <w:rFonts w:eastAsia="Calibri"/>
                <w:lang w:eastAsia="en-US"/>
              </w:rPr>
              <w:t xml:space="preserve">Specifies </w:t>
            </w:r>
            <w:r w:rsidR="00B751DE" w:rsidRPr="00427EE1">
              <w:rPr>
                <w:rFonts w:eastAsia="Calibri"/>
                <w:lang w:eastAsia="en-US"/>
              </w:rPr>
              <w:t xml:space="preserve">the properties that are required to comply with this </w:t>
            </w:r>
            <w:r w:rsidR="00CC3C64">
              <w:rPr>
                <w:rFonts w:eastAsia="Calibri"/>
                <w:lang w:eastAsia="en-US"/>
              </w:rPr>
              <w:t>d</w:t>
            </w:r>
            <w:r w:rsidR="00B751DE" w:rsidRPr="00427EE1">
              <w:rPr>
                <w:rFonts w:eastAsia="Calibri"/>
                <w:lang w:eastAsia="en-US"/>
              </w:rPr>
              <w:t>ivision</w:t>
            </w:r>
            <w:r w:rsidR="00CC3C64">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4D26E7">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r</w:t>
            </w:r>
            <w:r w:rsidR="00B751DE" w:rsidRPr="00427EE1">
              <w:rPr>
                <w:rFonts w:eastAsia="Calibri"/>
              </w:rPr>
              <w:t>educes burden for properties that burn</w:t>
            </w:r>
            <w:r w:rsidR="004E083D">
              <w:rPr>
                <w:rFonts w:eastAsia="Calibri"/>
              </w:rPr>
              <w:t>ed</w:t>
            </w:r>
            <w:r w:rsidR="00B751DE" w:rsidRPr="00427EE1">
              <w:rPr>
                <w:rFonts w:eastAsia="Calibri"/>
              </w:rPr>
              <w:t xml:space="preserve"> down in bushfires in early 2009 by allowing the properties to be rebuilt without a planning permit.</w:t>
            </w:r>
          </w:p>
        </w:tc>
      </w:tr>
      <w:tr w:rsidR="00B751DE" w:rsidRPr="00427EE1" w:rsidTr="006119D2">
        <w:trPr>
          <w:cantSplit/>
          <w:trHeight w:val="340"/>
        </w:trPr>
        <w:tc>
          <w:tcPr>
            <w:tcW w:w="103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808(2)</w:t>
            </w:r>
            <w:r w:rsidR="00EF2008">
              <w:rPr>
                <w:rFonts w:eastAsia="Calibri"/>
              </w:rPr>
              <w:t>–</w:t>
            </w:r>
            <w:r w:rsidRPr="00427EE1">
              <w:rPr>
                <w:rFonts w:eastAsia="Calibri"/>
              </w:rPr>
              <w:t>(8)</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162</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B751DE" w:rsidP="006757E8">
            <w:pPr>
              <w:pStyle w:val="Tabletext"/>
              <w:rPr>
                <w:rFonts w:eastAsia="Calibri"/>
                <w:b/>
                <w:lang w:eastAsia="en-US"/>
              </w:rPr>
            </w:pPr>
            <w:r w:rsidRPr="00427EE1">
              <w:rPr>
                <w:rFonts w:eastAsia="Calibri"/>
                <w:b/>
                <w:lang w:eastAsia="en-US"/>
              </w:rPr>
              <w:t>Static water supply for fire</w:t>
            </w:r>
            <w:r w:rsidR="00D90FC3">
              <w:rPr>
                <w:rFonts w:eastAsia="Calibri"/>
                <w:b/>
                <w:lang w:eastAsia="en-US"/>
              </w:rPr>
              <w:t>fighting</w:t>
            </w:r>
            <w:r w:rsidRPr="00427EE1">
              <w:rPr>
                <w:rFonts w:eastAsia="Calibri"/>
                <w:b/>
                <w:lang w:eastAsia="en-US"/>
              </w:rPr>
              <w:t xml:space="preserve"> purposes</w:t>
            </w:r>
          </w:p>
          <w:p w:rsidR="00B751DE" w:rsidRPr="00427EE1" w:rsidRDefault="003D75DD" w:rsidP="006757E8">
            <w:pPr>
              <w:pStyle w:val="Tabletext"/>
              <w:rPr>
                <w:rFonts w:eastAsia="Calibri"/>
                <w:lang w:eastAsia="en-US"/>
              </w:rPr>
            </w:pPr>
            <w:r>
              <w:rPr>
                <w:rFonts w:eastAsia="Calibri"/>
                <w:lang w:eastAsia="en-US"/>
              </w:rPr>
              <w:t xml:space="preserve">Specifies </w:t>
            </w:r>
            <w:r w:rsidR="00B751DE" w:rsidRPr="00427EE1">
              <w:rPr>
                <w:rFonts w:eastAsia="Calibri"/>
                <w:lang w:eastAsia="en-US"/>
              </w:rPr>
              <w:t>the requirements for a static water supply to be provided at the property</w:t>
            </w:r>
            <w:r w:rsidR="00995450">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4D26E7">
            <w:pPr>
              <w:pStyle w:val="Tabletext"/>
              <w:rPr>
                <w:rFonts w:eastAsia="Calibri"/>
              </w:rPr>
            </w:pPr>
            <w:r w:rsidRPr="00427EE1">
              <w:rPr>
                <w:rFonts w:eastAsia="Calibri"/>
                <w:lang w:eastAsia="en-US"/>
              </w:rPr>
              <w:t xml:space="preserve"> This </w:t>
            </w:r>
            <w:r w:rsidR="000273F9">
              <w:rPr>
                <w:rFonts w:eastAsia="Calibri"/>
                <w:lang w:eastAsia="en-US"/>
              </w:rPr>
              <w:t>Regulation</w:t>
            </w:r>
            <w:r w:rsidRPr="00427EE1">
              <w:rPr>
                <w:rFonts w:eastAsia="Calibri"/>
                <w:lang w:eastAsia="en-US"/>
              </w:rPr>
              <w:t xml:space="preserve"> r</w:t>
            </w:r>
            <w:r w:rsidR="00B751DE" w:rsidRPr="00427EE1">
              <w:rPr>
                <w:rFonts w:eastAsia="Calibri"/>
              </w:rPr>
              <w:t>educes the risks of bushfires by ensuring fire</w:t>
            </w:r>
            <w:r w:rsidR="00D90FC3">
              <w:rPr>
                <w:rFonts w:eastAsia="Calibri"/>
              </w:rPr>
              <w:t>fighters</w:t>
            </w:r>
            <w:r w:rsidR="00B751DE" w:rsidRPr="00427EE1">
              <w:rPr>
                <w:rFonts w:eastAsia="Calibri"/>
              </w:rPr>
              <w:t xml:space="preserve"> have access to water (controls usually imposed by the planning system). </w:t>
            </w:r>
          </w:p>
        </w:tc>
      </w:tr>
      <w:tr w:rsidR="00B751DE" w:rsidRPr="00427EE1" w:rsidTr="006119D2">
        <w:trPr>
          <w:cantSplit/>
          <w:trHeight w:val="340"/>
        </w:trPr>
        <w:tc>
          <w:tcPr>
            <w:tcW w:w="103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809</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163</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B751DE" w:rsidP="006757E8">
            <w:pPr>
              <w:pStyle w:val="Tabletext"/>
              <w:rPr>
                <w:rFonts w:eastAsia="Calibri"/>
                <w:b/>
                <w:lang w:eastAsia="en-US"/>
              </w:rPr>
            </w:pPr>
            <w:r w:rsidRPr="00427EE1">
              <w:rPr>
                <w:rFonts w:eastAsia="Calibri"/>
                <w:b/>
                <w:lang w:eastAsia="en-US"/>
              </w:rPr>
              <w:t>Access for emergency vehicles</w:t>
            </w:r>
          </w:p>
          <w:p w:rsidR="00B751DE" w:rsidRPr="00427EE1" w:rsidRDefault="003D75DD" w:rsidP="006757E8">
            <w:pPr>
              <w:pStyle w:val="Tabletext"/>
              <w:rPr>
                <w:rFonts w:eastAsia="Calibri"/>
                <w:lang w:eastAsia="en-US"/>
              </w:rPr>
            </w:pPr>
            <w:r>
              <w:rPr>
                <w:rFonts w:eastAsia="Calibri"/>
                <w:lang w:eastAsia="en-US"/>
              </w:rPr>
              <w:t xml:space="preserve">Specifies </w:t>
            </w:r>
            <w:r w:rsidR="00B751DE" w:rsidRPr="00427EE1">
              <w:rPr>
                <w:rFonts w:eastAsia="Calibri"/>
                <w:lang w:eastAsia="en-US"/>
              </w:rPr>
              <w:t>minimum access requirements for driveways to accommodate emergency vehicles.</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4D26E7">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p</w:t>
            </w:r>
            <w:r w:rsidR="00B751DE" w:rsidRPr="00427EE1">
              <w:rPr>
                <w:rFonts w:eastAsia="Calibri"/>
              </w:rPr>
              <w:t xml:space="preserve">rotects health and safety by ensuring that emergency vehicles can access properties (controls usually imposed by the planning system). </w:t>
            </w:r>
          </w:p>
        </w:tc>
      </w:tr>
      <w:tr w:rsidR="00B751DE" w:rsidRPr="00427EE1" w:rsidTr="006119D2">
        <w:trPr>
          <w:cantSplit/>
          <w:trHeight w:val="340"/>
        </w:trPr>
        <w:tc>
          <w:tcPr>
            <w:tcW w:w="103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309A</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164</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B751DE" w:rsidP="006757E8">
            <w:pPr>
              <w:pStyle w:val="Tabletext"/>
              <w:rPr>
                <w:rFonts w:eastAsia="Calibri"/>
                <w:b/>
                <w:lang w:eastAsia="en-US"/>
              </w:rPr>
            </w:pPr>
            <w:r w:rsidRPr="00427EE1">
              <w:rPr>
                <w:rFonts w:eastAsia="Calibri"/>
                <w:b/>
                <w:lang w:eastAsia="en-US"/>
              </w:rPr>
              <w:t xml:space="preserve">Report and consent required for </w:t>
            </w:r>
            <w:r w:rsidR="0023395A">
              <w:rPr>
                <w:rFonts w:eastAsia="Calibri"/>
                <w:b/>
                <w:lang w:eastAsia="en-US"/>
              </w:rPr>
              <w:t>non</w:t>
            </w:r>
            <w:r w:rsidRPr="00427EE1">
              <w:rPr>
                <w:rFonts w:eastAsia="Calibri"/>
                <w:b/>
                <w:lang w:eastAsia="en-US"/>
              </w:rPr>
              <w:t>complying static water supply and access</w:t>
            </w:r>
          </w:p>
          <w:p w:rsidR="00B751DE" w:rsidRPr="00427EE1" w:rsidRDefault="002E244C" w:rsidP="006757E8">
            <w:pPr>
              <w:pStyle w:val="Tabletext"/>
              <w:rPr>
                <w:rFonts w:eastAsia="Calibri"/>
                <w:lang w:eastAsia="en-US"/>
              </w:rPr>
            </w:pPr>
            <w:r>
              <w:rPr>
                <w:rFonts w:eastAsia="Calibri"/>
                <w:lang w:eastAsia="en-US"/>
              </w:rPr>
              <w:t xml:space="preserve">Requires </w:t>
            </w:r>
            <w:r w:rsidR="00B751DE" w:rsidRPr="00427EE1">
              <w:rPr>
                <w:rFonts w:eastAsia="Calibri"/>
                <w:lang w:eastAsia="en-US"/>
              </w:rPr>
              <w:t xml:space="preserve">the report and consent of </w:t>
            </w:r>
            <w:r w:rsidR="00AC0013">
              <w:rPr>
                <w:rFonts w:eastAsia="Calibri"/>
                <w:lang w:eastAsia="en-US"/>
              </w:rPr>
              <w:t>a</w:t>
            </w:r>
            <w:r w:rsidR="00AC0013" w:rsidRPr="00427EE1">
              <w:rPr>
                <w:rFonts w:eastAsia="Calibri"/>
                <w:lang w:eastAsia="en-US"/>
              </w:rPr>
              <w:t xml:space="preserve"> </w:t>
            </w:r>
            <w:r w:rsidR="00B751DE" w:rsidRPr="00427EE1">
              <w:rPr>
                <w:rFonts w:eastAsia="Calibri"/>
                <w:lang w:eastAsia="en-US"/>
              </w:rPr>
              <w:t xml:space="preserve">chief officer to be obtained if requirements can not be met.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4D26E7">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e</w:t>
            </w:r>
            <w:r w:rsidR="00B751DE" w:rsidRPr="00427EE1">
              <w:rPr>
                <w:rFonts w:eastAsia="Calibri"/>
              </w:rPr>
              <w:t xml:space="preserve">nsures appropriate oversight of bushfire safety if properties do not comply with the requirements of this </w:t>
            </w:r>
            <w:r w:rsidR="00EF2008">
              <w:rPr>
                <w:rFonts w:eastAsia="Calibri"/>
              </w:rPr>
              <w:t>d</w:t>
            </w:r>
            <w:r w:rsidR="00B751DE" w:rsidRPr="00427EE1">
              <w:rPr>
                <w:rFonts w:eastAsia="Calibri"/>
              </w:rPr>
              <w:t xml:space="preserve">ivision. Regulation is more streamlined. </w:t>
            </w:r>
          </w:p>
        </w:tc>
      </w:tr>
    </w:tbl>
    <w:p w:rsidR="00B751DE" w:rsidRPr="00427EE1" w:rsidRDefault="00B751DE" w:rsidP="006757E8"/>
    <w:p w:rsidR="00CC3C64" w:rsidRDefault="00CC3C64" w:rsidP="006757E8">
      <w:pPr>
        <w:spacing w:after="0"/>
        <w:rPr>
          <w:b/>
          <w:i/>
          <w:color w:val="00B2A9" w:themeColor="accent1"/>
          <w:sz w:val="28"/>
        </w:rPr>
      </w:pPr>
      <w:r>
        <w:br w:type="page"/>
      </w:r>
    </w:p>
    <w:p w:rsidR="00B751DE" w:rsidRPr="00427EE1" w:rsidRDefault="00EF2008" w:rsidP="006119D2">
      <w:pPr>
        <w:pStyle w:val="Heading4"/>
      </w:pPr>
      <w:proofErr w:type="spellStart"/>
      <w:r>
        <w:lastRenderedPageBreak/>
        <w:t>Div</w:t>
      </w:r>
      <w:proofErr w:type="spellEnd"/>
      <w:r w:rsidR="00B751DE" w:rsidRPr="00427EE1">
        <w:t xml:space="preserve"> 3</w:t>
      </w:r>
      <w:r w:rsidR="008475D9">
        <w:t>—</w:t>
      </w:r>
      <w:r w:rsidR="00B751DE" w:rsidRPr="00427EE1">
        <w:t>Private bushfire shelters</w:t>
      </w:r>
    </w:p>
    <w:tbl>
      <w:tblPr>
        <w:tblW w:w="14549" w:type="dxa"/>
        <w:tblInd w:w="-172"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1036"/>
        <w:gridCol w:w="945"/>
        <w:gridCol w:w="4243"/>
        <w:gridCol w:w="399"/>
        <w:gridCol w:w="399"/>
        <w:gridCol w:w="402"/>
        <w:gridCol w:w="400"/>
        <w:gridCol w:w="398"/>
        <w:gridCol w:w="6327"/>
      </w:tblGrid>
      <w:tr w:rsidR="00CC3C64" w:rsidRPr="00427EE1" w:rsidTr="006119D2">
        <w:trPr>
          <w:cantSplit/>
          <w:trHeight w:val="132"/>
          <w:tblHeader/>
        </w:trPr>
        <w:tc>
          <w:tcPr>
            <w:tcW w:w="1036" w:type="dxa"/>
            <w:vMerge w:val="restart"/>
            <w:shd w:val="clear" w:color="auto" w:fill="00B2A9" w:themeFill="accent1"/>
            <w:vAlign w:val="center"/>
            <w:hideMark/>
          </w:tcPr>
          <w:p w:rsidR="00CC3C64" w:rsidRDefault="00CC3C64">
            <w:pPr>
              <w:pStyle w:val="Tablecolumnhead"/>
              <w:rPr>
                <w:rFonts w:asciiTheme="majorHAnsi" w:eastAsia="Calibri" w:hAnsiTheme="majorHAnsi" w:cstheme="majorBidi"/>
                <w:sz w:val="40"/>
              </w:rPr>
            </w:pPr>
            <w:r w:rsidRPr="00BE72D7">
              <w:rPr>
                <w:rFonts w:eastAsia="Calibri"/>
              </w:rPr>
              <w:t>2006</w:t>
            </w:r>
          </w:p>
          <w:p w:rsidR="00CC3C64" w:rsidRPr="00A72717" w:rsidRDefault="00CC3C64">
            <w:pPr>
              <w:pStyle w:val="Tablecolumnhead"/>
              <w:rPr>
                <w:rFonts w:eastAsia="Calibri"/>
              </w:rPr>
            </w:pPr>
            <w:r w:rsidRPr="00C44680">
              <w:rPr>
                <w:rFonts w:ascii="Arial Bold" w:eastAsia="Calibri" w:hAnsi="Arial Bold"/>
                <w:spacing w:val="-12"/>
                <w:sz w:val="16"/>
              </w:rPr>
              <w:t>Regulation</w:t>
            </w:r>
          </w:p>
        </w:tc>
        <w:tc>
          <w:tcPr>
            <w:tcW w:w="945" w:type="dxa"/>
            <w:vMerge w:val="restart"/>
            <w:shd w:val="clear" w:color="auto" w:fill="00B2A9" w:themeFill="accent1"/>
            <w:vAlign w:val="center"/>
            <w:hideMark/>
          </w:tcPr>
          <w:p w:rsidR="00CC3C64" w:rsidRDefault="00CC3C64">
            <w:pPr>
              <w:pStyle w:val="Tablecolumnhead"/>
              <w:rPr>
                <w:rFonts w:asciiTheme="majorHAnsi" w:eastAsiaTheme="majorEastAsia" w:hAnsiTheme="majorHAnsi" w:cstheme="majorBidi"/>
                <w:sz w:val="40"/>
              </w:rPr>
            </w:pPr>
            <w:r w:rsidRPr="008F0E53">
              <w:rPr>
                <w:rFonts w:eastAsia="Calibri"/>
              </w:rPr>
              <w:t>2017</w:t>
            </w:r>
          </w:p>
          <w:p w:rsidR="00CC3C64" w:rsidRPr="00A72717" w:rsidRDefault="00CC3C64">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CC3C64" w:rsidRPr="00A72717" w:rsidRDefault="00CC3C64">
            <w:pPr>
              <w:pStyle w:val="Tablecolumnhead"/>
              <w:rPr>
                <w:rFonts w:eastAsia="Calibri"/>
              </w:rPr>
            </w:pPr>
            <w:r w:rsidRPr="00A72717">
              <w:rPr>
                <w:szCs w:val="22"/>
              </w:rPr>
              <w:t xml:space="preserve">Short description of the </w:t>
            </w:r>
            <w:r>
              <w:rPr>
                <w:szCs w:val="22"/>
              </w:rPr>
              <w:t>Regulation</w:t>
            </w:r>
          </w:p>
        </w:tc>
        <w:tc>
          <w:tcPr>
            <w:tcW w:w="1998" w:type="dxa"/>
            <w:gridSpan w:val="5"/>
            <w:shd w:val="clear" w:color="auto" w:fill="00B2A9" w:themeFill="accent1"/>
            <w:vAlign w:val="center"/>
          </w:tcPr>
          <w:p w:rsidR="00CC3C64" w:rsidRPr="00A72717" w:rsidRDefault="00CC3C64">
            <w:pPr>
              <w:pStyle w:val="Tablecolumnhead"/>
            </w:pPr>
            <w:r w:rsidRPr="00A72717">
              <w:rPr>
                <w:szCs w:val="22"/>
              </w:rPr>
              <w:t>Proposed regulatory change</w:t>
            </w:r>
          </w:p>
        </w:tc>
        <w:tc>
          <w:tcPr>
            <w:tcW w:w="6327" w:type="dxa"/>
            <w:vMerge w:val="restart"/>
            <w:shd w:val="clear" w:color="auto" w:fill="00B2A9" w:themeFill="accent1"/>
            <w:vAlign w:val="center"/>
          </w:tcPr>
          <w:p w:rsidR="00CC3C64" w:rsidRPr="00A72717" w:rsidRDefault="00CC3C64">
            <w:pPr>
              <w:pStyle w:val="Tablecolumnhead"/>
            </w:pPr>
            <w:r w:rsidRPr="00A72717">
              <w:rPr>
                <w:szCs w:val="22"/>
              </w:rPr>
              <w:t>Why the 2017 Regulation is proposed</w:t>
            </w:r>
          </w:p>
        </w:tc>
      </w:tr>
      <w:tr w:rsidR="00B751DE" w:rsidRPr="00427EE1" w:rsidTr="006119D2">
        <w:trPr>
          <w:cantSplit/>
          <w:trHeight w:val="966"/>
          <w:tblHeader/>
        </w:trPr>
        <w:tc>
          <w:tcPr>
            <w:tcW w:w="1036"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945"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B751DE" w:rsidRPr="00427EE1" w:rsidTr="006119D2">
        <w:trPr>
          <w:cantSplit/>
          <w:trHeight w:val="340"/>
        </w:trPr>
        <w:tc>
          <w:tcPr>
            <w:tcW w:w="103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rPr>
            </w:pPr>
            <w:r w:rsidRPr="00427EE1">
              <w:rPr>
                <w:rFonts w:eastAsia="Calibri"/>
              </w:rPr>
              <w:t>1221</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lang w:eastAsia="en-US"/>
              </w:rPr>
            </w:pPr>
            <w:r w:rsidRPr="00427EE1">
              <w:rPr>
                <w:rFonts w:eastAsia="Calibri"/>
                <w:lang w:eastAsia="en-US"/>
              </w:rPr>
              <w:t>165</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B751DE" w:rsidRPr="00427EE1" w:rsidRDefault="00B751DE" w:rsidP="006757E8">
            <w:pPr>
              <w:pStyle w:val="Tabletext"/>
              <w:rPr>
                <w:rFonts w:eastAsia="Calibri"/>
                <w:b/>
                <w:lang w:eastAsia="en-US"/>
              </w:rPr>
            </w:pPr>
            <w:r w:rsidRPr="00427EE1">
              <w:rPr>
                <w:rFonts w:eastAsia="Calibri"/>
                <w:b/>
                <w:lang w:eastAsia="en-US"/>
              </w:rPr>
              <w:t xml:space="preserve">Application of this </w:t>
            </w:r>
            <w:r w:rsidR="00CC3C64">
              <w:rPr>
                <w:rFonts w:eastAsia="Calibri"/>
                <w:b/>
                <w:lang w:eastAsia="en-US"/>
              </w:rPr>
              <w:t>d</w:t>
            </w:r>
            <w:r w:rsidRPr="00427EE1">
              <w:rPr>
                <w:rFonts w:eastAsia="Calibri"/>
                <w:b/>
                <w:lang w:eastAsia="en-US"/>
              </w:rPr>
              <w:t>ivision</w:t>
            </w:r>
          </w:p>
          <w:p w:rsidR="00B751DE" w:rsidRPr="00427EE1" w:rsidRDefault="003D75DD" w:rsidP="006757E8">
            <w:pPr>
              <w:pStyle w:val="Tabletext"/>
              <w:rPr>
                <w:rFonts w:eastAsia="Calibri"/>
                <w:lang w:eastAsia="en-US"/>
              </w:rPr>
            </w:pPr>
            <w:r>
              <w:rPr>
                <w:rFonts w:eastAsia="Calibri"/>
                <w:lang w:eastAsia="en-US"/>
              </w:rPr>
              <w:t xml:space="preserve">Specifies </w:t>
            </w:r>
            <w:r w:rsidR="00B751DE" w:rsidRPr="00427EE1">
              <w:rPr>
                <w:rFonts w:eastAsia="Calibri"/>
                <w:lang w:eastAsia="en-US"/>
              </w:rPr>
              <w:t xml:space="preserve">that private bushfire shelters that are associated with a residential property are required to comply with this </w:t>
            </w:r>
            <w:r w:rsidR="00CC3C64">
              <w:rPr>
                <w:rFonts w:eastAsia="Calibri"/>
                <w:lang w:eastAsia="en-US"/>
              </w:rPr>
              <w:t>d</w:t>
            </w:r>
            <w:r w:rsidR="00B751DE" w:rsidRPr="00427EE1">
              <w:rPr>
                <w:rFonts w:eastAsia="Calibri"/>
                <w:lang w:eastAsia="en-US"/>
              </w:rPr>
              <w:t>ivision</w:t>
            </w:r>
            <w:r w:rsidR="00995450">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4D26E7">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promotes consistent</w:t>
            </w:r>
            <w:r w:rsidR="00E60957">
              <w:rPr>
                <w:rFonts w:eastAsia="Calibri"/>
              </w:rPr>
              <w:t xml:space="preserve"> </w:t>
            </w:r>
            <w:r w:rsidR="00B751DE" w:rsidRPr="00427EE1">
              <w:rPr>
                <w:rFonts w:eastAsia="Calibri"/>
              </w:rPr>
              <w:t>interpretation</w:t>
            </w:r>
            <w:r w:rsidR="00995450">
              <w:rPr>
                <w:rFonts w:eastAsia="Calibri"/>
              </w:rPr>
              <w:t>.</w:t>
            </w:r>
          </w:p>
        </w:tc>
      </w:tr>
      <w:tr w:rsidR="00B751DE" w:rsidRPr="00427EE1" w:rsidTr="006119D2">
        <w:trPr>
          <w:cantSplit/>
          <w:trHeight w:val="340"/>
        </w:trPr>
        <w:tc>
          <w:tcPr>
            <w:tcW w:w="103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115</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166</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B751DE" w:rsidP="006757E8">
            <w:pPr>
              <w:pStyle w:val="Tabletext"/>
              <w:rPr>
                <w:rFonts w:eastAsia="Calibri"/>
                <w:b/>
                <w:lang w:eastAsia="en-US"/>
              </w:rPr>
            </w:pPr>
            <w:r w:rsidRPr="00427EE1">
              <w:rPr>
                <w:rFonts w:eastAsia="Calibri"/>
                <w:b/>
                <w:lang w:eastAsia="en-US"/>
              </w:rPr>
              <w:t>Private bushfire shelter construction requirements</w:t>
            </w:r>
          </w:p>
          <w:p w:rsidR="00B751DE" w:rsidRPr="00427EE1" w:rsidRDefault="004D26E7" w:rsidP="006757E8">
            <w:pPr>
              <w:pStyle w:val="Tabletext"/>
              <w:rPr>
                <w:rFonts w:eastAsia="Calibri"/>
                <w:lang w:eastAsia="en-US"/>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m</w:t>
            </w:r>
            <w:r w:rsidR="00B751DE" w:rsidRPr="00427EE1">
              <w:rPr>
                <w:rFonts w:eastAsia="Calibri"/>
                <w:lang w:eastAsia="en-US"/>
              </w:rPr>
              <w:t>odifies the BCA by changing Class 1a to Class 1</w:t>
            </w:r>
            <w:r w:rsidR="00995450">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4D26E7">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p</w:t>
            </w:r>
            <w:r w:rsidR="00B751DE" w:rsidRPr="00427EE1">
              <w:rPr>
                <w:rFonts w:eastAsia="Calibri"/>
              </w:rPr>
              <w:t>rotects health and safety by ensuring that private bushfire shelters attached to bed and breakfast or hostels are also required to comply with the BCA.</w:t>
            </w:r>
          </w:p>
        </w:tc>
      </w:tr>
      <w:tr w:rsidR="00B751DE" w:rsidRPr="00427EE1" w:rsidTr="006119D2">
        <w:trPr>
          <w:cantSplit/>
          <w:trHeight w:val="340"/>
        </w:trPr>
        <w:tc>
          <w:tcPr>
            <w:tcW w:w="103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113A</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167</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B751DE" w:rsidP="006757E8">
            <w:pPr>
              <w:pStyle w:val="Tabletext"/>
              <w:rPr>
                <w:rFonts w:eastAsia="Calibri"/>
                <w:b/>
                <w:lang w:eastAsia="en-US"/>
              </w:rPr>
            </w:pPr>
            <w:r w:rsidRPr="00427EE1">
              <w:rPr>
                <w:rFonts w:eastAsia="Calibri"/>
                <w:b/>
                <w:lang w:eastAsia="en-US"/>
              </w:rPr>
              <w:t>Private bushfire shelter performance requirements—performance solutions</w:t>
            </w:r>
          </w:p>
          <w:p w:rsidR="00B751DE" w:rsidRPr="00427EE1" w:rsidRDefault="004D26E7" w:rsidP="006757E8">
            <w:pPr>
              <w:pStyle w:val="Tabletext"/>
              <w:rPr>
                <w:rFonts w:eastAsia="Calibri"/>
                <w:lang w:eastAsia="en-US"/>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r</w:t>
            </w:r>
            <w:r w:rsidR="00B751DE" w:rsidRPr="00427EE1">
              <w:rPr>
                <w:rFonts w:eastAsia="Calibri"/>
                <w:lang w:eastAsia="en-US"/>
              </w:rPr>
              <w:t>estricts who can determine that the design complies with a bushfire performance requirement</w:t>
            </w:r>
            <w:r w:rsidR="00995450">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4D26E7">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m</w:t>
            </w:r>
            <w:r w:rsidR="00B751DE" w:rsidRPr="00427EE1">
              <w:rPr>
                <w:rFonts w:eastAsia="Calibri"/>
              </w:rPr>
              <w:t>itigates health and safety risks by ensuring alternative solutions designed to meet the bushfire performance requirements of the BCA are subject to expert judg</w:t>
            </w:r>
            <w:r w:rsidR="00D90FC3">
              <w:rPr>
                <w:rFonts w:eastAsia="Calibri"/>
              </w:rPr>
              <w:t>ement</w:t>
            </w:r>
            <w:r w:rsidR="00B751DE" w:rsidRPr="00427EE1">
              <w:rPr>
                <w:rFonts w:eastAsia="Calibri"/>
              </w:rPr>
              <w:t>.</w:t>
            </w:r>
          </w:p>
        </w:tc>
      </w:tr>
      <w:tr w:rsidR="00B751DE" w:rsidRPr="00427EE1" w:rsidTr="006119D2">
        <w:trPr>
          <w:cantSplit/>
          <w:trHeight w:val="340"/>
        </w:trPr>
        <w:tc>
          <w:tcPr>
            <w:tcW w:w="103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rsidP="006757E8">
            <w:pPr>
              <w:pStyle w:val="Tabletext"/>
              <w:rPr>
                <w:rFonts w:eastAsia="Calibri"/>
              </w:rPr>
            </w:pPr>
            <w:r w:rsidRPr="00427EE1">
              <w:rPr>
                <w:rFonts w:eastAsia="Calibri"/>
              </w:rPr>
              <w:t>1222</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rsidP="006757E8">
            <w:pPr>
              <w:pStyle w:val="Tabletext"/>
              <w:rPr>
                <w:rFonts w:eastAsia="Calibri"/>
                <w:lang w:eastAsia="en-US"/>
              </w:rPr>
            </w:pPr>
            <w:r w:rsidRPr="00427EE1">
              <w:rPr>
                <w:rFonts w:eastAsia="Calibri"/>
                <w:lang w:eastAsia="en-US"/>
              </w:rPr>
              <w:t>168</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tcPr>
          <w:p w:rsidR="00B751DE" w:rsidRPr="00427EE1" w:rsidRDefault="00B751DE" w:rsidP="006757E8">
            <w:pPr>
              <w:pStyle w:val="Tabletext"/>
              <w:rPr>
                <w:rFonts w:eastAsia="Calibri"/>
                <w:b/>
                <w:lang w:eastAsia="en-US"/>
              </w:rPr>
            </w:pPr>
            <w:r w:rsidRPr="00427EE1">
              <w:rPr>
                <w:rFonts w:eastAsia="Calibri"/>
                <w:b/>
                <w:lang w:eastAsia="en-US"/>
              </w:rPr>
              <w:t>Private bushfire shelter maintenance and operation</w:t>
            </w:r>
          </w:p>
          <w:p w:rsidR="00B751DE" w:rsidRPr="00427EE1" w:rsidRDefault="002E244C" w:rsidP="006757E8">
            <w:pPr>
              <w:pStyle w:val="Tabletext"/>
              <w:rPr>
                <w:rFonts w:eastAsia="Calibri"/>
                <w:lang w:eastAsia="en-US"/>
              </w:rPr>
            </w:pPr>
            <w:r>
              <w:rPr>
                <w:rFonts w:eastAsia="Calibri"/>
                <w:lang w:eastAsia="en-US"/>
              </w:rPr>
              <w:t xml:space="preserve">Requires </w:t>
            </w:r>
            <w:r w:rsidR="00B751DE" w:rsidRPr="00427EE1">
              <w:rPr>
                <w:rFonts w:eastAsia="Calibri"/>
                <w:lang w:eastAsia="en-US"/>
              </w:rPr>
              <w:t>a private bushfire shelter to be maintained, including the pathway from the residence to the shelter</w:t>
            </w:r>
            <w:r w:rsidR="00995450">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4D26E7">
            <w:pPr>
              <w:pStyle w:val="Tabletext"/>
              <w:rPr>
                <w:rFonts w:eastAsia="Calibri"/>
              </w:rPr>
            </w:pPr>
            <w:r w:rsidRPr="00427EE1">
              <w:rPr>
                <w:rFonts w:eastAsia="Calibri"/>
                <w:lang w:eastAsia="en-US"/>
              </w:rPr>
              <w:t xml:space="preserve"> This </w:t>
            </w:r>
            <w:r w:rsidR="000273F9">
              <w:rPr>
                <w:rFonts w:eastAsia="Calibri"/>
                <w:lang w:eastAsia="en-US"/>
              </w:rPr>
              <w:t>Regulation</w:t>
            </w:r>
            <w:r w:rsidRPr="00427EE1">
              <w:rPr>
                <w:rFonts w:eastAsia="Calibri"/>
                <w:lang w:eastAsia="en-US"/>
              </w:rPr>
              <w:t xml:space="preserve"> p</w:t>
            </w:r>
            <w:r w:rsidR="00B751DE" w:rsidRPr="00427EE1">
              <w:rPr>
                <w:rFonts w:eastAsia="Calibri"/>
              </w:rPr>
              <w:t>rotects health and safety by requiring the shelter to be maintained to prevent it from deteriorating over time, or being inaccessible or blocked, or being used as a storage unit.</w:t>
            </w:r>
          </w:p>
        </w:tc>
      </w:tr>
    </w:tbl>
    <w:p w:rsidR="00B751DE" w:rsidRPr="00427EE1" w:rsidRDefault="00B751DE" w:rsidP="006757E8"/>
    <w:p w:rsidR="00AC4E58" w:rsidRPr="00427EE1" w:rsidRDefault="004267C5" w:rsidP="006119D2">
      <w:pPr>
        <w:pStyle w:val="Heading3"/>
      </w:pPr>
      <w:bookmarkStart w:id="186" w:name="_Toc481501607"/>
      <w:r>
        <w:lastRenderedPageBreak/>
        <w:t xml:space="preserve">Pt </w:t>
      </w:r>
      <w:r w:rsidR="00B751DE" w:rsidRPr="00427EE1">
        <w:t>13</w:t>
      </w:r>
      <w:r w:rsidR="008475D9">
        <w:t>—</w:t>
      </w:r>
      <w:r w:rsidR="00B751DE" w:rsidRPr="00427EE1">
        <w:t>Inspections notices and orders</w:t>
      </w:r>
      <w:bookmarkEnd w:id="186"/>
    </w:p>
    <w:p w:rsidR="00B751DE" w:rsidRPr="00427EE1" w:rsidRDefault="00EF2008" w:rsidP="006119D2">
      <w:pPr>
        <w:pStyle w:val="Heading4"/>
      </w:pPr>
      <w:proofErr w:type="spellStart"/>
      <w:r>
        <w:t>Div</w:t>
      </w:r>
      <w:proofErr w:type="spellEnd"/>
      <w:r w:rsidR="00B751DE" w:rsidRPr="00427EE1">
        <w:t xml:space="preserve"> 1</w:t>
      </w:r>
      <w:r w:rsidR="008475D9">
        <w:t>—</w:t>
      </w:r>
      <w:r w:rsidR="00B751DE" w:rsidRPr="00427EE1">
        <w:t>Inspections and directions</w:t>
      </w:r>
    </w:p>
    <w:tbl>
      <w:tblPr>
        <w:tblW w:w="14549" w:type="dxa"/>
        <w:tblInd w:w="-172"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1036"/>
        <w:gridCol w:w="945"/>
        <w:gridCol w:w="4243"/>
        <w:gridCol w:w="399"/>
        <w:gridCol w:w="399"/>
        <w:gridCol w:w="402"/>
        <w:gridCol w:w="400"/>
        <w:gridCol w:w="398"/>
        <w:gridCol w:w="6327"/>
      </w:tblGrid>
      <w:tr w:rsidR="00CC3C64" w:rsidRPr="00427EE1" w:rsidTr="006119D2">
        <w:trPr>
          <w:cantSplit/>
          <w:trHeight w:val="439"/>
          <w:tblHeader/>
        </w:trPr>
        <w:tc>
          <w:tcPr>
            <w:tcW w:w="1036" w:type="dxa"/>
            <w:vMerge w:val="restart"/>
            <w:shd w:val="clear" w:color="auto" w:fill="00B2A9" w:themeFill="accent1"/>
            <w:vAlign w:val="center"/>
            <w:hideMark/>
          </w:tcPr>
          <w:p w:rsidR="00CC3C64" w:rsidRDefault="00CC3C64">
            <w:pPr>
              <w:pStyle w:val="Tablecolumnhead"/>
              <w:rPr>
                <w:rFonts w:asciiTheme="majorHAnsi" w:eastAsia="Calibri" w:hAnsiTheme="majorHAnsi" w:cstheme="majorBidi"/>
                <w:sz w:val="40"/>
              </w:rPr>
            </w:pPr>
            <w:r w:rsidRPr="00BE72D7">
              <w:rPr>
                <w:rFonts w:eastAsia="Calibri"/>
              </w:rPr>
              <w:t>2006</w:t>
            </w:r>
          </w:p>
          <w:p w:rsidR="00CC3C64" w:rsidRPr="00A72717" w:rsidRDefault="00CC3C64">
            <w:pPr>
              <w:pStyle w:val="Tablecolumnhead"/>
              <w:rPr>
                <w:rFonts w:eastAsia="Calibri"/>
              </w:rPr>
            </w:pPr>
            <w:r w:rsidRPr="00C44680">
              <w:rPr>
                <w:rFonts w:ascii="Arial Bold" w:eastAsia="Calibri" w:hAnsi="Arial Bold"/>
                <w:spacing w:val="-12"/>
                <w:sz w:val="16"/>
              </w:rPr>
              <w:t>Regulation</w:t>
            </w:r>
          </w:p>
        </w:tc>
        <w:tc>
          <w:tcPr>
            <w:tcW w:w="945" w:type="dxa"/>
            <w:vMerge w:val="restart"/>
            <w:shd w:val="clear" w:color="auto" w:fill="00B2A9" w:themeFill="accent1"/>
            <w:vAlign w:val="center"/>
            <w:hideMark/>
          </w:tcPr>
          <w:p w:rsidR="00CC3C64" w:rsidRDefault="00CC3C64">
            <w:pPr>
              <w:pStyle w:val="Tablecolumnhead"/>
              <w:rPr>
                <w:rFonts w:asciiTheme="majorHAnsi" w:eastAsiaTheme="majorEastAsia" w:hAnsiTheme="majorHAnsi" w:cstheme="majorBidi"/>
                <w:sz w:val="40"/>
              </w:rPr>
            </w:pPr>
            <w:r w:rsidRPr="008F0E53">
              <w:rPr>
                <w:rFonts w:eastAsia="Calibri"/>
              </w:rPr>
              <w:t>2017</w:t>
            </w:r>
          </w:p>
          <w:p w:rsidR="00CC3C64" w:rsidRPr="00A72717" w:rsidRDefault="00CC3C64">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CC3C64" w:rsidRPr="00A72717" w:rsidRDefault="00CC3C64">
            <w:pPr>
              <w:pStyle w:val="Tablecolumnhead"/>
              <w:rPr>
                <w:rFonts w:eastAsia="Calibri"/>
              </w:rPr>
            </w:pPr>
            <w:r w:rsidRPr="00A72717">
              <w:t xml:space="preserve">Short description of the </w:t>
            </w:r>
            <w:r>
              <w:t>Regulation</w:t>
            </w:r>
          </w:p>
        </w:tc>
        <w:tc>
          <w:tcPr>
            <w:tcW w:w="1998" w:type="dxa"/>
            <w:gridSpan w:val="5"/>
            <w:shd w:val="clear" w:color="auto" w:fill="00B2A9" w:themeFill="accent1"/>
            <w:vAlign w:val="center"/>
          </w:tcPr>
          <w:p w:rsidR="00CC3C64" w:rsidRPr="00A72717" w:rsidRDefault="00CC3C64">
            <w:pPr>
              <w:pStyle w:val="Tablecolumnhead"/>
            </w:pPr>
            <w:r w:rsidRPr="00A72717">
              <w:t>Proposed regulatory change</w:t>
            </w:r>
          </w:p>
        </w:tc>
        <w:tc>
          <w:tcPr>
            <w:tcW w:w="6327" w:type="dxa"/>
            <w:vMerge w:val="restart"/>
            <w:shd w:val="clear" w:color="auto" w:fill="00B2A9" w:themeFill="accent1"/>
            <w:vAlign w:val="center"/>
          </w:tcPr>
          <w:p w:rsidR="00CC3C64" w:rsidRPr="00A72717" w:rsidRDefault="00CC3C64">
            <w:pPr>
              <w:pStyle w:val="Tablecolumnhead"/>
            </w:pPr>
            <w:r w:rsidRPr="00A72717">
              <w:t>Why the 2017 Regulation is proposed</w:t>
            </w:r>
          </w:p>
        </w:tc>
      </w:tr>
      <w:tr w:rsidR="00B751DE" w:rsidRPr="00427EE1" w:rsidTr="006119D2">
        <w:trPr>
          <w:cantSplit/>
          <w:trHeight w:val="966"/>
          <w:tblHeader/>
        </w:trPr>
        <w:tc>
          <w:tcPr>
            <w:tcW w:w="1036"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945"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B751DE" w:rsidRPr="00427EE1" w:rsidTr="006119D2">
        <w:trPr>
          <w:cantSplit/>
          <w:trHeight w:val="340"/>
        </w:trPr>
        <w:tc>
          <w:tcPr>
            <w:tcW w:w="103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rPr>
            </w:pPr>
            <w:r w:rsidRPr="00427EE1">
              <w:rPr>
                <w:rFonts w:eastAsia="Calibri"/>
              </w:rPr>
              <w:t>901(1)</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lang w:eastAsia="en-US"/>
              </w:rPr>
            </w:pPr>
            <w:r w:rsidRPr="00427EE1">
              <w:rPr>
                <w:rFonts w:eastAsia="Calibri"/>
                <w:lang w:eastAsia="en-US"/>
              </w:rPr>
              <w:t>169</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B751DE" w:rsidRPr="00427EE1" w:rsidRDefault="00B751DE" w:rsidP="006757E8">
            <w:pPr>
              <w:pStyle w:val="Tabletext"/>
              <w:rPr>
                <w:rFonts w:eastAsia="Calibri"/>
                <w:b/>
                <w:lang w:eastAsia="en-US"/>
              </w:rPr>
            </w:pPr>
            <w:r w:rsidRPr="00427EE1">
              <w:rPr>
                <w:rFonts w:eastAsia="Calibri"/>
                <w:b/>
                <w:lang w:eastAsia="en-US"/>
              </w:rPr>
              <w:t>Prescribed mandatory notification stages for construction or alteration of building</w:t>
            </w:r>
          </w:p>
          <w:p w:rsidR="00B751DE" w:rsidRPr="00427EE1" w:rsidRDefault="003D75DD">
            <w:pPr>
              <w:pStyle w:val="Tabletext"/>
              <w:rPr>
                <w:rFonts w:eastAsia="Calibri"/>
                <w:lang w:eastAsia="en-US"/>
              </w:rPr>
            </w:pPr>
            <w:r>
              <w:rPr>
                <w:rFonts w:eastAsia="Calibri"/>
                <w:lang w:eastAsia="en-US"/>
              </w:rPr>
              <w:t xml:space="preserve">Specifies </w:t>
            </w:r>
            <w:r w:rsidR="00B751DE" w:rsidRPr="00427EE1">
              <w:rPr>
                <w:rFonts w:eastAsia="Calibri"/>
                <w:lang w:eastAsia="en-US"/>
              </w:rPr>
              <w:t xml:space="preserve">when the builder must notify the </w:t>
            </w:r>
            <w:r w:rsidR="00AB414E">
              <w:rPr>
                <w:rFonts w:eastAsia="Calibri"/>
                <w:lang w:eastAsia="en-US"/>
              </w:rPr>
              <w:t>RBS</w:t>
            </w:r>
            <w:r w:rsidR="00B751DE" w:rsidRPr="00427EE1">
              <w:rPr>
                <w:rFonts w:eastAsia="Calibri"/>
                <w:lang w:eastAsia="en-US"/>
              </w:rPr>
              <w:t xml:space="preserve"> in relation to a completed stage of building work.</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4D26E7">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00B751DE" w:rsidRPr="00427EE1">
              <w:rPr>
                <w:rFonts w:eastAsia="Calibri"/>
              </w:rPr>
              <w:t>give</w:t>
            </w:r>
            <w:r w:rsidRPr="00427EE1">
              <w:rPr>
                <w:rFonts w:eastAsia="Calibri"/>
              </w:rPr>
              <w:t>s</w:t>
            </w:r>
            <w:r w:rsidR="00B751DE" w:rsidRPr="00427EE1">
              <w:rPr>
                <w:rFonts w:eastAsia="Calibri"/>
              </w:rPr>
              <w:t xml:space="preserve"> effect to </w:t>
            </w:r>
            <w:r w:rsidR="0023395A">
              <w:rPr>
                <w:rFonts w:eastAsia="Calibri"/>
              </w:rPr>
              <w:t xml:space="preserve">s </w:t>
            </w:r>
            <w:r w:rsidR="00B751DE" w:rsidRPr="00427EE1">
              <w:rPr>
                <w:rFonts w:eastAsia="Calibri"/>
              </w:rPr>
              <w:t xml:space="preserve">3(1) of the Act. Three additional mandatory notification stages are prescribed to manage risks associated with </w:t>
            </w:r>
            <w:r w:rsidR="0023395A">
              <w:rPr>
                <w:rFonts w:eastAsia="Calibri"/>
              </w:rPr>
              <w:t>non</w:t>
            </w:r>
            <w:r w:rsidR="00B751DE" w:rsidRPr="00427EE1">
              <w:rPr>
                <w:rFonts w:eastAsia="Calibri"/>
              </w:rPr>
              <w:t>compli</w:t>
            </w:r>
            <w:r w:rsidR="00385906" w:rsidRPr="00427EE1">
              <w:rPr>
                <w:rFonts w:eastAsia="Calibri"/>
              </w:rPr>
              <w:t>a</w:t>
            </w:r>
            <w:r w:rsidR="00B751DE" w:rsidRPr="00427EE1">
              <w:rPr>
                <w:rFonts w:eastAsia="Calibri"/>
              </w:rPr>
              <w:t>nt work.</w:t>
            </w:r>
          </w:p>
        </w:tc>
      </w:tr>
      <w:tr w:rsidR="00B751DE" w:rsidRPr="00427EE1" w:rsidTr="006119D2">
        <w:trPr>
          <w:cantSplit/>
          <w:trHeight w:val="340"/>
        </w:trPr>
        <w:tc>
          <w:tcPr>
            <w:tcW w:w="103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901(1)</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170</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B751DE" w:rsidP="006757E8">
            <w:pPr>
              <w:pStyle w:val="Tabletext"/>
              <w:rPr>
                <w:rFonts w:eastAsia="Calibri"/>
                <w:b/>
                <w:lang w:eastAsia="en-US"/>
              </w:rPr>
            </w:pPr>
            <w:r w:rsidRPr="00427EE1">
              <w:rPr>
                <w:rFonts w:eastAsia="Calibri"/>
                <w:b/>
                <w:lang w:eastAsia="en-US"/>
              </w:rPr>
              <w:t>Prescribed mandatory notification stages for demolition or removal of building</w:t>
            </w:r>
          </w:p>
          <w:p w:rsidR="00B751DE" w:rsidRPr="00427EE1" w:rsidRDefault="003D75DD">
            <w:pPr>
              <w:pStyle w:val="Tabletext"/>
              <w:rPr>
                <w:rFonts w:eastAsia="Calibri"/>
                <w:lang w:eastAsia="en-US"/>
              </w:rPr>
            </w:pPr>
            <w:r>
              <w:rPr>
                <w:rFonts w:eastAsia="Calibri"/>
                <w:lang w:eastAsia="en-US"/>
              </w:rPr>
              <w:t xml:space="preserve">Specifies </w:t>
            </w:r>
            <w:r w:rsidR="00B751DE" w:rsidRPr="00427EE1">
              <w:rPr>
                <w:rFonts w:eastAsia="Calibri"/>
                <w:lang w:eastAsia="en-US"/>
              </w:rPr>
              <w:t xml:space="preserve">when the builder must notify the </w:t>
            </w:r>
            <w:r w:rsidR="00AB414E">
              <w:rPr>
                <w:rFonts w:eastAsia="Calibri"/>
                <w:lang w:eastAsia="en-US"/>
              </w:rPr>
              <w:t>RBS</w:t>
            </w:r>
            <w:r w:rsidR="00B751DE" w:rsidRPr="00427EE1">
              <w:rPr>
                <w:rFonts w:eastAsia="Calibri"/>
                <w:lang w:eastAsia="en-US"/>
              </w:rPr>
              <w:t xml:space="preserve"> in relation to a completed stage of building work associated with the demolition or removal of a building</w:t>
            </w:r>
            <w:r w:rsidR="00995450">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4D26E7">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00B751DE" w:rsidRPr="00427EE1">
              <w:rPr>
                <w:rFonts w:eastAsia="Calibri"/>
              </w:rPr>
              <w:t>give</w:t>
            </w:r>
            <w:r w:rsidRPr="00427EE1">
              <w:rPr>
                <w:rFonts w:eastAsia="Calibri"/>
              </w:rPr>
              <w:t>s</w:t>
            </w:r>
            <w:r w:rsidR="00B751DE" w:rsidRPr="00427EE1">
              <w:rPr>
                <w:rFonts w:eastAsia="Calibri"/>
              </w:rPr>
              <w:t xml:space="preserve"> effect to </w:t>
            </w:r>
            <w:r w:rsidR="0023395A">
              <w:rPr>
                <w:rFonts w:eastAsia="Calibri"/>
              </w:rPr>
              <w:t xml:space="preserve">s </w:t>
            </w:r>
            <w:r w:rsidR="00B751DE" w:rsidRPr="00427EE1">
              <w:rPr>
                <w:rFonts w:eastAsia="Calibri"/>
              </w:rPr>
              <w:t>3(1) of the Act.</w:t>
            </w:r>
            <w:r w:rsidR="00D71A15" w:rsidRPr="00427EE1">
              <w:rPr>
                <w:rFonts w:eastAsia="Calibri"/>
              </w:rPr>
              <w:t xml:space="preserve"> </w:t>
            </w:r>
            <w:r w:rsidR="00B751DE" w:rsidRPr="00427EE1">
              <w:rPr>
                <w:rFonts w:eastAsia="Calibri"/>
              </w:rPr>
              <w:t xml:space="preserve">Specified separately for this type of building work to improve compliance. </w:t>
            </w:r>
          </w:p>
        </w:tc>
      </w:tr>
      <w:tr w:rsidR="00B751DE" w:rsidRPr="00427EE1" w:rsidTr="006119D2">
        <w:trPr>
          <w:cantSplit/>
          <w:trHeight w:val="340"/>
        </w:trPr>
        <w:tc>
          <w:tcPr>
            <w:tcW w:w="103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901(1)</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171</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B751DE" w:rsidP="006757E8">
            <w:pPr>
              <w:pStyle w:val="Tabletext"/>
              <w:rPr>
                <w:rFonts w:eastAsia="Calibri"/>
                <w:b/>
                <w:lang w:eastAsia="en-US"/>
              </w:rPr>
            </w:pPr>
            <w:r w:rsidRPr="00427EE1">
              <w:rPr>
                <w:rFonts w:eastAsia="Calibri"/>
                <w:b/>
                <w:lang w:eastAsia="en-US"/>
              </w:rPr>
              <w:t>Prescribed mandatory notification stages for construction of swimming pool</w:t>
            </w:r>
          </w:p>
          <w:p w:rsidR="00B751DE" w:rsidRPr="00427EE1" w:rsidRDefault="003D75DD">
            <w:pPr>
              <w:pStyle w:val="Tabletext"/>
              <w:rPr>
                <w:rFonts w:eastAsia="Calibri"/>
                <w:lang w:eastAsia="en-US"/>
              </w:rPr>
            </w:pPr>
            <w:r>
              <w:rPr>
                <w:rFonts w:eastAsia="Calibri"/>
                <w:lang w:eastAsia="en-US"/>
              </w:rPr>
              <w:t xml:space="preserve">Specifies </w:t>
            </w:r>
            <w:r w:rsidR="00B751DE" w:rsidRPr="00427EE1">
              <w:rPr>
                <w:rFonts w:eastAsia="Calibri"/>
                <w:lang w:eastAsia="en-US"/>
              </w:rPr>
              <w:t xml:space="preserve">when the builder must notify the </w:t>
            </w:r>
            <w:r w:rsidR="00AB414E">
              <w:rPr>
                <w:rFonts w:eastAsia="Calibri"/>
                <w:lang w:eastAsia="en-US"/>
              </w:rPr>
              <w:t>RBS</w:t>
            </w:r>
            <w:r w:rsidR="00B751DE" w:rsidRPr="00427EE1">
              <w:rPr>
                <w:rFonts w:eastAsia="Calibri"/>
                <w:lang w:eastAsia="en-US"/>
              </w:rPr>
              <w:t xml:space="preserve"> in relation to a completed stage of building work associated with the construction of a swimming pool</w:t>
            </w:r>
            <w:r w:rsidR="00CC3C64">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4D26E7">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00B751DE" w:rsidRPr="00427EE1">
              <w:rPr>
                <w:rFonts w:eastAsia="Calibri"/>
              </w:rPr>
              <w:t>give</w:t>
            </w:r>
            <w:r w:rsidRPr="00427EE1">
              <w:rPr>
                <w:rFonts w:eastAsia="Calibri"/>
              </w:rPr>
              <w:t>s</w:t>
            </w:r>
            <w:r w:rsidR="00B751DE" w:rsidRPr="00427EE1">
              <w:rPr>
                <w:rFonts w:eastAsia="Calibri"/>
              </w:rPr>
              <w:t xml:space="preserve"> effect to </w:t>
            </w:r>
            <w:r w:rsidR="0023395A">
              <w:rPr>
                <w:rFonts w:eastAsia="Calibri"/>
              </w:rPr>
              <w:t xml:space="preserve">s </w:t>
            </w:r>
            <w:r w:rsidR="00B751DE" w:rsidRPr="00427EE1">
              <w:rPr>
                <w:rFonts w:eastAsia="Calibri"/>
              </w:rPr>
              <w:t>3(1) of the Act.</w:t>
            </w:r>
            <w:r w:rsidR="00D71A15" w:rsidRPr="00427EE1">
              <w:rPr>
                <w:rFonts w:eastAsia="Calibri"/>
              </w:rPr>
              <w:t xml:space="preserve"> </w:t>
            </w:r>
            <w:r w:rsidR="00B751DE" w:rsidRPr="00427EE1">
              <w:rPr>
                <w:rFonts w:eastAsia="Calibri"/>
              </w:rPr>
              <w:t>Specified separately for this type of building work to improve compliance.</w:t>
            </w:r>
          </w:p>
        </w:tc>
      </w:tr>
      <w:tr w:rsidR="00B751DE" w:rsidRPr="00427EE1" w:rsidTr="006119D2">
        <w:trPr>
          <w:cantSplit/>
          <w:trHeight w:val="340"/>
        </w:trPr>
        <w:tc>
          <w:tcPr>
            <w:tcW w:w="103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901(2)</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172</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B751DE" w:rsidP="006757E8">
            <w:pPr>
              <w:pStyle w:val="Tabletext"/>
              <w:rPr>
                <w:rFonts w:eastAsia="Calibri"/>
                <w:b/>
                <w:lang w:eastAsia="en-US"/>
              </w:rPr>
            </w:pPr>
            <w:r w:rsidRPr="00427EE1">
              <w:rPr>
                <w:rFonts w:eastAsia="Calibri"/>
                <w:b/>
                <w:lang w:eastAsia="en-US"/>
              </w:rPr>
              <w:t>Variation of mandatory notification stages</w:t>
            </w:r>
          </w:p>
          <w:p w:rsidR="00B751DE" w:rsidRPr="00427EE1" w:rsidRDefault="002E244C">
            <w:pPr>
              <w:pStyle w:val="Tabletext"/>
              <w:rPr>
                <w:rFonts w:eastAsia="Calibri"/>
                <w:lang w:eastAsia="en-US"/>
              </w:rPr>
            </w:pPr>
            <w:r>
              <w:rPr>
                <w:rFonts w:eastAsia="Calibri"/>
                <w:lang w:eastAsia="en-US"/>
              </w:rPr>
              <w:t xml:space="preserve">Enables </w:t>
            </w:r>
            <w:r w:rsidR="00B751DE" w:rsidRPr="00427EE1">
              <w:rPr>
                <w:rFonts w:eastAsia="Calibri"/>
                <w:lang w:eastAsia="en-US"/>
              </w:rPr>
              <w:t xml:space="preserve">the </w:t>
            </w:r>
            <w:r w:rsidR="00AB414E">
              <w:rPr>
                <w:rFonts w:eastAsia="Calibri"/>
                <w:lang w:eastAsia="en-US"/>
              </w:rPr>
              <w:t>RBS</w:t>
            </w:r>
            <w:r w:rsidR="00B751DE" w:rsidRPr="00427EE1">
              <w:rPr>
                <w:rFonts w:eastAsia="Calibri"/>
                <w:lang w:eastAsia="en-US"/>
              </w:rPr>
              <w:t xml:space="preserve"> to vary a mandatory notification stage if it is not relevant to the building work, demolition or removal of a building.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4D26E7">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r</w:t>
            </w:r>
            <w:r w:rsidR="00B751DE" w:rsidRPr="00427EE1">
              <w:rPr>
                <w:rFonts w:eastAsia="Calibri"/>
              </w:rPr>
              <w:t>educes delay costs associated with unnecessary inspections.</w:t>
            </w:r>
          </w:p>
        </w:tc>
      </w:tr>
      <w:tr w:rsidR="00975337" w:rsidRPr="00427EE1" w:rsidTr="006119D2">
        <w:trPr>
          <w:cantSplit/>
          <w:trHeight w:val="340"/>
        </w:trPr>
        <w:tc>
          <w:tcPr>
            <w:tcW w:w="103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975337" w:rsidRPr="00427EE1" w:rsidRDefault="00975337" w:rsidP="006757E8">
            <w:pPr>
              <w:pStyle w:val="Tabletext"/>
              <w:rPr>
                <w:rFonts w:eastAsia="Calibri"/>
              </w:rPr>
            </w:pPr>
            <w:r w:rsidRPr="00427EE1">
              <w:rPr>
                <w:rFonts w:eastAsia="Calibri"/>
              </w:rPr>
              <w:lastRenderedPageBreak/>
              <w:t>901(3)</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975337" w:rsidRPr="00427EE1" w:rsidRDefault="00975337" w:rsidP="006757E8">
            <w:pPr>
              <w:pStyle w:val="Tabletext"/>
              <w:rPr>
                <w:rFonts w:eastAsia="Calibri"/>
                <w:lang w:eastAsia="en-US"/>
              </w:rPr>
            </w:pPr>
            <w:r w:rsidRPr="00427EE1">
              <w:rPr>
                <w:rFonts w:eastAsia="Calibri"/>
                <w:lang w:eastAsia="en-US"/>
              </w:rPr>
              <w:t>173</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tcPr>
          <w:p w:rsidR="00975337" w:rsidRPr="00427EE1" w:rsidRDefault="00975337" w:rsidP="006757E8">
            <w:pPr>
              <w:pStyle w:val="Tabletext"/>
              <w:rPr>
                <w:rFonts w:eastAsia="Calibri"/>
                <w:b/>
                <w:lang w:eastAsia="en-US"/>
              </w:rPr>
            </w:pPr>
            <w:r w:rsidRPr="00427EE1">
              <w:rPr>
                <w:rFonts w:eastAsia="Calibri"/>
                <w:b/>
                <w:lang w:eastAsia="en-US"/>
              </w:rPr>
              <w:t>Building permit must specific mandatory notification stages</w:t>
            </w:r>
          </w:p>
          <w:p w:rsidR="00975337" w:rsidRPr="00427EE1" w:rsidRDefault="002E244C">
            <w:pPr>
              <w:pStyle w:val="Tabletext"/>
              <w:rPr>
                <w:rFonts w:eastAsia="Calibri"/>
                <w:lang w:eastAsia="en-US"/>
              </w:rPr>
            </w:pPr>
            <w:r>
              <w:rPr>
                <w:rFonts w:eastAsia="Calibri"/>
                <w:lang w:eastAsia="en-US"/>
              </w:rPr>
              <w:t xml:space="preserve">Requires </w:t>
            </w:r>
            <w:r w:rsidR="00975337" w:rsidRPr="00427EE1">
              <w:rPr>
                <w:rFonts w:eastAsia="Calibri"/>
                <w:lang w:eastAsia="en-US"/>
              </w:rPr>
              <w:t xml:space="preserve">the </w:t>
            </w:r>
            <w:r w:rsidR="00AB414E">
              <w:rPr>
                <w:rFonts w:eastAsia="Calibri"/>
                <w:lang w:eastAsia="en-US"/>
              </w:rPr>
              <w:t>RBS</w:t>
            </w:r>
            <w:r w:rsidR="00975337" w:rsidRPr="00427EE1">
              <w:rPr>
                <w:rFonts w:eastAsia="Calibri"/>
                <w:lang w:eastAsia="en-US"/>
              </w:rPr>
              <w:t xml:space="preserve"> to specify all mandatory stages on the building permit issued for that building work.</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975337" w:rsidRPr="00427EE1" w:rsidRDefault="00975337">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975337" w:rsidRPr="00427EE1" w:rsidRDefault="00975337">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975337" w:rsidRPr="00427EE1" w:rsidRDefault="004D26E7">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a</w:t>
            </w:r>
            <w:r w:rsidR="00975337" w:rsidRPr="00427EE1">
              <w:rPr>
                <w:rFonts w:eastAsia="Calibri"/>
              </w:rPr>
              <w:t>ddresses information asymmetry because the mandatory notification stages for each building permit are specified.</w:t>
            </w:r>
            <w:r w:rsidR="00E60957">
              <w:rPr>
                <w:rFonts w:eastAsia="Calibri"/>
              </w:rPr>
              <w:t xml:space="preserve"> </w:t>
            </w:r>
            <w:r w:rsidR="00975337" w:rsidRPr="00427EE1">
              <w:rPr>
                <w:rFonts w:eastAsia="Calibri"/>
              </w:rPr>
              <w:t xml:space="preserve">This </w:t>
            </w:r>
            <w:r w:rsidR="000273F9">
              <w:rPr>
                <w:rFonts w:eastAsia="Calibri"/>
              </w:rPr>
              <w:t>Regulation</w:t>
            </w:r>
            <w:r w:rsidR="00975337" w:rsidRPr="00427EE1">
              <w:rPr>
                <w:rFonts w:eastAsia="Calibri"/>
              </w:rPr>
              <w:t xml:space="preserve"> has been updated to take into account the remaking of current </w:t>
            </w:r>
            <w:proofErr w:type="spellStart"/>
            <w:r w:rsidR="003902AD">
              <w:rPr>
                <w:rFonts w:eastAsia="Calibri"/>
              </w:rPr>
              <w:t>reg</w:t>
            </w:r>
            <w:proofErr w:type="spellEnd"/>
            <w:r w:rsidR="003902AD">
              <w:rPr>
                <w:rFonts w:eastAsia="Calibri"/>
              </w:rPr>
              <w:t xml:space="preserve"> 9</w:t>
            </w:r>
            <w:r w:rsidR="00975337" w:rsidRPr="00427EE1">
              <w:rPr>
                <w:rFonts w:eastAsia="Calibri"/>
              </w:rPr>
              <w:t xml:space="preserve">01(1), which has been split </w:t>
            </w:r>
            <w:r w:rsidR="00BB3A66" w:rsidRPr="00427EE1">
              <w:rPr>
                <w:rFonts w:eastAsia="Calibri"/>
              </w:rPr>
              <w:t>into</w:t>
            </w:r>
            <w:r w:rsidR="00975337" w:rsidRPr="00427EE1">
              <w:rPr>
                <w:rFonts w:eastAsia="Calibri"/>
              </w:rPr>
              <w:t xml:space="preserve"> three </w:t>
            </w:r>
            <w:r w:rsidR="008911CB">
              <w:rPr>
                <w:rFonts w:eastAsia="Calibri"/>
              </w:rPr>
              <w:t>Regulations</w:t>
            </w:r>
            <w:r w:rsidR="00975337" w:rsidRPr="00427EE1">
              <w:rPr>
                <w:rFonts w:eastAsia="Calibri"/>
              </w:rPr>
              <w:t xml:space="preserve"> to refer to specific types of building work. </w:t>
            </w:r>
          </w:p>
        </w:tc>
      </w:tr>
      <w:tr w:rsidR="00B751DE" w:rsidRPr="00427EE1" w:rsidTr="006119D2">
        <w:trPr>
          <w:cantSplit/>
          <w:trHeight w:val="340"/>
        </w:trPr>
        <w:tc>
          <w:tcPr>
            <w:tcW w:w="103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rsidP="006757E8">
            <w:pPr>
              <w:pStyle w:val="Tabletext"/>
              <w:rPr>
                <w:rFonts w:eastAsia="Calibri"/>
              </w:rPr>
            </w:pPr>
            <w:r w:rsidRPr="00427EE1">
              <w:rPr>
                <w:rFonts w:eastAsia="Calibri"/>
              </w:rPr>
              <w:t>902</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rsidP="006757E8">
            <w:pPr>
              <w:pStyle w:val="Tabletext"/>
              <w:rPr>
                <w:rFonts w:eastAsia="Calibri"/>
                <w:lang w:eastAsia="en-US"/>
              </w:rPr>
            </w:pPr>
            <w:r w:rsidRPr="00427EE1">
              <w:rPr>
                <w:rFonts w:eastAsia="Calibri"/>
                <w:lang w:eastAsia="en-US"/>
              </w:rPr>
              <w:t>174</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tcPr>
          <w:p w:rsidR="00B751DE" w:rsidRPr="00427EE1" w:rsidRDefault="00AB414E" w:rsidP="006757E8">
            <w:pPr>
              <w:pStyle w:val="Tabletext"/>
              <w:rPr>
                <w:rFonts w:eastAsia="Calibri"/>
                <w:b/>
                <w:lang w:eastAsia="en-US"/>
              </w:rPr>
            </w:pPr>
            <w:r>
              <w:rPr>
                <w:rFonts w:eastAsia="Calibri"/>
                <w:b/>
                <w:lang w:eastAsia="en-US"/>
              </w:rPr>
              <w:t>RBS</w:t>
            </w:r>
            <w:r w:rsidR="00B751DE" w:rsidRPr="00427EE1">
              <w:rPr>
                <w:rFonts w:eastAsia="Calibri"/>
                <w:b/>
                <w:lang w:eastAsia="en-US"/>
              </w:rPr>
              <w:t xml:space="preserve"> to keep and make available directions to fix building work</w:t>
            </w:r>
          </w:p>
          <w:p w:rsidR="00B751DE" w:rsidRPr="00427EE1" w:rsidRDefault="002E244C">
            <w:pPr>
              <w:pStyle w:val="Tabletext"/>
              <w:rPr>
                <w:rFonts w:eastAsia="Calibri"/>
                <w:lang w:eastAsia="en-US"/>
              </w:rPr>
            </w:pPr>
            <w:r>
              <w:rPr>
                <w:rFonts w:eastAsia="Calibri"/>
                <w:lang w:eastAsia="en-US"/>
              </w:rPr>
              <w:t xml:space="preserve">Specifies </w:t>
            </w:r>
            <w:r w:rsidR="00B751DE" w:rsidRPr="00427EE1">
              <w:rPr>
                <w:rFonts w:eastAsia="Calibri"/>
                <w:lang w:eastAsia="en-US"/>
              </w:rPr>
              <w:t xml:space="preserve">the administrative obligations of the </w:t>
            </w:r>
            <w:r w:rsidR="00AB414E">
              <w:rPr>
                <w:rFonts w:eastAsia="Calibri"/>
                <w:lang w:eastAsia="en-US"/>
              </w:rPr>
              <w:t>RBS</w:t>
            </w:r>
            <w:r w:rsidR="00B751DE" w:rsidRPr="00427EE1">
              <w:rPr>
                <w:rFonts w:eastAsia="Calibri"/>
                <w:lang w:eastAsia="en-US"/>
              </w:rPr>
              <w:t xml:space="preserve"> in relation issuing direction under</w:t>
            </w:r>
            <w:r w:rsidR="004267C5">
              <w:rPr>
                <w:rFonts w:eastAsia="Calibri"/>
                <w:lang w:eastAsia="en-US"/>
              </w:rPr>
              <w:t xml:space="preserve"> </w:t>
            </w:r>
            <w:proofErr w:type="spellStart"/>
            <w:r w:rsidR="004267C5">
              <w:rPr>
                <w:rFonts w:eastAsia="Calibri"/>
                <w:lang w:eastAsia="en-US"/>
              </w:rPr>
              <w:t>pt</w:t>
            </w:r>
            <w:proofErr w:type="spellEnd"/>
            <w:r w:rsidR="004267C5">
              <w:rPr>
                <w:rFonts w:eastAsia="Calibri"/>
                <w:lang w:eastAsia="en-US"/>
              </w:rPr>
              <w:t xml:space="preserve"> 4 di</w:t>
            </w:r>
            <w:r w:rsidR="00B751DE" w:rsidRPr="00427EE1">
              <w:rPr>
                <w:rFonts w:eastAsia="Calibri"/>
                <w:lang w:eastAsia="en-US"/>
              </w:rPr>
              <w:t>v 2 of the Act.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4D26E7">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a</w:t>
            </w:r>
            <w:r w:rsidR="00B751DE" w:rsidRPr="00427EE1">
              <w:rPr>
                <w:rFonts w:eastAsia="Calibri"/>
              </w:rPr>
              <w:t xml:space="preserve">ddresses information asymmetry. Ensures that adequate information is kept in relation to directions issued by </w:t>
            </w:r>
            <w:r w:rsidR="00AB414E">
              <w:rPr>
                <w:rFonts w:eastAsia="Calibri"/>
              </w:rPr>
              <w:t>RBS</w:t>
            </w:r>
            <w:r w:rsidR="00B751DE" w:rsidRPr="00427EE1">
              <w:rPr>
                <w:rFonts w:eastAsia="Calibri"/>
              </w:rPr>
              <w:t>s to persons in charge of building work.</w:t>
            </w:r>
          </w:p>
        </w:tc>
      </w:tr>
      <w:tr w:rsidR="00B751DE" w:rsidRPr="00427EE1" w:rsidTr="006119D2">
        <w:trPr>
          <w:cantSplit/>
          <w:trHeight w:val="340"/>
        </w:trPr>
        <w:tc>
          <w:tcPr>
            <w:tcW w:w="103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902A</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175</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B751DE" w:rsidP="006757E8">
            <w:pPr>
              <w:pStyle w:val="Tabletext"/>
              <w:rPr>
                <w:rFonts w:eastAsia="Calibri"/>
                <w:b/>
                <w:lang w:eastAsia="en-US"/>
              </w:rPr>
            </w:pPr>
            <w:r w:rsidRPr="00427EE1">
              <w:rPr>
                <w:rFonts w:eastAsia="Calibri"/>
                <w:b/>
                <w:lang w:eastAsia="en-US"/>
              </w:rPr>
              <w:t xml:space="preserve">Person to whom authorised person must give documents under </w:t>
            </w:r>
            <w:r w:rsidR="0023395A">
              <w:rPr>
                <w:rFonts w:eastAsia="Calibri"/>
                <w:b/>
                <w:lang w:eastAsia="en-US"/>
              </w:rPr>
              <w:t xml:space="preserve">s </w:t>
            </w:r>
            <w:r w:rsidRPr="00427EE1">
              <w:rPr>
                <w:rFonts w:eastAsia="Calibri"/>
                <w:b/>
                <w:lang w:eastAsia="en-US"/>
              </w:rPr>
              <w:t>37</w:t>
            </w:r>
            <w:r w:rsidR="00181511">
              <w:rPr>
                <w:rFonts w:eastAsia="Calibri"/>
                <w:b/>
                <w:lang w:eastAsia="en-US"/>
              </w:rPr>
              <w:t>J</w:t>
            </w:r>
            <w:r w:rsidRPr="00427EE1">
              <w:rPr>
                <w:rFonts w:eastAsia="Calibri"/>
                <w:b/>
                <w:lang w:eastAsia="en-US"/>
              </w:rPr>
              <w:t xml:space="preserve"> of the Act</w:t>
            </w:r>
          </w:p>
          <w:p w:rsidR="00B751DE" w:rsidRPr="00427EE1" w:rsidRDefault="003D75DD">
            <w:pPr>
              <w:pStyle w:val="Tabletext"/>
              <w:rPr>
                <w:rFonts w:eastAsia="Calibri"/>
                <w:lang w:eastAsia="en-US"/>
              </w:rPr>
            </w:pPr>
            <w:r>
              <w:rPr>
                <w:rFonts w:eastAsia="Calibri"/>
                <w:lang w:eastAsia="en-US"/>
              </w:rPr>
              <w:t xml:space="preserve">Specifies </w:t>
            </w:r>
            <w:r w:rsidR="00B751DE" w:rsidRPr="00427EE1">
              <w:rPr>
                <w:rFonts w:eastAsia="Calibri"/>
                <w:lang w:eastAsia="en-US"/>
              </w:rPr>
              <w:t xml:space="preserve">the </w:t>
            </w:r>
            <w:r w:rsidR="00AB414E">
              <w:rPr>
                <w:rFonts w:eastAsia="Calibri"/>
                <w:lang w:eastAsia="en-US"/>
              </w:rPr>
              <w:t>RBS</w:t>
            </w:r>
            <w:r w:rsidR="00B751DE" w:rsidRPr="00427EE1">
              <w:rPr>
                <w:rFonts w:eastAsia="Calibri"/>
                <w:lang w:eastAsia="en-US"/>
              </w:rPr>
              <w:t xml:space="preserve"> as the person whom an authorised person must give documents to in relation to a written direction to fix building work.</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4D26E7">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00B751DE" w:rsidRPr="00427EE1">
              <w:rPr>
                <w:rFonts w:eastAsia="Calibri"/>
              </w:rPr>
              <w:t>give</w:t>
            </w:r>
            <w:r w:rsidRPr="00427EE1">
              <w:rPr>
                <w:rFonts w:eastAsia="Calibri"/>
              </w:rPr>
              <w:t>s</w:t>
            </w:r>
            <w:r w:rsidR="00B751DE" w:rsidRPr="00427EE1">
              <w:rPr>
                <w:rFonts w:eastAsia="Calibri"/>
              </w:rPr>
              <w:t xml:space="preserve"> effect to </w:t>
            </w:r>
            <w:r w:rsidR="0023395A">
              <w:rPr>
                <w:rFonts w:eastAsia="Calibri"/>
              </w:rPr>
              <w:t xml:space="preserve">s </w:t>
            </w:r>
            <w:r w:rsidR="00B751DE" w:rsidRPr="00427EE1">
              <w:rPr>
                <w:rFonts w:eastAsia="Calibri"/>
              </w:rPr>
              <w:t>37J of the Act.</w:t>
            </w:r>
          </w:p>
        </w:tc>
      </w:tr>
    </w:tbl>
    <w:p w:rsidR="00AC4E58" w:rsidRPr="00427EE1" w:rsidRDefault="00AC4E58" w:rsidP="006757E8">
      <w:pPr>
        <w:rPr>
          <w:rFonts w:ascii="Arial" w:hAnsi="Arial"/>
          <w:b/>
        </w:rPr>
      </w:pPr>
    </w:p>
    <w:p w:rsidR="00B751DE" w:rsidRPr="00427EE1" w:rsidRDefault="00EF2008" w:rsidP="006119D2">
      <w:pPr>
        <w:pStyle w:val="Heading4"/>
      </w:pPr>
      <w:proofErr w:type="spellStart"/>
      <w:r>
        <w:t>Div</w:t>
      </w:r>
      <w:proofErr w:type="spellEnd"/>
      <w:r w:rsidR="00B751DE" w:rsidRPr="00427EE1">
        <w:t xml:space="preserve"> 2</w:t>
      </w:r>
      <w:r w:rsidR="008475D9">
        <w:t>—</w:t>
      </w:r>
      <w:r w:rsidR="00B751DE" w:rsidRPr="00427EE1">
        <w:t>Notices and orders</w:t>
      </w:r>
    </w:p>
    <w:tbl>
      <w:tblPr>
        <w:tblW w:w="14535" w:type="dxa"/>
        <w:tblInd w:w="-158"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1008"/>
        <w:gridCol w:w="959"/>
        <w:gridCol w:w="4243"/>
        <w:gridCol w:w="399"/>
        <w:gridCol w:w="399"/>
        <w:gridCol w:w="402"/>
        <w:gridCol w:w="400"/>
        <w:gridCol w:w="398"/>
        <w:gridCol w:w="6327"/>
      </w:tblGrid>
      <w:tr w:rsidR="00CC3C64" w:rsidRPr="00427EE1" w:rsidTr="006119D2">
        <w:trPr>
          <w:cantSplit/>
          <w:trHeight w:val="103"/>
          <w:tblHeader/>
        </w:trPr>
        <w:tc>
          <w:tcPr>
            <w:tcW w:w="1008" w:type="dxa"/>
            <w:vMerge w:val="restart"/>
            <w:shd w:val="clear" w:color="auto" w:fill="00B2A9" w:themeFill="accent1"/>
            <w:vAlign w:val="center"/>
            <w:hideMark/>
          </w:tcPr>
          <w:p w:rsidR="00CC3C64" w:rsidRDefault="00CC3C64">
            <w:pPr>
              <w:pStyle w:val="Tablecolumnhead"/>
              <w:rPr>
                <w:rFonts w:asciiTheme="majorHAnsi" w:eastAsia="Calibri" w:hAnsiTheme="majorHAnsi" w:cstheme="majorBidi"/>
                <w:sz w:val="40"/>
              </w:rPr>
            </w:pPr>
            <w:r w:rsidRPr="00BE72D7">
              <w:rPr>
                <w:rFonts w:eastAsia="Calibri"/>
              </w:rPr>
              <w:t>2006</w:t>
            </w:r>
          </w:p>
          <w:p w:rsidR="00CC3C64" w:rsidRPr="00A72717" w:rsidRDefault="00CC3C64">
            <w:pPr>
              <w:pStyle w:val="Tablecolumnhead"/>
              <w:rPr>
                <w:rFonts w:eastAsia="Calibri"/>
              </w:rPr>
            </w:pPr>
            <w:r w:rsidRPr="00C44680">
              <w:rPr>
                <w:rFonts w:ascii="Arial Bold" w:eastAsia="Calibri" w:hAnsi="Arial Bold"/>
                <w:spacing w:val="-12"/>
                <w:sz w:val="16"/>
              </w:rPr>
              <w:t>Regulation</w:t>
            </w:r>
          </w:p>
        </w:tc>
        <w:tc>
          <w:tcPr>
            <w:tcW w:w="959" w:type="dxa"/>
            <w:vMerge w:val="restart"/>
            <w:shd w:val="clear" w:color="auto" w:fill="00B2A9" w:themeFill="accent1"/>
            <w:vAlign w:val="center"/>
            <w:hideMark/>
          </w:tcPr>
          <w:p w:rsidR="00CC3C64" w:rsidRDefault="00CC3C64">
            <w:pPr>
              <w:pStyle w:val="Tablecolumnhead"/>
              <w:rPr>
                <w:rFonts w:asciiTheme="majorHAnsi" w:eastAsiaTheme="majorEastAsia" w:hAnsiTheme="majorHAnsi" w:cstheme="majorBidi"/>
                <w:sz w:val="40"/>
              </w:rPr>
            </w:pPr>
            <w:r w:rsidRPr="008F0E53">
              <w:rPr>
                <w:rFonts w:eastAsia="Calibri"/>
              </w:rPr>
              <w:t>2017</w:t>
            </w:r>
          </w:p>
          <w:p w:rsidR="00CC3C64" w:rsidRPr="00A72717" w:rsidRDefault="00CC3C64">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CC3C64" w:rsidRPr="00A72717" w:rsidRDefault="00CC3C64">
            <w:pPr>
              <w:pStyle w:val="Tablecolumnhead"/>
              <w:rPr>
                <w:rFonts w:eastAsia="Calibri"/>
              </w:rPr>
            </w:pPr>
            <w:r w:rsidRPr="00A72717">
              <w:rPr>
                <w:szCs w:val="22"/>
              </w:rPr>
              <w:t xml:space="preserve">Short description of the </w:t>
            </w:r>
            <w:r>
              <w:rPr>
                <w:szCs w:val="22"/>
              </w:rPr>
              <w:t>Regulation</w:t>
            </w:r>
          </w:p>
        </w:tc>
        <w:tc>
          <w:tcPr>
            <w:tcW w:w="1998" w:type="dxa"/>
            <w:gridSpan w:val="5"/>
            <w:shd w:val="clear" w:color="auto" w:fill="00B2A9" w:themeFill="accent1"/>
            <w:vAlign w:val="center"/>
          </w:tcPr>
          <w:p w:rsidR="00CC3C64" w:rsidRPr="00A72717" w:rsidRDefault="00CC3C64">
            <w:pPr>
              <w:pStyle w:val="Tablecolumnhead"/>
            </w:pPr>
            <w:r w:rsidRPr="00A72717">
              <w:rPr>
                <w:szCs w:val="22"/>
              </w:rPr>
              <w:t>Proposed regulatory change</w:t>
            </w:r>
          </w:p>
        </w:tc>
        <w:tc>
          <w:tcPr>
            <w:tcW w:w="6327" w:type="dxa"/>
            <w:vMerge w:val="restart"/>
            <w:shd w:val="clear" w:color="auto" w:fill="00B2A9" w:themeFill="accent1"/>
            <w:vAlign w:val="center"/>
          </w:tcPr>
          <w:p w:rsidR="00CC3C64" w:rsidRPr="00A72717" w:rsidRDefault="00CC3C64">
            <w:pPr>
              <w:pStyle w:val="Tablecolumnhead"/>
            </w:pPr>
            <w:r w:rsidRPr="00A72717">
              <w:rPr>
                <w:szCs w:val="22"/>
              </w:rPr>
              <w:t>Why the 2017 Regulation is proposed</w:t>
            </w:r>
          </w:p>
        </w:tc>
      </w:tr>
      <w:tr w:rsidR="00B751DE" w:rsidRPr="00427EE1" w:rsidTr="006119D2">
        <w:trPr>
          <w:cantSplit/>
          <w:trHeight w:val="966"/>
          <w:tblHeader/>
        </w:trPr>
        <w:tc>
          <w:tcPr>
            <w:tcW w:w="1008"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959"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B751DE" w:rsidRPr="00427EE1" w:rsidTr="006119D2">
        <w:trPr>
          <w:cantSplit/>
          <w:trHeight w:val="340"/>
        </w:trPr>
        <w:tc>
          <w:tcPr>
            <w:tcW w:w="100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903</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176</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b/>
                <w:lang w:eastAsia="en-US"/>
              </w:rPr>
            </w:pPr>
            <w:r w:rsidRPr="00427EE1">
              <w:rPr>
                <w:rFonts w:eastAsia="Calibri"/>
                <w:b/>
                <w:lang w:eastAsia="en-US"/>
              </w:rPr>
              <w:t>Emergency orders</w:t>
            </w:r>
          </w:p>
          <w:p w:rsidR="00B751DE" w:rsidRPr="00427EE1" w:rsidRDefault="003D75DD">
            <w:pPr>
              <w:pStyle w:val="Tabletext"/>
              <w:rPr>
                <w:rFonts w:eastAsia="Calibri"/>
                <w:lang w:eastAsia="en-US"/>
              </w:rPr>
            </w:pPr>
            <w:r>
              <w:rPr>
                <w:rFonts w:eastAsia="Calibri"/>
                <w:lang w:eastAsia="en-US"/>
              </w:rPr>
              <w:t xml:space="preserve">Specifies </w:t>
            </w:r>
            <w:r w:rsidR="00B751DE" w:rsidRPr="00427EE1">
              <w:rPr>
                <w:rFonts w:eastAsia="Calibri"/>
                <w:lang w:eastAsia="en-US"/>
              </w:rPr>
              <w:t>details that an emergency order must contain.</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jc w:val="cente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4D26E7">
            <w:pPr>
              <w:pStyle w:val="Tabletext"/>
              <w:rPr>
                <w:rFonts w:eastAsia="Calibri"/>
              </w:rPr>
            </w:pPr>
            <w:r w:rsidRPr="00427EE1">
              <w:rPr>
                <w:rFonts w:eastAsia="Calibri"/>
                <w:lang w:eastAsia="en-US"/>
              </w:rPr>
              <w:t xml:space="preserve">This </w:t>
            </w:r>
            <w:r w:rsidR="000273F9">
              <w:rPr>
                <w:rFonts w:eastAsia="Calibri"/>
                <w:lang w:eastAsia="en-US"/>
              </w:rPr>
              <w:t>Regulation</w:t>
            </w:r>
            <w:r w:rsidR="00E60957">
              <w:rPr>
                <w:rFonts w:eastAsia="Calibri"/>
                <w:lang w:eastAsia="en-US"/>
              </w:rPr>
              <w:t xml:space="preserve"> </w:t>
            </w:r>
            <w:r w:rsidR="00B751DE" w:rsidRPr="00427EE1">
              <w:rPr>
                <w:rFonts w:eastAsia="Calibri"/>
              </w:rPr>
              <w:t>give</w:t>
            </w:r>
            <w:r w:rsidRPr="00427EE1">
              <w:rPr>
                <w:rFonts w:eastAsia="Calibri"/>
              </w:rPr>
              <w:t>s</w:t>
            </w:r>
            <w:r w:rsidR="00B751DE" w:rsidRPr="00427EE1">
              <w:rPr>
                <w:rFonts w:eastAsia="Calibri"/>
              </w:rPr>
              <w:t xml:space="preserve"> effect to </w:t>
            </w:r>
            <w:r w:rsidR="0023395A">
              <w:rPr>
                <w:rFonts w:eastAsia="Calibri"/>
              </w:rPr>
              <w:t xml:space="preserve">s </w:t>
            </w:r>
            <w:r w:rsidR="00B751DE" w:rsidRPr="00427EE1">
              <w:rPr>
                <w:rFonts w:eastAsia="Calibri"/>
              </w:rPr>
              <w:t xml:space="preserve">103(3) of the Act. Additional information required to be recorded if another person conducts the inspection on the behalf of </w:t>
            </w:r>
            <w:r w:rsidR="0023395A">
              <w:rPr>
                <w:rFonts w:eastAsia="Calibri"/>
              </w:rPr>
              <w:t>a</w:t>
            </w:r>
            <w:r w:rsidR="0023395A" w:rsidRPr="00427EE1">
              <w:rPr>
                <w:rFonts w:eastAsia="Calibri"/>
              </w:rPr>
              <w:t xml:space="preserve"> </w:t>
            </w:r>
            <w:r w:rsidR="00B751DE" w:rsidRPr="00427EE1">
              <w:rPr>
                <w:rFonts w:eastAsia="Calibri"/>
              </w:rPr>
              <w:t>RBS.</w:t>
            </w:r>
          </w:p>
        </w:tc>
      </w:tr>
      <w:tr w:rsidR="00B751DE" w:rsidRPr="00427EE1" w:rsidTr="006119D2">
        <w:trPr>
          <w:cantSplit/>
          <w:trHeight w:val="340"/>
        </w:trPr>
        <w:tc>
          <w:tcPr>
            <w:tcW w:w="100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B97615" w:rsidRDefault="00B751DE" w:rsidP="006757E8">
            <w:pPr>
              <w:pStyle w:val="Tabletext"/>
              <w:rPr>
                <w:rFonts w:eastAsia="Calibri"/>
                <w:b/>
              </w:rPr>
            </w:pPr>
            <w:r w:rsidRPr="00B97615">
              <w:rPr>
                <w:rFonts w:eastAsia="Calibri"/>
                <w:b/>
              </w:rPr>
              <w:lastRenderedPageBreak/>
              <w:t>n/a</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NEW</w:t>
            </w:r>
          </w:p>
          <w:p w:rsidR="00B751DE" w:rsidRPr="00427EE1" w:rsidRDefault="00B751DE" w:rsidP="006757E8">
            <w:pPr>
              <w:pStyle w:val="Tabletext"/>
              <w:rPr>
                <w:rFonts w:eastAsia="Calibri"/>
                <w:lang w:eastAsia="en-US"/>
              </w:rPr>
            </w:pPr>
            <w:r w:rsidRPr="00427EE1">
              <w:rPr>
                <w:rFonts w:eastAsia="Calibri"/>
                <w:lang w:eastAsia="en-US"/>
              </w:rPr>
              <w:t>177</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B97615" w:rsidRDefault="00B751DE">
            <w:pPr>
              <w:pStyle w:val="Tabletext"/>
              <w:rPr>
                <w:rFonts w:eastAsia="Calibri"/>
                <w:b/>
                <w:lang w:eastAsia="en-US"/>
              </w:rPr>
            </w:pPr>
            <w:r w:rsidRPr="00B97615">
              <w:rPr>
                <w:rFonts w:eastAsia="Calibri"/>
                <w:b/>
                <w:lang w:eastAsia="en-US"/>
              </w:rPr>
              <w:t>Form of emergency orders</w:t>
            </w:r>
          </w:p>
          <w:p w:rsidR="00B751DE" w:rsidRPr="00427EE1" w:rsidRDefault="002E244C">
            <w:pPr>
              <w:pStyle w:val="Tabletext"/>
              <w:rPr>
                <w:rFonts w:eastAsia="Calibri"/>
                <w:lang w:eastAsia="en-US"/>
              </w:rPr>
            </w:pPr>
            <w:r>
              <w:rPr>
                <w:rFonts w:eastAsia="Calibri"/>
                <w:lang w:eastAsia="en-US"/>
              </w:rPr>
              <w:t xml:space="preserve">Provides </w:t>
            </w:r>
            <w:r w:rsidR="00B751DE" w:rsidRPr="00427EE1">
              <w:rPr>
                <w:rFonts w:eastAsia="Calibri"/>
                <w:lang w:eastAsia="en-US"/>
              </w:rPr>
              <w:t xml:space="preserve">a </w:t>
            </w:r>
            <w:proofErr w:type="spellStart"/>
            <w:r w:rsidR="0023395A">
              <w:rPr>
                <w:rFonts w:eastAsia="Calibri"/>
                <w:lang w:eastAsia="en-US"/>
              </w:rPr>
              <w:t>non</w:t>
            </w:r>
            <w:r w:rsidR="00B751DE" w:rsidRPr="00427EE1">
              <w:rPr>
                <w:rFonts w:eastAsia="Calibri"/>
                <w:lang w:eastAsia="en-US"/>
              </w:rPr>
              <w:t>mandatory</w:t>
            </w:r>
            <w:proofErr w:type="spellEnd"/>
            <w:r w:rsidR="00B751DE" w:rsidRPr="00427EE1">
              <w:rPr>
                <w:rFonts w:eastAsia="Calibri"/>
                <w:lang w:eastAsia="en-US"/>
              </w:rPr>
              <w:t xml:space="preserve"> form to be used when issuing an emergency order.</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jc w:val="cente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4D26E7">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006A1212" w:rsidRPr="00427EE1">
              <w:rPr>
                <w:rFonts w:eastAsia="Calibri"/>
                <w:lang w:eastAsia="en-US"/>
              </w:rPr>
              <w:t>aims to improve</w:t>
            </w:r>
            <w:r w:rsidR="00E60957">
              <w:rPr>
                <w:rFonts w:eastAsia="Calibri"/>
                <w:lang w:eastAsia="en-US"/>
              </w:rPr>
              <w:t xml:space="preserve"> </w:t>
            </w:r>
            <w:r w:rsidR="006A1212" w:rsidRPr="00427EE1">
              <w:rPr>
                <w:rFonts w:eastAsia="Calibri"/>
              </w:rPr>
              <w:t>the issuing of</w:t>
            </w:r>
            <w:r w:rsidR="00B751DE" w:rsidRPr="00427EE1">
              <w:rPr>
                <w:rFonts w:eastAsia="Calibri"/>
              </w:rPr>
              <w:t xml:space="preserve"> an emergency order </w:t>
            </w:r>
            <w:r w:rsidR="006A1212" w:rsidRPr="00427EE1">
              <w:rPr>
                <w:rFonts w:eastAsia="Calibri"/>
              </w:rPr>
              <w:t xml:space="preserve">because it will ensure that it </w:t>
            </w:r>
            <w:r w:rsidR="00B751DE" w:rsidRPr="00427EE1">
              <w:rPr>
                <w:rFonts w:eastAsia="Calibri"/>
              </w:rPr>
              <w:t xml:space="preserve">contains all mandatory information and is enforceable at law. </w:t>
            </w:r>
          </w:p>
        </w:tc>
      </w:tr>
      <w:tr w:rsidR="00B751DE" w:rsidRPr="00427EE1" w:rsidTr="006119D2">
        <w:trPr>
          <w:cantSplit/>
          <w:trHeight w:val="340"/>
        </w:trPr>
        <w:tc>
          <w:tcPr>
            <w:tcW w:w="100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904</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178</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B97615" w:rsidRDefault="00B751DE" w:rsidP="006757E8">
            <w:pPr>
              <w:pStyle w:val="Tabletext"/>
              <w:rPr>
                <w:rFonts w:eastAsia="Calibri"/>
                <w:b/>
                <w:lang w:eastAsia="en-US"/>
              </w:rPr>
            </w:pPr>
            <w:r w:rsidRPr="00B97615">
              <w:rPr>
                <w:rFonts w:eastAsia="Calibri"/>
                <w:b/>
                <w:lang w:eastAsia="en-US"/>
              </w:rPr>
              <w:t>Building notices</w:t>
            </w:r>
          </w:p>
          <w:p w:rsidR="00B751DE" w:rsidRPr="00427EE1" w:rsidRDefault="003D75DD">
            <w:pPr>
              <w:pStyle w:val="Tabletext"/>
              <w:rPr>
                <w:rFonts w:eastAsia="Calibri"/>
                <w:lang w:eastAsia="en-US"/>
              </w:rPr>
            </w:pPr>
            <w:r>
              <w:rPr>
                <w:rFonts w:eastAsia="Calibri"/>
                <w:lang w:eastAsia="en-US"/>
              </w:rPr>
              <w:t xml:space="preserve">Specifies </w:t>
            </w:r>
            <w:r w:rsidR="00B751DE" w:rsidRPr="00427EE1">
              <w:rPr>
                <w:rFonts w:eastAsia="Calibri"/>
                <w:lang w:eastAsia="en-US"/>
              </w:rPr>
              <w:t>details that a building notice must contain.</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jc w:val="cente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6A1212">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00B751DE" w:rsidRPr="00427EE1">
              <w:rPr>
                <w:rFonts w:eastAsia="Calibri"/>
              </w:rPr>
              <w:t>give</w:t>
            </w:r>
            <w:r w:rsidRPr="00427EE1">
              <w:rPr>
                <w:rFonts w:eastAsia="Calibri"/>
              </w:rPr>
              <w:t>s</w:t>
            </w:r>
            <w:r w:rsidR="00B751DE" w:rsidRPr="00427EE1">
              <w:rPr>
                <w:rFonts w:eastAsia="Calibri"/>
              </w:rPr>
              <w:t xml:space="preserve"> effect to </w:t>
            </w:r>
            <w:r w:rsidR="0023395A">
              <w:rPr>
                <w:rFonts w:eastAsia="Calibri"/>
              </w:rPr>
              <w:t xml:space="preserve">s </w:t>
            </w:r>
            <w:r w:rsidR="00B751DE" w:rsidRPr="00427EE1">
              <w:rPr>
                <w:rFonts w:eastAsia="Calibri"/>
              </w:rPr>
              <w:t xml:space="preserve">103(3) of the Act. Additional information required to be recorded if another person conducts the inspection on the behalf of </w:t>
            </w:r>
            <w:r w:rsidR="0023395A">
              <w:rPr>
                <w:rFonts w:eastAsia="Calibri"/>
              </w:rPr>
              <w:t>a</w:t>
            </w:r>
            <w:r w:rsidR="0023395A" w:rsidRPr="00427EE1">
              <w:rPr>
                <w:rFonts w:eastAsia="Calibri"/>
              </w:rPr>
              <w:t xml:space="preserve"> </w:t>
            </w:r>
            <w:r w:rsidR="00B751DE" w:rsidRPr="00427EE1">
              <w:rPr>
                <w:rFonts w:eastAsia="Calibri"/>
              </w:rPr>
              <w:t>RBS.</w:t>
            </w:r>
          </w:p>
        </w:tc>
      </w:tr>
      <w:tr w:rsidR="00B751DE" w:rsidRPr="00427EE1" w:rsidTr="006119D2">
        <w:trPr>
          <w:cantSplit/>
          <w:trHeight w:val="340"/>
        </w:trPr>
        <w:tc>
          <w:tcPr>
            <w:tcW w:w="100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B97615" w:rsidRDefault="00B751DE" w:rsidP="006757E8">
            <w:pPr>
              <w:pStyle w:val="Tabletext"/>
              <w:rPr>
                <w:rFonts w:eastAsia="Calibri"/>
                <w:b/>
              </w:rPr>
            </w:pPr>
            <w:r w:rsidRPr="00B97615">
              <w:rPr>
                <w:rFonts w:eastAsia="Calibri"/>
                <w:b/>
              </w:rPr>
              <w:t>n/a</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NEW</w:t>
            </w:r>
          </w:p>
          <w:p w:rsidR="00B751DE" w:rsidRPr="00427EE1" w:rsidRDefault="00B751DE" w:rsidP="006757E8">
            <w:pPr>
              <w:pStyle w:val="Tabletext"/>
              <w:rPr>
                <w:rFonts w:eastAsia="Calibri"/>
                <w:lang w:eastAsia="en-US"/>
              </w:rPr>
            </w:pPr>
            <w:r w:rsidRPr="00427EE1">
              <w:rPr>
                <w:rFonts w:eastAsia="Calibri"/>
                <w:lang w:eastAsia="en-US"/>
              </w:rPr>
              <w:t>179</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B97615" w:rsidRDefault="00B751DE">
            <w:pPr>
              <w:pStyle w:val="Tabletext"/>
              <w:rPr>
                <w:rFonts w:eastAsia="Calibri"/>
                <w:b/>
                <w:lang w:eastAsia="en-US"/>
              </w:rPr>
            </w:pPr>
            <w:r w:rsidRPr="00B97615">
              <w:rPr>
                <w:rFonts w:eastAsia="Calibri"/>
                <w:b/>
                <w:lang w:eastAsia="en-US"/>
              </w:rPr>
              <w:t>Form of building notice</w:t>
            </w:r>
          </w:p>
          <w:p w:rsidR="00B751DE" w:rsidRPr="00427EE1" w:rsidRDefault="002E244C">
            <w:pPr>
              <w:pStyle w:val="Tabletext"/>
              <w:rPr>
                <w:rFonts w:eastAsia="Calibri"/>
                <w:lang w:eastAsia="en-US"/>
              </w:rPr>
            </w:pPr>
            <w:r>
              <w:rPr>
                <w:rFonts w:eastAsia="Calibri"/>
                <w:lang w:eastAsia="en-US"/>
              </w:rPr>
              <w:t xml:space="preserve">Provides </w:t>
            </w:r>
            <w:r w:rsidR="00B751DE" w:rsidRPr="00427EE1">
              <w:rPr>
                <w:rFonts w:eastAsia="Calibri"/>
                <w:lang w:eastAsia="en-US"/>
              </w:rPr>
              <w:t xml:space="preserve">a </w:t>
            </w:r>
            <w:proofErr w:type="spellStart"/>
            <w:r w:rsidR="0023395A">
              <w:rPr>
                <w:rFonts w:eastAsia="Calibri"/>
                <w:lang w:eastAsia="en-US"/>
              </w:rPr>
              <w:t>non</w:t>
            </w:r>
            <w:r w:rsidR="00B751DE" w:rsidRPr="00427EE1">
              <w:rPr>
                <w:rFonts w:eastAsia="Calibri"/>
                <w:lang w:eastAsia="en-US"/>
              </w:rPr>
              <w:t>mandatory</w:t>
            </w:r>
            <w:proofErr w:type="spellEnd"/>
            <w:r w:rsidR="00B751DE" w:rsidRPr="00427EE1">
              <w:rPr>
                <w:rFonts w:eastAsia="Calibri"/>
                <w:lang w:eastAsia="en-US"/>
              </w:rPr>
              <w:t xml:space="preserve"> form to be used when issuing a building notice</w:t>
            </w:r>
            <w:r w:rsidR="00995450">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jc w:val="cente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Style w:val="tgc"/>
                <w:rFonts w:ascii="MS Gothic" w:eastAsia="MS Gothic" w:hAnsi="MS Gothic" w:cs="MS Gothic"/>
                <w:color w:val="222222"/>
                <w:lang w:val="en-GB"/>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6A1212">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aims to improve</w:t>
            </w:r>
            <w:r w:rsidR="00E60957">
              <w:rPr>
                <w:rFonts w:eastAsia="Calibri"/>
                <w:lang w:eastAsia="en-US"/>
              </w:rPr>
              <w:t xml:space="preserve"> </w:t>
            </w:r>
            <w:r w:rsidRPr="00427EE1">
              <w:rPr>
                <w:rFonts w:eastAsia="Calibri"/>
              </w:rPr>
              <w:t xml:space="preserve">the </w:t>
            </w:r>
            <w:r w:rsidR="00BB3A66" w:rsidRPr="00427EE1">
              <w:rPr>
                <w:rFonts w:eastAsia="Calibri"/>
              </w:rPr>
              <w:t>issuing</w:t>
            </w:r>
            <w:r w:rsidRPr="00427EE1">
              <w:rPr>
                <w:rFonts w:eastAsia="Calibri"/>
              </w:rPr>
              <w:t xml:space="preserve"> of a</w:t>
            </w:r>
            <w:r w:rsidR="00B751DE" w:rsidRPr="00427EE1">
              <w:rPr>
                <w:rFonts w:eastAsia="Calibri"/>
              </w:rPr>
              <w:t xml:space="preserve"> building order </w:t>
            </w:r>
            <w:r w:rsidRPr="00427EE1">
              <w:rPr>
                <w:rFonts w:eastAsia="Calibri"/>
              </w:rPr>
              <w:t xml:space="preserve">because it will ensure that it </w:t>
            </w:r>
            <w:r w:rsidR="00B751DE" w:rsidRPr="00427EE1">
              <w:rPr>
                <w:rFonts w:eastAsia="Calibri"/>
              </w:rPr>
              <w:t xml:space="preserve">contains all mandatory information and is enforceable at law. An invalid building notice will affect the legality of a subsequent building order issued and served under </w:t>
            </w:r>
            <w:r w:rsidR="0023395A">
              <w:rPr>
                <w:rFonts w:eastAsia="Calibri"/>
              </w:rPr>
              <w:t xml:space="preserve">s </w:t>
            </w:r>
            <w:r w:rsidR="00B751DE" w:rsidRPr="00427EE1">
              <w:rPr>
                <w:rFonts w:eastAsia="Calibri"/>
              </w:rPr>
              <w:t xml:space="preserve">111 of the Act. </w:t>
            </w:r>
          </w:p>
        </w:tc>
      </w:tr>
      <w:tr w:rsidR="00B751DE" w:rsidRPr="00427EE1" w:rsidTr="006119D2">
        <w:trPr>
          <w:cantSplit/>
          <w:trHeight w:val="340"/>
        </w:trPr>
        <w:tc>
          <w:tcPr>
            <w:tcW w:w="100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rsidP="006757E8">
            <w:pPr>
              <w:pStyle w:val="Tabletext"/>
              <w:rPr>
                <w:rFonts w:eastAsia="Calibri"/>
              </w:rPr>
            </w:pPr>
            <w:r w:rsidRPr="00427EE1">
              <w:rPr>
                <w:rFonts w:eastAsia="Calibri"/>
              </w:rPr>
              <w:t>905</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rsidP="006757E8">
            <w:pPr>
              <w:pStyle w:val="Tabletext"/>
              <w:rPr>
                <w:rFonts w:eastAsia="Calibri"/>
                <w:lang w:eastAsia="en-US"/>
              </w:rPr>
            </w:pPr>
            <w:r w:rsidRPr="00427EE1">
              <w:rPr>
                <w:rFonts w:eastAsia="Calibri"/>
                <w:lang w:eastAsia="en-US"/>
              </w:rPr>
              <w:t>180</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B97615" w:rsidRDefault="00B751DE" w:rsidP="006757E8">
            <w:pPr>
              <w:pStyle w:val="Tabletext"/>
              <w:rPr>
                <w:rFonts w:eastAsia="Calibri"/>
                <w:b/>
                <w:lang w:eastAsia="en-US"/>
              </w:rPr>
            </w:pPr>
            <w:r w:rsidRPr="00B97615">
              <w:rPr>
                <w:rFonts w:eastAsia="Calibri"/>
                <w:b/>
                <w:lang w:eastAsia="en-US"/>
              </w:rPr>
              <w:t>Building orders</w:t>
            </w:r>
          </w:p>
          <w:p w:rsidR="00B751DE" w:rsidRPr="00427EE1" w:rsidRDefault="003D75DD">
            <w:pPr>
              <w:pStyle w:val="Tabletext"/>
              <w:rPr>
                <w:rFonts w:eastAsia="Calibri"/>
                <w:lang w:eastAsia="en-US"/>
              </w:rPr>
            </w:pPr>
            <w:r>
              <w:rPr>
                <w:rFonts w:eastAsia="Calibri"/>
                <w:lang w:eastAsia="en-US"/>
              </w:rPr>
              <w:t xml:space="preserve">Specifies </w:t>
            </w:r>
            <w:r w:rsidR="00B751DE" w:rsidRPr="00427EE1">
              <w:rPr>
                <w:rFonts w:eastAsia="Calibri"/>
                <w:lang w:eastAsia="en-US"/>
              </w:rPr>
              <w:t>details that a building order must contain.</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jc w:val="cente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6A1212">
            <w:pPr>
              <w:pStyle w:val="Tabletext"/>
              <w:rPr>
                <w:rFonts w:eastAsia="Calibri"/>
              </w:rPr>
            </w:pPr>
            <w:r w:rsidRPr="00427EE1">
              <w:rPr>
                <w:rFonts w:eastAsia="Calibri"/>
                <w:lang w:eastAsia="en-US"/>
              </w:rPr>
              <w:t xml:space="preserve">This </w:t>
            </w:r>
            <w:r w:rsidR="000273F9">
              <w:rPr>
                <w:rFonts w:eastAsia="Calibri"/>
                <w:lang w:eastAsia="en-US"/>
              </w:rPr>
              <w:t>Regulation</w:t>
            </w:r>
            <w:r w:rsidR="00E60957">
              <w:rPr>
                <w:rFonts w:eastAsia="Calibri"/>
                <w:lang w:eastAsia="en-US"/>
              </w:rPr>
              <w:t xml:space="preserve"> </w:t>
            </w:r>
            <w:r w:rsidR="00B751DE" w:rsidRPr="00427EE1">
              <w:rPr>
                <w:rFonts w:eastAsia="Calibri"/>
              </w:rPr>
              <w:t>give</w:t>
            </w:r>
            <w:r w:rsidRPr="00427EE1">
              <w:rPr>
                <w:rFonts w:eastAsia="Calibri"/>
              </w:rPr>
              <w:t>s</w:t>
            </w:r>
            <w:r w:rsidR="00B751DE" w:rsidRPr="00427EE1">
              <w:rPr>
                <w:rFonts w:eastAsia="Calibri"/>
              </w:rPr>
              <w:t xml:space="preserve"> effect to </w:t>
            </w:r>
            <w:r w:rsidR="0023395A">
              <w:rPr>
                <w:rFonts w:eastAsia="Calibri"/>
              </w:rPr>
              <w:t xml:space="preserve">s </w:t>
            </w:r>
            <w:r w:rsidR="00B751DE" w:rsidRPr="00427EE1">
              <w:rPr>
                <w:rFonts w:eastAsia="Calibri"/>
              </w:rPr>
              <w:t xml:space="preserve">114(1)(c) of the Act. Additional information required to be recorded if another person conducts the inspection on the behalf of </w:t>
            </w:r>
            <w:r w:rsidR="0023395A">
              <w:rPr>
                <w:rFonts w:eastAsia="Calibri"/>
              </w:rPr>
              <w:t>a</w:t>
            </w:r>
            <w:r w:rsidR="0023395A" w:rsidRPr="00427EE1">
              <w:rPr>
                <w:rFonts w:eastAsia="Calibri"/>
              </w:rPr>
              <w:t xml:space="preserve"> </w:t>
            </w:r>
            <w:r w:rsidR="00B751DE" w:rsidRPr="00427EE1">
              <w:rPr>
                <w:rFonts w:eastAsia="Calibri"/>
              </w:rPr>
              <w:t>RBS.</w:t>
            </w:r>
          </w:p>
        </w:tc>
      </w:tr>
      <w:tr w:rsidR="00B751DE" w:rsidRPr="00427EE1" w:rsidTr="006119D2">
        <w:trPr>
          <w:cantSplit/>
          <w:trHeight w:val="340"/>
        </w:trPr>
        <w:tc>
          <w:tcPr>
            <w:tcW w:w="100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B97615" w:rsidRDefault="00B751DE" w:rsidP="006757E8">
            <w:pPr>
              <w:pStyle w:val="Tabletext"/>
              <w:rPr>
                <w:rFonts w:eastAsia="Calibri"/>
                <w:b/>
              </w:rPr>
            </w:pPr>
            <w:r w:rsidRPr="00B97615">
              <w:rPr>
                <w:rFonts w:eastAsia="Calibri"/>
                <w:b/>
              </w:rPr>
              <w:t>n/a</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rsidP="006757E8">
            <w:pPr>
              <w:pStyle w:val="Tabletext"/>
              <w:rPr>
                <w:rFonts w:eastAsia="Calibri"/>
                <w:lang w:eastAsia="en-US"/>
              </w:rPr>
            </w:pPr>
            <w:r w:rsidRPr="00427EE1">
              <w:rPr>
                <w:rFonts w:eastAsia="Calibri"/>
                <w:lang w:eastAsia="en-US"/>
              </w:rPr>
              <w:t>NEW</w:t>
            </w:r>
          </w:p>
          <w:p w:rsidR="00B751DE" w:rsidRPr="00427EE1" w:rsidRDefault="00B751DE" w:rsidP="006757E8">
            <w:pPr>
              <w:pStyle w:val="Tabletext"/>
              <w:rPr>
                <w:rFonts w:eastAsia="Calibri"/>
                <w:lang w:eastAsia="en-US"/>
              </w:rPr>
            </w:pPr>
            <w:r w:rsidRPr="00427EE1">
              <w:rPr>
                <w:rFonts w:eastAsia="Calibri"/>
                <w:lang w:eastAsia="en-US"/>
              </w:rPr>
              <w:t>181</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B97615" w:rsidRDefault="00B751DE">
            <w:pPr>
              <w:pStyle w:val="Tabletext"/>
              <w:rPr>
                <w:rFonts w:eastAsia="Calibri"/>
                <w:b/>
                <w:lang w:eastAsia="en-US"/>
              </w:rPr>
            </w:pPr>
            <w:r w:rsidRPr="00B97615">
              <w:rPr>
                <w:rFonts w:eastAsia="Calibri"/>
                <w:b/>
                <w:lang w:eastAsia="en-US"/>
              </w:rPr>
              <w:t>Form of building order</w:t>
            </w:r>
          </w:p>
          <w:p w:rsidR="00B751DE" w:rsidRPr="00427EE1" w:rsidRDefault="002E244C">
            <w:pPr>
              <w:pStyle w:val="Tabletext"/>
              <w:rPr>
                <w:rFonts w:eastAsia="Calibri"/>
                <w:lang w:eastAsia="en-US"/>
              </w:rPr>
            </w:pPr>
            <w:r>
              <w:rPr>
                <w:rFonts w:eastAsia="Calibri"/>
                <w:lang w:eastAsia="en-US"/>
              </w:rPr>
              <w:t xml:space="preserve">Provides </w:t>
            </w:r>
            <w:r w:rsidR="00B751DE" w:rsidRPr="00427EE1">
              <w:rPr>
                <w:rFonts w:eastAsia="Calibri"/>
                <w:lang w:eastAsia="en-US"/>
              </w:rPr>
              <w:t xml:space="preserve">a </w:t>
            </w:r>
            <w:proofErr w:type="spellStart"/>
            <w:r w:rsidR="0023395A">
              <w:rPr>
                <w:rFonts w:eastAsia="Calibri"/>
                <w:lang w:eastAsia="en-US"/>
              </w:rPr>
              <w:t>non</w:t>
            </w:r>
            <w:r w:rsidR="00B751DE" w:rsidRPr="00427EE1">
              <w:rPr>
                <w:rFonts w:eastAsia="Calibri"/>
                <w:lang w:eastAsia="en-US"/>
              </w:rPr>
              <w:t>mandatory</w:t>
            </w:r>
            <w:proofErr w:type="spellEnd"/>
            <w:r w:rsidR="00B751DE" w:rsidRPr="00427EE1">
              <w:rPr>
                <w:rFonts w:eastAsia="Calibri"/>
                <w:lang w:eastAsia="en-US"/>
              </w:rPr>
              <w:t xml:space="preserve"> </w:t>
            </w:r>
            <w:r w:rsidR="00195602">
              <w:rPr>
                <w:rFonts w:eastAsia="Calibri"/>
                <w:lang w:eastAsia="en-US"/>
              </w:rPr>
              <w:t>f</w:t>
            </w:r>
            <w:r w:rsidR="00B751DE" w:rsidRPr="00427EE1">
              <w:rPr>
                <w:rFonts w:eastAsia="Calibri"/>
                <w:lang w:eastAsia="en-US"/>
              </w:rPr>
              <w:t>orm to be used when issuing a building notice.</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jc w:val="cente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6A1212">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aims to improve the issuing</w:t>
            </w:r>
            <w:r w:rsidR="00E60957">
              <w:rPr>
                <w:rFonts w:eastAsia="Calibri"/>
                <w:lang w:eastAsia="en-US"/>
              </w:rPr>
              <w:t xml:space="preserve"> </w:t>
            </w:r>
            <w:r w:rsidRPr="00427EE1">
              <w:rPr>
                <w:rFonts w:eastAsia="Calibri"/>
              </w:rPr>
              <w:t>of</w:t>
            </w:r>
            <w:r w:rsidR="00B751DE" w:rsidRPr="00427EE1">
              <w:rPr>
                <w:rFonts w:eastAsia="Calibri"/>
              </w:rPr>
              <w:t xml:space="preserve"> a building notice</w:t>
            </w:r>
            <w:r w:rsidRPr="00427EE1">
              <w:rPr>
                <w:rFonts w:eastAsia="Calibri"/>
              </w:rPr>
              <w:t xml:space="preserve"> because it will ensure that it</w:t>
            </w:r>
            <w:r w:rsidR="00B751DE" w:rsidRPr="00427EE1">
              <w:rPr>
                <w:rFonts w:eastAsia="Calibri"/>
              </w:rPr>
              <w:t xml:space="preserve"> contains all mandatory information and is enforceable at law. </w:t>
            </w:r>
          </w:p>
        </w:tc>
      </w:tr>
    </w:tbl>
    <w:p w:rsidR="00B751DE" w:rsidRPr="00427EE1" w:rsidRDefault="00B751DE" w:rsidP="006757E8"/>
    <w:p w:rsidR="00AC4E58" w:rsidRPr="00427EE1" w:rsidRDefault="004267C5" w:rsidP="006119D2">
      <w:pPr>
        <w:pStyle w:val="Heading3"/>
        <w:rPr>
          <w:color w:val="005954" w:themeColor="accent1" w:themeShade="80"/>
          <w:sz w:val="22"/>
          <w:szCs w:val="22"/>
        </w:rPr>
      </w:pPr>
      <w:bookmarkStart w:id="187" w:name="_Toc481501608"/>
      <w:r>
        <w:t xml:space="preserve">Pt </w:t>
      </w:r>
      <w:r w:rsidR="00B751DE" w:rsidRPr="00427EE1">
        <w:t>14</w:t>
      </w:r>
      <w:r w:rsidR="008475D9">
        <w:t>—</w:t>
      </w:r>
      <w:r w:rsidR="00B751DE" w:rsidRPr="00427EE1">
        <w:t xml:space="preserve">Occupancy </w:t>
      </w:r>
      <w:r w:rsidR="00C7328F">
        <w:t>P</w:t>
      </w:r>
      <w:r w:rsidR="00B751DE" w:rsidRPr="00427EE1">
        <w:t xml:space="preserve">ermits and </w:t>
      </w:r>
      <w:r w:rsidR="00C7328F">
        <w:t>C</w:t>
      </w:r>
      <w:r w:rsidR="00B751DE" w:rsidRPr="00427EE1">
        <w:t xml:space="preserve">ertificates of </w:t>
      </w:r>
      <w:r w:rsidR="00C7328F">
        <w:t>F</w:t>
      </w:r>
      <w:r w:rsidR="00B751DE" w:rsidRPr="00427EE1">
        <w:t xml:space="preserve">inal </w:t>
      </w:r>
      <w:r w:rsidR="00C7328F">
        <w:t>I</w:t>
      </w:r>
      <w:r w:rsidR="00B751DE" w:rsidRPr="00427EE1">
        <w:t>nspection</w:t>
      </w:r>
      <w:bookmarkEnd w:id="187"/>
    </w:p>
    <w:p w:rsidR="00B751DE" w:rsidRPr="00427EE1" w:rsidRDefault="00EF2008" w:rsidP="006119D2">
      <w:pPr>
        <w:pStyle w:val="Heading4"/>
      </w:pPr>
      <w:proofErr w:type="spellStart"/>
      <w:r>
        <w:t>Div</w:t>
      </w:r>
      <w:proofErr w:type="spellEnd"/>
      <w:r w:rsidR="00B751DE" w:rsidRPr="00427EE1">
        <w:t xml:space="preserve"> 1</w:t>
      </w:r>
      <w:r w:rsidR="008475D9">
        <w:t>—</w:t>
      </w:r>
      <w:r w:rsidR="00B751DE" w:rsidRPr="00427EE1">
        <w:t>General</w:t>
      </w:r>
    </w:p>
    <w:tbl>
      <w:tblPr>
        <w:tblW w:w="14549" w:type="dxa"/>
        <w:tblInd w:w="-172"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1022"/>
        <w:gridCol w:w="959"/>
        <w:gridCol w:w="4243"/>
        <w:gridCol w:w="399"/>
        <w:gridCol w:w="399"/>
        <w:gridCol w:w="402"/>
        <w:gridCol w:w="400"/>
        <w:gridCol w:w="398"/>
        <w:gridCol w:w="6327"/>
      </w:tblGrid>
      <w:tr w:rsidR="00CC3C64" w:rsidRPr="00427EE1" w:rsidTr="006119D2">
        <w:trPr>
          <w:cantSplit/>
          <w:trHeight w:val="132"/>
          <w:tblHeader/>
        </w:trPr>
        <w:tc>
          <w:tcPr>
            <w:tcW w:w="1022" w:type="dxa"/>
            <w:vMerge w:val="restart"/>
            <w:shd w:val="clear" w:color="auto" w:fill="00B2A9" w:themeFill="accent1"/>
            <w:vAlign w:val="center"/>
            <w:hideMark/>
          </w:tcPr>
          <w:p w:rsidR="00CC3C64" w:rsidRDefault="00CC3C64">
            <w:pPr>
              <w:pStyle w:val="Tablecolumnhead"/>
              <w:rPr>
                <w:rFonts w:asciiTheme="majorHAnsi" w:eastAsia="Calibri" w:hAnsiTheme="majorHAnsi" w:cstheme="majorBidi"/>
                <w:sz w:val="40"/>
              </w:rPr>
            </w:pPr>
            <w:r w:rsidRPr="00BE72D7">
              <w:rPr>
                <w:rFonts w:eastAsia="Calibri"/>
              </w:rPr>
              <w:t>2006</w:t>
            </w:r>
          </w:p>
          <w:p w:rsidR="00CC3C64" w:rsidRPr="00B97615" w:rsidRDefault="00CC3C64">
            <w:pPr>
              <w:pStyle w:val="Tablecolumnhead"/>
              <w:rPr>
                <w:rFonts w:eastAsia="Calibri"/>
              </w:rPr>
            </w:pPr>
            <w:r w:rsidRPr="00C44680">
              <w:rPr>
                <w:rFonts w:ascii="Arial Bold" w:eastAsia="Calibri" w:hAnsi="Arial Bold"/>
                <w:spacing w:val="-12"/>
                <w:sz w:val="16"/>
              </w:rPr>
              <w:t>Regulation</w:t>
            </w:r>
          </w:p>
        </w:tc>
        <w:tc>
          <w:tcPr>
            <w:tcW w:w="959" w:type="dxa"/>
            <w:vMerge w:val="restart"/>
            <w:shd w:val="clear" w:color="auto" w:fill="00B2A9" w:themeFill="accent1"/>
            <w:vAlign w:val="center"/>
            <w:hideMark/>
          </w:tcPr>
          <w:p w:rsidR="00CC3C64" w:rsidRDefault="00CC3C64">
            <w:pPr>
              <w:pStyle w:val="Tablecolumnhead"/>
              <w:rPr>
                <w:rFonts w:asciiTheme="majorHAnsi" w:eastAsiaTheme="majorEastAsia" w:hAnsiTheme="majorHAnsi" w:cstheme="majorBidi"/>
                <w:sz w:val="40"/>
              </w:rPr>
            </w:pPr>
            <w:r w:rsidRPr="008F0E53">
              <w:rPr>
                <w:rFonts w:eastAsia="Calibri"/>
              </w:rPr>
              <w:t>2017</w:t>
            </w:r>
          </w:p>
          <w:p w:rsidR="00CC3C64" w:rsidRPr="00B97615" w:rsidRDefault="00CC3C64">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CC3C64" w:rsidRPr="00B97615" w:rsidRDefault="00CC3C64">
            <w:pPr>
              <w:pStyle w:val="Tablecolumnhead"/>
              <w:rPr>
                <w:rFonts w:eastAsia="Calibri"/>
              </w:rPr>
            </w:pPr>
            <w:r w:rsidRPr="00B97615">
              <w:t xml:space="preserve">Short description of the </w:t>
            </w:r>
            <w:r>
              <w:t>Regulation</w:t>
            </w:r>
          </w:p>
        </w:tc>
        <w:tc>
          <w:tcPr>
            <w:tcW w:w="1998" w:type="dxa"/>
            <w:gridSpan w:val="5"/>
            <w:shd w:val="clear" w:color="auto" w:fill="00B2A9" w:themeFill="accent1"/>
            <w:vAlign w:val="center"/>
          </w:tcPr>
          <w:p w:rsidR="00CC3C64" w:rsidRPr="00B97615" w:rsidRDefault="00CC3C64">
            <w:pPr>
              <w:pStyle w:val="Tablecolumnhead"/>
            </w:pPr>
            <w:r w:rsidRPr="00B97615">
              <w:t>Proposed regulatory change</w:t>
            </w:r>
          </w:p>
        </w:tc>
        <w:tc>
          <w:tcPr>
            <w:tcW w:w="6327" w:type="dxa"/>
            <w:vMerge w:val="restart"/>
            <w:shd w:val="clear" w:color="auto" w:fill="00B2A9" w:themeFill="accent1"/>
            <w:vAlign w:val="center"/>
          </w:tcPr>
          <w:p w:rsidR="00CC3C64" w:rsidRPr="00B97615" w:rsidRDefault="00CC3C64">
            <w:pPr>
              <w:pStyle w:val="Tablecolumnhead"/>
            </w:pPr>
            <w:r w:rsidRPr="00B97615">
              <w:t>Why the 2017 Regulation is proposed</w:t>
            </w:r>
          </w:p>
        </w:tc>
      </w:tr>
      <w:tr w:rsidR="00B751DE" w:rsidRPr="00427EE1" w:rsidTr="006119D2">
        <w:trPr>
          <w:cantSplit/>
          <w:trHeight w:val="966"/>
          <w:tblHeader/>
        </w:trPr>
        <w:tc>
          <w:tcPr>
            <w:tcW w:w="1022"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959"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B751DE" w:rsidRPr="00427EE1" w:rsidTr="006119D2">
        <w:trPr>
          <w:cantSplit/>
          <w:trHeight w:val="340"/>
        </w:trPr>
        <w:tc>
          <w:tcPr>
            <w:tcW w:w="102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rPr>
            </w:pPr>
            <w:r w:rsidRPr="00427EE1">
              <w:rPr>
                <w:rFonts w:eastAsia="Calibri"/>
              </w:rPr>
              <w:lastRenderedPageBreak/>
              <w:t>1001(1)</w:t>
            </w:r>
          </w:p>
          <w:p w:rsidR="00B751DE" w:rsidRPr="00427EE1" w:rsidRDefault="00B751DE" w:rsidP="006757E8">
            <w:pPr>
              <w:pStyle w:val="Tabletext"/>
              <w:rPr>
                <w:rFonts w:eastAsia="Calibri"/>
              </w:rPr>
            </w:pPr>
            <w:r w:rsidRPr="00427EE1">
              <w:rPr>
                <w:rFonts w:eastAsia="Calibri"/>
              </w:rPr>
              <w:t>1801</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lang w:eastAsia="en-US"/>
              </w:rPr>
            </w:pPr>
            <w:r w:rsidRPr="00427EE1">
              <w:rPr>
                <w:rFonts w:eastAsia="Calibri"/>
                <w:lang w:eastAsia="en-US"/>
              </w:rPr>
              <w:t>182</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B751DE" w:rsidRPr="00427EE1" w:rsidRDefault="00B751DE">
            <w:pPr>
              <w:pStyle w:val="Tabletext"/>
              <w:rPr>
                <w:rFonts w:eastAsia="Calibri"/>
                <w:b/>
                <w:lang w:eastAsia="en-US"/>
              </w:rPr>
            </w:pPr>
            <w:r w:rsidRPr="00427EE1">
              <w:rPr>
                <w:rFonts w:eastAsia="Calibri"/>
                <w:b/>
                <w:lang w:eastAsia="en-US"/>
              </w:rPr>
              <w:t xml:space="preserve">Application of </w:t>
            </w:r>
            <w:r w:rsidR="004267C5">
              <w:rPr>
                <w:rFonts w:eastAsia="Calibri"/>
                <w:b/>
                <w:lang w:eastAsia="en-US"/>
              </w:rPr>
              <w:t>p</w:t>
            </w:r>
            <w:r w:rsidRPr="00427EE1">
              <w:rPr>
                <w:rFonts w:eastAsia="Calibri"/>
                <w:b/>
                <w:lang w:eastAsia="en-US"/>
              </w:rPr>
              <w:t>art</w:t>
            </w:r>
          </w:p>
          <w:p w:rsidR="00B751DE" w:rsidRPr="00427EE1" w:rsidRDefault="003D75DD">
            <w:pPr>
              <w:pStyle w:val="Tabletext"/>
              <w:rPr>
                <w:rFonts w:eastAsia="Calibri"/>
                <w:lang w:eastAsia="en-US"/>
              </w:rPr>
            </w:pPr>
            <w:r>
              <w:rPr>
                <w:rFonts w:eastAsia="Calibri"/>
                <w:lang w:eastAsia="en-US"/>
              </w:rPr>
              <w:t xml:space="preserve">Specifies </w:t>
            </w:r>
            <w:r w:rsidR="00B751DE" w:rsidRPr="00427EE1">
              <w:rPr>
                <w:rFonts w:eastAsia="Calibri"/>
                <w:lang w:eastAsia="en-US"/>
              </w:rPr>
              <w:t xml:space="preserve">the buildings that must comply with this </w:t>
            </w:r>
            <w:r w:rsidR="008911CB">
              <w:rPr>
                <w:rFonts w:eastAsia="Calibri"/>
                <w:lang w:eastAsia="en-US"/>
              </w:rPr>
              <w:t>p</w:t>
            </w:r>
            <w:r w:rsidR="00B751DE" w:rsidRPr="00427EE1">
              <w:rPr>
                <w:rFonts w:eastAsia="Calibri"/>
                <w:lang w:eastAsia="en-US"/>
              </w:rPr>
              <w:t>art of the Regulations</w:t>
            </w:r>
            <w:r w:rsidR="00995450">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175F2D">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s</w:t>
            </w:r>
            <w:r w:rsidR="00B751DE" w:rsidRPr="00427EE1">
              <w:rPr>
                <w:rFonts w:eastAsia="Calibri"/>
              </w:rPr>
              <w:t xml:space="preserve">pecifies the buildings that must comply with </w:t>
            </w:r>
            <w:r w:rsidR="008911CB">
              <w:rPr>
                <w:rFonts w:eastAsia="Calibri"/>
              </w:rPr>
              <w:t>pt.</w:t>
            </w:r>
            <w:r w:rsidR="00B751DE" w:rsidRPr="00427EE1">
              <w:rPr>
                <w:rFonts w:eastAsia="Calibri"/>
              </w:rPr>
              <w:t xml:space="preserve"> 14 of the proposed Regulations. </w:t>
            </w:r>
          </w:p>
        </w:tc>
      </w:tr>
      <w:tr w:rsidR="00B751DE" w:rsidRPr="00427EE1" w:rsidTr="006119D2">
        <w:trPr>
          <w:cantSplit/>
          <w:trHeight w:val="340"/>
        </w:trPr>
        <w:tc>
          <w:tcPr>
            <w:tcW w:w="102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rPr>
            </w:pPr>
            <w:r w:rsidRPr="00427EE1">
              <w:rPr>
                <w:rFonts w:eastAsia="Calibri"/>
              </w:rPr>
              <w:t>1001(2)</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lang w:eastAsia="en-US"/>
              </w:rPr>
            </w:pPr>
            <w:r w:rsidRPr="00427EE1">
              <w:rPr>
                <w:rFonts w:eastAsia="Calibri"/>
                <w:lang w:eastAsia="en-US"/>
              </w:rPr>
              <w:t>183</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B751DE" w:rsidRPr="00427EE1" w:rsidRDefault="00B751DE" w:rsidP="006757E8">
            <w:pPr>
              <w:pStyle w:val="Tabletext"/>
              <w:rPr>
                <w:rFonts w:eastAsia="Calibri"/>
                <w:b/>
                <w:lang w:eastAsia="en-US"/>
              </w:rPr>
            </w:pPr>
            <w:r w:rsidRPr="00427EE1">
              <w:rPr>
                <w:rFonts w:eastAsia="Calibri"/>
                <w:b/>
                <w:lang w:eastAsia="en-US"/>
              </w:rPr>
              <w:t>Exemptions from occupancy permit</w:t>
            </w:r>
          </w:p>
          <w:p w:rsidR="00B751DE" w:rsidRPr="00427EE1" w:rsidRDefault="002E244C">
            <w:pPr>
              <w:pStyle w:val="Tabletext"/>
              <w:rPr>
                <w:rFonts w:eastAsia="Calibri"/>
                <w:lang w:eastAsia="en-US"/>
              </w:rPr>
            </w:pPr>
            <w:r>
              <w:rPr>
                <w:rFonts w:eastAsia="Calibri"/>
                <w:lang w:eastAsia="en-US"/>
              </w:rPr>
              <w:t xml:space="preserve">Provides </w:t>
            </w:r>
            <w:r w:rsidR="00B751DE" w:rsidRPr="00427EE1">
              <w:rPr>
                <w:rFonts w:eastAsia="Calibri"/>
                <w:lang w:eastAsia="en-US"/>
              </w:rPr>
              <w:t>exemptions fr</w:t>
            </w:r>
            <w:r w:rsidR="00175F2D" w:rsidRPr="00427EE1">
              <w:rPr>
                <w:rFonts w:eastAsia="Calibri"/>
                <w:lang w:eastAsia="en-US"/>
              </w:rPr>
              <w:t>o</w:t>
            </w:r>
            <w:r w:rsidR="00B751DE" w:rsidRPr="00427EE1">
              <w:rPr>
                <w:rFonts w:eastAsia="Calibri"/>
                <w:lang w:eastAsia="en-US"/>
              </w:rPr>
              <w:t xml:space="preserve">m the requirement to have an occupancy permit. See also </w:t>
            </w:r>
            <w:proofErr w:type="spellStart"/>
            <w:r w:rsidR="00995450">
              <w:rPr>
                <w:rFonts w:eastAsia="Calibri"/>
                <w:lang w:eastAsia="en-US"/>
              </w:rPr>
              <w:t>sch</w:t>
            </w:r>
            <w:proofErr w:type="spellEnd"/>
            <w:r w:rsidR="00995450">
              <w:rPr>
                <w:rFonts w:eastAsia="Calibri"/>
                <w:lang w:eastAsia="en-US"/>
              </w:rPr>
              <w:t xml:space="preserve"> </w:t>
            </w:r>
            <w:r w:rsidR="00B751DE" w:rsidRPr="00427EE1">
              <w:rPr>
                <w:rFonts w:eastAsia="Calibri"/>
                <w:lang w:eastAsia="en-US"/>
              </w:rPr>
              <w:t>3 to the proposed Regulations</w:t>
            </w:r>
            <w:r w:rsidR="00995450">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255C71">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615BC" w:rsidRPr="00427EE1" w:rsidRDefault="00175F2D">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s</w:t>
            </w:r>
            <w:r w:rsidR="00B751DE" w:rsidRPr="00427EE1">
              <w:rPr>
                <w:rFonts w:eastAsia="Calibri"/>
              </w:rPr>
              <w:t xml:space="preserve">pecifies the exemptions that apply in relation to the buildings that are required to comply with </w:t>
            </w:r>
            <w:r w:rsidR="008911CB">
              <w:rPr>
                <w:rFonts w:eastAsia="Calibri"/>
              </w:rPr>
              <w:t>pt.</w:t>
            </w:r>
            <w:r w:rsidR="00B751DE" w:rsidRPr="00427EE1">
              <w:rPr>
                <w:rFonts w:eastAsia="Calibri"/>
              </w:rPr>
              <w:t xml:space="preserve"> 14 of the proposed Regulations. Reduces burden for low</w:t>
            </w:r>
            <w:r w:rsidR="00181511">
              <w:rPr>
                <w:rFonts w:eastAsia="Calibri"/>
              </w:rPr>
              <w:t>-risk</w:t>
            </w:r>
            <w:r w:rsidR="00B751DE" w:rsidRPr="00427EE1">
              <w:rPr>
                <w:rFonts w:eastAsia="Calibri"/>
              </w:rPr>
              <w:t xml:space="preserve"> buildings and building work.</w:t>
            </w:r>
          </w:p>
          <w:p w:rsidR="00B751DE" w:rsidRPr="00427EE1" w:rsidRDefault="00B751DE">
            <w:pPr>
              <w:pStyle w:val="Tabletext"/>
              <w:rPr>
                <w:rFonts w:eastAsia="Calibri"/>
                <w:b/>
              </w:rPr>
            </w:pPr>
          </w:p>
        </w:tc>
      </w:tr>
    </w:tbl>
    <w:p w:rsidR="00B751DE" w:rsidRPr="00427EE1" w:rsidRDefault="00B751DE" w:rsidP="006757E8">
      <w:pPr>
        <w:spacing w:line="276" w:lineRule="auto"/>
        <w:rPr>
          <w:rFonts w:ascii="Arial" w:hAnsi="Arial"/>
          <w:b/>
        </w:rPr>
      </w:pPr>
    </w:p>
    <w:p w:rsidR="00B751DE" w:rsidRPr="00427EE1" w:rsidRDefault="00EF2008" w:rsidP="006119D2">
      <w:pPr>
        <w:pStyle w:val="Heading4"/>
      </w:pPr>
      <w:proofErr w:type="spellStart"/>
      <w:r>
        <w:t>Div</w:t>
      </w:r>
      <w:proofErr w:type="spellEnd"/>
      <w:r w:rsidR="00B751DE" w:rsidRPr="00427EE1">
        <w:t xml:space="preserve"> 2</w:t>
      </w:r>
      <w:r w:rsidR="008475D9">
        <w:t>—</w:t>
      </w:r>
      <w:r w:rsidR="00B751DE" w:rsidRPr="00427EE1">
        <w:t>Applications for occupancy permit</w:t>
      </w:r>
    </w:p>
    <w:tbl>
      <w:tblPr>
        <w:tblW w:w="14549" w:type="dxa"/>
        <w:tblInd w:w="-172"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1022"/>
        <w:gridCol w:w="959"/>
        <w:gridCol w:w="4243"/>
        <w:gridCol w:w="399"/>
        <w:gridCol w:w="399"/>
        <w:gridCol w:w="402"/>
        <w:gridCol w:w="400"/>
        <w:gridCol w:w="398"/>
        <w:gridCol w:w="6327"/>
      </w:tblGrid>
      <w:tr w:rsidR="00CC3C64" w:rsidRPr="00427EE1" w:rsidTr="006119D2">
        <w:trPr>
          <w:cantSplit/>
          <w:trHeight w:val="341"/>
          <w:tblHeader/>
        </w:trPr>
        <w:tc>
          <w:tcPr>
            <w:tcW w:w="1022" w:type="dxa"/>
            <w:vMerge w:val="restart"/>
            <w:shd w:val="clear" w:color="auto" w:fill="00B2A9" w:themeFill="accent1"/>
            <w:vAlign w:val="center"/>
            <w:hideMark/>
          </w:tcPr>
          <w:p w:rsidR="00CC3C64" w:rsidRDefault="00CC3C64">
            <w:pPr>
              <w:pStyle w:val="Tablecolumnhead"/>
              <w:rPr>
                <w:rFonts w:asciiTheme="majorHAnsi" w:eastAsia="Calibri" w:hAnsiTheme="majorHAnsi" w:cstheme="majorBidi"/>
                <w:sz w:val="40"/>
              </w:rPr>
            </w:pPr>
            <w:r w:rsidRPr="00BE72D7">
              <w:rPr>
                <w:rFonts w:eastAsia="Calibri"/>
              </w:rPr>
              <w:t>2006</w:t>
            </w:r>
          </w:p>
          <w:p w:rsidR="00CC3C64" w:rsidRPr="00B97615" w:rsidRDefault="00CC3C64">
            <w:pPr>
              <w:pStyle w:val="Tablecolumnhead"/>
              <w:rPr>
                <w:rFonts w:eastAsia="Calibri"/>
              </w:rPr>
            </w:pPr>
            <w:r w:rsidRPr="00C44680">
              <w:rPr>
                <w:rFonts w:ascii="Arial Bold" w:eastAsia="Calibri" w:hAnsi="Arial Bold"/>
                <w:spacing w:val="-12"/>
                <w:sz w:val="16"/>
              </w:rPr>
              <w:t>Regulation</w:t>
            </w:r>
          </w:p>
        </w:tc>
        <w:tc>
          <w:tcPr>
            <w:tcW w:w="959" w:type="dxa"/>
            <w:vMerge w:val="restart"/>
            <w:shd w:val="clear" w:color="auto" w:fill="00B2A9" w:themeFill="accent1"/>
            <w:vAlign w:val="center"/>
            <w:hideMark/>
          </w:tcPr>
          <w:p w:rsidR="00CC3C64" w:rsidRDefault="00CC3C64">
            <w:pPr>
              <w:pStyle w:val="Tablecolumnhead"/>
              <w:rPr>
                <w:rFonts w:asciiTheme="majorHAnsi" w:eastAsiaTheme="majorEastAsia" w:hAnsiTheme="majorHAnsi" w:cstheme="majorBidi"/>
                <w:sz w:val="40"/>
              </w:rPr>
            </w:pPr>
            <w:r w:rsidRPr="008F0E53">
              <w:rPr>
                <w:rFonts w:eastAsia="Calibri"/>
              </w:rPr>
              <w:t>2017</w:t>
            </w:r>
          </w:p>
          <w:p w:rsidR="00CC3C64" w:rsidRPr="00B97615" w:rsidRDefault="00CC3C64">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CC3C64" w:rsidRPr="00B97615" w:rsidRDefault="00CC3C64">
            <w:pPr>
              <w:pStyle w:val="Tablecolumnhead"/>
              <w:rPr>
                <w:rFonts w:eastAsia="Calibri"/>
              </w:rPr>
            </w:pPr>
            <w:r w:rsidRPr="00B97615">
              <w:rPr>
                <w:szCs w:val="22"/>
              </w:rPr>
              <w:t xml:space="preserve">Short description of the </w:t>
            </w:r>
            <w:r>
              <w:rPr>
                <w:szCs w:val="22"/>
              </w:rPr>
              <w:t>Regulation</w:t>
            </w:r>
          </w:p>
        </w:tc>
        <w:tc>
          <w:tcPr>
            <w:tcW w:w="1998" w:type="dxa"/>
            <w:gridSpan w:val="5"/>
            <w:shd w:val="clear" w:color="auto" w:fill="00B2A9" w:themeFill="accent1"/>
            <w:vAlign w:val="center"/>
          </w:tcPr>
          <w:p w:rsidR="00CC3C64" w:rsidRPr="00B97615" w:rsidRDefault="00CC3C64">
            <w:pPr>
              <w:pStyle w:val="Tablecolumnhead"/>
            </w:pPr>
            <w:r w:rsidRPr="00B97615">
              <w:rPr>
                <w:szCs w:val="22"/>
              </w:rPr>
              <w:t>Proposed regulatory change</w:t>
            </w:r>
          </w:p>
        </w:tc>
        <w:tc>
          <w:tcPr>
            <w:tcW w:w="6327" w:type="dxa"/>
            <w:vMerge w:val="restart"/>
            <w:shd w:val="clear" w:color="auto" w:fill="00B2A9" w:themeFill="accent1"/>
            <w:vAlign w:val="center"/>
          </w:tcPr>
          <w:p w:rsidR="00CC3C64" w:rsidRPr="00B97615" w:rsidRDefault="00CC3C64">
            <w:pPr>
              <w:pStyle w:val="Tablecolumnhead"/>
            </w:pPr>
            <w:r w:rsidRPr="00B97615">
              <w:rPr>
                <w:szCs w:val="22"/>
              </w:rPr>
              <w:t>Why the 2017 Regulation is proposed</w:t>
            </w:r>
          </w:p>
        </w:tc>
      </w:tr>
      <w:tr w:rsidR="00B751DE" w:rsidRPr="00427EE1" w:rsidTr="006119D2">
        <w:trPr>
          <w:cantSplit/>
          <w:trHeight w:val="966"/>
          <w:tblHeader/>
        </w:trPr>
        <w:tc>
          <w:tcPr>
            <w:tcW w:w="1022"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959"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B751DE" w:rsidRPr="00427EE1" w:rsidTr="006119D2">
        <w:trPr>
          <w:cantSplit/>
          <w:trHeight w:val="340"/>
        </w:trPr>
        <w:tc>
          <w:tcPr>
            <w:tcW w:w="102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rPr>
            </w:pPr>
            <w:r w:rsidRPr="00427EE1">
              <w:rPr>
                <w:rFonts w:eastAsia="Calibri"/>
              </w:rPr>
              <w:t>1002</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lang w:eastAsia="en-US"/>
              </w:rPr>
            </w:pPr>
            <w:r w:rsidRPr="00427EE1">
              <w:rPr>
                <w:rFonts w:eastAsia="Calibri"/>
                <w:lang w:eastAsia="en-US"/>
              </w:rPr>
              <w:t>184</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B751DE" w:rsidRPr="00427EE1" w:rsidRDefault="00B751DE" w:rsidP="006757E8">
            <w:pPr>
              <w:pStyle w:val="Tabletext"/>
              <w:rPr>
                <w:rFonts w:eastAsia="Calibri"/>
                <w:b/>
                <w:lang w:val="en-AU" w:eastAsia="en-US"/>
              </w:rPr>
            </w:pPr>
            <w:r w:rsidRPr="00427EE1">
              <w:rPr>
                <w:rFonts w:eastAsia="Calibri"/>
                <w:b/>
                <w:lang w:val="en-AU" w:eastAsia="en-US"/>
              </w:rPr>
              <w:t>Application for occupancy permit</w:t>
            </w:r>
          </w:p>
          <w:p w:rsidR="00B751DE" w:rsidRPr="00427EE1" w:rsidRDefault="002E244C">
            <w:pPr>
              <w:pStyle w:val="Tabletext"/>
              <w:rPr>
                <w:rFonts w:eastAsia="Calibri"/>
                <w:lang w:val="en-AU" w:eastAsia="en-US"/>
              </w:rPr>
            </w:pPr>
            <w:r>
              <w:rPr>
                <w:rFonts w:eastAsia="Calibri"/>
                <w:lang w:val="en-AU" w:eastAsia="en-US"/>
              </w:rPr>
              <w:t xml:space="preserve">Requires </w:t>
            </w:r>
            <w:r w:rsidR="00B751DE" w:rsidRPr="00427EE1">
              <w:rPr>
                <w:rFonts w:eastAsia="Calibri"/>
                <w:lang w:val="en-AU" w:eastAsia="en-US"/>
              </w:rPr>
              <w:t xml:space="preserve">an application for an occupancy permit to be in a prescribed </w:t>
            </w:r>
            <w:r w:rsidR="00195602">
              <w:rPr>
                <w:rFonts w:eastAsia="Calibri"/>
                <w:lang w:val="en-AU" w:eastAsia="en-US"/>
              </w:rPr>
              <w:t>f</w:t>
            </w:r>
            <w:r w:rsidR="00B751DE" w:rsidRPr="00427EE1">
              <w:rPr>
                <w:rFonts w:eastAsia="Calibri"/>
                <w:lang w:val="en-AU" w:eastAsia="en-US"/>
              </w:rPr>
              <w:t xml:space="preserve">orm.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B97615" w:rsidRDefault="00175F2D">
            <w:pPr>
              <w:pStyle w:val="Tabletext"/>
              <w:rPr>
                <w:rFonts w:eastAsia="Calibri"/>
              </w:rPr>
            </w:pPr>
            <w:r w:rsidRPr="00B97615">
              <w:rPr>
                <w:rFonts w:eastAsia="Calibri"/>
              </w:rPr>
              <w:t xml:space="preserve">This </w:t>
            </w:r>
            <w:r w:rsidR="000273F9">
              <w:rPr>
                <w:rFonts w:eastAsia="Calibri"/>
              </w:rPr>
              <w:t>Regulation</w:t>
            </w:r>
            <w:r w:rsidRPr="00B97615">
              <w:rPr>
                <w:rFonts w:eastAsia="Calibri"/>
              </w:rPr>
              <w:t xml:space="preserve"> will </w:t>
            </w:r>
            <w:r w:rsidR="00BB3A66" w:rsidRPr="00B97615">
              <w:rPr>
                <w:rFonts w:eastAsia="Calibri"/>
              </w:rPr>
              <w:t>improve</w:t>
            </w:r>
            <w:r w:rsidR="00B751DE" w:rsidRPr="00B97615">
              <w:rPr>
                <w:rFonts w:eastAsia="Calibri"/>
              </w:rPr>
              <w:t xml:space="preserve"> administrative efficiency and reduces delays. Requires additional information to be submitted with an application to ensure the </w:t>
            </w:r>
            <w:r w:rsidR="00AB414E">
              <w:rPr>
                <w:rFonts w:eastAsia="Calibri"/>
              </w:rPr>
              <w:t>RBS</w:t>
            </w:r>
            <w:r w:rsidR="00B751DE" w:rsidRPr="00B97615">
              <w:rPr>
                <w:rFonts w:eastAsia="Calibri"/>
              </w:rPr>
              <w:t xml:space="preserve"> has all the correct details to make a decision </w:t>
            </w:r>
            <w:r w:rsidR="00D90FC3">
              <w:rPr>
                <w:rFonts w:eastAsia="Calibri"/>
              </w:rPr>
              <w:t>about</w:t>
            </w:r>
            <w:r w:rsidR="00B751DE" w:rsidRPr="00B97615">
              <w:rPr>
                <w:rFonts w:eastAsia="Calibri"/>
              </w:rPr>
              <w:t xml:space="preserve"> whether to authorise occupation of a building.</w:t>
            </w:r>
          </w:p>
        </w:tc>
      </w:tr>
      <w:tr w:rsidR="00B751DE" w:rsidRPr="00427EE1" w:rsidTr="006119D2">
        <w:trPr>
          <w:cantSplit/>
          <w:trHeight w:val="340"/>
        </w:trPr>
        <w:tc>
          <w:tcPr>
            <w:tcW w:w="102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1003</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185</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B751DE" w:rsidP="006757E8">
            <w:pPr>
              <w:pStyle w:val="Tabletext"/>
              <w:rPr>
                <w:rFonts w:eastAsia="Calibri"/>
                <w:b/>
                <w:lang w:eastAsia="en-US"/>
              </w:rPr>
            </w:pPr>
            <w:r w:rsidRPr="00427EE1">
              <w:rPr>
                <w:rFonts w:eastAsia="Calibri"/>
                <w:b/>
                <w:lang w:eastAsia="en-US"/>
              </w:rPr>
              <w:t>Reporting authorities for occupancy permit</w:t>
            </w:r>
          </w:p>
          <w:p w:rsidR="00B751DE" w:rsidRPr="00427EE1" w:rsidRDefault="003D75DD">
            <w:pPr>
              <w:pStyle w:val="Tabletext"/>
              <w:rPr>
                <w:rFonts w:eastAsia="Calibri"/>
                <w:lang w:eastAsia="en-US"/>
              </w:rPr>
            </w:pPr>
            <w:r>
              <w:rPr>
                <w:rFonts w:eastAsia="Calibri"/>
                <w:lang w:eastAsia="en-US"/>
              </w:rPr>
              <w:t xml:space="preserve">Specifies </w:t>
            </w:r>
            <w:r w:rsidR="00B751DE" w:rsidRPr="00427EE1">
              <w:rPr>
                <w:rFonts w:eastAsia="Calibri"/>
                <w:lang w:eastAsia="en-US"/>
              </w:rPr>
              <w:t>who is a reporting authority in relation to an application for an occupancy permit.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B97615" w:rsidRDefault="00175F2D">
            <w:pPr>
              <w:pStyle w:val="Tabletext"/>
              <w:rPr>
                <w:rFonts w:eastAsia="Calibri"/>
              </w:rPr>
            </w:pPr>
            <w:r w:rsidRPr="00B97615">
              <w:rPr>
                <w:rFonts w:eastAsia="Calibri"/>
              </w:rPr>
              <w:t xml:space="preserve">This </w:t>
            </w:r>
            <w:r w:rsidR="000273F9">
              <w:rPr>
                <w:rFonts w:eastAsia="Calibri"/>
              </w:rPr>
              <w:t>Regulation</w:t>
            </w:r>
            <w:r w:rsidRPr="00B97615">
              <w:rPr>
                <w:rFonts w:eastAsia="Calibri"/>
              </w:rPr>
              <w:t xml:space="preserve"> m</w:t>
            </w:r>
            <w:r w:rsidR="00B751DE" w:rsidRPr="00B97615">
              <w:rPr>
                <w:rFonts w:eastAsia="Calibri"/>
              </w:rPr>
              <w:t>itigates risks associated with inadequate compliance with the reporting authority recommendations.</w:t>
            </w:r>
          </w:p>
        </w:tc>
      </w:tr>
      <w:tr w:rsidR="00B751DE" w:rsidRPr="00427EE1" w:rsidTr="006119D2">
        <w:trPr>
          <w:cantSplit/>
          <w:trHeight w:val="340"/>
        </w:trPr>
        <w:tc>
          <w:tcPr>
            <w:tcW w:w="102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1004</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6119D2" w:rsidRDefault="00B751DE" w:rsidP="006757E8">
            <w:pPr>
              <w:pStyle w:val="Tabletext"/>
              <w:rPr>
                <w:rFonts w:eastAsia="Calibri"/>
                <w:sz w:val="18"/>
                <w:szCs w:val="18"/>
                <w:lang w:eastAsia="en-US"/>
              </w:rPr>
            </w:pPr>
            <w:r w:rsidRPr="006119D2">
              <w:rPr>
                <w:rFonts w:eastAsia="Calibri"/>
                <w:b/>
                <w:sz w:val="18"/>
                <w:szCs w:val="18"/>
                <w:lang w:eastAsia="en-US"/>
              </w:rPr>
              <w:t>Multiple</w:t>
            </w:r>
          </w:p>
        </w:tc>
        <w:tc>
          <w:tcPr>
            <w:tcW w:w="12568" w:type="dxa"/>
            <w:gridSpan w:val="7"/>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D9D9D9" w:themeFill="background1" w:themeFillShade="D9"/>
          </w:tcPr>
          <w:p w:rsidR="00B751DE" w:rsidRPr="00427EE1" w:rsidRDefault="00B751DE" w:rsidP="006757E8">
            <w:pPr>
              <w:pStyle w:val="Tabletext"/>
              <w:rPr>
                <w:rFonts w:eastAsia="Calibri"/>
              </w:rPr>
            </w:pPr>
            <w:r w:rsidRPr="00427EE1">
              <w:rPr>
                <w:rFonts w:eastAsia="Calibri"/>
                <w:i/>
                <w:lang w:eastAsia="en-US"/>
              </w:rPr>
              <w:t xml:space="preserve">Has been </w:t>
            </w:r>
            <w:r w:rsidRPr="00427EE1">
              <w:rPr>
                <w:rFonts w:eastAsia="Calibri"/>
                <w:b/>
                <w:i/>
                <w:lang w:eastAsia="en-US"/>
              </w:rPr>
              <w:t>replaced</w:t>
            </w:r>
            <w:r w:rsidRPr="00427EE1">
              <w:rPr>
                <w:rFonts w:eastAsia="Calibri"/>
                <w:i/>
                <w:lang w:eastAsia="en-US"/>
              </w:rPr>
              <w:t xml:space="preserve"> by multiple </w:t>
            </w:r>
            <w:r w:rsidR="008911CB">
              <w:rPr>
                <w:rFonts w:eastAsia="Calibri"/>
                <w:i/>
                <w:lang w:eastAsia="en-US"/>
              </w:rPr>
              <w:t>Regulations</w:t>
            </w:r>
            <w:r w:rsidRPr="00427EE1">
              <w:rPr>
                <w:rFonts w:eastAsia="Calibri"/>
                <w:i/>
                <w:lang w:eastAsia="en-US"/>
              </w:rPr>
              <w:t xml:space="preserve">. Discussed below in relation to </w:t>
            </w:r>
            <w:r w:rsidR="008911CB">
              <w:rPr>
                <w:rFonts w:eastAsia="Calibri"/>
                <w:i/>
                <w:lang w:eastAsia="en-US"/>
              </w:rPr>
              <w:t>proposed Regulations</w:t>
            </w:r>
            <w:r w:rsidRPr="00427EE1">
              <w:rPr>
                <w:rFonts w:eastAsia="Calibri"/>
                <w:i/>
                <w:lang w:eastAsia="en-US"/>
              </w:rPr>
              <w:t xml:space="preserve"> </w:t>
            </w:r>
            <w:r w:rsidR="00175F2D" w:rsidRPr="00427EE1">
              <w:rPr>
                <w:rFonts w:eastAsia="Calibri"/>
                <w:i/>
                <w:lang w:eastAsia="en-US"/>
              </w:rPr>
              <w:t>186, 187 and 188</w:t>
            </w:r>
            <w:r w:rsidRPr="00427EE1">
              <w:rPr>
                <w:rFonts w:eastAsia="Calibri"/>
                <w:i/>
                <w:lang w:eastAsia="en-US"/>
              </w:rPr>
              <w:t xml:space="preserve">. These </w:t>
            </w:r>
            <w:r w:rsidR="008911CB">
              <w:rPr>
                <w:rFonts w:eastAsia="Calibri"/>
                <w:i/>
                <w:lang w:eastAsia="en-US"/>
              </w:rPr>
              <w:t>proposed Regulations</w:t>
            </w:r>
            <w:r w:rsidRPr="00427EE1">
              <w:rPr>
                <w:rFonts w:eastAsia="Calibri"/>
                <w:i/>
                <w:lang w:eastAsia="en-US"/>
              </w:rPr>
              <w:t xml:space="preserve"> also replace </w:t>
            </w:r>
            <w:proofErr w:type="spellStart"/>
            <w:r w:rsidR="00995450">
              <w:rPr>
                <w:rFonts w:eastAsia="Calibri"/>
                <w:i/>
                <w:lang w:eastAsia="en-US"/>
              </w:rPr>
              <w:t>sch</w:t>
            </w:r>
            <w:proofErr w:type="spellEnd"/>
            <w:r w:rsidR="00995450">
              <w:rPr>
                <w:rFonts w:eastAsia="Calibri"/>
                <w:i/>
                <w:lang w:eastAsia="en-US"/>
              </w:rPr>
              <w:t xml:space="preserve"> </w:t>
            </w:r>
            <w:r w:rsidRPr="00427EE1">
              <w:rPr>
                <w:rFonts w:eastAsia="Calibri"/>
                <w:i/>
                <w:lang w:eastAsia="en-US"/>
              </w:rPr>
              <w:t xml:space="preserve">6 of the current </w:t>
            </w:r>
            <w:r w:rsidR="008911CB">
              <w:rPr>
                <w:rFonts w:eastAsia="Calibri"/>
                <w:i/>
                <w:lang w:eastAsia="en-US"/>
              </w:rPr>
              <w:t>Regulations</w:t>
            </w:r>
            <w:r w:rsidRPr="00427EE1">
              <w:rPr>
                <w:rFonts w:eastAsia="Calibri"/>
                <w:i/>
                <w:lang w:eastAsia="en-US"/>
              </w:rPr>
              <w:t>.</w:t>
            </w:r>
          </w:p>
        </w:tc>
      </w:tr>
      <w:tr w:rsidR="00B751DE" w:rsidRPr="00427EE1" w:rsidTr="006119D2">
        <w:trPr>
          <w:cantSplit/>
          <w:trHeight w:val="340"/>
        </w:trPr>
        <w:tc>
          <w:tcPr>
            <w:tcW w:w="102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proofErr w:type="spellStart"/>
            <w:r w:rsidRPr="00427EE1">
              <w:rPr>
                <w:rFonts w:eastAsia="Calibri"/>
              </w:rPr>
              <w:lastRenderedPageBreak/>
              <w:t>Sch</w:t>
            </w:r>
            <w:proofErr w:type="spellEnd"/>
            <w:r w:rsidRPr="00427EE1">
              <w:rPr>
                <w:rFonts w:eastAsia="Calibri"/>
              </w:rPr>
              <w:t xml:space="preserve"> 6</w:t>
            </w:r>
          </w:p>
          <w:p w:rsidR="00B751DE" w:rsidRPr="00427EE1" w:rsidRDefault="00B751DE" w:rsidP="006757E8">
            <w:pPr>
              <w:pStyle w:val="Tabletext"/>
              <w:rPr>
                <w:rFonts w:eastAsia="Calibri"/>
              </w:rPr>
            </w:pPr>
            <w:r w:rsidRPr="00427EE1">
              <w:rPr>
                <w:rFonts w:eastAsia="Calibri"/>
              </w:rPr>
              <w:t>Item 1</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186</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B751DE">
            <w:pPr>
              <w:pStyle w:val="Tabletext"/>
              <w:rPr>
                <w:rFonts w:eastAsia="Calibri"/>
                <w:b/>
                <w:lang w:eastAsia="en-US"/>
              </w:rPr>
            </w:pPr>
            <w:r w:rsidRPr="00427EE1">
              <w:rPr>
                <w:rFonts w:eastAsia="Calibri"/>
                <w:b/>
                <w:lang w:eastAsia="en-US"/>
              </w:rPr>
              <w:t>Time limits for application to be given to reporting authority</w:t>
            </w:r>
          </w:p>
          <w:p w:rsidR="00B751DE" w:rsidRPr="00427EE1" w:rsidRDefault="003D75DD">
            <w:pPr>
              <w:pStyle w:val="Tabletext"/>
              <w:rPr>
                <w:rFonts w:eastAsia="Calibri"/>
                <w:lang w:eastAsia="en-US"/>
              </w:rPr>
            </w:pPr>
            <w:r>
              <w:rPr>
                <w:rFonts w:eastAsia="Calibri"/>
                <w:lang w:eastAsia="en-US"/>
              </w:rPr>
              <w:t xml:space="preserve">Specifies </w:t>
            </w:r>
            <w:r w:rsidR="00B751DE" w:rsidRPr="00427EE1">
              <w:rPr>
                <w:rFonts w:eastAsia="Calibri"/>
                <w:lang w:eastAsia="en-US"/>
              </w:rPr>
              <w:t>the time period when a copy of an occupancy permit application must be provided to each relevant reporting authority within</w:t>
            </w:r>
            <w:r w:rsidR="00CC3C64">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175F2D">
            <w:pPr>
              <w:pStyle w:val="Tabletext"/>
              <w:rPr>
                <w:rFonts w:eastAsia="Calibri"/>
              </w:rPr>
            </w:pPr>
            <w:r w:rsidRPr="00427EE1">
              <w:rPr>
                <w:rFonts w:eastAsia="Calibri"/>
                <w:lang w:eastAsia="en-US"/>
              </w:rPr>
              <w:t xml:space="preserve">This </w:t>
            </w:r>
            <w:r w:rsidR="000273F9">
              <w:rPr>
                <w:rFonts w:eastAsia="Calibri"/>
                <w:lang w:eastAsia="en-US"/>
              </w:rPr>
              <w:t>Regulation</w:t>
            </w:r>
            <w:r w:rsidR="00E60957">
              <w:rPr>
                <w:rFonts w:eastAsia="Calibri"/>
                <w:lang w:eastAsia="en-US"/>
              </w:rPr>
              <w:t xml:space="preserve"> </w:t>
            </w:r>
            <w:r w:rsidR="00B751DE" w:rsidRPr="00427EE1">
              <w:rPr>
                <w:rFonts w:eastAsia="Calibri"/>
              </w:rPr>
              <w:t>give</w:t>
            </w:r>
            <w:r w:rsidRPr="00427EE1">
              <w:rPr>
                <w:rFonts w:eastAsia="Calibri"/>
              </w:rPr>
              <w:t>s</w:t>
            </w:r>
            <w:r w:rsidR="00B751DE" w:rsidRPr="00427EE1">
              <w:rPr>
                <w:rFonts w:eastAsia="Calibri"/>
              </w:rPr>
              <w:t xml:space="preserve"> effect to </w:t>
            </w:r>
            <w:r w:rsidR="0023395A">
              <w:rPr>
                <w:rFonts w:eastAsia="Calibri"/>
              </w:rPr>
              <w:t xml:space="preserve">cl </w:t>
            </w:r>
            <w:r w:rsidR="00B751DE" w:rsidRPr="00427EE1">
              <w:rPr>
                <w:rFonts w:eastAsia="Calibri"/>
              </w:rPr>
              <w:t xml:space="preserve">4(2) of </w:t>
            </w:r>
            <w:proofErr w:type="spellStart"/>
            <w:r w:rsidR="00995450">
              <w:rPr>
                <w:rFonts w:eastAsia="Calibri"/>
              </w:rPr>
              <w:t>sch</w:t>
            </w:r>
            <w:proofErr w:type="spellEnd"/>
            <w:r w:rsidR="00995450">
              <w:rPr>
                <w:rFonts w:eastAsia="Calibri"/>
              </w:rPr>
              <w:t xml:space="preserve"> </w:t>
            </w:r>
            <w:r w:rsidR="00B751DE" w:rsidRPr="00427EE1">
              <w:rPr>
                <w:rFonts w:eastAsia="Calibri"/>
              </w:rPr>
              <w:t>2 to the Act. Regulation structure has been changed into a narrative instead of a Table format.</w:t>
            </w:r>
          </w:p>
        </w:tc>
      </w:tr>
      <w:tr w:rsidR="00B751DE" w:rsidRPr="00427EE1" w:rsidTr="006119D2">
        <w:trPr>
          <w:cantSplit/>
          <w:trHeight w:val="340"/>
        </w:trPr>
        <w:tc>
          <w:tcPr>
            <w:tcW w:w="102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proofErr w:type="spellStart"/>
            <w:r w:rsidRPr="00427EE1">
              <w:rPr>
                <w:rFonts w:eastAsia="Calibri"/>
              </w:rPr>
              <w:t>Sch</w:t>
            </w:r>
            <w:proofErr w:type="spellEnd"/>
            <w:r w:rsidRPr="00427EE1">
              <w:rPr>
                <w:rFonts w:eastAsia="Calibri"/>
              </w:rPr>
              <w:t xml:space="preserve"> 6</w:t>
            </w:r>
          </w:p>
          <w:p w:rsidR="00B751DE" w:rsidRPr="00427EE1" w:rsidRDefault="00B751DE" w:rsidP="006757E8">
            <w:pPr>
              <w:pStyle w:val="Tabletext"/>
              <w:rPr>
                <w:rFonts w:eastAsia="Calibri"/>
              </w:rPr>
            </w:pPr>
            <w:r w:rsidRPr="00427EE1">
              <w:rPr>
                <w:rFonts w:eastAsia="Calibri"/>
              </w:rPr>
              <w:t>Item 2</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187</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D615BC" w:rsidRPr="00427EE1" w:rsidRDefault="00B751DE">
            <w:pPr>
              <w:pStyle w:val="Tabletext"/>
              <w:rPr>
                <w:rFonts w:eastAsia="Calibri"/>
                <w:b/>
                <w:lang w:eastAsia="en-US"/>
              </w:rPr>
            </w:pPr>
            <w:r w:rsidRPr="00427EE1">
              <w:rPr>
                <w:rFonts w:eastAsia="Calibri"/>
                <w:b/>
                <w:lang w:eastAsia="en-US"/>
              </w:rPr>
              <w:t>Time limits relating to the report or consent of reporting authorities</w:t>
            </w:r>
          </w:p>
          <w:p w:rsidR="00B751DE" w:rsidRPr="00427EE1" w:rsidRDefault="0026629F">
            <w:pPr>
              <w:pStyle w:val="Tabletext"/>
              <w:rPr>
                <w:rFonts w:eastAsia="Calibri"/>
                <w:lang w:eastAsia="en-US"/>
              </w:rPr>
            </w:pPr>
            <w:r>
              <w:rPr>
                <w:rFonts w:eastAsia="Calibri"/>
                <w:lang w:eastAsia="en-US"/>
              </w:rPr>
              <w:t xml:space="preserve">Specifies </w:t>
            </w:r>
            <w:r w:rsidR="00B751DE" w:rsidRPr="00427EE1">
              <w:rPr>
                <w:rFonts w:eastAsia="Calibri"/>
                <w:lang w:eastAsia="en-US"/>
              </w:rPr>
              <w:t>the time period the relevant reporting authority must respond after receiving the occupancy permit application.</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175F2D">
            <w:pPr>
              <w:pStyle w:val="Tabletext"/>
              <w:rPr>
                <w:rFonts w:eastAsia="Calibri"/>
              </w:rPr>
            </w:pPr>
            <w:r w:rsidRPr="00427EE1">
              <w:rPr>
                <w:rFonts w:eastAsia="Calibri"/>
                <w:lang w:eastAsia="en-US"/>
              </w:rPr>
              <w:t xml:space="preserve">This </w:t>
            </w:r>
            <w:r w:rsidR="000273F9">
              <w:rPr>
                <w:rFonts w:eastAsia="Calibri"/>
                <w:lang w:eastAsia="en-US"/>
              </w:rPr>
              <w:t>Regulation</w:t>
            </w:r>
            <w:r w:rsidR="00E60957">
              <w:rPr>
                <w:rFonts w:eastAsia="Calibri"/>
                <w:lang w:eastAsia="en-US"/>
              </w:rPr>
              <w:t xml:space="preserve"> </w:t>
            </w:r>
            <w:r w:rsidR="00B751DE" w:rsidRPr="00427EE1">
              <w:rPr>
                <w:rFonts w:eastAsia="Calibri"/>
              </w:rPr>
              <w:t>give</w:t>
            </w:r>
            <w:r w:rsidRPr="00427EE1">
              <w:rPr>
                <w:rFonts w:eastAsia="Calibri"/>
              </w:rPr>
              <w:t>s</w:t>
            </w:r>
            <w:r w:rsidR="00B751DE" w:rsidRPr="00427EE1">
              <w:rPr>
                <w:rFonts w:eastAsia="Calibri"/>
              </w:rPr>
              <w:t xml:space="preserve"> effect to </w:t>
            </w:r>
            <w:proofErr w:type="spellStart"/>
            <w:r w:rsidR="00B751DE" w:rsidRPr="00427EE1">
              <w:rPr>
                <w:rFonts w:eastAsia="Calibri"/>
              </w:rPr>
              <w:t>cl</w:t>
            </w:r>
            <w:r w:rsidR="0023395A">
              <w:rPr>
                <w:rFonts w:eastAsia="Calibri"/>
              </w:rPr>
              <w:t>s</w:t>
            </w:r>
            <w:proofErr w:type="spellEnd"/>
            <w:r w:rsidR="00B751DE" w:rsidRPr="00427EE1">
              <w:rPr>
                <w:rFonts w:eastAsia="Calibri"/>
              </w:rPr>
              <w:t xml:space="preserve"> 6(1), (2) and (3) of the Act. Regulation structure has been changed into a narrative instead of a Table format.</w:t>
            </w:r>
          </w:p>
        </w:tc>
      </w:tr>
      <w:tr w:rsidR="00B751DE" w:rsidRPr="00427EE1" w:rsidTr="006119D2">
        <w:trPr>
          <w:cantSplit/>
          <w:trHeight w:val="340"/>
        </w:trPr>
        <w:tc>
          <w:tcPr>
            <w:tcW w:w="102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proofErr w:type="spellStart"/>
            <w:r w:rsidRPr="00427EE1">
              <w:rPr>
                <w:rFonts w:eastAsia="Calibri"/>
              </w:rPr>
              <w:t>Sch</w:t>
            </w:r>
            <w:proofErr w:type="spellEnd"/>
            <w:r w:rsidRPr="00427EE1">
              <w:rPr>
                <w:rFonts w:eastAsia="Calibri"/>
              </w:rPr>
              <w:t xml:space="preserve"> 6</w:t>
            </w:r>
          </w:p>
          <w:p w:rsidR="00B751DE" w:rsidRPr="00427EE1" w:rsidRDefault="00B751DE" w:rsidP="006757E8">
            <w:pPr>
              <w:pStyle w:val="Tabletext"/>
              <w:rPr>
                <w:rFonts w:eastAsia="Calibri"/>
              </w:rPr>
            </w:pPr>
            <w:r w:rsidRPr="00427EE1">
              <w:rPr>
                <w:rFonts w:eastAsia="Calibri"/>
              </w:rPr>
              <w:t>Item 3</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188</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B751DE">
            <w:pPr>
              <w:pStyle w:val="Tabletext"/>
              <w:rPr>
                <w:rFonts w:eastAsia="Calibri"/>
                <w:b/>
                <w:lang w:eastAsia="en-US"/>
              </w:rPr>
            </w:pPr>
            <w:r w:rsidRPr="00427EE1">
              <w:rPr>
                <w:rFonts w:eastAsia="Calibri"/>
                <w:b/>
                <w:lang w:eastAsia="en-US"/>
              </w:rPr>
              <w:t xml:space="preserve">Time within which </w:t>
            </w:r>
            <w:r w:rsidR="00AB414E">
              <w:rPr>
                <w:rFonts w:eastAsia="Calibri"/>
                <w:b/>
                <w:lang w:eastAsia="en-US"/>
              </w:rPr>
              <w:t>RBS</w:t>
            </w:r>
            <w:r w:rsidRPr="00427EE1">
              <w:rPr>
                <w:rFonts w:eastAsia="Calibri"/>
                <w:b/>
                <w:lang w:eastAsia="en-US"/>
              </w:rPr>
              <w:t xml:space="preserve"> must decide application for occupancy permit</w:t>
            </w:r>
          </w:p>
          <w:p w:rsidR="00B751DE" w:rsidRPr="00427EE1" w:rsidRDefault="0026629F">
            <w:pPr>
              <w:pStyle w:val="Tabletext"/>
              <w:rPr>
                <w:rFonts w:eastAsia="Calibri"/>
                <w:lang w:eastAsia="en-US"/>
              </w:rPr>
            </w:pPr>
            <w:r>
              <w:rPr>
                <w:rFonts w:eastAsia="Calibri"/>
                <w:lang w:eastAsia="en-US"/>
              </w:rPr>
              <w:t xml:space="preserve">Specifies </w:t>
            </w:r>
            <w:r w:rsidR="00B751DE" w:rsidRPr="00427EE1">
              <w:rPr>
                <w:rFonts w:eastAsia="Calibri"/>
                <w:lang w:eastAsia="en-US"/>
              </w:rPr>
              <w:t xml:space="preserve">the time period the </w:t>
            </w:r>
            <w:r w:rsidR="00AB414E">
              <w:rPr>
                <w:rFonts w:eastAsia="Calibri"/>
                <w:lang w:eastAsia="en-US"/>
              </w:rPr>
              <w:t>RBS</w:t>
            </w:r>
            <w:r w:rsidR="00B751DE" w:rsidRPr="00427EE1">
              <w:rPr>
                <w:rFonts w:eastAsia="Calibri"/>
                <w:lang w:eastAsia="en-US"/>
              </w:rPr>
              <w:t xml:space="preserve"> must decide on an application for a building permit after receiving the report or consent from</w:t>
            </w:r>
            <w:r w:rsidR="00A14EA0">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175F2D">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00B751DE" w:rsidRPr="00427EE1">
              <w:rPr>
                <w:rFonts w:eastAsia="Calibri"/>
              </w:rPr>
              <w:t>give</w:t>
            </w:r>
            <w:r w:rsidRPr="00427EE1">
              <w:rPr>
                <w:rFonts w:eastAsia="Calibri"/>
              </w:rPr>
              <w:t>s</w:t>
            </w:r>
            <w:r w:rsidR="00B751DE" w:rsidRPr="00427EE1">
              <w:rPr>
                <w:rFonts w:eastAsia="Calibri"/>
              </w:rPr>
              <w:t xml:space="preserve"> effect to </w:t>
            </w:r>
            <w:proofErr w:type="spellStart"/>
            <w:r w:rsidR="00B751DE" w:rsidRPr="00427EE1">
              <w:rPr>
                <w:rFonts w:eastAsia="Calibri"/>
              </w:rPr>
              <w:t>s</w:t>
            </w:r>
            <w:r w:rsidR="0023395A">
              <w:rPr>
                <w:rFonts w:eastAsia="Calibri"/>
              </w:rPr>
              <w:t>s</w:t>
            </w:r>
            <w:proofErr w:type="spellEnd"/>
            <w:r w:rsidR="00B751DE" w:rsidRPr="00427EE1">
              <w:rPr>
                <w:rFonts w:eastAsia="Calibri"/>
              </w:rPr>
              <w:t xml:space="preserve"> 43 and 56 of the Act. Regulation structure has been changed into a narrative instead of a Table format.</w:t>
            </w:r>
          </w:p>
        </w:tc>
      </w:tr>
      <w:tr w:rsidR="00385906" w:rsidRPr="00427EE1" w:rsidTr="006119D2">
        <w:trPr>
          <w:cantSplit/>
          <w:trHeight w:val="340"/>
        </w:trPr>
        <w:tc>
          <w:tcPr>
            <w:tcW w:w="102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385906" w:rsidRPr="00B97615" w:rsidRDefault="00385906" w:rsidP="006757E8">
            <w:pPr>
              <w:pStyle w:val="Tabletext"/>
              <w:rPr>
                <w:rFonts w:eastAsia="Calibri"/>
                <w:b/>
              </w:rPr>
            </w:pPr>
            <w:r w:rsidRPr="00B97615">
              <w:rPr>
                <w:rFonts w:eastAsia="Calibri"/>
                <w:b/>
              </w:rPr>
              <w:t>n/a</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385906" w:rsidRPr="00427EE1" w:rsidRDefault="00385906" w:rsidP="006757E8">
            <w:pPr>
              <w:pStyle w:val="Tabletext"/>
              <w:rPr>
                <w:rFonts w:eastAsia="Calibri"/>
                <w:lang w:eastAsia="en-US"/>
              </w:rPr>
            </w:pPr>
            <w:r w:rsidRPr="00427EE1">
              <w:rPr>
                <w:rFonts w:eastAsia="Calibri"/>
                <w:lang w:eastAsia="en-US"/>
              </w:rPr>
              <w:t>NEW</w:t>
            </w:r>
          </w:p>
          <w:p w:rsidR="00385906" w:rsidRPr="00427EE1" w:rsidRDefault="00385906" w:rsidP="006757E8">
            <w:pPr>
              <w:pStyle w:val="Tabletext"/>
              <w:rPr>
                <w:rFonts w:eastAsia="Calibri"/>
                <w:lang w:eastAsia="en-US"/>
              </w:rPr>
            </w:pPr>
            <w:r w:rsidRPr="00427EE1">
              <w:rPr>
                <w:rFonts w:eastAsia="Calibri"/>
                <w:lang w:eastAsia="en-US"/>
              </w:rPr>
              <w:t>189</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385906" w:rsidRPr="00B97615" w:rsidRDefault="00385906">
            <w:pPr>
              <w:pStyle w:val="Tabletext"/>
              <w:rPr>
                <w:rFonts w:eastAsia="Calibri"/>
                <w:b/>
                <w:lang w:eastAsia="en-US"/>
              </w:rPr>
            </w:pPr>
            <w:r w:rsidRPr="00B97615">
              <w:rPr>
                <w:rFonts w:eastAsia="Calibri"/>
                <w:b/>
                <w:lang w:eastAsia="en-US"/>
              </w:rPr>
              <w:t xml:space="preserve">Time within which </w:t>
            </w:r>
            <w:r w:rsidR="00AB414E">
              <w:rPr>
                <w:rFonts w:eastAsia="Calibri"/>
                <w:b/>
                <w:lang w:eastAsia="en-US"/>
              </w:rPr>
              <w:t>RBS</w:t>
            </w:r>
            <w:r w:rsidRPr="00B97615">
              <w:rPr>
                <w:rFonts w:eastAsia="Calibri"/>
                <w:b/>
                <w:lang w:eastAsia="en-US"/>
              </w:rPr>
              <w:t xml:space="preserve"> must decide application to amend occupancy permit</w:t>
            </w:r>
          </w:p>
          <w:p w:rsidR="00385906" w:rsidRPr="00427EE1" w:rsidRDefault="0026629F">
            <w:pPr>
              <w:pStyle w:val="Tabletext"/>
              <w:rPr>
                <w:rFonts w:eastAsia="Calibri"/>
                <w:lang w:eastAsia="en-US"/>
              </w:rPr>
            </w:pPr>
            <w:r>
              <w:rPr>
                <w:rFonts w:eastAsia="Calibri"/>
                <w:lang w:eastAsia="en-US"/>
              </w:rPr>
              <w:t xml:space="preserve">Specifies </w:t>
            </w:r>
            <w:r w:rsidR="00385906" w:rsidRPr="00427EE1">
              <w:rPr>
                <w:rFonts w:eastAsia="Calibri"/>
                <w:lang w:eastAsia="en-US"/>
              </w:rPr>
              <w:t xml:space="preserve">the time period the </w:t>
            </w:r>
            <w:r w:rsidR="00AB414E">
              <w:rPr>
                <w:rFonts w:eastAsia="Calibri"/>
                <w:lang w:eastAsia="en-US"/>
              </w:rPr>
              <w:t>RBS</w:t>
            </w:r>
            <w:r w:rsidR="00385906" w:rsidRPr="00427EE1">
              <w:rPr>
                <w:rFonts w:eastAsia="Calibri"/>
                <w:lang w:eastAsia="en-US"/>
              </w:rPr>
              <w:t xml:space="preserve"> must decide to amend an occupancy permit after receiving an application.</w:t>
            </w:r>
          </w:p>
          <w:p w:rsidR="00385906" w:rsidRPr="00427EE1" w:rsidRDefault="00385906">
            <w:pPr>
              <w:pStyle w:val="Tabletext"/>
              <w:rPr>
                <w:rFonts w:eastAsia="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385906" w:rsidRPr="00427EE1" w:rsidRDefault="00385906">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385906" w:rsidRPr="00427EE1" w:rsidRDefault="00385906">
            <w:pPr>
              <w:tabs>
                <w:tab w:val="left" w:pos="567"/>
              </w:tabs>
              <w:spacing w:line="276" w:lineRule="auto"/>
              <w:jc w:val="center"/>
              <w:rPr>
                <w:rStyle w:val="tgc"/>
                <w:rFonts w:ascii="MS Gothic" w:eastAsia="MS Gothic" w:hAnsi="MS Gothic" w:cs="MS Gothic"/>
                <w:color w:val="222222"/>
                <w:lang w:val="en-GB"/>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385906" w:rsidRPr="00427EE1" w:rsidRDefault="00385906">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385906" w:rsidRPr="00427EE1" w:rsidRDefault="00385906">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385906" w:rsidRPr="00427EE1" w:rsidRDefault="00385906">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385906" w:rsidRPr="00427EE1" w:rsidRDefault="00175F2D">
            <w:pPr>
              <w:pStyle w:val="Tabletext"/>
              <w:rPr>
                <w:rFonts w:eastAsia="Calibri"/>
                <w:b/>
                <w:sz w:val="16"/>
                <w:szCs w:val="16"/>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00385906" w:rsidRPr="00427EE1">
              <w:rPr>
                <w:rFonts w:eastAsia="Calibri"/>
              </w:rPr>
              <w:t>support</w:t>
            </w:r>
            <w:r w:rsidRPr="00427EE1">
              <w:rPr>
                <w:rFonts w:eastAsia="Calibri"/>
              </w:rPr>
              <w:t>s</w:t>
            </w:r>
            <w:r w:rsidR="00385906" w:rsidRPr="00427EE1">
              <w:rPr>
                <w:rFonts w:eastAsia="Calibri"/>
              </w:rPr>
              <w:t xml:space="preserve"> the operation of </w:t>
            </w:r>
            <w:r w:rsidR="0023395A">
              <w:rPr>
                <w:rFonts w:eastAsia="Calibri"/>
              </w:rPr>
              <w:t xml:space="preserve">s </w:t>
            </w:r>
            <w:r w:rsidR="00385906" w:rsidRPr="00427EE1">
              <w:rPr>
                <w:rFonts w:eastAsia="Calibri"/>
              </w:rPr>
              <w:t xml:space="preserve">70(1)(a) of the Act. </w:t>
            </w:r>
          </w:p>
        </w:tc>
      </w:tr>
    </w:tbl>
    <w:p w:rsidR="00B751DE" w:rsidRPr="00427EE1" w:rsidRDefault="00B751DE" w:rsidP="006757E8"/>
    <w:p w:rsidR="00B751DE" w:rsidRPr="00427EE1" w:rsidRDefault="00EF2008" w:rsidP="006119D2">
      <w:pPr>
        <w:pStyle w:val="Heading4"/>
      </w:pPr>
      <w:proofErr w:type="spellStart"/>
      <w:r>
        <w:lastRenderedPageBreak/>
        <w:t>Div</w:t>
      </w:r>
      <w:proofErr w:type="spellEnd"/>
      <w:r w:rsidR="00B751DE" w:rsidRPr="00427EE1">
        <w:t xml:space="preserve"> 3</w:t>
      </w:r>
      <w:r w:rsidR="008475D9">
        <w:t>—</w:t>
      </w:r>
      <w:r w:rsidR="00B751DE" w:rsidRPr="00427EE1">
        <w:t>Occupancy permits</w:t>
      </w:r>
    </w:p>
    <w:tbl>
      <w:tblPr>
        <w:tblW w:w="14549" w:type="dxa"/>
        <w:tblInd w:w="-172"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1022"/>
        <w:gridCol w:w="959"/>
        <w:gridCol w:w="4243"/>
        <w:gridCol w:w="399"/>
        <w:gridCol w:w="399"/>
        <w:gridCol w:w="402"/>
        <w:gridCol w:w="400"/>
        <w:gridCol w:w="398"/>
        <w:gridCol w:w="6327"/>
      </w:tblGrid>
      <w:tr w:rsidR="00CC3C64" w:rsidRPr="00427EE1" w:rsidTr="006119D2">
        <w:trPr>
          <w:cantSplit/>
          <w:trHeight w:val="210"/>
          <w:tblHeader/>
        </w:trPr>
        <w:tc>
          <w:tcPr>
            <w:tcW w:w="1022" w:type="dxa"/>
            <w:vMerge w:val="restart"/>
            <w:shd w:val="clear" w:color="auto" w:fill="00B2A9" w:themeFill="accent1"/>
            <w:vAlign w:val="center"/>
            <w:hideMark/>
          </w:tcPr>
          <w:p w:rsidR="00CC3C64" w:rsidRDefault="00CC3C64">
            <w:pPr>
              <w:pStyle w:val="Tablecolumnhead"/>
              <w:rPr>
                <w:rFonts w:asciiTheme="majorHAnsi" w:eastAsia="Calibri" w:hAnsiTheme="majorHAnsi" w:cstheme="majorBidi"/>
                <w:sz w:val="40"/>
              </w:rPr>
            </w:pPr>
            <w:r w:rsidRPr="00BE72D7">
              <w:rPr>
                <w:rFonts w:eastAsia="Calibri"/>
              </w:rPr>
              <w:t>2006</w:t>
            </w:r>
          </w:p>
          <w:p w:rsidR="00CC3C64" w:rsidRPr="00B97615" w:rsidRDefault="00CC3C64">
            <w:pPr>
              <w:pStyle w:val="Tablecolumnhead"/>
              <w:rPr>
                <w:rFonts w:eastAsia="Calibri"/>
              </w:rPr>
            </w:pPr>
            <w:r w:rsidRPr="00C44680">
              <w:rPr>
                <w:rFonts w:ascii="Arial Bold" w:eastAsia="Calibri" w:hAnsi="Arial Bold"/>
                <w:spacing w:val="-12"/>
                <w:sz w:val="16"/>
              </w:rPr>
              <w:t>Regulation</w:t>
            </w:r>
          </w:p>
        </w:tc>
        <w:tc>
          <w:tcPr>
            <w:tcW w:w="959" w:type="dxa"/>
            <w:vMerge w:val="restart"/>
            <w:shd w:val="clear" w:color="auto" w:fill="00B2A9" w:themeFill="accent1"/>
            <w:vAlign w:val="center"/>
            <w:hideMark/>
          </w:tcPr>
          <w:p w:rsidR="00CC3C64" w:rsidRDefault="00CC3C64">
            <w:pPr>
              <w:pStyle w:val="Tablecolumnhead"/>
              <w:rPr>
                <w:rFonts w:asciiTheme="majorHAnsi" w:eastAsiaTheme="majorEastAsia" w:hAnsiTheme="majorHAnsi" w:cstheme="majorBidi"/>
                <w:sz w:val="40"/>
              </w:rPr>
            </w:pPr>
            <w:r w:rsidRPr="008F0E53">
              <w:rPr>
                <w:rFonts w:eastAsia="Calibri"/>
              </w:rPr>
              <w:t>2017</w:t>
            </w:r>
          </w:p>
          <w:p w:rsidR="00CC3C64" w:rsidRPr="00B97615" w:rsidRDefault="00CC3C64">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CC3C64" w:rsidRPr="00B97615" w:rsidRDefault="00CC3C64">
            <w:pPr>
              <w:pStyle w:val="Tablecolumnhead"/>
              <w:rPr>
                <w:rFonts w:eastAsia="Calibri"/>
              </w:rPr>
            </w:pPr>
            <w:r w:rsidRPr="00B97615">
              <w:rPr>
                <w:szCs w:val="22"/>
              </w:rPr>
              <w:t xml:space="preserve">Short description of the </w:t>
            </w:r>
            <w:r>
              <w:rPr>
                <w:szCs w:val="22"/>
              </w:rPr>
              <w:t>Regulation</w:t>
            </w:r>
          </w:p>
        </w:tc>
        <w:tc>
          <w:tcPr>
            <w:tcW w:w="1998" w:type="dxa"/>
            <w:gridSpan w:val="5"/>
            <w:shd w:val="clear" w:color="auto" w:fill="00B2A9" w:themeFill="accent1"/>
            <w:vAlign w:val="center"/>
          </w:tcPr>
          <w:p w:rsidR="00CC3C64" w:rsidRPr="00B97615" w:rsidRDefault="00CC3C64">
            <w:pPr>
              <w:pStyle w:val="Tablecolumnhead"/>
            </w:pPr>
            <w:r w:rsidRPr="00B97615">
              <w:rPr>
                <w:szCs w:val="22"/>
              </w:rPr>
              <w:t>Proposed regulatory change</w:t>
            </w:r>
          </w:p>
        </w:tc>
        <w:tc>
          <w:tcPr>
            <w:tcW w:w="6327" w:type="dxa"/>
            <w:vMerge w:val="restart"/>
            <w:shd w:val="clear" w:color="auto" w:fill="00B2A9" w:themeFill="accent1"/>
            <w:vAlign w:val="center"/>
          </w:tcPr>
          <w:p w:rsidR="00CC3C64" w:rsidRPr="00B97615" w:rsidRDefault="00CC3C64">
            <w:pPr>
              <w:pStyle w:val="Tablecolumnhead"/>
            </w:pPr>
            <w:r w:rsidRPr="00B97615">
              <w:rPr>
                <w:szCs w:val="22"/>
              </w:rPr>
              <w:t>Why the 2017 Regulation is proposed</w:t>
            </w:r>
          </w:p>
        </w:tc>
      </w:tr>
      <w:tr w:rsidR="00B751DE" w:rsidRPr="00427EE1" w:rsidTr="006119D2">
        <w:trPr>
          <w:cantSplit/>
          <w:trHeight w:val="966"/>
          <w:tblHeader/>
        </w:trPr>
        <w:tc>
          <w:tcPr>
            <w:tcW w:w="1022"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959"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B751DE" w:rsidRPr="00427EE1" w:rsidTr="006119D2">
        <w:trPr>
          <w:cantSplit/>
          <w:trHeight w:val="340"/>
        </w:trPr>
        <w:tc>
          <w:tcPr>
            <w:tcW w:w="102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rPr>
            </w:pPr>
            <w:r w:rsidRPr="00427EE1">
              <w:rPr>
                <w:rFonts w:eastAsia="Calibri"/>
              </w:rPr>
              <w:t>1005</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lang w:eastAsia="en-US"/>
              </w:rPr>
            </w:pPr>
            <w:r w:rsidRPr="00427EE1">
              <w:rPr>
                <w:rFonts w:eastAsia="Calibri"/>
                <w:lang w:eastAsia="en-US"/>
              </w:rPr>
              <w:t>190</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B751DE" w:rsidRPr="00427EE1" w:rsidRDefault="00B751DE" w:rsidP="006757E8">
            <w:pPr>
              <w:pStyle w:val="Tabletext"/>
              <w:rPr>
                <w:rFonts w:eastAsia="Calibri"/>
                <w:b/>
                <w:lang w:eastAsia="en-US"/>
              </w:rPr>
            </w:pPr>
            <w:r w:rsidRPr="00427EE1">
              <w:rPr>
                <w:rFonts w:eastAsia="Calibri"/>
                <w:b/>
                <w:lang w:eastAsia="en-US"/>
              </w:rPr>
              <w:t>Form of occupancy permit</w:t>
            </w:r>
          </w:p>
          <w:p w:rsidR="00B751DE" w:rsidRPr="00427EE1" w:rsidRDefault="002E244C">
            <w:pPr>
              <w:pStyle w:val="Tabletext"/>
              <w:rPr>
                <w:rFonts w:eastAsia="Calibri"/>
                <w:lang w:eastAsia="en-US"/>
              </w:rPr>
            </w:pPr>
            <w:r>
              <w:rPr>
                <w:rFonts w:eastAsia="Calibri"/>
                <w:lang w:eastAsia="en-US"/>
              </w:rPr>
              <w:t xml:space="preserve">Requires </w:t>
            </w:r>
            <w:r w:rsidR="00B751DE" w:rsidRPr="00427EE1">
              <w:rPr>
                <w:rFonts w:eastAsia="Calibri"/>
                <w:lang w:eastAsia="en-US"/>
              </w:rPr>
              <w:t xml:space="preserve">an occupancy permit to be issued in the prescribed </w:t>
            </w:r>
            <w:r w:rsidR="00195602">
              <w:rPr>
                <w:rFonts w:eastAsia="Calibri"/>
                <w:lang w:eastAsia="en-US"/>
              </w:rPr>
              <w:t>f</w:t>
            </w:r>
            <w:r w:rsidR="00B751DE" w:rsidRPr="00427EE1">
              <w:rPr>
                <w:rFonts w:eastAsia="Calibri"/>
                <w:lang w:eastAsia="en-US"/>
              </w:rPr>
              <w:t>orm.</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175F2D">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175F2D">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a</w:t>
            </w:r>
            <w:r w:rsidR="00B751DE" w:rsidRPr="00427EE1">
              <w:rPr>
                <w:rFonts w:eastAsia="Calibri"/>
              </w:rPr>
              <w:t>ddresses information asymmetry. Facilitates compliance, monitoring and enforcement.</w:t>
            </w:r>
            <w:r w:rsidR="00D71A15" w:rsidRPr="00427EE1">
              <w:rPr>
                <w:rFonts w:eastAsia="Calibri"/>
              </w:rPr>
              <w:t xml:space="preserve"> </w:t>
            </w:r>
            <w:r w:rsidR="00B751DE" w:rsidRPr="00427EE1">
              <w:rPr>
                <w:rFonts w:eastAsia="Calibri"/>
              </w:rPr>
              <w:t>Ensures that there is adequate information to check that occupation has been duly authorised. Additional information required to be set out in the occupancy permit</w:t>
            </w:r>
            <w:r w:rsidRPr="00427EE1">
              <w:rPr>
                <w:rFonts w:eastAsia="Calibri"/>
              </w:rPr>
              <w:t xml:space="preserve"> in relation to </w:t>
            </w:r>
            <w:r w:rsidR="006A036F" w:rsidRPr="00427EE1">
              <w:rPr>
                <w:rFonts w:eastAsia="Calibri"/>
              </w:rPr>
              <w:t>any</w:t>
            </w:r>
            <w:r w:rsidR="00E60957">
              <w:rPr>
                <w:rFonts w:eastAsia="Calibri"/>
              </w:rPr>
              <w:t xml:space="preserve"> </w:t>
            </w:r>
            <w:r w:rsidRPr="00427EE1">
              <w:rPr>
                <w:rFonts w:eastAsia="Calibri"/>
              </w:rPr>
              <w:t>performance solution</w:t>
            </w:r>
            <w:r w:rsidR="006A036F" w:rsidRPr="00427EE1">
              <w:rPr>
                <w:rFonts w:eastAsia="Calibri"/>
              </w:rPr>
              <w:t xml:space="preserve"> being used and describing the </w:t>
            </w:r>
            <w:r w:rsidR="00BB3A66" w:rsidRPr="00427EE1">
              <w:rPr>
                <w:rFonts w:eastAsia="Calibri"/>
              </w:rPr>
              <w:t>conditions</w:t>
            </w:r>
            <w:r w:rsidR="006A036F" w:rsidRPr="00427EE1">
              <w:rPr>
                <w:rFonts w:eastAsia="Calibri"/>
              </w:rPr>
              <w:t xml:space="preserve"> in relation to </w:t>
            </w:r>
            <w:r w:rsidR="00296466">
              <w:rPr>
                <w:rFonts w:eastAsia="Calibri"/>
              </w:rPr>
              <w:t>ESMs</w:t>
            </w:r>
            <w:r w:rsidR="006A036F" w:rsidRPr="00427EE1">
              <w:rPr>
                <w:rFonts w:eastAsia="Calibri"/>
              </w:rPr>
              <w:t xml:space="preserve"> (see proposed </w:t>
            </w:r>
            <w:r w:rsidR="00195602">
              <w:rPr>
                <w:rFonts w:eastAsia="Calibri"/>
              </w:rPr>
              <w:t>f</w:t>
            </w:r>
            <w:r w:rsidR="006A036F" w:rsidRPr="00427EE1">
              <w:rPr>
                <w:rFonts w:eastAsia="Calibri"/>
              </w:rPr>
              <w:t>orm 18)</w:t>
            </w:r>
            <w:r w:rsidR="00B751DE" w:rsidRPr="00427EE1">
              <w:rPr>
                <w:rFonts w:eastAsia="Calibri"/>
              </w:rPr>
              <w:t>.</w:t>
            </w:r>
          </w:p>
        </w:tc>
      </w:tr>
      <w:tr w:rsidR="00B751DE" w:rsidRPr="00427EE1" w:rsidTr="006119D2">
        <w:trPr>
          <w:cantSplit/>
          <w:trHeight w:val="340"/>
        </w:trPr>
        <w:tc>
          <w:tcPr>
            <w:tcW w:w="102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627750" w:rsidP="006757E8">
            <w:pPr>
              <w:pStyle w:val="Tabletext"/>
              <w:rPr>
                <w:rFonts w:eastAsia="Calibri"/>
              </w:rPr>
            </w:pPr>
            <w:r w:rsidRPr="00427EE1">
              <w:rPr>
                <w:rFonts w:eastAsia="Calibri"/>
                <w:b/>
              </w:rPr>
              <w:t>n/a</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27750" w:rsidRPr="00427EE1" w:rsidRDefault="00627750" w:rsidP="006757E8">
            <w:pPr>
              <w:pStyle w:val="Tabletext"/>
              <w:rPr>
                <w:rFonts w:eastAsia="Calibri"/>
                <w:lang w:eastAsia="en-US"/>
              </w:rPr>
            </w:pPr>
            <w:r w:rsidRPr="00427EE1">
              <w:rPr>
                <w:rFonts w:eastAsia="Calibri"/>
                <w:lang w:eastAsia="en-US"/>
              </w:rPr>
              <w:t>NEW</w:t>
            </w:r>
          </w:p>
          <w:p w:rsidR="00B751DE" w:rsidRPr="00427EE1" w:rsidRDefault="00B751DE" w:rsidP="006757E8">
            <w:pPr>
              <w:pStyle w:val="Tabletext"/>
              <w:rPr>
                <w:rFonts w:eastAsia="Calibri"/>
                <w:lang w:eastAsia="en-US"/>
              </w:rPr>
            </w:pPr>
            <w:r w:rsidRPr="00427EE1">
              <w:rPr>
                <w:rFonts w:eastAsia="Calibri"/>
                <w:lang w:eastAsia="en-US"/>
              </w:rPr>
              <w:t>191</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AB414E">
            <w:pPr>
              <w:pStyle w:val="Tabletext"/>
              <w:rPr>
                <w:rFonts w:eastAsia="Calibri"/>
                <w:b/>
                <w:lang w:eastAsia="en-US"/>
              </w:rPr>
            </w:pPr>
            <w:r>
              <w:rPr>
                <w:rFonts w:eastAsia="Calibri"/>
                <w:b/>
                <w:lang w:eastAsia="en-US"/>
              </w:rPr>
              <w:t>RBS</w:t>
            </w:r>
            <w:r w:rsidR="00B751DE" w:rsidRPr="00427EE1">
              <w:rPr>
                <w:rFonts w:eastAsia="Calibri"/>
                <w:b/>
                <w:lang w:eastAsia="en-US"/>
              </w:rPr>
              <w:t xml:space="preserve"> to provide copy of permit</w:t>
            </w:r>
          </w:p>
          <w:p w:rsidR="00B751DE" w:rsidRPr="00427EE1" w:rsidRDefault="002E244C">
            <w:pPr>
              <w:pStyle w:val="Tabletext"/>
              <w:rPr>
                <w:rFonts w:eastAsia="Calibri"/>
                <w:lang w:eastAsia="en-US"/>
              </w:rPr>
            </w:pPr>
            <w:r>
              <w:rPr>
                <w:rFonts w:eastAsia="Calibri"/>
                <w:lang w:eastAsia="en-US"/>
              </w:rPr>
              <w:t xml:space="preserve">Requires </w:t>
            </w:r>
            <w:r w:rsidR="00B751DE" w:rsidRPr="00427EE1">
              <w:rPr>
                <w:rFonts w:eastAsia="Calibri"/>
                <w:lang w:eastAsia="en-US"/>
              </w:rPr>
              <w:t xml:space="preserve">the </w:t>
            </w:r>
            <w:r w:rsidR="006801FB">
              <w:rPr>
                <w:rFonts w:eastAsia="Calibri"/>
                <w:lang w:eastAsia="en-US"/>
              </w:rPr>
              <w:t xml:space="preserve">RBS </w:t>
            </w:r>
            <w:r w:rsidR="00B751DE" w:rsidRPr="00427EE1">
              <w:rPr>
                <w:rFonts w:eastAsia="Calibri"/>
                <w:lang w:eastAsia="en-US"/>
              </w:rPr>
              <w:t>to provide the applicant with a copy of the occupancy permit within seven days.</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Style w:val="tgc"/>
                <w:rFonts w:ascii="MS Gothic" w:eastAsia="MS Gothic" w:hAnsi="MS Gothic" w:cs="MS Gothic"/>
                <w:color w:val="222222"/>
                <w:lang w:val="en-GB"/>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6A036F">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r</w:t>
            </w:r>
            <w:r w:rsidR="00B751DE" w:rsidRPr="00427EE1">
              <w:rPr>
                <w:rFonts w:eastAsia="Calibri"/>
              </w:rPr>
              <w:t>educes delays in the provision of the occupancy permit</w:t>
            </w:r>
            <w:r w:rsidR="00627750" w:rsidRPr="00427EE1">
              <w:rPr>
                <w:rFonts w:eastAsia="Calibri"/>
              </w:rPr>
              <w:t xml:space="preserve"> and enables the commencement of the relevant appeal period, for example if the owner wants to appeal a condition on the occupancy permit.</w:t>
            </w:r>
            <w:r w:rsidR="00B751DE" w:rsidRPr="00427EE1">
              <w:rPr>
                <w:rFonts w:eastAsia="Calibri"/>
              </w:rPr>
              <w:t xml:space="preserve"> Seven days is consistent with requirements in relation to a building permit. </w:t>
            </w:r>
          </w:p>
        </w:tc>
      </w:tr>
      <w:tr w:rsidR="00B751DE" w:rsidRPr="00427EE1" w:rsidTr="006119D2">
        <w:trPr>
          <w:cantSplit/>
          <w:trHeight w:val="340"/>
        </w:trPr>
        <w:tc>
          <w:tcPr>
            <w:tcW w:w="102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1203</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192</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B751DE" w:rsidP="006757E8">
            <w:pPr>
              <w:pStyle w:val="Tabletext"/>
              <w:rPr>
                <w:rFonts w:eastAsia="Calibri"/>
                <w:b/>
                <w:lang w:eastAsia="en-US"/>
              </w:rPr>
            </w:pPr>
            <w:r w:rsidRPr="00427EE1">
              <w:rPr>
                <w:rFonts w:eastAsia="Calibri"/>
                <w:b/>
                <w:lang w:eastAsia="en-US"/>
              </w:rPr>
              <w:t xml:space="preserve">Occupancy permit must specify </w:t>
            </w:r>
            <w:r w:rsidR="00296466">
              <w:rPr>
                <w:rFonts w:eastAsia="Calibri"/>
                <w:b/>
                <w:lang w:eastAsia="en-US"/>
              </w:rPr>
              <w:t>ESMs</w:t>
            </w:r>
            <w:r w:rsidRPr="00427EE1">
              <w:rPr>
                <w:rFonts w:eastAsia="Calibri"/>
                <w:b/>
                <w:lang w:eastAsia="en-US"/>
              </w:rPr>
              <w:t xml:space="preserve"> and related requirements</w:t>
            </w:r>
          </w:p>
          <w:p w:rsidR="00B751DE" w:rsidRPr="00427EE1" w:rsidRDefault="002E244C">
            <w:pPr>
              <w:pStyle w:val="Tabletext"/>
              <w:rPr>
                <w:rFonts w:eastAsia="Calibri"/>
                <w:lang w:eastAsia="en-US"/>
              </w:rPr>
            </w:pPr>
            <w:r>
              <w:rPr>
                <w:rFonts w:eastAsia="Calibri"/>
                <w:lang w:eastAsia="en-US"/>
              </w:rPr>
              <w:t xml:space="preserve">Requires </w:t>
            </w:r>
            <w:r w:rsidR="00B751DE" w:rsidRPr="00427EE1">
              <w:rPr>
                <w:rFonts w:eastAsia="Calibri"/>
                <w:lang w:eastAsia="en-US"/>
              </w:rPr>
              <w:t xml:space="preserve">an occupancy permit to specify the maintenance requirements of all </w:t>
            </w:r>
            <w:r w:rsidR="00296466">
              <w:rPr>
                <w:rFonts w:eastAsia="Calibri"/>
                <w:lang w:eastAsia="en-US"/>
              </w:rPr>
              <w:t>ESMs</w:t>
            </w:r>
            <w:r w:rsidR="00B751DE" w:rsidRPr="00427EE1">
              <w:rPr>
                <w:rFonts w:eastAsia="Calibri"/>
                <w:lang w:eastAsia="en-US"/>
              </w:rPr>
              <w:t xml:space="preserve"> in the building or place of public entertainment.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6A036F">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a</w:t>
            </w:r>
            <w:r w:rsidR="00B751DE" w:rsidRPr="00427EE1">
              <w:rPr>
                <w:rFonts w:eastAsia="Calibri"/>
              </w:rPr>
              <w:t xml:space="preserve">ddresses information asymmetry and mitigates health and safety issues that arise if an </w:t>
            </w:r>
            <w:r w:rsidR="005140C4">
              <w:rPr>
                <w:rFonts w:eastAsia="Calibri"/>
              </w:rPr>
              <w:t>ESM</w:t>
            </w:r>
            <w:r w:rsidR="00B751DE" w:rsidRPr="00427EE1">
              <w:rPr>
                <w:rFonts w:eastAsia="Calibri"/>
              </w:rPr>
              <w:t xml:space="preserve"> is not maintained. It has been updated to clarify how ESM conditions should be recorded in relation to ESM. The occupancy permit is the first point of reference for ESM maintenance obligations for a building owner. </w:t>
            </w:r>
          </w:p>
        </w:tc>
      </w:tr>
      <w:tr w:rsidR="00B751DE" w:rsidRPr="00427EE1" w:rsidTr="006119D2">
        <w:trPr>
          <w:cantSplit/>
          <w:trHeight w:val="340"/>
        </w:trPr>
        <w:tc>
          <w:tcPr>
            <w:tcW w:w="102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n/a</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NEW</w:t>
            </w:r>
          </w:p>
          <w:p w:rsidR="00B751DE" w:rsidRPr="00427EE1" w:rsidRDefault="00B751DE" w:rsidP="006757E8">
            <w:pPr>
              <w:pStyle w:val="Tabletext"/>
              <w:rPr>
                <w:rFonts w:eastAsia="Calibri"/>
                <w:lang w:eastAsia="en-US"/>
              </w:rPr>
            </w:pPr>
            <w:r w:rsidRPr="00427EE1">
              <w:rPr>
                <w:rFonts w:eastAsia="Calibri"/>
                <w:lang w:eastAsia="en-US"/>
              </w:rPr>
              <w:t>193</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B751DE">
            <w:pPr>
              <w:pStyle w:val="Tabletext"/>
              <w:rPr>
                <w:rFonts w:eastAsia="Calibri"/>
                <w:b/>
                <w:lang w:eastAsia="en-US"/>
              </w:rPr>
            </w:pPr>
            <w:r w:rsidRPr="00427EE1">
              <w:rPr>
                <w:rFonts w:eastAsia="Calibri"/>
                <w:b/>
                <w:lang w:eastAsia="en-US"/>
              </w:rPr>
              <w:t>Condition on occupancy permit</w:t>
            </w:r>
          </w:p>
          <w:p w:rsidR="00B751DE" w:rsidRPr="00427EE1" w:rsidRDefault="002E244C">
            <w:pPr>
              <w:pStyle w:val="Tabletext"/>
              <w:rPr>
                <w:rFonts w:eastAsia="Calibri"/>
                <w:lang w:eastAsia="en-US"/>
              </w:rPr>
            </w:pPr>
            <w:r>
              <w:rPr>
                <w:rFonts w:eastAsia="Calibri"/>
                <w:lang w:eastAsia="en-US"/>
              </w:rPr>
              <w:t xml:space="preserve">Provides </w:t>
            </w:r>
            <w:r w:rsidR="00B751DE" w:rsidRPr="00427EE1">
              <w:rPr>
                <w:rFonts w:eastAsia="Calibri"/>
                <w:lang w:eastAsia="en-US"/>
              </w:rPr>
              <w:t xml:space="preserve">that a maintenance of an </w:t>
            </w:r>
            <w:r w:rsidR="005140C4">
              <w:rPr>
                <w:rFonts w:eastAsia="Calibri"/>
                <w:lang w:eastAsia="en-US"/>
              </w:rPr>
              <w:t>ESM</w:t>
            </w:r>
            <w:r w:rsidR="00B751DE" w:rsidRPr="00427EE1">
              <w:rPr>
                <w:rFonts w:eastAsia="Calibri"/>
                <w:lang w:eastAsia="en-US"/>
              </w:rPr>
              <w:t xml:space="preserve"> (whether in an occupancy permit or applied through a maintenance determination) are to be treated as a condition of the occupancy permit</w:t>
            </w:r>
            <w:r w:rsidR="00CC3C64">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6A036F">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s</w:t>
            </w:r>
            <w:r w:rsidR="00B751DE" w:rsidRPr="00427EE1">
              <w:rPr>
                <w:rFonts w:eastAsia="Calibri"/>
              </w:rPr>
              <w:t xml:space="preserve">trengthens enforcement action for regulators. Clarifies that compliance with ESM maintenance on an occupancy permit is a condition of occupying a building or place of public entertainment. </w:t>
            </w:r>
            <w:r w:rsidR="0023395A">
              <w:rPr>
                <w:rFonts w:eastAsia="Calibri"/>
              </w:rPr>
              <w:t>Non</w:t>
            </w:r>
            <w:r w:rsidR="00B751DE" w:rsidRPr="00427EE1">
              <w:rPr>
                <w:rFonts w:eastAsia="Calibri"/>
              </w:rPr>
              <w:t xml:space="preserve">compliance should be enforced through </w:t>
            </w:r>
            <w:r w:rsidR="0023395A">
              <w:rPr>
                <w:rFonts w:eastAsia="Calibri"/>
              </w:rPr>
              <w:t xml:space="preserve">s </w:t>
            </w:r>
            <w:r w:rsidR="00B751DE" w:rsidRPr="00427EE1">
              <w:rPr>
                <w:rFonts w:eastAsia="Calibri"/>
              </w:rPr>
              <w:t>40 of the Act.</w:t>
            </w:r>
            <w:r w:rsidR="00D71A15" w:rsidRPr="00427EE1">
              <w:rPr>
                <w:rFonts w:eastAsia="Calibri"/>
              </w:rPr>
              <w:t xml:space="preserve"> </w:t>
            </w:r>
            <w:r w:rsidR="00B751DE" w:rsidRPr="00427EE1">
              <w:rPr>
                <w:rFonts w:eastAsia="Calibri"/>
              </w:rPr>
              <w:t xml:space="preserve">This </w:t>
            </w:r>
            <w:r w:rsidR="000273F9">
              <w:rPr>
                <w:rFonts w:eastAsia="Calibri"/>
              </w:rPr>
              <w:t>Regulation</w:t>
            </w:r>
            <w:r w:rsidR="00B751DE" w:rsidRPr="00427EE1">
              <w:rPr>
                <w:rFonts w:eastAsia="Calibri"/>
              </w:rPr>
              <w:t xml:space="preserve"> also provides that compliance with a maintenance determination is to be treated as a condition on an occupancy permit so it can be enforced consistently. </w:t>
            </w:r>
          </w:p>
        </w:tc>
      </w:tr>
      <w:tr w:rsidR="00B751DE" w:rsidRPr="00427EE1" w:rsidTr="006119D2">
        <w:trPr>
          <w:cantSplit/>
          <w:trHeight w:val="340"/>
        </w:trPr>
        <w:tc>
          <w:tcPr>
            <w:tcW w:w="102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lastRenderedPageBreak/>
              <w:t>1205A</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194</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B751DE" w:rsidP="006757E8">
            <w:pPr>
              <w:pStyle w:val="Tabletext"/>
              <w:rPr>
                <w:rFonts w:eastAsia="Calibri"/>
                <w:b/>
                <w:lang w:eastAsia="en-US"/>
              </w:rPr>
            </w:pPr>
            <w:r w:rsidRPr="00427EE1">
              <w:rPr>
                <w:rFonts w:eastAsia="Calibri"/>
                <w:b/>
                <w:lang w:eastAsia="en-US"/>
              </w:rPr>
              <w:t>Compliance with AS 1851—2012 taken to be compliance with earlier standards</w:t>
            </w:r>
          </w:p>
          <w:p w:rsidR="00B751DE" w:rsidRPr="00427EE1" w:rsidRDefault="002E244C">
            <w:pPr>
              <w:pStyle w:val="Tabletext"/>
              <w:rPr>
                <w:rFonts w:eastAsia="Calibri"/>
                <w:lang w:eastAsia="en-US"/>
              </w:rPr>
            </w:pPr>
            <w:r>
              <w:rPr>
                <w:rFonts w:eastAsia="Calibri"/>
                <w:lang w:eastAsia="en-US"/>
              </w:rPr>
              <w:t xml:space="preserve">Enables </w:t>
            </w:r>
            <w:r w:rsidR="00B751DE" w:rsidRPr="00427EE1">
              <w:rPr>
                <w:rFonts w:eastAsia="Calibri"/>
                <w:lang w:eastAsia="en-US"/>
              </w:rPr>
              <w:t xml:space="preserve">maintenance of </w:t>
            </w:r>
            <w:r w:rsidR="00296466">
              <w:rPr>
                <w:rFonts w:eastAsia="Calibri"/>
                <w:lang w:eastAsia="en-US"/>
              </w:rPr>
              <w:t>ESMs</w:t>
            </w:r>
            <w:r w:rsidR="00B751DE" w:rsidRPr="00427EE1">
              <w:rPr>
                <w:rFonts w:eastAsia="Calibri"/>
                <w:lang w:eastAsia="en-US"/>
              </w:rPr>
              <w:t xml:space="preserve"> to be in accordance with the AS 1851—2005 Maintenance of fire protection systems and equipment, despite what is specified in the occupancy permit condition.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6A036F">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r</w:t>
            </w:r>
            <w:r w:rsidR="00B751DE" w:rsidRPr="00427EE1">
              <w:rPr>
                <w:rFonts w:eastAsia="Calibri"/>
              </w:rPr>
              <w:t xml:space="preserve">educes burden and improves safety by allowing for owners to maintain the </w:t>
            </w:r>
            <w:r w:rsidR="00296466">
              <w:rPr>
                <w:rFonts w:eastAsia="Calibri"/>
              </w:rPr>
              <w:t>ESMs</w:t>
            </w:r>
            <w:r w:rsidR="00B751DE" w:rsidRPr="00427EE1">
              <w:rPr>
                <w:rFonts w:eastAsia="Calibri"/>
              </w:rPr>
              <w:t xml:space="preserve"> in accordance with another standard, which is considered to be less onerous to comply with than earlier versions of that standard.</w:t>
            </w:r>
          </w:p>
        </w:tc>
      </w:tr>
    </w:tbl>
    <w:p w:rsidR="00B751DE" w:rsidRPr="00427EE1" w:rsidRDefault="00B751DE" w:rsidP="006757E8"/>
    <w:p w:rsidR="00B751DE" w:rsidRPr="00427EE1" w:rsidRDefault="00EF2008" w:rsidP="006119D2">
      <w:pPr>
        <w:pStyle w:val="Heading4"/>
      </w:pPr>
      <w:proofErr w:type="spellStart"/>
      <w:r>
        <w:t>Div</w:t>
      </w:r>
      <w:proofErr w:type="spellEnd"/>
      <w:r w:rsidR="00B751DE" w:rsidRPr="00427EE1">
        <w:t xml:space="preserve"> 4</w:t>
      </w:r>
      <w:r w:rsidR="008475D9">
        <w:t>—</w:t>
      </w:r>
      <w:r w:rsidR="00B751DE" w:rsidRPr="00427EE1">
        <w:t>Display and inspection requirements for occupancy permits</w:t>
      </w:r>
    </w:p>
    <w:tbl>
      <w:tblPr>
        <w:tblW w:w="14549" w:type="dxa"/>
        <w:tblInd w:w="-172"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1008"/>
        <w:gridCol w:w="973"/>
        <w:gridCol w:w="4243"/>
        <w:gridCol w:w="399"/>
        <w:gridCol w:w="399"/>
        <w:gridCol w:w="402"/>
        <w:gridCol w:w="400"/>
        <w:gridCol w:w="398"/>
        <w:gridCol w:w="6327"/>
      </w:tblGrid>
      <w:tr w:rsidR="002D39C3" w:rsidRPr="00427EE1" w:rsidTr="006119D2">
        <w:trPr>
          <w:cantSplit/>
          <w:trHeight w:val="54"/>
          <w:tblHeader/>
        </w:trPr>
        <w:tc>
          <w:tcPr>
            <w:tcW w:w="1008" w:type="dxa"/>
            <w:vMerge w:val="restart"/>
            <w:shd w:val="clear" w:color="auto" w:fill="00B2A9" w:themeFill="accent1"/>
            <w:vAlign w:val="center"/>
            <w:hideMark/>
          </w:tcPr>
          <w:p w:rsidR="002D39C3" w:rsidRDefault="002D39C3">
            <w:pPr>
              <w:pStyle w:val="Tablecolumnhead"/>
              <w:rPr>
                <w:rFonts w:asciiTheme="majorHAnsi" w:eastAsia="Calibri" w:hAnsiTheme="majorHAnsi" w:cstheme="majorBidi"/>
                <w:sz w:val="40"/>
              </w:rPr>
            </w:pPr>
            <w:r w:rsidRPr="00BE72D7">
              <w:rPr>
                <w:rFonts w:eastAsia="Calibri"/>
              </w:rPr>
              <w:t>2006</w:t>
            </w:r>
          </w:p>
          <w:p w:rsidR="002D39C3" w:rsidRPr="00B97615" w:rsidRDefault="002D39C3">
            <w:pPr>
              <w:pStyle w:val="Tablecolumnhead"/>
              <w:rPr>
                <w:rFonts w:eastAsia="Calibri"/>
              </w:rPr>
            </w:pPr>
            <w:r w:rsidRPr="00C44680">
              <w:rPr>
                <w:rFonts w:ascii="Arial Bold" w:eastAsia="Calibri" w:hAnsi="Arial Bold"/>
                <w:spacing w:val="-12"/>
                <w:sz w:val="16"/>
              </w:rPr>
              <w:t>Regulation</w:t>
            </w:r>
          </w:p>
        </w:tc>
        <w:tc>
          <w:tcPr>
            <w:tcW w:w="973" w:type="dxa"/>
            <w:vMerge w:val="restart"/>
            <w:shd w:val="clear" w:color="auto" w:fill="00B2A9" w:themeFill="accent1"/>
            <w:vAlign w:val="center"/>
            <w:hideMark/>
          </w:tcPr>
          <w:p w:rsidR="002D39C3" w:rsidRDefault="002D39C3">
            <w:pPr>
              <w:pStyle w:val="Tablecolumnhead"/>
              <w:rPr>
                <w:rFonts w:asciiTheme="majorHAnsi" w:eastAsiaTheme="majorEastAsia" w:hAnsiTheme="majorHAnsi" w:cstheme="majorBidi"/>
                <w:sz w:val="40"/>
              </w:rPr>
            </w:pPr>
            <w:r w:rsidRPr="008F0E53">
              <w:rPr>
                <w:rFonts w:eastAsia="Calibri"/>
              </w:rPr>
              <w:t>2017</w:t>
            </w:r>
          </w:p>
          <w:p w:rsidR="002D39C3" w:rsidRPr="00B97615" w:rsidRDefault="002D39C3">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2D39C3" w:rsidRPr="00B97615" w:rsidRDefault="002D39C3">
            <w:pPr>
              <w:pStyle w:val="Tablecolumnhead"/>
              <w:rPr>
                <w:rFonts w:eastAsia="Calibri"/>
              </w:rPr>
            </w:pPr>
            <w:r w:rsidRPr="00B97615">
              <w:rPr>
                <w:szCs w:val="22"/>
              </w:rPr>
              <w:t xml:space="preserve">Short description of the </w:t>
            </w:r>
            <w:r>
              <w:rPr>
                <w:szCs w:val="22"/>
              </w:rPr>
              <w:t>Regulation</w:t>
            </w:r>
          </w:p>
        </w:tc>
        <w:tc>
          <w:tcPr>
            <w:tcW w:w="1998" w:type="dxa"/>
            <w:gridSpan w:val="5"/>
            <w:shd w:val="clear" w:color="auto" w:fill="00B2A9" w:themeFill="accent1"/>
            <w:vAlign w:val="center"/>
          </w:tcPr>
          <w:p w:rsidR="002D39C3" w:rsidRPr="00B97615" w:rsidRDefault="002D39C3">
            <w:pPr>
              <w:pStyle w:val="Tablecolumnhead"/>
            </w:pPr>
            <w:r w:rsidRPr="00B97615">
              <w:rPr>
                <w:szCs w:val="22"/>
              </w:rPr>
              <w:t>Proposed regulatory change</w:t>
            </w:r>
          </w:p>
        </w:tc>
        <w:tc>
          <w:tcPr>
            <w:tcW w:w="6327" w:type="dxa"/>
            <w:vMerge w:val="restart"/>
            <w:shd w:val="clear" w:color="auto" w:fill="00B2A9" w:themeFill="accent1"/>
            <w:vAlign w:val="center"/>
          </w:tcPr>
          <w:p w:rsidR="002D39C3" w:rsidRPr="00B97615" w:rsidRDefault="002D39C3">
            <w:pPr>
              <w:pStyle w:val="Tablecolumnhead"/>
            </w:pPr>
            <w:r w:rsidRPr="00B97615">
              <w:rPr>
                <w:szCs w:val="22"/>
              </w:rPr>
              <w:t>Why the 2017 Regulation is proposed</w:t>
            </w:r>
          </w:p>
        </w:tc>
      </w:tr>
      <w:tr w:rsidR="00B751DE" w:rsidRPr="00427EE1" w:rsidTr="006119D2">
        <w:trPr>
          <w:cantSplit/>
          <w:trHeight w:val="966"/>
          <w:tblHeader/>
        </w:trPr>
        <w:tc>
          <w:tcPr>
            <w:tcW w:w="1008"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973"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B751DE" w:rsidRPr="00427EE1" w:rsidTr="006119D2">
        <w:trPr>
          <w:cantSplit/>
          <w:trHeight w:val="340"/>
        </w:trPr>
        <w:tc>
          <w:tcPr>
            <w:tcW w:w="100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rPr>
            </w:pPr>
            <w:r w:rsidRPr="00427EE1">
              <w:rPr>
                <w:rFonts w:eastAsia="Calibri"/>
              </w:rPr>
              <w:t>1007</w:t>
            </w:r>
          </w:p>
        </w:tc>
        <w:tc>
          <w:tcPr>
            <w:tcW w:w="97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lang w:eastAsia="en-US"/>
              </w:rPr>
            </w:pPr>
            <w:r w:rsidRPr="00427EE1">
              <w:rPr>
                <w:rFonts w:eastAsia="Calibri"/>
                <w:lang w:eastAsia="en-US"/>
              </w:rPr>
              <w:t>195</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B751DE" w:rsidRPr="00427EE1" w:rsidRDefault="00B751DE" w:rsidP="006757E8">
            <w:pPr>
              <w:pStyle w:val="Tabletext"/>
              <w:rPr>
                <w:rFonts w:eastAsia="Calibri"/>
                <w:b/>
                <w:lang w:eastAsia="en-US"/>
              </w:rPr>
            </w:pPr>
            <w:r w:rsidRPr="00427EE1">
              <w:rPr>
                <w:rFonts w:eastAsia="Calibri"/>
                <w:b/>
                <w:lang w:eastAsia="en-US"/>
              </w:rPr>
              <w:t>Display of occupancy permit at approved location</w:t>
            </w:r>
          </w:p>
          <w:p w:rsidR="00B751DE" w:rsidRPr="00427EE1" w:rsidRDefault="002E244C">
            <w:pPr>
              <w:pStyle w:val="Tabletext"/>
              <w:rPr>
                <w:rFonts w:eastAsia="Calibri"/>
                <w:lang w:eastAsia="en-US"/>
              </w:rPr>
            </w:pPr>
            <w:r>
              <w:rPr>
                <w:rFonts w:eastAsia="Calibri"/>
                <w:lang w:eastAsia="en-US"/>
              </w:rPr>
              <w:t xml:space="preserve">Requires </w:t>
            </w:r>
            <w:r w:rsidR="00B751DE" w:rsidRPr="00427EE1">
              <w:rPr>
                <w:rFonts w:eastAsia="Calibri"/>
                <w:lang w:eastAsia="en-US"/>
              </w:rPr>
              <w:t>the owner to ensure a copy of the occupancy permit to be displayed in an approved location.</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6A036F">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pStyle w:val="Tabletext"/>
              <w:rPr>
                <w:rFonts w:eastAsia="Calibri"/>
                <w:b/>
              </w:rPr>
            </w:pPr>
            <w:r w:rsidRPr="00427EE1">
              <w:rPr>
                <w:rFonts w:eastAsia="Calibri"/>
              </w:rPr>
              <w:t>Addresses information asymmetry for building occupants. Facilitates compliance, monitoring and enforcement.</w:t>
            </w:r>
            <w:r w:rsidR="00D71A15" w:rsidRPr="00427EE1">
              <w:rPr>
                <w:rFonts w:eastAsia="Calibri"/>
              </w:rPr>
              <w:t xml:space="preserve"> </w:t>
            </w:r>
            <w:r w:rsidR="006A036F" w:rsidRPr="00427EE1">
              <w:rPr>
                <w:rFonts w:eastAsia="Calibri"/>
              </w:rPr>
              <w:t xml:space="preserve">This is now an infringement offence. It is now straight forward to enforce because the words </w:t>
            </w:r>
            <w:r w:rsidR="005E2285">
              <w:rPr>
                <w:rFonts w:eastAsia="Calibri"/>
              </w:rPr>
              <w:t>'</w:t>
            </w:r>
            <w:r w:rsidR="006A036F" w:rsidRPr="00427EE1">
              <w:rPr>
                <w:rFonts w:eastAsia="Calibri"/>
              </w:rPr>
              <w:t>take all reasonable steps</w:t>
            </w:r>
            <w:r w:rsidR="005E2285">
              <w:rPr>
                <w:rFonts w:eastAsia="Calibri"/>
              </w:rPr>
              <w:t>'</w:t>
            </w:r>
            <w:r w:rsidR="006A036F" w:rsidRPr="00427EE1">
              <w:rPr>
                <w:rFonts w:eastAsia="Calibri"/>
              </w:rPr>
              <w:t xml:space="preserve"> are replaced with </w:t>
            </w:r>
            <w:r w:rsidR="005E2285">
              <w:rPr>
                <w:rFonts w:eastAsia="Calibri"/>
              </w:rPr>
              <w:t>'</w:t>
            </w:r>
            <w:r w:rsidR="006A036F" w:rsidRPr="00427EE1">
              <w:rPr>
                <w:rFonts w:eastAsia="Calibri"/>
              </w:rPr>
              <w:t>must ensure</w:t>
            </w:r>
            <w:r w:rsidR="005E2285">
              <w:rPr>
                <w:rFonts w:eastAsia="Calibri"/>
              </w:rPr>
              <w:t>'</w:t>
            </w:r>
            <w:r w:rsidR="002D39C3">
              <w:rPr>
                <w:rFonts w:eastAsia="Calibri"/>
              </w:rPr>
              <w:t>.</w:t>
            </w:r>
          </w:p>
        </w:tc>
      </w:tr>
      <w:tr w:rsidR="00B751DE" w:rsidRPr="00427EE1" w:rsidTr="006119D2">
        <w:trPr>
          <w:cantSplit/>
          <w:trHeight w:val="340"/>
        </w:trPr>
        <w:tc>
          <w:tcPr>
            <w:tcW w:w="100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1008</w:t>
            </w:r>
          </w:p>
        </w:tc>
        <w:tc>
          <w:tcPr>
            <w:tcW w:w="97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196</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B751DE" w:rsidP="006757E8">
            <w:pPr>
              <w:pStyle w:val="Tabletext"/>
              <w:rPr>
                <w:rFonts w:eastAsia="Calibri"/>
                <w:b/>
                <w:lang w:eastAsia="en-US"/>
              </w:rPr>
            </w:pPr>
            <w:r w:rsidRPr="00427EE1">
              <w:rPr>
                <w:rFonts w:eastAsia="Calibri"/>
                <w:b/>
                <w:lang w:eastAsia="en-US"/>
              </w:rPr>
              <w:t>Approved location for display of permit</w:t>
            </w:r>
          </w:p>
          <w:p w:rsidR="00B751DE" w:rsidRPr="00427EE1" w:rsidRDefault="0026629F">
            <w:pPr>
              <w:pStyle w:val="Tabletext"/>
              <w:rPr>
                <w:rFonts w:eastAsia="Calibri"/>
                <w:lang w:eastAsia="en-US"/>
              </w:rPr>
            </w:pPr>
            <w:r>
              <w:rPr>
                <w:rFonts w:eastAsia="Calibri"/>
                <w:lang w:eastAsia="en-US"/>
              </w:rPr>
              <w:t xml:space="preserve">Specifies </w:t>
            </w:r>
            <w:r w:rsidR="00B751DE" w:rsidRPr="00427EE1">
              <w:rPr>
                <w:rFonts w:eastAsia="Calibri"/>
                <w:lang w:eastAsia="en-US"/>
              </w:rPr>
              <w:t xml:space="preserve">that the approved location to display a copy of the occupancy permit must be in a prominent position accessible to the occupants.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6A036F">
            <w:pPr>
              <w:pStyle w:val="Tabletext"/>
              <w:rPr>
                <w:rFonts w:eastAsia="Calibri"/>
              </w:rPr>
            </w:pPr>
            <w:r w:rsidRPr="00427EE1">
              <w:rPr>
                <w:rFonts w:eastAsia="Calibri"/>
                <w:lang w:eastAsia="en-US"/>
              </w:rPr>
              <w:t xml:space="preserve"> This </w:t>
            </w:r>
            <w:r w:rsidR="000273F9">
              <w:rPr>
                <w:rFonts w:eastAsia="Calibri"/>
                <w:lang w:eastAsia="en-US"/>
              </w:rPr>
              <w:t>Regulation</w:t>
            </w:r>
            <w:r w:rsidRPr="00427EE1">
              <w:rPr>
                <w:rFonts w:eastAsia="Calibri"/>
                <w:lang w:eastAsia="en-US"/>
              </w:rPr>
              <w:t xml:space="preserve"> e</w:t>
            </w:r>
            <w:r w:rsidR="00B751DE" w:rsidRPr="00427EE1">
              <w:rPr>
                <w:rFonts w:eastAsia="Calibri"/>
              </w:rPr>
              <w:t xml:space="preserve">nables people who occupy a building of a public nature or </w:t>
            </w:r>
            <w:proofErr w:type="spellStart"/>
            <w:r w:rsidR="00027095">
              <w:rPr>
                <w:rFonts w:eastAsia="Calibri"/>
              </w:rPr>
              <w:t>PoPE</w:t>
            </w:r>
            <w:proofErr w:type="spellEnd"/>
            <w:r w:rsidR="00027095">
              <w:rPr>
                <w:rFonts w:eastAsia="Calibri"/>
              </w:rPr>
              <w:t xml:space="preserve"> </w:t>
            </w:r>
            <w:r w:rsidR="00B751DE" w:rsidRPr="00427EE1">
              <w:rPr>
                <w:rFonts w:eastAsia="Calibri"/>
              </w:rPr>
              <w:t>to view and comply with the occupancy permit.</w:t>
            </w:r>
          </w:p>
        </w:tc>
      </w:tr>
      <w:tr w:rsidR="00B751DE" w:rsidRPr="00427EE1" w:rsidTr="006119D2">
        <w:trPr>
          <w:cantSplit/>
          <w:trHeight w:val="340"/>
        </w:trPr>
        <w:tc>
          <w:tcPr>
            <w:tcW w:w="100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lastRenderedPageBreak/>
              <w:t>1009</w:t>
            </w:r>
          </w:p>
        </w:tc>
        <w:tc>
          <w:tcPr>
            <w:tcW w:w="97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197</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B751DE" w:rsidP="006757E8">
            <w:pPr>
              <w:pStyle w:val="Tabletext"/>
              <w:rPr>
                <w:rFonts w:eastAsia="Calibri"/>
                <w:b/>
                <w:lang w:eastAsia="en-US"/>
              </w:rPr>
            </w:pPr>
            <w:r w:rsidRPr="00427EE1">
              <w:rPr>
                <w:rFonts w:eastAsia="Calibri"/>
                <w:b/>
                <w:lang w:eastAsia="en-US"/>
              </w:rPr>
              <w:t>Owner to make permit available for inspection</w:t>
            </w:r>
          </w:p>
          <w:p w:rsidR="00B751DE" w:rsidRPr="00427EE1" w:rsidRDefault="002E244C">
            <w:pPr>
              <w:pStyle w:val="Tabletext"/>
              <w:rPr>
                <w:rFonts w:eastAsia="Calibri"/>
                <w:lang w:eastAsia="en-US"/>
              </w:rPr>
            </w:pPr>
            <w:r>
              <w:rPr>
                <w:rFonts w:eastAsia="Calibri"/>
                <w:lang w:eastAsia="en-US"/>
              </w:rPr>
              <w:t xml:space="preserve">Requires </w:t>
            </w:r>
            <w:r w:rsidR="00B751DE" w:rsidRPr="00427EE1">
              <w:rPr>
                <w:rFonts w:eastAsia="Calibri"/>
                <w:lang w:eastAsia="en-US"/>
              </w:rPr>
              <w:t xml:space="preserve">the owner to ensure a copy of the occupancy permit is available for inspection at the building or </w:t>
            </w:r>
            <w:proofErr w:type="spellStart"/>
            <w:r w:rsidR="00027095">
              <w:rPr>
                <w:rFonts w:eastAsia="Calibri"/>
                <w:lang w:eastAsia="en-US"/>
              </w:rPr>
              <w:t>PoPE</w:t>
            </w:r>
            <w:proofErr w:type="spellEnd"/>
            <w:r w:rsidR="00027095">
              <w:rPr>
                <w:rFonts w:eastAsia="Calibri"/>
                <w:lang w:eastAsia="en-US"/>
              </w:rPr>
              <w:t xml:space="preserve"> </w:t>
            </w:r>
            <w:r w:rsidR="00B751DE" w:rsidRPr="00427EE1">
              <w:rPr>
                <w:rFonts w:eastAsia="Calibri"/>
                <w:lang w:eastAsia="en-US"/>
              </w:rPr>
              <w:t xml:space="preserve">on request by the </w:t>
            </w:r>
            <w:r w:rsidR="00C85843">
              <w:rPr>
                <w:rFonts w:eastAsia="Calibri"/>
                <w:lang w:eastAsia="en-US"/>
              </w:rPr>
              <w:t>MBS</w:t>
            </w:r>
            <w:r w:rsidR="00B751DE" w:rsidRPr="00427EE1">
              <w:rPr>
                <w:rFonts w:eastAsia="Calibri"/>
                <w:lang w:eastAsia="en-US"/>
              </w:rPr>
              <w:t xml:space="preserve"> or chief officer.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6A036F">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6A036F">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f</w:t>
            </w:r>
            <w:r w:rsidR="00B751DE" w:rsidRPr="00427EE1">
              <w:rPr>
                <w:rFonts w:eastAsia="Calibri"/>
              </w:rPr>
              <w:t xml:space="preserve">acilitates efficiency by ensuring that the information required to monitor compliance is always readily available. This requirement is drafted as a strict liability offence so determination of culpability is straight forward. </w:t>
            </w:r>
            <w:r w:rsidRPr="00427EE1">
              <w:rPr>
                <w:rFonts w:eastAsia="Calibri"/>
              </w:rPr>
              <w:t xml:space="preserve">This is now an infringement offence. It is now straight forward to enforce because the words </w:t>
            </w:r>
            <w:r w:rsidR="005E2285">
              <w:rPr>
                <w:rFonts w:eastAsia="Calibri"/>
              </w:rPr>
              <w:t>'</w:t>
            </w:r>
            <w:r w:rsidRPr="00427EE1">
              <w:rPr>
                <w:rFonts w:eastAsia="Calibri"/>
              </w:rPr>
              <w:t>take all reasonable steps</w:t>
            </w:r>
            <w:r w:rsidR="005E2285">
              <w:rPr>
                <w:rFonts w:eastAsia="Calibri"/>
              </w:rPr>
              <w:t>'</w:t>
            </w:r>
            <w:r w:rsidRPr="00427EE1">
              <w:rPr>
                <w:rFonts w:eastAsia="Calibri"/>
              </w:rPr>
              <w:t xml:space="preserve"> are replaced with </w:t>
            </w:r>
            <w:r w:rsidR="00995450">
              <w:rPr>
                <w:rFonts w:eastAsia="Calibri"/>
              </w:rPr>
              <w:t>'</w:t>
            </w:r>
            <w:r w:rsidRPr="00427EE1">
              <w:rPr>
                <w:rFonts w:eastAsia="Calibri"/>
              </w:rPr>
              <w:t>must ensure</w:t>
            </w:r>
            <w:r w:rsidR="00995450">
              <w:rPr>
                <w:rFonts w:eastAsia="Calibri"/>
              </w:rPr>
              <w:t>'</w:t>
            </w:r>
            <w:r w:rsidR="00B751DE" w:rsidRPr="00427EE1">
              <w:rPr>
                <w:rFonts w:eastAsia="Calibri"/>
              </w:rPr>
              <w:t>.</w:t>
            </w:r>
          </w:p>
        </w:tc>
      </w:tr>
    </w:tbl>
    <w:p w:rsidR="00B751DE" w:rsidRPr="00427EE1" w:rsidRDefault="00B751DE" w:rsidP="006757E8"/>
    <w:p w:rsidR="00B751DE" w:rsidRPr="00427EE1" w:rsidRDefault="00EF2008" w:rsidP="006119D2">
      <w:pPr>
        <w:pStyle w:val="Heading4"/>
      </w:pPr>
      <w:proofErr w:type="spellStart"/>
      <w:r>
        <w:t>Div</w:t>
      </w:r>
      <w:proofErr w:type="spellEnd"/>
      <w:r w:rsidR="00B751DE" w:rsidRPr="00427EE1">
        <w:t xml:space="preserve"> 5</w:t>
      </w:r>
      <w:r w:rsidR="008475D9">
        <w:t>—</w:t>
      </w:r>
      <w:r w:rsidR="00B751DE" w:rsidRPr="00427EE1">
        <w:t>Certificates of final inspection</w:t>
      </w:r>
    </w:p>
    <w:tbl>
      <w:tblPr>
        <w:tblW w:w="14549" w:type="dxa"/>
        <w:tblInd w:w="-172"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1008"/>
        <w:gridCol w:w="973"/>
        <w:gridCol w:w="4243"/>
        <w:gridCol w:w="399"/>
        <w:gridCol w:w="399"/>
        <w:gridCol w:w="402"/>
        <w:gridCol w:w="400"/>
        <w:gridCol w:w="398"/>
        <w:gridCol w:w="6327"/>
      </w:tblGrid>
      <w:tr w:rsidR="002D39C3" w:rsidRPr="00427EE1" w:rsidTr="006119D2">
        <w:trPr>
          <w:cantSplit/>
          <w:trHeight w:val="372"/>
          <w:tblHeader/>
        </w:trPr>
        <w:tc>
          <w:tcPr>
            <w:tcW w:w="1008" w:type="dxa"/>
            <w:vMerge w:val="restart"/>
            <w:shd w:val="clear" w:color="auto" w:fill="00B2A9" w:themeFill="accent1"/>
            <w:vAlign w:val="center"/>
            <w:hideMark/>
          </w:tcPr>
          <w:p w:rsidR="002D39C3" w:rsidRDefault="002D39C3">
            <w:pPr>
              <w:pStyle w:val="Tablecolumnhead"/>
              <w:rPr>
                <w:rFonts w:asciiTheme="majorHAnsi" w:eastAsia="Calibri" w:hAnsiTheme="majorHAnsi" w:cstheme="majorBidi"/>
                <w:sz w:val="40"/>
              </w:rPr>
            </w:pPr>
            <w:r w:rsidRPr="00BE72D7">
              <w:rPr>
                <w:rFonts w:eastAsia="Calibri"/>
              </w:rPr>
              <w:t>2006</w:t>
            </w:r>
          </w:p>
          <w:p w:rsidR="002D39C3" w:rsidRPr="00616EAD" w:rsidRDefault="002D39C3">
            <w:pPr>
              <w:pStyle w:val="Tablecolumnhead"/>
              <w:rPr>
                <w:rFonts w:eastAsia="Calibri"/>
              </w:rPr>
            </w:pPr>
            <w:r w:rsidRPr="00C44680">
              <w:rPr>
                <w:rFonts w:ascii="Arial Bold" w:eastAsia="Calibri" w:hAnsi="Arial Bold"/>
                <w:spacing w:val="-12"/>
                <w:sz w:val="16"/>
              </w:rPr>
              <w:t>Regulation</w:t>
            </w:r>
          </w:p>
        </w:tc>
        <w:tc>
          <w:tcPr>
            <w:tcW w:w="973" w:type="dxa"/>
            <w:vMerge w:val="restart"/>
            <w:shd w:val="clear" w:color="auto" w:fill="00B2A9" w:themeFill="accent1"/>
            <w:vAlign w:val="center"/>
            <w:hideMark/>
          </w:tcPr>
          <w:p w:rsidR="002D39C3" w:rsidRDefault="002D39C3">
            <w:pPr>
              <w:pStyle w:val="Tablecolumnhead"/>
              <w:rPr>
                <w:rFonts w:asciiTheme="majorHAnsi" w:eastAsiaTheme="majorEastAsia" w:hAnsiTheme="majorHAnsi" w:cstheme="majorBidi"/>
                <w:sz w:val="40"/>
              </w:rPr>
            </w:pPr>
            <w:r w:rsidRPr="008F0E53">
              <w:rPr>
                <w:rFonts w:eastAsia="Calibri"/>
              </w:rPr>
              <w:t>2017</w:t>
            </w:r>
          </w:p>
          <w:p w:rsidR="002D39C3" w:rsidRPr="00616EAD" w:rsidRDefault="002D39C3">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2D39C3" w:rsidRPr="00616EAD" w:rsidRDefault="002D39C3">
            <w:pPr>
              <w:pStyle w:val="Tablecolumnhead"/>
              <w:rPr>
                <w:rFonts w:eastAsia="Calibri"/>
              </w:rPr>
            </w:pPr>
            <w:r w:rsidRPr="00616EAD">
              <w:rPr>
                <w:szCs w:val="22"/>
              </w:rPr>
              <w:t xml:space="preserve">Short description of the </w:t>
            </w:r>
            <w:r>
              <w:rPr>
                <w:szCs w:val="22"/>
              </w:rPr>
              <w:t>Regulation</w:t>
            </w:r>
          </w:p>
        </w:tc>
        <w:tc>
          <w:tcPr>
            <w:tcW w:w="1998" w:type="dxa"/>
            <w:gridSpan w:val="5"/>
            <w:shd w:val="clear" w:color="auto" w:fill="00B2A9" w:themeFill="accent1"/>
            <w:vAlign w:val="center"/>
          </w:tcPr>
          <w:p w:rsidR="002D39C3" w:rsidRPr="00616EAD" w:rsidRDefault="002D39C3">
            <w:pPr>
              <w:pStyle w:val="Tablecolumnhead"/>
            </w:pPr>
            <w:r w:rsidRPr="00616EAD">
              <w:rPr>
                <w:szCs w:val="22"/>
              </w:rPr>
              <w:t>Proposed regulatory change</w:t>
            </w:r>
          </w:p>
        </w:tc>
        <w:tc>
          <w:tcPr>
            <w:tcW w:w="6327" w:type="dxa"/>
            <w:vMerge w:val="restart"/>
            <w:shd w:val="clear" w:color="auto" w:fill="00B2A9" w:themeFill="accent1"/>
            <w:vAlign w:val="center"/>
          </w:tcPr>
          <w:p w:rsidR="002D39C3" w:rsidRPr="00616EAD" w:rsidRDefault="002D39C3">
            <w:pPr>
              <w:pStyle w:val="Tablecolumnhead"/>
            </w:pPr>
            <w:r w:rsidRPr="00616EAD">
              <w:rPr>
                <w:szCs w:val="22"/>
              </w:rPr>
              <w:t>Why the 2017 Regulation is proposed</w:t>
            </w:r>
          </w:p>
        </w:tc>
      </w:tr>
      <w:tr w:rsidR="00B751DE" w:rsidRPr="00427EE1" w:rsidTr="006119D2">
        <w:trPr>
          <w:cantSplit/>
          <w:trHeight w:val="966"/>
          <w:tblHeader/>
        </w:trPr>
        <w:tc>
          <w:tcPr>
            <w:tcW w:w="1008"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973"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B751DE" w:rsidRPr="00427EE1" w:rsidTr="006119D2">
        <w:trPr>
          <w:cantSplit/>
          <w:trHeight w:val="340"/>
        </w:trPr>
        <w:tc>
          <w:tcPr>
            <w:tcW w:w="100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1006</w:t>
            </w:r>
          </w:p>
        </w:tc>
        <w:tc>
          <w:tcPr>
            <w:tcW w:w="97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198</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B751DE" w:rsidP="006757E8">
            <w:pPr>
              <w:pStyle w:val="Tabletext"/>
              <w:rPr>
                <w:rFonts w:eastAsia="Calibri"/>
                <w:b/>
                <w:lang w:eastAsia="en-US"/>
              </w:rPr>
            </w:pPr>
            <w:r w:rsidRPr="00427EE1">
              <w:rPr>
                <w:rFonts w:eastAsia="Calibri"/>
                <w:b/>
                <w:lang w:eastAsia="en-US"/>
              </w:rPr>
              <w:t>Form of certificate of final inspection</w:t>
            </w:r>
          </w:p>
          <w:p w:rsidR="00B751DE" w:rsidRPr="00616EAD" w:rsidRDefault="002E244C">
            <w:pPr>
              <w:pStyle w:val="Tabletext"/>
              <w:rPr>
                <w:rFonts w:eastAsia="Calibri"/>
              </w:rPr>
            </w:pPr>
            <w:r>
              <w:rPr>
                <w:rFonts w:eastAsia="Calibri"/>
                <w:lang w:eastAsia="en-US"/>
              </w:rPr>
              <w:t xml:space="preserve">Requires </w:t>
            </w:r>
            <w:r w:rsidR="00B751DE" w:rsidRPr="00427EE1">
              <w:rPr>
                <w:rFonts w:eastAsia="Calibri"/>
                <w:lang w:eastAsia="en-US"/>
              </w:rPr>
              <w:t xml:space="preserve">the certificate of final inspection to be issued in the prescribed </w:t>
            </w:r>
            <w:r w:rsidR="00195602">
              <w:rPr>
                <w:rFonts w:eastAsia="Calibri"/>
                <w:lang w:eastAsia="en-US"/>
              </w:rPr>
              <w:t>f</w:t>
            </w:r>
            <w:r w:rsidR="00B751DE" w:rsidRPr="00427EE1">
              <w:rPr>
                <w:rFonts w:eastAsia="Calibri"/>
                <w:lang w:eastAsia="en-US"/>
              </w:rPr>
              <w:t>orm.</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jc w:val="cente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6A036F">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616EAD" w:rsidRDefault="006A036F">
            <w:pPr>
              <w:pStyle w:val="Tabletext"/>
              <w:rPr>
                <w:rFonts w:eastAsia="Calibri"/>
              </w:rPr>
            </w:pPr>
            <w:r w:rsidRPr="00616EAD">
              <w:rPr>
                <w:rFonts w:eastAsia="Calibri"/>
              </w:rPr>
              <w:t xml:space="preserve">This </w:t>
            </w:r>
            <w:r w:rsidR="000273F9">
              <w:rPr>
                <w:rFonts w:eastAsia="Calibri"/>
              </w:rPr>
              <w:t>Regulation</w:t>
            </w:r>
            <w:r w:rsidRPr="00616EAD">
              <w:rPr>
                <w:rFonts w:eastAsia="Calibri"/>
              </w:rPr>
              <w:t xml:space="preserve"> is necessary because a</w:t>
            </w:r>
            <w:r w:rsidR="00E60957">
              <w:rPr>
                <w:rFonts w:eastAsia="Calibri"/>
              </w:rPr>
              <w:t xml:space="preserve"> </w:t>
            </w:r>
            <w:r w:rsidR="00B751DE" w:rsidRPr="00616EAD">
              <w:rPr>
                <w:rFonts w:eastAsia="Calibri"/>
              </w:rPr>
              <w:t>certificate of final inspection is used to calculate certain time periods in the Act and the Regulations (where an occupancy permit is not required) for liability, insurance and other matters.</w:t>
            </w:r>
            <w:r w:rsidR="00D71A15" w:rsidRPr="00616EAD">
              <w:rPr>
                <w:rFonts w:eastAsia="Calibri"/>
              </w:rPr>
              <w:t xml:space="preserve"> </w:t>
            </w:r>
            <w:r w:rsidR="00B751DE" w:rsidRPr="00616EAD">
              <w:rPr>
                <w:rFonts w:eastAsia="Calibri"/>
              </w:rPr>
              <w:t>Additional information required to be contained in the certificate of final inspection</w:t>
            </w:r>
            <w:r w:rsidRPr="00616EAD">
              <w:rPr>
                <w:rFonts w:eastAsia="Calibri"/>
              </w:rPr>
              <w:t xml:space="preserve"> in relation to any performance solutions used</w:t>
            </w:r>
            <w:r w:rsidR="00402F29" w:rsidRPr="00616EAD">
              <w:rPr>
                <w:rFonts w:eastAsia="Calibri"/>
              </w:rPr>
              <w:t xml:space="preserve"> or if it was subject to a combined allotment </w:t>
            </w:r>
            <w:r w:rsidR="00BB3A66" w:rsidRPr="00616EAD">
              <w:rPr>
                <w:rFonts w:eastAsia="Calibri"/>
              </w:rPr>
              <w:t>decision</w:t>
            </w:r>
            <w:r w:rsidR="00402F29" w:rsidRPr="00616EAD">
              <w:rPr>
                <w:rFonts w:eastAsia="Calibri"/>
              </w:rPr>
              <w:t xml:space="preserve"> (see proposed </w:t>
            </w:r>
            <w:r w:rsidR="00195602">
              <w:rPr>
                <w:rFonts w:eastAsia="Calibri"/>
              </w:rPr>
              <w:t>f</w:t>
            </w:r>
            <w:r w:rsidR="00402F29" w:rsidRPr="00616EAD">
              <w:rPr>
                <w:rFonts w:eastAsia="Calibri"/>
              </w:rPr>
              <w:t>orm 19)</w:t>
            </w:r>
            <w:r w:rsidR="00B751DE" w:rsidRPr="00616EAD">
              <w:rPr>
                <w:rFonts w:eastAsia="Calibri"/>
              </w:rPr>
              <w:t>.</w:t>
            </w:r>
          </w:p>
        </w:tc>
      </w:tr>
      <w:tr w:rsidR="00B751DE" w:rsidRPr="00427EE1" w:rsidTr="006119D2">
        <w:trPr>
          <w:cantSplit/>
          <w:trHeight w:val="340"/>
        </w:trPr>
        <w:tc>
          <w:tcPr>
            <w:tcW w:w="100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1015</w:t>
            </w:r>
          </w:p>
        </w:tc>
        <w:tc>
          <w:tcPr>
            <w:tcW w:w="97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199</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B751DE" w:rsidP="006757E8">
            <w:pPr>
              <w:pStyle w:val="Tabletext"/>
              <w:rPr>
                <w:rFonts w:eastAsia="Calibri"/>
                <w:b/>
                <w:lang w:eastAsia="en-US"/>
              </w:rPr>
            </w:pPr>
            <w:r w:rsidRPr="00427EE1">
              <w:rPr>
                <w:rFonts w:eastAsia="Calibri"/>
                <w:b/>
                <w:lang w:eastAsia="en-US"/>
              </w:rPr>
              <w:t>Building surveyor to notify chief officer of issue of certificates of final inspection</w:t>
            </w:r>
          </w:p>
          <w:p w:rsidR="00B751DE" w:rsidRPr="00616EAD" w:rsidRDefault="002E244C">
            <w:pPr>
              <w:pStyle w:val="Tabletext"/>
              <w:rPr>
                <w:rFonts w:eastAsia="Calibri"/>
              </w:rPr>
            </w:pPr>
            <w:r>
              <w:rPr>
                <w:rFonts w:eastAsia="Calibri"/>
              </w:rPr>
              <w:t xml:space="preserve">Requires </w:t>
            </w:r>
            <w:r w:rsidR="00B751DE" w:rsidRPr="00616EAD">
              <w:rPr>
                <w:rFonts w:eastAsia="Calibri"/>
              </w:rPr>
              <w:t xml:space="preserve">the </w:t>
            </w:r>
            <w:r w:rsidR="00AB414E">
              <w:rPr>
                <w:rFonts w:eastAsia="Calibri"/>
              </w:rPr>
              <w:t>RBS</w:t>
            </w:r>
            <w:r w:rsidR="00B751DE" w:rsidRPr="00616EAD">
              <w:rPr>
                <w:rFonts w:eastAsia="Calibri"/>
              </w:rPr>
              <w:t xml:space="preserve"> to notify </w:t>
            </w:r>
            <w:r w:rsidR="00AC0013">
              <w:rPr>
                <w:rFonts w:eastAsia="Calibri"/>
              </w:rPr>
              <w:t>a</w:t>
            </w:r>
            <w:r w:rsidR="00AC0013" w:rsidRPr="00616EAD">
              <w:rPr>
                <w:rFonts w:eastAsia="Calibri"/>
              </w:rPr>
              <w:t xml:space="preserve"> </w:t>
            </w:r>
            <w:r w:rsidR="00B751DE" w:rsidRPr="00616EAD">
              <w:rPr>
                <w:rFonts w:eastAsia="Calibri"/>
              </w:rPr>
              <w:t xml:space="preserve">chief officer within 10 days of issuing a certificate of final inspection involving </w:t>
            </w:r>
            <w:r w:rsidR="00B751DE" w:rsidRPr="00616EAD">
              <w:rPr>
                <w:rFonts w:eastAsiaTheme="minorHAnsi"/>
                <w:szCs w:val="18"/>
              </w:rPr>
              <w:t>of an alarm to be connected to a fire station or other approved monitoring service, or where they are the reporting authority.</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jc w:val="cente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D615BC" w:rsidRPr="00616EAD" w:rsidRDefault="0019229D">
            <w:pPr>
              <w:pStyle w:val="Tabletext"/>
              <w:rPr>
                <w:rFonts w:eastAsia="Calibri"/>
              </w:rPr>
            </w:pPr>
            <w:r w:rsidRPr="00616EAD">
              <w:rPr>
                <w:rFonts w:eastAsia="Calibri"/>
              </w:rPr>
              <w:t xml:space="preserve">This </w:t>
            </w:r>
            <w:r w:rsidR="000273F9">
              <w:rPr>
                <w:rFonts w:eastAsia="Calibri"/>
              </w:rPr>
              <w:t>Regulation</w:t>
            </w:r>
            <w:r w:rsidRPr="00616EAD">
              <w:rPr>
                <w:rFonts w:eastAsia="Calibri"/>
              </w:rPr>
              <w:t xml:space="preserve"> m</w:t>
            </w:r>
            <w:r w:rsidR="00B751DE" w:rsidRPr="00616EAD">
              <w:rPr>
                <w:rFonts w:eastAsia="Calibri"/>
              </w:rPr>
              <w:t>itigates health and safety risks by ensuring that the reporting authority has been able to check how the recommendations were implemented.</w:t>
            </w:r>
          </w:p>
          <w:p w:rsidR="00B751DE" w:rsidRPr="00616EAD" w:rsidRDefault="00B751DE">
            <w:pPr>
              <w:pStyle w:val="Tabletext"/>
              <w:rPr>
                <w:rFonts w:eastAsia="Calibri"/>
              </w:rPr>
            </w:pPr>
          </w:p>
        </w:tc>
      </w:tr>
    </w:tbl>
    <w:p w:rsidR="00B751DE" w:rsidRPr="00427EE1" w:rsidRDefault="00B751DE" w:rsidP="006757E8"/>
    <w:p w:rsidR="00D615BC" w:rsidRPr="00427EE1" w:rsidRDefault="00EF2008" w:rsidP="006119D2">
      <w:pPr>
        <w:pStyle w:val="Heading4"/>
      </w:pPr>
      <w:proofErr w:type="spellStart"/>
      <w:r>
        <w:lastRenderedPageBreak/>
        <w:t>Div</w:t>
      </w:r>
      <w:proofErr w:type="spellEnd"/>
      <w:r w:rsidR="00B751DE" w:rsidRPr="00427EE1">
        <w:t xml:space="preserve"> 6</w:t>
      </w:r>
      <w:r w:rsidR="008475D9">
        <w:t>—</w:t>
      </w:r>
      <w:r w:rsidR="00B751DE" w:rsidRPr="00427EE1">
        <w:t>Records</w:t>
      </w:r>
    </w:p>
    <w:tbl>
      <w:tblPr>
        <w:tblW w:w="14549" w:type="dxa"/>
        <w:tblInd w:w="-172"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1008"/>
        <w:gridCol w:w="973"/>
        <w:gridCol w:w="4243"/>
        <w:gridCol w:w="399"/>
        <w:gridCol w:w="399"/>
        <w:gridCol w:w="402"/>
        <w:gridCol w:w="400"/>
        <w:gridCol w:w="398"/>
        <w:gridCol w:w="6327"/>
      </w:tblGrid>
      <w:tr w:rsidR="002D39C3" w:rsidRPr="00427EE1" w:rsidTr="006119D2">
        <w:trPr>
          <w:cantSplit/>
          <w:trHeight w:val="138"/>
          <w:tblHeader/>
        </w:trPr>
        <w:tc>
          <w:tcPr>
            <w:tcW w:w="1008" w:type="dxa"/>
            <w:vMerge w:val="restart"/>
            <w:shd w:val="clear" w:color="auto" w:fill="00B2A9" w:themeFill="accent1"/>
            <w:vAlign w:val="center"/>
            <w:hideMark/>
          </w:tcPr>
          <w:p w:rsidR="002D39C3" w:rsidRDefault="002D39C3">
            <w:pPr>
              <w:pStyle w:val="Tablecolumnhead"/>
              <w:rPr>
                <w:rFonts w:asciiTheme="majorHAnsi" w:eastAsia="Calibri" w:hAnsiTheme="majorHAnsi" w:cstheme="majorBidi"/>
                <w:sz w:val="40"/>
              </w:rPr>
            </w:pPr>
            <w:r w:rsidRPr="00BE72D7">
              <w:rPr>
                <w:rFonts w:eastAsia="Calibri"/>
              </w:rPr>
              <w:t>2006</w:t>
            </w:r>
          </w:p>
          <w:p w:rsidR="002D39C3" w:rsidRPr="00616EAD" w:rsidRDefault="002D39C3">
            <w:pPr>
              <w:pStyle w:val="Tablecolumnhead"/>
              <w:rPr>
                <w:rFonts w:eastAsia="Calibri"/>
              </w:rPr>
            </w:pPr>
            <w:r w:rsidRPr="00C44680">
              <w:rPr>
                <w:rFonts w:ascii="Arial Bold" w:eastAsia="Calibri" w:hAnsi="Arial Bold"/>
                <w:spacing w:val="-12"/>
                <w:sz w:val="16"/>
              </w:rPr>
              <w:t>Regulation</w:t>
            </w:r>
          </w:p>
        </w:tc>
        <w:tc>
          <w:tcPr>
            <w:tcW w:w="973" w:type="dxa"/>
            <w:vMerge w:val="restart"/>
            <w:shd w:val="clear" w:color="auto" w:fill="00B2A9" w:themeFill="accent1"/>
            <w:vAlign w:val="center"/>
            <w:hideMark/>
          </w:tcPr>
          <w:p w:rsidR="002D39C3" w:rsidRDefault="002D39C3">
            <w:pPr>
              <w:pStyle w:val="Tablecolumnhead"/>
              <w:rPr>
                <w:rFonts w:asciiTheme="majorHAnsi" w:eastAsiaTheme="majorEastAsia" w:hAnsiTheme="majorHAnsi" w:cstheme="majorBidi"/>
                <w:sz w:val="40"/>
              </w:rPr>
            </w:pPr>
            <w:r w:rsidRPr="008F0E53">
              <w:rPr>
                <w:rFonts w:eastAsia="Calibri"/>
              </w:rPr>
              <w:t>2017</w:t>
            </w:r>
          </w:p>
          <w:p w:rsidR="002D39C3" w:rsidRPr="00616EAD" w:rsidRDefault="002D39C3">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2D39C3" w:rsidRPr="00616EAD" w:rsidRDefault="002D39C3">
            <w:pPr>
              <w:pStyle w:val="Tablecolumnhead"/>
              <w:rPr>
                <w:rFonts w:eastAsia="Calibri"/>
              </w:rPr>
            </w:pPr>
            <w:r w:rsidRPr="00616EAD">
              <w:t xml:space="preserve">Short description of the </w:t>
            </w:r>
            <w:r>
              <w:t>Regulation</w:t>
            </w:r>
          </w:p>
        </w:tc>
        <w:tc>
          <w:tcPr>
            <w:tcW w:w="1998" w:type="dxa"/>
            <w:gridSpan w:val="5"/>
            <w:shd w:val="clear" w:color="auto" w:fill="00B2A9" w:themeFill="accent1"/>
            <w:vAlign w:val="center"/>
          </w:tcPr>
          <w:p w:rsidR="002D39C3" w:rsidRPr="00616EAD" w:rsidRDefault="002D39C3">
            <w:pPr>
              <w:pStyle w:val="Tablecolumnhead"/>
            </w:pPr>
            <w:r w:rsidRPr="00616EAD">
              <w:t>Proposed regulatory change</w:t>
            </w:r>
          </w:p>
        </w:tc>
        <w:tc>
          <w:tcPr>
            <w:tcW w:w="6327" w:type="dxa"/>
            <w:vMerge w:val="restart"/>
            <w:shd w:val="clear" w:color="auto" w:fill="00B2A9" w:themeFill="accent1"/>
            <w:vAlign w:val="center"/>
          </w:tcPr>
          <w:p w:rsidR="002D39C3" w:rsidRPr="00616EAD" w:rsidRDefault="002D39C3">
            <w:pPr>
              <w:pStyle w:val="Tablecolumnhead"/>
            </w:pPr>
            <w:r w:rsidRPr="00616EAD">
              <w:t>Why the 2017 Regulation is proposed</w:t>
            </w:r>
          </w:p>
        </w:tc>
      </w:tr>
      <w:tr w:rsidR="00B751DE" w:rsidRPr="00427EE1" w:rsidTr="006119D2">
        <w:trPr>
          <w:cantSplit/>
          <w:trHeight w:val="966"/>
          <w:tblHeader/>
        </w:trPr>
        <w:tc>
          <w:tcPr>
            <w:tcW w:w="1008"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973"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B751DE" w:rsidRPr="00427EE1" w:rsidTr="006119D2">
        <w:trPr>
          <w:cantSplit/>
          <w:trHeight w:val="340"/>
        </w:trPr>
        <w:tc>
          <w:tcPr>
            <w:tcW w:w="100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rPr>
            </w:pPr>
            <w:r w:rsidRPr="00427EE1">
              <w:rPr>
                <w:rFonts w:eastAsia="Calibri"/>
              </w:rPr>
              <w:t>1010</w:t>
            </w:r>
          </w:p>
        </w:tc>
        <w:tc>
          <w:tcPr>
            <w:tcW w:w="97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lang w:eastAsia="en-US"/>
              </w:rPr>
            </w:pPr>
            <w:r w:rsidRPr="00427EE1">
              <w:rPr>
                <w:rFonts w:eastAsia="Calibri"/>
                <w:lang w:eastAsia="en-US"/>
              </w:rPr>
              <w:t>200</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B751DE" w:rsidRPr="00427EE1" w:rsidRDefault="00B751DE" w:rsidP="006757E8">
            <w:pPr>
              <w:pStyle w:val="Tabletext"/>
              <w:rPr>
                <w:rFonts w:eastAsia="Calibri"/>
                <w:b/>
                <w:lang w:eastAsia="en-US"/>
              </w:rPr>
            </w:pPr>
            <w:r w:rsidRPr="00427EE1">
              <w:rPr>
                <w:rFonts w:eastAsia="Calibri"/>
                <w:b/>
                <w:lang w:eastAsia="en-US"/>
              </w:rPr>
              <w:t>Keeping of occupancy permit records</w:t>
            </w:r>
          </w:p>
          <w:p w:rsidR="00B751DE" w:rsidRPr="00427EE1" w:rsidRDefault="002E244C">
            <w:pPr>
              <w:pStyle w:val="Tabletext"/>
              <w:rPr>
                <w:rFonts w:eastAsia="Calibri"/>
                <w:lang w:eastAsia="en-US"/>
              </w:rPr>
            </w:pPr>
            <w:r>
              <w:rPr>
                <w:rFonts w:eastAsia="Calibri"/>
                <w:lang w:eastAsia="en-US"/>
              </w:rPr>
              <w:t xml:space="preserve">Requires </w:t>
            </w:r>
            <w:r w:rsidR="00B751DE" w:rsidRPr="00427EE1">
              <w:rPr>
                <w:rFonts w:eastAsia="Calibri"/>
                <w:lang w:eastAsia="en-US"/>
              </w:rPr>
              <w:t xml:space="preserve">council to retain documents relating to occupancy permits.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19229D">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has been amended to n</w:t>
            </w:r>
            <w:r w:rsidR="00B751DE" w:rsidRPr="00427EE1">
              <w:rPr>
                <w:rFonts w:eastAsia="Calibri"/>
              </w:rPr>
              <w:t xml:space="preserve">o longer required to keep documents in their ‘original form’. Aligns requirements with the role of council under the </w:t>
            </w:r>
            <w:r w:rsidR="00B751DE" w:rsidRPr="006119D2">
              <w:rPr>
                <w:rFonts w:eastAsia="Calibri"/>
                <w:i/>
              </w:rPr>
              <w:t>Public Records Act 1973</w:t>
            </w:r>
            <w:r w:rsidR="00B751DE" w:rsidRPr="00427EE1">
              <w:rPr>
                <w:rFonts w:eastAsia="Calibri"/>
              </w:rPr>
              <w:t>.</w:t>
            </w:r>
          </w:p>
        </w:tc>
      </w:tr>
      <w:tr w:rsidR="00B751DE" w:rsidRPr="00427EE1" w:rsidTr="006119D2">
        <w:trPr>
          <w:cantSplit/>
          <w:trHeight w:val="340"/>
        </w:trPr>
        <w:tc>
          <w:tcPr>
            <w:tcW w:w="100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1012</w:t>
            </w:r>
          </w:p>
        </w:tc>
        <w:tc>
          <w:tcPr>
            <w:tcW w:w="97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201</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B751DE" w:rsidP="006757E8">
            <w:pPr>
              <w:pStyle w:val="Tabletext"/>
              <w:rPr>
                <w:rFonts w:eastAsia="Calibri"/>
                <w:b/>
                <w:lang w:eastAsia="en-US"/>
              </w:rPr>
            </w:pPr>
            <w:r w:rsidRPr="00427EE1">
              <w:rPr>
                <w:rFonts w:eastAsia="Calibri"/>
                <w:b/>
                <w:lang w:eastAsia="en-US"/>
              </w:rPr>
              <w:t>Documents to be given to council</w:t>
            </w:r>
          </w:p>
          <w:p w:rsidR="00B751DE" w:rsidRPr="00427EE1" w:rsidRDefault="002E244C">
            <w:pPr>
              <w:pStyle w:val="Tabletext"/>
              <w:rPr>
                <w:rFonts w:eastAsia="Calibri"/>
                <w:lang w:eastAsia="en-US"/>
              </w:rPr>
            </w:pPr>
            <w:r>
              <w:rPr>
                <w:rFonts w:eastAsia="Calibri"/>
                <w:lang w:eastAsia="en-US"/>
              </w:rPr>
              <w:t xml:space="preserve">Requires </w:t>
            </w:r>
            <w:r w:rsidR="00B751DE" w:rsidRPr="00427EE1">
              <w:rPr>
                <w:rFonts w:eastAsia="Calibri"/>
                <w:lang w:eastAsia="en-US"/>
              </w:rPr>
              <w:t xml:space="preserve">the </w:t>
            </w:r>
            <w:r w:rsidR="00AB414E">
              <w:rPr>
                <w:rFonts w:eastAsia="Calibri"/>
                <w:lang w:eastAsia="en-US"/>
              </w:rPr>
              <w:t>RBS</w:t>
            </w:r>
            <w:r w:rsidR="00B751DE" w:rsidRPr="00427EE1">
              <w:rPr>
                <w:rFonts w:eastAsia="Calibri"/>
                <w:lang w:eastAsia="en-US"/>
              </w:rPr>
              <w:t xml:space="preserve"> to give council a copy of the certificate of final inspection and certificates of inspection issued for mandatory notification stages.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19229D">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a</w:t>
            </w:r>
            <w:r w:rsidR="00B751DE" w:rsidRPr="00427EE1">
              <w:rPr>
                <w:rFonts w:eastAsia="Calibri"/>
              </w:rPr>
              <w:t>ddresses information asymmetry and facilitates monitoring and enforcement. The details that must be provided to the council</w:t>
            </w:r>
            <w:r w:rsidR="00D71A15" w:rsidRPr="00427EE1">
              <w:rPr>
                <w:rFonts w:eastAsia="Calibri"/>
              </w:rPr>
              <w:t xml:space="preserve"> </w:t>
            </w:r>
            <w:r w:rsidR="00B751DE" w:rsidRPr="00427EE1">
              <w:rPr>
                <w:rFonts w:eastAsia="Calibri"/>
              </w:rPr>
              <w:t xml:space="preserve">are </w:t>
            </w:r>
            <w:r w:rsidR="00385906" w:rsidRPr="00427EE1">
              <w:rPr>
                <w:rFonts w:eastAsia="Calibri"/>
              </w:rPr>
              <w:t xml:space="preserve">now </w:t>
            </w:r>
            <w:r w:rsidR="00B751DE" w:rsidRPr="00427EE1">
              <w:rPr>
                <w:rFonts w:eastAsia="Calibri"/>
              </w:rPr>
              <w:t>specified</w:t>
            </w:r>
            <w:r w:rsidR="00385906" w:rsidRPr="00427EE1">
              <w:rPr>
                <w:rFonts w:eastAsia="Calibri"/>
              </w:rPr>
              <w:t>.</w:t>
            </w:r>
          </w:p>
          <w:p w:rsidR="00B751DE" w:rsidRPr="00427EE1" w:rsidRDefault="00B751DE">
            <w:pPr>
              <w:pStyle w:val="Tabletext"/>
              <w:rPr>
                <w:rFonts w:eastAsia="Calibri"/>
              </w:rPr>
            </w:pPr>
          </w:p>
        </w:tc>
      </w:tr>
      <w:tr w:rsidR="00B751DE" w:rsidRPr="00427EE1" w:rsidTr="006119D2">
        <w:trPr>
          <w:cantSplit/>
          <w:trHeight w:val="340"/>
        </w:trPr>
        <w:tc>
          <w:tcPr>
            <w:tcW w:w="100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1013</w:t>
            </w:r>
          </w:p>
        </w:tc>
        <w:tc>
          <w:tcPr>
            <w:tcW w:w="97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202</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B751DE" w:rsidP="006757E8">
            <w:pPr>
              <w:pStyle w:val="Tabletext"/>
              <w:rPr>
                <w:rFonts w:eastAsia="Calibri"/>
                <w:b/>
                <w:lang w:eastAsia="en-US"/>
              </w:rPr>
            </w:pPr>
            <w:r w:rsidRPr="00427EE1">
              <w:rPr>
                <w:rFonts w:eastAsia="Calibri"/>
                <w:b/>
                <w:lang w:eastAsia="en-US"/>
              </w:rPr>
              <w:t>Prescribed time to give council other documents</w:t>
            </w:r>
          </w:p>
          <w:p w:rsidR="00B751DE" w:rsidRPr="00427EE1" w:rsidRDefault="0026629F">
            <w:pPr>
              <w:pStyle w:val="Tabletext"/>
              <w:rPr>
                <w:rFonts w:eastAsia="Calibri"/>
                <w:lang w:eastAsia="en-US"/>
              </w:rPr>
            </w:pPr>
            <w:r>
              <w:rPr>
                <w:rFonts w:eastAsia="Calibri"/>
                <w:lang w:eastAsia="en-US"/>
              </w:rPr>
              <w:t xml:space="preserve">Specifies </w:t>
            </w:r>
            <w:r w:rsidR="00B751DE" w:rsidRPr="00427EE1">
              <w:rPr>
                <w:rFonts w:eastAsia="Calibri"/>
                <w:lang w:eastAsia="en-US"/>
              </w:rPr>
              <w:t xml:space="preserve">the documents that a </w:t>
            </w:r>
            <w:r w:rsidR="00AB414E">
              <w:rPr>
                <w:rFonts w:eastAsia="Calibri"/>
                <w:lang w:eastAsia="en-US"/>
              </w:rPr>
              <w:t>RBS</w:t>
            </w:r>
            <w:r w:rsidR="00B751DE" w:rsidRPr="00427EE1">
              <w:rPr>
                <w:rFonts w:eastAsia="Calibri"/>
                <w:lang w:eastAsia="en-US"/>
              </w:rPr>
              <w:t xml:space="preserve"> must give to the council.</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D615BC" w:rsidRPr="00427EE1" w:rsidRDefault="0019229D">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00B751DE" w:rsidRPr="00427EE1">
              <w:rPr>
                <w:rFonts w:eastAsia="Calibri"/>
              </w:rPr>
              <w:t>give</w:t>
            </w:r>
            <w:r w:rsidRPr="00427EE1">
              <w:rPr>
                <w:rFonts w:eastAsia="Calibri"/>
              </w:rPr>
              <w:t>s</w:t>
            </w:r>
            <w:r w:rsidR="00B751DE" w:rsidRPr="00427EE1">
              <w:rPr>
                <w:rFonts w:eastAsia="Calibri"/>
              </w:rPr>
              <w:t xml:space="preserve"> effect to </w:t>
            </w:r>
            <w:r w:rsidR="0023395A">
              <w:rPr>
                <w:rFonts w:eastAsia="Calibri"/>
              </w:rPr>
              <w:t xml:space="preserve">s </w:t>
            </w:r>
            <w:r w:rsidR="00B751DE" w:rsidRPr="00427EE1">
              <w:rPr>
                <w:rFonts w:eastAsia="Calibri"/>
              </w:rPr>
              <w:t xml:space="preserve">73(1A) of the Act. Additional documents are </w:t>
            </w:r>
            <w:r w:rsidR="00385906" w:rsidRPr="00427EE1">
              <w:rPr>
                <w:rFonts w:eastAsia="Calibri"/>
              </w:rPr>
              <w:t xml:space="preserve">now </w:t>
            </w:r>
            <w:r w:rsidR="00B751DE" w:rsidRPr="00427EE1">
              <w:rPr>
                <w:rFonts w:eastAsia="Calibri"/>
              </w:rPr>
              <w:t>specified.</w:t>
            </w:r>
          </w:p>
          <w:p w:rsidR="00B751DE" w:rsidRPr="00427EE1" w:rsidRDefault="00B751DE">
            <w:pPr>
              <w:pStyle w:val="Tabletext"/>
              <w:rPr>
                <w:rFonts w:eastAsia="Calibri"/>
              </w:rPr>
            </w:pPr>
          </w:p>
        </w:tc>
      </w:tr>
      <w:tr w:rsidR="00B751DE" w:rsidRPr="00427EE1" w:rsidTr="006119D2">
        <w:trPr>
          <w:cantSplit/>
          <w:trHeight w:val="340"/>
        </w:trPr>
        <w:tc>
          <w:tcPr>
            <w:tcW w:w="100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rsidP="006757E8">
            <w:pPr>
              <w:pStyle w:val="Tabletext"/>
              <w:rPr>
                <w:rFonts w:eastAsia="Calibri"/>
              </w:rPr>
            </w:pPr>
            <w:r w:rsidRPr="00427EE1">
              <w:rPr>
                <w:rFonts w:eastAsia="Calibri"/>
              </w:rPr>
              <w:t>1014</w:t>
            </w:r>
          </w:p>
        </w:tc>
        <w:tc>
          <w:tcPr>
            <w:tcW w:w="97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rsidP="006757E8">
            <w:pPr>
              <w:pStyle w:val="Tabletext"/>
              <w:rPr>
                <w:rFonts w:eastAsia="Calibri"/>
                <w:lang w:eastAsia="en-US"/>
              </w:rPr>
            </w:pPr>
            <w:r w:rsidRPr="00427EE1">
              <w:rPr>
                <w:rFonts w:eastAsia="Calibri"/>
                <w:lang w:eastAsia="en-US"/>
              </w:rPr>
              <w:t>203</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tcPr>
          <w:p w:rsidR="00B751DE" w:rsidRPr="00427EE1" w:rsidRDefault="00B751DE" w:rsidP="006757E8">
            <w:pPr>
              <w:pStyle w:val="Tabletext"/>
              <w:rPr>
                <w:rFonts w:eastAsia="Calibri"/>
                <w:b/>
                <w:lang w:eastAsia="en-US"/>
              </w:rPr>
            </w:pPr>
            <w:r w:rsidRPr="00427EE1">
              <w:rPr>
                <w:rFonts w:eastAsia="Calibri"/>
                <w:b/>
                <w:lang w:eastAsia="en-US"/>
              </w:rPr>
              <w:t>Information to be supplied to council</w:t>
            </w:r>
          </w:p>
          <w:p w:rsidR="00B751DE" w:rsidRPr="00427EE1" w:rsidRDefault="002E244C">
            <w:pPr>
              <w:pStyle w:val="Tabletext"/>
              <w:rPr>
                <w:rFonts w:eastAsia="Calibri"/>
                <w:lang w:eastAsia="en-US"/>
              </w:rPr>
            </w:pPr>
            <w:r>
              <w:rPr>
                <w:rFonts w:eastAsia="Calibri"/>
                <w:lang w:eastAsia="en-US"/>
              </w:rPr>
              <w:t xml:space="preserve">Requires </w:t>
            </w:r>
            <w:r w:rsidR="00B751DE" w:rsidRPr="00427EE1">
              <w:rPr>
                <w:rFonts w:eastAsia="Calibri"/>
                <w:lang w:eastAsia="en-US"/>
              </w:rPr>
              <w:t xml:space="preserve">the documents to be forwarded to council within 7 days after issuing occupancy permit or temporary approval.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19229D">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00B751DE" w:rsidRPr="00427EE1">
              <w:rPr>
                <w:rFonts w:eastAsia="Calibri"/>
              </w:rPr>
              <w:t>give</w:t>
            </w:r>
            <w:r w:rsidRPr="00427EE1">
              <w:rPr>
                <w:rFonts w:eastAsia="Calibri"/>
              </w:rPr>
              <w:t>s</w:t>
            </w:r>
            <w:r w:rsidR="00B751DE" w:rsidRPr="00427EE1">
              <w:rPr>
                <w:rFonts w:eastAsia="Calibri"/>
              </w:rPr>
              <w:t xml:space="preserve"> effect to </w:t>
            </w:r>
            <w:r w:rsidR="0023395A">
              <w:rPr>
                <w:rFonts w:eastAsia="Calibri"/>
              </w:rPr>
              <w:t xml:space="preserve">s </w:t>
            </w:r>
            <w:r w:rsidR="00B751DE" w:rsidRPr="00427EE1">
              <w:rPr>
                <w:rFonts w:eastAsia="Calibri"/>
              </w:rPr>
              <w:t>73(1A) of the Act.</w:t>
            </w:r>
          </w:p>
        </w:tc>
      </w:tr>
    </w:tbl>
    <w:p w:rsidR="00B751DE" w:rsidRPr="00427EE1" w:rsidRDefault="00B751DE" w:rsidP="006757E8"/>
    <w:p w:rsidR="002D5E35" w:rsidRDefault="002D5E35">
      <w:pPr>
        <w:spacing w:after="0"/>
        <w:rPr>
          <w:b/>
          <w:i/>
          <w:color w:val="00B2A9" w:themeColor="accent1"/>
          <w:sz w:val="28"/>
        </w:rPr>
      </w:pPr>
      <w:bookmarkStart w:id="188" w:name="_Toc481501609"/>
      <w:r>
        <w:br w:type="page"/>
      </w:r>
    </w:p>
    <w:p w:rsidR="00AC4E58" w:rsidRPr="00427EE1" w:rsidRDefault="004267C5" w:rsidP="006119D2">
      <w:pPr>
        <w:pStyle w:val="Heading3"/>
        <w:rPr>
          <w:color w:val="005954" w:themeColor="accent1" w:themeShade="80"/>
          <w:sz w:val="22"/>
          <w:szCs w:val="22"/>
        </w:rPr>
      </w:pPr>
      <w:r>
        <w:lastRenderedPageBreak/>
        <w:t xml:space="preserve">Pt </w:t>
      </w:r>
      <w:r w:rsidR="00B751DE" w:rsidRPr="00427EE1">
        <w:t>15</w:t>
      </w:r>
      <w:r w:rsidR="008475D9">
        <w:t>—</w:t>
      </w:r>
      <w:r w:rsidR="00B751DE" w:rsidRPr="00427EE1">
        <w:t>Places of public entertainment</w:t>
      </w:r>
      <w:bookmarkEnd w:id="188"/>
    </w:p>
    <w:tbl>
      <w:tblPr>
        <w:tblW w:w="14549" w:type="dxa"/>
        <w:tblInd w:w="-172"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1022"/>
        <w:gridCol w:w="959"/>
        <w:gridCol w:w="4243"/>
        <w:gridCol w:w="399"/>
        <w:gridCol w:w="399"/>
        <w:gridCol w:w="402"/>
        <w:gridCol w:w="400"/>
        <w:gridCol w:w="398"/>
        <w:gridCol w:w="6327"/>
      </w:tblGrid>
      <w:tr w:rsidR="002D39C3" w:rsidRPr="00427EE1" w:rsidTr="006119D2">
        <w:trPr>
          <w:cantSplit/>
          <w:trHeight w:val="398"/>
          <w:tblHeader/>
        </w:trPr>
        <w:tc>
          <w:tcPr>
            <w:tcW w:w="1022" w:type="dxa"/>
            <w:vMerge w:val="restart"/>
            <w:shd w:val="clear" w:color="auto" w:fill="00B2A9" w:themeFill="accent1"/>
            <w:vAlign w:val="center"/>
            <w:hideMark/>
          </w:tcPr>
          <w:p w:rsidR="002D39C3" w:rsidRDefault="002D39C3">
            <w:pPr>
              <w:pStyle w:val="Tablecolumnhead"/>
              <w:rPr>
                <w:rFonts w:asciiTheme="majorHAnsi" w:eastAsia="Calibri" w:hAnsiTheme="majorHAnsi" w:cstheme="majorBidi"/>
                <w:sz w:val="40"/>
              </w:rPr>
            </w:pPr>
            <w:r w:rsidRPr="00BE72D7">
              <w:rPr>
                <w:rFonts w:eastAsia="Calibri"/>
              </w:rPr>
              <w:t>2006</w:t>
            </w:r>
          </w:p>
          <w:p w:rsidR="002D39C3" w:rsidRPr="00616EAD" w:rsidRDefault="002D39C3">
            <w:pPr>
              <w:pStyle w:val="Tablecolumnhead"/>
              <w:rPr>
                <w:rFonts w:eastAsia="Calibri"/>
              </w:rPr>
            </w:pPr>
            <w:r w:rsidRPr="00C44680">
              <w:rPr>
                <w:rFonts w:ascii="Arial Bold" w:eastAsia="Calibri" w:hAnsi="Arial Bold"/>
                <w:spacing w:val="-12"/>
                <w:sz w:val="16"/>
              </w:rPr>
              <w:t>Regulation</w:t>
            </w:r>
          </w:p>
        </w:tc>
        <w:tc>
          <w:tcPr>
            <w:tcW w:w="959" w:type="dxa"/>
            <w:vMerge w:val="restart"/>
            <w:shd w:val="clear" w:color="auto" w:fill="00B2A9" w:themeFill="accent1"/>
            <w:vAlign w:val="center"/>
            <w:hideMark/>
          </w:tcPr>
          <w:p w:rsidR="002D39C3" w:rsidRDefault="002D39C3">
            <w:pPr>
              <w:pStyle w:val="Tablecolumnhead"/>
              <w:rPr>
                <w:rFonts w:asciiTheme="majorHAnsi" w:eastAsiaTheme="majorEastAsia" w:hAnsiTheme="majorHAnsi" w:cstheme="majorBidi"/>
                <w:sz w:val="40"/>
              </w:rPr>
            </w:pPr>
            <w:r w:rsidRPr="008F0E53">
              <w:rPr>
                <w:rFonts w:eastAsia="Calibri"/>
              </w:rPr>
              <w:t>2017</w:t>
            </w:r>
          </w:p>
          <w:p w:rsidR="002D39C3" w:rsidRPr="00616EAD" w:rsidRDefault="002D39C3">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2D39C3" w:rsidRPr="00616EAD" w:rsidRDefault="002D39C3">
            <w:pPr>
              <w:pStyle w:val="Tablecolumnhead"/>
              <w:rPr>
                <w:rFonts w:eastAsia="Calibri"/>
              </w:rPr>
            </w:pPr>
            <w:r w:rsidRPr="00616EAD">
              <w:t xml:space="preserve">Short description of the </w:t>
            </w:r>
            <w:r>
              <w:t>Regulation</w:t>
            </w:r>
          </w:p>
        </w:tc>
        <w:tc>
          <w:tcPr>
            <w:tcW w:w="1998" w:type="dxa"/>
            <w:gridSpan w:val="5"/>
            <w:shd w:val="clear" w:color="auto" w:fill="00B2A9" w:themeFill="accent1"/>
            <w:vAlign w:val="center"/>
          </w:tcPr>
          <w:p w:rsidR="002D39C3" w:rsidRPr="00616EAD" w:rsidRDefault="002D39C3">
            <w:pPr>
              <w:pStyle w:val="Tablecolumnhead"/>
            </w:pPr>
            <w:r w:rsidRPr="00616EAD">
              <w:t>Proposed regulatory change</w:t>
            </w:r>
          </w:p>
        </w:tc>
        <w:tc>
          <w:tcPr>
            <w:tcW w:w="6327" w:type="dxa"/>
            <w:vMerge w:val="restart"/>
            <w:shd w:val="clear" w:color="auto" w:fill="00B2A9" w:themeFill="accent1"/>
            <w:vAlign w:val="center"/>
          </w:tcPr>
          <w:p w:rsidR="002D39C3" w:rsidRPr="00616EAD" w:rsidRDefault="002D39C3">
            <w:pPr>
              <w:pStyle w:val="Tablecolumnhead"/>
            </w:pPr>
            <w:r w:rsidRPr="00616EAD">
              <w:t>Why the 2017 Regulation is proposed</w:t>
            </w:r>
          </w:p>
        </w:tc>
      </w:tr>
      <w:tr w:rsidR="00B751DE" w:rsidRPr="00427EE1" w:rsidTr="006119D2">
        <w:trPr>
          <w:cantSplit/>
          <w:trHeight w:val="966"/>
          <w:tblHeader/>
        </w:trPr>
        <w:tc>
          <w:tcPr>
            <w:tcW w:w="1022"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959"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B751DE" w:rsidRPr="00427EE1" w:rsidTr="006119D2">
        <w:trPr>
          <w:cantSplit/>
          <w:trHeight w:val="340"/>
        </w:trPr>
        <w:tc>
          <w:tcPr>
            <w:tcW w:w="102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rPr>
            </w:pPr>
            <w:r w:rsidRPr="00427EE1">
              <w:rPr>
                <w:rFonts w:eastAsia="Calibri"/>
              </w:rPr>
              <w:t>1101</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lang w:eastAsia="en-US"/>
              </w:rPr>
            </w:pPr>
            <w:r w:rsidRPr="00427EE1">
              <w:rPr>
                <w:rFonts w:eastAsia="Calibri"/>
                <w:lang w:eastAsia="en-US"/>
              </w:rPr>
              <w:t>204</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B751DE" w:rsidRPr="00427EE1" w:rsidRDefault="00B751DE" w:rsidP="006757E8">
            <w:pPr>
              <w:pStyle w:val="Tabletext"/>
              <w:rPr>
                <w:rFonts w:eastAsia="Calibri"/>
                <w:b/>
                <w:lang w:eastAsia="en-US"/>
              </w:rPr>
            </w:pPr>
            <w:r w:rsidRPr="00427EE1">
              <w:rPr>
                <w:rFonts w:eastAsia="Calibri"/>
                <w:b/>
                <w:lang w:eastAsia="en-US"/>
              </w:rPr>
              <w:t>Application</w:t>
            </w:r>
          </w:p>
          <w:p w:rsidR="00B751DE" w:rsidRPr="00427EE1" w:rsidRDefault="002E244C">
            <w:pPr>
              <w:pStyle w:val="Tabletext"/>
              <w:rPr>
                <w:rFonts w:eastAsia="Calibri"/>
                <w:lang w:eastAsia="en-US"/>
              </w:rPr>
            </w:pPr>
            <w:r>
              <w:rPr>
                <w:rFonts w:eastAsia="Calibri"/>
                <w:lang w:eastAsia="en-US"/>
              </w:rPr>
              <w:t xml:space="preserve">Clarifies </w:t>
            </w:r>
            <w:r w:rsidR="00B751DE" w:rsidRPr="00427EE1">
              <w:rPr>
                <w:rFonts w:eastAsia="Calibri"/>
                <w:lang w:eastAsia="en-US"/>
              </w:rPr>
              <w:t>what buildings must obtain an occupancy permit to provide public entertainment.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4A57C0">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s</w:t>
            </w:r>
            <w:r w:rsidR="00B751DE" w:rsidRPr="00427EE1">
              <w:rPr>
                <w:rFonts w:eastAsia="Calibri"/>
              </w:rPr>
              <w:t xml:space="preserve">pecifies the buildings that must comply with </w:t>
            </w:r>
            <w:r w:rsidR="008911CB">
              <w:rPr>
                <w:rFonts w:eastAsia="Calibri"/>
              </w:rPr>
              <w:t>pt.</w:t>
            </w:r>
            <w:r w:rsidR="00B751DE" w:rsidRPr="00427EE1">
              <w:rPr>
                <w:rFonts w:eastAsia="Calibri"/>
              </w:rPr>
              <w:t xml:space="preserve"> 15 of the </w:t>
            </w:r>
            <w:r w:rsidR="008911CB">
              <w:rPr>
                <w:rFonts w:eastAsia="Calibri"/>
              </w:rPr>
              <w:t>proposed Regulations</w:t>
            </w:r>
            <w:r w:rsidR="00B751DE" w:rsidRPr="00427EE1">
              <w:rPr>
                <w:rFonts w:eastAsia="Calibri"/>
              </w:rPr>
              <w:t xml:space="preserve">. </w:t>
            </w:r>
          </w:p>
        </w:tc>
      </w:tr>
      <w:tr w:rsidR="00B751DE" w:rsidRPr="00427EE1" w:rsidTr="006119D2">
        <w:trPr>
          <w:cantSplit/>
          <w:trHeight w:val="340"/>
        </w:trPr>
        <w:tc>
          <w:tcPr>
            <w:tcW w:w="102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1102</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205</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B751DE" w:rsidP="006757E8">
            <w:pPr>
              <w:pStyle w:val="Tabletext"/>
              <w:rPr>
                <w:rFonts w:eastAsia="Calibri"/>
                <w:b/>
                <w:lang w:eastAsia="en-US"/>
              </w:rPr>
            </w:pPr>
            <w:r w:rsidRPr="00427EE1">
              <w:rPr>
                <w:rFonts w:eastAsia="Calibri"/>
                <w:b/>
                <w:lang w:eastAsia="en-US"/>
              </w:rPr>
              <w:t>Prescribed classes of buildings or places</w:t>
            </w:r>
          </w:p>
          <w:p w:rsidR="00C438D3" w:rsidRDefault="0026629F" w:rsidP="00027095">
            <w:pPr>
              <w:pStyle w:val="Tabletext"/>
              <w:rPr>
                <w:rFonts w:eastAsia="Calibri"/>
                <w:lang w:eastAsia="en-US"/>
              </w:rPr>
            </w:pPr>
            <w:r>
              <w:rPr>
                <w:rFonts w:eastAsia="Calibri"/>
                <w:lang w:eastAsia="en-US"/>
              </w:rPr>
              <w:t xml:space="preserve">Specifies </w:t>
            </w:r>
            <w:r w:rsidR="00B751DE" w:rsidRPr="00427EE1">
              <w:rPr>
                <w:rFonts w:eastAsia="Calibri"/>
                <w:lang w:eastAsia="en-US"/>
              </w:rPr>
              <w:t xml:space="preserve">the buildings and places that constitute </w:t>
            </w:r>
            <w:proofErr w:type="spellStart"/>
            <w:r w:rsidR="00A030CC">
              <w:rPr>
                <w:rFonts w:eastAsia="Calibri"/>
                <w:lang w:eastAsia="en-US"/>
              </w:rPr>
              <w:t>PoPEs</w:t>
            </w:r>
            <w:proofErr w:type="spellEnd"/>
            <w:r w:rsidR="002D39C3">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4A57C0">
            <w:pPr>
              <w:pStyle w:val="Tabletext"/>
              <w:rPr>
                <w:rFonts w:eastAsia="Calibri"/>
              </w:rPr>
            </w:pPr>
            <w:r w:rsidRPr="00427EE1">
              <w:rPr>
                <w:rFonts w:eastAsia="Calibri"/>
                <w:lang w:eastAsia="en-US"/>
              </w:rPr>
              <w:t xml:space="preserve">This </w:t>
            </w:r>
            <w:r w:rsidR="000273F9">
              <w:rPr>
                <w:rFonts w:eastAsia="Calibri"/>
                <w:lang w:eastAsia="en-US"/>
              </w:rPr>
              <w:t>Regulation</w:t>
            </w:r>
            <w:r w:rsidR="00E60957">
              <w:rPr>
                <w:rFonts w:eastAsia="Calibri"/>
                <w:lang w:eastAsia="en-US"/>
              </w:rPr>
              <w:t xml:space="preserve"> </w:t>
            </w:r>
            <w:r w:rsidR="00B751DE" w:rsidRPr="00427EE1">
              <w:rPr>
                <w:rFonts w:eastAsia="Calibri"/>
              </w:rPr>
              <w:t xml:space="preserve">sets out when a building and place must comply with requirements in the Act. There is an exemption for community based organisations. </w:t>
            </w:r>
          </w:p>
        </w:tc>
      </w:tr>
      <w:tr w:rsidR="00B751DE" w:rsidRPr="00427EE1" w:rsidTr="006119D2">
        <w:trPr>
          <w:cantSplit/>
          <w:trHeight w:val="340"/>
        </w:trPr>
        <w:tc>
          <w:tcPr>
            <w:tcW w:w="102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1104</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206</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B751DE" w:rsidP="006757E8">
            <w:pPr>
              <w:pStyle w:val="Tabletext"/>
              <w:rPr>
                <w:rFonts w:eastAsia="Calibri"/>
                <w:b/>
                <w:lang w:eastAsia="en-US"/>
              </w:rPr>
            </w:pPr>
            <w:r w:rsidRPr="00427EE1">
              <w:rPr>
                <w:rFonts w:eastAsia="Calibri"/>
                <w:b/>
                <w:lang w:eastAsia="en-US"/>
              </w:rPr>
              <w:t>Prescribed temporary structures</w:t>
            </w:r>
          </w:p>
          <w:p w:rsidR="00B751DE" w:rsidRPr="00427EE1" w:rsidRDefault="002E244C">
            <w:pPr>
              <w:pStyle w:val="Tabletext"/>
              <w:rPr>
                <w:rFonts w:eastAsia="Calibri"/>
                <w:lang w:eastAsia="en-US"/>
              </w:rPr>
            </w:pPr>
            <w:r>
              <w:rPr>
                <w:rFonts w:eastAsia="Calibri"/>
                <w:lang w:eastAsia="en-US"/>
              </w:rPr>
              <w:t xml:space="preserve">Establishes </w:t>
            </w:r>
            <w:r w:rsidR="00B751DE" w:rsidRPr="00427EE1">
              <w:rPr>
                <w:rFonts w:eastAsia="Calibri"/>
                <w:lang w:eastAsia="en-US"/>
              </w:rPr>
              <w:t xml:space="preserve">the types of structures that constitute </w:t>
            </w:r>
            <w:r w:rsidR="005E2285">
              <w:rPr>
                <w:rFonts w:eastAsia="Calibri"/>
                <w:lang w:eastAsia="en-US"/>
              </w:rPr>
              <w:t>'</w:t>
            </w:r>
            <w:r w:rsidR="00B751DE" w:rsidRPr="00427EE1">
              <w:rPr>
                <w:rFonts w:eastAsia="Calibri"/>
                <w:lang w:eastAsia="en-US"/>
              </w:rPr>
              <w:t>temporary structures</w:t>
            </w:r>
            <w:r w:rsidR="005E2285">
              <w:rPr>
                <w:rFonts w:eastAsia="Calibri"/>
                <w:lang w:eastAsia="en-US"/>
              </w:rPr>
              <w:t>'</w:t>
            </w:r>
            <w:r w:rsidR="002D39C3">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4F45B8">
            <w:pPr>
              <w:pStyle w:val="Tabletext"/>
              <w:rPr>
                <w:rFonts w:eastAsia="Calibri"/>
              </w:rPr>
            </w:pPr>
            <w:r w:rsidRPr="00427EE1">
              <w:rPr>
                <w:rFonts w:eastAsia="Calibri"/>
                <w:lang w:eastAsia="en-US"/>
              </w:rPr>
              <w:t xml:space="preserve">This </w:t>
            </w:r>
            <w:r w:rsidR="000273F9">
              <w:rPr>
                <w:rFonts w:eastAsia="Calibri"/>
                <w:lang w:eastAsia="en-US"/>
              </w:rPr>
              <w:t>Regulation</w:t>
            </w:r>
            <w:r w:rsidR="00E60957">
              <w:rPr>
                <w:rFonts w:eastAsia="Calibri"/>
                <w:lang w:eastAsia="en-US"/>
              </w:rPr>
              <w:t xml:space="preserve"> </w:t>
            </w:r>
            <w:r w:rsidR="00B751DE" w:rsidRPr="00427EE1">
              <w:rPr>
                <w:rFonts w:eastAsia="Calibri"/>
              </w:rPr>
              <w:t xml:space="preserve">sets out when a temporary structure must comply with requirements in the Act. </w:t>
            </w:r>
          </w:p>
        </w:tc>
      </w:tr>
      <w:tr w:rsidR="00B751DE" w:rsidRPr="00427EE1" w:rsidTr="006119D2">
        <w:trPr>
          <w:cantSplit/>
          <w:trHeight w:val="340"/>
        </w:trPr>
        <w:tc>
          <w:tcPr>
            <w:tcW w:w="102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1803</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207</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B751DE" w:rsidP="006757E8">
            <w:pPr>
              <w:pStyle w:val="Tabletext"/>
              <w:rPr>
                <w:rFonts w:eastAsia="Calibri"/>
                <w:b/>
                <w:lang w:eastAsia="en-US"/>
              </w:rPr>
            </w:pPr>
            <w:r w:rsidRPr="00427EE1">
              <w:rPr>
                <w:rFonts w:eastAsia="Calibri"/>
                <w:b/>
                <w:lang w:eastAsia="en-US"/>
              </w:rPr>
              <w:t>Exemption from permit for temporary structures</w:t>
            </w:r>
          </w:p>
          <w:p w:rsidR="00B751DE" w:rsidRPr="00427EE1" w:rsidRDefault="004F45B8">
            <w:pPr>
              <w:pStyle w:val="Tabletext"/>
              <w:rPr>
                <w:rFonts w:eastAsia="Calibri"/>
                <w:lang w:eastAsia="en-US"/>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e</w:t>
            </w:r>
            <w:r w:rsidR="00B751DE" w:rsidRPr="00427EE1">
              <w:rPr>
                <w:rFonts w:eastAsia="Calibri"/>
                <w:lang w:eastAsia="en-US"/>
              </w:rPr>
              <w:t>xempts a temporary structure from the requirement to obtain a building permit.</w:t>
            </w:r>
            <w:r w:rsidR="00D71A15" w:rsidRPr="00427EE1">
              <w:rPr>
                <w:rFonts w:eastAsia="Calibri"/>
                <w:lang w:eastAsia="en-US"/>
              </w:rPr>
              <w:t xml:space="preserve">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4F45B8">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states when a</w:t>
            </w:r>
            <w:r w:rsidR="00B751DE" w:rsidRPr="00427EE1">
              <w:rPr>
                <w:rFonts w:eastAsia="Calibri"/>
              </w:rPr>
              <w:t xml:space="preserve"> building permit is not required for temporary structures. This </w:t>
            </w:r>
            <w:r w:rsidR="000273F9">
              <w:rPr>
                <w:rFonts w:eastAsia="Calibri"/>
              </w:rPr>
              <w:t>Regulation</w:t>
            </w:r>
            <w:r w:rsidR="00B751DE" w:rsidRPr="00427EE1">
              <w:rPr>
                <w:rFonts w:eastAsia="Calibri"/>
              </w:rPr>
              <w:t xml:space="preserve"> has been updated to modernise the drafting structure. This assists the general administration of the Act.</w:t>
            </w:r>
          </w:p>
        </w:tc>
      </w:tr>
      <w:tr w:rsidR="00B751DE" w:rsidRPr="00427EE1" w:rsidTr="006119D2">
        <w:trPr>
          <w:cantSplit/>
          <w:trHeight w:val="340"/>
        </w:trPr>
        <w:tc>
          <w:tcPr>
            <w:tcW w:w="102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1103</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208</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B751DE" w:rsidP="006757E8">
            <w:pPr>
              <w:pStyle w:val="Tabletext"/>
              <w:rPr>
                <w:rFonts w:eastAsia="Calibri"/>
                <w:b/>
                <w:lang w:eastAsia="en-US"/>
              </w:rPr>
            </w:pPr>
            <w:r w:rsidRPr="00427EE1">
              <w:rPr>
                <w:rFonts w:eastAsia="Calibri"/>
                <w:b/>
                <w:lang w:eastAsia="en-US"/>
              </w:rPr>
              <w:t>Prescribed place of public entertainment</w:t>
            </w:r>
          </w:p>
          <w:p w:rsidR="00B751DE" w:rsidRPr="00427EE1" w:rsidRDefault="0026629F">
            <w:pPr>
              <w:pStyle w:val="Tabletext"/>
              <w:rPr>
                <w:rFonts w:eastAsia="Calibri"/>
                <w:lang w:eastAsia="en-US"/>
              </w:rPr>
            </w:pPr>
            <w:r>
              <w:rPr>
                <w:rFonts w:eastAsia="Calibri"/>
                <w:lang w:eastAsia="en-US"/>
              </w:rPr>
              <w:t xml:space="preserve">Specifies </w:t>
            </w:r>
            <w:r w:rsidR="00B751DE" w:rsidRPr="00427EE1">
              <w:rPr>
                <w:rFonts w:eastAsia="Calibri"/>
                <w:lang w:eastAsia="en-US"/>
              </w:rPr>
              <w:t xml:space="preserve">when an occupancy permit must be issued by </w:t>
            </w:r>
            <w:r w:rsidR="00720C4E">
              <w:rPr>
                <w:rFonts w:eastAsia="Calibri"/>
                <w:lang w:eastAsia="en-US"/>
              </w:rPr>
              <w:t>VBA</w:t>
            </w:r>
            <w:r w:rsidR="002D39C3">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4F45B8">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00B751DE" w:rsidRPr="00427EE1">
              <w:rPr>
                <w:rFonts w:eastAsia="Calibri"/>
              </w:rPr>
              <w:t>give</w:t>
            </w:r>
            <w:r w:rsidRPr="00427EE1">
              <w:rPr>
                <w:rFonts w:eastAsia="Calibri"/>
              </w:rPr>
              <w:t>s</w:t>
            </w:r>
            <w:r w:rsidR="00B751DE" w:rsidRPr="00427EE1">
              <w:rPr>
                <w:rFonts w:eastAsia="Calibri"/>
              </w:rPr>
              <w:t xml:space="preserve"> effect to </w:t>
            </w:r>
            <w:r w:rsidR="0023395A">
              <w:rPr>
                <w:rFonts w:eastAsia="Calibri"/>
              </w:rPr>
              <w:t xml:space="preserve">s </w:t>
            </w:r>
            <w:r w:rsidR="00B751DE" w:rsidRPr="00427EE1">
              <w:rPr>
                <w:rFonts w:eastAsia="Calibri"/>
              </w:rPr>
              <w:t xml:space="preserve">53(2) of the Act. Melbourne Cricket Ground, </w:t>
            </w:r>
            <w:proofErr w:type="spellStart"/>
            <w:r w:rsidR="00B751DE" w:rsidRPr="00427EE1">
              <w:rPr>
                <w:rFonts w:eastAsia="Calibri"/>
              </w:rPr>
              <w:t>Yarra</w:t>
            </w:r>
            <w:proofErr w:type="spellEnd"/>
            <w:r w:rsidR="00B751DE" w:rsidRPr="00427EE1">
              <w:rPr>
                <w:rFonts w:eastAsia="Calibri"/>
              </w:rPr>
              <w:t xml:space="preserve"> Park and East Melbourne have been removed.</w:t>
            </w:r>
            <w:r w:rsidR="00E60957">
              <w:rPr>
                <w:rFonts w:eastAsia="Calibri"/>
              </w:rPr>
              <w:t xml:space="preserve"> </w:t>
            </w:r>
            <w:r w:rsidR="00BB3A66" w:rsidRPr="00427EE1">
              <w:rPr>
                <w:rFonts w:eastAsia="Calibri"/>
              </w:rPr>
              <w:t xml:space="preserve">There is no change in process that is required to be followed when applying for an occupancy permit, there is only a change in who can issue the occupancy permit. </w:t>
            </w:r>
          </w:p>
        </w:tc>
      </w:tr>
      <w:tr w:rsidR="00B751DE" w:rsidRPr="00427EE1" w:rsidTr="006119D2">
        <w:trPr>
          <w:cantSplit/>
          <w:trHeight w:val="340"/>
        </w:trPr>
        <w:tc>
          <w:tcPr>
            <w:tcW w:w="102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rsidP="006757E8">
            <w:pPr>
              <w:pStyle w:val="Tabletext"/>
              <w:rPr>
                <w:rFonts w:eastAsia="Calibri"/>
              </w:rPr>
            </w:pPr>
            <w:r w:rsidRPr="00427EE1">
              <w:rPr>
                <w:rFonts w:eastAsia="Calibri"/>
              </w:rPr>
              <w:t>1105</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rsidP="006757E8">
            <w:pPr>
              <w:pStyle w:val="Tabletext"/>
              <w:rPr>
                <w:rFonts w:eastAsia="Calibri"/>
                <w:lang w:eastAsia="en-US"/>
              </w:rPr>
            </w:pPr>
            <w:r w:rsidRPr="00427EE1">
              <w:rPr>
                <w:rFonts w:eastAsia="Calibri"/>
                <w:lang w:eastAsia="en-US"/>
              </w:rPr>
              <w:t>209</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tcPr>
          <w:p w:rsidR="00B751DE" w:rsidRPr="00427EE1" w:rsidRDefault="00B751DE" w:rsidP="006757E8">
            <w:pPr>
              <w:pStyle w:val="Tabletext"/>
              <w:rPr>
                <w:rFonts w:eastAsia="Calibri"/>
                <w:b/>
                <w:lang w:eastAsia="en-US"/>
              </w:rPr>
            </w:pPr>
            <w:r w:rsidRPr="00427EE1">
              <w:rPr>
                <w:rFonts w:eastAsia="Calibri"/>
                <w:b/>
                <w:lang w:eastAsia="en-US"/>
              </w:rPr>
              <w:t>Conditions on occupancy permits</w:t>
            </w:r>
          </w:p>
          <w:p w:rsidR="00B751DE" w:rsidRPr="00427EE1" w:rsidRDefault="0026629F">
            <w:pPr>
              <w:pStyle w:val="Tabletext"/>
              <w:rPr>
                <w:rFonts w:eastAsia="Calibri"/>
                <w:lang w:eastAsia="en-US"/>
              </w:rPr>
            </w:pPr>
            <w:r>
              <w:rPr>
                <w:rFonts w:eastAsia="Calibri"/>
                <w:lang w:eastAsia="en-US"/>
              </w:rPr>
              <w:t xml:space="preserve">Specifies </w:t>
            </w:r>
            <w:r w:rsidR="00B751DE" w:rsidRPr="00427EE1">
              <w:rPr>
                <w:rFonts w:eastAsia="Calibri"/>
                <w:lang w:eastAsia="en-US"/>
              </w:rPr>
              <w:t>the types of conditions that an occupancy permit can be made subject to</w:t>
            </w:r>
            <w:r w:rsidR="002D39C3">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FF53B8">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a</w:t>
            </w:r>
            <w:r w:rsidR="00B751DE" w:rsidRPr="00427EE1">
              <w:rPr>
                <w:rFonts w:eastAsia="Calibri"/>
              </w:rPr>
              <w:t xml:space="preserve">uthorises a </w:t>
            </w:r>
            <w:r w:rsidR="00AB414E">
              <w:rPr>
                <w:rFonts w:eastAsia="Calibri"/>
              </w:rPr>
              <w:t>RBS</w:t>
            </w:r>
            <w:r w:rsidR="00B751DE" w:rsidRPr="00427EE1">
              <w:rPr>
                <w:rFonts w:eastAsia="Calibri"/>
              </w:rPr>
              <w:t xml:space="preserve">s to apply a more expansive range of conditions due to the nature of public entertainment and the specific risks associated with it. </w:t>
            </w:r>
          </w:p>
        </w:tc>
      </w:tr>
      <w:tr w:rsidR="00B751DE" w:rsidRPr="00427EE1" w:rsidTr="006119D2">
        <w:trPr>
          <w:cantSplit/>
          <w:trHeight w:val="340"/>
        </w:trPr>
        <w:tc>
          <w:tcPr>
            <w:tcW w:w="102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rsidP="006757E8">
            <w:pPr>
              <w:pStyle w:val="Tabletext"/>
              <w:rPr>
                <w:rFonts w:eastAsia="Calibri"/>
              </w:rPr>
            </w:pPr>
            <w:r w:rsidRPr="00427EE1">
              <w:rPr>
                <w:rFonts w:eastAsia="Calibri"/>
              </w:rPr>
              <w:lastRenderedPageBreak/>
              <w:t>1106</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rsidP="006757E8">
            <w:pPr>
              <w:pStyle w:val="Tabletext"/>
              <w:rPr>
                <w:rFonts w:eastAsia="Calibri"/>
                <w:lang w:eastAsia="en-US"/>
              </w:rPr>
            </w:pPr>
            <w:r w:rsidRPr="00427EE1">
              <w:rPr>
                <w:rFonts w:eastAsia="Calibri"/>
                <w:lang w:eastAsia="en-US"/>
              </w:rPr>
              <w:t>210</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tcPr>
          <w:p w:rsidR="00B751DE" w:rsidRPr="00427EE1" w:rsidRDefault="00B751DE" w:rsidP="006757E8">
            <w:pPr>
              <w:pStyle w:val="Tabletext"/>
              <w:rPr>
                <w:rFonts w:eastAsia="Calibri"/>
                <w:b/>
                <w:lang w:eastAsia="en-US"/>
              </w:rPr>
            </w:pPr>
            <w:r w:rsidRPr="00427EE1">
              <w:rPr>
                <w:rFonts w:eastAsia="Calibri"/>
                <w:b/>
                <w:lang w:eastAsia="en-US"/>
              </w:rPr>
              <w:t>Structural design of prescribed temporary structures</w:t>
            </w:r>
          </w:p>
          <w:p w:rsidR="00B751DE" w:rsidRPr="00427EE1" w:rsidRDefault="002E244C">
            <w:pPr>
              <w:pStyle w:val="Tabletext"/>
              <w:rPr>
                <w:rFonts w:eastAsia="Calibri"/>
                <w:lang w:eastAsia="en-US"/>
              </w:rPr>
            </w:pPr>
            <w:r>
              <w:rPr>
                <w:rFonts w:eastAsia="Calibri"/>
                <w:lang w:eastAsia="en-US"/>
              </w:rPr>
              <w:t xml:space="preserve">Establishes </w:t>
            </w:r>
            <w:r w:rsidR="00B751DE" w:rsidRPr="00427EE1">
              <w:rPr>
                <w:rFonts w:eastAsia="Calibri"/>
                <w:lang w:eastAsia="en-US"/>
              </w:rPr>
              <w:t>the requirement for prescribed temporary structures to be structurally safe and designed in accordance with engineering principles</w:t>
            </w:r>
            <w:r w:rsidR="002D39C3">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auto"/>
            <w:vAlign w:val="center"/>
          </w:tcPr>
          <w:p w:rsidR="00B751DE" w:rsidRPr="00427EE1" w:rsidRDefault="00FF53B8">
            <w:pPr>
              <w:pStyle w:val="Tabletext"/>
              <w:rPr>
                <w:rFonts w:eastAsia="Calibri"/>
              </w:rPr>
            </w:pPr>
            <w:r w:rsidRPr="00427EE1">
              <w:rPr>
                <w:rFonts w:eastAsia="Calibri"/>
                <w:lang w:eastAsia="en-US"/>
              </w:rPr>
              <w:t xml:space="preserve">This </w:t>
            </w:r>
            <w:r w:rsidR="000273F9">
              <w:rPr>
                <w:rFonts w:eastAsia="Calibri"/>
                <w:lang w:eastAsia="en-US"/>
              </w:rPr>
              <w:t>Regulation</w:t>
            </w:r>
            <w:r w:rsidR="00E60957">
              <w:rPr>
                <w:rFonts w:eastAsia="Calibri"/>
                <w:lang w:eastAsia="en-US"/>
              </w:rPr>
              <w:t xml:space="preserve"> </w:t>
            </w:r>
            <w:r w:rsidR="00B751DE" w:rsidRPr="00427EE1">
              <w:rPr>
                <w:rFonts w:eastAsia="Calibri"/>
              </w:rPr>
              <w:t>provide</w:t>
            </w:r>
            <w:r w:rsidRPr="00427EE1">
              <w:rPr>
                <w:rFonts w:eastAsia="Calibri"/>
              </w:rPr>
              <w:t>s</w:t>
            </w:r>
            <w:r w:rsidR="00B751DE" w:rsidRPr="00427EE1">
              <w:rPr>
                <w:rFonts w:eastAsia="Calibri"/>
              </w:rPr>
              <w:t xml:space="preserve"> for the safety of the public who use temporary structures</w:t>
            </w:r>
            <w:r w:rsidR="002D39C3">
              <w:rPr>
                <w:rFonts w:eastAsia="Calibri"/>
              </w:rPr>
              <w:t>,</w:t>
            </w:r>
          </w:p>
        </w:tc>
      </w:tr>
    </w:tbl>
    <w:p w:rsidR="00B751DE" w:rsidRPr="00427EE1" w:rsidRDefault="00B751DE" w:rsidP="006757E8"/>
    <w:p w:rsidR="00AC4E58" w:rsidRPr="00427EE1" w:rsidRDefault="004267C5" w:rsidP="006119D2">
      <w:pPr>
        <w:pStyle w:val="Heading3"/>
        <w:rPr>
          <w:color w:val="005954" w:themeColor="accent1" w:themeShade="80"/>
          <w:sz w:val="22"/>
          <w:szCs w:val="22"/>
        </w:rPr>
      </w:pPr>
      <w:bookmarkStart w:id="189" w:name="_Toc481501610"/>
      <w:r>
        <w:t xml:space="preserve">Pt </w:t>
      </w:r>
      <w:r w:rsidR="00B751DE" w:rsidRPr="00427EE1">
        <w:t>16</w:t>
      </w:r>
      <w:r w:rsidR="008475D9">
        <w:t>—</w:t>
      </w:r>
      <w:r w:rsidR="00B751DE" w:rsidRPr="00427EE1">
        <w:t>Maintenance of buildings and places of public entertainment</w:t>
      </w:r>
      <w:bookmarkEnd w:id="189"/>
    </w:p>
    <w:p w:rsidR="00AC4E58" w:rsidRPr="00427EE1" w:rsidRDefault="00EF2008" w:rsidP="006119D2">
      <w:pPr>
        <w:pStyle w:val="Heading4"/>
      </w:pPr>
      <w:proofErr w:type="spellStart"/>
      <w:r>
        <w:t>Div</w:t>
      </w:r>
      <w:proofErr w:type="spellEnd"/>
      <w:r w:rsidR="00B751DE" w:rsidRPr="00427EE1">
        <w:t xml:space="preserve"> 1</w:t>
      </w:r>
      <w:r w:rsidR="008475D9">
        <w:t>—</w:t>
      </w:r>
      <w:r w:rsidR="00B751DE" w:rsidRPr="00427EE1">
        <w:t xml:space="preserve">Maintenance of </w:t>
      </w:r>
      <w:r w:rsidR="008475D9" w:rsidRPr="008475D9">
        <w:t>essential safety measures</w:t>
      </w:r>
    </w:p>
    <w:p w:rsidR="00B751DE" w:rsidRPr="00427EE1" w:rsidRDefault="00B751DE" w:rsidP="006119D2">
      <w:pPr>
        <w:pStyle w:val="Heading5"/>
      </w:pPr>
      <w:r w:rsidRPr="00427EE1">
        <w:t>Sub</w:t>
      </w:r>
      <w:r w:rsidR="00EF2008">
        <w:t>-</w:t>
      </w:r>
      <w:r w:rsidRPr="00427EE1">
        <w:t>div 1</w:t>
      </w:r>
      <w:r w:rsidR="008475D9">
        <w:t>—</w:t>
      </w:r>
      <w:r w:rsidRPr="00427EE1">
        <w:t>General</w:t>
      </w:r>
    </w:p>
    <w:tbl>
      <w:tblPr>
        <w:tblW w:w="14549" w:type="dxa"/>
        <w:tblInd w:w="-172"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1008"/>
        <w:gridCol w:w="973"/>
        <w:gridCol w:w="4243"/>
        <w:gridCol w:w="399"/>
        <w:gridCol w:w="399"/>
        <w:gridCol w:w="402"/>
        <w:gridCol w:w="400"/>
        <w:gridCol w:w="398"/>
        <w:gridCol w:w="6327"/>
      </w:tblGrid>
      <w:tr w:rsidR="002D39C3" w:rsidRPr="00427EE1" w:rsidTr="006119D2">
        <w:trPr>
          <w:cantSplit/>
          <w:trHeight w:val="300"/>
          <w:tblHeader/>
        </w:trPr>
        <w:tc>
          <w:tcPr>
            <w:tcW w:w="1008" w:type="dxa"/>
            <w:vMerge w:val="restart"/>
            <w:shd w:val="clear" w:color="auto" w:fill="00B2A9" w:themeFill="accent1"/>
            <w:vAlign w:val="center"/>
            <w:hideMark/>
          </w:tcPr>
          <w:p w:rsidR="002D39C3" w:rsidRDefault="002D39C3">
            <w:pPr>
              <w:pStyle w:val="Tablecolumnhead"/>
              <w:rPr>
                <w:rFonts w:asciiTheme="majorHAnsi" w:eastAsia="Calibri" w:hAnsiTheme="majorHAnsi" w:cstheme="majorBidi"/>
                <w:sz w:val="40"/>
              </w:rPr>
            </w:pPr>
            <w:r w:rsidRPr="00BE72D7">
              <w:rPr>
                <w:rFonts w:eastAsia="Calibri"/>
              </w:rPr>
              <w:t>2006</w:t>
            </w:r>
          </w:p>
          <w:p w:rsidR="002D39C3" w:rsidRPr="00616EAD" w:rsidRDefault="002D39C3">
            <w:pPr>
              <w:pStyle w:val="Tablecolumnhead"/>
              <w:rPr>
                <w:rFonts w:eastAsia="Calibri"/>
              </w:rPr>
            </w:pPr>
            <w:r w:rsidRPr="00C44680">
              <w:rPr>
                <w:rFonts w:ascii="Arial Bold" w:eastAsia="Calibri" w:hAnsi="Arial Bold"/>
                <w:spacing w:val="-12"/>
                <w:sz w:val="16"/>
              </w:rPr>
              <w:t>Regulation</w:t>
            </w:r>
          </w:p>
        </w:tc>
        <w:tc>
          <w:tcPr>
            <w:tcW w:w="973" w:type="dxa"/>
            <w:vMerge w:val="restart"/>
            <w:shd w:val="clear" w:color="auto" w:fill="00B2A9" w:themeFill="accent1"/>
            <w:vAlign w:val="center"/>
            <w:hideMark/>
          </w:tcPr>
          <w:p w:rsidR="002D39C3" w:rsidRDefault="002D39C3">
            <w:pPr>
              <w:pStyle w:val="Tablecolumnhead"/>
              <w:rPr>
                <w:rFonts w:asciiTheme="majorHAnsi" w:eastAsiaTheme="majorEastAsia" w:hAnsiTheme="majorHAnsi" w:cstheme="majorBidi"/>
                <w:sz w:val="40"/>
              </w:rPr>
            </w:pPr>
            <w:r w:rsidRPr="008F0E53">
              <w:rPr>
                <w:rFonts w:eastAsia="Calibri"/>
              </w:rPr>
              <w:t>2017</w:t>
            </w:r>
          </w:p>
          <w:p w:rsidR="002D39C3" w:rsidRPr="00616EAD" w:rsidRDefault="002D39C3">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2D39C3" w:rsidRPr="00616EAD" w:rsidRDefault="002D39C3">
            <w:pPr>
              <w:pStyle w:val="Tablecolumnhead"/>
              <w:rPr>
                <w:rFonts w:eastAsia="Calibri"/>
              </w:rPr>
            </w:pPr>
            <w:r w:rsidRPr="00616EAD">
              <w:rPr>
                <w:szCs w:val="22"/>
              </w:rPr>
              <w:t xml:space="preserve">Short description of the </w:t>
            </w:r>
            <w:r>
              <w:rPr>
                <w:szCs w:val="22"/>
              </w:rPr>
              <w:t>Regulation</w:t>
            </w:r>
          </w:p>
        </w:tc>
        <w:tc>
          <w:tcPr>
            <w:tcW w:w="1998" w:type="dxa"/>
            <w:gridSpan w:val="5"/>
            <w:shd w:val="clear" w:color="auto" w:fill="00B2A9" w:themeFill="accent1"/>
            <w:vAlign w:val="center"/>
          </w:tcPr>
          <w:p w:rsidR="002D39C3" w:rsidRPr="00616EAD" w:rsidRDefault="002D39C3">
            <w:pPr>
              <w:pStyle w:val="Tablecolumnhead"/>
            </w:pPr>
            <w:r w:rsidRPr="00616EAD">
              <w:rPr>
                <w:szCs w:val="22"/>
              </w:rPr>
              <w:t>Proposed regulatory change</w:t>
            </w:r>
          </w:p>
        </w:tc>
        <w:tc>
          <w:tcPr>
            <w:tcW w:w="6327" w:type="dxa"/>
            <w:vMerge w:val="restart"/>
            <w:shd w:val="clear" w:color="auto" w:fill="00B2A9" w:themeFill="accent1"/>
            <w:vAlign w:val="center"/>
          </w:tcPr>
          <w:p w:rsidR="002D39C3" w:rsidRPr="00616EAD" w:rsidRDefault="002D39C3">
            <w:pPr>
              <w:pStyle w:val="Tablecolumnhead"/>
            </w:pPr>
            <w:r w:rsidRPr="00616EAD">
              <w:rPr>
                <w:szCs w:val="22"/>
              </w:rPr>
              <w:t>Why the 2017 Regulation is proposed</w:t>
            </w:r>
          </w:p>
        </w:tc>
      </w:tr>
      <w:tr w:rsidR="00B751DE" w:rsidRPr="00427EE1" w:rsidTr="006119D2">
        <w:trPr>
          <w:cantSplit/>
          <w:trHeight w:val="966"/>
          <w:tblHeader/>
        </w:trPr>
        <w:tc>
          <w:tcPr>
            <w:tcW w:w="1008"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973"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B751DE" w:rsidRPr="00427EE1" w:rsidTr="006119D2">
        <w:trPr>
          <w:cantSplit/>
          <w:trHeight w:val="340"/>
        </w:trPr>
        <w:tc>
          <w:tcPr>
            <w:tcW w:w="100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rPr>
            </w:pPr>
            <w:r w:rsidRPr="00427EE1">
              <w:rPr>
                <w:rFonts w:eastAsia="Calibri"/>
              </w:rPr>
              <w:t>1201</w:t>
            </w:r>
          </w:p>
          <w:p w:rsidR="00B751DE" w:rsidRPr="00427EE1" w:rsidRDefault="00B751DE" w:rsidP="006757E8">
            <w:pPr>
              <w:pStyle w:val="Tabletext"/>
              <w:rPr>
                <w:rFonts w:eastAsia="Calibri"/>
              </w:rPr>
            </w:pPr>
            <w:r w:rsidRPr="00427EE1">
              <w:rPr>
                <w:rFonts w:eastAsia="Calibri"/>
              </w:rPr>
              <w:t>1212</w:t>
            </w:r>
          </w:p>
        </w:tc>
        <w:tc>
          <w:tcPr>
            <w:tcW w:w="97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lang w:eastAsia="en-US"/>
              </w:rPr>
            </w:pPr>
            <w:r w:rsidRPr="00427EE1">
              <w:rPr>
                <w:rFonts w:eastAsia="Calibri"/>
                <w:lang w:eastAsia="en-US"/>
              </w:rPr>
              <w:t>211</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B751DE" w:rsidRPr="00427EE1" w:rsidRDefault="00B751DE">
            <w:pPr>
              <w:pStyle w:val="Tabletext"/>
              <w:rPr>
                <w:rFonts w:eastAsia="Calibri"/>
                <w:b/>
                <w:lang w:eastAsia="en-US"/>
              </w:rPr>
            </w:pPr>
            <w:r w:rsidRPr="00427EE1">
              <w:rPr>
                <w:rFonts w:eastAsia="Calibri"/>
                <w:b/>
                <w:lang w:eastAsia="en-US"/>
              </w:rPr>
              <w:t xml:space="preserve">Application of this </w:t>
            </w:r>
            <w:r w:rsidR="00EF2008">
              <w:rPr>
                <w:rFonts w:eastAsia="Calibri"/>
                <w:b/>
                <w:lang w:eastAsia="en-US"/>
              </w:rPr>
              <w:t>d</w:t>
            </w:r>
            <w:r w:rsidRPr="00427EE1">
              <w:rPr>
                <w:rFonts w:eastAsia="Calibri"/>
                <w:b/>
                <w:lang w:eastAsia="en-US"/>
              </w:rPr>
              <w:t>ivision</w:t>
            </w:r>
          </w:p>
          <w:p w:rsidR="00B751DE" w:rsidRPr="00427EE1" w:rsidRDefault="0026629F">
            <w:pPr>
              <w:pStyle w:val="Tabletext"/>
              <w:rPr>
                <w:rFonts w:eastAsia="Calibri"/>
                <w:lang w:eastAsia="en-US"/>
              </w:rPr>
            </w:pPr>
            <w:r>
              <w:rPr>
                <w:rFonts w:eastAsia="Calibri"/>
                <w:lang w:eastAsia="en-US"/>
              </w:rPr>
              <w:t xml:space="preserve">Specifies </w:t>
            </w:r>
            <w:r w:rsidR="00B751DE" w:rsidRPr="00427EE1">
              <w:rPr>
                <w:rFonts w:eastAsia="Calibri"/>
                <w:lang w:eastAsia="en-US"/>
              </w:rPr>
              <w:t xml:space="preserve">the buildings that must comply with </w:t>
            </w:r>
            <w:r w:rsidR="008911CB">
              <w:rPr>
                <w:rFonts w:eastAsia="Calibri"/>
                <w:lang w:eastAsia="en-US"/>
              </w:rPr>
              <w:t>pt.</w:t>
            </w:r>
            <w:r w:rsidR="00B751DE" w:rsidRPr="00427EE1">
              <w:rPr>
                <w:rFonts w:eastAsia="Calibri"/>
                <w:lang w:eastAsia="en-US"/>
              </w:rPr>
              <w:t xml:space="preserve"> 12. Only private residential dwellings and </w:t>
            </w:r>
            <w:proofErr w:type="spellStart"/>
            <w:r w:rsidR="0023395A">
              <w:rPr>
                <w:rFonts w:eastAsia="Calibri"/>
                <w:lang w:eastAsia="en-US"/>
              </w:rPr>
              <w:t>non</w:t>
            </w:r>
            <w:r w:rsidR="00B751DE" w:rsidRPr="00427EE1">
              <w:rPr>
                <w:rFonts w:eastAsia="Calibri"/>
                <w:lang w:eastAsia="en-US"/>
              </w:rPr>
              <w:t>habitable</w:t>
            </w:r>
            <w:proofErr w:type="spellEnd"/>
            <w:r w:rsidR="00B751DE" w:rsidRPr="00427EE1">
              <w:rPr>
                <w:rFonts w:eastAsia="Calibri"/>
                <w:lang w:eastAsia="en-US"/>
              </w:rPr>
              <w:t xml:space="preserve"> structures are excluded.</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FF53B8">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s</w:t>
            </w:r>
            <w:r w:rsidR="00B751DE" w:rsidRPr="00427EE1">
              <w:rPr>
                <w:rFonts w:eastAsia="Calibri"/>
              </w:rPr>
              <w:t xml:space="preserve">pecifies the buildings that must comply with </w:t>
            </w:r>
            <w:r w:rsidR="008911CB">
              <w:rPr>
                <w:rFonts w:eastAsia="Calibri"/>
              </w:rPr>
              <w:t>pt.</w:t>
            </w:r>
            <w:r w:rsidR="00B751DE" w:rsidRPr="00427EE1">
              <w:rPr>
                <w:rFonts w:eastAsia="Calibri"/>
              </w:rPr>
              <w:t xml:space="preserve"> 16. Includes a Class 4 part of a building in buildings constructed </w:t>
            </w:r>
            <w:r w:rsidR="00D90FC3">
              <w:rPr>
                <w:rFonts w:eastAsia="Calibri"/>
              </w:rPr>
              <w:t>before</w:t>
            </w:r>
            <w:r w:rsidR="00B751DE" w:rsidRPr="00427EE1">
              <w:rPr>
                <w:rFonts w:eastAsia="Calibri"/>
              </w:rPr>
              <w:t xml:space="preserve"> 1 July 1994.</w:t>
            </w:r>
          </w:p>
        </w:tc>
      </w:tr>
      <w:tr w:rsidR="00B751DE" w:rsidRPr="00427EE1" w:rsidTr="006119D2">
        <w:trPr>
          <w:cantSplit/>
          <w:trHeight w:val="340"/>
        </w:trPr>
        <w:tc>
          <w:tcPr>
            <w:tcW w:w="100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rPr>
            </w:pPr>
            <w:r w:rsidRPr="00427EE1">
              <w:rPr>
                <w:rFonts w:eastAsia="Calibri"/>
              </w:rPr>
              <w:t>1202</w:t>
            </w:r>
          </w:p>
          <w:p w:rsidR="00B751DE" w:rsidRPr="00427EE1" w:rsidRDefault="00B751DE" w:rsidP="006757E8">
            <w:pPr>
              <w:pStyle w:val="Tabletext"/>
              <w:rPr>
                <w:rFonts w:eastAsia="Calibri"/>
              </w:rPr>
            </w:pPr>
            <w:r w:rsidRPr="00427EE1">
              <w:rPr>
                <w:rFonts w:eastAsia="Calibri"/>
              </w:rPr>
              <w:t>1213</w:t>
            </w:r>
          </w:p>
        </w:tc>
        <w:tc>
          <w:tcPr>
            <w:tcW w:w="97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lang w:eastAsia="en-US"/>
              </w:rPr>
            </w:pPr>
            <w:r w:rsidRPr="00427EE1">
              <w:rPr>
                <w:rFonts w:eastAsia="Calibri"/>
                <w:lang w:eastAsia="en-US"/>
              </w:rPr>
              <w:t>212</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B751DE" w:rsidRPr="00427EE1" w:rsidRDefault="00B751DE">
            <w:pPr>
              <w:pStyle w:val="Tabletext"/>
              <w:rPr>
                <w:rFonts w:eastAsia="Calibri"/>
                <w:b/>
                <w:lang w:eastAsia="en-US"/>
              </w:rPr>
            </w:pPr>
            <w:r w:rsidRPr="00427EE1">
              <w:rPr>
                <w:rFonts w:eastAsia="Calibri"/>
                <w:b/>
                <w:lang w:eastAsia="en-US"/>
              </w:rPr>
              <w:t xml:space="preserve">Definitions in this </w:t>
            </w:r>
            <w:r w:rsidR="00EF2008">
              <w:rPr>
                <w:rFonts w:eastAsia="Calibri"/>
                <w:b/>
                <w:lang w:eastAsia="en-US"/>
              </w:rPr>
              <w:t>d</w:t>
            </w:r>
            <w:r w:rsidRPr="00427EE1">
              <w:rPr>
                <w:rFonts w:eastAsia="Calibri"/>
                <w:b/>
                <w:lang w:eastAsia="en-US"/>
              </w:rPr>
              <w:t>ivision</w:t>
            </w:r>
          </w:p>
          <w:p w:rsidR="00B751DE" w:rsidRPr="00427EE1" w:rsidRDefault="002E244C">
            <w:pPr>
              <w:pStyle w:val="Tabletext"/>
              <w:rPr>
                <w:rFonts w:eastAsia="Calibri"/>
                <w:lang w:eastAsia="en-US"/>
              </w:rPr>
            </w:pPr>
            <w:r>
              <w:rPr>
                <w:rFonts w:eastAsia="Calibri"/>
                <w:lang w:eastAsia="en-US"/>
              </w:rPr>
              <w:t xml:space="preserve">Provides </w:t>
            </w:r>
            <w:r w:rsidR="00B751DE" w:rsidRPr="00427EE1">
              <w:rPr>
                <w:rFonts w:eastAsia="Calibri"/>
                <w:lang w:eastAsia="en-US"/>
              </w:rPr>
              <w:t xml:space="preserve">definitions which only apply to </w:t>
            </w:r>
            <w:r w:rsidR="008911CB">
              <w:rPr>
                <w:rFonts w:eastAsia="Calibri"/>
                <w:lang w:eastAsia="en-US"/>
              </w:rPr>
              <w:t>pt.</w:t>
            </w:r>
            <w:r w:rsidR="00B751DE" w:rsidRPr="00427EE1">
              <w:rPr>
                <w:rFonts w:eastAsia="Calibri"/>
                <w:lang w:eastAsia="en-US"/>
              </w:rPr>
              <w:t xml:space="preserve"> 16 of the proposed Regulations.</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FF53B8">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promotes consistent</w:t>
            </w:r>
            <w:r w:rsidR="00E60957">
              <w:rPr>
                <w:rFonts w:eastAsia="Calibri"/>
                <w:lang w:eastAsia="en-US"/>
              </w:rPr>
              <w:t xml:space="preserve"> </w:t>
            </w:r>
            <w:r w:rsidR="00B751DE" w:rsidRPr="00427EE1">
              <w:rPr>
                <w:rFonts w:eastAsia="Calibri"/>
              </w:rPr>
              <w:t xml:space="preserve">interpretation. The definition of </w:t>
            </w:r>
            <w:r w:rsidR="005E2285">
              <w:rPr>
                <w:rFonts w:eastAsia="Calibri"/>
              </w:rPr>
              <w:t>'</w:t>
            </w:r>
            <w:r w:rsidR="00B751DE" w:rsidRPr="006119D2">
              <w:rPr>
                <w:rFonts w:eastAsia="Calibri"/>
              </w:rPr>
              <w:t>essential safety measure</w:t>
            </w:r>
            <w:r w:rsidR="005E2285">
              <w:rPr>
                <w:rFonts w:eastAsia="Calibri"/>
              </w:rPr>
              <w:t>'</w:t>
            </w:r>
            <w:r w:rsidR="00B751DE" w:rsidRPr="00427EE1">
              <w:rPr>
                <w:rFonts w:eastAsia="Calibri"/>
                <w:b/>
                <w:i/>
              </w:rPr>
              <w:t xml:space="preserve"> </w:t>
            </w:r>
            <w:r w:rsidR="00B751DE" w:rsidRPr="00427EE1">
              <w:rPr>
                <w:rFonts w:eastAsia="Calibri"/>
              </w:rPr>
              <w:t xml:space="preserve">is wider for </w:t>
            </w:r>
            <w:r w:rsidR="008911CB">
              <w:rPr>
                <w:rFonts w:eastAsia="Calibri"/>
              </w:rPr>
              <w:t>pt.</w:t>
            </w:r>
            <w:r w:rsidR="00B751DE" w:rsidRPr="00427EE1">
              <w:rPr>
                <w:rFonts w:eastAsia="Calibri"/>
              </w:rPr>
              <w:t xml:space="preserve"> 16 of the proposed Regulations. </w:t>
            </w:r>
          </w:p>
        </w:tc>
      </w:tr>
    </w:tbl>
    <w:p w:rsidR="00AC4E58" w:rsidRPr="00427EE1" w:rsidRDefault="00AC4E58" w:rsidP="006757E8"/>
    <w:p w:rsidR="00B751DE" w:rsidRPr="00427EE1" w:rsidRDefault="00B751DE" w:rsidP="006119D2">
      <w:pPr>
        <w:pStyle w:val="Heading5"/>
      </w:pPr>
      <w:r w:rsidRPr="00427EE1">
        <w:lastRenderedPageBreak/>
        <w:t>Sub</w:t>
      </w:r>
      <w:r w:rsidR="00EF2008">
        <w:t>-</w:t>
      </w:r>
      <w:r w:rsidRPr="00427EE1">
        <w:t>div 2</w:t>
      </w:r>
      <w:r w:rsidR="008475D9">
        <w:t>—</w:t>
      </w:r>
      <w:r w:rsidRPr="00427EE1">
        <w:t>Maintenance determinations</w:t>
      </w:r>
    </w:p>
    <w:tbl>
      <w:tblPr>
        <w:tblW w:w="14535" w:type="dxa"/>
        <w:tblInd w:w="-158"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94"/>
        <w:gridCol w:w="973"/>
        <w:gridCol w:w="4243"/>
        <w:gridCol w:w="399"/>
        <w:gridCol w:w="399"/>
        <w:gridCol w:w="402"/>
        <w:gridCol w:w="400"/>
        <w:gridCol w:w="398"/>
        <w:gridCol w:w="6327"/>
      </w:tblGrid>
      <w:tr w:rsidR="002D39C3" w:rsidRPr="00427EE1" w:rsidTr="006119D2">
        <w:trPr>
          <w:cantSplit/>
          <w:trHeight w:val="242"/>
          <w:tblHeader/>
        </w:trPr>
        <w:tc>
          <w:tcPr>
            <w:tcW w:w="994" w:type="dxa"/>
            <w:vMerge w:val="restart"/>
            <w:shd w:val="clear" w:color="auto" w:fill="00B2A9" w:themeFill="accent1"/>
            <w:vAlign w:val="center"/>
            <w:hideMark/>
          </w:tcPr>
          <w:p w:rsidR="002D39C3" w:rsidRDefault="002D39C3">
            <w:pPr>
              <w:pStyle w:val="Tablecolumnhead"/>
              <w:rPr>
                <w:rFonts w:asciiTheme="majorHAnsi" w:eastAsia="Calibri" w:hAnsiTheme="majorHAnsi" w:cstheme="majorBidi"/>
                <w:sz w:val="40"/>
              </w:rPr>
            </w:pPr>
            <w:r w:rsidRPr="00BE72D7">
              <w:rPr>
                <w:rFonts w:eastAsia="Calibri"/>
              </w:rPr>
              <w:t>2006</w:t>
            </w:r>
          </w:p>
          <w:p w:rsidR="002D39C3" w:rsidRPr="00616EAD" w:rsidRDefault="002D39C3">
            <w:pPr>
              <w:pStyle w:val="Tablecolumnhead"/>
              <w:rPr>
                <w:rFonts w:eastAsia="Calibri"/>
              </w:rPr>
            </w:pPr>
            <w:r w:rsidRPr="00C44680">
              <w:rPr>
                <w:rFonts w:ascii="Arial Bold" w:eastAsia="Calibri" w:hAnsi="Arial Bold"/>
                <w:spacing w:val="-12"/>
                <w:sz w:val="16"/>
              </w:rPr>
              <w:t>Regulation</w:t>
            </w:r>
          </w:p>
        </w:tc>
        <w:tc>
          <w:tcPr>
            <w:tcW w:w="973" w:type="dxa"/>
            <w:vMerge w:val="restart"/>
            <w:shd w:val="clear" w:color="auto" w:fill="00B2A9" w:themeFill="accent1"/>
            <w:vAlign w:val="center"/>
            <w:hideMark/>
          </w:tcPr>
          <w:p w:rsidR="002D39C3" w:rsidRDefault="002D39C3">
            <w:pPr>
              <w:pStyle w:val="Tablecolumnhead"/>
              <w:rPr>
                <w:rFonts w:asciiTheme="majorHAnsi" w:eastAsiaTheme="majorEastAsia" w:hAnsiTheme="majorHAnsi" w:cstheme="majorBidi"/>
                <w:sz w:val="40"/>
              </w:rPr>
            </w:pPr>
            <w:r w:rsidRPr="008F0E53">
              <w:rPr>
                <w:rFonts w:eastAsia="Calibri"/>
              </w:rPr>
              <w:t>2017</w:t>
            </w:r>
          </w:p>
          <w:p w:rsidR="002D39C3" w:rsidRPr="00616EAD" w:rsidRDefault="002D39C3">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2D39C3" w:rsidRPr="00616EAD" w:rsidRDefault="002D39C3">
            <w:pPr>
              <w:pStyle w:val="Tablecolumnhead"/>
              <w:rPr>
                <w:rFonts w:eastAsia="Calibri"/>
              </w:rPr>
            </w:pPr>
            <w:r w:rsidRPr="00616EAD">
              <w:rPr>
                <w:szCs w:val="22"/>
              </w:rPr>
              <w:t xml:space="preserve">Short description of the </w:t>
            </w:r>
            <w:r>
              <w:rPr>
                <w:szCs w:val="22"/>
              </w:rPr>
              <w:t>Regulation</w:t>
            </w:r>
          </w:p>
        </w:tc>
        <w:tc>
          <w:tcPr>
            <w:tcW w:w="1998" w:type="dxa"/>
            <w:gridSpan w:val="5"/>
            <w:shd w:val="clear" w:color="auto" w:fill="00B2A9" w:themeFill="accent1"/>
            <w:vAlign w:val="center"/>
          </w:tcPr>
          <w:p w:rsidR="002D39C3" w:rsidRPr="00616EAD" w:rsidRDefault="002D39C3">
            <w:pPr>
              <w:pStyle w:val="Tablecolumnhead"/>
            </w:pPr>
            <w:r w:rsidRPr="00616EAD">
              <w:rPr>
                <w:szCs w:val="22"/>
              </w:rPr>
              <w:t>Proposed regulatory change</w:t>
            </w:r>
          </w:p>
        </w:tc>
        <w:tc>
          <w:tcPr>
            <w:tcW w:w="6327" w:type="dxa"/>
            <w:vMerge w:val="restart"/>
            <w:shd w:val="clear" w:color="auto" w:fill="00B2A9" w:themeFill="accent1"/>
            <w:vAlign w:val="center"/>
          </w:tcPr>
          <w:p w:rsidR="002D39C3" w:rsidRPr="00616EAD" w:rsidRDefault="002D39C3">
            <w:pPr>
              <w:pStyle w:val="Tablecolumnhead"/>
            </w:pPr>
            <w:r w:rsidRPr="00616EAD">
              <w:rPr>
                <w:szCs w:val="22"/>
              </w:rPr>
              <w:t>Why the 2017 Regulation is proposed</w:t>
            </w:r>
          </w:p>
        </w:tc>
      </w:tr>
      <w:tr w:rsidR="00B751DE" w:rsidRPr="00427EE1" w:rsidTr="006119D2">
        <w:trPr>
          <w:cantSplit/>
          <w:trHeight w:val="966"/>
          <w:tblHeader/>
        </w:trPr>
        <w:tc>
          <w:tcPr>
            <w:tcW w:w="994"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973"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B751DE" w:rsidRPr="00427EE1" w:rsidTr="006119D2">
        <w:trPr>
          <w:cantSplit/>
          <w:trHeight w:val="340"/>
        </w:trPr>
        <w:tc>
          <w:tcPr>
            <w:tcW w:w="99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rPr>
            </w:pPr>
            <w:r w:rsidRPr="00427EE1">
              <w:rPr>
                <w:rFonts w:eastAsia="Calibri"/>
              </w:rPr>
              <w:t>1204</w:t>
            </w:r>
          </w:p>
        </w:tc>
        <w:tc>
          <w:tcPr>
            <w:tcW w:w="97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lang w:eastAsia="en-US"/>
              </w:rPr>
            </w:pPr>
            <w:r w:rsidRPr="00427EE1">
              <w:rPr>
                <w:rFonts w:eastAsia="Calibri"/>
                <w:lang w:eastAsia="en-US"/>
              </w:rPr>
              <w:t>213</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B751DE" w:rsidRPr="00427EE1" w:rsidRDefault="00B751DE">
            <w:pPr>
              <w:pStyle w:val="Tabletext"/>
              <w:rPr>
                <w:rFonts w:eastAsia="Calibri"/>
                <w:b/>
                <w:lang w:eastAsia="en-US"/>
              </w:rPr>
            </w:pPr>
            <w:r w:rsidRPr="00427EE1">
              <w:rPr>
                <w:rFonts w:eastAsia="Calibri"/>
                <w:b/>
                <w:lang w:eastAsia="en-US"/>
              </w:rPr>
              <w:t xml:space="preserve">Maintenance determinations for </w:t>
            </w:r>
            <w:r w:rsidR="00296466">
              <w:rPr>
                <w:rFonts w:eastAsia="Calibri"/>
                <w:b/>
                <w:lang w:eastAsia="en-US"/>
              </w:rPr>
              <w:t>ESMs</w:t>
            </w:r>
            <w:r w:rsidRPr="00427EE1">
              <w:rPr>
                <w:rFonts w:eastAsia="Calibri"/>
                <w:b/>
                <w:lang w:eastAsia="en-US"/>
              </w:rPr>
              <w:t xml:space="preserve"> in buildings and or </w:t>
            </w:r>
            <w:proofErr w:type="spellStart"/>
            <w:r w:rsidR="00A030CC">
              <w:rPr>
                <w:rFonts w:eastAsia="Calibri"/>
                <w:b/>
                <w:lang w:eastAsia="en-US"/>
              </w:rPr>
              <w:t>PoPEs</w:t>
            </w:r>
            <w:proofErr w:type="spellEnd"/>
          </w:p>
          <w:p w:rsidR="00B751DE" w:rsidRPr="00427EE1" w:rsidRDefault="002E244C">
            <w:pPr>
              <w:pStyle w:val="Tabletext"/>
              <w:rPr>
                <w:rFonts w:eastAsia="Calibri"/>
                <w:lang w:eastAsia="en-US"/>
              </w:rPr>
            </w:pPr>
            <w:r>
              <w:rPr>
                <w:rFonts w:eastAsia="Calibri"/>
                <w:lang w:eastAsia="en-US"/>
              </w:rPr>
              <w:t xml:space="preserve">Requires </w:t>
            </w:r>
            <w:r w:rsidR="00FF53B8" w:rsidRPr="00427EE1">
              <w:rPr>
                <w:rFonts w:eastAsia="Calibri"/>
                <w:lang w:eastAsia="en-US"/>
              </w:rPr>
              <w:t>t</w:t>
            </w:r>
            <w:r w:rsidR="00B751DE" w:rsidRPr="00427EE1">
              <w:rPr>
                <w:rFonts w:eastAsia="Calibri"/>
                <w:lang w:eastAsia="en-US"/>
              </w:rPr>
              <w:t xml:space="preserve">he </w:t>
            </w:r>
            <w:r w:rsidR="00AB414E">
              <w:rPr>
                <w:rFonts w:eastAsia="Calibri"/>
                <w:lang w:eastAsia="en-US"/>
              </w:rPr>
              <w:t>RBS</w:t>
            </w:r>
            <w:r w:rsidR="00B751DE" w:rsidRPr="00427EE1">
              <w:rPr>
                <w:rFonts w:eastAsia="Calibri"/>
                <w:lang w:eastAsia="en-US"/>
              </w:rPr>
              <w:t xml:space="preserve"> must make a determination, if an </w:t>
            </w:r>
            <w:r w:rsidR="005140C4">
              <w:rPr>
                <w:rFonts w:eastAsia="Calibri"/>
                <w:lang w:eastAsia="en-US"/>
              </w:rPr>
              <w:t>ESM</w:t>
            </w:r>
            <w:r w:rsidR="00B751DE" w:rsidRPr="00427EE1">
              <w:rPr>
                <w:rFonts w:eastAsia="Calibri"/>
                <w:lang w:eastAsia="en-US"/>
              </w:rPr>
              <w:t xml:space="preserve"> is impacted or required by building work that does not require an occupancy permit.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FF53B8">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e</w:t>
            </w:r>
            <w:r w:rsidR="00B751DE" w:rsidRPr="00427EE1">
              <w:rPr>
                <w:rFonts w:eastAsia="Calibri"/>
              </w:rPr>
              <w:t xml:space="preserve">nsures that requirements for </w:t>
            </w:r>
            <w:r w:rsidR="00296466">
              <w:rPr>
                <w:rFonts w:eastAsia="Calibri"/>
              </w:rPr>
              <w:t>ESMs</w:t>
            </w:r>
            <w:r w:rsidR="00B751DE" w:rsidRPr="00427EE1">
              <w:rPr>
                <w:rFonts w:eastAsia="Calibri"/>
              </w:rPr>
              <w:t xml:space="preserve"> are still imposed, if they can not be imposed through the issue of an occupancy permit. The maintenance determination must now be in the approved form.</w:t>
            </w:r>
          </w:p>
        </w:tc>
      </w:tr>
      <w:tr w:rsidR="00B751DE" w:rsidRPr="00427EE1" w:rsidTr="006119D2">
        <w:trPr>
          <w:cantSplit/>
          <w:trHeight w:val="340"/>
        </w:trPr>
        <w:tc>
          <w:tcPr>
            <w:tcW w:w="99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rPr>
            </w:pPr>
            <w:r w:rsidRPr="00427EE1">
              <w:rPr>
                <w:rFonts w:eastAsia="Calibri"/>
              </w:rPr>
              <w:t>1205</w:t>
            </w:r>
          </w:p>
        </w:tc>
        <w:tc>
          <w:tcPr>
            <w:tcW w:w="97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lang w:eastAsia="en-US"/>
              </w:rPr>
            </w:pPr>
            <w:r w:rsidRPr="00427EE1">
              <w:rPr>
                <w:rFonts w:eastAsia="Calibri"/>
                <w:lang w:eastAsia="en-US"/>
              </w:rPr>
              <w:t>214</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D615BC" w:rsidRPr="00427EE1" w:rsidRDefault="00B751DE">
            <w:pPr>
              <w:pStyle w:val="Tabletext"/>
              <w:rPr>
                <w:rFonts w:eastAsia="Calibri"/>
                <w:b/>
                <w:lang w:eastAsia="en-US"/>
              </w:rPr>
            </w:pPr>
            <w:r w:rsidRPr="00427EE1">
              <w:rPr>
                <w:rFonts w:eastAsia="Calibri"/>
                <w:b/>
                <w:lang w:eastAsia="en-US"/>
              </w:rPr>
              <w:t>Owner must comply with maintenance determination</w:t>
            </w:r>
          </w:p>
          <w:p w:rsidR="00B751DE" w:rsidRPr="00427EE1" w:rsidRDefault="0026629F">
            <w:pPr>
              <w:pStyle w:val="Tabletext"/>
              <w:rPr>
                <w:rFonts w:eastAsia="Calibri"/>
                <w:lang w:eastAsia="en-US"/>
              </w:rPr>
            </w:pPr>
            <w:r>
              <w:rPr>
                <w:rFonts w:eastAsia="Calibri"/>
                <w:lang w:eastAsia="en-US"/>
              </w:rPr>
              <w:t xml:space="preserve">Specifies </w:t>
            </w:r>
            <w:r w:rsidR="00B751DE" w:rsidRPr="00427EE1">
              <w:rPr>
                <w:rFonts w:eastAsia="Calibri"/>
                <w:lang w:eastAsia="en-US"/>
              </w:rPr>
              <w:t>maintenance requirements in relation to a</w:t>
            </w:r>
            <w:r w:rsidR="00D71A15" w:rsidRPr="00427EE1">
              <w:rPr>
                <w:rFonts w:eastAsia="Calibri"/>
                <w:lang w:eastAsia="en-US"/>
              </w:rPr>
              <w:t xml:space="preserve"> </w:t>
            </w:r>
            <w:r w:rsidR="00B751DE" w:rsidRPr="00427EE1">
              <w:rPr>
                <w:rFonts w:eastAsia="Calibri"/>
                <w:lang w:eastAsia="en-US"/>
              </w:rPr>
              <w:t xml:space="preserve">maintenance determinations for buildings or </w:t>
            </w:r>
            <w:proofErr w:type="spellStart"/>
            <w:r w:rsidR="00A030CC">
              <w:rPr>
                <w:rFonts w:eastAsia="Calibri"/>
                <w:lang w:eastAsia="en-US"/>
              </w:rPr>
              <w:t>PoPEs</w:t>
            </w:r>
            <w:proofErr w:type="spellEnd"/>
            <w:r w:rsidR="002D39C3">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FF53B8">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FF53B8">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m</w:t>
            </w:r>
            <w:r w:rsidR="00B751DE" w:rsidRPr="00427EE1">
              <w:rPr>
                <w:rFonts w:eastAsia="Calibri"/>
              </w:rPr>
              <w:t>itigate</w:t>
            </w:r>
            <w:r w:rsidRPr="00427EE1">
              <w:rPr>
                <w:rFonts w:eastAsia="Calibri"/>
              </w:rPr>
              <w:t>s</w:t>
            </w:r>
            <w:r w:rsidR="00B751DE" w:rsidRPr="00427EE1">
              <w:rPr>
                <w:rFonts w:eastAsia="Calibri"/>
              </w:rPr>
              <w:t xml:space="preserve"> health and safety risks by ensuring there is an obligation to comply with a maintenance determination when proposed </w:t>
            </w:r>
            <w:r w:rsidR="000273F9">
              <w:rPr>
                <w:rFonts w:eastAsia="Calibri"/>
              </w:rPr>
              <w:t>Regulation</w:t>
            </w:r>
            <w:r w:rsidR="00B751DE" w:rsidRPr="00427EE1">
              <w:rPr>
                <w:rFonts w:eastAsia="Calibri"/>
              </w:rPr>
              <w:t xml:space="preserve"> 193(2) will not apply. The </w:t>
            </w:r>
            <w:r w:rsidR="000273F9">
              <w:rPr>
                <w:rFonts w:eastAsia="Calibri"/>
              </w:rPr>
              <w:t>Regulation</w:t>
            </w:r>
            <w:r w:rsidR="00B751DE" w:rsidRPr="00427EE1">
              <w:rPr>
                <w:rFonts w:eastAsia="Calibri"/>
              </w:rPr>
              <w:t xml:space="preserve"> has been updated to apply only to a building does not have an occupancy permit. The penalty has increased</w:t>
            </w:r>
            <w:r w:rsidR="00385906" w:rsidRPr="00427EE1">
              <w:rPr>
                <w:rFonts w:eastAsia="Calibri"/>
              </w:rPr>
              <w:t xml:space="preserve"> fr</w:t>
            </w:r>
            <w:r w:rsidR="00966F19" w:rsidRPr="00427EE1">
              <w:rPr>
                <w:rFonts w:eastAsia="Calibri"/>
              </w:rPr>
              <w:t>o</w:t>
            </w:r>
            <w:r w:rsidR="00385906" w:rsidRPr="00427EE1">
              <w:rPr>
                <w:rFonts w:eastAsia="Calibri"/>
              </w:rPr>
              <w:t xml:space="preserve">m </w:t>
            </w:r>
            <w:r w:rsidRPr="00427EE1">
              <w:rPr>
                <w:rFonts w:eastAsia="Calibri"/>
              </w:rPr>
              <w:t>10</w:t>
            </w:r>
            <w:r w:rsidR="00385906" w:rsidRPr="00427EE1">
              <w:rPr>
                <w:rFonts w:eastAsia="Calibri"/>
              </w:rPr>
              <w:t xml:space="preserve"> to </w:t>
            </w:r>
            <w:r w:rsidRPr="00427EE1">
              <w:rPr>
                <w:rFonts w:eastAsia="Calibri"/>
              </w:rPr>
              <w:t xml:space="preserve">20 </w:t>
            </w:r>
            <w:r w:rsidR="003F0AA3" w:rsidRPr="00427EE1">
              <w:rPr>
                <w:rFonts w:eastAsia="Calibri"/>
              </w:rPr>
              <w:t xml:space="preserve">penalty units </w:t>
            </w:r>
            <w:r w:rsidRPr="00427EE1">
              <w:rPr>
                <w:rFonts w:eastAsia="Calibri"/>
              </w:rPr>
              <w:t xml:space="preserve">because </w:t>
            </w:r>
            <w:r w:rsidR="0023395A">
              <w:rPr>
                <w:rFonts w:eastAsia="Calibri"/>
              </w:rPr>
              <w:t>non</w:t>
            </w:r>
            <w:r w:rsidRPr="00427EE1">
              <w:rPr>
                <w:rFonts w:eastAsia="Calibri"/>
              </w:rPr>
              <w:t>compliance with a maintenance determination could result in injury and death</w:t>
            </w:r>
            <w:r w:rsidR="00966F19" w:rsidRPr="00427EE1">
              <w:rPr>
                <w:rFonts w:eastAsia="Calibri"/>
              </w:rPr>
              <w:t>.</w:t>
            </w:r>
          </w:p>
        </w:tc>
      </w:tr>
      <w:tr w:rsidR="00B751DE" w:rsidRPr="00427EE1" w:rsidTr="006119D2">
        <w:trPr>
          <w:cantSplit/>
          <w:trHeight w:val="340"/>
        </w:trPr>
        <w:tc>
          <w:tcPr>
            <w:tcW w:w="99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1205A</w:t>
            </w:r>
          </w:p>
        </w:tc>
        <w:tc>
          <w:tcPr>
            <w:tcW w:w="97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215</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B751DE">
            <w:pPr>
              <w:pStyle w:val="Tabletext"/>
              <w:rPr>
                <w:rFonts w:eastAsia="Calibri"/>
                <w:b/>
                <w:lang w:eastAsia="en-US"/>
              </w:rPr>
            </w:pPr>
            <w:r w:rsidRPr="00427EE1">
              <w:rPr>
                <w:rFonts w:eastAsia="Calibri"/>
                <w:b/>
                <w:lang w:eastAsia="en-US"/>
              </w:rPr>
              <w:t>Compliance with AS 1851—2012 taken to be compliance with earlier standards</w:t>
            </w:r>
          </w:p>
          <w:p w:rsidR="00B751DE" w:rsidRPr="00427EE1" w:rsidRDefault="002E244C">
            <w:pPr>
              <w:pStyle w:val="Tabletext"/>
              <w:rPr>
                <w:rFonts w:eastAsia="Calibri"/>
                <w:lang w:eastAsia="en-US"/>
              </w:rPr>
            </w:pPr>
            <w:r>
              <w:rPr>
                <w:rFonts w:eastAsia="Calibri"/>
                <w:lang w:eastAsia="en-US"/>
              </w:rPr>
              <w:t xml:space="preserve">Enables </w:t>
            </w:r>
            <w:r w:rsidR="00B751DE" w:rsidRPr="00427EE1">
              <w:rPr>
                <w:rFonts w:eastAsia="Calibri"/>
                <w:lang w:eastAsia="en-US"/>
              </w:rPr>
              <w:t xml:space="preserve">maintenance of </w:t>
            </w:r>
            <w:r w:rsidR="00296466">
              <w:rPr>
                <w:rFonts w:eastAsia="Calibri"/>
                <w:lang w:eastAsia="en-US"/>
              </w:rPr>
              <w:t>ESMs</w:t>
            </w:r>
            <w:r w:rsidR="00B751DE" w:rsidRPr="00427EE1">
              <w:rPr>
                <w:rFonts w:eastAsia="Calibri"/>
                <w:lang w:eastAsia="en-US"/>
              </w:rPr>
              <w:t xml:space="preserve"> to be in accordance with the AS 1851—2005 Maintenance of fire protection systems and equipment despite what is specified in relation to the maintenance determination</w:t>
            </w:r>
            <w:r w:rsidR="002D39C3">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FF53B8">
            <w:pPr>
              <w:pStyle w:val="Tabletext"/>
              <w:rPr>
                <w:rFonts w:eastAsia="Calibri"/>
              </w:rPr>
            </w:pPr>
            <w:r w:rsidRPr="00427EE1">
              <w:rPr>
                <w:rFonts w:eastAsia="Calibri"/>
                <w:lang w:eastAsia="en-US"/>
              </w:rPr>
              <w:t xml:space="preserve"> This </w:t>
            </w:r>
            <w:r w:rsidR="000273F9">
              <w:rPr>
                <w:rFonts w:eastAsia="Calibri"/>
                <w:lang w:eastAsia="en-US"/>
              </w:rPr>
              <w:t>Regulation</w:t>
            </w:r>
            <w:r w:rsidRPr="00427EE1">
              <w:rPr>
                <w:rFonts w:eastAsia="Calibri"/>
                <w:lang w:eastAsia="en-US"/>
              </w:rPr>
              <w:t xml:space="preserve"> r</w:t>
            </w:r>
            <w:r w:rsidR="00B751DE" w:rsidRPr="00427EE1">
              <w:rPr>
                <w:rFonts w:eastAsia="Calibri"/>
              </w:rPr>
              <w:t xml:space="preserve">educes burden and improves safety by allowing for owners to maintain the </w:t>
            </w:r>
            <w:r w:rsidR="00296466">
              <w:rPr>
                <w:rFonts w:eastAsia="Calibri"/>
              </w:rPr>
              <w:t>ESMs</w:t>
            </w:r>
            <w:r w:rsidR="00B751DE" w:rsidRPr="00427EE1">
              <w:rPr>
                <w:rFonts w:eastAsia="Calibri"/>
              </w:rPr>
              <w:t xml:space="preserve"> in accordance with another standard, which is considered to be less onerous to comply with than earlier versions of that standard.</w:t>
            </w:r>
          </w:p>
        </w:tc>
      </w:tr>
    </w:tbl>
    <w:p w:rsidR="00B751DE" w:rsidRPr="00427EE1" w:rsidRDefault="00B751DE" w:rsidP="006757E8"/>
    <w:p w:rsidR="002D5E35" w:rsidRDefault="002D5E35">
      <w:pPr>
        <w:spacing w:after="0"/>
        <w:rPr>
          <w:rFonts w:asciiTheme="majorHAnsi" w:eastAsiaTheme="majorEastAsia" w:hAnsiTheme="majorHAnsi" w:cstheme="majorBidi"/>
          <w:i/>
          <w:color w:val="494847"/>
          <w:u w:val="single"/>
        </w:rPr>
      </w:pPr>
      <w:r>
        <w:br w:type="page"/>
      </w:r>
    </w:p>
    <w:p w:rsidR="00B751DE" w:rsidRPr="00427EE1" w:rsidRDefault="00EF2008" w:rsidP="006119D2">
      <w:pPr>
        <w:pStyle w:val="Heading5"/>
      </w:pPr>
      <w:r>
        <w:lastRenderedPageBreak/>
        <w:t>Sub-div</w:t>
      </w:r>
      <w:r w:rsidR="00B751DE" w:rsidRPr="00427EE1">
        <w:t xml:space="preserve"> 3</w:t>
      </w:r>
      <w:r w:rsidR="008475D9">
        <w:t>—</w:t>
      </w:r>
      <w:r w:rsidR="00B751DE" w:rsidRPr="00427EE1">
        <w:t>Maintenance schedules</w:t>
      </w:r>
    </w:p>
    <w:tbl>
      <w:tblPr>
        <w:tblW w:w="14521" w:type="dxa"/>
        <w:tblInd w:w="-144"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94"/>
        <w:gridCol w:w="959"/>
        <w:gridCol w:w="4243"/>
        <w:gridCol w:w="399"/>
        <w:gridCol w:w="399"/>
        <w:gridCol w:w="402"/>
        <w:gridCol w:w="400"/>
        <w:gridCol w:w="398"/>
        <w:gridCol w:w="6327"/>
      </w:tblGrid>
      <w:tr w:rsidR="002D39C3" w:rsidRPr="00427EE1" w:rsidTr="006119D2">
        <w:trPr>
          <w:cantSplit/>
          <w:trHeight w:val="392"/>
          <w:tblHeader/>
        </w:trPr>
        <w:tc>
          <w:tcPr>
            <w:tcW w:w="994" w:type="dxa"/>
            <w:vMerge w:val="restart"/>
            <w:shd w:val="clear" w:color="auto" w:fill="00B2A9" w:themeFill="accent1"/>
            <w:vAlign w:val="center"/>
            <w:hideMark/>
          </w:tcPr>
          <w:p w:rsidR="002D39C3" w:rsidRDefault="002D39C3">
            <w:pPr>
              <w:pStyle w:val="Tablecolumnhead"/>
              <w:rPr>
                <w:rFonts w:asciiTheme="majorHAnsi" w:eastAsia="Calibri" w:hAnsiTheme="majorHAnsi" w:cstheme="majorBidi"/>
                <w:sz w:val="40"/>
              </w:rPr>
            </w:pPr>
            <w:r w:rsidRPr="00BE72D7">
              <w:rPr>
                <w:rFonts w:eastAsia="Calibri"/>
              </w:rPr>
              <w:t>2006</w:t>
            </w:r>
          </w:p>
          <w:p w:rsidR="002D39C3" w:rsidRPr="00616EAD" w:rsidRDefault="002D39C3">
            <w:pPr>
              <w:pStyle w:val="Tablecolumnhead"/>
              <w:rPr>
                <w:rFonts w:eastAsia="Calibri"/>
              </w:rPr>
            </w:pPr>
            <w:r w:rsidRPr="00C44680">
              <w:rPr>
                <w:rFonts w:ascii="Arial Bold" w:eastAsia="Calibri" w:hAnsi="Arial Bold"/>
                <w:spacing w:val="-12"/>
                <w:sz w:val="16"/>
              </w:rPr>
              <w:t>Regulation</w:t>
            </w:r>
          </w:p>
        </w:tc>
        <w:tc>
          <w:tcPr>
            <w:tcW w:w="959" w:type="dxa"/>
            <w:vMerge w:val="restart"/>
            <w:shd w:val="clear" w:color="auto" w:fill="00B2A9" w:themeFill="accent1"/>
            <w:vAlign w:val="center"/>
            <w:hideMark/>
          </w:tcPr>
          <w:p w:rsidR="002D39C3" w:rsidRDefault="002D39C3">
            <w:pPr>
              <w:pStyle w:val="Tablecolumnhead"/>
              <w:rPr>
                <w:rFonts w:asciiTheme="majorHAnsi" w:eastAsiaTheme="majorEastAsia" w:hAnsiTheme="majorHAnsi" w:cstheme="majorBidi"/>
                <w:sz w:val="40"/>
              </w:rPr>
            </w:pPr>
            <w:r w:rsidRPr="008F0E53">
              <w:rPr>
                <w:rFonts w:eastAsia="Calibri"/>
              </w:rPr>
              <w:t>2017</w:t>
            </w:r>
          </w:p>
          <w:p w:rsidR="002D39C3" w:rsidRPr="00616EAD" w:rsidRDefault="002D39C3">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2D39C3" w:rsidRPr="00616EAD" w:rsidRDefault="002D39C3">
            <w:pPr>
              <w:pStyle w:val="Tablecolumnhead"/>
              <w:rPr>
                <w:rFonts w:eastAsia="Calibri"/>
              </w:rPr>
            </w:pPr>
            <w:r w:rsidRPr="00616EAD">
              <w:rPr>
                <w:szCs w:val="22"/>
              </w:rPr>
              <w:t xml:space="preserve">Short description of the </w:t>
            </w:r>
            <w:r>
              <w:rPr>
                <w:szCs w:val="22"/>
              </w:rPr>
              <w:t>Regulation</w:t>
            </w:r>
          </w:p>
        </w:tc>
        <w:tc>
          <w:tcPr>
            <w:tcW w:w="1998" w:type="dxa"/>
            <w:gridSpan w:val="5"/>
            <w:shd w:val="clear" w:color="auto" w:fill="00B2A9" w:themeFill="accent1"/>
            <w:vAlign w:val="center"/>
          </w:tcPr>
          <w:p w:rsidR="002D39C3" w:rsidRPr="00616EAD" w:rsidRDefault="002D39C3">
            <w:pPr>
              <w:pStyle w:val="Tablecolumnhead"/>
            </w:pPr>
            <w:r w:rsidRPr="00616EAD">
              <w:rPr>
                <w:szCs w:val="22"/>
              </w:rPr>
              <w:t>Proposed regulatory change</w:t>
            </w:r>
          </w:p>
        </w:tc>
        <w:tc>
          <w:tcPr>
            <w:tcW w:w="6327" w:type="dxa"/>
            <w:vMerge w:val="restart"/>
            <w:shd w:val="clear" w:color="auto" w:fill="00B2A9" w:themeFill="accent1"/>
            <w:vAlign w:val="center"/>
          </w:tcPr>
          <w:p w:rsidR="002D39C3" w:rsidRPr="00616EAD" w:rsidRDefault="002D39C3">
            <w:pPr>
              <w:pStyle w:val="Tablecolumnhead"/>
            </w:pPr>
            <w:r w:rsidRPr="00616EAD">
              <w:rPr>
                <w:szCs w:val="22"/>
              </w:rPr>
              <w:t>Why the 2017 Regulation is proposed</w:t>
            </w:r>
          </w:p>
        </w:tc>
      </w:tr>
      <w:tr w:rsidR="00B751DE" w:rsidRPr="00427EE1" w:rsidTr="006119D2">
        <w:trPr>
          <w:cantSplit/>
          <w:trHeight w:val="966"/>
          <w:tblHeader/>
        </w:trPr>
        <w:tc>
          <w:tcPr>
            <w:tcW w:w="994"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959"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B751DE" w:rsidRPr="00427EE1" w:rsidTr="006119D2">
        <w:trPr>
          <w:cantSplit/>
          <w:trHeight w:val="340"/>
        </w:trPr>
        <w:tc>
          <w:tcPr>
            <w:tcW w:w="99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616EAD" w:rsidRDefault="00B751DE" w:rsidP="006757E8">
            <w:pPr>
              <w:pStyle w:val="Tabletext"/>
              <w:rPr>
                <w:rFonts w:eastAsia="Calibri"/>
                <w:b/>
              </w:rPr>
            </w:pPr>
            <w:r w:rsidRPr="00616EAD">
              <w:rPr>
                <w:rFonts w:eastAsia="Calibri"/>
                <w:b/>
              </w:rPr>
              <w:t>n/a</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lang w:eastAsia="en-US"/>
              </w:rPr>
            </w:pPr>
            <w:r w:rsidRPr="00427EE1">
              <w:rPr>
                <w:rFonts w:eastAsia="Calibri"/>
                <w:lang w:eastAsia="en-US"/>
              </w:rPr>
              <w:t>NEW</w:t>
            </w:r>
          </w:p>
          <w:p w:rsidR="00B751DE" w:rsidRPr="00427EE1" w:rsidRDefault="00B751DE">
            <w:pPr>
              <w:pStyle w:val="Tabletext"/>
              <w:rPr>
                <w:rFonts w:eastAsia="Calibri"/>
                <w:lang w:eastAsia="en-US"/>
              </w:rPr>
            </w:pPr>
            <w:r w:rsidRPr="00427EE1">
              <w:rPr>
                <w:rFonts w:eastAsia="Calibri"/>
                <w:lang w:eastAsia="en-US"/>
              </w:rPr>
              <w:t>216</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D615BC" w:rsidRPr="00616EAD" w:rsidRDefault="00AB414E">
            <w:pPr>
              <w:pStyle w:val="Tabletext"/>
              <w:rPr>
                <w:rFonts w:eastAsia="Calibri"/>
                <w:b/>
                <w:lang w:eastAsia="en-US"/>
              </w:rPr>
            </w:pPr>
            <w:r>
              <w:rPr>
                <w:rFonts w:eastAsia="Calibri"/>
                <w:b/>
                <w:lang w:eastAsia="en-US"/>
              </w:rPr>
              <w:t>RBS</w:t>
            </w:r>
            <w:r w:rsidR="00B751DE" w:rsidRPr="00616EAD">
              <w:rPr>
                <w:rFonts w:eastAsia="Calibri"/>
                <w:b/>
                <w:lang w:eastAsia="en-US"/>
              </w:rPr>
              <w:t xml:space="preserve"> must prepare or update maintenance schedule</w:t>
            </w:r>
          </w:p>
          <w:p w:rsidR="00B751DE" w:rsidRPr="00427EE1" w:rsidRDefault="002E244C">
            <w:pPr>
              <w:pStyle w:val="Tabletext"/>
              <w:rPr>
                <w:rFonts w:eastAsia="Calibri"/>
                <w:lang w:eastAsia="en-US"/>
              </w:rPr>
            </w:pPr>
            <w:r>
              <w:rPr>
                <w:rFonts w:eastAsia="Calibri"/>
                <w:lang w:eastAsia="en-US"/>
              </w:rPr>
              <w:t xml:space="preserve">Requires </w:t>
            </w:r>
            <w:r w:rsidR="00B751DE" w:rsidRPr="00427EE1">
              <w:rPr>
                <w:rFonts w:eastAsia="Calibri"/>
                <w:lang w:eastAsia="en-US"/>
              </w:rPr>
              <w:t xml:space="preserve">a maintenance schedule to be prepared in certain circumstances for buildings with existing </w:t>
            </w:r>
            <w:r w:rsidR="00296466">
              <w:rPr>
                <w:rFonts w:eastAsia="Calibri"/>
                <w:lang w:eastAsia="en-US"/>
              </w:rPr>
              <w:t>ESMs</w:t>
            </w:r>
            <w:r w:rsidR="00B751DE" w:rsidRPr="00427EE1">
              <w:rPr>
                <w:rFonts w:eastAsia="Calibri"/>
                <w:lang w:eastAsia="en-US"/>
              </w:rPr>
              <w:t xml:space="preserve"> installed. The owner must provide all relevant records to prepare it.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FF53B8">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m</w:t>
            </w:r>
            <w:r w:rsidR="00B751DE" w:rsidRPr="00427EE1">
              <w:rPr>
                <w:rFonts w:eastAsia="Calibri"/>
              </w:rPr>
              <w:t xml:space="preserve">itigates health and safety risks from information asymmetry. A new </w:t>
            </w:r>
            <w:r w:rsidR="000273F9">
              <w:rPr>
                <w:rFonts w:eastAsia="Calibri"/>
              </w:rPr>
              <w:t>Regulation</w:t>
            </w:r>
            <w:r w:rsidR="00B751DE" w:rsidRPr="00427EE1">
              <w:rPr>
                <w:rFonts w:eastAsia="Calibri"/>
              </w:rPr>
              <w:t xml:space="preserve"> to provide all current and future building owners with a single point of reference in relation to the </w:t>
            </w:r>
            <w:r w:rsidR="00296466">
              <w:rPr>
                <w:rFonts w:eastAsia="Calibri"/>
              </w:rPr>
              <w:t>ESMs</w:t>
            </w:r>
            <w:r w:rsidR="00B751DE" w:rsidRPr="00427EE1">
              <w:rPr>
                <w:rFonts w:eastAsia="Calibri"/>
              </w:rPr>
              <w:t xml:space="preserve"> in the buildings and the maintenance obligations associated with them. A penalty applies to this </w:t>
            </w:r>
            <w:r w:rsidR="000273F9">
              <w:rPr>
                <w:rFonts w:eastAsia="Calibri"/>
              </w:rPr>
              <w:t>Regulation</w:t>
            </w:r>
            <w:r w:rsidR="00B751DE" w:rsidRPr="00427EE1">
              <w:rPr>
                <w:rFonts w:eastAsia="Calibri"/>
              </w:rPr>
              <w:t>.</w:t>
            </w:r>
          </w:p>
        </w:tc>
      </w:tr>
      <w:tr w:rsidR="00B751DE" w:rsidRPr="00427EE1" w:rsidTr="006119D2">
        <w:trPr>
          <w:cantSplit/>
          <w:trHeight w:val="340"/>
        </w:trPr>
        <w:tc>
          <w:tcPr>
            <w:tcW w:w="99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1206</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Multiple</w:t>
            </w:r>
          </w:p>
        </w:tc>
        <w:tc>
          <w:tcPr>
            <w:tcW w:w="12568" w:type="dxa"/>
            <w:gridSpan w:val="7"/>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D9D9D9" w:themeFill="background1" w:themeFillShade="D9"/>
          </w:tcPr>
          <w:p w:rsidR="00B751DE" w:rsidRPr="00427EE1" w:rsidRDefault="00B751DE">
            <w:pPr>
              <w:pStyle w:val="Tabletext"/>
              <w:rPr>
                <w:rFonts w:eastAsia="Calibri"/>
              </w:rPr>
            </w:pPr>
            <w:r w:rsidRPr="00427EE1">
              <w:rPr>
                <w:rFonts w:eastAsia="Calibri"/>
                <w:i/>
                <w:lang w:eastAsia="en-US"/>
              </w:rPr>
              <w:t xml:space="preserve">Has been </w:t>
            </w:r>
            <w:r w:rsidRPr="00427EE1">
              <w:rPr>
                <w:rFonts w:eastAsia="Calibri"/>
                <w:b/>
                <w:i/>
                <w:lang w:eastAsia="en-US"/>
              </w:rPr>
              <w:t>replaced</w:t>
            </w:r>
            <w:r w:rsidRPr="00427EE1">
              <w:rPr>
                <w:rFonts w:eastAsia="Calibri"/>
                <w:i/>
                <w:lang w:eastAsia="en-US"/>
              </w:rPr>
              <w:t xml:space="preserve"> by two </w:t>
            </w:r>
            <w:r w:rsidR="008911CB">
              <w:rPr>
                <w:rFonts w:eastAsia="Calibri"/>
                <w:i/>
                <w:lang w:eastAsia="en-US"/>
              </w:rPr>
              <w:t>Regulations</w:t>
            </w:r>
            <w:r w:rsidRPr="00427EE1">
              <w:rPr>
                <w:rFonts w:eastAsia="Calibri"/>
                <w:i/>
                <w:lang w:eastAsia="en-US"/>
              </w:rPr>
              <w:t xml:space="preserve">. Discussed immediately below in relation to </w:t>
            </w:r>
            <w:r w:rsidR="008911CB">
              <w:rPr>
                <w:rFonts w:eastAsia="Calibri"/>
                <w:i/>
                <w:lang w:eastAsia="en-US"/>
              </w:rPr>
              <w:t>proposed Regulations</w:t>
            </w:r>
            <w:r w:rsidRPr="00427EE1">
              <w:rPr>
                <w:rFonts w:eastAsia="Calibri"/>
                <w:i/>
                <w:lang w:eastAsia="en-US"/>
              </w:rPr>
              <w:t xml:space="preserve"> 217, 218 and 220</w:t>
            </w:r>
          </w:p>
        </w:tc>
      </w:tr>
      <w:tr w:rsidR="00B751DE" w:rsidRPr="00427EE1" w:rsidTr="006119D2">
        <w:trPr>
          <w:cantSplit/>
          <w:trHeight w:val="340"/>
        </w:trPr>
        <w:tc>
          <w:tcPr>
            <w:tcW w:w="99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616EAD" w:rsidRDefault="00B751DE" w:rsidP="006757E8">
            <w:pPr>
              <w:pStyle w:val="Tabletext"/>
              <w:rPr>
                <w:rFonts w:eastAsia="Calibri"/>
                <w:b/>
              </w:rPr>
            </w:pPr>
            <w:r w:rsidRPr="00616EAD">
              <w:rPr>
                <w:rFonts w:eastAsia="Calibri"/>
                <w:b/>
              </w:rPr>
              <w:t>n/a</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NEW</w:t>
            </w:r>
          </w:p>
          <w:p w:rsidR="00B751DE" w:rsidRPr="00427EE1" w:rsidRDefault="00B751DE">
            <w:pPr>
              <w:pStyle w:val="Tabletext"/>
              <w:rPr>
                <w:rFonts w:eastAsia="Calibri"/>
                <w:lang w:eastAsia="en-US"/>
              </w:rPr>
            </w:pPr>
            <w:r w:rsidRPr="00427EE1">
              <w:rPr>
                <w:rFonts w:eastAsia="Calibri"/>
                <w:lang w:eastAsia="en-US"/>
              </w:rPr>
              <w:t>217</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D615BC" w:rsidRPr="00616EAD" w:rsidRDefault="00B751DE">
            <w:pPr>
              <w:pStyle w:val="Tabletext"/>
              <w:rPr>
                <w:rFonts w:eastAsia="Calibri"/>
                <w:b/>
                <w:lang w:eastAsia="en-US"/>
              </w:rPr>
            </w:pPr>
            <w:r w:rsidRPr="00616EAD">
              <w:rPr>
                <w:rFonts w:eastAsia="Calibri"/>
                <w:b/>
                <w:lang w:eastAsia="en-US"/>
              </w:rPr>
              <w:t>Owner of building or place may apply for maintenance schedule</w:t>
            </w:r>
          </w:p>
          <w:p w:rsidR="00B751DE" w:rsidRPr="00427EE1" w:rsidRDefault="002E244C">
            <w:pPr>
              <w:pStyle w:val="Tabletext"/>
              <w:rPr>
                <w:rFonts w:eastAsia="Calibri"/>
                <w:lang w:eastAsia="en-US"/>
              </w:rPr>
            </w:pPr>
            <w:r>
              <w:rPr>
                <w:rFonts w:eastAsia="Calibri"/>
                <w:lang w:eastAsia="en-US"/>
              </w:rPr>
              <w:t xml:space="preserve">Enables </w:t>
            </w:r>
            <w:r w:rsidR="00B751DE" w:rsidRPr="00427EE1">
              <w:rPr>
                <w:rFonts w:eastAsia="Calibri"/>
                <w:lang w:eastAsia="en-US"/>
              </w:rPr>
              <w:t>a building surveyor to provide a service preparing maintenance schedules</w:t>
            </w:r>
            <w:r w:rsidR="002D39C3">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FF53B8">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e</w:t>
            </w:r>
            <w:r w:rsidR="00B751DE" w:rsidRPr="00427EE1">
              <w:rPr>
                <w:rFonts w:eastAsia="Calibri"/>
              </w:rPr>
              <w:t>nsure</w:t>
            </w:r>
            <w:r w:rsidRPr="00427EE1">
              <w:rPr>
                <w:rFonts w:eastAsia="Calibri"/>
              </w:rPr>
              <w:t>s</w:t>
            </w:r>
            <w:r w:rsidR="00B751DE" w:rsidRPr="00427EE1">
              <w:rPr>
                <w:rFonts w:eastAsia="Calibri"/>
              </w:rPr>
              <w:t xml:space="preserve"> maintenance schedules are prepared by appropriately qualified persons and in accordance with the </w:t>
            </w:r>
            <w:r w:rsidR="008911CB">
              <w:rPr>
                <w:rFonts w:eastAsia="Calibri"/>
              </w:rPr>
              <w:t>Regulations</w:t>
            </w:r>
            <w:r w:rsidR="00B751DE" w:rsidRPr="00427EE1">
              <w:rPr>
                <w:rFonts w:eastAsia="Calibri"/>
              </w:rPr>
              <w:t xml:space="preserve"> where an owner at their own discretion elects to have one prepared. Very similar to current </w:t>
            </w:r>
            <w:proofErr w:type="spellStart"/>
            <w:r w:rsidR="003902AD">
              <w:rPr>
                <w:rFonts w:eastAsia="Calibri"/>
              </w:rPr>
              <w:t>reg</w:t>
            </w:r>
            <w:proofErr w:type="spellEnd"/>
            <w:r w:rsidR="003902AD">
              <w:rPr>
                <w:rFonts w:eastAsia="Calibri"/>
              </w:rPr>
              <w:t xml:space="preserve"> 1</w:t>
            </w:r>
            <w:r w:rsidR="00B751DE" w:rsidRPr="00427EE1">
              <w:rPr>
                <w:rFonts w:eastAsia="Calibri"/>
              </w:rPr>
              <w:t>206.</w:t>
            </w:r>
          </w:p>
        </w:tc>
      </w:tr>
      <w:tr w:rsidR="00B751DE" w:rsidRPr="00427EE1" w:rsidTr="006119D2">
        <w:trPr>
          <w:cantSplit/>
          <w:trHeight w:val="340"/>
        </w:trPr>
        <w:tc>
          <w:tcPr>
            <w:tcW w:w="99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1206(1)</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218</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D615BC" w:rsidRPr="00427EE1" w:rsidRDefault="00B751DE">
            <w:pPr>
              <w:pStyle w:val="Tabletext"/>
              <w:rPr>
                <w:rFonts w:eastAsia="Calibri"/>
                <w:b/>
                <w:lang w:eastAsia="en-US"/>
              </w:rPr>
            </w:pPr>
            <w:r w:rsidRPr="00427EE1">
              <w:rPr>
                <w:rFonts w:eastAsia="Calibri"/>
                <w:b/>
                <w:lang w:eastAsia="en-US"/>
              </w:rPr>
              <w:t>Building surveyor may prepare maintenance schedule</w:t>
            </w:r>
          </w:p>
          <w:p w:rsidR="00B751DE" w:rsidRPr="00427EE1" w:rsidRDefault="002E244C">
            <w:pPr>
              <w:pStyle w:val="Tabletext"/>
              <w:rPr>
                <w:rFonts w:eastAsia="Calibri"/>
                <w:lang w:eastAsia="en-US"/>
              </w:rPr>
            </w:pPr>
            <w:r>
              <w:rPr>
                <w:rFonts w:eastAsia="Calibri"/>
                <w:lang w:eastAsia="en-US"/>
              </w:rPr>
              <w:t xml:space="preserve">Enables </w:t>
            </w:r>
            <w:r w:rsidR="00B751DE" w:rsidRPr="00427EE1">
              <w:rPr>
                <w:rFonts w:eastAsia="Calibri"/>
                <w:lang w:eastAsia="en-US"/>
              </w:rPr>
              <w:t xml:space="preserve">an owner to apply to a building surveyor for </w:t>
            </w:r>
            <w:r w:rsidR="00D90FC3">
              <w:rPr>
                <w:rFonts w:eastAsia="Calibri"/>
                <w:lang w:eastAsia="en-US"/>
              </w:rPr>
              <w:t>preparing</w:t>
            </w:r>
            <w:r w:rsidR="00B751DE" w:rsidRPr="00427EE1">
              <w:rPr>
                <w:rFonts w:eastAsia="Calibri"/>
                <w:lang w:eastAsia="en-US"/>
              </w:rPr>
              <w:t xml:space="preserve"> a maintenance schedule.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FF53B8">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r</w:t>
            </w:r>
            <w:r w:rsidR="00B751DE" w:rsidRPr="00427EE1">
              <w:rPr>
                <w:rFonts w:eastAsia="Calibri"/>
              </w:rPr>
              <w:t xml:space="preserve">educes information asymmetry. Allows for building owners to improve their records and requirements in relation to </w:t>
            </w:r>
            <w:r w:rsidR="00296466">
              <w:rPr>
                <w:rFonts w:eastAsia="Calibri"/>
              </w:rPr>
              <w:t>ESMs</w:t>
            </w:r>
            <w:r w:rsidR="00B751DE" w:rsidRPr="00427EE1">
              <w:rPr>
                <w:rFonts w:eastAsia="Calibri"/>
              </w:rPr>
              <w:t xml:space="preserve"> at their own discretion.</w:t>
            </w:r>
          </w:p>
        </w:tc>
      </w:tr>
      <w:tr w:rsidR="00B751DE" w:rsidRPr="00427EE1" w:rsidTr="006119D2">
        <w:trPr>
          <w:cantSplit/>
          <w:trHeight w:val="340"/>
        </w:trPr>
        <w:tc>
          <w:tcPr>
            <w:tcW w:w="99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b/>
              </w:rPr>
            </w:pPr>
            <w:r w:rsidRPr="00427EE1">
              <w:rPr>
                <w:rFonts w:eastAsia="Calibri"/>
                <w:b/>
              </w:rPr>
              <w:t>n/a</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NEW</w:t>
            </w:r>
          </w:p>
          <w:p w:rsidR="00B751DE" w:rsidRPr="00427EE1" w:rsidRDefault="00B751DE">
            <w:pPr>
              <w:pStyle w:val="Tabletext"/>
              <w:rPr>
                <w:rFonts w:eastAsia="Calibri"/>
                <w:lang w:eastAsia="en-US"/>
              </w:rPr>
            </w:pPr>
            <w:r w:rsidRPr="00427EE1">
              <w:rPr>
                <w:rFonts w:eastAsia="Calibri"/>
                <w:lang w:eastAsia="en-US"/>
              </w:rPr>
              <w:t>219</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D615BC" w:rsidRPr="00427EE1" w:rsidRDefault="00B751DE">
            <w:pPr>
              <w:pStyle w:val="Tabletext"/>
              <w:rPr>
                <w:rFonts w:eastAsia="Calibri"/>
                <w:b/>
                <w:lang w:eastAsia="en-US"/>
              </w:rPr>
            </w:pPr>
            <w:r w:rsidRPr="00427EE1">
              <w:rPr>
                <w:rFonts w:eastAsia="Calibri"/>
                <w:b/>
                <w:lang w:eastAsia="en-US"/>
              </w:rPr>
              <w:t>Building surveyor must give owner copy of maintenance schedule</w:t>
            </w:r>
          </w:p>
          <w:p w:rsidR="00B751DE" w:rsidRPr="00427EE1" w:rsidRDefault="002E244C">
            <w:pPr>
              <w:pStyle w:val="Tabletext"/>
              <w:rPr>
                <w:rFonts w:eastAsia="Calibri"/>
                <w:lang w:eastAsia="en-US"/>
              </w:rPr>
            </w:pPr>
            <w:r>
              <w:rPr>
                <w:rFonts w:eastAsia="Calibri"/>
                <w:lang w:eastAsia="en-US"/>
              </w:rPr>
              <w:t xml:space="preserve">Requires </w:t>
            </w:r>
            <w:r w:rsidR="00B751DE" w:rsidRPr="00427EE1">
              <w:rPr>
                <w:rFonts w:eastAsia="Calibri"/>
                <w:lang w:eastAsia="en-US"/>
              </w:rPr>
              <w:t>a copy of the maintenance schedule to be provided to the owner of the building or place without delay</w:t>
            </w:r>
            <w:r w:rsidR="00C83190">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FF53B8">
            <w:pPr>
              <w:pStyle w:val="Tabletext"/>
              <w:rPr>
                <w:rFonts w:eastAsia="Calibri"/>
              </w:rPr>
            </w:pPr>
            <w:r w:rsidRPr="00427EE1">
              <w:rPr>
                <w:rFonts w:eastAsia="Calibri"/>
                <w:lang w:eastAsia="en-US"/>
              </w:rPr>
              <w:t xml:space="preserve"> This </w:t>
            </w:r>
            <w:r w:rsidR="000273F9">
              <w:rPr>
                <w:rFonts w:eastAsia="Calibri"/>
                <w:lang w:eastAsia="en-US"/>
              </w:rPr>
              <w:t>Regulation</w:t>
            </w:r>
            <w:r w:rsidRPr="00427EE1">
              <w:rPr>
                <w:rFonts w:eastAsia="Calibri"/>
                <w:lang w:eastAsia="en-US"/>
              </w:rPr>
              <w:t xml:space="preserve"> e</w:t>
            </w:r>
            <w:r w:rsidR="00B751DE" w:rsidRPr="00427EE1">
              <w:rPr>
                <w:rFonts w:eastAsia="Calibri"/>
              </w:rPr>
              <w:t xml:space="preserve">nsures the owner has a copy when one is prepared. This requirement has been specified to reduce administrative delays. </w:t>
            </w:r>
          </w:p>
        </w:tc>
      </w:tr>
      <w:tr w:rsidR="00B751DE" w:rsidRPr="00427EE1" w:rsidTr="006119D2">
        <w:trPr>
          <w:cantSplit/>
          <w:trHeight w:val="340"/>
        </w:trPr>
        <w:tc>
          <w:tcPr>
            <w:tcW w:w="99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1206(2)</w:t>
            </w:r>
          </w:p>
          <w:p w:rsidR="00B751DE" w:rsidRPr="00427EE1" w:rsidRDefault="00B751DE" w:rsidP="006757E8">
            <w:pPr>
              <w:pStyle w:val="Tabletext"/>
              <w:rPr>
                <w:rFonts w:eastAsia="Calibri"/>
              </w:rPr>
            </w:pPr>
            <w:r w:rsidRPr="00427EE1">
              <w:rPr>
                <w:rFonts w:eastAsia="Calibri"/>
              </w:rPr>
              <w:t>1206(4)</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pStyle w:val="Tabletext"/>
              <w:rPr>
                <w:rFonts w:eastAsia="Calibri"/>
                <w:lang w:eastAsia="en-US"/>
              </w:rPr>
            </w:pPr>
            <w:r w:rsidRPr="00427EE1">
              <w:rPr>
                <w:rFonts w:eastAsia="Calibri"/>
                <w:lang w:eastAsia="en-US"/>
              </w:rPr>
              <w:t>220</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B751DE">
            <w:pPr>
              <w:pStyle w:val="Tabletext"/>
              <w:rPr>
                <w:rFonts w:eastAsia="Calibri"/>
                <w:b/>
                <w:lang w:eastAsia="en-US"/>
              </w:rPr>
            </w:pPr>
            <w:r w:rsidRPr="00427EE1">
              <w:rPr>
                <w:rFonts w:eastAsia="Calibri"/>
                <w:b/>
                <w:lang w:eastAsia="en-US"/>
              </w:rPr>
              <w:t>Maintenance schedules</w:t>
            </w:r>
          </w:p>
          <w:p w:rsidR="00B751DE" w:rsidRPr="00427EE1" w:rsidRDefault="0026629F">
            <w:pPr>
              <w:pStyle w:val="Tabletext"/>
              <w:rPr>
                <w:rFonts w:eastAsia="Calibri"/>
                <w:lang w:eastAsia="en-US"/>
              </w:rPr>
            </w:pPr>
            <w:r>
              <w:rPr>
                <w:rFonts w:eastAsia="Calibri"/>
                <w:lang w:eastAsia="en-US"/>
              </w:rPr>
              <w:t xml:space="preserve">Specifies </w:t>
            </w:r>
            <w:r w:rsidR="00B751DE" w:rsidRPr="00427EE1">
              <w:rPr>
                <w:rFonts w:eastAsia="Calibri"/>
                <w:lang w:eastAsia="en-US"/>
              </w:rPr>
              <w:t xml:space="preserve">the form and information that must be contained in a maintenance schedule.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FF53B8">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r</w:t>
            </w:r>
            <w:r w:rsidR="00B751DE" w:rsidRPr="00427EE1">
              <w:rPr>
                <w:rFonts w:eastAsia="Calibri"/>
              </w:rPr>
              <w:t xml:space="preserve">equires all </w:t>
            </w:r>
            <w:r w:rsidR="00296466">
              <w:rPr>
                <w:rFonts w:eastAsia="Calibri"/>
              </w:rPr>
              <w:t>ESMs</w:t>
            </w:r>
            <w:r w:rsidR="00B751DE" w:rsidRPr="00427EE1">
              <w:rPr>
                <w:rFonts w:eastAsia="Calibri"/>
              </w:rPr>
              <w:t xml:space="preserve"> in a building to be listed in a maintenance schedule with the corresponding maintenance requirements. It must be in the form approved by </w:t>
            </w:r>
            <w:r w:rsidR="00720C4E">
              <w:rPr>
                <w:rFonts w:eastAsia="Calibri"/>
              </w:rPr>
              <w:t>VBA</w:t>
            </w:r>
            <w:r w:rsidR="00B751DE" w:rsidRPr="00427EE1">
              <w:rPr>
                <w:rFonts w:eastAsia="Calibri"/>
              </w:rPr>
              <w:t xml:space="preserve"> to facilitate consistent record</w:t>
            </w:r>
            <w:r w:rsidR="0023395A">
              <w:rPr>
                <w:rFonts w:eastAsia="Calibri"/>
              </w:rPr>
              <w:t>-</w:t>
            </w:r>
            <w:r w:rsidR="00B751DE" w:rsidRPr="00427EE1">
              <w:rPr>
                <w:rFonts w:eastAsia="Calibri"/>
              </w:rPr>
              <w:t xml:space="preserve">keeping across all buildings. </w:t>
            </w:r>
          </w:p>
        </w:tc>
      </w:tr>
    </w:tbl>
    <w:p w:rsidR="003F0AA3" w:rsidRPr="00427EE1" w:rsidRDefault="003F0AA3" w:rsidP="006757E8"/>
    <w:p w:rsidR="00B751DE" w:rsidRPr="00427EE1" w:rsidRDefault="00EF2008" w:rsidP="006119D2">
      <w:pPr>
        <w:pStyle w:val="Heading5"/>
      </w:pPr>
      <w:r>
        <w:lastRenderedPageBreak/>
        <w:t>Sub-div</w:t>
      </w:r>
      <w:r w:rsidR="00B751DE" w:rsidRPr="00427EE1">
        <w:t xml:space="preserve"> 4</w:t>
      </w:r>
      <w:r w:rsidR="008475D9">
        <w:t>—</w:t>
      </w:r>
      <w:r w:rsidR="00B751DE" w:rsidRPr="00427EE1">
        <w:t>Reporting and records</w:t>
      </w:r>
    </w:p>
    <w:tbl>
      <w:tblPr>
        <w:tblW w:w="14521" w:type="dxa"/>
        <w:tblInd w:w="-144"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94"/>
        <w:gridCol w:w="959"/>
        <w:gridCol w:w="4243"/>
        <w:gridCol w:w="399"/>
        <w:gridCol w:w="399"/>
        <w:gridCol w:w="402"/>
        <w:gridCol w:w="400"/>
        <w:gridCol w:w="398"/>
        <w:gridCol w:w="6327"/>
      </w:tblGrid>
      <w:tr w:rsidR="00C83190" w:rsidRPr="00427EE1" w:rsidTr="006119D2">
        <w:trPr>
          <w:cantSplit/>
          <w:trHeight w:val="229"/>
          <w:tblHeader/>
        </w:trPr>
        <w:tc>
          <w:tcPr>
            <w:tcW w:w="994" w:type="dxa"/>
            <w:vMerge w:val="restart"/>
            <w:shd w:val="clear" w:color="auto" w:fill="00B2A9" w:themeFill="accent1"/>
            <w:vAlign w:val="center"/>
            <w:hideMark/>
          </w:tcPr>
          <w:p w:rsidR="00C83190" w:rsidRDefault="00C83190">
            <w:pPr>
              <w:pStyle w:val="Tablecolumnhead"/>
              <w:rPr>
                <w:rFonts w:asciiTheme="majorHAnsi" w:eastAsia="Calibri" w:hAnsiTheme="majorHAnsi" w:cstheme="majorBidi"/>
                <w:sz w:val="40"/>
              </w:rPr>
            </w:pPr>
            <w:r w:rsidRPr="00BE72D7">
              <w:rPr>
                <w:rFonts w:eastAsia="Calibri"/>
              </w:rPr>
              <w:t>2006</w:t>
            </w:r>
          </w:p>
          <w:p w:rsidR="00C83190" w:rsidRPr="00616EAD" w:rsidRDefault="00C83190">
            <w:pPr>
              <w:pStyle w:val="Tablecolumnhead"/>
              <w:rPr>
                <w:rFonts w:eastAsia="Calibri"/>
              </w:rPr>
            </w:pPr>
            <w:r w:rsidRPr="00C44680">
              <w:rPr>
                <w:rFonts w:ascii="Arial Bold" w:eastAsia="Calibri" w:hAnsi="Arial Bold"/>
                <w:spacing w:val="-12"/>
                <w:sz w:val="16"/>
              </w:rPr>
              <w:t>Regulation</w:t>
            </w:r>
          </w:p>
        </w:tc>
        <w:tc>
          <w:tcPr>
            <w:tcW w:w="959" w:type="dxa"/>
            <w:vMerge w:val="restart"/>
            <w:shd w:val="clear" w:color="auto" w:fill="00B2A9" w:themeFill="accent1"/>
            <w:vAlign w:val="center"/>
            <w:hideMark/>
          </w:tcPr>
          <w:p w:rsidR="00C83190" w:rsidRDefault="00C83190">
            <w:pPr>
              <w:pStyle w:val="Tablecolumnhead"/>
              <w:rPr>
                <w:rFonts w:asciiTheme="majorHAnsi" w:eastAsiaTheme="majorEastAsia" w:hAnsiTheme="majorHAnsi" w:cstheme="majorBidi"/>
                <w:sz w:val="40"/>
              </w:rPr>
            </w:pPr>
            <w:r w:rsidRPr="008F0E53">
              <w:rPr>
                <w:rFonts w:eastAsia="Calibri"/>
              </w:rPr>
              <w:t>2017</w:t>
            </w:r>
          </w:p>
          <w:p w:rsidR="00C83190" w:rsidRPr="00616EAD" w:rsidRDefault="00C83190">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C83190" w:rsidRPr="00616EAD" w:rsidRDefault="00C83190">
            <w:pPr>
              <w:pStyle w:val="Tablecolumnhead"/>
              <w:rPr>
                <w:rFonts w:eastAsia="Calibri"/>
              </w:rPr>
            </w:pPr>
            <w:r w:rsidRPr="00616EAD">
              <w:t xml:space="preserve">Short description of the </w:t>
            </w:r>
            <w:r>
              <w:t>Regulation</w:t>
            </w:r>
          </w:p>
        </w:tc>
        <w:tc>
          <w:tcPr>
            <w:tcW w:w="1998" w:type="dxa"/>
            <w:gridSpan w:val="5"/>
            <w:shd w:val="clear" w:color="auto" w:fill="00B2A9" w:themeFill="accent1"/>
            <w:vAlign w:val="center"/>
          </w:tcPr>
          <w:p w:rsidR="00C83190" w:rsidRPr="00616EAD" w:rsidRDefault="00C83190">
            <w:pPr>
              <w:pStyle w:val="Tablecolumnhead"/>
            </w:pPr>
            <w:r w:rsidRPr="00616EAD">
              <w:t>Proposed regulatory change</w:t>
            </w:r>
          </w:p>
        </w:tc>
        <w:tc>
          <w:tcPr>
            <w:tcW w:w="6327" w:type="dxa"/>
            <w:vMerge w:val="restart"/>
            <w:shd w:val="clear" w:color="auto" w:fill="00B2A9" w:themeFill="accent1"/>
            <w:vAlign w:val="center"/>
          </w:tcPr>
          <w:p w:rsidR="00C83190" w:rsidRPr="00616EAD" w:rsidRDefault="00C83190">
            <w:pPr>
              <w:pStyle w:val="Tablecolumnhead"/>
            </w:pPr>
            <w:r w:rsidRPr="00616EAD">
              <w:t>Why the 2017 Regulation is proposed</w:t>
            </w:r>
          </w:p>
        </w:tc>
      </w:tr>
      <w:tr w:rsidR="00B751DE" w:rsidRPr="00427EE1" w:rsidTr="006119D2">
        <w:trPr>
          <w:cantSplit/>
          <w:trHeight w:val="966"/>
          <w:tblHeader/>
        </w:trPr>
        <w:tc>
          <w:tcPr>
            <w:tcW w:w="994"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959"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2E07DD" w:rsidRPr="00427EE1" w:rsidTr="006119D2">
        <w:trPr>
          <w:cantSplit/>
          <w:trHeight w:val="340"/>
        </w:trPr>
        <w:tc>
          <w:tcPr>
            <w:tcW w:w="99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2E07DD" w:rsidRPr="00427EE1" w:rsidRDefault="002E07DD" w:rsidP="006757E8">
            <w:pPr>
              <w:pStyle w:val="Tabletext"/>
              <w:rPr>
                <w:rFonts w:eastAsia="Calibri"/>
              </w:rPr>
            </w:pPr>
            <w:r w:rsidRPr="00427EE1">
              <w:rPr>
                <w:rFonts w:eastAsia="Calibri"/>
              </w:rPr>
              <w:t>1208</w:t>
            </w:r>
          </w:p>
          <w:p w:rsidR="002E07DD" w:rsidRPr="00427EE1" w:rsidRDefault="002E07DD" w:rsidP="006757E8">
            <w:pPr>
              <w:pStyle w:val="Tabletext"/>
              <w:rPr>
                <w:rFonts w:eastAsia="Calibri"/>
              </w:rPr>
            </w:pPr>
            <w:r w:rsidRPr="00427EE1">
              <w:rPr>
                <w:rFonts w:eastAsia="Calibri"/>
              </w:rPr>
              <w:t>1214</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2E07DD" w:rsidRPr="00427EE1" w:rsidRDefault="002E07DD">
            <w:pPr>
              <w:pStyle w:val="Tabletext"/>
              <w:rPr>
                <w:rFonts w:eastAsia="Calibri"/>
                <w:lang w:eastAsia="en-US"/>
              </w:rPr>
            </w:pPr>
            <w:r w:rsidRPr="00427EE1">
              <w:rPr>
                <w:rFonts w:eastAsia="Calibri"/>
                <w:lang w:eastAsia="en-US"/>
              </w:rPr>
              <w:t>221</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2E07DD" w:rsidRPr="00427EE1" w:rsidRDefault="002E07DD">
            <w:pPr>
              <w:pStyle w:val="Tabletext"/>
              <w:rPr>
                <w:rFonts w:eastAsia="Calibri"/>
                <w:b/>
                <w:lang w:eastAsia="en-US"/>
              </w:rPr>
            </w:pPr>
            <w:r w:rsidRPr="00427EE1">
              <w:rPr>
                <w:rFonts w:eastAsia="Calibri"/>
                <w:b/>
                <w:lang w:eastAsia="en-US"/>
              </w:rPr>
              <w:t xml:space="preserve">Owner must prepare annual </w:t>
            </w:r>
            <w:r w:rsidR="00296466">
              <w:rPr>
                <w:rFonts w:eastAsia="Calibri"/>
                <w:b/>
                <w:lang w:eastAsia="en-US"/>
              </w:rPr>
              <w:t>ESMs</w:t>
            </w:r>
            <w:r w:rsidRPr="00427EE1">
              <w:rPr>
                <w:rFonts w:eastAsia="Calibri"/>
                <w:b/>
                <w:lang w:eastAsia="en-US"/>
              </w:rPr>
              <w:t xml:space="preserve"> report</w:t>
            </w:r>
          </w:p>
          <w:p w:rsidR="002E07DD" w:rsidRPr="00427EE1" w:rsidRDefault="002E244C">
            <w:pPr>
              <w:pStyle w:val="Tabletext"/>
              <w:rPr>
                <w:rFonts w:eastAsia="Calibri"/>
                <w:lang w:eastAsia="en-US"/>
              </w:rPr>
            </w:pPr>
            <w:r>
              <w:rPr>
                <w:rFonts w:eastAsia="Calibri"/>
                <w:lang w:eastAsia="en-US"/>
              </w:rPr>
              <w:t xml:space="preserve">Requires </w:t>
            </w:r>
            <w:r w:rsidR="002E07DD" w:rsidRPr="00427EE1">
              <w:rPr>
                <w:rFonts w:eastAsia="Calibri"/>
                <w:lang w:eastAsia="en-US"/>
              </w:rPr>
              <w:t xml:space="preserve">an owner of a building or </w:t>
            </w:r>
            <w:proofErr w:type="spellStart"/>
            <w:r w:rsidR="00027095">
              <w:rPr>
                <w:rFonts w:eastAsia="Calibri"/>
                <w:lang w:eastAsia="en-US"/>
              </w:rPr>
              <w:t>PoPE</w:t>
            </w:r>
            <w:proofErr w:type="spellEnd"/>
            <w:r w:rsidR="00F717BE">
              <w:rPr>
                <w:rFonts w:eastAsia="Calibri"/>
                <w:lang w:eastAsia="en-US"/>
              </w:rPr>
              <w:t xml:space="preserve"> </w:t>
            </w:r>
            <w:r w:rsidR="002E07DD" w:rsidRPr="00427EE1">
              <w:rPr>
                <w:rFonts w:eastAsia="Calibri"/>
                <w:lang w:eastAsia="en-US"/>
              </w:rPr>
              <w:t>to prepare a report annually.</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2E07DD" w:rsidRPr="00427EE1" w:rsidRDefault="002E07DD">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2E07DD" w:rsidRPr="00427EE1" w:rsidRDefault="002E07DD">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2E07DD" w:rsidRPr="00427EE1" w:rsidRDefault="002E07DD">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2E07DD" w:rsidRPr="00427EE1" w:rsidRDefault="002E07DD">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2E07DD" w:rsidRPr="00427EE1" w:rsidRDefault="002E07DD">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2E07DD" w:rsidRPr="00427EE1" w:rsidRDefault="002E07DD">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mitigates the risk of </w:t>
            </w:r>
            <w:r w:rsidR="00296466">
              <w:rPr>
                <w:rFonts w:eastAsia="Calibri"/>
              </w:rPr>
              <w:t>ESMs</w:t>
            </w:r>
            <w:r w:rsidRPr="00427EE1">
              <w:rPr>
                <w:rFonts w:eastAsia="Calibri"/>
              </w:rPr>
              <w:t xml:space="preserve"> deteriorating by requiring an owner to report on maintenance. Has been updated to amalgamate two </w:t>
            </w:r>
            <w:r w:rsidR="008911CB">
              <w:rPr>
                <w:rFonts w:eastAsia="Calibri"/>
              </w:rPr>
              <w:t>Regulations</w:t>
            </w:r>
            <w:r w:rsidRPr="00427EE1">
              <w:rPr>
                <w:rFonts w:eastAsia="Calibri"/>
              </w:rPr>
              <w:t xml:space="preserve">. The penalty has increased from 10 to 20 penalty units to indicate the importance of this requirements, as it is an important record for undertaking monitoring and enforcement activity. </w:t>
            </w:r>
          </w:p>
        </w:tc>
      </w:tr>
      <w:tr w:rsidR="002E07DD" w:rsidRPr="00427EE1" w:rsidTr="006119D2">
        <w:trPr>
          <w:cantSplit/>
          <w:trHeight w:val="340"/>
        </w:trPr>
        <w:tc>
          <w:tcPr>
            <w:tcW w:w="99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2E07DD" w:rsidRPr="00427EE1" w:rsidRDefault="002E07DD" w:rsidP="006757E8">
            <w:pPr>
              <w:pStyle w:val="Tabletext"/>
              <w:rPr>
                <w:rFonts w:eastAsia="Calibri"/>
              </w:rPr>
            </w:pPr>
            <w:r w:rsidRPr="00427EE1">
              <w:rPr>
                <w:rFonts w:eastAsia="Calibri"/>
              </w:rPr>
              <w:t>1209</w:t>
            </w:r>
          </w:p>
          <w:p w:rsidR="002E07DD" w:rsidRPr="00427EE1" w:rsidRDefault="002E07DD" w:rsidP="006757E8">
            <w:pPr>
              <w:pStyle w:val="Tabletext"/>
              <w:rPr>
                <w:rFonts w:eastAsia="Calibri"/>
              </w:rPr>
            </w:pPr>
            <w:r w:rsidRPr="00427EE1">
              <w:rPr>
                <w:rFonts w:eastAsia="Calibri"/>
              </w:rPr>
              <w:t>1215</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2E07DD" w:rsidRPr="00427EE1" w:rsidRDefault="002E07DD">
            <w:pPr>
              <w:pStyle w:val="Tabletext"/>
              <w:rPr>
                <w:rFonts w:eastAsia="Calibri"/>
                <w:lang w:eastAsia="en-US"/>
              </w:rPr>
            </w:pPr>
            <w:r w:rsidRPr="00427EE1">
              <w:rPr>
                <w:rFonts w:eastAsia="Calibri"/>
                <w:lang w:eastAsia="en-US"/>
              </w:rPr>
              <w:t>222</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2E07DD" w:rsidRPr="00427EE1" w:rsidRDefault="002E07DD">
            <w:pPr>
              <w:pStyle w:val="Tabletext"/>
              <w:rPr>
                <w:rFonts w:eastAsia="Calibri"/>
                <w:b/>
                <w:lang w:eastAsia="en-US"/>
              </w:rPr>
            </w:pPr>
            <w:r w:rsidRPr="00427EE1">
              <w:rPr>
                <w:rFonts w:eastAsia="Calibri"/>
                <w:b/>
                <w:lang w:eastAsia="en-US"/>
              </w:rPr>
              <w:t xml:space="preserve">Contents and form of annual </w:t>
            </w:r>
            <w:r w:rsidR="00296466">
              <w:rPr>
                <w:rFonts w:eastAsia="Calibri"/>
                <w:b/>
                <w:lang w:eastAsia="en-US"/>
              </w:rPr>
              <w:t>ESMs</w:t>
            </w:r>
            <w:r w:rsidRPr="00427EE1">
              <w:rPr>
                <w:rFonts w:eastAsia="Calibri"/>
                <w:b/>
                <w:lang w:eastAsia="en-US"/>
              </w:rPr>
              <w:t xml:space="preserve"> report</w:t>
            </w:r>
          </w:p>
          <w:p w:rsidR="002E07DD" w:rsidRPr="00427EE1" w:rsidRDefault="0026629F">
            <w:pPr>
              <w:pStyle w:val="Tabletext"/>
              <w:rPr>
                <w:rFonts w:eastAsia="Calibri"/>
                <w:lang w:eastAsia="en-US"/>
              </w:rPr>
            </w:pPr>
            <w:r>
              <w:rPr>
                <w:rFonts w:eastAsia="Calibri"/>
                <w:lang w:eastAsia="en-US"/>
              </w:rPr>
              <w:t xml:space="preserve">Specifies </w:t>
            </w:r>
            <w:r w:rsidR="002E07DD" w:rsidRPr="00427EE1">
              <w:rPr>
                <w:rFonts w:eastAsia="Calibri"/>
                <w:lang w:eastAsia="en-US"/>
              </w:rPr>
              <w:t>the content and form of an annual report</w:t>
            </w:r>
            <w:r w:rsidR="00C83190">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2E07DD" w:rsidRPr="00427EE1" w:rsidRDefault="002E07DD">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2E07DD" w:rsidRPr="00427EE1" w:rsidRDefault="002E07DD">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2E07DD" w:rsidRPr="00427EE1" w:rsidRDefault="002E07DD">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2E07DD" w:rsidRPr="00427EE1" w:rsidRDefault="002E07DD">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2E07DD" w:rsidRPr="00427EE1" w:rsidRDefault="002E07DD">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2E07DD" w:rsidRPr="00427EE1" w:rsidRDefault="002E07DD">
            <w:pPr>
              <w:pStyle w:val="Tabletext"/>
              <w:rPr>
                <w:rFonts w:eastAsia="Calibri"/>
              </w:rPr>
            </w:pPr>
            <w:r w:rsidRPr="00427EE1">
              <w:rPr>
                <w:rFonts w:eastAsia="Calibri"/>
              </w:rPr>
              <w:t>To facilitate monitoring and enforcement and ensure that all relevant information is provided to assess compliance and improve record</w:t>
            </w:r>
            <w:r w:rsidR="0023395A">
              <w:rPr>
                <w:rFonts w:eastAsia="Calibri"/>
              </w:rPr>
              <w:t>-</w:t>
            </w:r>
            <w:r w:rsidRPr="00427EE1">
              <w:rPr>
                <w:rFonts w:eastAsia="Calibri"/>
              </w:rPr>
              <w:t xml:space="preserve">keeping. Must be in the form approved by </w:t>
            </w:r>
            <w:r w:rsidR="00720C4E">
              <w:rPr>
                <w:rFonts w:eastAsia="Calibri"/>
              </w:rPr>
              <w:t>VBA</w:t>
            </w:r>
            <w:r w:rsidRPr="00427EE1">
              <w:rPr>
                <w:rFonts w:eastAsia="Calibri"/>
              </w:rPr>
              <w:t xml:space="preserve"> to facilitate complete and consistent reporting across all buildings. </w:t>
            </w:r>
          </w:p>
        </w:tc>
      </w:tr>
      <w:tr w:rsidR="002E07DD" w:rsidRPr="00427EE1" w:rsidTr="006119D2">
        <w:trPr>
          <w:cantSplit/>
          <w:trHeight w:val="340"/>
        </w:trPr>
        <w:tc>
          <w:tcPr>
            <w:tcW w:w="99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2E07DD" w:rsidRPr="00427EE1" w:rsidRDefault="002E07DD" w:rsidP="006757E8">
            <w:pPr>
              <w:pStyle w:val="Tabletext"/>
              <w:rPr>
                <w:rFonts w:eastAsia="Calibri"/>
              </w:rPr>
            </w:pPr>
            <w:r w:rsidRPr="00427EE1">
              <w:rPr>
                <w:rFonts w:eastAsia="Calibri"/>
              </w:rPr>
              <w:t>1207</w:t>
            </w:r>
          </w:p>
          <w:p w:rsidR="002E07DD" w:rsidRPr="00427EE1" w:rsidRDefault="002E07DD" w:rsidP="006757E8">
            <w:pPr>
              <w:pStyle w:val="Tabletext"/>
              <w:rPr>
                <w:rFonts w:eastAsia="Calibri"/>
              </w:rPr>
            </w:pPr>
            <w:r w:rsidRPr="00427EE1">
              <w:rPr>
                <w:rFonts w:eastAsia="Calibri"/>
              </w:rPr>
              <w:t>1216</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2E07DD" w:rsidRPr="00427EE1" w:rsidRDefault="002E07DD">
            <w:pPr>
              <w:pStyle w:val="Tabletext"/>
              <w:rPr>
                <w:rFonts w:eastAsia="Calibri"/>
                <w:lang w:eastAsia="en-US"/>
              </w:rPr>
            </w:pPr>
            <w:r w:rsidRPr="00427EE1">
              <w:rPr>
                <w:rFonts w:eastAsia="Calibri"/>
                <w:lang w:eastAsia="en-US"/>
              </w:rPr>
              <w:t>223</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D615BC" w:rsidRPr="00427EE1" w:rsidRDefault="002E07DD">
            <w:pPr>
              <w:pStyle w:val="Tabletext"/>
              <w:rPr>
                <w:rFonts w:eastAsia="Calibri"/>
                <w:b/>
                <w:lang w:eastAsia="en-US"/>
              </w:rPr>
            </w:pPr>
            <w:r w:rsidRPr="00427EE1">
              <w:rPr>
                <w:rFonts w:eastAsia="Calibri"/>
                <w:b/>
                <w:lang w:eastAsia="en-US"/>
              </w:rPr>
              <w:t xml:space="preserve">Records relating to </w:t>
            </w:r>
            <w:r w:rsidR="00296466">
              <w:rPr>
                <w:rFonts w:eastAsia="Calibri"/>
                <w:b/>
                <w:lang w:eastAsia="en-US"/>
              </w:rPr>
              <w:t>ESMs</w:t>
            </w:r>
            <w:r w:rsidRPr="00427EE1">
              <w:rPr>
                <w:rFonts w:eastAsia="Calibri"/>
                <w:b/>
                <w:lang w:eastAsia="en-US"/>
              </w:rPr>
              <w:t xml:space="preserve"> must be made available</w:t>
            </w:r>
          </w:p>
          <w:p w:rsidR="002E07DD" w:rsidRPr="00427EE1" w:rsidRDefault="0026629F">
            <w:pPr>
              <w:pStyle w:val="Tabletext"/>
              <w:rPr>
                <w:rFonts w:eastAsia="Calibri"/>
                <w:lang w:eastAsia="en-US"/>
              </w:rPr>
            </w:pPr>
            <w:r>
              <w:rPr>
                <w:rFonts w:eastAsia="Calibri"/>
                <w:lang w:eastAsia="en-US"/>
              </w:rPr>
              <w:t xml:space="preserve">Specifies </w:t>
            </w:r>
            <w:r w:rsidR="002E07DD" w:rsidRPr="00427EE1">
              <w:rPr>
                <w:rFonts w:eastAsia="Calibri"/>
                <w:lang w:eastAsia="en-US"/>
              </w:rPr>
              <w:t xml:space="preserve">the </w:t>
            </w:r>
            <w:r w:rsidR="00296466">
              <w:rPr>
                <w:rFonts w:eastAsia="Calibri"/>
                <w:lang w:eastAsia="en-US"/>
              </w:rPr>
              <w:t>ESMs</w:t>
            </w:r>
            <w:r w:rsidR="002E07DD" w:rsidRPr="00427EE1">
              <w:rPr>
                <w:rFonts w:eastAsia="Calibri"/>
                <w:lang w:eastAsia="en-US"/>
              </w:rPr>
              <w:t xml:space="preserve"> records that an owner must have available for inspection relating to a building or place of public entertainment</w:t>
            </w:r>
            <w:r w:rsidR="00C83190">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2E07DD" w:rsidRPr="00427EE1" w:rsidRDefault="002E07DD">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2E07DD" w:rsidRPr="00427EE1" w:rsidRDefault="002E07DD">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2E07DD" w:rsidRPr="00427EE1" w:rsidRDefault="002E07DD">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2E07DD" w:rsidRPr="00427EE1" w:rsidRDefault="002E07DD">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2E07DD" w:rsidRPr="00427EE1" w:rsidRDefault="002E07DD">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2E07DD" w:rsidRPr="00427EE1" w:rsidRDefault="002E07DD">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facilitates monitoring and enforcement and ensure that all relevant information is provided to assess compliance and improve </w:t>
            </w:r>
            <w:r w:rsidR="0023395A">
              <w:rPr>
                <w:rFonts w:eastAsia="Calibri"/>
              </w:rPr>
              <w:t>record-keeping</w:t>
            </w:r>
            <w:r w:rsidRPr="00427EE1">
              <w:rPr>
                <w:rFonts w:eastAsia="Calibri"/>
              </w:rPr>
              <w:t xml:space="preserve">. Has been updated to amalgamate two </w:t>
            </w:r>
            <w:r w:rsidR="008911CB">
              <w:rPr>
                <w:rFonts w:eastAsia="Calibri"/>
              </w:rPr>
              <w:t>Regulations</w:t>
            </w:r>
            <w:r w:rsidRPr="00427EE1">
              <w:rPr>
                <w:rFonts w:eastAsia="Calibri"/>
              </w:rPr>
              <w:t xml:space="preserve">. The penalty has also increased from 10 to 20 penalty units to indicate the importance of these records being </w:t>
            </w:r>
            <w:r w:rsidR="00BB3A66" w:rsidRPr="00427EE1">
              <w:rPr>
                <w:rFonts w:eastAsia="Calibri"/>
              </w:rPr>
              <w:t>available</w:t>
            </w:r>
            <w:r w:rsidRPr="00427EE1">
              <w:rPr>
                <w:rFonts w:eastAsia="Calibri"/>
              </w:rPr>
              <w:t xml:space="preserve"> for monitoring and </w:t>
            </w:r>
            <w:r w:rsidR="00BB3A66" w:rsidRPr="00427EE1">
              <w:rPr>
                <w:rFonts w:eastAsia="Calibri"/>
              </w:rPr>
              <w:t>enforcement</w:t>
            </w:r>
            <w:r w:rsidRPr="00427EE1">
              <w:rPr>
                <w:rFonts w:eastAsia="Calibri"/>
              </w:rPr>
              <w:t xml:space="preserve"> purposes, and it also encourages</w:t>
            </w:r>
            <w:r w:rsidR="00E60957">
              <w:rPr>
                <w:rFonts w:eastAsia="Calibri"/>
              </w:rPr>
              <w:t xml:space="preserve"> </w:t>
            </w:r>
            <w:r w:rsidRPr="00427EE1">
              <w:rPr>
                <w:rFonts w:eastAsia="Calibri"/>
              </w:rPr>
              <w:t xml:space="preserve">good </w:t>
            </w:r>
            <w:r w:rsidR="0023395A">
              <w:rPr>
                <w:rFonts w:eastAsia="Calibri"/>
              </w:rPr>
              <w:t>record-keeping</w:t>
            </w:r>
            <w:r w:rsidRPr="00427EE1">
              <w:rPr>
                <w:rFonts w:eastAsia="Calibri"/>
              </w:rPr>
              <w:t xml:space="preserve">. </w:t>
            </w:r>
          </w:p>
        </w:tc>
      </w:tr>
      <w:tr w:rsidR="002E07DD" w:rsidRPr="00427EE1" w:rsidTr="006119D2">
        <w:trPr>
          <w:cantSplit/>
          <w:trHeight w:val="340"/>
        </w:trPr>
        <w:tc>
          <w:tcPr>
            <w:tcW w:w="99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2E07DD" w:rsidRPr="00427EE1" w:rsidRDefault="002E07DD" w:rsidP="006757E8">
            <w:pPr>
              <w:pStyle w:val="Tabletext"/>
              <w:rPr>
                <w:rFonts w:eastAsia="Calibri"/>
              </w:rPr>
            </w:pPr>
            <w:r w:rsidRPr="00427EE1">
              <w:rPr>
                <w:rFonts w:eastAsia="Calibri"/>
              </w:rPr>
              <w:t>1217(1)</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2E07DD" w:rsidRPr="00427EE1" w:rsidRDefault="002E07DD" w:rsidP="006757E8">
            <w:pPr>
              <w:pStyle w:val="Tabletext"/>
              <w:rPr>
                <w:rFonts w:eastAsia="Calibri"/>
                <w:lang w:eastAsia="en-US"/>
              </w:rPr>
            </w:pPr>
            <w:r w:rsidRPr="00427EE1">
              <w:rPr>
                <w:rFonts w:eastAsia="Calibri"/>
                <w:lang w:eastAsia="en-US"/>
              </w:rPr>
              <w:t>224</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2E07DD" w:rsidRPr="00427EE1" w:rsidRDefault="002E07DD">
            <w:pPr>
              <w:pStyle w:val="Tabletext"/>
              <w:rPr>
                <w:rFonts w:eastAsia="Calibri"/>
                <w:b/>
                <w:lang w:eastAsia="en-US"/>
              </w:rPr>
            </w:pPr>
            <w:r w:rsidRPr="00427EE1">
              <w:rPr>
                <w:rFonts w:eastAsia="Calibri"/>
                <w:b/>
                <w:lang w:eastAsia="en-US"/>
              </w:rPr>
              <w:t>Maintenance responsibility of owner of building or place constructed before 1 July 1994</w:t>
            </w:r>
          </w:p>
          <w:p w:rsidR="002E07DD" w:rsidRPr="00427EE1" w:rsidRDefault="0026629F">
            <w:pPr>
              <w:pStyle w:val="Tabletext"/>
              <w:rPr>
                <w:rFonts w:eastAsia="Calibri"/>
                <w:lang w:eastAsia="en-US"/>
              </w:rPr>
            </w:pPr>
            <w:r>
              <w:rPr>
                <w:rFonts w:eastAsia="Calibri"/>
                <w:lang w:eastAsia="en-US"/>
              </w:rPr>
              <w:t xml:space="preserve">Specifies </w:t>
            </w:r>
            <w:r w:rsidR="002E07DD" w:rsidRPr="00427EE1">
              <w:rPr>
                <w:rFonts w:eastAsia="Calibri"/>
                <w:lang w:eastAsia="en-US"/>
              </w:rPr>
              <w:t xml:space="preserve">a general obligation to maintain an </w:t>
            </w:r>
            <w:r w:rsidR="005140C4">
              <w:rPr>
                <w:rFonts w:eastAsia="Calibri"/>
                <w:lang w:eastAsia="en-US"/>
              </w:rPr>
              <w:t>ESM</w:t>
            </w:r>
            <w:r w:rsidR="002E07DD" w:rsidRPr="00427EE1">
              <w:rPr>
                <w:rFonts w:eastAsia="Calibri"/>
                <w:lang w:eastAsia="en-US"/>
              </w:rPr>
              <w:t xml:space="preserve"> that was installed </w:t>
            </w:r>
            <w:r w:rsidR="00D90FC3">
              <w:rPr>
                <w:rFonts w:eastAsia="Calibri"/>
                <w:lang w:eastAsia="en-US"/>
              </w:rPr>
              <w:t>before</w:t>
            </w:r>
            <w:r w:rsidR="002E07DD" w:rsidRPr="00427EE1">
              <w:rPr>
                <w:rFonts w:eastAsia="Calibri"/>
                <w:lang w:eastAsia="en-US"/>
              </w:rPr>
              <w:t xml:space="preserve"> 1 July 1994.</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2E07DD" w:rsidRPr="00427EE1" w:rsidRDefault="002E07DD">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2E07DD" w:rsidRPr="00427EE1" w:rsidRDefault="002E07DD">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2E07DD" w:rsidRPr="00427EE1" w:rsidRDefault="002E07DD">
            <w:pPr>
              <w:tabs>
                <w:tab w:val="left" w:pos="567"/>
              </w:tabs>
              <w:spacing w:line="276" w:lineRule="auto"/>
              <w:jc w:val="center"/>
              <w:rPr>
                <w:rStyle w:val="tgc"/>
                <w:rFonts w:ascii="MS Gothic" w:eastAsia="MS Gothic" w:hAnsi="MS Gothic" w:cs="MS Gothic"/>
                <w:color w:val="222222"/>
                <w:lang w:val="en-GB"/>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2E07DD" w:rsidRPr="00427EE1" w:rsidRDefault="002E07DD">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2E07DD" w:rsidRPr="00427EE1" w:rsidRDefault="002E07DD">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2E07DD" w:rsidRPr="00427EE1" w:rsidRDefault="002E07DD">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 xml:space="preserve">ensures that </w:t>
            </w:r>
            <w:r w:rsidR="00296466">
              <w:rPr>
                <w:rFonts w:eastAsia="Calibri"/>
              </w:rPr>
              <w:t>ESMs</w:t>
            </w:r>
            <w:r w:rsidRPr="00427EE1">
              <w:rPr>
                <w:rFonts w:eastAsia="Calibri"/>
              </w:rPr>
              <w:t xml:space="preserve"> installed in a building are maintained if there is no specific corresponding maintenance requirement imposed through an occupancy permit or maintenance determination. The penalty has increased from 10</w:t>
            </w:r>
            <w:r w:rsidR="00E60957">
              <w:rPr>
                <w:rFonts w:eastAsia="Calibri"/>
              </w:rPr>
              <w:t xml:space="preserve"> </w:t>
            </w:r>
            <w:r w:rsidRPr="00427EE1">
              <w:rPr>
                <w:rFonts w:eastAsia="Calibri"/>
              </w:rPr>
              <w:t xml:space="preserve">to 20 penalty units to indicate the seriousness of this breach. If an </w:t>
            </w:r>
            <w:r w:rsidR="00296466">
              <w:rPr>
                <w:rFonts w:eastAsia="Calibri"/>
              </w:rPr>
              <w:t>ESMs</w:t>
            </w:r>
            <w:r w:rsidRPr="00427EE1">
              <w:rPr>
                <w:rFonts w:eastAsia="Calibri"/>
              </w:rPr>
              <w:t xml:space="preserve"> fails the impacts can be very high.</w:t>
            </w:r>
          </w:p>
        </w:tc>
      </w:tr>
      <w:tr w:rsidR="002E07DD" w:rsidRPr="00427EE1" w:rsidTr="006119D2">
        <w:trPr>
          <w:cantSplit/>
          <w:trHeight w:val="340"/>
        </w:trPr>
        <w:tc>
          <w:tcPr>
            <w:tcW w:w="99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2E07DD" w:rsidRPr="00427EE1" w:rsidRDefault="002E07DD" w:rsidP="006757E8">
            <w:pPr>
              <w:pStyle w:val="Tabletext"/>
              <w:rPr>
                <w:rFonts w:eastAsia="Calibri"/>
              </w:rPr>
            </w:pPr>
            <w:r w:rsidRPr="00427EE1">
              <w:rPr>
                <w:rFonts w:eastAsia="Calibri"/>
              </w:rPr>
              <w:t>1217(2)</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2E07DD" w:rsidRPr="00427EE1" w:rsidRDefault="002E07DD" w:rsidP="006757E8">
            <w:pPr>
              <w:pStyle w:val="Tabletext"/>
              <w:rPr>
                <w:rFonts w:eastAsia="Calibri"/>
                <w:lang w:eastAsia="en-US"/>
              </w:rPr>
            </w:pPr>
            <w:r w:rsidRPr="00427EE1">
              <w:rPr>
                <w:rFonts w:eastAsia="Calibri"/>
                <w:lang w:eastAsia="en-US"/>
              </w:rPr>
              <w:t>225</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2E07DD" w:rsidRPr="00427EE1" w:rsidRDefault="005140C4">
            <w:pPr>
              <w:pStyle w:val="Tabletext"/>
              <w:rPr>
                <w:rFonts w:eastAsia="Calibri"/>
                <w:b/>
                <w:lang w:eastAsia="en-US"/>
              </w:rPr>
            </w:pPr>
            <w:r>
              <w:rPr>
                <w:rFonts w:eastAsia="Calibri"/>
                <w:b/>
                <w:lang w:eastAsia="en-US"/>
              </w:rPr>
              <w:t>ESM</w:t>
            </w:r>
            <w:r w:rsidR="002E07DD" w:rsidRPr="00427EE1">
              <w:rPr>
                <w:rFonts w:eastAsia="Calibri"/>
                <w:b/>
                <w:lang w:eastAsia="en-US"/>
              </w:rPr>
              <w:t xml:space="preserve"> not to be moved from approved locations</w:t>
            </w:r>
          </w:p>
          <w:p w:rsidR="002E07DD" w:rsidRPr="00427EE1" w:rsidRDefault="002E07DD">
            <w:pPr>
              <w:pStyle w:val="Tabletext"/>
              <w:rPr>
                <w:rFonts w:eastAsia="Calibri"/>
                <w:lang w:eastAsia="en-US"/>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makes it an offence to move an </w:t>
            </w:r>
            <w:r w:rsidR="005140C4">
              <w:rPr>
                <w:rFonts w:eastAsia="Calibri"/>
                <w:lang w:eastAsia="en-US"/>
              </w:rPr>
              <w:t>ESM</w:t>
            </w:r>
            <w:r w:rsidRPr="00427EE1">
              <w:rPr>
                <w:rFonts w:eastAsia="Calibri"/>
                <w:lang w:eastAsia="en-US"/>
              </w:rPr>
              <w:t xml:space="preserve"> for any purpose other than maintenance, inspection or testing</w:t>
            </w:r>
            <w:r w:rsidR="00C83190">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2E07DD" w:rsidRPr="00427EE1" w:rsidRDefault="002E07DD">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2E07DD" w:rsidRPr="00427EE1" w:rsidRDefault="002E07DD">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2E07DD" w:rsidRPr="00427EE1" w:rsidRDefault="002E07DD">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2E07DD" w:rsidRPr="00427EE1" w:rsidRDefault="002E07DD">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2E07DD" w:rsidRPr="00427EE1" w:rsidRDefault="002E07DD">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2E07DD" w:rsidRPr="00427EE1" w:rsidRDefault="002E07DD">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 xml:space="preserve">mitigates health and safety risks that could arise if </w:t>
            </w:r>
            <w:r w:rsidR="00296466">
              <w:rPr>
                <w:rFonts w:eastAsia="Calibri"/>
              </w:rPr>
              <w:t>ESMs</w:t>
            </w:r>
            <w:r w:rsidRPr="00427EE1">
              <w:rPr>
                <w:rFonts w:eastAsia="Calibri"/>
              </w:rPr>
              <w:t xml:space="preserve"> are tampered with. The offence now applies to all buildings and the penalty has increased from 10 to 20 </w:t>
            </w:r>
            <w:r w:rsidR="00BB3A66" w:rsidRPr="00427EE1">
              <w:rPr>
                <w:rFonts w:eastAsia="Calibri"/>
              </w:rPr>
              <w:t>penalty</w:t>
            </w:r>
            <w:r w:rsidRPr="00427EE1">
              <w:rPr>
                <w:rFonts w:eastAsia="Calibri"/>
              </w:rPr>
              <w:t xml:space="preserve"> units.</w:t>
            </w:r>
          </w:p>
        </w:tc>
      </w:tr>
    </w:tbl>
    <w:p w:rsidR="00D615BC" w:rsidRPr="00427EE1" w:rsidRDefault="00D615BC" w:rsidP="006757E8"/>
    <w:p w:rsidR="00B751DE" w:rsidRPr="00427EE1" w:rsidRDefault="00EF2008" w:rsidP="006119D2">
      <w:pPr>
        <w:pStyle w:val="Heading4"/>
      </w:pPr>
      <w:proofErr w:type="spellStart"/>
      <w:r>
        <w:lastRenderedPageBreak/>
        <w:t>Div</w:t>
      </w:r>
      <w:proofErr w:type="spellEnd"/>
      <w:r w:rsidR="00B751DE" w:rsidRPr="00427EE1">
        <w:t xml:space="preserve"> 2</w:t>
      </w:r>
      <w:r w:rsidR="008475D9">
        <w:t>—</w:t>
      </w:r>
      <w:r w:rsidR="00B751DE" w:rsidRPr="00427EE1">
        <w:t>Maintenance of</w:t>
      </w:r>
      <w:r w:rsidR="00D71A15" w:rsidRPr="00427EE1">
        <w:t xml:space="preserve"> </w:t>
      </w:r>
      <w:r w:rsidR="00B751DE" w:rsidRPr="00427EE1">
        <w:t>exits and paths of travel relating to buildings or places of public entertainment</w:t>
      </w:r>
    </w:p>
    <w:tbl>
      <w:tblPr>
        <w:tblW w:w="14549" w:type="dxa"/>
        <w:tblInd w:w="-172"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1008"/>
        <w:gridCol w:w="973"/>
        <w:gridCol w:w="4243"/>
        <w:gridCol w:w="399"/>
        <w:gridCol w:w="399"/>
        <w:gridCol w:w="402"/>
        <w:gridCol w:w="400"/>
        <w:gridCol w:w="398"/>
        <w:gridCol w:w="6327"/>
      </w:tblGrid>
      <w:tr w:rsidR="00C83190" w:rsidRPr="00427EE1" w:rsidTr="006119D2">
        <w:trPr>
          <w:cantSplit/>
          <w:trHeight w:val="487"/>
          <w:tblHeader/>
        </w:trPr>
        <w:tc>
          <w:tcPr>
            <w:tcW w:w="1008" w:type="dxa"/>
            <w:vMerge w:val="restart"/>
            <w:shd w:val="clear" w:color="auto" w:fill="00B2A9" w:themeFill="accent1"/>
            <w:vAlign w:val="center"/>
            <w:hideMark/>
          </w:tcPr>
          <w:p w:rsidR="00C83190" w:rsidRDefault="00C83190">
            <w:pPr>
              <w:pStyle w:val="Tablecolumnhead"/>
              <w:rPr>
                <w:rFonts w:asciiTheme="majorHAnsi" w:eastAsia="Calibri" w:hAnsiTheme="majorHAnsi" w:cstheme="majorBidi"/>
                <w:sz w:val="40"/>
              </w:rPr>
            </w:pPr>
            <w:r w:rsidRPr="00BE72D7">
              <w:rPr>
                <w:rFonts w:eastAsia="Calibri"/>
              </w:rPr>
              <w:t>2006</w:t>
            </w:r>
          </w:p>
          <w:p w:rsidR="00C83190" w:rsidRPr="00616EAD" w:rsidRDefault="00C83190">
            <w:pPr>
              <w:pStyle w:val="Tablecolumnhead"/>
              <w:rPr>
                <w:rFonts w:eastAsia="Calibri"/>
              </w:rPr>
            </w:pPr>
            <w:r w:rsidRPr="00C44680">
              <w:rPr>
                <w:rFonts w:ascii="Arial Bold" w:eastAsia="Calibri" w:hAnsi="Arial Bold"/>
                <w:spacing w:val="-12"/>
                <w:sz w:val="16"/>
              </w:rPr>
              <w:t>Regulation</w:t>
            </w:r>
          </w:p>
        </w:tc>
        <w:tc>
          <w:tcPr>
            <w:tcW w:w="973" w:type="dxa"/>
            <w:vMerge w:val="restart"/>
            <w:shd w:val="clear" w:color="auto" w:fill="00B2A9" w:themeFill="accent1"/>
            <w:vAlign w:val="center"/>
            <w:hideMark/>
          </w:tcPr>
          <w:p w:rsidR="00C83190" w:rsidRDefault="00C83190">
            <w:pPr>
              <w:pStyle w:val="Tablecolumnhead"/>
              <w:rPr>
                <w:rFonts w:asciiTheme="majorHAnsi" w:eastAsiaTheme="majorEastAsia" w:hAnsiTheme="majorHAnsi" w:cstheme="majorBidi"/>
                <w:sz w:val="40"/>
              </w:rPr>
            </w:pPr>
            <w:r w:rsidRPr="008F0E53">
              <w:rPr>
                <w:rFonts w:eastAsia="Calibri"/>
              </w:rPr>
              <w:t>2017</w:t>
            </w:r>
          </w:p>
          <w:p w:rsidR="00C83190" w:rsidRPr="00616EAD" w:rsidRDefault="00C83190">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C83190" w:rsidRPr="00616EAD" w:rsidRDefault="00C83190">
            <w:pPr>
              <w:pStyle w:val="Tablecolumnhead"/>
              <w:rPr>
                <w:rFonts w:eastAsia="Calibri"/>
              </w:rPr>
            </w:pPr>
            <w:r w:rsidRPr="00616EAD">
              <w:t xml:space="preserve">Short description of the </w:t>
            </w:r>
            <w:r>
              <w:t>Regulation</w:t>
            </w:r>
          </w:p>
        </w:tc>
        <w:tc>
          <w:tcPr>
            <w:tcW w:w="1998" w:type="dxa"/>
            <w:gridSpan w:val="5"/>
            <w:shd w:val="clear" w:color="auto" w:fill="00B2A9" w:themeFill="accent1"/>
            <w:vAlign w:val="center"/>
          </w:tcPr>
          <w:p w:rsidR="00C83190" w:rsidRPr="00616EAD" w:rsidRDefault="00C83190">
            <w:pPr>
              <w:pStyle w:val="Tablecolumnhead"/>
            </w:pPr>
            <w:r w:rsidRPr="00616EAD">
              <w:t>Proposed regulatory change</w:t>
            </w:r>
          </w:p>
        </w:tc>
        <w:tc>
          <w:tcPr>
            <w:tcW w:w="6327" w:type="dxa"/>
            <w:vMerge w:val="restart"/>
            <w:shd w:val="clear" w:color="auto" w:fill="00B2A9" w:themeFill="accent1"/>
            <w:vAlign w:val="center"/>
          </w:tcPr>
          <w:p w:rsidR="00C83190" w:rsidRPr="00616EAD" w:rsidRDefault="00C83190">
            <w:pPr>
              <w:pStyle w:val="Tablecolumnhead"/>
            </w:pPr>
            <w:r w:rsidRPr="00616EAD">
              <w:t>Why the 2017 Regulation is proposed</w:t>
            </w:r>
          </w:p>
        </w:tc>
      </w:tr>
      <w:tr w:rsidR="00B751DE" w:rsidRPr="00427EE1" w:rsidTr="006119D2">
        <w:trPr>
          <w:cantSplit/>
          <w:trHeight w:val="966"/>
          <w:tblHeader/>
        </w:trPr>
        <w:tc>
          <w:tcPr>
            <w:tcW w:w="1008"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973"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7E0A5E" w:rsidRPr="00427EE1" w:rsidTr="006119D2">
        <w:trPr>
          <w:cantSplit/>
          <w:trHeight w:val="340"/>
        </w:trPr>
        <w:tc>
          <w:tcPr>
            <w:tcW w:w="100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7E0A5E" w:rsidRPr="00427EE1" w:rsidRDefault="007E0A5E" w:rsidP="006757E8">
            <w:pPr>
              <w:pStyle w:val="Tabletext"/>
              <w:rPr>
                <w:rFonts w:eastAsia="Calibri"/>
              </w:rPr>
            </w:pPr>
            <w:r w:rsidRPr="00427EE1">
              <w:rPr>
                <w:rFonts w:eastAsia="Calibri"/>
              </w:rPr>
              <w:t>1218</w:t>
            </w:r>
          </w:p>
        </w:tc>
        <w:tc>
          <w:tcPr>
            <w:tcW w:w="97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7E0A5E" w:rsidRPr="00427EE1" w:rsidRDefault="007E0A5E" w:rsidP="006757E8">
            <w:pPr>
              <w:pStyle w:val="Tabletext"/>
              <w:rPr>
                <w:rFonts w:eastAsia="Calibri"/>
                <w:lang w:eastAsia="en-US"/>
              </w:rPr>
            </w:pPr>
            <w:r w:rsidRPr="00427EE1">
              <w:rPr>
                <w:rFonts w:eastAsia="Calibri"/>
                <w:lang w:eastAsia="en-US"/>
              </w:rPr>
              <w:t>226</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7E0A5E" w:rsidRPr="00427EE1" w:rsidRDefault="007E0A5E">
            <w:pPr>
              <w:pStyle w:val="Tabletext"/>
              <w:rPr>
                <w:rFonts w:eastAsia="Calibri"/>
                <w:b/>
                <w:lang w:eastAsia="en-US"/>
              </w:rPr>
            </w:pPr>
            <w:r w:rsidRPr="00427EE1">
              <w:rPr>
                <w:rFonts w:eastAsia="Calibri"/>
                <w:b/>
                <w:lang w:eastAsia="en-US"/>
              </w:rPr>
              <w:t xml:space="preserve">Maintenance of exits by occupiers of buildings or </w:t>
            </w:r>
            <w:proofErr w:type="spellStart"/>
            <w:r w:rsidR="00A030CC">
              <w:rPr>
                <w:rFonts w:eastAsia="Calibri"/>
                <w:b/>
                <w:lang w:eastAsia="en-US"/>
              </w:rPr>
              <w:t>PoPEs</w:t>
            </w:r>
            <w:proofErr w:type="spellEnd"/>
          </w:p>
          <w:p w:rsidR="007E0A5E" w:rsidRPr="00427EE1" w:rsidRDefault="002E244C">
            <w:pPr>
              <w:pStyle w:val="Tabletext"/>
              <w:rPr>
                <w:rFonts w:eastAsia="Calibri"/>
                <w:lang w:eastAsia="en-US"/>
              </w:rPr>
            </w:pPr>
            <w:r>
              <w:rPr>
                <w:rFonts w:eastAsia="Calibri"/>
                <w:lang w:eastAsia="en-US"/>
              </w:rPr>
              <w:t xml:space="preserve">Requires </w:t>
            </w:r>
            <w:r w:rsidR="007E0A5E" w:rsidRPr="00427EE1">
              <w:rPr>
                <w:rFonts w:eastAsia="Calibri"/>
                <w:lang w:eastAsia="en-US"/>
              </w:rPr>
              <w:t>all occupants of a building to maintain paths of travel and points of egress</w:t>
            </w:r>
            <w:r w:rsidR="00C83190">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7E0A5E" w:rsidRPr="00427EE1" w:rsidRDefault="007E0A5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7E0A5E" w:rsidRPr="00427EE1" w:rsidRDefault="007E0A5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7E0A5E" w:rsidRPr="00427EE1" w:rsidRDefault="007E0A5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7E0A5E" w:rsidRPr="00427EE1" w:rsidRDefault="007E0A5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7E0A5E" w:rsidRPr="00427EE1" w:rsidRDefault="007E0A5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7E0A5E" w:rsidRPr="00427EE1" w:rsidRDefault="007E0A5E">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 xml:space="preserve">mitigates health and safety risks by ensuring that points of egress are not compromised by occupant behaviour, such as chaining doors shut or using hallways or fire extinguishers cupboards for storage space. These actions can severely impact on the ability to evacuate a building during an emergency. This </w:t>
            </w:r>
            <w:r w:rsidR="000273F9">
              <w:rPr>
                <w:rFonts w:eastAsia="Calibri"/>
              </w:rPr>
              <w:t>Regulation</w:t>
            </w:r>
            <w:r w:rsidRPr="00427EE1">
              <w:rPr>
                <w:rFonts w:eastAsia="Calibri"/>
              </w:rPr>
              <w:t xml:space="preserve"> has been updated to remove the word ‘maintain’ to </w:t>
            </w:r>
            <w:r w:rsidRPr="00427EE1">
              <w:rPr>
                <w:rFonts w:cs="Helv"/>
                <w:color w:val="000000"/>
              </w:rPr>
              <w:t xml:space="preserve">clarify that maintenance obligations lie with owners and cannot be passed onto occupiers. This change is consistent with owners responsibilities under </w:t>
            </w:r>
            <w:r w:rsidR="0023395A">
              <w:rPr>
                <w:rFonts w:cs="Helv"/>
                <w:color w:val="000000"/>
              </w:rPr>
              <w:t xml:space="preserve">s </w:t>
            </w:r>
            <w:r w:rsidRPr="00427EE1">
              <w:rPr>
                <w:rFonts w:cs="Helv"/>
                <w:color w:val="000000"/>
              </w:rPr>
              <w:t>52 of the</w:t>
            </w:r>
            <w:r w:rsidRPr="00427EE1">
              <w:rPr>
                <w:rFonts w:cs="Helv"/>
                <w:i/>
                <w:iCs/>
                <w:color w:val="000000"/>
              </w:rPr>
              <w:t xml:space="preserve"> Retail Leases Act 2003</w:t>
            </w:r>
            <w:r w:rsidRPr="00427EE1">
              <w:rPr>
                <w:rFonts w:cs="Helv"/>
                <w:color w:val="000000"/>
              </w:rPr>
              <w:t xml:space="preserve"> and </w:t>
            </w:r>
            <w:r w:rsidR="0023395A">
              <w:rPr>
                <w:rFonts w:cs="Helv"/>
                <w:color w:val="000000"/>
              </w:rPr>
              <w:t xml:space="preserve">s </w:t>
            </w:r>
            <w:r w:rsidRPr="00427EE1">
              <w:rPr>
                <w:rFonts w:cs="Helv"/>
                <w:color w:val="000000"/>
              </w:rPr>
              <w:t xml:space="preserve">68 of the </w:t>
            </w:r>
            <w:r w:rsidRPr="00427EE1">
              <w:rPr>
                <w:rFonts w:cs="Helv"/>
                <w:i/>
                <w:iCs/>
                <w:color w:val="000000"/>
              </w:rPr>
              <w:t xml:space="preserve">Residential Tenancies Act 1997, </w:t>
            </w:r>
            <w:r w:rsidRPr="00427EE1">
              <w:rPr>
                <w:rFonts w:cs="Helv"/>
                <w:color w:val="000000"/>
              </w:rPr>
              <w:t xml:space="preserve">as well as a VCAT advisory opinion of Justice </w:t>
            </w:r>
            <w:proofErr w:type="spellStart"/>
            <w:r w:rsidRPr="00427EE1">
              <w:rPr>
                <w:rFonts w:cs="Helv"/>
                <w:color w:val="000000"/>
              </w:rPr>
              <w:t>Garde</w:t>
            </w:r>
            <w:proofErr w:type="spellEnd"/>
            <w:r w:rsidRPr="00427EE1">
              <w:rPr>
                <w:rFonts w:cs="Helv"/>
                <w:color w:val="000000"/>
              </w:rPr>
              <w:t xml:space="preserve"> on 1 May 2015.</w:t>
            </w:r>
          </w:p>
        </w:tc>
      </w:tr>
    </w:tbl>
    <w:p w:rsidR="00B751DE" w:rsidRPr="00427EE1" w:rsidRDefault="00B751DE" w:rsidP="006757E8"/>
    <w:p w:rsidR="00AC4E58" w:rsidRPr="00427EE1" w:rsidRDefault="004267C5" w:rsidP="006119D2">
      <w:pPr>
        <w:pStyle w:val="Heading3"/>
        <w:rPr>
          <w:color w:val="005954" w:themeColor="accent1" w:themeShade="80"/>
          <w:sz w:val="22"/>
          <w:szCs w:val="22"/>
        </w:rPr>
      </w:pPr>
      <w:bookmarkStart w:id="190" w:name="_Toc481501611"/>
      <w:r>
        <w:t xml:space="preserve">Pt </w:t>
      </w:r>
      <w:r w:rsidR="00B751DE" w:rsidRPr="00427EE1">
        <w:t>17</w:t>
      </w:r>
      <w:r w:rsidR="008475D9">
        <w:t>—</w:t>
      </w:r>
      <w:r w:rsidR="00C7328F">
        <w:t>E</w:t>
      </w:r>
      <w:r w:rsidR="00B751DE" w:rsidRPr="00427EE1">
        <w:t>xisting buildings</w:t>
      </w:r>
      <w:bookmarkEnd w:id="190"/>
    </w:p>
    <w:p w:rsidR="00B751DE" w:rsidRPr="00427EE1" w:rsidRDefault="00EF2008" w:rsidP="006119D2">
      <w:pPr>
        <w:pStyle w:val="Heading4"/>
      </w:pPr>
      <w:proofErr w:type="spellStart"/>
      <w:r>
        <w:t>Div</w:t>
      </w:r>
      <w:proofErr w:type="spellEnd"/>
      <w:r w:rsidR="00B751DE" w:rsidRPr="00427EE1">
        <w:t xml:space="preserve"> 1</w:t>
      </w:r>
      <w:r w:rsidR="008475D9">
        <w:t>—</w:t>
      </w:r>
      <w:r w:rsidR="00B751DE" w:rsidRPr="00427EE1">
        <w:t>Change of use of existing buildings</w:t>
      </w:r>
    </w:p>
    <w:tbl>
      <w:tblPr>
        <w:tblW w:w="14549" w:type="dxa"/>
        <w:tblInd w:w="-172"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89"/>
        <w:gridCol w:w="992"/>
        <w:gridCol w:w="4243"/>
        <w:gridCol w:w="399"/>
        <w:gridCol w:w="399"/>
        <w:gridCol w:w="402"/>
        <w:gridCol w:w="400"/>
        <w:gridCol w:w="398"/>
        <w:gridCol w:w="6327"/>
      </w:tblGrid>
      <w:tr w:rsidR="00C83190" w:rsidRPr="00427EE1" w:rsidTr="006119D2">
        <w:trPr>
          <w:cantSplit/>
          <w:trHeight w:val="132"/>
          <w:tblHeader/>
        </w:trPr>
        <w:tc>
          <w:tcPr>
            <w:tcW w:w="989" w:type="dxa"/>
            <w:vMerge w:val="restart"/>
            <w:shd w:val="clear" w:color="auto" w:fill="00B2A9" w:themeFill="accent1"/>
            <w:vAlign w:val="center"/>
            <w:hideMark/>
          </w:tcPr>
          <w:p w:rsidR="00C83190" w:rsidRDefault="00C83190">
            <w:pPr>
              <w:pStyle w:val="Tablecolumnhead"/>
              <w:rPr>
                <w:rFonts w:asciiTheme="majorHAnsi" w:eastAsia="Calibri" w:hAnsiTheme="majorHAnsi" w:cstheme="majorBidi"/>
                <w:sz w:val="40"/>
              </w:rPr>
            </w:pPr>
            <w:r w:rsidRPr="00BE72D7">
              <w:rPr>
                <w:rFonts w:eastAsia="Calibri"/>
              </w:rPr>
              <w:t>2006</w:t>
            </w:r>
          </w:p>
          <w:p w:rsidR="00C83190" w:rsidRPr="00616EAD" w:rsidRDefault="00C83190">
            <w:pPr>
              <w:pStyle w:val="Tablecolumnhead"/>
              <w:rPr>
                <w:rFonts w:eastAsia="Calibri"/>
              </w:rPr>
            </w:pPr>
            <w:r w:rsidRPr="00C44680">
              <w:rPr>
                <w:rFonts w:ascii="Arial Bold" w:eastAsia="Calibri" w:hAnsi="Arial Bold"/>
                <w:spacing w:val="-12"/>
                <w:sz w:val="16"/>
              </w:rPr>
              <w:t>Regulation</w:t>
            </w:r>
          </w:p>
        </w:tc>
        <w:tc>
          <w:tcPr>
            <w:tcW w:w="992" w:type="dxa"/>
            <w:vMerge w:val="restart"/>
            <w:shd w:val="clear" w:color="auto" w:fill="00B2A9" w:themeFill="accent1"/>
            <w:vAlign w:val="center"/>
            <w:hideMark/>
          </w:tcPr>
          <w:p w:rsidR="00C83190" w:rsidRDefault="00C83190">
            <w:pPr>
              <w:pStyle w:val="Tablecolumnhead"/>
              <w:rPr>
                <w:rFonts w:asciiTheme="majorHAnsi" w:eastAsiaTheme="majorEastAsia" w:hAnsiTheme="majorHAnsi" w:cstheme="majorBidi"/>
                <w:sz w:val="40"/>
              </w:rPr>
            </w:pPr>
            <w:r w:rsidRPr="008F0E53">
              <w:rPr>
                <w:rFonts w:eastAsia="Calibri"/>
              </w:rPr>
              <w:t>2017</w:t>
            </w:r>
          </w:p>
          <w:p w:rsidR="00C83190" w:rsidRPr="00616EAD" w:rsidRDefault="00C83190">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C83190" w:rsidRPr="00616EAD" w:rsidRDefault="00C83190">
            <w:pPr>
              <w:pStyle w:val="Tablecolumnhead"/>
              <w:rPr>
                <w:rFonts w:eastAsia="Calibri"/>
              </w:rPr>
            </w:pPr>
            <w:r w:rsidRPr="00616EAD">
              <w:t xml:space="preserve">Short description of the </w:t>
            </w:r>
            <w:r>
              <w:t>Regulation</w:t>
            </w:r>
          </w:p>
        </w:tc>
        <w:tc>
          <w:tcPr>
            <w:tcW w:w="1998" w:type="dxa"/>
            <w:gridSpan w:val="5"/>
            <w:shd w:val="clear" w:color="auto" w:fill="00B2A9" w:themeFill="accent1"/>
            <w:vAlign w:val="center"/>
          </w:tcPr>
          <w:p w:rsidR="00C83190" w:rsidRPr="00616EAD" w:rsidRDefault="00C83190">
            <w:pPr>
              <w:pStyle w:val="Tablecolumnhead"/>
            </w:pPr>
            <w:r w:rsidRPr="00616EAD">
              <w:t>Proposed regulatory change</w:t>
            </w:r>
          </w:p>
        </w:tc>
        <w:tc>
          <w:tcPr>
            <w:tcW w:w="6327" w:type="dxa"/>
            <w:vMerge w:val="restart"/>
            <w:shd w:val="clear" w:color="auto" w:fill="00B2A9" w:themeFill="accent1"/>
            <w:vAlign w:val="center"/>
          </w:tcPr>
          <w:p w:rsidR="00C83190" w:rsidRPr="00616EAD" w:rsidRDefault="00C83190">
            <w:pPr>
              <w:pStyle w:val="Tablecolumnhead"/>
            </w:pPr>
            <w:r w:rsidRPr="00616EAD">
              <w:t>Why the 2017 Regulation is proposed</w:t>
            </w:r>
          </w:p>
        </w:tc>
      </w:tr>
      <w:tr w:rsidR="00B751DE" w:rsidRPr="00427EE1" w:rsidTr="006119D2">
        <w:trPr>
          <w:cantSplit/>
          <w:trHeight w:val="966"/>
          <w:tblHeader/>
        </w:trPr>
        <w:tc>
          <w:tcPr>
            <w:tcW w:w="989"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992"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FF3262" w:rsidRPr="00427EE1" w:rsidTr="006119D2">
        <w:trPr>
          <w:cantSplit/>
          <w:trHeight w:val="340"/>
        </w:trPr>
        <w:tc>
          <w:tcPr>
            <w:tcW w:w="98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rsidP="006757E8">
            <w:pPr>
              <w:pStyle w:val="Tabletext"/>
              <w:rPr>
                <w:rFonts w:eastAsia="Calibri"/>
              </w:rPr>
            </w:pPr>
            <w:r w:rsidRPr="00427EE1">
              <w:rPr>
                <w:rFonts w:eastAsia="Calibri"/>
              </w:rPr>
              <w:t>1011(1)</w:t>
            </w:r>
          </w:p>
          <w:p w:rsidR="00FF3262" w:rsidRPr="00427EE1" w:rsidRDefault="00FF3262" w:rsidP="006757E8">
            <w:pPr>
              <w:pStyle w:val="Tabletext"/>
              <w:rPr>
                <w:rFonts w:eastAsia="Calibri"/>
              </w:rPr>
            </w:pPr>
            <w:r w:rsidRPr="00427EE1">
              <w:rPr>
                <w:rFonts w:eastAsia="Calibri"/>
              </w:rPr>
              <w:t>1011(5)</w:t>
            </w:r>
          </w:p>
        </w:tc>
        <w:tc>
          <w:tcPr>
            <w:tcW w:w="99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pStyle w:val="Tabletext"/>
              <w:rPr>
                <w:rFonts w:eastAsia="Calibri"/>
                <w:lang w:eastAsia="en-US"/>
              </w:rPr>
            </w:pPr>
            <w:r w:rsidRPr="00427EE1">
              <w:rPr>
                <w:rFonts w:eastAsia="Calibri"/>
                <w:lang w:eastAsia="en-US"/>
              </w:rPr>
              <w:t>227</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FF3262" w:rsidRPr="00427EE1" w:rsidRDefault="00FF3262">
            <w:pPr>
              <w:pStyle w:val="Tabletext"/>
              <w:rPr>
                <w:rFonts w:eastAsia="Calibri"/>
                <w:b/>
                <w:lang w:eastAsia="en-US"/>
              </w:rPr>
            </w:pPr>
            <w:r w:rsidRPr="00427EE1">
              <w:rPr>
                <w:rFonts w:eastAsia="Calibri"/>
                <w:b/>
                <w:lang w:eastAsia="en-US"/>
              </w:rPr>
              <w:t>Change of use</w:t>
            </w:r>
          </w:p>
          <w:p w:rsidR="00FF3262" w:rsidRPr="00427EE1" w:rsidRDefault="00FF3262">
            <w:pPr>
              <w:pStyle w:val="Tabletext"/>
              <w:rPr>
                <w:rFonts w:eastAsia="Calibri"/>
                <w:lang w:eastAsia="en-US"/>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prohibits a person from changing the use of a building unless there is an occupancy permit allowing that use and the building complies with the </w:t>
            </w:r>
            <w:r w:rsidR="008911CB">
              <w:rPr>
                <w:rFonts w:eastAsia="Calibri"/>
                <w:lang w:eastAsia="en-US"/>
              </w:rPr>
              <w:t>Regulations</w:t>
            </w:r>
            <w:r w:rsidRPr="00427EE1">
              <w:rPr>
                <w:rFonts w:eastAsia="Calibri"/>
                <w:lang w:eastAsia="en-US"/>
              </w:rPr>
              <w:t xml:space="preserve"> applicable to that use</w:t>
            </w:r>
            <w:r w:rsidR="00C83190">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 xml:space="preserve">protects health and safety by ensuring that buildings have the appropriate safety features and services connected. The exemption to this </w:t>
            </w:r>
            <w:r w:rsidR="000273F9">
              <w:rPr>
                <w:rFonts w:eastAsia="Calibri"/>
              </w:rPr>
              <w:t>Regulation</w:t>
            </w:r>
            <w:r w:rsidRPr="00427EE1">
              <w:rPr>
                <w:rFonts w:eastAsia="Calibri"/>
              </w:rPr>
              <w:t xml:space="preserve"> has been moved to </w:t>
            </w:r>
            <w:r w:rsidR="008911CB">
              <w:rPr>
                <w:rFonts w:eastAsia="Calibri"/>
              </w:rPr>
              <w:t>pt.</w:t>
            </w:r>
            <w:r w:rsidRPr="00427EE1">
              <w:rPr>
                <w:rFonts w:eastAsia="Calibri"/>
              </w:rPr>
              <w:t xml:space="preserve"> 18. The penalty has been increased and introduces a prescribed form to facilitate clear and consistent records of these decisions across all building surveyors.</w:t>
            </w:r>
          </w:p>
        </w:tc>
      </w:tr>
      <w:tr w:rsidR="00FF3262" w:rsidRPr="00427EE1" w:rsidTr="006119D2">
        <w:trPr>
          <w:cantSplit/>
          <w:trHeight w:val="340"/>
        </w:trPr>
        <w:tc>
          <w:tcPr>
            <w:tcW w:w="98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rsidP="006757E8">
            <w:pPr>
              <w:pStyle w:val="Tabletext"/>
              <w:rPr>
                <w:rFonts w:eastAsia="Calibri"/>
              </w:rPr>
            </w:pPr>
            <w:r w:rsidRPr="00427EE1">
              <w:rPr>
                <w:rFonts w:eastAsia="Calibri"/>
              </w:rPr>
              <w:lastRenderedPageBreak/>
              <w:t>1011(4)</w:t>
            </w:r>
          </w:p>
        </w:tc>
        <w:tc>
          <w:tcPr>
            <w:tcW w:w="99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rsidP="006757E8">
            <w:pPr>
              <w:pStyle w:val="Tabletext"/>
              <w:rPr>
                <w:rFonts w:eastAsia="Calibri"/>
                <w:lang w:eastAsia="en-US"/>
              </w:rPr>
            </w:pPr>
            <w:r w:rsidRPr="00427EE1">
              <w:rPr>
                <w:rFonts w:eastAsia="Calibri"/>
                <w:lang w:eastAsia="en-US"/>
              </w:rPr>
              <w:t>228</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FF3262" w:rsidRPr="00427EE1" w:rsidRDefault="00C85843">
            <w:pPr>
              <w:pStyle w:val="Tabletext"/>
              <w:rPr>
                <w:rFonts w:eastAsia="Calibri"/>
                <w:b/>
                <w:lang w:eastAsia="en-US"/>
              </w:rPr>
            </w:pPr>
            <w:r>
              <w:rPr>
                <w:rFonts w:eastAsia="Calibri"/>
                <w:b/>
                <w:lang w:eastAsia="en-US"/>
              </w:rPr>
              <w:t>PBS</w:t>
            </w:r>
            <w:r w:rsidR="00FF3262" w:rsidRPr="00427EE1">
              <w:rPr>
                <w:rFonts w:eastAsia="Calibri"/>
                <w:b/>
                <w:lang w:eastAsia="en-US"/>
              </w:rPr>
              <w:t xml:space="preserve"> may exercise powers of </w:t>
            </w:r>
            <w:r>
              <w:rPr>
                <w:rFonts w:eastAsia="Calibri"/>
                <w:b/>
                <w:lang w:eastAsia="en-US"/>
              </w:rPr>
              <w:t>MBS</w:t>
            </w:r>
            <w:r w:rsidR="00FF3262" w:rsidRPr="00427EE1">
              <w:rPr>
                <w:rFonts w:eastAsia="Calibri"/>
                <w:b/>
                <w:lang w:eastAsia="en-US"/>
              </w:rPr>
              <w:t xml:space="preserve"> under </w:t>
            </w:r>
            <w:proofErr w:type="spellStart"/>
            <w:r w:rsidR="003902AD">
              <w:rPr>
                <w:rFonts w:eastAsia="Calibri"/>
                <w:b/>
                <w:lang w:eastAsia="en-US"/>
              </w:rPr>
              <w:t>reg</w:t>
            </w:r>
            <w:proofErr w:type="spellEnd"/>
            <w:r w:rsidR="003902AD">
              <w:rPr>
                <w:rFonts w:eastAsia="Calibri"/>
                <w:b/>
                <w:lang w:eastAsia="en-US"/>
              </w:rPr>
              <w:t xml:space="preserve"> 2</w:t>
            </w:r>
            <w:r w:rsidR="00FF3262" w:rsidRPr="00427EE1">
              <w:rPr>
                <w:rFonts w:eastAsia="Calibri"/>
                <w:b/>
                <w:lang w:eastAsia="en-US"/>
              </w:rPr>
              <w:t>27</w:t>
            </w:r>
          </w:p>
          <w:p w:rsidR="00FF3262" w:rsidRPr="00427EE1" w:rsidRDefault="002E244C">
            <w:pPr>
              <w:pStyle w:val="Tabletext"/>
              <w:rPr>
                <w:rFonts w:eastAsia="Calibri"/>
                <w:lang w:eastAsia="en-US"/>
              </w:rPr>
            </w:pPr>
            <w:r>
              <w:rPr>
                <w:rFonts w:eastAsia="Calibri"/>
                <w:lang w:eastAsia="en-US"/>
              </w:rPr>
              <w:t xml:space="preserve">Enables </w:t>
            </w:r>
            <w:r w:rsidR="00FF3262" w:rsidRPr="00427EE1">
              <w:rPr>
                <w:rFonts w:eastAsia="Calibri"/>
                <w:lang w:eastAsia="en-US"/>
              </w:rPr>
              <w:t xml:space="preserve">a </w:t>
            </w:r>
            <w:r w:rsidR="00C85843">
              <w:rPr>
                <w:rFonts w:eastAsia="Calibri"/>
                <w:lang w:eastAsia="en-US"/>
              </w:rPr>
              <w:t>PBS</w:t>
            </w:r>
            <w:r w:rsidR="00FF3262" w:rsidRPr="00427EE1">
              <w:rPr>
                <w:rFonts w:eastAsia="Calibri"/>
                <w:lang w:eastAsia="en-US"/>
              </w:rPr>
              <w:t xml:space="preserve"> who has been appointed to issue an occupancy permit may exercise the powers of a </w:t>
            </w:r>
            <w:r w:rsidR="00C85843">
              <w:rPr>
                <w:rFonts w:eastAsia="Calibri"/>
                <w:lang w:eastAsia="en-US"/>
              </w:rPr>
              <w:t>MBS</w:t>
            </w:r>
            <w:r w:rsidR="00FF3262" w:rsidRPr="00427EE1">
              <w:rPr>
                <w:rFonts w:eastAsia="Calibri"/>
                <w:lang w:eastAsia="en-US"/>
              </w:rPr>
              <w:t xml:space="preserve"> to grant an exemption from compliance with any of the </w:t>
            </w:r>
            <w:r w:rsidR="008911CB">
              <w:rPr>
                <w:rFonts w:eastAsia="Calibri"/>
                <w:lang w:eastAsia="en-US"/>
              </w:rPr>
              <w:t>Regulations</w:t>
            </w:r>
            <w:r w:rsidR="00FF3262" w:rsidRPr="00427EE1">
              <w:rPr>
                <w:rFonts w:eastAsia="Calibri"/>
                <w:lang w:eastAsia="en-US"/>
              </w:rPr>
              <w:t xml:space="preserve"> applicable to the new use.</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pStyle w:val="Tabletext"/>
              <w:rPr>
                <w:rFonts w:eastAsia="Calibri"/>
              </w:rPr>
            </w:pPr>
            <w:r w:rsidRPr="00427EE1">
              <w:rPr>
                <w:rFonts w:eastAsia="Calibri"/>
              </w:rPr>
              <w:t xml:space="preserve">This </w:t>
            </w:r>
            <w:r w:rsidR="000273F9">
              <w:rPr>
                <w:rFonts w:eastAsia="Calibri"/>
              </w:rPr>
              <w:t>Regulation</w:t>
            </w:r>
            <w:r w:rsidR="00E60957">
              <w:rPr>
                <w:rFonts w:eastAsia="Calibri"/>
              </w:rPr>
              <w:t xml:space="preserve"> </w:t>
            </w:r>
            <w:r w:rsidRPr="00427EE1">
              <w:rPr>
                <w:rFonts w:eastAsia="Calibri"/>
              </w:rPr>
              <w:t>creates efficiencies in the delivery of building services. The</w:t>
            </w:r>
            <w:r w:rsidR="00E60957">
              <w:rPr>
                <w:rFonts w:eastAsia="Calibri"/>
              </w:rPr>
              <w:t xml:space="preserve"> </w:t>
            </w:r>
            <w:r w:rsidRPr="00427EE1">
              <w:rPr>
                <w:rFonts w:eastAsia="Calibri"/>
              </w:rPr>
              <w:t>matters that must be considered when deciding whether to grant an exemption from compliance are consistent with those</w:t>
            </w:r>
            <w:r w:rsidR="00E60957">
              <w:rPr>
                <w:rFonts w:eastAsia="Calibri"/>
              </w:rPr>
              <w:t xml:space="preserve"> </w:t>
            </w:r>
            <w:r w:rsidRPr="00427EE1">
              <w:rPr>
                <w:rFonts w:eastAsia="Calibri"/>
              </w:rPr>
              <w:t xml:space="preserve">matters that need </w:t>
            </w:r>
            <w:r w:rsidR="00BB3A66" w:rsidRPr="00427EE1">
              <w:rPr>
                <w:rFonts w:eastAsia="Calibri"/>
              </w:rPr>
              <w:t>to be</w:t>
            </w:r>
            <w:r w:rsidRPr="00427EE1">
              <w:rPr>
                <w:rFonts w:eastAsia="Calibri"/>
              </w:rPr>
              <w:t xml:space="preserve"> considered when issuing an occupancy permit.</w:t>
            </w:r>
          </w:p>
        </w:tc>
      </w:tr>
    </w:tbl>
    <w:p w:rsidR="00B751DE" w:rsidRPr="00427EE1" w:rsidRDefault="00B751DE" w:rsidP="006757E8"/>
    <w:p w:rsidR="00B751DE" w:rsidRPr="00427EE1" w:rsidRDefault="00EF2008" w:rsidP="006119D2">
      <w:pPr>
        <w:pStyle w:val="Heading4"/>
      </w:pPr>
      <w:proofErr w:type="spellStart"/>
      <w:r>
        <w:t>Div</w:t>
      </w:r>
      <w:proofErr w:type="spellEnd"/>
      <w:r w:rsidR="00B751DE" w:rsidRPr="00427EE1">
        <w:t xml:space="preserve"> 2</w:t>
      </w:r>
      <w:r w:rsidR="008475D9">
        <w:t>—</w:t>
      </w:r>
      <w:r w:rsidR="00B751DE" w:rsidRPr="00427EE1">
        <w:t>Subdivision</w:t>
      </w:r>
      <w:r w:rsidR="00C7328F">
        <w:t xml:space="preserve"> of existing building</w:t>
      </w:r>
    </w:p>
    <w:tbl>
      <w:tblPr>
        <w:tblW w:w="14535" w:type="dxa"/>
        <w:tblInd w:w="-158"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80"/>
        <w:gridCol w:w="987"/>
        <w:gridCol w:w="4243"/>
        <w:gridCol w:w="399"/>
        <w:gridCol w:w="399"/>
        <w:gridCol w:w="402"/>
        <w:gridCol w:w="400"/>
        <w:gridCol w:w="398"/>
        <w:gridCol w:w="6327"/>
      </w:tblGrid>
      <w:tr w:rsidR="00C83190" w:rsidRPr="00427EE1" w:rsidTr="006119D2">
        <w:trPr>
          <w:cantSplit/>
          <w:trHeight w:val="226"/>
          <w:tblHeader/>
        </w:trPr>
        <w:tc>
          <w:tcPr>
            <w:tcW w:w="980" w:type="dxa"/>
            <w:vMerge w:val="restart"/>
            <w:shd w:val="clear" w:color="auto" w:fill="00B2A9" w:themeFill="accent1"/>
            <w:vAlign w:val="center"/>
            <w:hideMark/>
          </w:tcPr>
          <w:p w:rsidR="00C83190" w:rsidRDefault="00C83190">
            <w:pPr>
              <w:pStyle w:val="Tablecolumnhead"/>
              <w:rPr>
                <w:rFonts w:asciiTheme="majorHAnsi" w:eastAsia="Calibri" w:hAnsiTheme="majorHAnsi" w:cstheme="majorBidi"/>
                <w:sz w:val="40"/>
              </w:rPr>
            </w:pPr>
            <w:r w:rsidRPr="00BE72D7">
              <w:rPr>
                <w:rFonts w:eastAsia="Calibri"/>
              </w:rPr>
              <w:t>2006</w:t>
            </w:r>
          </w:p>
          <w:p w:rsidR="00C83190" w:rsidRPr="00616EAD" w:rsidRDefault="00C83190">
            <w:pPr>
              <w:pStyle w:val="Tablecolumnhead"/>
              <w:rPr>
                <w:rFonts w:eastAsia="Calibri"/>
              </w:rPr>
            </w:pPr>
            <w:r w:rsidRPr="00C44680">
              <w:rPr>
                <w:rFonts w:ascii="Arial Bold" w:eastAsia="Calibri" w:hAnsi="Arial Bold"/>
                <w:spacing w:val="-12"/>
                <w:sz w:val="16"/>
              </w:rPr>
              <w:t>Regulation</w:t>
            </w:r>
          </w:p>
        </w:tc>
        <w:tc>
          <w:tcPr>
            <w:tcW w:w="987" w:type="dxa"/>
            <w:vMerge w:val="restart"/>
            <w:shd w:val="clear" w:color="auto" w:fill="00B2A9" w:themeFill="accent1"/>
            <w:vAlign w:val="center"/>
            <w:hideMark/>
          </w:tcPr>
          <w:p w:rsidR="00C83190" w:rsidRDefault="00C83190">
            <w:pPr>
              <w:pStyle w:val="Tablecolumnhead"/>
              <w:rPr>
                <w:rFonts w:asciiTheme="majorHAnsi" w:eastAsiaTheme="majorEastAsia" w:hAnsiTheme="majorHAnsi" w:cstheme="majorBidi"/>
                <w:sz w:val="40"/>
              </w:rPr>
            </w:pPr>
            <w:r w:rsidRPr="008F0E53">
              <w:rPr>
                <w:rFonts w:eastAsia="Calibri"/>
              </w:rPr>
              <w:t>2017</w:t>
            </w:r>
          </w:p>
          <w:p w:rsidR="00C83190" w:rsidRPr="00616EAD" w:rsidRDefault="00C83190">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C83190" w:rsidRPr="00616EAD" w:rsidRDefault="00C83190">
            <w:pPr>
              <w:pStyle w:val="Tablecolumnhead"/>
              <w:rPr>
                <w:rFonts w:eastAsia="Calibri"/>
              </w:rPr>
            </w:pPr>
            <w:r w:rsidRPr="00616EAD">
              <w:t xml:space="preserve">Short description of the </w:t>
            </w:r>
            <w:r>
              <w:t>Regulation</w:t>
            </w:r>
          </w:p>
        </w:tc>
        <w:tc>
          <w:tcPr>
            <w:tcW w:w="1998" w:type="dxa"/>
            <w:gridSpan w:val="5"/>
            <w:shd w:val="clear" w:color="auto" w:fill="00B2A9" w:themeFill="accent1"/>
            <w:vAlign w:val="center"/>
          </w:tcPr>
          <w:p w:rsidR="00C83190" w:rsidRPr="00616EAD" w:rsidRDefault="00C83190">
            <w:pPr>
              <w:pStyle w:val="Tablecolumnhead"/>
            </w:pPr>
            <w:r w:rsidRPr="00616EAD">
              <w:t>Proposed regulatory change</w:t>
            </w:r>
          </w:p>
        </w:tc>
        <w:tc>
          <w:tcPr>
            <w:tcW w:w="6327" w:type="dxa"/>
            <w:vMerge w:val="restart"/>
            <w:shd w:val="clear" w:color="auto" w:fill="00B2A9" w:themeFill="accent1"/>
            <w:vAlign w:val="center"/>
          </w:tcPr>
          <w:p w:rsidR="00C83190" w:rsidRPr="00616EAD" w:rsidRDefault="00C83190">
            <w:pPr>
              <w:pStyle w:val="Tablecolumnhead"/>
            </w:pPr>
            <w:r w:rsidRPr="00616EAD">
              <w:t>Why the 2017 Regulation is proposed</w:t>
            </w:r>
          </w:p>
        </w:tc>
      </w:tr>
      <w:tr w:rsidR="00B751DE" w:rsidRPr="00427EE1" w:rsidTr="006119D2">
        <w:trPr>
          <w:cantSplit/>
          <w:trHeight w:val="966"/>
          <w:tblHeader/>
        </w:trPr>
        <w:tc>
          <w:tcPr>
            <w:tcW w:w="980"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987"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FF3262" w:rsidRPr="00427EE1" w:rsidTr="006119D2">
        <w:trPr>
          <w:cantSplit/>
          <w:trHeight w:val="340"/>
        </w:trPr>
        <w:tc>
          <w:tcPr>
            <w:tcW w:w="98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rsidP="006757E8">
            <w:pPr>
              <w:pStyle w:val="Tabletext"/>
              <w:rPr>
                <w:rFonts w:eastAsia="Calibri"/>
              </w:rPr>
            </w:pPr>
            <w:r w:rsidRPr="00427EE1">
              <w:rPr>
                <w:rFonts w:eastAsia="Calibri"/>
              </w:rPr>
              <w:t>503</w:t>
            </w:r>
          </w:p>
        </w:tc>
        <w:tc>
          <w:tcPr>
            <w:tcW w:w="98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rsidP="006757E8">
            <w:pPr>
              <w:pStyle w:val="Tabletext"/>
              <w:rPr>
                <w:rFonts w:eastAsia="Calibri"/>
                <w:lang w:eastAsia="en-US"/>
              </w:rPr>
            </w:pPr>
            <w:r w:rsidRPr="00427EE1">
              <w:rPr>
                <w:rFonts w:eastAsia="Calibri"/>
                <w:lang w:eastAsia="en-US"/>
              </w:rPr>
              <w:t>229</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FF3262" w:rsidRPr="00427EE1" w:rsidRDefault="00FF3262" w:rsidP="006757E8">
            <w:pPr>
              <w:pStyle w:val="Tabletext"/>
              <w:rPr>
                <w:rFonts w:eastAsia="Calibri"/>
                <w:b/>
                <w:lang w:eastAsia="en-US"/>
              </w:rPr>
            </w:pPr>
            <w:r w:rsidRPr="00427EE1">
              <w:rPr>
                <w:rFonts w:eastAsia="Calibri"/>
                <w:b/>
                <w:lang w:eastAsia="en-US"/>
              </w:rPr>
              <w:t>Subdivision of existing building</w:t>
            </w:r>
          </w:p>
          <w:p w:rsidR="00FF3262" w:rsidRPr="00427EE1" w:rsidRDefault="002E244C">
            <w:pPr>
              <w:pStyle w:val="Tabletext"/>
              <w:rPr>
                <w:rFonts w:eastAsia="Calibri"/>
                <w:lang w:eastAsia="en-US"/>
              </w:rPr>
            </w:pPr>
            <w:r>
              <w:rPr>
                <w:rFonts w:eastAsia="Calibri"/>
                <w:lang w:eastAsia="en-US"/>
              </w:rPr>
              <w:t xml:space="preserve">Requires </w:t>
            </w:r>
            <w:r w:rsidR="00FF3262" w:rsidRPr="00427EE1">
              <w:rPr>
                <w:rFonts w:eastAsia="Calibri"/>
                <w:lang w:eastAsia="en-US"/>
              </w:rPr>
              <w:t xml:space="preserve">each building resulting from a subdivided building to be brought into compliance with current </w:t>
            </w:r>
            <w:r w:rsidR="008911CB">
              <w:rPr>
                <w:rFonts w:eastAsia="Calibri"/>
                <w:lang w:eastAsia="en-US"/>
              </w:rPr>
              <w:t>Regulations</w:t>
            </w:r>
            <w:r w:rsidR="00C83190">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 xml:space="preserve">protects health and safety by ensuring that existing buildings are upgraded to modern day standards when subdivided. Penalty has increased and introduces a prescribed form to facilitate clear and consistent records of these decisions across all building surveyors. </w:t>
            </w:r>
          </w:p>
        </w:tc>
      </w:tr>
      <w:tr w:rsidR="00FF3262" w:rsidRPr="00427EE1" w:rsidTr="006119D2">
        <w:trPr>
          <w:cantSplit/>
          <w:trHeight w:val="340"/>
        </w:trPr>
        <w:tc>
          <w:tcPr>
            <w:tcW w:w="98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rsidP="006757E8">
            <w:pPr>
              <w:pStyle w:val="Tabletext"/>
              <w:rPr>
                <w:rFonts w:eastAsia="Calibri"/>
              </w:rPr>
            </w:pPr>
            <w:r w:rsidRPr="00427EE1">
              <w:rPr>
                <w:rFonts w:eastAsia="Calibri"/>
              </w:rPr>
              <w:t>503(4)</w:t>
            </w:r>
          </w:p>
        </w:tc>
        <w:tc>
          <w:tcPr>
            <w:tcW w:w="98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rsidP="006757E8">
            <w:pPr>
              <w:pStyle w:val="Tabletext"/>
              <w:rPr>
                <w:rFonts w:eastAsia="Calibri"/>
                <w:lang w:eastAsia="en-US"/>
              </w:rPr>
            </w:pPr>
            <w:r w:rsidRPr="00427EE1">
              <w:rPr>
                <w:rFonts w:eastAsia="Calibri"/>
                <w:lang w:eastAsia="en-US"/>
              </w:rPr>
              <w:t>230</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FF3262" w:rsidRPr="00427EE1" w:rsidRDefault="00C85843">
            <w:pPr>
              <w:pStyle w:val="Tabletext"/>
              <w:rPr>
                <w:rFonts w:eastAsia="Calibri"/>
                <w:b/>
                <w:lang w:eastAsia="en-US"/>
              </w:rPr>
            </w:pPr>
            <w:r>
              <w:rPr>
                <w:rFonts w:eastAsia="Calibri"/>
                <w:b/>
                <w:lang w:eastAsia="en-US"/>
              </w:rPr>
              <w:t>PBS</w:t>
            </w:r>
            <w:r w:rsidR="00FF3262" w:rsidRPr="00427EE1">
              <w:rPr>
                <w:rFonts w:eastAsia="Calibri"/>
                <w:b/>
                <w:lang w:eastAsia="en-US"/>
              </w:rPr>
              <w:t xml:space="preserve"> may exercise powers of </w:t>
            </w:r>
            <w:r>
              <w:rPr>
                <w:rFonts w:eastAsia="Calibri"/>
                <w:b/>
                <w:lang w:eastAsia="en-US"/>
              </w:rPr>
              <w:t>MBS</w:t>
            </w:r>
            <w:r w:rsidR="00FF3262" w:rsidRPr="00427EE1">
              <w:rPr>
                <w:rFonts w:eastAsia="Calibri"/>
                <w:b/>
                <w:lang w:eastAsia="en-US"/>
              </w:rPr>
              <w:t xml:space="preserve"> under </w:t>
            </w:r>
            <w:proofErr w:type="spellStart"/>
            <w:r w:rsidR="003902AD">
              <w:rPr>
                <w:rFonts w:eastAsia="Calibri"/>
                <w:b/>
                <w:lang w:eastAsia="en-US"/>
              </w:rPr>
              <w:t>reg</w:t>
            </w:r>
            <w:proofErr w:type="spellEnd"/>
            <w:r w:rsidR="003902AD">
              <w:rPr>
                <w:rFonts w:eastAsia="Calibri"/>
                <w:b/>
                <w:lang w:eastAsia="en-US"/>
              </w:rPr>
              <w:t xml:space="preserve"> 1</w:t>
            </w:r>
            <w:r w:rsidR="00FF3262" w:rsidRPr="00427EE1">
              <w:rPr>
                <w:rFonts w:eastAsia="Calibri"/>
                <w:b/>
                <w:lang w:eastAsia="en-US"/>
              </w:rPr>
              <w:t>303</w:t>
            </w:r>
          </w:p>
          <w:p w:rsidR="00FF3262" w:rsidRPr="00427EE1" w:rsidRDefault="002E244C">
            <w:pPr>
              <w:pStyle w:val="Tabletext"/>
              <w:rPr>
                <w:rFonts w:eastAsia="Calibri"/>
                <w:b/>
                <w:lang w:eastAsia="en-US"/>
              </w:rPr>
            </w:pPr>
            <w:r>
              <w:rPr>
                <w:rFonts w:eastAsia="Calibri"/>
                <w:lang w:eastAsia="en-US"/>
              </w:rPr>
              <w:t xml:space="preserve">Enables </w:t>
            </w:r>
            <w:r w:rsidR="00FF3262" w:rsidRPr="00427EE1">
              <w:rPr>
                <w:rFonts w:eastAsia="Calibri"/>
                <w:lang w:eastAsia="en-US"/>
              </w:rPr>
              <w:t xml:space="preserve">a </w:t>
            </w:r>
            <w:r w:rsidR="00C85843">
              <w:rPr>
                <w:rFonts w:eastAsia="Calibri"/>
                <w:lang w:eastAsia="en-US"/>
              </w:rPr>
              <w:t>PBS</w:t>
            </w:r>
            <w:r w:rsidR="00FF3262" w:rsidRPr="00427EE1">
              <w:rPr>
                <w:rFonts w:eastAsia="Calibri"/>
                <w:lang w:eastAsia="en-US"/>
              </w:rPr>
              <w:t xml:space="preserve"> who has been appointed to issue an occupancy permit to exercise the powers of a </w:t>
            </w:r>
            <w:r w:rsidR="00C85843">
              <w:rPr>
                <w:rFonts w:eastAsia="Calibri"/>
                <w:lang w:eastAsia="en-US"/>
              </w:rPr>
              <w:t>MBS</w:t>
            </w:r>
            <w:r w:rsidR="00FF3262" w:rsidRPr="00427EE1">
              <w:rPr>
                <w:rFonts w:eastAsia="Calibri"/>
                <w:lang w:eastAsia="en-US"/>
              </w:rPr>
              <w:t xml:space="preserve"> to exempt a subdivided building from being brought into conformity with the Regulations.</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creates</w:t>
            </w:r>
            <w:r w:rsidR="00E60957">
              <w:rPr>
                <w:rFonts w:eastAsia="Calibri"/>
              </w:rPr>
              <w:t xml:space="preserve"> </w:t>
            </w:r>
            <w:r w:rsidRPr="00427EE1">
              <w:rPr>
                <w:rFonts w:eastAsia="Calibri"/>
              </w:rPr>
              <w:t>efficiencies in the delivery of building services. The</w:t>
            </w:r>
            <w:r w:rsidR="00E60957">
              <w:rPr>
                <w:rFonts w:eastAsia="Calibri"/>
              </w:rPr>
              <w:t xml:space="preserve"> </w:t>
            </w:r>
            <w:r w:rsidRPr="00427EE1">
              <w:rPr>
                <w:rFonts w:eastAsia="Calibri"/>
              </w:rPr>
              <w:t>matters that must be considered when deciding whether to grant an exemption are consistent with those that need to be considered when issuing an occupancy permit.</w:t>
            </w:r>
          </w:p>
        </w:tc>
      </w:tr>
    </w:tbl>
    <w:p w:rsidR="00B751DE" w:rsidRPr="00427EE1" w:rsidRDefault="00B751DE" w:rsidP="006757E8"/>
    <w:p w:rsidR="00B751DE" w:rsidRPr="00427EE1" w:rsidRDefault="00EF2008" w:rsidP="006119D2">
      <w:pPr>
        <w:pStyle w:val="Heading4"/>
      </w:pPr>
      <w:proofErr w:type="spellStart"/>
      <w:r>
        <w:lastRenderedPageBreak/>
        <w:t>Div</w:t>
      </w:r>
      <w:proofErr w:type="spellEnd"/>
      <w:r w:rsidR="00B751DE" w:rsidRPr="00427EE1">
        <w:t xml:space="preserve"> 3</w:t>
      </w:r>
      <w:r w:rsidR="008475D9">
        <w:t>—</w:t>
      </w:r>
      <w:r w:rsidR="00B751DE" w:rsidRPr="00427EE1">
        <w:t>Alterations</w:t>
      </w:r>
    </w:p>
    <w:tbl>
      <w:tblPr>
        <w:tblW w:w="14535" w:type="dxa"/>
        <w:tblInd w:w="-158"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52"/>
        <w:gridCol w:w="1015"/>
        <w:gridCol w:w="4243"/>
        <w:gridCol w:w="399"/>
        <w:gridCol w:w="399"/>
        <w:gridCol w:w="402"/>
        <w:gridCol w:w="400"/>
        <w:gridCol w:w="398"/>
        <w:gridCol w:w="6327"/>
      </w:tblGrid>
      <w:tr w:rsidR="00C83190" w:rsidRPr="00427EE1" w:rsidTr="006119D2">
        <w:trPr>
          <w:cantSplit/>
          <w:trHeight w:val="387"/>
          <w:tblHeader/>
        </w:trPr>
        <w:tc>
          <w:tcPr>
            <w:tcW w:w="952" w:type="dxa"/>
            <w:vMerge w:val="restart"/>
            <w:shd w:val="clear" w:color="auto" w:fill="00B2A9" w:themeFill="accent1"/>
            <w:vAlign w:val="center"/>
            <w:hideMark/>
          </w:tcPr>
          <w:p w:rsidR="00C83190" w:rsidRDefault="00C83190">
            <w:pPr>
              <w:pStyle w:val="Tablecolumnhead"/>
              <w:rPr>
                <w:rFonts w:asciiTheme="majorHAnsi" w:eastAsia="Calibri" w:hAnsiTheme="majorHAnsi" w:cstheme="majorBidi"/>
                <w:sz w:val="40"/>
              </w:rPr>
            </w:pPr>
            <w:r w:rsidRPr="00BE72D7">
              <w:rPr>
                <w:rFonts w:eastAsia="Calibri"/>
              </w:rPr>
              <w:t>2006</w:t>
            </w:r>
          </w:p>
          <w:p w:rsidR="00C83190" w:rsidRPr="003466FF" w:rsidRDefault="00C83190">
            <w:pPr>
              <w:pStyle w:val="Tablecolumnhead"/>
              <w:rPr>
                <w:rFonts w:eastAsia="Calibri"/>
              </w:rPr>
            </w:pPr>
            <w:r w:rsidRPr="00C44680">
              <w:rPr>
                <w:rFonts w:ascii="Arial Bold" w:eastAsia="Calibri" w:hAnsi="Arial Bold"/>
                <w:spacing w:val="-12"/>
                <w:sz w:val="16"/>
              </w:rPr>
              <w:t>Regulation</w:t>
            </w:r>
          </w:p>
        </w:tc>
        <w:tc>
          <w:tcPr>
            <w:tcW w:w="1015" w:type="dxa"/>
            <w:vMerge w:val="restart"/>
            <w:shd w:val="clear" w:color="auto" w:fill="00B2A9" w:themeFill="accent1"/>
            <w:vAlign w:val="center"/>
            <w:hideMark/>
          </w:tcPr>
          <w:p w:rsidR="00C83190" w:rsidRDefault="00C83190">
            <w:pPr>
              <w:pStyle w:val="Tablecolumnhead"/>
              <w:rPr>
                <w:rFonts w:asciiTheme="majorHAnsi" w:eastAsiaTheme="majorEastAsia" w:hAnsiTheme="majorHAnsi" w:cstheme="majorBidi"/>
                <w:sz w:val="40"/>
              </w:rPr>
            </w:pPr>
            <w:r w:rsidRPr="008F0E53">
              <w:rPr>
                <w:rFonts w:eastAsia="Calibri"/>
              </w:rPr>
              <w:t>2017</w:t>
            </w:r>
          </w:p>
          <w:p w:rsidR="00C83190" w:rsidRPr="003466FF" w:rsidRDefault="00C83190">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C83190" w:rsidRPr="003466FF" w:rsidRDefault="00C83190">
            <w:pPr>
              <w:pStyle w:val="Tablecolumnhead"/>
              <w:rPr>
                <w:rFonts w:eastAsia="Calibri"/>
              </w:rPr>
            </w:pPr>
            <w:r w:rsidRPr="003466FF">
              <w:rPr>
                <w:szCs w:val="22"/>
              </w:rPr>
              <w:t xml:space="preserve">Short description of the </w:t>
            </w:r>
            <w:r>
              <w:rPr>
                <w:szCs w:val="22"/>
              </w:rPr>
              <w:t>Regulation</w:t>
            </w:r>
          </w:p>
        </w:tc>
        <w:tc>
          <w:tcPr>
            <w:tcW w:w="1998" w:type="dxa"/>
            <w:gridSpan w:val="5"/>
            <w:shd w:val="clear" w:color="auto" w:fill="00B2A9" w:themeFill="accent1"/>
            <w:vAlign w:val="center"/>
          </w:tcPr>
          <w:p w:rsidR="00C83190" w:rsidRPr="003466FF" w:rsidRDefault="00C83190">
            <w:pPr>
              <w:pStyle w:val="Tablecolumnhead"/>
            </w:pPr>
            <w:r w:rsidRPr="003466FF">
              <w:rPr>
                <w:szCs w:val="22"/>
              </w:rPr>
              <w:t>Proposed regulatory change</w:t>
            </w:r>
          </w:p>
        </w:tc>
        <w:tc>
          <w:tcPr>
            <w:tcW w:w="6327" w:type="dxa"/>
            <w:vMerge w:val="restart"/>
            <w:shd w:val="clear" w:color="auto" w:fill="00B2A9" w:themeFill="accent1"/>
            <w:vAlign w:val="center"/>
          </w:tcPr>
          <w:p w:rsidR="00C83190" w:rsidRPr="003466FF" w:rsidRDefault="00C83190">
            <w:pPr>
              <w:pStyle w:val="Tablecolumnhead"/>
            </w:pPr>
            <w:r w:rsidRPr="003466FF">
              <w:rPr>
                <w:szCs w:val="22"/>
              </w:rPr>
              <w:t>Why the 2017 Regulation is proposed</w:t>
            </w:r>
          </w:p>
        </w:tc>
      </w:tr>
      <w:tr w:rsidR="00B751DE" w:rsidRPr="00427EE1" w:rsidTr="006119D2">
        <w:trPr>
          <w:cantSplit/>
          <w:trHeight w:val="966"/>
          <w:tblHeader/>
        </w:trPr>
        <w:tc>
          <w:tcPr>
            <w:tcW w:w="952"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1015"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FF3262" w:rsidRPr="00427EE1" w:rsidTr="006119D2">
        <w:trPr>
          <w:cantSplit/>
          <w:trHeight w:val="340"/>
        </w:trPr>
        <w:tc>
          <w:tcPr>
            <w:tcW w:w="95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rsidP="006757E8">
            <w:pPr>
              <w:pStyle w:val="Tabletext"/>
              <w:rPr>
                <w:rFonts w:eastAsia="Calibri"/>
              </w:rPr>
            </w:pPr>
            <w:r w:rsidRPr="00427EE1">
              <w:rPr>
                <w:rFonts w:eastAsia="Calibri"/>
              </w:rPr>
              <w:t>608(2)</w:t>
            </w:r>
          </w:p>
          <w:p w:rsidR="00FF3262" w:rsidRPr="00427EE1" w:rsidRDefault="00FF3262" w:rsidP="006757E8">
            <w:pPr>
              <w:pStyle w:val="Tabletext"/>
              <w:rPr>
                <w:rFonts w:eastAsia="Calibri"/>
              </w:rPr>
            </w:pPr>
            <w:r w:rsidRPr="00427EE1">
              <w:rPr>
                <w:rFonts w:eastAsia="Calibri"/>
              </w:rPr>
              <w:t>608(3)</w:t>
            </w:r>
          </w:p>
        </w:tc>
        <w:tc>
          <w:tcPr>
            <w:tcW w:w="101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pStyle w:val="Tabletext"/>
              <w:rPr>
                <w:rFonts w:eastAsia="Calibri"/>
                <w:lang w:eastAsia="en-US"/>
              </w:rPr>
            </w:pPr>
            <w:r w:rsidRPr="00427EE1">
              <w:rPr>
                <w:rFonts w:eastAsia="Calibri"/>
                <w:lang w:eastAsia="en-US"/>
              </w:rPr>
              <w:t>231</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FF3262" w:rsidRPr="00427EE1" w:rsidRDefault="00FF3262">
            <w:pPr>
              <w:pStyle w:val="Tabletext"/>
              <w:rPr>
                <w:rFonts w:eastAsia="Calibri"/>
                <w:b/>
                <w:lang w:eastAsia="en-US"/>
              </w:rPr>
            </w:pPr>
            <w:r w:rsidRPr="00427EE1">
              <w:rPr>
                <w:rFonts w:eastAsia="Calibri"/>
                <w:b/>
                <w:lang w:eastAsia="en-US"/>
              </w:rPr>
              <w:t>Alteration to existing building</w:t>
            </w:r>
          </w:p>
          <w:p w:rsidR="00FF3262" w:rsidRPr="00427EE1" w:rsidRDefault="002E244C">
            <w:pPr>
              <w:pStyle w:val="Tabletext"/>
              <w:rPr>
                <w:rFonts w:eastAsia="Calibri"/>
                <w:lang w:eastAsia="en-US"/>
              </w:rPr>
            </w:pPr>
            <w:r>
              <w:rPr>
                <w:rFonts w:eastAsia="Calibri"/>
                <w:lang w:eastAsia="en-US"/>
              </w:rPr>
              <w:t xml:space="preserve">Requires </w:t>
            </w:r>
            <w:r w:rsidR="00FF3262" w:rsidRPr="00427EE1">
              <w:rPr>
                <w:rFonts w:eastAsia="Calibri"/>
                <w:lang w:eastAsia="en-US"/>
              </w:rPr>
              <w:t xml:space="preserve">any alteration to an existing building to comply with current </w:t>
            </w:r>
            <w:r w:rsidR="008911CB">
              <w:rPr>
                <w:rFonts w:eastAsia="Calibri"/>
                <w:lang w:eastAsia="en-US"/>
              </w:rPr>
              <w:t>Regulations</w:t>
            </w:r>
            <w:r w:rsidR="00FF3262" w:rsidRPr="00427EE1">
              <w:rPr>
                <w:rFonts w:eastAsia="Calibri"/>
                <w:lang w:eastAsia="en-US"/>
              </w:rPr>
              <w:t xml:space="preserve"> and specifies when the entire building will be required to be upgraded. Also provides for the </w:t>
            </w:r>
            <w:r w:rsidR="00AB414E">
              <w:rPr>
                <w:rFonts w:eastAsia="Calibri"/>
                <w:lang w:eastAsia="en-US"/>
              </w:rPr>
              <w:t>RBS</w:t>
            </w:r>
            <w:r w:rsidR="00FF3262" w:rsidRPr="00427EE1">
              <w:rPr>
                <w:rFonts w:eastAsia="Calibri"/>
                <w:lang w:eastAsia="en-US"/>
              </w:rPr>
              <w:t xml:space="preserve"> to consent to partial compliance for alterations.</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protects health and safety by ensuring that existing buildings are upgraded to modern day standards when altered. Introduces a prescribed form to facilitate clear and consistent records of these decisions across all building surveyors.</w:t>
            </w:r>
          </w:p>
        </w:tc>
      </w:tr>
      <w:tr w:rsidR="00FF3262" w:rsidRPr="00427EE1" w:rsidTr="006119D2">
        <w:trPr>
          <w:cantSplit/>
          <w:trHeight w:val="340"/>
        </w:trPr>
        <w:tc>
          <w:tcPr>
            <w:tcW w:w="95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rsidP="006757E8">
            <w:pPr>
              <w:pStyle w:val="Tabletext"/>
              <w:rPr>
                <w:rFonts w:eastAsia="Calibri"/>
              </w:rPr>
            </w:pPr>
            <w:r w:rsidRPr="00427EE1">
              <w:rPr>
                <w:rFonts w:eastAsia="Calibri"/>
              </w:rPr>
              <w:t>609(1)</w:t>
            </w:r>
          </w:p>
        </w:tc>
        <w:tc>
          <w:tcPr>
            <w:tcW w:w="101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rsidP="006757E8">
            <w:pPr>
              <w:pStyle w:val="Tabletext"/>
              <w:rPr>
                <w:rFonts w:eastAsia="Calibri"/>
                <w:lang w:eastAsia="en-US"/>
              </w:rPr>
            </w:pPr>
            <w:r w:rsidRPr="00427EE1">
              <w:rPr>
                <w:rFonts w:eastAsia="Calibri"/>
                <w:lang w:eastAsia="en-US"/>
              </w:rPr>
              <w:t>232</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FF3262" w:rsidRPr="00427EE1" w:rsidRDefault="00FF3262">
            <w:pPr>
              <w:pStyle w:val="Tabletext"/>
              <w:rPr>
                <w:rFonts w:eastAsia="Calibri"/>
                <w:b/>
                <w:lang w:eastAsia="en-US"/>
              </w:rPr>
            </w:pPr>
            <w:r w:rsidRPr="00427EE1">
              <w:rPr>
                <w:rFonts w:eastAsia="Calibri"/>
                <w:b/>
                <w:lang w:eastAsia="en-US"/>
              </w:rPr>
              <w:t>Alterations affecting exits and paths to exits</w:t>
            </w:r>
          </w:p>
          <w:p w:rsidR="00FF3262" w:rsidRPr="00427EE1" w:rsidRDefault="002E244C">
            <w:pPr>
              <w:pStyle w:val="Tabletext"/>
              <w:rPr>
                <w:rFonts w:eastAsia="Calibri"/>
                <w:lang w:eastAsia="en-US"/>
              </w:rPr>
            </w:pPr>
            <w:r>
              <w:rPr>
                <w:rFonts w:eastAsia="Calibri"/>
                <w:lang w:eastAsia="en-US"/>
              </w:rPr>
              <w:t xml:space="preserve">Requires </w:t>
            </w:r>
            <w:r w:rsidR="00FF3262" w:rsidRPr="00427EE1">
              <w:rPr>
                <w:rFonts w:eastAsia="Calibri"/>
                <w:lang w:eastAsia="en-US"/>
              </w:rPr>
              <w:t>compliance with Section D of Volume One of the BCA if an alteration would adversely affect an exit or path of travel.</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D615BC" w:rsidRPr="00427EE1" w:rsidRDefault="00FF3262">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protects health and safety by providing for suitable exits and paths to exits. Introduces a prescribed form to facilitate clear and consistent records of these decisions across all building surveyors.</w:t>
            </w:r>
          </w:p>
          <w:p w:rsidR="00FF3262" w:rsidRPr="00427EE1" w:rsidRDefault="00FF3262">
            <w:pPr>
              <w:pStyle w:val="Tabletext"/>
              <w:rPr>
                <w:rFonts w:eastAsia="Calibri"/>
              </w:rPr>
            </w:pPr>
          </w:p>
        </w:tc>
      </w:tr>
      <w:tr w:rsidR="00FF3262" w:rsidRPr="00427EE1" w:rsidTr="006119D2">
        <w:trPr>
          <w:cantSplit/>
          <w:trHeight w:val="340"/>
        </w:trPr>
        <w:tc>
          <w:tcPr>
            <w:tcW w:w="95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rsidP="006757E8">
            <w:pPr>
              <w:pStyle w:val="Tabletext"/>
              <w:rPr>
                <w:rFonts w:eastAsia="Calibri"/>
              </w:rPr>
            </w:pPr>
            <w:r w:rsidRPr="00427EE1">
              <w:rPr>
                <w:rFonts w:eastAsia="Calibri"/>
              </w:rPr>
              <w:t>611</w:t>
            </w:r>
          </w:p>
        </w:tc>
        <w:tc>
          <w:tcPr>
            <w:tcW w:w="101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rsidP="006757E8">
            <w:pPr>
              <w:pStyle w:val="Tabletext"/>
              <w:rPr>
                <w:rFonts w:eastAsia="Calibri"/>
                <w:lang w:eastAsia="en-US"/>
              </w:rPr>
            </w:pPr>
            <w:r w:rsidRPr="00427EE1">
              <w:rPr>
                <w:rFonts w:eastAsia="Calibri"/>
                <w:lang w:eastAsia="en-US"/>
              </w:rPr>
              <w:t>233</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FF3262" w:rsidRPr="00427EE1" w:rsidRDefault="00FF3262">
            <w:pPr>
              <w:pStyle w:val="Tabletext"/>
              <w:rPr>
                <w:rFonts w:eastAsia="Calibri"/>
                <w:b/>
                <w:lang w:eastAsia="en-US"/>
              </w:rPr>
            </w:pPr>
            <w:r w:rsidRPr="00427EE1">
              <w:rPr>
                <w:rFonts w:eastAsia="Calibri"/>
                <w:b/>
                <w:lang w:eastAsia="en-US"/>
              </w:rPr>
              <w:t xml:space="preserve">Extension of </w:t>
            </w:r>
            <w:r w:rsidR="0023395A">
              <w:rPr>
                <w:rFonts w:eastAsia="Calibri"/>
                <w:b/>
                <w:lang w:eastAsia="en-US"/>
              </w:rPr>
              <w:t>non</w:t>
            </w:r>
            <w:r w:rsidRPr="00427EE1">
              <w:rPr>
                <w:rFonts w:eastAsia="Calibri"/>
                <w:b/>
                <w:lang w:eastAsia="en-US"/>
              </w:rPr>
              <w:t>complying external wall</w:t>
            </w:r>
          </w:p>
          <w:p w:rsidR="00FF3262" w:rsidRPr="00427EE1" w:rsidRDefault="00FF3262">
            <w:pPr>
              <w:pStyle w:val="Tabletext"/>
              <w:rPr>
                <w:rFonts w:eastAsia="Calibri"/>
                <w:lang w:eastAsia="en-US"/>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exempts a short </w:t>
            </w:r>
            <w:r w:rsidR="0023395A">
              <w:rPr>
                <w:rFonts w:eastAsia="Calibri"/>
                <w:lang w:eastAsia="en-US"/>
              </w:rPr>
              <w:t>non</w:t>
            </w:r>
            <w:r w:rsidRPr="00427EE1">
              <w:rPr>
                <w:rFonts w:eastAsia="Calibri"/>
                <w:lang w:eastAsia="en-US"/>
              </w:rPr>
              <w:t>complying external wall of the type from having to comply with P2.3.1 of Volume Two of the BCA.</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reduces unnecessary costs associated with low</w:t>
            </w:r>
            <w:r w:rsidR="00181511">
              <w:rPr>
                <w:rFonts w:eastAsia="Calibri"/>
              </w:rPr>
              <w:t>-risk</w:t>
            </w:r>
            <w:r w:rsidRPr="00427EE1">
              <w:rPr>
                <w:rFonts w:eastAsia="Calibri"/>
              </w:rPr>
              <w:t xml:space="preserve"> construction (extension of an external wall).</w:t>
            </w:r>
          </w:p>
        </w:tc>
      </w:tr>
      <w:tr w:rsidR="00FF3262" w:rsidRPr="00427EE1" w:rsidTr="006119D2">
        <w:trPr>
          <w:cantSplit/>
          <w:trHeight w:val="340"/>
        </w:trPr>
        <w:tc>
          <w:tcPr>
            <w:tcW w:w="95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rsidP="006757E8">
            <w:pPr>
              <w:pStyle w:val="Tabletext"/>
              <w:rPr>
                <w:rFonts w:eastAsia="Calibri"/>
              </w:rPr>
            </w:pPr>
            <w:r w:rsidRPr="00427EE1">
              <w:rPr>
                <w:rFonts w:eastAsia="Calibri"/>
              </w:rPr>
              <w:t>116</w:t>
            </w:r>
          </w:p>
        </w:tc>
        <w:tc>
          <w:tcPr>
            <w:tcW w:w="101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rsidP="006757E8">
            <w:pPr>
              <w:pStyle w:val="Tabletext"/>
              <w:rPr>
                <w:rFonts w:eastAsia="Calibri"/>
                <w:lang w:eastAsia="en-US"/>
              </w:rPr>
            </w:pPr>
            <w:r w:rsidRPr="00427EE1">
              <w:rPr>
                <w:rFonts w:eastAsia="Calibri"/>
                <w:lang w:eastAsia="en-US"/>
              </w:rPr>
              <w:t>234</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FF3262" w:rsidRPr="00427EE1" w:rsidRDefault="00FF3262">
            <w:pPr>
              <w:pStyle w:val="Tabletext"/>
              <w:rPr>
                <w:rFonts w:eastAsia="Calibri"/>
                <w:b/>
                <w:lang w:eastAsia="en-US"/>
              </w:rPr>
            </w:pPr>
            <w:r w:rsidRPr="00427EE1">
              <w:rPr>
                <w:rFonts w:eastAsia="Calibri"/>
                <w:b/>
                <w:lang w:eastAsia="en-US"/>
              </w:rPr>
              <w:t>Application of requirements in the BCA Volume One relating to access to buildings for persons with disabilities</w:t>
            </w:r>
          </w:p>
          <w:p w:rsidR="00FF3262" w:rsidRPr="00427EE1" w:rsidRDefault="00FF3262">
            <w:pPr>
              <w:pStyle w:val="Tabletext"/>
              <w:rPr>
                <w:rFonts w:eastAsia="Calibri"/>
                <w:lang w:eastAsia="en-US"/>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modifies operation of the BCA in certain circumstances to align the BCA Volume One with the Disability (Access to Premises-Buildings) Standards 2010 of the Commonwealth in relation to new parts of buildings.</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 xml:space="preserve">ensures that people who require special access to use buildings and </w:t>
            </w:r>
            <w:proofErr w:type="spellStart"/>
            <w:r w:rsidR="00A030CC">
              <w:rPr>
                <w:rFonts w:eastAsia="Calibri"/>
              </w:rPr>
              <w:t>PoPEs</w:t>
            </w:r>
            <w:proofErr w:type="spellEnd"/>
            <w:r w:rsidRPr="00427EE1">
              <w:rPr>
                <w:rFonts w:eastAsia="Calibri"/>
              </w:rPr>
              <w:t xml:space="preserve"> are accommodated and ensures future development will comply with Commonwealth rules in relation to accessibility standards.</w:t>
            </w:r>
          </w:p>
        </w:tc>
      </w:tr>
    </w:tbl>
    <w:p w:rsidR="00B751DE" w:rsidRPr="00427EE1" w:rsidRDefault="00B751DE" w:rsidP="006757E8"/>
    <w:p w:rsidR="00B751DE" w:rsidRPr="00427EE1" w:rsidRDefault="00EF2008" w:rsidP="006119D2">
      <w:pPr>
        <w:pStyle w:val="Heading4"/>
      </w:pPr>
      <w:proofErr w:type="spellStart"/>
      <w:r>
        <w:lastRenderedPageBreak/>
        <w:t>Div</w:t>
      </w:r>
      <w:proofErr w:type="spellEnd"/>
      <w:r w:rsidR="00B751DE" w:rsidRPr="00427EE1">
        <w:t xml:space="preserve"> 4</w:t>
      </w:r>
      <w:r w:rsidR="008475D9">
        <w:t>—</w:t>
      </w:r>
      <w:r w:rsidR="00B751DE" w:rsidRPr="00427EE1">
        <w:t>General</w:t>
      </w:r>
    </w:p>
    <w:tbl>
      <w:tblPr>
        <w:tblW w:w="14549" w:type="dxa"/>
        <w:tblInd w:w="-172"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80"/>
        <w:gridCol w:w="1001"/>
        <w:gridCol w:w="4243"/>
        <w:gridCol w:w="399"/>
        <w:gridCol w:w="399"/>
        <w:gridCol w:w="402"/>
        <w:gridCol w:w="400"/>
        <w:gridCol w:w="398"/>
        <w:gridCol w:w="6327"/>
      </w:tblGrid>
      <w:tr w:rsidR="00C83190" w:rsidRPr="00427EE1" w:rsidTr="006119D2">
        <w:trPr>
          <w:cantSplit/>
          <w:trHeight w:val="239"/>
          <w:tblHeader/>
        </w:trPr>
        <w:tc>
          <w:tcPr>
            <w:tcW w:w="980" w:type="dxa"/>
            <w:vMerge w:val="restart"/>
            <w:shd w:val="clear" w:color="auto" w:fill="00B2A9" w:themeFill="accent1"/>
            <w:vAlign w:val="center"/>
            <w:hideMark/>
          </w:tcPr>
          <w:p w:rsidR="00C83190" w:rsidRDefault="00C83190">
            <w:pPr>
              <w:pStyle w:val="Tablecolumnhead"/>
              <w:rPr>
                <w:rFonts w:asciiTheme="majorHAnsi" w:eastAsia="Calibri" w:hAnsiTheme="majorHAnsi" w:cstheme="majorBidi"/>
                <w:sz w:val="40"/>
              </w:rPr>
            </w:pPr>
            <w:r w:rsidRPr="00BE72D7">
              <w:rPr>
                <w:rFonts w:eastAsia="Calibri"/>
              </w:rPr>
              <w:t>2006</w:t>
            </w:r>
          </w:p>
          <w:p w:rsidR="00C83190" w:rsidRPr="003466FF" w:rsidRDefault="00C83190">
            <w:pPr>
              <w:pStyle w:val="Tablecolumnhead"/>
              <w:rPr>
                <w:rFonts w:eastAsia="Calibri"/>
              </w:rPr>
            </w:pPr>
            <w:r w:rsidRPr="00C44680">
              <w:rPr>
                <w:rFonts w:ascii="Arial Bold" w:eastAsia="Calibri" w:hAnsi="Arial Bold"/>
                <w:spacing w:val="-12"/>
                <w:sz w:val="16"/>
              </w:rPr>
              <w:t>Regulation</w:t>
            </w:r>
          </w:p>
        </w:tc>
        <w:tc>
          <w:tcPr>
            <w:tcW w:w="1001" w:type="dxa"/>
            <w:vMerge w:val="restart"/>
            <w:shd w:val="clear" w:color="auto" w:fill="00B2A9" w:themeFill="accent1"/>
            <w:vAlign w:val="center"/>
            <w:hideMark/>
          </w:tcPr>
          <w:p w:rsidR="00C83190" w:rsidRDefault="00C83190">
            <w:pPr>
              <w:pStyle w:val="Tablecolumnhead"/>
              <w:rPr>
                <w:rFonts w:asciiTheme="majorHAnsi" w:eastAsiaTheme="majorEastAsia" w:hAnsiTheme="majorHAnsi" w:cstheme="majorBidi"/>
                <w:sz w:val="40"/>
              </w:rPr>
            </w:pPr>
            <w:r w:rsidRPr="008F0E53">
              <w:rPr>
                <w:rFonts w:eastAsia="Calibri"/>
              </w:rPr>
              <w:t>2017</w:t>
            </w:r>
          </w:p>
          <w:p w:rsidR="00C83190" w:rsidRPr="003466FF" w:rsidRDefault="00C83190">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C83190" w:rsidRPr="003466FF" w:rsidRDefault="00C83190">
            <w:pPr>
              <w:pStyle w:val="Tablecolumnhead"/>
              <w:rPr>
                <w:rFonts w:eastAsia="Calibri"/>
              </w:rPr>
            </w:pPr>
            <w:r w:rsidRPr="003466FF">
              <w:t xml:space="preserve">Short description of the </w:t>
            </w:r>
            <w:r>
              <w:t>Regulation</w:t>
            </w:r>
          </w:p>
        </w:tc>
        <w:tc>
          <w:tcPr>
            <w:tcW w:w="1998" w:type="dxa"/>
            <w:gridSpan w:val="5"/>
            <w:shd w:val="clear" w:color="auto" w:fill="00B2A9" w:themeFill="accent1"/>
            <w:vAlign w:val="center"/>
          </w:tcPr>
          <w:p w:rsidR="00C83190" w:rsidRPr="003466FF" w:rsidRDefault="00C83190">
            <w:pPr>
              <w:pStyle w:val="Tablecolumnhead"/>
            </w:pPr>
            <w:r w:rsidRPr="003466FF">
              <w:t>Proposed regulatory change</w:t>
            </w:r>
          </w:p>
        </w:tc>
        <w:tc>
          <w:tcPr>
            <w:tcW w:w="6327" w:type="dxa"/>
            <w:vMerge w:val="restart"/>
            <w:shd w:val="clear" w:color="auto" w:fill="00B2A9" w:themeFill="accent1"/>
            <w:vAlign w:val="center"/>
          </w:tcPr>
          <w:p w:rsidR="00C83190" w:rsidRPr="003466FF" w:rsidRDefault="00C83190">
            <w:pPr>
              <w:pStyle w:val="Tablecolumnhead"/>
            </w:pPr>
            <w:r w:rsidRPr="003466FF">
              <w:t>Why the 2017 Regulation is proposed</w:t>
            </w:r>
          </w:p>
        </w:tc>
      </w:tr>
      <w:tr w:rsidR="00B751DE" w:rsidRPr="00427EE1" w:rsidTr="006119D2">
        <w:trPr>
          <w:cantSplit/>
          <w:trHeight w:val="966"/>
          <w:tblHeader/>
        </w:trPr>
        <w:tc>
          <w:tcPr>
            <w:tcW w:w="980"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1001"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B751DE" w:rsidRPr="00427EE1" w:rsidTr="006119D2">
        <w:trPr>
          <w:cantSplit/>
          <w:trHeight w:val="340"/>
        </w:trPr>
        <w:tc>
          <w:tcPr>
            <w:tcW w:w="98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rPr>
            </w:pPr>
            <w:r w:rsidRPr="00427EE1">
              <w:rPr>
                <w:rFonts w:eastAsia="Calibri"/>
              </w:rPr>
              <w:t>122</w:t>
            </w:r>
          </w:p>
        </w:tc>
        <w:tc>
          <w:tcPr>
            <w:tcW w:w="1001"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lang w:eastAsia="en-US"/>
              </w:rPr>
            </w:pPr>
            <w:r w:rsidRPr="00427EE1">
              <w:rPr>
                <w:rFonts w:eastAsia="Calibri"/>
                <w:lang w:eastAsia="en-US"/>
              </w:rPr>
              <w:t>235</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B751DE" w:rsidRPr="00427EE1" w:rsidRDefault="00B751DE">
            <w:pPr>
              <w:pStyle w:val="Tabletext"/>
              <w:rPr>
                <w:rFonts w:eastAsia="Calibri"/>
                <w:b/>
                <w:lang w:eastAsia="en-US"/>
              </w:rPr>
            </w:pPr>
            <w:r w:rsidRPr="00427EE1">
              <w:rPr>
                <w:rFonts w:eastAsia="Calibri"/>
                <w:b/>
                <w:lang w:eastAsia="en-US"/>
              </w:rPr>
              <w:t>Small live</w:t>
            </w:r>
            <w:r w:rsidR="00181511">
              <w:rPr>
                <w:rFonts w:eastAsia="Calibri"/>
                <w:b/>
                <w:lang w:eastAsia="en-US"/>
              </w:rPr>
              <w:t>-music</w:t>
            </w:r>
            <w:r w:rsidRPr="00427EE1">
              <w:rPr>
                <w:rFonts w:eastAsia="Calibri"/>
                <w:b/>
                <w:lang w:eastAsia="en-US"/>
              </w:rPr>
              <w:t xml:space="preserve"> venue classification</w:t>
            </w:r>
          </w:p>
          <w:p w:rsidR="00B751DE" w:rsidRPr="00427EE1" w:rsidRDefault="00FF3262">
            <w:pPr>
              <w:pStyle w:val="Tabletext"/>
              <w:rPr>
                <w:rFonts w:eastAsia="Calibri"/>
                <w:lang w:eastAsia="en-US"/>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modifies the BCA by excluding a small live</w:t>
            </w:r>
            <w:r w:rsidR="00181511">
              <w:rPr>
                <w:rFonts w:eastAsia="Calibri"/>
                <w:lang w:eastAsia="en-US"/>
              </w:rPr>
              <w:t>-music</w:t>
            </w:r>
            <w:r w:rsidRPr="00427EE1">
              <w:rPr>
                <w:rFonts w:eastAsia="Calibri"/>
                <w:lang w:eastAsia="en-US"/>
              </w:rPr>
              <w:t xml:space="preserve"> venue from being classified as a Class 9b.</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pStyle w:val="Tabletext"/>
              <w:rPr>
                <w:rFonts w:eastAsia="Calibri"/>
              </w:rPr>
            </w:pPr>
            <w:r w:rsidRPr="00427EE1">
              <w:rPr>
                <w:rFonts w:eastAsia="Calibri"/>
              </w:rPr>
              <w:t>To reduce unnecessary costs of upgrading buildings faced by small cafes, restaurants, pubs, bars, and other Class 6 venues seeking to host live music.</w:t>
            </w:r>
          </w:p>
        </w:tc>
      </w:tr>
    </w:tbl>
    <w:p w:rsidR="00B751DE" w:rsidRPr="00427EE1" w:rsidRDefault="00B751DE" w:rsidP="006119D2">
      <w:pPr>
        <w:spacing w:line="240" w:lineRule="auto"/>
      </w:pPr>
    </w:p>
    <w:p w:rsidR="00AC4E58" w:rsidRPr="00427EE1" w:rsidRDefault="004267C5" w:rsidP="006119D2">
      <w:pPr>
        <w:pStyle w:val="Heading3"/>
        <w:rPr>
          <w:color w:val="005954" w:themeColor="accent1" w:themeShade="80"/>
          <w:sz w:val="22"/>
          <w:szCs w:val="22"/>
        </w:rPr>
      </w:pPr>
      <w:bookmarkStart w:id="191" w:name="_Toc481501612"/>
      <w:r>
        <w:t xml:space="preserve">Pt </w:t>
      </w:r>
      <w:r w:rsidR="00B751DE" w:rsidRPr="00427EE1">
        <w:t>18</w:t>
      </w:r>
      <w:r w:rsidR="008475D9">
        <w:t>—</w:t>
      </w:r>
      <w:r w:rsidR="00B751DE" w:rsidRPr="00427EE1">
        <w:t>Building product accreditation</w:t>
      </w:r>
      <w:bookmarkEnd w:id="191"/>
    </w:p>
    <w:p w:rsidR="00B751DE" w:rsidRPr="00427EE1" w:rsidRDefault="00EF2008" w:rsidP="006119D2">
      <w:pPr>
        <w:pStyle w:val="Heading4"/>
      </w:pPr>
      <w:proofErr w:type="spellStart"/>
      <w:r>
        <w:t>Div</w:t>
      </w:r>
      <w:proofErr w:type="spellEnd"/>
      <w:r w:rsidR="00B751DE" w:rsidRPr="00427EE1">
        <w:t xml:space="preserve"> 1</w:t>
      </w:r>
      <w:r w:rsidR="008475D9">
        <w:t>—</w:t>
      </w:r>
      <w:r w:rsidR="00B751DE" w:rsidRPr="00427EE1">
        <w:t>Definitions</w:t>
      </w:r>
    </w:p>
    <w:tbl>
      <w:tblPr>
        <w:tblW w:w="14521" w:type="dxa"/>
        <w:tblInd w:w="-144"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38"/>
        <w:gridCol w:w="1015"/>
        <w:gridCol w:w="4243"/>
        <w:gridCol w:w="399"/>
        <w:gridCol w:w="399"/>
        <w:gridCol w:w="402"/>
        <w:gridCol w:w="400"/>
        <w:gridCol w:w="398"/>
        <w:gridCol w:w="6327"/>
      </w:tblGrid>
      <w:tr w:rsidR="00C83190" w:rsidRPr="00427EE1" w:rsidTr="006119D2">
        <w:trPr>
          <w:cantSplit/>
          <w:trHeight w:val="318"/>
          <w:tblHeader/>
        </w:trPr>
        <w:tc>
          <w:tcPr>
            <w:tcW w:w="938" w:type="dxa"/>
            <w:vMerge w:val="restart"/>
            <w:shd w:val="clear" w:color="auto" w:fill="00B2A9" w:themeFill="accent1"/>
            <w:vAlign w:val="center"/>
            <w:hideMark/>
          </w:tcPr>
          <w:p w:rsidR="00C83190" w:rsidRDefault="00C83190">
            <w:pPr>
              <w:pStyle w:val="Tablecolumnhead"/>
              <w:rPr>
                <w:rFonts w:asciiTheme="majorHAnsi" w:eastAsia="Calibri" w:hAnsiTheme="majorHAnsi" w:cstheme="majorBidi"/>
                <w:sz w:val="40"/>
              </w:rPr>
            </w:pPr>
            <w:r w:rsidRPr="00BE72D7">
              <w:rPr>
                <w:rFonts w:eastAsia="Calibri"/>
              </w:rPr>
              <w:t>2006</w:t>
            </w:r>
          </w:p>
          <w:p w:rsidR="00C83190" w:rsidRPr="006A7B5F" w:rsidRDefault="00C83190">
            <w:pPr>
              <w:pStyle w:val="Tablecolumnhead"/>
              <w:rPr>
                <w:rFonts w:eastAsia="Calibri"/>
              </w:rPr>
            </w:pPr>
            <w:r w:rsidRPr="00C44680">
              <w:rPr>
                <w:rFonts w:ascii="Arial Bold" w:eastAsia="Calibri" w:hAnsi="Arial Bold"/>
                <w:spacing w:val="-12"/>
                <w:sz w:val="16"/>
              </w:rPr>
              <w:t>Regulation</w:t>
            </w:r>
          </w:p>
        </w:tc>
        <w:tc>
          <w:tcPr>
            <w:tcW w:w="1015" w:type="dxa"/>
            <w:vMerge w:val="restart"/>
            <w:shd w:val="clear" w:color="auto" w:fill="00B2A9" w:themeFill="accent1"/>
            <w:vAlign w:val="center"/>
            <w:hideMark/>
          </w:tcPr>
          <w:p w:rsidR="00C83190" w:rsidRDefault="00C83190">
            <w:pPr>
              <w:pStyle w:val="Tablecolumnhead"/>
              <w:rPr>
                <w:rFonts w:asciiTheme="majorHAnsi" w:eastAsiaTheme="majorEastAsia" w:hAnsiTheme="majorHAnsi" w:cstheme="majorBidi"/>
                <w:sz w:val="40"/>
              </w:rPr>
            </w:pPr>
            <w:r w:rsidRPr="008F0E53">
              <w:rPr>
                <w:rFonts w:eastAsia="Calibri"/>
              </w:rPr>
              <w:t>2017</w:t>
            </w:r>
          </w:p>
          <w:p w:rsidR="00C83190" w:rsidRPr="006A7B5F" w:rsidRDefault="00C83190">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C83190" w:rsidRPr="006A7B5F" w:rsidRDefault="00C83190">
            <w:pPr>
              <w:pStyle w:val="Tablecolumnhead"/>
              <w:rPr>
                <w:rFonts w:eastAsia="Calibri"/>
              </w:rPr>
            </w:pPr>
            <w:r w:rsidRPr="006A7B5F">
              <w:t xml:space="preserve">Short description of the </w:t>
            </w:r>
            <w:r>
              <w:t>Regulation</w:t>
            </w:r>
          </w:p>
        </w:tc>
        <w:tc>
          <w:tcPr>
            <w:tcW w:w="1998" w:type="dxa"/>
            <w:gridSpan w:val="5"/>
            <w:shd w:val="clear" w:color="auto" w:fill="00B2A9" w:themeFill="accent1"/>
            <w:vAlign w:val="center"/>
          </w:tcPr>
          <w:p w:rsidR="00C83190" w:rsidRPr="006A7B5F" w:rsidRDefault="00C83190">
            <w:pPr>
              <w:pStyle w:val="Tablecolumnhead"/>
            </w:pPr>
            <w:r w:rsidRPr="006A7B5F">
              <w:t>Proposed regulatory change</w:t>
            </w:r>
          </w:p>
        </w:tc>
        <w:tc>
          <w:tcPr>
            <w:tcW w:w="6327" w:type="dxa"/>
            <w:vMerge w:val="restart"/>
            <w:shd w:val="clear" w:color="auto" w:fill="00B2A9" w:themeFill="accent1"/>
            <w:vAlign w:val="center"/>
          </w:tcPr>
          <w:p w:rsidR="00C83190" w:rsidRPr="006A7B5F" w:rsidRDefault="00C83190">
            <w:pPr>
              <w:pStyle w:val="Tablecolumnhead"/>
            </w:pPr>
            <w:r w:rsidRPr="006A7B5F">
              <w:t>Why the 2017 Regulation is proposed</w:t>
            </w:r>
          </w:p>
        </w:tc>
      </w:tr>
      <w:tr w:rsidR="00B751DE" w:rsidRPr="00427EE1" w:rsidTr="006119D2">
        <w:trPr>
          <w:cantSplit/>
          <w:trHeight w:val="966"/>
          <w:tblHeader/>
        </w:trPr>
        <w:tc>
          <w:tcPr>
            <w:tcW w:w="938"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1015"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FF3262" w:rsidRPr="00427EE1" w:rsidTr="006119D2">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rsidP="006757E8">
            <w:pPr>
              <w:pStyle w:val="Tabletext"/>
              <w:rPr>
                <w:rFonts w:eastAsia="Calibri"/>
              </w:rPr>
            </w:pPr>
            <w:r w:rsidRPr="00427EE1">
              <w:rPr>
                <w:rFonts w:eastAsia="Calibri"/>
              </w:rPr>
              <w:t>1401</w:t>
            </w:r>
          </w:p>
        </w:tc>
        <w:tc>
          <w:tcPr>
            <w:tcW w:w="101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rsidP="006757E8">
            <w:pPr>
              <w:pStyle w:val="Tabletext"/>
              <w:rPr>
                <w:rFonts w:eastAsia="Calibri"/>
                <w:lang w:eastAsia="en-US"/>
              </w:rPr>
            </w:pPr>
            <w:r w:rsidRPr="00427EE1">
              <w:rPr>
                <w:rFonts w:eastAsia="Calibri"/>
                <w:lang w:eastAsia="en-US"/>
              </w:rPr>
              <w:t>236</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D615BC" w:rsidRPr="00427EE1" w:rsidRDefault="00FF3262">
            <w:pPr>
              <w:pStyle w:val="Tabletext"/>
              <w:rPr>
                <w:rFonts w:eastAsia="Calibri"/>
                <w:b/>
                <w:lang w:eastAsia="en-US"/>
              </w:rPr>
            </w:pPr>
            <w:r w:rsidRPr="00427EE1">
              <w:rPr>
                <w:rFonts w:eastAsia="Calibri"/>
                <w:b/>
                <w:lang w:eastAsia="en-US"/>
              </w:rPr>
              <w:t>Definitions</w:t>
            </w:r>
          </w:p>
          <w:p w:rsidR="00FF3262" w:rsidRPr="00427EE1" w:rsidRDefault="002E244C">
            <w:pPr>
              <w:pStyle w:val="Tabletext"/>
              <w:rPr>
                <w:rFonts w:eastAsia="Calibri"/>
                <w:lang w:eastAsia="en-US"/>
              </w:rPr>
            </w:pPr>
            <w:r>
              <w:rPr>
                <w:rFonts w:eastAsia="Calibri"/>
                <w:lang w:eastAsia="en-US"/>
              </w:rPr>
              <w:t xml:space="preserve">Provides </w:t>
            </w:r>
            <w:r w:rsidR="00FF3262" w:rsidRPr="00427EE1">
              <w:rPr>
                <w:rFonts w:eastAsia="Calibri"/>
                <w:lang w:eastAsia="en-US"/>
              </w:rPr>
              <w:t xml:space="preserve">for definitions for </w:t>
            </w:r>
            <w:r w:rsidR="005E2285">
              <w:rPr>
                <w:rFonts w:eastAsia="Calibri"/>
                <w:lang w:eastAsia="en-US"/>
              </w:rPr>
              <w:t>'</w:t>
            </w:r>
            <w:r w:rsidR="00FF3262" w:rsidRPr="00427EE1">
              <w:rPr>
                <w:rFonts w:eastAsia="Calibri"/>
                <w:lang w:eastAsia="en-US"/>
              </w:rPr>
              <w:t>building product</w:t>
            </w:r>
            <w:r w:rsidR="005E2285">
              <w:rPr>
                <w:rFonts w:eastAsia="Calibri"/>
                <w:lang w:eastAsia="en-US"/>
              </w:rPr>
              <w:t>'</w:t>
            </w:r>
            <w:r w:rsidR="00FF3262" w:rsidRPr="00427EE1">
              <w:rPr>
                <w:rFonts w:eastAsia="Calibri"/>
                <w:lang w:eastAsia="en-US"/>
              </w:rPr>
              <w:t xml:space="preserve"> and </w:t>
            </w:r>
            <w:r w:rsidR="005E2285">
              <w:rPr>
                <w:rFonts w:eastAsia="Calibri"/>
                <w:lang w:eastAsia="en-US"/>
              </w:rPr>
              <w:t>'</w:t>
            </w:r>
            <w:r w:rsidR="00C83190">
              <w:rPr>
                <w:rFonts w:eastAsia="Calibri"/>
                <w:lang w:eastAsia="en-US"/>
              </w:rPr>
              <w:t>c</w:t>
            </w:r>
            <w:r w:rsidR="00FF3262" w:rsidRPr="00427EE1">
              <w:rPr>
                <w:rFonts w:eastAsia="Calibri"/>
                <w:lang w:eastAsia="en-US"/>
              </w:rPr>
              <w:t>ommittee</w:t>
            </w:r>
            <w:r w:rsidR="005E2285">
              <w:rPr>
                <w:rFonts w:eastAsia="Calibri"/>
                <w:lang w:eastAsia="en-US"/>
              </w:rPr>
              <w:t>'</w:t>
            </w:r>
            <w:r w:rsidR="00FF3262" w:rsidRPr="00427EE1">
              <w:rPr>
                <w:rFonts w:eastAsia="Calibri"/>
                <w:lang w:eastAsia="en-US"/>
              </w:rPr>
              <w:t xml:space="preserve">.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aligns with </w:t>
            </w:r>
            <w:proofErr w:type="spellStart"/>
            <w:r w:rsidR="00EF2008">
              <w:rPr>
                <w:rFonts w:eastAsia="Calibri"/>
              </w:rPr>
              <w:t>s</w:t>
            </w:r>
            <w:r w:rsidRPr="00427EE1">
              <w:rPr>
                <w:rFonts w:eastAsia="Calibri"/>
              </w:rPr>
              <w:t>s</w:t>
            </w:r>
            <w:proofErr w:type="spellEnd"/>
            <w:r w:rsidRPr="00427EE1">
              <w:rPr>
                <w:rFonts w:eastAsia="Calibri"/>
              </w:rPr>
              <w:t xml:space="preserve"> 14 and 15 of the Act, to assist in the general administration of the Act. Promotes consistency in interpretation.</w:t>
            </w:r>
          </w:p>
        </w:tc>
      </w:tr>
    </w:tbl>
    <w:p w:rsidR="00B751DE" w:rsidRPr="00427EE1" w:rsidRDefault="00B751DE" w:rsidP="006757E8"/>
    <w:p w:rsidR="00B751DE" w:rsidRPr="00427EE1" w:rsidRDefault="00EF2008" w:rsidP="006119D2">
      <w:pPr>
        <w:pStyle w:val="Heading4"/>
      </w:pPr>
      <w:proofErr w:type="spellStart"/>
      <w:r>
        <w:t>Div</w:t>
      </w:r>
      <w:proofErr w:type="spellEnd"/>
      <w:r w:rsidR="00B751DE" w:rsidRPr="00427EE1">
        <w:t xml:space="preserve"> 2</w:t>
      </w:r>
      <w:r w:rsidR="008475D9">
        <w:t>—</w:t>
      </w:r>
      <w:r w:rsidR="00B751DE" w:rsidRPr="00427EE1">
        <w:t>Accreditation persons and bodies</w:t>
      </w:r>
    </w:p>
    <w:tbl>
      <w:tblPr>
        <w:tblW w:w="14549" w:type="dxa"/>
        <w:tblInd w:w="-172"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52"/>
        <w:gridCol w:w="1029"/>
        <w:gridCol w:w="4243"/>
        <w:gridCol w:w="399"/>
        <w:gridCol w:w="399"/>
        <w:gridCol w:w="402"/>
        <w:gridCol w:w="400"/>
        <w:gridCol w:w="398"/>
        <w:gridCol w:w="6327"/>
      </w:tblGrid>
      <w:tr w:rsidR="00C83190" w:rsidRPr="00427EE1" w:rsidTr="006119D2">
        <w:trPr>
          <w:cantSplit/>
          <w:trHeight w:val="310"/>
          <w:tblHeader/>
        </w:trPr>
        <w:tc>
          <w:tcPr>
            <w:tcW w:w="952" w:type="dxa"/>
            <w:vMerge w:val="restart"/>
            <w:shd w:val="clear" w:color="auto" w:fill="00B2A9" w:themeFill="accent1"/>
            <w:vAlign w:val="center"/>
            <w:hideMark/>
          </w:tcPr>
          <w:p w:rsidR="00C83190" w:rsidRDefault="00C83190">
            <w:pPr>
              <w:pStyle w:val="Tablecolumnhead"/>
              <w:rPr>
                <w:rFonts w:asciiTheme="majorHAnsi" w:eastAsia="Calibri" w:hAnsiTheme="majorHAnsi" w:cstheme="majorBidi"/>
                <w:sz w:val="40"/>
              </w:rPr>
            </w:pPr>
            <w:r w:rsidRPr="00BE72D7">
              <w:rPr>
                <w:rFonts w:eastAsia="Calibri"/>
              </w:rPr>
              <w:t>2006</w:t>
            </w:r>
          </w:p>
          <w:p w:rsidR="00C83190" w:rsidRPr="006A7B5F" w:rsidRDefault="00C83190">
            <w:pPr>
              <w:pStyle w:val="Tablecolumnhead"/>
              <w:rPr>
                <w:rFonts w:eastAsia="Calibri"/>
              </w:rPr>
            </w:pPr>
            <w:r w:rsidRPr="00C44680">
              <w:rPr>
                <w:rFonts w:ascii="Arial Bold" w:eastAsia="Calibri" w:hAnsi="Arial Bold"/>
                <w:spacing w:val="-12"/>
                <w:sz w:val="16"/>
              </w:rPr>
              <w:t>Regulation</w:t>
            </w:r>
          </w:p>
        </w:tc>
        <w:tc>
          <w:tcPr>
            <w:tcW w:w="1029" w:type="dxa"/>
            <w:vMerge w:val="restart"/>
            <w:shd w:val="clear" w:color="auto" w:fill="00B2A9" w:themeFill="accent1"/>
            <w:vAlign w:val="center"/>
            <w:hideMark/>
          </w:tcPr>
          <w:p w:rsidR="00C83190" w:rsidRDefault="00C83190">
            <w:pPr>
              <w:pStyle w:val="Tablecolumnhead"/>
              <w:rPr>
                <w:rFonts w:asciiTheme="majorHAnsi" w:eastAsiaTheme="majorEastAsia" w:hAnsiTheme="majorHAnsi" w:cstheme="majorBidi"/>
                <w:sz w:val="40"/>
              </w:rPr>
            </w:pPr>
            <w:r w:rsidRPr="008F0E53">
              <w:rPr>
                <w:rFonts w:eastAsia="Calibri"/>
              </w:rPr>
              <w:t>2017</w:t>
            </w:r>
          </w:p>
          <w:p w:rsidR="00C83190" w:rsidRPr="006A7B5F" w:rsidRDefault="00C83190">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C83190" w:rsidRPr="006A7B5F" w:rsidRDefault="00C83190">
            <w:pPr>
              <w:pStyle w:val="Tablecolumnhead"/>
              <w:rPr>
                <w:rFonts w:eastAsia="Calibri"/>
              </w:rPr>
            </w:pPr>
            <w:r w:rsidRPr="006A7B5F">
              <w:rPr>
                <w:szCs w:val="22"/>
              </w:rPr>
              <w:t xml:space="preserve">Short description of the </w:t>
            </w:r>
            <w:r>
              <w:rPr>
                <w:szCs w:val="22"/>
              </w:rPr>
              <w:t>Regulation</w:t>
            </w:r>
          </w:p>
        </w:tc>
        <w:tc>
          <w:tcPr>
            <w:tcW w:w="1998" w:type="dxa"/>
            <w:gridSpan w:val="5"/>
            <w:shd w:val="clear" w:color="auto" w:fill="00B2A9" w:themeFill="accent1"/>
            <w:vAlign w:val="center"/>
          </w:tcPr>
          <w:p w:rsidR="00C83190" w:rsidRPr="006A7B5F" w:rsidRDefault="00C83190">
            <w:pPr>
              <w:pStyle w:val="Tablecolumnhead"/>
            </w:pPr>
            <w:r w:rsidRPr="006A7B5F">
              <w:rPr>
                <w:szCs w:val="22"/>
              </w:rPr>
              <w:t>Proposed regulatory change</w:t>
            </w:r>
          </w:p>
        </w:tc>
        <w:tc>
          <w:tcPr>
            <w:tcW w:w="6327" w:type="dxa"/>
            <w:vMerge w:val="restart"/>
            <w:shd w:val="clear" w:color="auto" w:fill="00B2A9" w:themeFill="accent1"/>
            <w:vAlign w:val="center"/>
          </w:tcPr>
          <w:p w:rsidR="00C83190" w:rsidRPr="006A7B5F" w:rsidRDefault="00C83190">
            <w:pPr>
              <w:pStyle w:val="Tablecolumnhead"/>
            </w:pPr>
            <w:r w:rsidRPr="006A7B5F">
              <w:rPr>
                <w:szCs w:val="22"/>
              </w:rPr>
              <w:t>Why the 2017 Regulation is proposed</w:t>
            </w:r>
          </w:p>
        </w:tc>
      </w:tr>
      <w:tr w:rsidR="00B751DE" w:rsidRPr="00427EE1" w:rsidTr="006119D2">
        <w:trPr>
          <w:cantSplit/>
          <w:trHeight w:val="966"/>
          <w:tblHeader/>
        </w:trPr>
        <w:tc>
          <w:tcPr>
            <w:tcW w:w="952"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1029"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FF3262" w:rsidRPr="00427EE1" w:rsidTr="006119D2">
        <w:trPr>
          <w:cantSplit/>
          <w:trHeight w:val="340"/>
        </w:trPr>
        <w:tc>
          <w:tcPr>
            <w:tcW w:w="95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rsidP="006757E8">
            <w:pPr>
              <w:pStyle w:val="Tabletext"/>
              <w:rPr>
                <w:rFonts w:eastAsia="Calibri"/>
              </w:rPr>
            </w:pPr>
            <w:r w:rsidRPr="00427EE1">
              <w:rPr>
                <w:rFonts w:eastAsia="Calibri"/>
              </w:rPr>
              <w:lastRenderedPageBreak/>
              <w:t>1402</w:t>
            </w:r>
          </w:p>
        </w:tc>
        <w:tc>
          <w:tcPr>
            <w:tcW w:w="102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rsidP="006757E8">
            <w:pPr>
              <w:pStyle w:val="Tabletext"/>
              <w:rPr>
                <w:rFonts w:eastAsia="Calibri"/>
                <w:lang w:eastAsia="en-US"/>
              </w:rPr>
            </w:pPr>
            <w:r w:rsidRPr="00427EE1">
              <w:rPr>
                <w:rFonts w:eastAsia="Calibri"/>
                <w:lang w:eastAsia="en-US"/>
              </w:rPr>
              <w:t>237</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FF3262" w:rsidRPr="00427EE1" w:rsidRDefault="00FF3262">
            <w:pPr>
              <w:pStyle w:val="Tabletext"/>
              <w:rPr>
                <w:rFonts w:eastAsia="Calibri"/>
                <w:b/>
                <w:lang w:eastAsia="en-US"/>
              </w:rPr>
            </w:pPr>
            <w:r w:rsidRPr="00427EE1">
              <w:rPr>
                <w:rFonts w:eastAsia="Calibri"/>
                <w:b/>
                <w:lang w:eastAsia="en-US"/>
              </w:rPr>
              <w:t>Prescribed persons and bodies to accredit building products</w:t>
            </w:r>
          </w:p>
          <w:p w:rsidR="00FF3262" w:rsidRPr="00427EE1" w:rsidRDefault="002E244C">
            <w:pPr>
              <w:pStyle w:val="Tabletext"/>
              <w:rPr>
                <w:rFonts w:eastAsia="Calibri"/>
                <w:lang w:eastAsia="en-US"/>
              </w:rPr>
            </w:pPr>
            <w:r>
              <w:rPr>
                <w:rFonts w:eastAsia="Calibri"/>
                <w:lang w:eastAsia="en-US"/>
              </w:rPr>
              <w:t xml:space="preserve">Provides </w:t>
            </w:r>
            <w:r w:rsidR="00FF3262" w:rsidRPr="00427EE1">
              <w:rPr>
                <w:rFonts w:eastAsia="Calibri"/>
                <w:lang w:eastAsia="en-US"/>
              </w:rPr>
              <w:t xml:space="preserve">that for the purposes of accreditation, the Australian Building Codes Board and a person or body authorised by the Australian Building Codes Board are prescribed.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has been updated to include a person or body authorised by the Australian Building Codes Board as a prescribed person or body for the purposes of </w:t>
            </w:r>
            <w:proofErr w:type="spellStart"/>
            <w:r w:rsidR="00EF2008">
              <w:rPr>
                <w:rFonts w:eastAsia="Calibri"/>
              </w:rPr>
              <w:t>s</w:t>
            </w:r>
            <w:r w:rsidRPr="00427EE1">
              <w:rPr>
                <w:rFonts w:eastAsia="Calibri"/>
              </w:rPr>
              <w:t>s</w:t>
            </w:r>
            <w:proofErr w:type="spellEnd"/>
            <w:r w:rsidRPr="00427EE1">
              <w:rPr>
                <w:rFonts w:eastAsia="Calibri"/>
              </w:rPr>
              <w:t xml:space="preserve"> 14 and 15 of the Act. This ensures that the </w:t>
            </w:r>
            <w:r w:rsidR="000273F9">
              <w:rPr>
                <w:rFonts w:eastAsia="Calibri"/>
              </w:rPr>
              <w:t>Regulation</w:t>
            </w:r>
            <w:r w:rsidRPr="00427EE1">
              <w:rPr>
                <w:rFonts w:eastAsia="Calibri"/>
              </w:rPr>
              <w:t xml:space="preserve"> is in line with the </w:t>
            </w:r>
            <w:proofErr w:type="spellStart"/>
            <w:r w:rsidRPr="00427EE1">
              <w:rPr>
                <w:rFonts w:eastAsia="Calibri"/>
              </w:rPr>
              <w:t>CodeMark</w:t>
            </w:r>
            <w:proofErr w:type="spellEnd"/>
            <w:r w:rsidRPr="00427EE1">
              <w:rPr>
                <w:rFonts w:eastAsia="Calibri"/>
              </w:rPr>
              <w:t xml:space="preserve"> accreditation scheme. </w:t>
            </w:r>
          </w:p>
        </w:tc>
      </w:tr>
      <w:tr w:rsidR="00FF3262" w:rsidRPr="00427EE1" w:rsidTr="006119D2">
        <w:trPr>
          <w:cantSplit/>
          <w:trHeight w:val="340"/>
        </w:trPr>
        <w:tc>
          <w:tcPr>
            <w:tcW w:w="95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rsidP="006757E8">
            <w:pPr>
              <w:pStyle w:val="Tabletext"/>
              <w:rPr>
                <w:rFonts w:eastAsia="Calibri"/>
              </w:rPr>
            </w:pPr>
            <w:r w:rsidRPr="00427EE1">
              <w:rPr>
                <w:rFonts w:eastAsia="Calibri"/>
              </w:rPr>
              <w:t>110</w:t>
            </w:r>
          </w:p>
        </w:tc>
        <w:tc>
          <w:tcPr>
            <w:tcW w:w="102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rsidP="006757E8">
            <w:pPr>
              <w:pStyle w:val="Tabletext"/>
              <w:rPr>
                <w:rFonts w:eastAsia="Calibri"/>
                <w:lang w:eastAsia="en-US"/>
              </w:rPr>
            </w:pPr>
            <w:r w:rsidRPr="00427EE1">
              <w:rPr>
                <w:rFonts w:eastAsia="Calibri"/>
                <w:lang w:eastAsia="en-US"/>
              </w:rPr>
              <w:t>238</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FF3262" w:rsidRPr="00427EE1" w:rsidRDefault="00FF3262">
            <w:pPr>
              <w:pStyle w:val="Tabletext"/>
              <w:rPr>
                <w:rFonts w:eastAsia="Calibri"/>
                <w:b/>
                <w:lang w:eastAsia="en-US"/>
              </w:rPr>
            </w:pPr>
            <w:r w:rsidRPr="00427EE1">
              <w:rPr>
                <w:rFonts w:eastAsia="Calibri"/>
                <w:b/>
                <w:lang w:eastAsia="en-US"/>
              </w:rPr>
              <w:t>Definition of Certificate of Accreditation in the BCA</w:t>
            </w:r>
          </w:p>
          <w:p w:rsidR="00FF3262" w:rsidRPr="00427EE1" w:rsidRDefault="002E244C">
            <w:pPr>
              <w:pStyle w:val="Tabletext"/>
              <w:rPr>
                <w:rFonts w:eastAsia="Calibri"/>
                <w:lang w:eastAsia="en-US"/>
              </w:rPr>
            </w:pPr>
            <w:r>
              <w:rPr>
                <w:rFonts w:eastAsia="Calibri"/>
                <w:lang w:eastAsia="en-US"/>
              </w:rPr>
              <w:t xml:space="preserve">Provides </w:t>
            </w:r>
            <w:r w:rsidR="00FF3262" w:rsidRPr="00427EE1">
              <w:rPr>
                <w:rFonts w:eastAsia="Calibri"/>
                <w:lang w:eastAsia="en-US"/>
              </w:rPr>
              <w:t xml:space="preserve">for a variation to the BCA to support the definition of </w:t>
            </w:r>
            <w:r w:rsidR="005E2285">
              <w:rPr>
                <w:rFonts w:eastAsia="Calibri"/>
                <w:lang w:eastAsia="en-US"/>
              </w:rPr>
              <w:t>'</w:t>
            </w:r>
            <w:r w:rsidR="00FF3262" w:rsidRPr="00427EE1">
              <w:rPr>
                <w:rFonts w:eastAsia="Calibri"/>
                <w:lang w:eastAsia="en-US"/>
              </w:rPr>
              <w:t>Certificate of Accreditation</w:t>
            </w:r>
            <w:r w:rsidR="005E2285">
              <w:rPr>
                <w:rFonts w:eastAsia="Calibri"/>
                <w:lang w:eastAsia="en-US"/>
              </w:rPr>
              <w:t>'</w:t>
            </w:r>
            <w:r w:rsidR="00FF3262" w:rsidRPr="00427EE1">
              <w:rPr>
                <w:rFonts w:eastAsia="Calibri"/>
                <w:lang w:eastAsia="en-US"/>
              </w:rPr>
              <w:t xml:space="preserve">.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has been redrafted to support the definition of </w:t>
            </w:r>
            <w:r w:rsidR="005E2285">
              <w:rPr>
                <w:rFonts w:eastAsia="Calibri"/>
              </w:rPr>
              <w:t>'</w:t>
            </w:r>
            <w:r w:rsidRPr="00427EE1">
              <w:rPr>
                <w:rFonts w:eastAsia="Calibri"/>
              </w:rPr>
              <w:t>Certificate of Accreditation</w:t>
            </w:r>
            <w:r w:rsidR="005E2285">
              <w:rPr>
                <w:rFonts w:eastAsia="Calibri"/>
              </w:rPr>
              <w:t>'</w:t>
            </w:r>
            <w:r w:rsidRPr="00427EE1">
              <w:rPr>
                <w:rFonts w:eastAsia="Calibri"/>
              </w:rPr>
              <w:t xml:space="preserve"> in BCA to provide reference to </w:t>
            </w:r>
            <w:r w:rsidR="00666D12">
              <w:rPr>
                <w:rFonts w:eastAsia="Calibri"/>
              </w:rPr>
              <w:t>BRAC</w:t>
            </w:r>
            <w:r w:rsidRPr="00427EE1">
              <w:rPr>
                <w:rFonts w:eastAsia="Calibri"/>
              </w:rPr>
              <w:t>.</w:t>
            </w:r>
          </w:p>
        </w:tc>
      </w:tr>
    </w:tbl>
    <w:p w:rsidR="00AC4E58" w:rsidRPr="00427EE1" w:rsidRDefault="00AC4E58" w:rsidP="006757E8"/>
    <w:p w:rsidR="00B751DE" w:rsidRPr="00427EE1" w:rsidRDefault="00EF2008" w:rsidP="006119D2">
      <w:pPr>
        <w:pStyle w:val="Heading4"/>
      </w:pPr>
      <w:proofErr w:type="spellStart"/>
      <w:r>
        <w:t>Div</w:t>
      </w:r>
      <w:proofErr w:type="spellEnd"/>
      <w:r w:rsidR="00B751DE" w:rsidRPr="00427EE1">
        <w:t xml:space="preserve"> 3</w:t>
      </w:r>
      <w:r w:rsidR="008475D9">
        <w:t>—</w:t>
      </w:r>
      <w:r w:rsidR="00C85828" w:rsidRPr="00427EE1">
        <w:t>Accreditation</w:t>
      </w:r>
      <w:r w:rsidR="00B751DE" w:rsidRPr="00427EE1">
        <w:t xml:space="preserve"> by </w:t>
      </w:r>
      <w:r w:rsidR="00C7328F">
        <w:t>C</w:t>
      </w:r>
      <w:r w:rsidR="00B751DE" w:rsidRPr="00427EE1">
        <w:t>ommittee</w:t>
      </w:r>
    </w:p>
    <w:tbl>
      <w:tblPr>
        <w:tblW w:w="14549" w:type="dxa"/>
        <w:tblInd w:w="-172"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38"/>
        <w:gridCol w:w="1043"/>
        <w:gridCol w:w="4243"/>
        <w:gridCol w:w="399"/>
        <w:gridCol w:w="399"/>
        <w:gridCol w:w="402"/>
        <w:gridCol w:w="400"/>
        <w:gridCol w:w="398"/>
        <w:gridCol w:w="6327"/>
      </w:tblGrid>
      <w:tr w:rsidR="00C83190" w:rsidRPr="00427EE1" w:rsidTr="006119D2">
        <w:trPr>
          <w:cantSplit/>
          <w:trHeight w:val="281"/>
          <w:tblHeader/>
        </w:trPr>
        <w:tc>
          <w:tcPr>
            <w:tcW w:w="938" w:type="dxa"/>
            <w:vMerge w:val="restart"/>
            <w:shd w:val="clear" w:color="auto" w:fill="00B2A9" w:themeFill="accent1"/>
            <w:vAlign w:val="center"/>
            <w:hideMark/>
          </w:tcPr>
          <w:p w:rsidR="00C83190" w:rsidRDefault="00C83190">
            <w:pPr>
              <w:pStyle w:val="Tablecolumnhead"/>
              <w:rPr>
                <w:rFonts w:asciiTheme="majorHAnsi" w:eastAsia="Calibri" w:hAnsiTheme="majorHAnsi" w:cstheme="majorBidi"/>
                <w:sz w:val="40"/>
              </w:rPr>
            </w:pPr>
            <w:r w:rsidRPr="00BE72D7">
              <w:rPr>
                <w:rFonts w:eastAsia="Calibri"/>
              </w:rPr>
              <w:t>2006</w:t>
            </w:r>
          </w:p>
          <w:p w:rsidR="00C83190" w:rsidRPr="006A7B5F" w:rsidRDefault="00C83190">
            <w:pPr>
              <w:pStyle w:val="Tablecolumnhead"/>
              <w:rPr>
                <w:rFonts w:eastAsia="Calibri"/>
              </w:rPr>
            </w:pPr>
            <w:r w:rsidRPr="00C44680">
              <w:rPr>
                <w:rFonts w:ascii="Arial Bold" w:eastAsia="Calibri" w:hAnsi="Arial Bold"/>
                <w:spacing w:val="-12"/>
                <w:sz w:val="16"/>
              </w:rPr>
              <w:t>Regulation</w:t>
            </w:r>
          </w:p>
        </w:tc>
        <w:tc>
          <w:tcPr>
            <w:tcW w:w="1043" w:type="dxa"/>
            <w:vMerge w:val="restart"/>
            <w:shd w:val="clear" w:color="auto" w:fill="00B2A9" w:themeFill="accent1"/>
            <w:vAlign w:val="center"/>
            <w:hideMark/>
          </w:tcPr>
          <w:p w:rsidR="00C83190" w:rsidRDefault="00C83190">
            <w:pPr>
              <w:pStyle w:val="Tablecolumnhead"/>
              <w:rPr>
                <w:rFonts w:asciiTheme="majorHAnsi" w:eastAsiaTheme="majorEastAsia" w:hAnsiTheme="majorHAnsi" w:cstheme="majorBidi"/>
                <w:sz w:val="40"/>
              </w:rPr>
            </w:pPr>
            <w:r w:rsidRPr="008F0E53">
              <w:rPr>
                <w:rFonts w:eastAsia="Calibri"/>
              </w:rPr>
              <w:t>2017</w:t>
            </w:r>
          </w:p>
          <w:p w:rsidR="00C83190" w:rsidRPr="006A7B5F" w:rsidRDefault="00C83190">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C83190" w:rsidRPr="006A7B5F" w:rsidRDefault="00C83190">
            <w:pPr>
              <w:pStyle w:val="Tablecolumnhead"/>
              <w:rPr>
                <w:rFonts w:eastAsia="Calibri"/>
              </w:rPr>
            </w:pPr>
            <w:r w:rsidRPr="006A7B5F">
              <w:rPr>
                <w:szCs w:val="22"/>
              </w:rPr>
              <w:t xml:space="preserve">Short description of the </w:t>
            </w:r>
            <w:r>
              <w:rPr>
                <w:szCs w:val="22"/>
              </w:rPr>
              <w:t>Regulation</w:t>
            </w:r>
          </w:p>
        </w:tc>
        <w:tc>
          <w:tcPr>
            <w:tcW w:w="1998" w:type="dxa"/>
            <w:gridSpan w:val="5"/>
            <w:shd w:val="clear" w:color="auto" w:fill="00B2A9" w:themeFill="accent1"/>
            <w:vAlign w:val="center"/>
          </w:tcPr>
          <w:p w:rsidR="00C83190" w:rsidRPr="006A7B5F" w:rsidRDefault="00C83190">
            <w:pPr>
              <w:pStyle w:val="Tablecolumnhead"/>
            </w:pPr>
            <w:r w:rsidRPr="006A7B5F">
              <w:rPr>
                <w:szCs w:val="22"/>
              </w:rPr>
              <w:t>Proposed regulatory change</w:t>
            </w:r>
          </w:p>
        </w:tc>
        <w:tc>
          <w:tcPr>
            <w:tcW w:w="6327" w:type="dxa"/>
            <w:vMerge w:val="restart"/>
            <w:shd w:val="clear" w:color="auto" w:fill="00B2A9" w:themeFill="accent1"/>
            <w:vAlign w:val="center"/>
          </w:tcPr>
          <w:p w:rsidR="00C83190" w:rsidRPr="006A7B5F" w:rsidRDefault="00C83190">
            <w:pPr>
              <w:pStyle w:val="Tablecolumnhead"/>
            </w:pPr>
            <w:r w:rsidRPr="006A7B5F">
              <w:rPr>
                <w:szCs w:val="22"/>
              </w:rPr>
              <w:t>Why the 2017 Regulation is proposed</w:t>
            </w:r>
          </w:p>
        </w:tc>
      </w:tr>
      <w:tr w:rsidR="00B751DE" w:rsidRPr="00427EE1" w:rsidTr="006119D2">
        <w:trPr>
          <w:cantSplit/>
          <w:trHeight w:val="966"/>
          <w:tblHeader/>
        </w:trPr>
        <w:tc>
          <w:tcPr>
            <w:tcW w:w="938"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1043"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FF3262" w:rsidRPr="00427EE1" w:rsidTr="006119D2">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rsidP="006757E8">
            <w:pPr>
              <w:pStyle w:val="Tabletext"/>
              <w:rPr>
                <w:rFonts w:eastAsia="Calibri"/>
              </w:rPr>
            </w:pPr>
            <w:r w:rsidRPr="00427EE1">
              <w:rPr>
                <w:rFonts w:eastAsia="Calibri"/>
              </w:rPr>
              <w:t>1403</w:t>
            </w:r>
          </w:p>
        </w:tc>
        <w:tc>
          <w:tcPr>
            <w:tcW w:w="10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rsidP="006757E8">
            <w:pPr>
              <w:pStyle w:val="Tabletext"/>
              <w:rPr>
                <w:rFonts w:eastAsia="Calibri"/>
                <w:lang w:eastAsia="en-US"/>
              </w:rPr>
            </w:pPr>
            <w:r w:rsidRPr="00427EE1">
              <w:rPr>
                <w:rFonts w:eastAsia="Calibri"/>
                <w:lang w:eastAsia="en-US"/>
              </w:rPr>
              <w:t>239</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FF3262" w:rsidRPr="00427EE1" w:rsidRDefault="00FF3262">
            <w:pPr>
              <w:pStyle w:val="Tabletext"/>
              <w:rPr>
                <w:rFonts w:eastAsia="Calibri"/>
                <w:b/>
                <w:lang w:eastAsia="en-US"/>
              </w:rPr>
            </w:pPr>
            <w:r w:rsidRPr="00427EE1">
              <w:rPr>
                <w:rFonts w:eastAsia="Calibri"/>
                <w:b/>
                <w:lang w:eastAsia="en-US"/>
              </w:rPr>
              <w:t xml:space="preserve">Application of </w:t>
            </w:r>
            <w:r w:rsidR="00EF2008">
              <w:rPr>
                <w:rFonts w:eastAsia="Calibri"/>
                <w:b/>
                <w:lang w:eastAsia="en-US"/>
              </w:rPr>
              <w:t>d</w:t>
            </w:r>
            <w:r w:rsidRPr="00427EE1">
              <w:rPr>
                <w:rFonts w:eastAsia="Calibri"/>
                <w:b/>
                <w:lang w:eastAsia="en-US"/>
              </w:rPr>
              <w:t>ivision</w:t>
            </w:r>
          </w:p>
          <w:p w:rsidR="00FF3262" w:rsidRPr="00427EE1" w:rsidRDefault="002E244C">
            <w:pPr>
              <w:pStyle w:val="Tabletext"/>
              <w:rPr>
                <w:rFonts w:eastAsia="Calibri"/>
                <w:lang w:eastAsia="en-US"/>
              </w:rPr>
            </w:pPr>
            <w:r>
              <w:rPr>
                <w:rFonts w:eastAsia="Calibri"/>
                <w:lang w:eastAsia="en-US"/>
              </w:rPr>
              <w:t xml:space="preserve">Provides </w:t>
            </w:r>
            <w:r w:rsidR="00FF3262" w:rsidRPr="00427EE1">
              <w:rPr>
                <w:rFonts w:eastAsia="Calibri"/>
                <w:lang w:eastAsia="en-US"/>
              </w:rPr>
              <w:t xml:space="preserve">that </w:t>
            </w:r>
            <w:proofErr w:type="spellStart"/>
            <w:r w:rsidR="00EF2008">
              <w:rPr>
                <w:rFonts w:eastAsia="Calibri"/>
                <w:lang w:eastAsia="en-US"/>
              </w:rPr>
              <w:t>pt</w:t>
            </w:r>
            <w:proofErr w:type="spellEnd"/>
            <w:r w:rsidR="00EF2008" w:rsidRPr="00427EE1">
              <w:rPr>
                <w:rFonts w:eastAsia="Calibri"/>
                <w:lang w:eastAsia="en-US"/>
              </w:rPr>
              <w:t xml:space="preserve"> 14 </w:t>
            </w:r>
            <w:r w:rsidR="00EF2008">
              <w:rPr>
                <w:rFonts w:eastAsia="Calibri"/>
                <w:lang w:eastAsia="en-US"/>
              </w:rPr>
              <w:t>d</w:t>
            </w:r>
            <w:r w:rsidR="00FF3262" w:rsidRPr="00427EE1">
              <w:rPr>
                <w:rFonts w:eastAsia="Calibri"/>
                <w:lang w:eastAsia="en-US"/>
              </w:rPr>
              <w:t xml:space="preserve">iv 3 does not apply to building products that comply with the relevant deemed-to-satisfy provisions of the BCA.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ensures consistency with the BCA.</w:t>
            </w:r>
          </w:p>
        </w:tc>
      </w:tr>
      <w:tr w:rsidR="00FF3262" w:rsidRPr="00427EE1" w:rsidTr="006119D2">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rsidP="006757E8">
            <w:pPr>
              <w:pStyle w:val="Tabletext"/>
              <w:rPr>
                <w:rFonts w:eastAsia="Calibri"/>
              </w:rPr>
            </w:pPr>
            <w:r w:rsidRPr="00427EE1">
              <w:rPr>
                <w:rFonts w:eastAsia="Calibri"/>
              </w:rPr>
              <w:t>1404</w:t>
            </w:r>
          </w:p>
        </w:tc>
        <w:tc>
          <w:tcPr>
            <w:tcW w:w="10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rsidP="006757E8">
            <w:pPr>
              <w:pStyle w:val="Tabletext"/>
              <w:rPr>
                <w:rFonts w:eastAsia="Calibri"/>
                <w:lang w:eastAsia="en-US"/>
              </w:rPr>
            </w:pPr>
            <w:r w:rsidRPr="00427EE1">
              <w:rPr>
                <w:rFonts w:eastAsia="Calibri"/>
                <w:lang w:eastAsia="en-US"/>
              </w:rPr>
              <w:t>240</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D615BC" w:rsidRPr="00427EE1" w:rsidRDefault="00FF3262">
            <w:pPr>
              <w:pStyle w:val="Tabletext"/>
              <w:rPr>
                <w:rFonts w:eastAsia="Calibri"/>
                <w:b/>
                <w:lang w:eastAsia="en-US"/>
              </w:rPr>
            </w:pPr>
            <w:r w:rsidRPr="00427EE1">
              <w:rPr>
                <w:rFonts w:eastAsia="Calibri"/>
                <w:b/>
                <w:lang w:eastAsia="en-US"/>
              </w:rPr>
              <w:t>Application for accreditation</w:t>
            </w:r>
          </w:p>
          <w:p w:rsidR="00FF3262" w:rsidRPr="00427EE1" w:rsidRDefault="002E244C">
            <w:pPr>
              <w:pStyle w:val="Tabletext"/>
              <w:rPr>
                <w:rFonts w:eastAsia="Calibri"/>
                <w:lang w:eastAsia="en-US"/>
              </w:rPr>
            </w:pPr>
            <w:r>
              <w:rPr>
                <w:rFonts w:eastAsia="Calibri"/>
                <w:lang w:eastAsia="en-US"/>
              </w:rPr>
              <w:t xml:space="preserve">Provides </w:t>
            </w:r>
            <w:r w:rsidR="00FF3262" w:rsidRPr="00427EE1">
              <w:rPr>
                <w:rFonts w:eastAsia="Calibri"/>
                <w:lang w:eastAsia="en-US"/>
              </w:rPr>
              <w:t xml:space="preserve">for applications to </w:t>
            </w:r>
            <w:r w:rsidR="00666D12">
              <w:rPr>
                <w:rFonts w:eastAsia="Calibri"/>
                <w:lang w:eastAsia="en-US"/>
              </w:rPr>
              <w:t>BRAC</w:t>
            </w:r>
            <w:r w:rsidR="00FF3262" w:rsidRPr="00427EE1">
              <w:rPr>
                <w:rFonts w:eastAsia="Calibri"/>
                <w:lang w:eastAsia="en-US"/>
              </w:rPr>
              <w:t xml:space="preserve"> to have a building product accredited.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has been strengthened to provide that applications must be in a required form, to provide for administrative efficiency in the accreditation process. </w:t>
            </w:r>
          </w:p>
        </w:tc>
      </w:tr>
      <w:tr w:rsidR="00FF3262" w:rsidRPr="00427EE1" w:rsidTr="006119D2">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rsidP="006757E8">
            <w:pPr>
              <w:pStyle w:val="Tabletext"/>
              <w:rPr>
                <w:rFonts w:eastAsia="Calibri"/>
              </w:rPr>
            </w:pPr>
            <w:r w:rsidRPr="00427EE1">
              <w:rPr>
                <w:rFonts w:eastAsia="Calibri"/>
              </w:rPr>
              <w:lastRenderedPageBreak/>
              <w:t>1410</w:t>
            </w:r>
          </w:p>
        </w:tc>
        <w:tc>
          <w:tcPr>
            <w:tcW w:w="10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rsidP="006757E8">
            <w:pPr>
              <w:pStyle w:val="Tabletext"/>
              <w:rPr>
                <w:rFonts w:eastAsia="Calibri"/>
                <w:lang w:eastAsia="en-US"/>
              </w:rPr>
            </w:pPr>
            <w:r w:rsidRPr="00427EE1">
              <w:rPr>
                <w:rFonts w:eastAsia="Calibri"/>
                <w:lang w:eastAsia="en-US"/>
              </w:rPr>
              <w:t>241</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D615BC" w:rsidRPr="00427EE1" w:rsidRDefault="00FF3262">
            <w:pPr>
              <w:pStyle w:val="Tabletext"/>
              <w:rPr>
                <w:rFonts w:eastAsia="Calibri"/>
                <w:b/>
                <w:lang w:eastAsia="en-US"/>
              </w:rPr>
            </w:pPr>
            <w:r w:rsidRPr="00427EE1">
              <w:rPr>
                <w:rFonts w:eastAsia="Calibri"/>
                <w:b/>
                <w:lang w:eastAsia="en-US"/>
              </w:rPr>
              <w:t>Information in application to remain confidential</w:t>
            </w:r>
          </w:p>
          <w:p w:rsidR="00FF3262" w:rsidRPr="00427EE1" w:rsidRDefault="0026629F">
            <w:pPr>
              <w:pStyle w:val="Tabletext"/>
              <w:rPr>
                <w:rFonts w:eastAsia="Calibri"/>
                <w:lang w:eastAsia="en-US"/>
              </w:rPr>
            </w:pPr>
            <w:r>
              <w:rPr>
                <w:rFonts w:eastAsia="Calibri"/>
                <w:lang w:eastAsia="en-US"/>
              </w:rPr>
              <w:t xml:space="preserve">Specifies </w:t>
            </w:r>
            <w:r w:rsidR="00FF3262" w:rsidRPr="00427EE1">
              <w:rPr>
                <w:rFonts w:eastAsia="Calibri"/>
                <w:lang w:eastAsia="en-US"/>
              </w:rPr>
              <w:t>an offence of 10 penalty units to ensure that information provided as part of an application for accreditation will remain confidential.</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pStyle w:val="Tabletext"/>
              <w:rPr>
                <w:rFonts w:eastAsia="Calibri"/>
              </w:rPr>
            </w:pPr>
            <w:r w:rsidRPr="00427EE1">
              <w:rPr>
                <w:rFonts w:eastAsia="Calibri"/>
              </w:rPr>
              <w:t xml:space="preserve">Current </w:t>
            </w:r>
            <w:proofErr w:type="spellStart"/>
            <w:r w:rsidR="003902AD">
              <w:rPr>
                <w:rFonts w:eastAsia="Calibri"/>
              </w:rPr>
              <w:t>reg</w:t>
            </w:r>
            <w:proofErr w:type="spellEnd"/>
            <w:r w:rsidR="003902AD">
              <w:rPr>
                <w:rFonts w:eastAsia="Calibri"/>
              </w:rPr>
              <w:t xml:space="preserve"> 1</w:t>
            </w:r>
            <w:r w:rsidRPr="00427EE1">
              <w:rPr>
                <w:rFonts w:eastAsia="Calibri"/>
              </w:rPr>
              <w:t xml:space="preserve">410 renumbered. This </w:t>
            </w:r>
            <w:r w:rsidR="000273F9">
              <w:rPr>
                <w:rFonts w:eastAsia="Calibri"/>
              </w:rPr>
              <w:t>Regulation</w:t>
            </w:r>
            <w:r w:rsidRPr="00427EE1">
              <w:rPr>
                <w:rFonts w:eastAsia="Calibri"/>
              </w:rPr>
              <w:t xml:space="preserve"> protects an applicant for accreditation’s privacy.</w:t>
            </w:r>
          </w:p>
        </w:tc>
      </w:tr>
      <w:tr w:rsidR="00FF3262" w:rsidRPr="00427EE1" w:rsidTr="006119D2">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rsidP="006757E8">
            <w:pPr>
              <w:pStyle w:val="Tabletext"/>
              <w:rPr>
                <w:rFonts w:eastAsia="Calibri"/>
              </w:rPr>
            </w:pPr>
            <w:r w:rsidRPr="00427EE1">
              <w:rPr>
                <w:rFonts w:eastAsia="Calibri"/>
              </w:rPr>
              <w:t>1405</w:t>
            </w:r>
          </w:p>
        </w:tc>
        <w:tc>
          <w:tcPr>
            <w:tcW w:w="10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rsidP="006757E8">
            <w:pPr>
              <w:pStyle w:val="Tabletext"/>
              <w:rPr>
                <w:rFonts w:eastAsia="Calibri"/>
                <w:lang w:eastAsia="en-US"/>
              </w:rPr>
            </w:pPr>
            <w:r w:rsidRPr="00427EE1">
              <w:rPr>
                <w:rFonts w:eastAsia="Calibri"/>
                <w:lang w:eastAsia="en-US"/>
              </w:rPr>
              <w:t>242</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FF3262" w:rsidRPr="00427EE1" w:rsidRDefault="00FF3262">
            <w:pPr>
              <w:pStyle w:val="Tabletext"/>
              <w:rPr>
                <w:rFonts w:eastAsia="Calibri"/>
                <w:b/>
                <w:lang w:eastAsia="en-US"/>
              </w:rPr>
            </w:pPr>
            <w:r w:rsidRPr="00427EE1">
              <w:rPr>
                <w:rFonts w:eastAsia="Calibri"/>
                <w:b/>
                <w:lang w:eastAsia="en-US"/>
              </w:rPr>
              <w:t>Accreditation fees</w:t>
            </w:r>
          </w:p>
          <w:p w:rsidR="00FF3262" w:rsidRPr="00427EE1" w:rsidRDefault="002E244C">
            <w:pPr>
              <w:pStyle w:val="Tabletext"/>
              <w:rPr>
                <w:rFonts w:eastAsia="Calibri"/>
                <w:lang w:eastAsia="en-US"/>
              </w:rPr>
            </w:pPr>
            <w:r>
              <w:rPr>
                <w:rFonts w:eastAsia="Calibri"/>
                <w:lang w:eastAsia="en-US"/>
              </w:rPr>
              <w:t xml:space="preserve">Provides </w:t>
            </w:r>
            <w:r w:rsidR="00FF3262" w:rsidRPr="00427EE1">
              <w:rPr>
                <w:rFonts w:eastAsia="Calibri"/>
                <w:lang w:eastAsia="en-US"/>
              </w:rPr>
              <w:t xml:space="preserve">the fee for accreditation of a building product, to be paid to the Victorian Building Authority Fund.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53B8">
            <w:pPr>
              <w:pStyle w:val="Tabletext"/>
              <w:rPr>
                <w:rFonts w:eastAsia="Calibri"/>
              </w:rPr>
            </w:pPr>
            <w:r w:rsidRPr="00427EE1">
              <w:rPr>
                <w:rFonts w:eastAsia="Calibri"/>
                <w:lang w:eastAsia="en-US"/>
              </w:rPr>
              <w:t xml:space="preserve">This </w:t>
            </w:r>
            <w:r w:rsidR="000273F9">
              <w:rPr>
                <w:rFonts w:eastAsia="Calibri"/>
                <w:lang w:eastAsia="en-US"/>
              </w:rPr>
              <w:t>Regulation</w:t>
            </w:r>
            <w:r w:rsidR="00E60957">
              <w:rPr>
                <w:rFonts w:eastAsia="Calibri"/>
                <w:lang w:eastAsia="en-US"/>
              </w:rPr>
              <w:t xml:space="preserve"> </w:t>
            </w:r>
            <w:r w:rsidRPr="00427EE1">
              <w:rPr>
                <w:rFonts w:eastAsia="Calibri"/>
                <w:lang w:eastAsia="en-US"/>
              </w:rPr>
              <w:t>prescribes the application</w:t>
            </w:r>
            <w:r w:rsidR="00E60957">
              <w:rPr>
                <w:rFonts w:eastAsia="Calibri"/>
                <w:lang w:eastAsia="en-US"/>
              </w:rPr>
              <w:t xml:space="preserve"> </w:t>
            </w:r>
            <w:r w:rsidRPr="00427EE1">
              <w:rPr>
                <w:rFonts w:eastAsia="Calibri"/>
                <w:lang w:eastAsia="en-US"/>
              </w:rPr>
              <w:t xml:space="preserve">fee. </w:t>
            </w:r>
            <w:r w:rsidR="00FF3262" w:rsidRPr="00427EE1">
              <w:rPr>
                <w:rFonts w:eastAsia="Calibri"/>
              </w:rPr>
              <w:t xml:space="preserve">The fee continues to be 138.31 fee units, to assist in the administration of accreditation of building products under the Act. </w:t>
            </w:r>
          </w:p>
        </w:tc>
      </w:tr>
      <w:tr w:rsidR="00FF3262" w:rsidRPr="00427EE1" w:rsidTr="006119D2">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rsidP="006757E8">
            <w:pPr>
              <w:pStyle w:val="Tabletext"/>
              <w:rPr>
                <w:rFonts w:eastAsia="Calibri"/>
              </w:rPr>
            </w:pPr>
            <w:r w:rsidRPr="00427EE1">
              <w:rPr>
                <w:rFonts w:eastAsia="Calibri"/>
              </w:rPr>
              <w:t>1406</w:t>
            </w:r>
          </w:p>
        </w:tc>
        <w:tc>
          <w:tcPr>
            <w:tcW w:w="10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rsidP="006757E8">
            <w:pPr>
              <w:pStyle w:val="Tabletext"/>
              <w:rPr>
                <w:rFonts w:eastAsia="Calibri"/>
                <w:lang w:eastAsia="en-US"/>
              </w:rPr>
            </w:pPr>
            <w:r w:rsidRPr="00427EE1">
              <w:rPr>
                <w:rFonts w:eastAsia="Calibri"/>
                <w:lang w:eastAsia="en-US"/>
              </w:rPr>
              <w:t>243</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D615BC" w:rsidRPr="00427EE1" w:rsidRDefault="00FF3262">
            <w:pPr>
              <w:pStyle w:val="Tabletext"/>
              <w:rPr>
                <w:rFonts w:eastAsia="Calibri"/>
                <w:b/>
                <w:lang w:eastAsia="en-US"/>
              </w:rPr>
            </w:pPr>
            <w:r w:rsidRPr="00427EE1">
              <w:rPr>
                <w:rFonts w:eastAsia="Calibri"/>
                <w:b/>
                <w:lang w:eastAsia="en-US"/>
              </w:rPr>
              <w:t>Certificate of accreditation</w:t>
            </w:r>
          </w:p>
          <w:p w:rsidR="00FF3262" w:rsidRPr="00427EE1" w:rsidRDefault="0026629F">
            <w:pPr>
              <w:pStyle w:val="Tabletext"/>
              <w:rPr>
                <w:rFonts w:eastAsia="Calibri"/>
                <w:lang w:eastAsia="en-US"/>
              </w:rPr>
            </w:pPr>
            <w:r>
              <w:rPr>
                <w:rFonts w:eastAsia="Calibri"/>
                <w:lang w:eastAsia="en-US"/>
              </w:rPr>
              <w:t xml:space="preserve">Specifies </w:t>
            </w:r>
            <w:r w:rsidR="00FF3262" w:rsidRPr="00427EE1">
              <w:rPr>
                <w:rFonts w:eastAsia="Calibri"/>
                <w:lang w:eastAsia="en-US"/>
              </w:rPr>
              <w:t xml:space="preserve">that if a building product receives accreditation by </w:t>
            </w:r>
            <w:r w:rsidR="00666D12">
              <w:rPr>
                <w:rFonts w:eastAsia="Calibri"/>
                <w:lang w:eastAsia="en-US"/>
              </w:rPr>
              <w:t>BRAC</w:t>
            </w:r>
            <w:r w:rsidR="00FF3262" w:rsidRPr="00427EE1">
              <w:rPr>
                <w:rFonts w:eastAsia="Calibri"/>
                <w:lang w:eastAsia="en-US"/>
              </w:rPr>
              <w:t xml:space="preserve">, a certificate of accreditation is to be issued.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53B8">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t>
            </w:r>
            <w:r w:rsidRPr="00427EE1">
              <w:rPr>
                <w:rFonts w:eastAsia="Calibri"/>
              </w:rPr>
              <w:t>promotes cons</w:t>
            </w:r>
            <w:r w:rsidR="00FF3262" w:rsidRPr="00427EE1">
              <w:rPr>
                <w:rFonts w:eastAsia="Calibri"/>
              </w:rPr>
              <w:t>istency with the national accreditation scheme (</w:t>
            </w:r>
            <w:proofErr w:type="spellStart"/>
            <w:r w:rsidR="00FF3262" w:rsidRPr="00427EE1">
              <w:rPr>
                <w:rFonts w:eastAsia="Calibri"/>
              </w:rPr>
              <w:t>CodeMark</w:t>
            </w:r>
            <w:proofErr w:type="spellEnd"/>
            <w:r w:rsidR="00FF3262" w:rsidRPr="00427EE1">
              <w:rPr>
                <w:rFonts w:eastAsia="Calibri"/>
              </w:rPr>
              <w:t xml:space="preserve">) and to provide additional transparency in the administration of accreditation certificates, the </w:t>
            </w:r>
            <w:r w:rsidR="000273F9">
              <w:rPr>
                <w:rFonts w:eastAsia="Calibri"/>
              </w:rPr>
              <w:t>Regulation</w:t>
            </w:r>
            <w:r w:rsidR="00FF3262" w:rsidRPr="00427EE1">
              <w:rPr>
                <w:rFonts w:eastAsia="Calibri"/>
              </w:rPr>
              <w:t xml:space="preserve"> now lists the information that must be set out in the certificate. </w:t>
            </w:r>
          </w:p>
        </w:tc>
      </w:tr>
      <w:tr w:rsidR="00FF3262" w:rsidRPr="00427EE1" w:rsidTr="006119D2">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rsidP="006757E8">
            <w:pPr>
              <w:pStyle w:val="Tabletext"/>
              <w:rPr>
                <w:rFonts w:eastAsia="Calibri"/>
              </w:rPr>
            </w:pPr>
            <w:r w:rsidRPr="00427EE1">
              <w:rPr>
                <w:rFonts w:eastAsia="Calibri"/>
              </w:rPr>
              <w:t>1408</w:t>
            </w:r>
          </w:p>
        </w:tc>
        <w:tc>
          <w:tcPr>
            <w:tcW w:w="10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rsidP="006757E8">
            <w:pPr>
              <w:pStyle w:val="Tabletext"/>
              <w:rPr>
                <w:rFonts w:eastAsia="Calibri"/>
                <w:lang w:eastAsia="en-US"/>
              </w:rPr>
            </w:pPr>
            <w:r w:rsidRPr="00427EE1">
              <w:rPr>
                <w:rFonts w:eastAsia="Calibri"/>
                <w:lang w:eastAsia="en-US"/>
              </w:rPr>
              <w:t>244</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D615BC" w:rsidRPr="00427EE1" w:rsidRDefault="00FF3262">
            <w:pPr>
              <w:pStyle w:val="Tabletext"/>
              <w:rPr>
                <w:rFonts w:eastAsia="Calibri"/>
                <w:b/>
                <w:lang w:eastAsia="en-US"/>
              </w:rPr>
            </w:pPr>
            <w:r w:rsidRPr="00427EE1">
              <w:rPr>
                <w:rFonts w:eastAsia="Calibri"/>
                <w:b/>
                <w:lang w:eastAsia="en-US"/>
              </w:rPr>
              <w:t>Revocation of accreditation</w:t>
            </w:r>
          </w:p>
          <w:p w:rsidR="00FF3262" w:rsidRPr="00427EE1" w:rsidRDefault="0026629F" w:rsidP="008915F8">
            <w:pPr>
              <w:pStyle w:val="Tabletext"/>
              <w:rPr>
                <w:rFonts w:eastAsia="Calibri"/>
                <w:lang w:eastAsia="en-US"/>
              </w:rPr>
            </w:pPr>
            <w:r>
              <w:rPr>
                <w:rFonts w:eastAsia="Calibri"/>
                <w:lang w:eastAsia="en-US"/>
              </w:rPr>
              <w:t xml:space="preserve">Specifies </w:t>
            </w:r>
            <w:r w:rsidR="00FF3262" w:rsidRPr="00427EE1">
              <w:rPr>
                <w:rFonts w:eastAsia="Calibri"/>
                <w:lang w:eastAsia="en-US"/>
              </w:rPr>
              <w:t xml:space="preserve">that the circumstances in which accreditation of a building product can be revoked by the Building </w:t>
            </w:r>
            <w:r w:rsidR="008915F8">
              <w:rPr>
                <w:rFonts w:eastAsia="Calibri"/>
                <w:lang w:eastAsia="en-US"/>
              </w:rPr>
              <w:t>Regulations</w:t>
            </w:r>
            <w:r w:rsidR="00FF3262" w:rsidRPr="00427EE1">
              <w:rPr>
                <w:rFonts w:eastAsia="Calibri"/>
                <w:lang w:eastAsia="en-US"/>
              </w:rPr>
              <w:t xml:space="preserve"> Advisory Committee.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53B8">
            <w:pPr>
              <w:pStyle w:val="Tabletext"/>
              <w:rPr>
                <w:rFonts w:eastAsia="Calibri"/>
              </w:rPr>
            </w:pPr>
            <w:r w:rsidRPr="00427EE1">
              <w:rPr>
                <w:rFonts w:eastAsia="Calibri"/>
                <w:lang w:eastAsia="en-US"/>
              </w:rPr>
              <w:t xml:space="preserve">This </w:t>
            </w:r>
            <w:r w:rsidR="000273F9">
              <w:rPr>
                <w:rFonts w:eastAsia="Calibri"/>
                <w:lang w:eastAsia="en-US"/>
              </w:rPr>
              <w:t>Regulation</w:t>
            </w:r>
            <w:r w:rsidR="00E60957">
              <w:rPr>
                <w:rFonts w:eastAsia="Calibri"/>
                <w:lang w:eastAsia="en-US"/>
              </w:rPr>
              <w:t xml:space="preserve"> </w:t>
            </w:r>
            <w:r w:rsidR="00FF3262" w:rsidRPr="00427EE1">
              <w:rPr>
                <w:rFonts w:eastAsia="Calibri"/>
              </w:rPr>
              <w:t>provide</w:t>
            </w:r>
            <w:r w:rsidRPr="00427EE1">
              <w:rPr>
                <w:rFonts w:eastAsia="Calibri"/>
              </w:rPr>
              <w:t>s</w:t>
            </w:r>
            <w:r w:rsidR="00FF3262" w:rsidRPr="00427EE1">
              <w:rPr>
                <w:rFonts w:eastAsia="Calibri"/>
              </w:rPr>
              <w:t xml:space="preserve"> both consumer and general protections to the building industry, this </w:t>
            </w:r>
            <w:r w:rsidR="000273F9">
              <w:rPr>
                <w:rFonts w:eastAsia="Calibri"/>
              </w:rPr>
              <w:t>Regulation</w:t>
            </w:r>
            <w:r w:rsidR="00FF3262" w:rsidRPr="00427EE1">
              <w:rPr>
                <w:rFonts w:eastAsia="Calibri"/>
              </w:rPr>
              <w:t xml:space="preserve"> continues to provide that the accreditation of building products can be revoked in </w:t>
            </w:r>
            <w:r w:rsidR="00AC0013">
              <w:rPr>
                <w:rFonts w:eastAsia="Calibri"/>
              </w:rPr>
              <w:t>some</w:t>
            </w:r>
            <w:r w:rsidR="00FF3262" w:rsidRPr="00427EE1">
              <w:rPr>
                <w:rFonts w:eastAsia="Calibri"/>
              </w:rPr>
              <w:t xml:space="preserve"> circumstances, including fraud and unsatisfactory standards. </w:t>
            </w:r>
          </w:p>
        </w:tc>
      </w:tr>
      <w:tr w:rsidR="00FF3262" w:rsidRPr="00427EE1" w:rsidTr="006119D2">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6A7B5F" w:rsidRDefault="00FF3262" w:rsidP="006757E8">
            <w:pPr>
              <w:pStyle w:val="Tabletext"/>
              <w:rPr>
                <w:rFonts w:eastAsia="Calibri"/>
                <w:b/>
              </w:rPr>
            </w:pPr>
            <w:r w:rsidRPr="006A7B5F">
              <w:rPr>
                <w:rFonts w:eastAsia="Calibri"/>
                <w:b/>
              </w:rPr>
              <w:t>n/a</w:t>
            </w:r>
          </w:p>
        </w:tc>
        <w:tc>
          <w:tcPr>
            <w:tcW w:w="10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D615BC" w:rsidRPr="00427EE1" w:rsidRDefault="00FF3262" w:rsidP="006757E8">
            <w:pPr>
              <w:pStyle w:val="Tabletext"/>
              <w:rPr>
                <w:rFonts w:eastAsia="Calibri"/>
                <w:lang w:eastAsia="en-US"/>
              </w:rPr>
            </w:pPr>
            <w:r w:rsidRPr="00427EE1">
              <w:rPr>
                <w:rFonts w:eastAsia="Calibri"/>
                <w:lang w:eastAsia="en-US"/>
              </w:rPr>
              <w:t>NEW</w:t>
            </w:r>
          </w:p>
          <w:p w:rsidR="00FF3262" w:rsidRPr="00427EE1" w:rsidRDefault="00FF3262">
            <w:pPr>
              <w:pStyle w:val="Tabletext"/>
              <w:rPr>
                <w:rFonts w:eastAsia="Calibri"/>
                <w:lang w:eastAsia="en-US"/>
              </w:rPr>
            </w:pPr>
            <w:r w:rsidRPr="00427EE1">
              <w:rPr>
                <w:rFonts w:eastAsia="Calibri"/>
                <w:lang w:eastAsia="en-US"/>
              </w:rPr>
              <w:t>245</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FF3262" w:rsidRPr="006A7B5F" w:rsidRDefault="00FF3262">
            <w:pPr>
              <w:pStyle w:val="Tabletext"/>
              <w:rPr>
                <w:rFonts w:eastAsia="Calibri"/>
                <w:b/>
                <w:lang w:eastAsia="en-US"/>
              </w:rPr>
            </w:pPr>
            <w:r w:rsidRPr="006A7B5F">
              <w:rPr>
                <w:rFonts w:eastAsia="Calibri"/>
                <w:b/>
                <w:lang w:eastAsia="en-US"/>
              </w:rPr>
              <w:t>Holder may request revocation of accreditation</w:t>
            </w:r>
          </w:p>
          <w:p w:rsidR="00FF3262" w:rsidRPr="00427EE1" w:rsidRDefault="002E244C" w:rsidP="008915F8">
            <w:pPr>
              <w:pStyle w:val="Tabletext"/>
              <w:rPr>
                <w:rFonts w:eastAsia="Calibri"/>
                <w:lang w:eastAsia="en-US"/>
              </w:rPr>
            </w:pPr>
            <w:r>
              <w:rPr>
                <w:rFonts w:eastAsia="Calibri"/>
                <w:lang w:eastAsia="en-US"/>
              </w:rPr>
              <w:t xml:space="preserve">Establishes </w:t>
            </w:r>
            <w:r w:rsidR="00FF3262" w:rsidRPr="00427EE1">
              <w:rPr>
                <w:rFonts w:eastAsia="Calibri"/>
                <w:lang w:eastAsia="en-US"/>
              </w:rPr>
              <w:t xml:space="preserve">a mechanism whereby a certificate of accreditation holder may request the Building </w:t>
            </w:r>
            <w:r w:rsidR="008915F8">
              <w:rPr>
                <w:rFonts w:eastAsia="Calibri"/>
                <w:lang w:eastAsia="en-US"/>
              </w:rPr>
              <w:t>Regulations</w:t>
            </w:r>
            <w:r w:rsidR="00FF3262" w:rsidRPr="00427EE1">
              <w:rPr>
                <w:rFonts w:eastAsia="Calibri"/>
                <w:lang w:eastAsia="en-US"/>
              </w:rPr>
              <w:t xml:space="preserve"> Advisory Committee to revoke an application.</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provides flexibility in the event that a building product is proposed to cease manufacturing or a certificate of accreditation holder discovers it is no longer compliant (</w:t>
            </w:r>
            <w:r w:rsidR="00D90FC3">
              <w:rPr>
                <w:rFonts w:eastAsia="Calibri"/>
              </w:rPr>
              <w:t>for example,</w:t>
            </w:r>
            <w:r w:rsidRPr="00427EE1">
              <w:rPr>
                <w:rFonts w:eastAsia="Calibri"/>
              </w:rPr>
              <w:t xml:space="preserve"> a change in standard). This assists in maintaining the integrity of the accreditation process. </w:t>
            </w:r>
          </w:p>
        </w:tc>
      </w:tr>
      <w:tr w:rsidR="00FF3262" w:rsidRPr="00427EE1" w:rsidTr="006119D2">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6A7B5F" w:rsidRDefault="00FF3262" w:rsidP="006757E8">
            <w:pPr>
              <w:pStyle w:val="Tabletext"/>
              <w:rPr>
                <w:rFonts w:eastAsia="Calibri"/>
                <w:b/>
              </w:rPr>
            </w:pPr>
            <w:r w:rsidRPr="006A7B5F">
              <w:rPr>
                <w:rFonts w:eastAsia="Calibri"/>
                <w:b/>
              </w:rPr>
              <w:t>n/a</w:t>
            </w:r>
          </w:p>
        </w:tc>
        <w:tc>
          <w:tcPr>
            <w:tcW w:w="10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rsidP="006757E8">
            <w:pPr>
              <w:pStyle w:val="Tabletext"/>
              <w:rPr>
                <w:rFonts w:eastAsia="Calibri"/>
                <w:lang w:eastAsia="en-US"/>
              </w:rPr>
            </w:pPr>
            <w:r w:rsidRPr="00427EE1">
              <w:rPr>
                <w:rFonts w:eastAsia="Calibri"/>
                <w:lang w:eastAsia="en-US"/>
              </w:rPr>
              <w:t>NEW</w:t>
            </w:r>
          </w:p>
          <w:p w:rsidR="00FF3262" w:rsidRPr="00427EE1" w:rsidRDefault="00FF3262">
            <w:pPr>
              <w:pStyle w:val="Tabletext"/>
              <w:rPr>
                <w:rFonts w:eastAsia="Calibri"/>
                <w:lang w:eastAsia="en-US"/>
              </w:rPr>
            </w:pPr>
            <w:r w:rsidRPr="00427EE1">
              <w:rPr>
                <w:rFonts w:eastAsia="Calibri"/>
                <w:lang w:eastAsia="en-US"/>
              </w:rPr>
              <w:t>246</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FF3262" w:rsidRPr="006A7B5F" w:rsidRDefault="00FF3262">
            <w:pPr>
              <w:pStyle w:val="Tabletext"/>
              <w:rPr>
                <w:rFonts w:eastAsia="Calibri"/>
                <w:b/>
                <w:lang w:eastAsia="en-US"/>
              </w:rPr>
            </w:pPr>
            <w:r w:rsidRPr="006A7B5F">
              <w:rPr>
                <w:rFonts w:eastAsia="Calibri"/>
                <w:b/>
                <w:lang w:eastAsia="en-US"/>
              </w:rPr>
              <w:t>Accreditation ceases to have effect on revocation</w:t>
            </w:r>
          </w:p>
          <w:p w:rsidR="00FF3262" w:rsidRPr="00427EE1" w:rsidRDefault="002E244C">
            <w:pPr>
              <w:pStyle w:val="Tabletext"/>
              <w:rPr>
                <w:rFonts w:eastAsia="Calibri"/>
                <w:lang w:eastAsia="en-US"/>
              </w:rPr>
            </w:pPr>
            <w:r>
              <w:rPr>
                <w:rFonts w:eastAsia="Calibri"/>
                <w:lang w:eastAsia="en-US"/>
              </w:rPr>
              <w:t xml:space="preserve">Clarifies </w:t>
            </w:r>
            <w:r w:rsidR="00FF3262" w:rsidRPr="00427EE1">
              <w:rPr>
                <w:rFonts w:eastAsia="Calibri"/>
                <w:lang w:eastAsia="en-US"/>
              </w:rPr>
              <w:t xml:space="preserve">that accreditation ceases to have effect on revocation.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53B8">
            <w:pPr>
              <w:pStyle w:val="Tabletext"/>
              <w:rPr>
                <w:rFonts w:eastAsia="Calibri"/>
              </w:rPr>
            </w:pPr>
            <w:r w:rsidRPr="00427EE1">
              <w:rPr>
                <w:rFonts w:eastAsia="Calibri"/>
                <w:lang w:eastAsia="en-US"/>
              </w:rPr>
              <w:t xml:space="preserve">This </w:t>
            </w:r>
            <w:r w:rsidR="000273F9">
              <w:rPr>
                <w:rFonts w:eastAsia="Calibri"/>
                <w:lang w:eastAsia="en-US"/>
              </w:rPr>
              <w:t>Regulation</w:t>
            </w:r>
            <w:r w:rsidR="00E60957">
              <w:rPr>
                <w:rFonts w:eastAsia="Calibri"/>
                <w:lang w:eastAsia="en-US"/>
              </w:rPr>
              <w:t xml:space="preserve"> </w:t>
            </w:r>
            <w:r w:rsidR="00FF3262" w:rsidRPr="00427EE1">
              <w:rPr>
                <w:rFonts w:eastAsia="Calibri"/>
              </w:rPr>
              <w:t>assist</w:t>
            </w:r>
            <w:r w:rsidRPr="00427EE1">
              <w:rPr>
                <w:rFonts w:eastAsia="Calibri"/>
              </w:rPr>
              <w:t>s</w:t>
            </w:r>
            <w:r w:rsidR="00FF3262" w:rsidRPr="00427EE1">
              <w:rPr>
                <w:rFonts w:eastAsia="Calibri"/>
              </w:rPr>
              <w:t xml:space="preserve"> in the administration of the accreditation scheme, this </w:t>
            </w:r>
            <w:r w:rsidR="000273F9">
              <w:rPr>
                <w:rFonts w:eastAsia="Calibri"/>
              </w:rPr>
              <w:t>Regulation</w:t>
            </w:r>
            <w:r w:rsidR="00FF3262" w:rsidRPr="00427EE1">
              <w:rPr>
                <w:rFonts w:eastAsia="Calibri"/>
              </w:rPr>
              <w:t xml:space="preserve"> provides that accreditation ceases to have effect when revoked. </w:t>
            </w:r>
          </w:p>
        </w:tc>
      </w:tr>
      <w:tr w:rsidR="00FF3262" w:rsidRPr="00427EE1" w:rsidTr="006119D2">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rsidP="006757E8">
            <w:pPr>
              <w:pStyle w:val="Tabletext"/>
              <w:rPr>
                <w:rFonts w:eastAsia="Calibri"/>
              </w:rPr>
            </w:pPr>
            <w:r w:rsidRPr="00427EE1">
              <w:rPr>
                <w:rFonts w:eastAsia="Calibri"/>
              </w:rPr>
              <w:lastRenderedPageBreak/>
              <w:t>1411</w:t>
            </w:r>
          </w:p>
        </w:tc>
        <w:tc>
          <w:tcPr>
            <w:tcW w:w="10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rsidP="006757E8">
            <w:pPr>
              <w:pStyle w:val="Tabletext"/>
              <w:rPr>
                <w:rFonts w:eastAsia="Calibri"/>
                <w:lang w:eastAsia="en-US"/>
              </w:rPr>
            </w:pPr>
            <w:r w:rsidRPr="00427EE1">
              <w:rPr>
                <w:rFonts w:eastAsia="Calibri"/>
                <w:lang w:eastAsia="en-US"/>
              </w:rPr>
              <w:t>247</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D615BC" w:rsidRPr="006A7B5F" w:rsidRDefault="00FF3262">
            <w:pPr>
              <w:pStyle w:val="Tabletext"/>
              <w:rPr>
                <w:rFonts w:eastAsia="Calibri"/>
                <w:b/>
                <w:lang w:eastAsia="en-US"/>
              </w:rPr>
            </w:pPr>
            <w:r w:rsidRPr="006A7B5F">
              <w:rPr>
                <w:rFonts w:eastAsia="Calibri"/>
                <w:b/>
                <w:lang w:eastAsia="en-US"/>
              </w:rPr>
              <w:t>Offence to falsely claim product accredited</w:t>
            </w:r>
          </w:p>
          <w:p w:rsidR="00FF3262" w:rsidRPr="00427EE1" w:rsidRDefault="002E244C">
            <w:pPr>
              <w:pStyle w:val="Tabletext"/>
              <w:rPr>
                <w:rFonts w:eastAsia="Calibri"/>
                <w:lang w:eastAsia="en-US"/>
              </w:rPr>
            </w:pPr>
            <w:r>
              <w:rPr>
                <w:rFonts w:eastAsia="Calibri"/>
                <w:lang w:eastAsia="en-US"/>
              </w:rPr>
              <w:t xml:space="preserve">Provides </w:t>
            </w:r>
            <w:r w:rsidR="00FF3262" w:rsidRPr="00427EE1">
              <w:rPr>
                <w:rFonts w:eastAsia="Calibri"/>
                <w:lang w:eastAsia="en-US"/>
              </w:rPr>
              <w:t xml:space="preserve">for an offence for a person or body falsely claiming that a building product is accredited.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maintains an offence of 20 penalty units for falsely claiming that a building product is accredited. This provides a deterrent to false accreditations in the interests of building safety and consumer protection. </w:t>
            </w:r>
          </w:p>
        </w:tc>
      </w:tr>
    </w:tbl>
    <w:p w:rsidR="00AC4E58" w:rsidRPr="00427EE1" w:rsidRDefault="00AC4E58" w:rsidP="006757E8"/>
    <w:p w:rsidR="00B751DE" w:rsidRPr="00427EE1" w:rsidRDefault="00EF2008" w:rsidP="006119D2">
      <w:pPr>
        <w:pStyle w:val="Heading4"/>
      </w:pPr>
      <w:proofErr w:type="spellStart"/>
      <w:r>
        <w:t>Div</w:t>
      </w:r>
      <w:proofErr w:type="spellEnd"/>
      <w:r w:rsidR="00B751DE" w:rsidRPr="00427EE1">
        <w:t xml:space="preserve"> 4</w:t>
      </w:r>
      <w:r w:rsidR="008475D9">
        <w:t>—</w:t>
      </w:r>
      <w:r w:rsidR="00B751DE" w:rsidRPr="00427EE1">
        <w:t>Register and records</w:t>
      </w:r>
    </w:p>
    <w:tbl>
      <w:tblPr>
        <w:tblW w:w="14535" w:type="dxa"/>
        <w:tblInd w:w="-158"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24"/>
        <w:gridCol w:w="1043"/>
        <w:gridCol w:w="4243"/>
        <w:gridCol w:w="399"/>
        <w:gridCol w:w="399"/>
        <w:gridCol w:w="402"/>
        <w:gridCol w:w="400"/>
        <w:gridCol w:w="398"/>
        <w:gridCol w:w="6327"/>
      </w:tblGrid>
      <w:tr w:rsidR="00C83190" w:rsidRPr="00427EE1" w:rsidTr="006119D2">
        <w:trPr>
          <w:cantSplit/>
          <w:trHeight w:val="413"/>
          <w:tblHeader/>
        </w:trPr>
        <w:tc>
          <w:tcPr>
            <w:tcW w:w="924" w:type="dxa"/>
            <w:vMerge w:val="restart"/>
            <w:shd w:val="clear" w:color="auto" w:fill="00B2A9" w:themeFill="accent1"/>
            <w:vAlign w:val="center"/>
            <w:hideMark/>
          </w:tcPr>
          <w:p w:rsidR="00C83190" w:rsidRDefault="00C83190">
            <w:pPr>
              <w:pStyle w:val="Tablecolumnhead"/>
              <w:rPr>
                <w:rFonts w:asciiTheme="majorHAnsi" w:eastAsia="Calibri" w:hAnsiTheme="majorHAnsi" w:cstheme="majorBidi"/>
                <w:sz w:val="40"/>
              </w:rPr>
            </w:pPr>
            <w:r w:rsidRPr="00BE72D7">
              <w:rPr>
                <w:rFonts w:eastAsia="Calibri"/>
              </w:rPr>
              <w:t>2006</w:t>
            </w:r>
          </w:p>
          <w:p w:rsidR="00C83190" w:rsidRPr="006A7B5F" w:rsidRDefault="00C83190">
            <w:pPr>
              <w:pStyle w:val="Tablecolumnhead"/>
              <w:rPr>
                <w:rFonts w:eastAsia="Calibri"/>
              </w:rPr>
            </w:pPr>
            <w:r w:rsidRPr="00C44680">
              <w:rPr>
                <w:rFonts w:ascii="Arial Bold" w:eastAsia="Calibri" w:hAnsi="Arial Bold"/>
                <w:spacing w:val="-12"/>
                <w:sz w:val="16"/>
              </w:rPr>
              <w:t>Regulation</w:t>
            </w:r>
          </w:p>
        </w:tc>
        <w:tc>
          <w:tcPr>
            <w:tcW w:w="1043" w:type="dxa"/>
            <w:vMerge w:val="restart"/>
            <w:shd w:val="clear" w:color="auto" w:fill="00B2A9" w:themeFill="accent1"/>
            <w:vAlign w:val="center"/>
            <w:hideMark/>
          </w:tcPr>
          <w:p w:rsidR="00C83190" w:rsidRDefault="00C83190">
            <w:pPr>
              <w:pStyle w:val="Tablecolumnhead"/>
              <w:rPr>
                <w:rFonts w:asciiTheme="majorHAnsi" w:eastAsiaTheme="majorEastAsia" w:hAnsiTheme="majorHAnsi" w:cstheme="majorBidi"/>
                <w:sz w:val="40"/>
              </w:rPr>
            </w:pPr>
            <w:r w:rsidRPr="008F0E53">
              <w:rPr>
                <w:rFonts w:eastAsia="Calibri"/>
              </w:rPr>
              <w:t>2017</w:t>
            </w:r>
          </w:p>
          <w:p w:rsidR="00C83190" w:rsidRPr="006A7B5F" w:rsidRDefault="00C83190">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C83190" w:rsidRPr="006A7B5F" w:rsidRDefault="00C83190">
            <w:pPr>
              <w:pStyle w:val="Tablecolumnhead"/>
              <w:rPr>
                <w:rFonts w:eastAsia="Calibri"/>
              </w:rPr>
            </w:pPr>
            <w:r w:rsidRPr="006A7B5F">
              <w:t xml:space="preserve">Short description of the </w:t>
            </w:r>
            <w:r>
              <w:t>Regulation</w:t>
            </w:r>
          </w:p>
        </w:tc>
        <w:tc>
          <w:tcPr>
            <w:tcW w:w="1998" w:type="dxa"/>
            <w:gridSpan w:val="5"/>
            <w:shd w:val="clear" w:color="auto" w:fill="00B2A9" w:themeFill="accent1"/>
            <w:vAlign w:val="center"/>
          </w:tcPr>
          <w:p w:rsidR="00C83190" w:rsidRPr="006A7B5F" w:rsidRDefault="00C83190">
            <w:pPr>
              <w:pStyle w:val="Tablecolumnhead"/>
            </w:pPr>
            <w:r w:rsidRPr="006A7B5F">
              <w:t>Proposed regulatory change</w:t>
            </w:r>
          </w:p>
        </w:tc>
        <w:tc>
          <w:tcPr>
            <w:tcW w:w="6327" w:type="dxa"/>
            <w:vMerge w:val="restart"/>
            <w:shd w:val="clear" w:color="auto" w:fill="00B2A9" w:themeFill="accent1"/>
            <w:vAlign w:val="center"/>
          </w:tcPr>
          <w:p w:rsidR="00C83190" w:rsidRPr="006A7B5F" w:rsidRDefault="00C83190">
            <w:pPr>
              <w:pStyle w:val="Tablecolumnhead"/>
            </w:pPr>
            <w:r w:rsidRPr="006A7B5F">
              <w:t>Why the 2017 Regulation is proposed</w:t>
            </w:r>
          </w:p>
        </w:tc>
      </w:tr>
      <w:tr w:rsidR="00B751DE" w:rsidRPr="00427EE1" w:rsidTr="006119D2">
        <w:trPr>
          <w:cantSplit/>
          <w:trHeight w:val="966"/>
          <w:tblHeader/>
        </w:trPr>
        <w:tc>
          <w:tcPr>
            <w:tcW w:w="924"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1043"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FF3262" w:rsidRPr="00427EE1" w:rsidTr="006119D2">
        <w:trPr>
          <w:cantSplit/>
          <w:trHeight w:val="340"/>
        </w:trPr>
        <w:tc>
          <w:tcPr>
            <w:tcW w:w="92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rsidP="006757E8">
            <w:pPr>
              <w:pStyle w:val="Tabletext"/>
              <w:rPr>
                <w:rFonts w:eastAsia="Calibri"/>
              </w:rPr>
            </w:pPr>
            <w:r w:rsidRPr="00427EE1">
              <w:rPr>
                <w:rFonts w:eastAsia="Calibri"/>
              </w:rPr>
              <w:t>1407</w:t>
            </w:r>
          </w:p>
        </w:tc>
        <w:tc>
          <w:tcPr>
            <w:tcW w:w="10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rsidP="006757E8">
            <w:pPr>
              <w:pStyle w:val="Tabletext"/>
              <w:rPr>
                <w:rFonts w:eastAsia="Calibri"/>
                <w:lang w:eastAsia="en-US"/>
              </w:rPr>
            </w:pPr>
            <w:r w:rsidRPr="00427EE1">
              <w:rPr>
                <w:rFonts w:eastAsia="Calibri"/>
                <w:lang w:eastAsia="en-US"/>
              </w:rPr>
              <w:t>248</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FF3262" w:rsidRPr="00427EE1" w:rsidRDefault="00FF3262">
            <w:pPr>
              <w:pStyle w:val="Tabletext"/>
              <w:rPr>
                <w:rFonts w:eastAsia="Calibri"/>
                <w:b/>
                <w:lang w:eastAsia="en-US"/>
              </w:rPr>
            </w:pPr>
            <w:r w:rsidRPr="00427EE1">
              <w:rPr>
                <w:rFonts w:eastAsia="Calibri"/>
                <w:b/>
                <w:lang w:eastAsia="en-US"/>
              </w:rPr>
              <w:t>Register of accredited products</w:t>
            </w:r>
          </w:p>
          <w:p w:rsidR="00FF3262" w:rsidRPr="00427EE1" w:rsidRDefault="0026629F">
            <w:pPr>
              <w:pStyle w:val="Tabletext"/>
              <w:rPr>
                <w:rFonts w:eastAsia="Calibri"/>
                <w:lang w:eastAsia="en-US"/>
              </w:rPr>
            </w:pPr>
            <w:r>
              <w:rPr>
                <w:rFonts w:eastAsia="Calibri"/>
                <w:lang w:eastAsia="en-US"/>
              </w:rPr>
              <w:t xml:space="preserve">Specifies </w:t>
            </w:r>
            <w:r w:rsidR="00FF3262" w:rsidRPr="00427EE1">
              <w:rPr>
                <w:rFonts w:eastAsia="Calibri"/>
                <w:lang w:eastAsia="en-US"/>
              </w:rPr>
              <w:t xml:space="preserve">that </w:t>
            </w:r>
            <w:r w:rsidR="00720C4E">
              <w:rPr>
                <w:rFonts w:eastAsia="Calibri"/>
                <w:lang w:eastAsia="en-US"/>
              </w:rPr>
              <w:t>VBA</w:t>
            </w:r>
            <w:r w:rsidR="00FF3262" w:rsidRPr="00427EE1">
              <w:rPr>
                <w:rFonts w:eastAsia="Calibri"/>
                <w:lang w:eastAsia="en-US"/>
              </w:rPr>
              <w:t xml:space="preserve"> must keep a register of all building products which have been accredited.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FF3262" w:rsidRPr="00C83190" w:rsidRDefault="00FF53B8">
            <w:pPr>
              <w:pStyle w:val="Tabletext"/>
              <w:rPr>
                <w:rFonts w:eastAsia="Calibri"/>
              </w:rPr>
            </w:pPr>
            <w:r w:rsidRPr="006119D2">
              <w:rPr>
                <w:rFonts w:eastAsia="Calibri"/>
              </w:rPr>
              <w:t xml:space="preserve">This </w:t>
            </w:r>
            <w:r w:rsidR="000273F9" w:rsidRPr="006119D2">
              <w:rPr>
                <w:rFonts w:eastAsia="Calibri"/>
              </w:rPr>
              <w:t>Regulation</w:t>
            </w:r>
            <w:r w:rsidRPr="006119D2">
              <w:rPr>
                <w:rFonts w:eastAsia="Calibri"/>
              </w:rPr>
              <w:t xml:space="preserve"> </w:t>
            </w:r>
            <w:r w:rsidR="00FF3262" w:rsidRPr="00C83190">
              <w:rPr>
                <w:rFonts w:eastAsia="Calibri"/>
              </w:rPr>
              <w:t>assist</w:t>
            </w:r>
            <w:r w:rsidRPr="00C83190">
              <w:rPr>
                <w:rFonts w:eastAsia="Calibri"/>
              </w:rPr>
              <w:t>s</w:t>
            </w:r>
            <w:r w:rsidR="00FF3262" w:rsidRPr="00C83190">
              <w:rPr>
                <w:rFonts w:eastAsia="Calibri"/>
              </w:rPr>
              <w:t xml:space="preserve"> in the administration of the register kept by </w:t>
            </w:r>
            <w:r w:rsidR="00720C4E">
              <w:rPr>
                <w:rFonts w:eastAsia="Calibri"/>
              </w:rPr>
              <w:t>VBA</w:t>
            </w:r>
            <w:r w:rsidR="00FF3262" w:rsidRPr="00C83190">
              <w:rPr>
                <w:rFonts w:eastAsia="Calibri"/>
              </w:rPr>
              <w:t xml:space="preserve">, this </w:t>
            </w:r>
            <w:r w:rsidR="000273F9" w:rsidRPr="00C83190">
              <w:rPr>
                <w:rFonts w:eastAsia="Calibri"/>
              </w:rPr>
              <w:t>Regulation</w:t>
            </w:r>
            <w:r w:rsidR="00FF3262" w:rsidRPr="00C83190">
              <w:rPr>
                <w:rFonts w:eastAsia="Calibri"/>
              </w:rPr>
              <w:t xml:space="preserve"> has been updated to specify the information that the register must contain. In the interests of increasing the availability of information to consumers, the </w:t>
            </w:r>
            <w:r w:rsidR="000273F9" w:rsidRPr="00C83190">
              <w:rPr>
                <w:rFonts w:eastAsia="Calibri"/>
              </w:rPr>
              <w:t>Regulation</w:t>
            </w:r>
            <w:r w:rsidR="00FF3262" w:rsidRPr="00C83190">
              <w:rPr>
                <w:rFonts w:eastAsia="Calibri"/>
              </w:rPr>
              <w:t xml:space="preserve"> also clarifies that access to the register is available to the public. </w:t>
            </w:r>
          </w:p>
        </w:tc>
      </w:tr>
      <w:tr w:rsidR="00FF3262" w:rsidRPr="00427EE1" w:rsidTr="006119D2">
        <w:trPr>
          <w:cantSplit/>
          <w:trHeight w:val="340"/>
        </w:trPr>
        <w:tc>
          <w:tcPr>
            <w:tcW w:w="92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rsidP="006757E8">
            <w:pPr>
              <w:pStyle w:val="Tabletext"/>
              <w:rPr>
                <w:rFonts w:eastAsia="Calibri"/>
              </w:rPr>
            </w:pPr>
            <w:r w:rsidRPr="00427EE1">
              <w:rPr>
                <w:rFonts w:eastAsia="Calibri"/>
              </w:rPr>
              <w:t>1407(b)(</w:t>
            </w:r>
            <w:proofErr w:type="spellStart"/>
            <w:r w:rsidRPr="00427EE1">
              <w:rPr>
                <w:rFonts w:eastAsia="Calibri"/>
              </w:rPr>
              <w:t>i</w:t>
            </w:r>
            <w:proofErr w:type="spellEnd"/>
            <w:r w:rsidRPr="00427EE1">
              <w:rPr>
                <w:rFonts w:eastAsia="Calibri"/>
              </w:rPr>
              <w:t>)</w:t>
            </w:r>
          </w:p>
        </w:tc>
        <w:tc>
          <w:tcPr>
            <w:tcW w:w="10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rsidP="006757E8">
            <w:pPr>
              <w:pStyle w:val="Tabletext"/>
              <w:rPr>
                <w:rFonts w:eastAsia="Calibri"/>
                <w:lang w:eastAsia="en-US"/>
              </w:rPr>
            </w:pPr>
            <w:r w:rsidRPr="00427EE1">
              <w:rPr>
                <w:rFonts w:eastAsia="Calibri"/>
                <w:lang w:eastAsia="en-US"/>
              </w:rPr>
              <w:t>249</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FF3262" w:rsidRPr="00427EE1" w:rsidRDefault="00FF3262">
            <w:pPr>
              <w:pStyle w:val="Tabletext"/>
              <w:rPr>
                <w:rFonts w:eastAsia="Calibri"/>
                <w:b/>
                <w:lang w:eastAsia="en-US"/>
              </w:rPr>
            </w:pPr>
            <w:r w:rsidRPr="00427EE1">
              <w:rPr>
                <w:rFonts w:eastAsia="Calibri"/>
                <w:b/>
                <w:lang w:eastAsia="en-US"/>
              </w:rPr>
              <w:t>Notice of accreditation</w:t>
            </w:r>
          </w:p>
          <w:p w:rsidR="00FF3262" w:rsidRPr="00427EE1" w:rsidRDefault="002E244C">
            <w:pPr>
              <w:pStyle w:val="Tabletext"/>
              <w:rPr>
                <w:rFonts w:eastAsia="Calibri"/>
                <w:lang w:eastAsia="en-US"/>
              </w:rPr>
            </w:pPr>
            <w:r>
              <w:rPr>
                <w:rFonts w:eastAsia="Calibri"/>
                <w:lang w:eastAsia="en-US"/>
              </w:rPr>
              <w:t xml:space="preserve">Provides </w:t>
            </w:r>
            <w:r w:rsidR="00FF3262" w:rsidRPr="00427EE1">
              <w:rPr>
                <w:rFonts w:eastAsia="Calibri"/>
                <w:lang w:eastAsia="en-US"/>
              </w:rPr>
              <w:t xml:space="preserve">an obligation on </w:t>
            </w:r>
            <w:r w:rsidR="00720C4E">
              <w:rPr>
                <w:rFonts w:eastAsia="Calibri"/>
                <w:lang w:eastAsia="en-US"/>
              </w:rPr>
              <w:t>VBA</w:t>
            </w:r>
            <w:r w:rsidR="00FF3262" w:rsidRPr="00427EE1">
              <w:rPr>
                <w:rFonts w:eastAsia="Calibri"/>
                <w:lang w:eastAsia="en-US"/>
              </w:rPr>
              <w:t xml:space="preserve"> to publish notice of building product accreditation in the </w:t>
            </w:r>
            <w:r w:rsidR="00AC1A59" w:rsidRPr="00AC1A59">
              <w:rPr>
                <w:rFonts w:eastAsia="Calibri"/>
                <w:i/>
                <w:szCs w:val="20"/>
                <w:lang w:eastAsia="en-US"/>
              </w:rPr>
              <w:t>Victorian Government Gazette</w:t>
            </w:r>
            <w:r w:rsidR="00FF3262" w:rsidRPr="00427EE1">
              <w:rPr>
                <w:rFonts w:eastAsia="Calibri"/>
                <w:lang w:eastAsia="en-US"/>
              </w:rPr>
              <w:t xml:space="preserve">.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C83190" w:rsidRDefault="00BB3A66">
            <w:pPr>
              <w:pStyle w:val="Tabletext"/>
              <w:rPr>
                <w:rFonts w:eastAsia="Calibri"/>
              </w:rPr>
            </w:pPr>
            <w:r w:rsidRPr="006119D2">
              <w:rPr>
                <w:rFonts w:eastAsia="Calibri"/>
              </w:rPr>
              <w:t xml:space="preserve">This </w:t>
            </w:r>
            <w:r w:rsidR="000273F9" w:rsidRPr="006119D2">
              <w:rPr>
                <w:rFonts w:eastAsia="Calibri"/>
              </w:rPr>
              <w:t>Regulation</w:t>
            </w:r>
            <w:r w:rsidRPr="006119D2">
              <w:rPr>
                <w:rFonts w:eastAsia="Calibri"/>
              </w:rPr>
              <w:t xml:space="preserve"> has been updated to contain the </w:t>
            </w:r>
            <w:r w:rsidRPr="00C83190">
              <w:rPr>
                <w:rFonts w:eastAsia="Calibri"/>
              </w:rPr>
              <w:t xml:space="preserve">existing obligation for </w:t>
            </w:r>
            <w:r w:rsidR="00720C4E">
              <w:rPr>
                <w:rFonts w:eastAsia="Calibri"/>
              </w:rPr>
              <w:t>VBA</w:t>
            </w:r>
            <w:r w:rsidRPr="00C83190">
              <w:rPr>
                <w:rFonts w:eastAsia="Calibri"/>
              </w:rPr>
              <w:t xml:space="preserve"> to publish building product accreditations. It has been relocated to a separate </w:t>
            </w:r>
            <w:r w:rsidR="000273F9" w:rsidRPr="00C83190">
              <w:rPr>
                <w:rFonts w:eastAsia="Calibri"/>
              </w:rPr>
              <w:t>Regulation</w:t>
            </w:r>
            <w:r w:rsidRPr="00C83190">
              <w:rPr>
                <w:rFonts w:eastAsia="Calibri"/>
              </w:rPr>
              <w:t xml:space="preserve"> for ease of reference. </w:t>
            </w:r>
            <w:r w:rsidR="00FF3262" w:rsidRPr="00C83190">
              <w:rPr>
                <w:rFonts w:eastAsia="Calibri"/>
              </w:rPr>
              <w:t xml:space="preserve">Updating the requirement to prescribe the information that must be published provides transparent information to consumers and consistency with the national accreditation framework. </w:t>
            </w:r>
          </w:p>
        </w:tc>
      </w:tr>
      <w:tr w:rsidR="00FF3262" w:rsidRPr="00427EE1" w:rsidTr="006119D2">
        <w:trPr>
          <w:cantSplit/>
          <w:trHeight w:val="340"/>
        </w:trPr>
        <w:tc>
          <w:tcPr>
            <w:tcW w:w="92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rsidP="006757E8">
            <w:pPr>
              <w:pStyle w:val="Tabletext"/>
              <w:rPr>
                <w:rFonts w:eastAsia="Calibri"/>
              </w:rPr>
            </w:pPr>
            <w:r w:rsidRPr="00427EE1">
              <w:rPr>
                <w:rFonts w:eastAsia="Calibri"/>
              </w:rPr>
              <w:t>1407(b)(ii)</w:t>
            </w:r>
          </w:p>
        </w:tc>
        <w:tc>
          <w:tcPr>
            <w:tcW w:w="10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rsidP="006757E8">
            <w:pPr>
              <w:pStyle w:val="Tabletext"/>
              <w:rPr>
                <w:rFonts w:eastAsia="Calibri"/>
                <w:lang w:eastAsia="en-US"/>
              </w:rPr>
            </w:pPr>
            <w:r w:rsidRPr="00427EE1">
              <w:rPr>
                <w:rFonts w:eastAsia="Calibri"/>
                <w:lang w:eastAsia="en-US"/>
              </w:rPr>
              <w:t>250</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D615BC" w:rsidRPr="00427EE1" w:rsidRDefault="00FF3262">
            <w:pPr>
              <w:pStyle w:val="Tabletext"/>
              <w:rPr>
                <w:rFonts w:eastAsia="Calibri"/>
                <w:b/>
                <w:lang w:eastAsia="en-US"/>
              </w:rPr>
            </w:pPr>
            <w:r w:rsidRPr="00427EE1">
              <w:rPr>
                <w:rFonts w:eastAsia="Calibri"/>
                <w:b/>
                <w:lang w:eastAsia="en-US"/>
              </w:rPr>
              <w:t>Notice of revocation of accreditation</w:t>
            </w:r>
          </w:p>
          <w:p w:rsidR="00FF3262" w:rsidRPr="00427EE1" w:rsidRDefault="002E244C">
            <w:pPr>
              <w:pStyle w:val="Tabletext"/>
              <w:rPr>
                <w:rFonts w:eastAsia="Calibri"/>
                <w:lang w:eastAsia="en-US"/>
              </w:rPr>
            </w:pPr>
            <w:r>
              <w:rPr>
                <w:rFonts w:eastAsia="Calibri"/>
                <w:lang w:eastAsia="en-US"/>
              </w:rPr>
              <w:t xml:space="preserve">Provides </w:t>
            </w:r>
            <w:r w:rsidR="00FF3262" w:rsidRPr="00427EE1">
              <w:rPr>
                <w:rFonts w:eastAsia="Calibri"/>
                <w:lang w:eastAsia="en-US"/>
              </w:rPr>
              <w:t xml:space="preserve">an obligation on </w:t>
            </w:r>
            <w:r w:rsidR="00720C4E">
              <w:rPr>
                <w:rFonts w:eastAsia="Calibri"/>
                <w:lang w:eastAsia="en-US"/>
              </w:rPr>
              <w:t>VBA</w:t>
            </w:r>
            <w:r w:rsidR="00FF3262" w:rsidRPr="00427EE1">
              <w:rPr>
                <w:rFonts w:eastAsia="Calibri"/>
                <w:lang w:eastAsia="en-US"/>
              </w:rPr>
              <w:t xml:space="preserve"> to publish notice of building product accreditations that have been revoked in the </w:t>
            </w:r>
            <w:r w:rsidR="00AC1A59" w:rsidRPr="00AC1A59">
              <w:rPr>
                <w:rFonts w:eastAsia="Calibri"/>
                <w:i/>
                <w:szCs w:val="20"/>
                <w:lang w:eastAsia="en-US"/>
              </w:rPr>
              <w:t>Victorian Government Gazette</w:t>
            </w:r>
            <w:r w:rsidR="00FF3262" w:rsidRPr="00427EE1">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pStyle w:val="Tabletext"/>
              <w:rPr>
                <w:rFonts w:eastAsia="Calibri"/>
              </w:rPr>
            </w:pPr>
            <w:r w:rsidRPr="00427EE1">
              <w:rPr>
                <w:rFonts w:eastAsia="Calibri"/>
              </w:rPr>
              <w:t xml:space="preserve">The existing obligation for </w:t>
            </w:r>
            <w:r w:rsidR="00720C4E">
              <w:rPr>
                <w:rFonts w:eastAsia="Calibri"/>
              </w:rPr>
              <w:t>VBA</w:t>
            </w:r>
            <w:r w:rsidRPr="00427EE1">
              <w:rPr>
                <w:rFonts w:eastAsia="Calibri"/>
              </w:rPr>
              <w:t xml:space="preserve"> to publish building product accreditations that have been revoked has been relocated to a separate </w:t>
            </w:r>
            <w:r w:rsidR="000273F9">
              <w:rPr>
                <w:rFonts w:eastAsia="Calibri"/>
              </w:rPr>
              <w:t>Regulation</w:t>
            </w:r>
            <w:r w:rsidRPr="00427EE1">
              <w:rPr>
                <w:rFonts w:eastAsia="Calibri"/>
              </w:rPr>
              <w:t xml:space="preserve"> for ease of reference. Updating the requirement to prescribe the information that must be published ensures transparency of process and information to consumers.</w:t>
            </w:r>
          </w:p>
        </w:tc>
      </w:tr>
      <w:tr w:rsidR="00FF3262" w:rsidRPr="00427EE1" w:rsidTr="006119D2">
        <w:trPr>
          <w:cantSplit/>
          <w:trHeight w:val="340"/>
        </w:trPr>
        <w:tc>
          <w:tcPr>
            <w:tcW w:w="924"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rsidP="006757E8">
            <w:pPr>
              <w:pStyle w:val="Tabletext"/>
              <w:rPr>
                <w:rFonts w:eastAsia="Calibri"/>
              </w:rPr>
            </w:pPr>
            <w:r w:rsidRPr="00427EE1">
              <w:rPr>
                <w:rFonts w:eastAsia="Calibri"/>
              </w:rPr>
              <w:lastRenderedPageBreak/>
              <w:t>1409</w:t>
            </w:r>
          </w:p>
        </w:tc>
        <w:tc>
          <w:tcPr>
            <w:tcW w:w="10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rsidP="006757E8">
            <w:pPr>
              <w:pStyle w:val="Tabletext"/>
              <w:rPr>
                <w:rFonts w:eastAsia="Calibri"/>
                <w:lang w:eastAsia="en-US"/>
              </w:rPr>
            </w:pPr>
            <w:r w:rsidRPr="00427EE1">
              <w:rPr>
                <w:rFonts w:eastAsia="Calibri"/>
                <w:lang w:eastAsia="en-US"/>
              </w:rPr>
              <w:t>251</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FF3262" w:rsidRPr="00427EE1" w:rsidRDefault="00FF3262">
            <w:pPr>
              <w:pStyle w:val="Tabletext"/>
              <w:rPr>
                <w:rFonts w:eastAsia="Calibri"/>
                <w:b/>
                <w:lang w:eastAsia="en-US"/>
              </w:rPr>
            </w:pPr>
            <w:r w:rsidRPr="00427EE1">
              <w:rPr>
                <w:rFonts w:eastAsia="Calibri"/>
                <w:b/>
                <w:lang w:eastAsia="en-US"/>
              </w:rPr>
              <w:t>Records</w:t>
            </w:r>
          </w:p>
          <w:p w:rsidR="00FF3262" w:rsidRPr="00427EE1" w:rsidRDefault="002E244C">
            <w:pPr>
              <w:pStyle w:val="Tabletext"/>
              <w:rPr>
                <w:rFonts w:eastAsia="Calibri"/>
                <w:lang w:eastAsia="en-US"/>
              </w:rPr>
            </w:pPr>
            <w:r>
              <w:rPr>
                <w:rFonts w:eastAsia="Calibri"/>
                <w:lang w:eastAsia="en-US"/>
              </w:rPr>
              <w:t xml:space="preserve">Provides </w:t>
            </w:r>
            <w:r w:rsidR="0023395A">
              <w:rPr>
                <w:rFonts w:eastAsia="Calibri"/>
                <w:lang w:eastAsia="en-US"/>
              </w:rPr>
              <w:t>record-keeping</w:t>
            </w:r>
            <w:r w:rsidR="00FF3262" w:rsidRPr="00427EE1">
              <w:rPr>
                <w:rFonts w:eastAsia="Calibri"/>
                <w:lang w:eastAsia="en-US"/>
              </w:rPr>
              <w:t xml:space="preserve"> requirements of </w:t>
            </w:r>
            <w:r w:rsidR="00720C4E">
              <w:rPr>
                <w:rFonts w:eastAsia="Calibri"/>
                <w:lang w:eastAsia="en-US"/>
              </w:rPr>
              <w:t>VBA</w:t>
            </w:r>
            <w:r w:rsidR="00FF3262" w:rsidRPr="00427EE1">
              <w:rPr>
                <w:rFonts w:eastAsia="Calibri"/>
                <w:lang w:eastAsia="en-US"/>
              </w:rPr>
              <w:t xml:space="preserve"> in relation to the accreditation of building products.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FF3262" w:rsidRPr="00427EE1" w:rsidRDefault="00FF3262" w:rsidP="008915F8">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has been strengthened to provide that </w:t>
            </w:r>
            <w:r w:rsidR="00720C4E">
              <w:rPr>
                <w:rFonts w:eastAsia="Calibri"/>
              </w:rPr>
              <w:t>VBA</w:t>
            </w:r>
            <w:r w:rsidRPr="00427EE1">
              <w:rPr>
                <w:rFonts w:eastAsia="Calibri"/>
              </w:rPr>
              <w:t xml:space="preserve"> must retain copies of all certificates of accreditation issued by the Building </w:t>
            </w:r>
            <w:r w:rsidR="008915F8">
              <w:rPr>
                <w:rFonts w:eastAsia="Calibri"/>
              </w:rPr>
              <w:t>Regulations</w:t>
            </w:r>
            <w:r w:rsidRPr="00427EE1">
              <w:rPr>
                <w:rFonts w:eastAsia="Calibri"/>
              </w:rPr>
              <w:t xml:space="preserve"> Advisory Committee, to assist administrative processes. </w:t>
            </w:r>
          </w:p>
        </w:tc>
      </w:tr>
    </w:tbl>
    <w:p w:rsidR="001F2AFD" w:rsidRPr="00427EE1" w:rsidRDefault="001F2AFD" w:rsidP="006757E8"/>
    <w:p w:rsidR="00D615BC" w:rsidRPr="00427EE1" w:rsidRDefault="004267C5" w:rsidP="006119D2">
      <w:pPr>
        <w:pStyle w:val="Heading3"/>
      </w:pPr>
      <w:bookmarkStart w:id="192" w:name="_Toc481501613"/>
      <w:r>
        <w:t xml:space="preserve">Pt </w:t>
      </w:r>
      <w:r w:rsidR="00B751DE" w:rsidRPr="00427EE1">
        <w:t>19</w:t>
      </w:r>
      <w:r w:rsidR="008475D9">
        <w:t>—</w:t>
      </w:r>
      <w:r w:rsidR="00B751DE" w:rsidRPr="00427EE1">
        <w:t>Building practitioners</w:t>
      </w:r>
      <w:bookmarkEnd w:id="192"/>
    </w:p>
    <w:p w:rsidR="00AC4E58" w:rsidRPr="00427EE1" w:rsidRDefault="00EF2008" w:rsidP="006119D2">
      <w:pPr>
        <w:pStyle w:val="Heading4"/>
      </w:pPr>
      <w:proofErr w:type="spellStart"/>
      <w:r>
        <w:t>Div</w:t>
      </w:r>
      <w:proofErr w:type="spellEnd"/>
      <w:r w:rsidR="00B751DE" w:rsidRPr="00427EE1">
        <w:t xml:space="preserve"> 1</w:t>
      </w:r>
      <w:r w:rsidR="008475D9">
        <w:t>—</w:t>
      </w:r>
      <w:r w:rsidR="00B751DE" w:rsidRPr="00427EE1">
        <w:t>Appointment of private building surveyor</w:t>
      </w:r>
    </w:p>
    <w:tbl>
      <w:tblPr>
        <w:tblW w:w="14549" w:type="dxa"/>
        <w:tblInd w:w="-172"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52"/>
        <w:gridCol w:w="1029"/>
        <w:gridCol w:w="4243"/>
        <w:gridCol w:w="399"/>
        <w:gridCol w:w="399"/>
        <w:gridCol w:w="402"/>
        <w:gridCol w:w="400"/>
        <w:gridCol w:w="398"/>
        <w:gridCol w:w="6327"/>
      </w:tblGrid>
      <w:tr w:rsidR="00C83190" w:rsidRPr="00427EE1" w:rsidTr="006119D2">
        <w:trPr>
          <w:cantSplit/>
          <w:trHeight w:val="54"/>
          <w:tblHeader/>
        </w:trPr>
        <w:tc>
          <w:tcPr>
            <w:tcW w:w="952" w:type="dxa"/>
            <w:vMerge w:val="restart"/>
            <w:shd w:val="clear" w:color="auto" w:fill="00B2A9" w:themeFill="accent1"/>
            <w:vAlign w:val="center"/>
            <w:hideMark/>
          </w:tcPr>
          <w:p w:rsidR="00C83190" w:rsidRDefault="00C83190">
            <w:pPr>
              <w:pStyle w:val="Tablecolumnhead"/>
              <w:rPr>
                <w:rFonts w:asciiTheme="majorHAnsi" w:eastAsia="Calibri" w:hAnsiTheme="majorHAnsi" w:cstheme="majorBidi"/>
                <w:sz w:val="40"/>
              </w:rPr>
            </w:pPr>
            <w:r w:rsidRPr="00BE72D7">
              <w:rPr>
                <w:rFonts w:eastAsia="Calibri"/>
              </w:rPr>
              <w:t>2006</w:t>
            </w:r>
          </w:p>
          <w:p w:rsidR="00C83190" w:rsidRPr="006A7B5F" w:rsidRDefault="00C83190">
            <w:pPr>
              <w:pStyle w:val="Tablecolumnhead"/>
              <w:rPr>
                <w:rFonts w:eastAsia="Calibri"/>
              </w:rPr>
            </w:pPr>
            <w:r w:rsidRPr="00C44680">
              <w:rPr>
                <w:rFonts w:ascii="Arial Bold" w:eastAsia="Calibri" w:hAnsi="Arial Bold"/>
                <w:spacing w:val="-12"/>
                <w:sz w:val="16"/>
              </w:rPr>
              <w:t>Regulation</w:t>
            </w:r>
          </w:p>
        </w:tc>
        <w:tc>
          <w:tcPr>
            <w:tcW w:w="1029" w:type="dxa"/>
            <w:vMerge w:val="restart"/>
            <w:shd w:val="clear" w:color="auto" w:fill="00B2A9" w:themeFill="accent1"/>
            <w:vAlign w:val="center"/>
            <w:hideMark/>
          </w:tcPr>
          <w:p w:rsidR="00C83190" w:rsidRDefault="00C83190">
            <w:pPr>
              <w:pStyle w:val="Tablecolumnhead"/>
              <w:rPr>
                <w:rFonts w:asciiTheme="majorHAnsi" w:eastAsiaTheme="majorEastAsia" w:hAnsiTheme="majorHAnsi" w:cstheme="majorBidi"/>
                <w:sz w:val="40"/>
              </w:rPr>
            </w:pPr>
            <w:r w:rsidRPr="008F0E53">
              <w:rPr>
                <w:rFonts w:eastAsia="Calibri"/>
              </w:rPr>
              <w:t>2017</w:t>
            </w:r>
          </w:p>
          <w:p w:rsidR="00C83190" w:rsidRPr="006A7B5F" w:rsidRDefault="00C83190">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C83190" w:rsidRPr="006A7B5F" w:rsidRDefault="00C83190">
            <w:pPr>
              <w:pStyle w:val="Tablecolumnhead"/>
              <w:rPr>
                <w:rFonts w:eastAsia="Calibri"/>
              </w:rPr>
            </w:pPr>
            <w:r w:rsidRPr="006A7B5F">
              <w:rPr>
                <w:szCs w:val="22"/>
              </w:rPr>
              <w:t xml:space="preserve">Short description of the </w:t>
            </w:r>
            <w:r>
              <w:rPr>
                <w:szCs w:val="22"/>
              </w:rPr>
              <w:t>Regulation</w:t>
            </w:r>
          </w:p>
        </w:tc>
        <w:tc>
          <w:tcPr>
            <w:tcW w:w="1998" w:type="dxa"/>
            <w:gridSpan w:val="5"/>
            <w:shd w:val="clear" w:color="auto" w:fill="00B2A9" w:themeFill="accent1"/>
            <w:vAlign w:val="center"/>
          </w:tcPr>
          <w:p w:rsidR="00C83190" w:rsidRPr="006A7B5F" w:rsidRDefault="00C83190">
            <w:pPr>
              <w:pStyle w:val="Tablecolumnhead"/>
            </w:pPr>
            <w:r w:rsidRPr="006A7B5F">
              <w:rPr>
                <w:szCs w:val="22"/>
              </w:rPr>
              <w:t>Proposed regulatory change</w:t>
            </w:r>
          </w:p>
        </w:tc>
        <w:tc>
          <w:tcPr>
            <w:tcW w:w="6327" w:type="dxa"/>
            <w:vMerge w:val="restart"/>
            <w:shd w:val="clear" w:color="auto" w:fill="00B2A9" w:themeFill="accent1"/>
            <w:vAlign w:val="center"/>
          </w:tcPr>
          <w:p w:rsidR="00C83190" w:rsidRPr="006A7B5F" w:rsidRDefault="00C83190">
            <w:pPr>
              <w:pStyle w:val="Tablecolumnhead"/>
            </w:pPr>
            <w:r w:rsidRPr="006A7B5F">
              <w:rPr>
                <w:szCs w:val="22"/>
              </w:rPr>
              <w:t>Why the 2017 Regulation is proposed</w:t>
            </w:r>
          </w:p>
        </w:tc>
      </w:tr>
      <w:tr w:rsidR="00B751DE" w:rsidRPr="00427EE1" w:rsidTr="006119D2">
        <w:trPr>
          <w:cantSplit/>
          <w:trHeight w:val="966"/>
          <w:tblHeader/>
        </w:trPr>
        <w:tc>
          <w:tcPr>
            <w:tcW w:w="952"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1029"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B751DE" w:rsidRPr="00427EE1" w:rsidTr="006119D2">
        <w:trPr>
          <w:cantSplit/>
          <w:trHeight w:val="340"/>
        </w:trPr>
        <w:tc>
          <w:tcPr>
            <w:tcW w:w="95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1504</w:t>
            </w:r>
          </w:p>
        </w:tc>
        <w:tc>
          <w:tcPr>
            <w:tcW w:w="102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252</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B751DE" w:rsidRPr="00427EE1" w:rsidRDefault="00B751DE">
            <w:pPr>
              <w:pStyle w:val="Tabletext"/>
              <w:rPr>
                <w:rFonts w:eastAsia="Calibri"/>
                <w:b/>
                <w:lang w:eastAsia="en-US"/>
              </w:rPr>
            </w:pPr>
            <w:r w:rsidRPr="00427EE1">
              <w:rPr>
                <w:rFonts w:eastAsia="Calibri"/>
                <w:b/>
                <w:lang w:eastAsia="en-US"/>
              </w:rPr>
              <w:t xml:space="preserve">Period for which </w:t>
            </w:r>
            <w:r w:rsidR="00C85843">
              <w:rPr>
                <w:rFonts w:eastAsia="Calibri"/>
                <w:b/>
                <w:lang w:eastAsia="en-US"/>
              </w:rPr>
              <w:t>PBS</w:t>
            </w:r>
            <w:r w:rsidRPr="00427EE1">
              <w:rPr>
                <w:rFonts w:eastAsia="Calibri"/>
                <w:b/>
                <w:lang w:eastAsia="en-US"/>
              </w:rPr>
              <w:t xml:space="preserve"> may not act</w:t>
            </w:r>
          </w:p>
          <w:p w:rsidR="00B751DE" w:rsidRPr="00427EE1" w:rsidRDefault="0026629F">
            <w:pPr>
              <w:pStyle w:val="Tabletext"/>
              <w:rPr>
                <w:rFonts w:eastAsia="Calibri"/>
                <w:lang w:eastAsia="en-US"/>
              </w:rPr>
            </w:pPr>
            <w:r>
              <w:rPr>
                <w:rFonts w:eastAsia="Calibri"/>
                <w:lang w:eastAsia="en-US"/>
              </w:rPr>
              <w:t xml:space="preserve">Specifies </w:t>
            </w:r>
            <w:r w:rsidR="00CB1480" w:rsidRPr="00427EE1">
              <w:rPr>
                <w:rFonts w:eastAsia="Calibri"/>
                <w:lang w:eastAsia="en-US"/>
              </w:rPr>
              <w:t xml:space="preserve">the period for which a </w:t>
            </w:r>
            <w:r w:rsidR="00C85843">
              <w:rPr>
                <w:rFonts w:eastAsia="Calibri"/>
                <w:lang w:eastAsia="en-US"/>
              </w:rPr>
              <w:t>PBS</w:t>
            </w:r>
            <w:r w:rsidR="00CB1480" w:rsidRPr="00427EE1">
              <w:rPr>
                <w:rFonts w:eastAsia="Calibri"/>
                <w:lang w:eastAsia="en-US"/>
              </w:rPr>
              <w:t xml:space="preserve"> may not act.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pStyle w:val="Tabletext"/>
              <w:rPr>
                <w:rFonts w:eastAsia="Calibri"/>
                <w:lang w:eastAsia="en-US"/>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continues to prescribe a period of 1 year to give effect to </w:t>
            </w:r>
            <w:r w:rsidR="0023395A">
              <w:rPr>
                <w:rFonts w:eastAsia="Calibri"/>
                <w:lang w:eastAsia="en-US"/>
              </w:rPr>
              <w:t xml:space="preserve">s </w:t>
            </w:r>
            <w:r w:rsidRPr="00427EE1">
              <w:rPr>
                <w:rFonts w:eastAsia="Calibri"/>
                <w:lang w:eastAsia="en-US"/>
              </w:rPr>
              <w:t xml:space="preserve">79(1)(b) of the Act, assisting in preventing </w:t>
            </w:r>
            <w:r w:rsidR="00C85843">
              <w:rPr>
                <w:rFonts w:eastAsia="Calibri"/>
                <w:lang w:eastAsia="en-US"/>
              </w:rPr>
              <w:t>PBS</w:t>
            </w:r>
            <w:r w:rsidRPr="00427EE1">
              <w:rPr>
                <w:rFonts w:eastAsia="Calibri"/>
                <w:lang w:eastAsia="en-US"/>
              </w:rPr>
              <w:t xml:space="preserve"> conflicts of interest. </w:t>
            </w:r>
          </w:p>
        </w:tc>
      </w:tr>
    </w:tbl>
    <w:p w:rsidR="00B751DE" w:rsidRPr="00427EE1" w:rsidRDefault="00B751DE" w:rsidP="006757E8"/>
    <w:p w:rsidR="00B30389" w:rsidRDefault="00B30389">
      <w:pPr>
        <w:spacing w:after="0"/>
        <w:rPr>
          <w:rFonts w:asciiTheme="majorHAnsi" w:eastAsiaTheme="majorEastAsia" w:hAnsiTheme="majorHAnsi" w:cstheme="majorBidi"/>
          <w:b/>
          <w:bCs/>
          <w:i/>
          <w:iCs/>
          <w:color w:val="00B2A9" w:themeColor="accent1"/>
          <w:sz w:val="22"/>
        </w:rPr>
      </w:pPr>
      <w:r>
        <w:br w:type="page"/>
      </w:r>
    </w:p>
    <w:p w:rsidR="00AC4E58" w:rsidRPr="00427EE1" w:rsidRDefault="00EF2008" w:rsidP="006119D2">
      <w:pPr>
        <w:pStyle w:val="Heading4"/>
      </w:pPr>
      <w:proofErr w:type="spellStart"/>
      <w:r>
        <w:lastRenderedPageBreak/>
        <w:t>Div</w:t>
      </w:r>
      <w:proofErr w:type="spellEnd"/>
      <w:r w:rsidR="00B751DE" w:rsidRPr="00427EE1">
        <w:t xml:space="preserve"> 2</w:t>
      </w:r>
      <w:r w:rsidR="008475D9">
        <w:t>—</w:t>
      </w:r>
      <w:r w:rsidR="00B751DE" w:rsidRPr="00427EE1">
        <w:t>Registration</w:t>
      </w:r>
    </w:p>
    <w:p w:rsidR="00B751DE" w:rsidRPr="00427EE1" w:rsidRDefault="00EF2008" w:rsidP="006119D2">
      <w:pPr>
        <w:pStyle w:val="Heading5"/>
      </w:pPr>
      <w:r>
        <w:t>Sub-div</w:t>
      </w:r>
      <w:r w:rsidR="00B751DE" w:rsidRPr="00427EE1">
        <w:t xml:space="preserve"> 1</w:t>
      </w:r>
      <w:r w:rsidR="008475D9">
        <w:t>—</w:t>
      </w:r>
      <w:r w:rsidR="00B751DE" w:rsidRPr="00427EE1">
        <w:t>Initial application for registration</w:t>
      </w:r>
    </w:p>
    <w:tbl>
      <w:tblPr>
        <w:tblW w:w="14549" w:type="dxa"/>
        <w:tblInd w:w="-172"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38"/>
        <w:gridCol w:w="1043"/>
        <w:gridCol w:w="4243"/>
        <w:gridCol w:w="399"/>
        <w:gridCol w:w="399"/>
        <w:gridCol w:w="402"/>
        <w:gridCol w:w="400"/>
        <w:gridCol w:w="398"/>
        <w:gridCol w:w="6327"/>
      </w:tblGrid>
      <w:tr w:rsidR="00C83190" w:rsidRPr="00427EE1" w:rsidTr="006119D2">
        <w:trPr>
          <w:cantSplit/>
          <w:trHeight w:val="272"/>
          <w:tblHeader/>
        </w:trPr>
        <w:tc>
          <w:tcPr>
            <w:tcW w:w="938" w:type="dxa"/>
            <w:vMerge w:val="restart"/>
            <w:shd w:val="clear" w:color="auto" w:fill="00B2A9" w:themeFill="accent1"/>
            <w:vAlign w:val="center"/>
            <w:hideMark/>
          </w:tcPr>
          <w:p w:rsidR="00C83190" w:rsidRDefault="00C83190">
            <w:pPr>
              <w:pStyle w:val="Tablecolumnhead"/>
              <w:rPr>
                <w:rFonts w:asciiTheme="majorHAnsi" w:eastAsia="Calibri" w:hAnsiTheme="majorHAnsi" w:cstheme="majorBidi"/>
                <w:sz w:val="40"/>
              </w:rPr>
            </w:pPr>
            <w:r w:rsidRPr="00BE72D7">
              <w:rPr>
                <w:rFonts w:eastAsia="Calibri"/>
              </w:rPr>
              <w:t>2006</w:t>
            </w:r>
          </w:p>
          <w:p w:rsidR="00C83190" w:rsidRPr="006A7B5F" w:rsidRDefault="00C83190">
            <w:pPr>
              <w:pStyle w:val="Tablecolumnhead"/>
              <w:rPr>
                <w:rFonts w:eastAsia="Calibri"/>
              </w:rPr>
            </w:pPr>
            <w:r w:rsidRPr="00C44680">
              <w:rPr>
                <w:rFonts w:ascii="Arial Bold" w:eastAsia="Calibri" w:hAnsi="Arial Bold"/>
                <w:spacing w:val="-12"/>
                <w:sz w:val="16"/>
              </w:rPr>
              <w:t>Regulation</w:t>
            </w:r>
          </w:p>
        </w:tc>
        <w:tc>
          <w:tcPr>
            <w:tcW w:w="1043" w:type="dxa"/>
            <w:vMerge w:val="restart"/>
            <w:shd w:val="clear" w:color="auto" w:fill="00B2A9" w:themeFill="accent1"/>
            <w:vAlign w:val="center"/>
            <w:hideMark/>
          </w:tcPr>
          <w:p w:rsidR="00C83190" w:rsidRDefault="00C83190">
            <w:pPr>
              <w:pStyle w:val="Tablecolumnhead"/>
              <w:rPr>
                <w:rFonts w:asciiTheme="majorHAnsi" w:eastAsiaTheme="majorEastAsia" w:hAnsiTheme="majorHAnsi" w:cstheme="majorBidi"/>
                <w:sz w:val="40"/>
              </w:rPr>
            </w:pPr>
            <w:r w:rsidRPr="008F0E53">
              <w:rPr>
                <w:rFonts w:eastAsia="Calibri"/>
              </w:rPr>
              <w:t>2017</w:t>
            </w:r>
          </w:p>
          <w:p w:rsidR="00C83190" w:rsidRPr="006A7B5F" w:rsidRDefault="00C83190">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C83190" w:rsidRPr="006A7B5F" w:rsidRDefault="00C83190">
            <w:pPr>
              <w:pStyle w:val="Tablecolumnhead"/>
              <w:rPr>
                <w:rFonts w:eastAsia="Calibri"/>
              </w:rPr>
            </w:pPr>
            <w:r w:rsidRPr="006A7B5F">
              <w:rPr>
                <w:szCs w:val="22"/>
              </w:rPr>
              <w:t xml:space="preserve">Short description of the </w:t>
            </w:r>
            <w:r>
              <w:rPr>
                <w:szCs w:val="22"/>
              </w:rPr>
              <w:t>Regulation</w:t>
            </w:r>
          </w:p>
        </w:tc>
        <w:tc>
          <w:tcPr>
            <w:tcW w:w="1998" w:type="dxa"/>
            <w:gridSpan w:val="5"/>
            <w:shd w:val="clear" w:color="auto" w:fill="00B2A9" w:themeFill="accent1"/>
            <w:vAlign w:val="center"/>
          </w:tcPr>
          <w:p w:rsidR="00C83190" w:rsidRPr="006A7B5F" w:rsidRDefault="00C83190">
            <w:pPr>
              <w:pStyle w:val="Tablecolumnhead"/>
            </w:pPr>
            <w:r w:rsidRPr="006A7B5F">
              <w:rPr>
                <w:szCs w:val="22"/>
              </w:rPr>
              <w:t>Proposed regulatory change</w:t>
            </w:r>
          </w:p>
        </w:tc>
        <w:tc>
          <w:tcPr>
            <w:tcW w:w="6327" w:type="dxa"/>
            <w:vMerge w:val="restart"/>
            <w:shd w:val="clear" w:color="auto" w:fill="00B2A9" w:themeFill="accent1"/>
            <w:vAlign w:val="center"/>
          </w:tcPr>
          <w:p w:rsidR="00C83190" w:rsidRPr="006A7B5F" w:rsidRDefault="00C83190">
            <w:pPr>
              <w:pStyle w:val="Tablecolumnhead"/>
            </w:pPr>
            <w:r w:rsidRPr="006A7B5F">
              <w:rPr>
                <w:szCs w:val="22"/>
              </w:rPr>
              <w:t>Why the 2017 Regulation is proposed</w:t>
            </w:r>
          </w:p>
        </w:tc>
      </w:tr>
      <w:tr w:rsidR="00B751DE" w:rsidRPr="00427EE1" w:rsidTr="006119D2">
        <w:trPr>
          <w:cantSplit/>
          <w:trHeight w:val="966"/>
          <w:tblHeader/>
        </w:trPr>
        <w:tc>
          <w:tcPr>
            <w:tcW w:w="938"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1043"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CB1480" w:rsidRPr="00427EE1" w:rsidTr="006119D2">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rsidP="006757E8">
            <w:pPr>
              <w:pStyle w:val="Tabletext"/>
              <w:rPr>
                <w:rFonts w:eastAsia="Calibri"/>
              </w:rPr>
            </w:pPr>
            <w:r w:rsidRPr="00427EE1">
              <w:rPr>
                <w:rFonts w:eastAsia="Calibri"/>
              </w:rPr>
              <w:t>n/a</w:t>
            </w:r>
          </w:p>
        </w:tc>
        <w:tc>
          <w:tcPr>
            <w:tcW w:w="10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rsidP="006757E8">
            <w:pPr>
              <w:pStyle w:val="Tabletext"/>
              <w:rPr>
                <w:rFonts w:eastAsia="Calibri"/>
                <w:lang w:eastAsia="en-US"/>
              </w:rPr>
            </w:pPr>
            <w:r w:rsidRPr="00427EE1">
              <w:rPr>
                <w:rFonts w:eastAsia="Calibri"/>
                <w:lang w:eastAsia="en-US"/>
              </w:rPr>
              <w:t>NEW</w:t>
            </w:r>
          </w:p>
          <w:p w:rsidR="00CB1480" w:rsidRPr="00427EE1" w:rsidRDefault="00CB1480">
            <w:pPr>
              <w:pStyle w:val="Tabletext"/>
              <w:rPr>
                <w:rFonts w:eastAsia="Calibri"/>
                <w:lang w:eastAsia="en-US"/>
              </w:rPr>
            </w:pPr>
            <w:r w:rsidRPr="00427EE1">
              <w:rPr>
                <w:rFonts w:eastAsia="Calibri"/>
                <w:lang w:eastAsia="en-US"/>
              </w:rPr>
              <w:t>253</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CB1480" w:rsidRPr="00427EE1" w:rsidRDefault="00CB1480">
            <w:pPr>
              <w:pStyle w:val="Tabletext"/>
              <w:rPr>
                <w:rFonts w:eastAsia="Calibri"/>
                <w:b/>
                <w:lang w:eastAsia="en-US"/>
              </w:rPr>
            </w:pPr>
            <w:r w:rsidRPr="00427EE1">
              <w:rPr>
                <w:rFonts w:eastAsia="Calibri"/>
                <w:b/>
                <w:lang w:eastAsia="en-US"/>
              </w:rPr>
              <w:t>Applications for registration</w:t>
            </w:r>
          </w:p>
          <w:p w:rsidR="00CB1480" w:rsidRPr="00427EE1" w:rsidRDefault="002E244C">
            <w:pPr>
              <w:pStyle w:val="Tabletext"/>
              <w:rPr>
                <w:rFonts w:eastAsia="Calibri"/>
                <w:lang w:eastAsia="en-US"/>
              </w:rPr>
            </w:pPr>
            <w:r>
              <w:rPr>
                <w:rFonts w:eastAsia="Calibri"/>
                <w:lang w:eastAsia="en-US"/>
              </w:rPr>
              <w:t xml:space="preserve">Establishes </w:t>
            </w:r>
            <w:r w:rsidR="00CB1480" w:rsidRPr="00427EE1">
              <w:rPr>
                <w:rFonts w:eastAsia="Calibri"/>
                <w:lang w:eastAsia="en-US"/>
              </w:rPr>
              <w:t>the power for approved forms for applications for registration.</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pPr>
              <w:pStyle w:val="Tabletext"/>
              <w:rPr>
                <w:rFonts w:eastAsia="Calibri"/>
                <w:sz w:val="16"/>
                <w:szCs w:val="16"/>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codifies </w:t>
            </w:r>
            <w:r w:rsidR="00720C4E">
              <w:rPr>
                <w:rFonts w:eastAsia="Calibri"/>
                <w:lang w:eastAsia="en-US"/>
              </w:rPr>
              <w:t>VBA</w:t>
            </w:r>
            <w:r w:rsidRPr="00427EE1">
              <w:rPr>
                <w:rFonts w:eastAsia="Calibri"/>
                <w:lang w:eastAsia="en-US"/>
              </w:rPr>
              <w:t xml:space="preserve">’s current registration processes and assists in providing transparency of process for applicants seeking registration as a building practitioner. </w:t>
            </w:r>
          </w:p>
        </w:tc>
      </w:tr>
      <w:tr w:rsidR="00CB1480" w:rsidRPr="00427EE1" w:rsidTr="006119D2">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rsidP="006757E8">
            <w:pPr>
              <w:pStyle w:val="Tabletext"/>
              <w:rPr>
                <w:rFonts w:eastAsia="Calibri"/>
              </w:rPr>
            </w:pPr>
            <w:r w:rsidRPr="00427EE1">
              <w:rPr>
                <w:rFonts w:eastAsia="Calibri"/>
              </w:rPr>
              <w:t>n/a</w:t>
            </w:r>
          </w:p>
        </w:tc>
        <w:tc>
          <w:tcPr>
            <w:tcW w:w="10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D615BC" w:rsidRPr="00427EE1" w:rsidRDefault="00CB1480" w:rsidP="006757E8">
            <w:pPr>
              <w:pStyle w:val="Tabletext"/>
              <w:rPr>
                <w:rFonts w:eastAsia="Calibri"/>
                <w:lang w:eastAsia="en-US"/>
              </w:rPr>
            </w:pPr>
            <w:r w:rsidRPr="00427EE1">
              <w:rPr>
                <w:rFonts w:eastAsia="Calibri"/>
                <w:lang w:eastAsia="en-US"/>
              </w:rPr>
              <w:t>NEW</w:t>
            </w:r>
          </w:p>
          <w:p w:rsidR="00CB1480" w:rsidRPr="00427EE1" w:rsidRDefault="00CB1480">
            <w:pPr>
              <w:pStyle w:val="Tabletext"/>
              <w:rPr>
                <w:rFonts w:eastAsia="Calibri"/>
                <w:lang w:eastAsia="en-US"/>
              </w:rPr>
            </w:pPr>
            <w:r w:rsidRPr="00427EE1">
              <w:rPr>
                <w:rFonts w:eastAsia="Calibri"/>
                <w:lang w:eastAsia="en-US"/>
              </w:rPr>
              <w:t>254</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CB1480" w:rsidRPr="00427EE1" w:rsidRDefault="00CB1480">
            <w:pPr>
              <w:pStyle w:val="Tabletext"/>
              <w:rPr>
                <w:rFonts w:eastAsia="Calibri"/>
                <w:b/>
                <w:lang w:eastAsia="en-US"/>
              </w:rPr>
            </w:pPr>
            <w:r w:rsidRPr="00427EE1">
              <w:rPr>
                <w:rFonts w:eastAsia="Calibri"/>
                <w:b/>
                <w:lang w:eastAsia="en-US"/>
              </w:rPr>
              <w:t>Information to accompany application for registration</w:t>
            </w:r>
          </w:p>
          <w:p w:rsidR="00CB1480" w:rsidRPr="00427EE1" w:rsidRDefault="0026629F">
            <w:pPr>
              <w:pStyle w:val="Tabletext"/>
              <w:rPr>
                <w:rFonts w:eastAsia="Calibri"/>
                <w:lang w:eastAsia="en-US"/>
              </w:rPr>
            </w:pPr>
            <w:r>
              <w:rPr>
                <w:rFonts w:eastAsia="Calibri"/>
                <w:lang w:eastAsia="en-US"/>
              </w:rPr>
              <w:t xml:space="preserve">Specifies </w:t>
            </w:r>
            <w:r w:rsidR="00CB1480" w:rsidRPr="00427EE1">
              <w:rPr>
                <w:rFonts w:eastAsia="Calibri"/>
                <w:lang w:eastAsia="en-US"/>
              </w:rPr>
              <w:t>the information to accompany an application for registration.</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codifies </w:t>
            </w:r>
            <w:r w:rsidR="00720C4E">
              <w:rPr>
                <w:rFonts w:eastAsia="Calibri"/>
                <w:lang w:eastAsia="en-US"/>
              </w:rPr>
              <w:t>VBA</w:t>
            </w:r>
            <w:r w:rsidRPr="00427EE1">
              <w:rPr>
                <w:rFonts w:eastAsia="Calibri"/>
                <w:lang w:eastAsia="en-US"/>
              </w:rPr>
              <w:t xml:space="preserve">’s current registration processes and provides transparency of process for applicants seeking registration as a building practitioner. </w:t>
            </w:r>
          </w:p>
        </w:tc>
      </w:tr>
      <w:tr w:rsidR="00CB1480" w:rsidRPr="00427EE1" w:rsidTr="006119D2">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rsidP="006757E8">
            <w:pPr>
              <w:pStyle w:val="Tabletext"/>
              <w:rPr>
                <w:rFonts w:eastAsia="Calibri"/>
              </w:rPr>
            </w:pPr>
            <w:r w:rsidRPr="00427EE1">
              <w:rPr>
                <w:rFonts w:eastAsia="Calibri"/>
              </w:rPr>
              <w:t>1509</w:t>
            </w:r>
          </w:p>
        </w:tc>
        <w:tc>
          <w:tcPr>
            <w:tcW w:w="10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rsidP="006757E8">
            <w:pPr>
              <w:pStyle w:val="Tabletext"/>
              <w:rPr>
                <w:rFonts w:eastAsia="Calibri"/>
                <w:lang w:eastAsia="en-US"/>
              </w:rPr>
            </w:pPr>
            <w:r w:rsidRPr="00427EE1">
              <w:rPr>
                <w:rFonts w:eastAsia="Calibri"/>
                <w:lang w:eastAsia="en-US"/>
              </w:rPr>
              <w:t>255</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CB1480" w:rsidRPr="00427EE1" w:rsidRDefault="00CB1480">
            <w:pPr>
              <w:pStyle w:val="Tabletext"/>
              <w:rPr>
                <w:rFonts w:eastAsia="Calibri"/>
                <w:b/>
                <w:lang w:eastAsia="en-US"/>
              </w:rPr>
            </w:pPr>
            <w:r w:rsidRPr="00427EE1">
              <w:rPr>
                <w:rFonts w:eastAsia="Calibri"/>
                <w:b/>
                <w:lang w:eastAsia="en-US"/>
              </w:rPr>
              <w:t>Prescribed information as to character of applicant for registration</w:t>
            </w:r>
          </w:p>
          <w:p w:rsidR="00CB1480" w:rsidRPr="00427EE1" w:rsidRDefault="0026629F">
            <w:pPr>
              <w:pStyle w:val="Tabletext"/>
              <w:rPr>
                <w:rFonts w:eastAsia="Calibri"/>
                <w:lang w:eastAsia="en-US"/>
              </w:rPr>
            </w:pPr>
            <w:r>
              <w:rPr>
                <w:rFonts w:eastAsia="Calibri"/>
                <w:lang w:eastAsia="en-US"/>
              </w:rPr>
              <w:t xml:space="preserve">Specifies </w:t>
            </w:r>
            <w:r w:rsidR="00CB1480" w:rsidRPr="00427EE1">
              <w:rPr>
                <w:rFonts w:eastAsia="Calibri"/>
                <w:lang w:eastAsia="en-US"/>
              </w:rPr>
              <w:t>the information as to character to be provided by an application for registration</w:t>
            </w:r>
            <w:r w:rsidR="00C83190">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continues to prescribe information to assist in the determination of an applicant’s character to give effect to </w:t>
            </w:r>
            <w:r w:rsidR="0023395A">
              <w:rPr>
                <w:rFonts w:eastAsia="Calibri"/>
              </w:rPr>
              <w:t xml:space="preserve">s </w:t>
            </w:r>
            <w:r w:rsidRPr="00427EE1">
              <w:rPr>
                <w:rFonts w:eastAsia="Calibri"/>
              </w:rPr>
              <w:t xml:space="preserve">169(2)(ca) of the Act. This assists in providing a robust assessment of applicants to protect consumers. </w:t>
            </w:r>
          </w:p>
        </w:tc>
      </w:tr>
    </w:tbl>
    <w:p w:rsidR="00B751DE" w:rsidRPr="00427EE1" w:rsidRDefault="00B751DE" w:rsidP="006757E8"/>
    <w:p w:rsidR="00AC4E58" w:rsidRPr="00427EE1" w:rsidRDefault="00EF2008" w:rsidP="006119D2">
      <w:pPr>
        <w:pStyle w:val="Heading5"/>
      </w:pPr>
      <w:r>
        <w:t>Sub-div</w:t>
      </w:r>
      <w:r w:rsidR="00B751DE" w:rsidRPr="00427EE1">
        <w:t xml:space="preserve"> 2</w:t>
      </w:r>
      <w:r w:rsidR="008475D9">
        <w:t>—</w:t>
      </w:r>
      <w:r w:rsidR="00017FA8" w:rsidRPr="00427EE1">
        <w:t>P</w:t>
      </w:r>
      <w:r w:rsidR="00B751DE" w:rsidRPr="00427EE1">
        <w:t xml:space="preserve">rescribed </w:t>
      </w:r>
      <w:r w:rsidR="00C7328F">
        <w:t xml:space="preserve">qualifications and </w:t>
      </w:r>
      <w:r w:rsidR="00B751DE" w:rsidRPr="00427EE1">
        <w:t>classes of building practitioner</w:t>
      </w:r>
    </w:p>
    <w:tbl>
      <w:tblPr>
        <w:tblW w:w="14549" w:type="dxa"/>
        <w:tblInd w:w="-172"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52"/>
        <w:gridCol w:w="1029"/>
        <w:gridCol w:w="4243"/>
        <w:gridCol w:w="399"/>
        <w:gridCol w:w="399"/>
        <w:gridCol w:w="402"/>
        <w:gridCol w:w="400"/>
        <w:gridCol w:w="398"/>
        <w:gridCol w:w="6327"/>
      </w:tblGrid>
      <w:tr w:rsidR="00C83190" w:rsidRPr="00427EE1" w:rsidTr="006119D2">
        <w:trPr>
          <w:cantSplit/>
          <w:trHeight w:val="102"/>
          <w:tblHeader/>
        </w:trPr>
        <w:tc>
          <w:tcPr>
            <w:tcW w:w="952" w:type="dxa"/>
            <w:vMerge w:val="restart"/>
            <w:shd w:val="clear" w:color="auto" w:fill="00B2A9" w:themeFill="accent1"/>
            <w:vAlign w:val="center"/>
            <w:hideMark/>
          </w:tcPr>
          <w:p w:rsidR="00C83190" w:rsidRDefault="00C83190">
            <w:pPr>
              <w:pStyle w:val="Tablecolumnhead"/>
              <w:rPr>
                <w:rFonts w:asciiTheme="majorHAnsi" w:eastAsia="Calibri" w:hAnsiTheme="majorHAnsi" w:cstheme="majorBidi"/>
                <w:sz w:val="40"/>
              </w:rPr>
            </w:pPr>
            <w:r w:rsidRPr="00BE72D7">
              <w:rPr>
                <w:rFonts w:eastAsia="Calibri"/>
              </w:rPr>
              <w:t>2006</w:t>
            </w:r>
          </w:p>
          <w:p w:rsidR="00C83190" w:rsidRPr="006A7B5F" w:rsidRDefault="00C83190">
            <w:pPr>
              <w:pStyle w:val="Tablecolumnhead"/>
              <w:rPr>
                <w:rFonts w:eastAsia="Calibri"/>
              </w:rPr>
            </w:pPr>
            <w:r w:rsidRPr="00C44680">
              <w:rPr>
                <w:rFonts w:ascii="Arial Bold" w:eastAsia="Calibri" w:hAnsi="Arial Bold"/>
                <w:spacing w:val="-12"/>
                <w:sz w:val="16"/>
              </w:rPr>
              <w:t>Regulation</w:t>
            </w:r>
          </w:p>
        </w:tc>
        <w:tc>
          <w:tcPr>
            <w:tcW w:w="1029" w:type="dxa"/>
            <w:vMerge w:val="restart"/>
            <w:shd w:val="clear" w:color="auto" w:fill="00B2A9" w:themeFill="accent1"/>
            <w:vAlign w:val="center"/>
            <w:hideMark/>
          </w:tcPr>
          <w:p w:rsidR="00C83190" w:rsidRDefault="00C83190">
            <w:pPr>
              <w:pStyle w:val="Tablecolumnhead"/>
              <w:rPr>
                <w:rFonts w:asciiTheme="majorHAnsi" w:eastAsiaTheme="majorEastAsia" w:hAnsiTheme="majorHAnsi" w:cstheme="majorBidi"/>
                <w:sz w:val="40"/>
              </w:rPr>
            </w:pPr>
            <w:r w:rsidRPr="008F0E53">
              <w:rPr>
                <w:rFonts w:eastAsia="Calibri"/>
              </w:rPr>
              <w:t>2017</w:t>
            </w:r>
          </w:p>
          <w:p w:rsidR="00C83190" w:rsidRPr="006A7B5F" w:rsidRDefault="00C83190">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C83190" w:rsidRPr="006A7B5F" w:rsidRDefault="00C83190">
            <w:pPr>
              <w:pStyle w:val="Tablecolumnhead"/>
              <w:rPr>
                <w:rFonts w:eastAsia="Calibri"/>
              </w:rPr>
            </w:pPr>
            <w:r w:rsidRPr="006A7B5F">
              <w:t xml:space="preserve">Short description of the </w:t>
            </w:r>
            <w:r>
              <w:t>Regulation</w:t>
            </w:r>
          </w:p>
        </w:tc>
        <w:tc>
          <w:tcPr>
            <w:tcW w:w="1998" w:type="dxa"/>
            <w:gridSpan w:val="5"/>
            <w:shd w:val="clear" w:color="auto" w:fill="00B2A9" w:themeFill="accent1"/>
            <w:vAlign w:val="center"/>
          </w:tcPr>
          <w:p w:rsidR="00C83190" w:rsidRPr="006A7B5F" w:rsidRDefault="00C83190">
            <w:pPr>
              <w:pStyle w:val="Tablecolumnhead"/>
            </w:pPr>
            <w:r w:rsidRPr="006A7B5F">
              <w:t>Proposed regulatory change</w:t>
            </w:r>
          </w:p>
        </w:tc>
        <w:tc>
          <w:tcPr>
            <w:tcW w:w="6327" w:type="dxa"/>
            <w:vMerge w:val="restart"/>
            <w:shd w:val="clear" w:color="auto" w:fill="00B2A9" w:themeFill="accent1"/>
            <w:vAlign w:val="center"/>
          </w:tcPr>
          <w:p w:rsidR="00C83190" w:rsidRPr="006A7B5F" w:rsidRDefault="00C83190">
            <w:pPr>
              <w:pStyle w:val="Tablecolumnhead"/>
            </w:pPr>
            <w:r w:rsidRPr="006A7B5F">
              <w:t>Why the 2017 Regulation is proposed</w:t>
            </w:r>
          </w:p>
        </w:tc>
      </w:tr>
      <w:tr w:rsidR="00B751DE" w:rsidRPr="00427EE1" w:rsidTr="006119D2">
        <w:trPr>
          <w:cantSplit/>
          <w:trHeight w:val="966"/>
          <w:tblHeader/>
        </w:trPr>
        <w:tc>
          <w:tcPr>
            <w:tcW w:w="952"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1029"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CB1480" w:rsidRPr="00427EE1" w:rsidTr="006119D2">
        <w:trPr>
          <w:cantSplit/>
          <w:trHeight w:val="340"/>
        </w:trPr>
        <w:tc>
          <w:tcPr>
            <w:tcW w:w="95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rsidP="006757E8">
            <w:pPr>
              <w:pStyle w:val="Tabletext"/>
              <w:rPr>
                <w:rFonts w:eastAsia="Calibri"/>
              </w:rPr>
            </w:pPr>
            <w:r w:rsidRPr="00427EE1">
              <w:rPr>
                <w:rFonts w:eastAsia="Calibri"/>
              </w:rPr>
              <w:t>1503</w:t>
            </w:r>
          </w:p>
        </w:tc>
        <w:tc>
          <w:tcPr>
            <w:tcW w:w="102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rsidP="006757E8">
            <w:pPr>
              <w:pStyle w:val="Tabletext"/>
              <w:rPr>
                <w:rFonts w:eastAsia="Calibri"/>
                <w:lang w:eastAsia="en-US"/>
              </w:rPr>
            </w:pPr>
            <w:r w:rsidRPr="00427EE1">
              <w:rPr>
                <w:rFonts w:eastAsia="Calibri"/>
                <w:lang w:eastAsia="en-US"/>
              </w:rPr>
              <w:t>256</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CB1480" w:rsidRPr="00427EE1" w:rsidRDefault="00CB1480">
            <w:pPr>
              <w:pStyle w:val="Tabletext"/>
              <w:rPr>
                <w:rFonts w:eastAsia="Calibri"/>
                <w:b/>
                <w:lang w:eastAsia="en-US"/>
              </w:rPr>
            </w:pPr>
            <w:r w:rsidRPr="00427EE1">
              <w:rPr>
                <w:rFonts w:eastAsia="Calibri"/>
                <w:b/>
                <w:lang w:eastAsia="en-US"/>
              </w:rPr>
              <w:t>Prescribed qualifications and classes of building practitioner</w:t>
            </w:r>
          </w:p>
          <w:p w:rsidR="00CB1480" w:rsidRPr="00427EE1" w:rsidRDefault="002E244C">
            <w:pPr>
              <w:pStyle w:val="Tabletext"/>
              <w:rPr>
                <w:rFonts w:eastAsia="Calibri"/>
                <w:lang w:eastAsia="en-US"/>
              </w:rPr>
            </w:pPr>
            <w:r>
              <w:rPr>
                <w:rFonts w:eastAsia="Calibri"/>
                <w:lang w:eastAsia="en-US"/>
              </w:rPr>
              <w:t xml:space="preserve">Defines </w:t>
            </w:r>
            <w:r w:rsidR="00CB1480" w:rsidRPr="00427EE1">
              <w:rPr>
                <w:rFonts w:eastAsia="Calibri"/>
                <w:lang w:eastAsia="en-US"/>
              </w:rPr>
              <w:t xml:space="preserve">prescribed qualifications for the purposes of registration.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pPr>
              <w:pStyle w:val="Tabletext"/>
              <w:rPr>
                <w:rFonts w:eastAsia="Calibri"/>
                <w:lang w:eastAsia="en-US"/>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gives effect to </w:t>
            </w:r>
            <w:r w:rsidR="0023395A">
              <w:rPr>
                <w:rFonts w:eastAsia="Calibri"/>
                <w:lang w:eastAsia="en-US"/>
              </w:rPr>
              <w:t xml:space="preserve">s </w:t>
            </w:r>
            <w:r w:rsidRPr="00427EE1">
              <w:rPr>
                <w:rFonts w:eastAsia="Calibri"/>
                <w:lang w:eastAsia="en-US"/>
              </w:rPr>
              <w:t>170(1)(b)(</w:t>
            </w:r>
            <w:proofErr w:type="spellStart"/>
            <w:r w:rsidRPr="00427EE1">
              <w:rPr>
                <w:rFonts w:eastAsia="Calibri"/>
                <w:lang w:eastAsia="en-US"/>
              </w:rPr>
              <w:t>i</w:t>
            </w:r>
            <w:proofErr w:type="spellEnd"/>
            <w:r w:rsidRPr="00427EE1">
              <w:rPr>
                <w:rFonts w:eastAsia="Calibri"/>
                <w:lang w:eastAsia="en-US"/>
              </w:rPr>
              <w:t xml:space="preserve">) of the Act by defining prescribed qualifications and practical experience. This provides consumers and applicants with transparent parameters </w:t>
            </w:r>
            <w:r w:rsidR="004E083D">
              <w:rPr>
                <w:rFonts w:eastAsia="Calibri"/>
                <w:lang w:eastAsia="en-US"/>
              </w:rPr>
              <w:t>about</w:t>
            </w:r>
            <w:r w:rsidRPr="00427EE1">
              <w:rPr>
                <w:rFonts w:eastAsia="Calibri"/>
                <w:lang w:eastAsia="en-US"/>
              </w:rPr>
              <w:t xml:space="preserve"> registration as a building practitioner. The definition of </w:t>
            </w:r>
            <w:r w:rsidR="005E2285">
              <w:rPr>
                <w:rFonts w:eastAsia="Calibri"/>
                <w:lang w:eastAsia="en-US"/>
              </w:rPr>
              <w:t>'</w:t>
            </w:r>
            <w:r w:rsidRPr="00427EE1">
              <w:rPr>
                <w:rFonts w:eastAsia="Calibri"/>
                <w:lang w:eastAsia="en-US"/>
              </w:rPr>
              <w:t>practical experience</w:t>
            </w:r>
            <w:r w:rsidR="005E2285">
              <w:rPr>
                <w:rFonts w:eastAsia="Calibri"/>
                <w:lang w:eastAsia="en-US"/>
              </w:rPr>
              <w:t>'</w:t>
            </w:r>
            <w:r w:rsidRPr="00427EE1">
              <w:rPr>
                <w:rFonts w:eastAsia="Calibri"/>
                <w:lang w:eastAsia="en-US"/>
              </w:rPr>
              <w:t xml:space="preserve"> is new and </w:t>
            </w:r>
            <w:r w:rsidR="00BB3A66" w:rsidRPr="00427EE1">
              <w:rPr>
                <w:rFonts w:eastAsia="Calibri"/>
                <w:lang w:eastAsia="en-US"/>
              </w:rPr>
              <w:t>prescribed</w:t>
            </w:r>
            <w:r w:rsidRPr="00427EE1">
              <w:rPr>
                <w:rFonts w:eastAsia="Calibri"/>
                <w:lang w:eastAsia="en-US"/>
              </w:rPr>
              <w:t xml:space="preserve"> </w:t>
            </w:r>
            <w:r w:rsidR="00BB3A66" w:rsidRPr="00427EE1">
              <w:rPr>
                <w:rFonts w:eastAsia="Calibri"/>
                <w:lang w:eastAsia="en-US"/>
              </w:rPr>
              <w:t>qualifications</w:t>
            </w:r>
            <w:r w:rsidRPr="00427EE1">
              <w:rPr>
                <w:rFonts w:eastAsia="Calibri"/>
                <w:lang w:eastAsia="en-US"/>
              </w:rPr>
              <w:t xml:space="preserve"> has been included to be consistent with </w:t>
            </w:r>
            <w:r w:rsidR="0023395A">
              <w:rPr>
                <w:rFonts w:eastAsia="Calibri"/>
                <w:lang w:eastAsia="en-US"/>
              </w:rPr>
              <w:t xml:space="preserve">s </w:t>
            </w:r>
            <w:r w:rsidRPr="00427EE1">
              <w:rPr>
                <w:rFonts w:eastAsia="Calibri"/>
                <w:lang w:eastAsia="en-US"/>
              </w:rPr>
              <w:t>175 of the Act.</w:t>
            </w:r>
          </w:p>
        </w:tc>
      </w:tr>
    </w:tbl>
    <w:p w:rsidR="00B751DE" w:rsidRPr="00427EE1" w:rsidRDefault="00B751DE" w:rsidP="006757E8"/>
    <w:p w:rsidR="00D615BC" w:rsidRPr="00427EE1" w:rsidRDefault="00EF2008" w:rsidP="006119D2">
      <w:pPr>
        <w:pStyle w:val="Heading5"/>
      </w:pPr>
      <w:r>
        <w:lastRenderedPageBreak/>
        <w:t>Sub-div</w:t>
      </w:r>
      <w:r w:rsidR="00B751DE" w:rsidRPr="00427EE1">
        <w:t xml:space="preserve"> </w:t>
      </w:r>
      <w:r w:rsidR="00017FA8" w:rsidRPr="00427EE1">
        <w:t>3</w:t>
      </w:r>
      <w:r w:rsidR="008475D9">
        <w:t>—</w:t>
      </w:r>
      <w:r w:rsidR="00B751DE" w:rsidRPr="00427EE1">
        <w:t>Condition on registration</w:t>
      </w:r>
    </w:p>
    <w:tbl>
      <w:tblPr>
        <w:tblW w:w="14563" w:type="dxa"/>
        <w:tblInd w:w="-186"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52"/>
        <w:gridCol w:w="1043"/>
        <w:gridCol w:w="4243"/>
        <w:gridCol w:w="399"/>
        <w:gridCol w:w="399"/>
        <w:gridCol w:w="402"/>
        <w:gridCol w:w="400"/>
        <w:gridCol w:w="398"/>
        <w:gridCol w:w="6327"/>
      </w:tblGrid>
      <w:tr w:rsidR="00C83190" w:rsidRPr="00427EE1" w:rsidTr="006119D2">
        <w:trPr>
          <w:cantSplit/>
          <w:trHeight w:val="299"/>
          <w:tblHeader/>
        </w:trPr>
        <w:tc>
          <w:tcPr>
            <w:tcW w:w="952" w:type="dxa"/>
            <w:vMerge w:val="restart"/>
            <w:shd w:val="clear" w:color="auto" w:fill="00B2A9" w:themeFill="accent1"/>
            <w:vAlign w:val="center"/>
            <w:hideMark/>
          </w:tcPr>
          <w:p w:rsidR="00C83190" w:rsidRDefault="00C83190">
            <w:pPr>
              <w:pStyle w:val="Tablecolumnhead"/>
              <w:rPr>
                <w:rFonts w:asciiTheme="majorHAnsi" w:eastAsia="Calibri" w:hAnsiTheme="majorHAnsi" w:cstheme="majorBidi"/>
                <w:sz w:val="40"/>
              </w:rPr>
            </w:pPr>
            <w:r w:rsidRPr="00BE72D7">
              <w:rPr>
                <w:rFonts w:eastAsia="Calibri"/>
              </w:rPr>
              <w:t>2006</w:t>
            </w:r>
          </w:p>
          <w:p w:rsidR="00C83190" w:rsidRPr="006A7B5F" w:rsidRDefault="00C83190">
            <w:pPr>
              <w:pStyle w:val="Tablecolumnhead"/>
              <w:rPr>
                <w:rFonts w:eastAsia="Calibri"/>
              </w:rPr>
            </w:pPr>
            <w:r w:rsidRPr="00C44680">
              <w:rPr>
                <w:rFonts w:ascii="Arial Bold" w:eastAsia="Calibri" w:hAnsi="Arial Bold"/>
                <w:spacing w:val="-12"/>
                <w:sz w:val="16"/>
              </w:rPr>
              <w:t>Regulation</w:t>
            </w:r>
          </w:p>
        </w:tc>
        <w:tc>
          <w:tcPr>
            <w:tcW w:w="1043" w:type="dxa"/>
            <w:vMerge w:val="restart"/>
            <w:shd w:val="clear" w:color="auto" w:fill="00B2A9" w:themeFill="accent1"/>
            <w:vAlign w:val="center"/>
            <w:hideMark/>
          </w:tcPr>
          <w:p w:rsidR="00C83190" w:rsidRDefault="00C83190">
            <w:pPr>
              <w:pStyle w:val="Tablecolumnhead"/>
              <w:rPr>
                <w:rFonts w:asciiTheme="majorHAnsi" w:eastAsiaTheme="majorEastAsia" w:hAnsiTheme="majorHAnsi" w:cstheme="majorBidi"/>
                <w:sz w:val="40"/>
              </w:rPr>
            </w:pPr>
            <w:r w:rsidRPr="008F0E53">
              <w:rPr>
                <w:rFonts w:eastAsia="Calibri"/>
              </w:rPr>
              <w:t>2017</w:t>
            </w:r>
          </w:p>
          <w:p w:rsidR="00C83190" w:rsidRPr="006A7B5F" w:rsidRDefault="00C83190">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C83190" w:rsidRPr="006A7B5F" w:rsidRDefault="00C83190">
            <w:pPr>
              <w:pStyle w:val="Tablecolumnhead"/>
              <w:rPr>
                <w:rFonts w:eastAsia="Calibri"/>
              </w:rPr>
            </w:pPr>
            <w:r w:rsidRPr="006A7B5F">
              <w:t xml:space="preserve">Short description of the </w:t>
            </w:r>
            <w:r>
              <w:t>Regulation</w:t>
            </w:r>
          </w:p>
        </w:tc>
        <w:tc>
          <w:tcPr>
            <w:tcW w:w="1998" w:type="dxa"/>
            <w:gridSpan w:val="5"/>
            <w:shd w:val="clear" w:color="auto" w:fill="00B2A9" w:themeFill="accent1"/>
            <w:vAlign w:val="center"/>
          </w:tcPr>
          <w:p w:rsidR="00C83190" w:rsidRPr="006A7B5F" w:rsidRDefault="00C83190">
            <w:pPr>
              <w:pStyle w:val="Tablecolumnhead"/>
            </w:pPr>
            <w:r w:rsidRPr="006A7B5F">
              <w:t>Proposed regulatory change</w:t>
            </w:r>
          </w:p>
        </w:tc>
        <w:tc>
          <w:tcPr>
            <w:tcW w:w="6327" w:type="dxa"/>
            <w:vMerge w:val="restart"/>
            <w:shd w:val="clear" w:color="auto" w:fill="00B2A9" w:themeFill="accent1"/>
            <w:vAlign w:val="center"/>
          </w:tcPr>
          <w:p w:rsidR="00C83190" w:rsidRPr="006A7B5F" w:rsidRDefault="00C83190">
            <w:pPr>
              <w:pStyle w:val="Tablecolumnhead"/>
            </w:pPr>
            <w:r w:rsidRPr="006A7B5F">
              <w:t>Why the 2017 Regulation is proposed</w:t>
            </w:r>
          </w:p>
        </w:tc>
      </w:tr>
      <w:tr w:rsidR="00B751DE" w:rsidRPr="00427EE1" w:rsidTr="006119D2">
        <w:trPr>
          <w:cantSplit/>
          <w:trHeight w:val="966"/>
          <w:tblHeader/>
        </w:trPr>
        <w:tc>
          <w:tcPr>
            <w:tcW w:w="952"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1043"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B751DE" w:rsidRPr="00427EE1" w:rsidTr="006119D2">
        <w:trPr>
          <w:cantSplit/>
          <w:trHeight w:val="340"/>
        </w:trPr>
        <w:tc>
          <w:tcPr>
            <w:tcW w:w="95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rPr>
            </w:pPr>
            <w:r w:rsidRPr="00427EE1">
              <w:rPr>
                <w:rFonts w:eastAsia="Calibri"/>
              </w:rPr>
              <w:t>1512</w:t>
            </w:r>
          </w:p>
        </w:tc>
        <w:tc>
          <w:tcPr>
            <w:tcW w:w="10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rsidP="006757E8">
            <w:pPr>
              <w:pStyle w:val="Tabletext"/>
              <w:rPr>
                <w:rFonts w:eastAsia="Calibri"/>
                <w:lang w:eastAsia="en-US"/>
              </w:rPr>
            </w:pPr>
            <w:r w:rsidRPr="00427EE1">
              <w:rPr>
                <w:rFonts w:eastAsia="Calibri"/>
                <w:lang w:eastAsia="en-US"/>
              </w:rPr>
              <w:t>257</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D615BC" w:rsidRPr="00427EE1" w:rsidRDefault="00B751DE" w:rsidP="006757E8">
            <w:pPr>
              <w:pStyle w:val="Tabletext"/>
              <w:rPr>
                <w:rFonts w:eastAsia="Calibri"/>
                <w:b/>
                <w:lang w:eastAsia="en-US"/>
              </w:rPr>
            </w:pPr>
            <w:r w:rsidRPr="00427EE1">
              <w:rPr>
                <w:rFonts w:eastAsia="Calibri"/>
                <w:b/>
                <w:lang w:eastAsia="en-US"/>
              </w:rPr>
              <w:t>Condition of registration</w:t>
            </w:r>
          </w:p>
          <w:p w:rsidR="00B751DE" w:rsidRPr="00427EE1" w:rsidRDefault="002E244C">
            <w:pPr>
              <w:pStyle w:val="Tabletext"/>
              <w:rPr>
                <w:rFonts w:eastAsia="Calibri"/>
                <w:lang w:eastAsia="en-US"/>
              </w:rPr>
            </w:pPr>
            <w:r>
              <w:rPr>
                <w:rFonts w:eastAsia="Calibri"/>
                <w:lang w:eastAsia="en-US"/>
              </w:rPr>
              <w:t xml:space="preserve">Establishes </w:t>
            </w:r>
            <w:r w:rsidR="00CB1480" w:rsidRPr="00427EE1">
              <w:rPr>
                <w:rFonts w:eastAsia="Calibri"/>
                <w:lang w:eastAsia="en-US"/>
              </w:rPr>
              <w:t>that a building practitioner must not allow another person to use their certificate as condition on registration</w:t>
            </w:r>
            <w:r w:rsidR="00C83190">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B751DE" w:rsidRPr="00427EE1" w:rsidRDefault="00B751DE">
            <w:pPr>
              <w:pStyle w:val="Tabletext"/>
              <w:rPr>
                <w:rFonts w:eastAsia="Calibri"/>
                <w:lang w:eastAsia="en-US"/>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gives effect to </w:t>
            </w:r>
            <w:r w:rsidR="0023395A">
              <w:rPr>
                <w:rFonts w:eastAsia="Calibri"/>
                <w:lang w:eastAsia="en-US"/>
              </w:rPr>
              <w:t xml:space="preserve">s </w:t>
            </w:r>
            <w:r w:rsidRPr="00427EE1">
              <w:rPr>
                <w:rFonts w:eastAsia="Calibri"/>
                <w:lang w:eastAsia="en-US"/>
              </w:rPr>
              <w:t xml:space="preserve">170A of the Act. The condition on registration ensures that a registered building practitioner does not facilitate other people claiming to be registered when they are not. </w:t>
            </w:r>
          </w:p>
        </w:tc>
      </w:tr>
    </w:tbl>
    <w:p w:rsidR="00D615BC" w:rsidRPr="00427EE1" w:rsidRDefault="00D615BC" w:rsidP="006757E8"/>
    <w:p w:rsidR="00D615BC" w:rsidRPr="00427EE1" w:rsidRDefault="00EF2008" w:rsidP="006119D2">
      <w:pPr>
        <w:pStyle w:val="Heading4"/>
      </w:pPr>
      <w:proofErr w:type="spellStart"/>
      <w:r>
        <w:t>Div</w:t>
      </w:r>
      <w:proofErr w:type="spellEnd"/>
      <w:r w:rsidR="00B751DE" w:rsidRPr="00427EE1">
        <w:t xml:space="preserve"> </w:t>
      </w:r>
      <w:r w:rsidR="00C7328F">
        <w:t>3</w:t>
      </w:r>
      <w:r w:rsidR="008475D9">
        <w:t>—</w:t>
      </w:r>
      <w:r w:rsidR="00B751DE" w:rsidRPr="00427EE1">
        <w:t>Application for renewal of registration</w:t>
      </w:r>
    </w:p>
    <w:tbl>
      <w:tblPr>
        <w:tblW w:w="14563" w:type="dxa"/>
        <w:tblInd w:w="-186"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52"/>
        <w:gridCol w:w="1043"/>
        <w:gridCol w:w="4243"/>
        <w:gridCol w:w="399"/>
        <w:gridCol w:w="399"/>
        <w:gridCol w:w="402"/>
        <w:gridCol w:w="400"/>
        <w:gridCol w:w="398"/>
        <w:gridCol w:w="6327"/>
      </w:tblGrid>
      <w:tr w:rsidR="00C83190" w:rsidRPr="00427EE1" w:rsidTr="006119D2">
        <w:trPr>
          <w:cantSplit/>
          <w:trHeight w:val="269"/>
          <w:tblHeader/>
        </w:trPr>
        <w:tc>
          <w:tcPr>
            <w:tcW w:w="952" w:type="dxa"/>
            <w:vMerge w:val="restart"/>
            <w:shd w:val="clear" w:color="auto" w:fill="00B2A9" w:themeFill="accent1"/>
            <w:vAlign w:val="center"/>
            <w:hideMark/>
          </w:tcPr>
          <w:p w:rsidR="00C83190" w:rsidRDefault="00C83190">
            <w:pPr>
              <w:pStyle w:val="Tablecolumnhead"/>
              <w:rPr>
                <w:rFonts w:asciiTheme="majorHAnsi" w:eastAsia="Calibri" w:hAnsiTheme="majorHAnsi" w:cstheme="majorBidi"/>
                <w:sz w:val="40"/>
              </w:rPr>
            </w:pPr>
            <w:r w:rsidRPr="00BE72D7">
              <w:rPr>
                <w:rFonts w:eastAsia="Calibri"/>
              </w:rPr>
              <w:t>2006</w:t>
            </w:r>
          </w:p>
          <w:p w:rsidR="00C83190" w:rsidRPr="006A7B5F" w:rsidRDefault="00C83190">
            <w:pPr>
              <w:pStyle w:val="Tablecolumnhead"/>
              <w:rPr>
                <w:rFonts w:eastAsia="Calibri"/>
              </w:rPr>
            </w:pPr>
            <w:r w:rsidRPr="00C44680">
              <w:rPr>
                <w:rFonts w:ascii="Arial Bold" w:eastAsia="Calibri" w:hAnsi="Arial Bold"/>
                <w:spacing w:val="-12"/>
                <w:sz w:val="16"/>
              </w:rPr>
              <w:t>Regulation</w:t>
            </w:r>
          </w:p>
        </w:tc>
        <w:tc>
          <w:tcPr>
            <w:tcW w:w="1043" w:type="dxa"/>
            <w:vMerge w:val="restart"/>
            <w:shd w:val="clear" w:color="auto" w:fill="00B2A9" w:themeFill="accent1"/>
            <w:vAlign w:val="center"/>
            <w:hideMark/>
          </w:tcPr>
          <w:p w:rsidR="00C83190" w:rsidRDefault="00C83190">
            <w:pPr>
              <w:pStyle w:val="Tablecolumnhead"/>
              <w:rPr>
                <w:rFonts w:asciiTheme="majorHAnsi" w:eastAsiaTheme="majorEastAsia" w:hAnsiTheme="majorHAnsi" w:cstheme="majorBidi"/>
                <w:sz w:val="40"/>
              </w:rPr>
            </w:pPr>
            <w:r w:rsidRPr="008F0E53">
              <w:rPr>
                <w:rFonts w:eastAsia="Calibri"/>
              </w:rPr>
              <w:t>2017</w:t>
            </w:r>
          </w:p>
          <w:p w:rsidR="00C83190" w:rsidRPr="006A7B5F" w:rsidRDefault="00C83190">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C83190" w:rsidRPr="006A7B5F" w:rsidRDefault="00C83190">
            <w:pPr>
              <w:pStyle w:val="Tablecolumnhead"/>
              <w:rPr>
                <w:rFonts w:eastAsia="Calibri"/>
              </w:rPr>
            </w:pPr>
            <w:r w:rsidRPr="006A7B5F">
              <w:rPr>
                <w:szCs w:val="22"/>
              </w:rPr>
              <w:t xml:space="preserve">Short description of the </w:t>
            </w:r>
            <w:r>
              <w:rPr>
                <w:szCs w:val="22"/>
              </w:rPr>
              <w:t>Regulation</w:t>
            </w:r>
          </w:p>
        </w:tc>
        <w:tc>
          <w:tcPr>
            <w:tcW w:w="1998" w:type="dxa"/>
            <w:gridSpan w:val="5"/>
            <w:shd w:val="clear" w:color="auto" w:fill="00B2A9" w:themeFill="accent1"/>
            <w:vAlign w:val="center"/>
          </w:tcPr>
          <w:p w:rsidR="00C83190" w:rsidRPr="006A7B5F" w:rsidRDefault="00C83190">
            <w:pPr>
              <w:pStyle w:val="Tablecolumnhead"/>
            </w:pPr>
            <w:r w:rsidRPr="006A7B5F">
              <w:rPr>
                <w:szCs w:val="22"/>
              </w:rPr>
              <w:t>Proposed regulatory change</w:t>
            </w:r>
          </w:p>
        </w:tc>
        <w:tc>
          <w:tcPr>
            <w:tcW w:w="6327" w:type="dxa"/>
            <w:vMerge w:val="restart"/>
            <w:shd w:val="clear" w:color="auto" w:fill="00B2A9" w:themeFill="accent1"/>
            <w:vAlign w:val="center"/>
          </w:tcPr>
          <w:p w:rsidR="00C83190" w:rsidRPr="006A7B5F" w:rsidRDefault="00C83190">
            <w:pPr>
              <w:pStyle w:val="Tablecolumnhead"/>
            </w:pPr>
            <w:r w:rsidRPr="006A7B5F">
              <w:rPr>
                <w:szCs w:val="22"/>
              </w:rPr>
              <w:t>Why the 2017 Regulation is proposed</w:t>
            </w:r>
          </w:p>
        </w:tc>
      </w:tr>
      <w:tr w:rsidR="00B751DE" w:rsidRPr="00427EE1" w:rsidTr="006119D2">
        <w:trPr>
          <w:cantSplit/>
          <w:trHeight w:val="966"/>
          <w:tblHeader/>
        </w:trPr>
        <w:tc>
          <w:tcPr>
            <w:tcW w:w="952"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1043"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CB1480" w:rsidRPr="00427EE1" w:rsidTr="006119D2">
        <w:trPr>
          <w:cantSplit/>
          <w:trHeight w:val="340"/>
        </w:trPr>
        <w:tc>
          <w:tcPr>
            <w:tcW w:w="95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6A7B5F" w:rsidRDefault="00CB1480" w:rsidP="006757E8">
            <w:pPr>
              <w:pStyle w:val="Tabletext"/>
              <w:rPr>
                <w:rFonts w:eastAsia="Calibri"/>
                <w:b/>
              </w:rPr>
            </w:pPr>
            <w:r w:rsidRPr="006A7B5F">
              <w:rPr>
                <w:rFonts w:eastAsia="Calibri"/>
                <w:b/>
              </w:rPr>
              <w:t>n/a</w:t>
            </w:r>
          </w:p>
        </w:tc>
        <w:tc>
          <w:tcPr>
            <w:tcW w:w="10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rsidP="006757E8">
            <w:pPr>
              <w:pStyle w:val="Tabletext"/>
              <w:rPr>
                <w:rFonts w:eastAsia="Calibri"/>
                <w:lang w:eastAsia="en-US"/>
              </w:rPr>
            </w:pPr>
            <w:r w:rsidRPr="00427EE1">
              <w:rPr>
                <w:rFonts w:eastAsia="Calibri"/>
                <w:lang w:eastAsia="en-US"/>
              </w:rPr>
              <w:t>NEW</w:t>
            </w:r>
          </w:p>
          <w:p w:rsidR="00CB1480" w:rsidRPr="00427EE1" w:rsidRDefault="00CB1480">
            <w:pPr>
              <w:pStyle w:val="Tabletext"/>
              <w:rPr>
                <w:rFonts w:eastAsia="Calibri"/>
                <w:lang w:eastAsia="en-US"/>
              </w:rPr>
            </w:pPr>
            <w:r w:rsidRPr="00427EE1">
              <w:rPr>
                <w:rFonts w:eastAsia="Calibri"/>
                <w:lang w:eastAsia="en-US"/>
              </w:rPr>
              <w:t>258</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D615BC" w:rsidRPr="00427EE1" w:rsidRDefault="00CB1480">
            <w:pPr>
              <w:pStyle w:val="Tabletext"/>
              <w:rPr>
                <w:rFonts w:eastAsia="Calibri"/>
                <w:b/>
                <w:lang w:eastAsia="en-US"/>
              </w:rPr>
            </w:pPr>
            <w:r w:rsidRPr="00427EE1">
              <w:rPr>
                <w:rFonts w:eastAsia="Calibri"/>
                <w:b/>
                <w:lang w:eastAsia="en-US"/>
              </w:rPr>
              <w:t>Applications for renewal of registration</w:t>
            </w:r>
          </w:p>
          <w:p w:rsidR="00C438D3" w:rsidRDefault="002E244C">
            <w:pPr>
              <w:pStyle w:val="Tabletext"/>
              <w:rPr>
                <w:rFonts w:eastAsia="Calibri"/>
                <w:lang w:eastAsia="en-US"/>
              </w:rPr>
            </w:pPr>
            <w:r>
              <w:rPr>
                <w:rFonts w:eastAsia="Calibri"/>
                <w:lang w:eastAsia="en-US"/>
              </w:rPr>
              <w:t>E</w:t>
            </w:r>
            <w:r w:rsidR="00CB1480" w:rsidRPr="00427EE1">
              <w:rPr>
                <w:rFonts w:eastAsia="Calibri"/>
                <w:lang w:eastAsia="en-US"/>
              </w:rPr>
              <w:t>stablishes approved forms for applications for renewal of registration.</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codifies </w:t>
            </w:r>
            <w:r w:rsidR="00720C4E">
              <w:rPr>
                <w:rFonts w:eastAsia="Calibri"/>
              </w:rPr>
              <w:t>VBA</w:t>
            </w:r>
            <w:r w:rsidRPr="00427EE1">
              <w:rPr>
                <w:rFonts w:eastAsia="Calibri"/>
              </w:rPr>
              <w:t xml:space="preserve">’s current registration processes by establishing the power for an approved form for renewal of registration. This assists in providing transparency of process for applicants seeking registration as a building practitioner. </w:t>
            </w:r>
          </w:p>
        </w:tc>
      </w:tr>
      <w:tr w:rsidR="00CB1480" w:rsidRPr="00427EE1" w:rsidTr="006119D2">
        <w:trPr>
          <w:cantSplit/>
          <w:trHeight w:val="340"/>
        </w:trPr>
        <w:tc>
          <w:tcPr>
            <w:tcW w:w="95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6A7B5F" w:rsidRDefault="00CB1480" w:rsidP="006757E8">
            <w:pPr>
              <w:pStyle w:val="Tabletext"/>
              <w:rPr>
                <w:rFonts w:eastAsia="Calibri"/>
                <w:b/>
              </w:rPr>
            </w:pPr>
            <w:r w:rsidRPr="006A7B5F">
              <w:rPr>
                <w:rFonts w:eastAsia="Calibri"/>
                <w:b/>
              </w:rPr>
              <w:t>n/a</w:t>
            </w:r>
          </w:p>
        </w:tc>
        <w:tc>
          <w:tcPr>
            <w:tcW w:w="10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rsidP="006757E8">
            <w:pPr>
              <w:pStyle w:val="Tabletext"/>
              <w:rPr>
                <w:rFonts w:eastAsia="Calibri"/>
                <w:lang w:eastAsia="en-US"/>
              </w:rPr>
            </w:pPr>
            <w:r w:rsidRPr="00427EE1">
              <w:rPr>
                <w:rFonts w:eastAsia="Calibri"/>
                <w:lang w:eastAsia="en-US"/>
              </w:rPr>
              <w:t>NEW</w:t>
            </w:r>
          </w:p>
          <w:p w:rsidR="00CB1480" w:rsidRPr="00427EE1" w:rsidRDefault="00CB1480">
            <w:pPr>
              <w:pStyle w:val="Tabletext"/>
              <w:rPr>
                <w:rFonts w:eastAsia="Calibri"/>
                <w:lang w:eastAsia="en-US"/>
              </w:rPr>
            </w:pPr>
            <w:r w:rsidRPr="00427EE1">
              <w:rPr>
                <w:rFonts w:eastAsia="Calibri"/>
                <w:lang w:eastAsia="en-US"/>
              </w:rPr>
              <w:t>259</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D615BC" w:rsidRPr="00427EE1" w:rsidRDefault="00CB1480">
            <w:pPr>
              <w:pStyle w:val="Tabletext"/>
              <w:rPr>
                <w:rFonts w:eastAsia="Calibri"/>
                <w:b/>
                <w:lang w:eastAsia="en-US"/>
              </w:rPr>
            </w:pPr>
            <w:r w:rsidRPr="00427EE1">
              <w:rPr>
                <w:rFonts w:eastAsia="Calibri"/>
                <w:b/>
                <w:lang w:eastAsia="en-US"/>
              </w:rPr>
              <w:t>Renewal criteria for application for renewal of registration</w:t>
            </w:r>
          </w:p>
          <w:p w:rsidR="00CB1480" w:rsidRPr="00427EE1" w:rsidRDefault="0026629F">
            <w:pPr>
              <w:pStyle w:val="Tabletext"/>
              <w:rPr>
                <w:rFonts w:eastAsia="Calibri"/>
                <w:lang w:eastAsia="en-US"/>
              </w:rPr>
            </w:pPr>
            <w:r>
              <w:rPr>
                <w:rFonts w:eastAsia="Calibri"/>
                <w:lang w:eastAsia="en-US"/>
              </w:rPr>
              <w:t xml:space="preserve">Specifies </w:t>
            </w:r>
            <w:r w:rsidR="00CB1480" w:rsidRPr="00427EE1">
              <w:rPr>
                <w:rFonts w:eastAsia="Calibri"/>
                <w:lang w:eastAsia="en-US"/>
              </w:rPr>
              <w:t>the renewal criteria to accompany an application for registration.</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prescribes evidence of proof of identity as the accompanying information to be provided for renewal of registration, to supplement </w:t>
            </w:r>
            <w:r w:rsidR="0023395A">
              <w:rPr>
                <w:rFonts w:eastAsia="Calibri"/>
              </w:rPr>
              <w:t xml:space="preserve">s </w:t>
            </w:r>
            <w:r w:rsidRPr="00427EE1">
              <w:rPr>
                <w:rFonts w:eastAsia="Calibri"/>
              </w:rPr>
              <w:t xml:space="preserve">172AA of the Act. This provides transparency of process for applicants seeking registration as a building practitioner. </w:t>
            </w:r>
          </w:p>
        </w:tc>
      </w:tr>
    </w:tbl>
    <w:p w:rsidR="00B751DE" w:rsidRPr="00427EE1" w:rsidRDefault="00B751DE" w:rsidP="006757E8"/>
    <w:p w:rsidR="00AC4E58" w:rsidRPr="00427EE1" w:rsidRDefault="00EF2008" w:rsidP="006119D2">
      <w:pPr>
        <w:pStyle w:val="Heading4"/>
      </w:pPr>
      <w:proofErr w:type="spellStart"/>
      <w:r>
        <w:lastRenderedPageBreak/>
        <w:t>Div</w:t>
      </w:r>
      <w:proofErr w:type="spellEnd"/>
      <w:r w:rsidR="00B751DE" w:rsidRPr="00427EE1">
        <w:t xml:space="preserve"> </w:t>
      </w:r>
      <w:r w:rsidR="00C7328F">
        <w:t>4</w:t>
      </w:r>
      <w:r w:rsidR="008475D9">
        <w:t>—</w:t>
      </w:r>
      <w:r w:rsidR="00B751DE" w:rsidRPr="00427EE1">
        <w:t>Disciplinary proceedings and action for building practitioners</w:t>
      </w:r>
    </w:p>
    <w:tbl>
      <w:tblPr>
        <w:tblW w:w="14549" w:type="dxa"/>
        <w:tblInd w:w="-172"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52"/>
        <w:gridCol w:w="1029"/>
        <w:gridCol w:w="4243"/>
        <w:gridCol w:w="399"/>
        <w:gridCol w:w="399"/>
        <w:gridCol w:w="402"/>
        <w:gridCol w:w="400"/>
        <w:gridCol w:w="398"/>
        <w:gridCol w:w="6327"/>
      </w:tblGrid>
      <w:tr w:rsidR="00C83190" w:rsidRPr="00427EE1" w:rsidTr="006119D2">
        <w:trPr>
          <w:cantSplit/>
          <w:trHeight w:val="806"/>
          <w:tblHeader/>
        </w:trPr>
        <w:tc>
          <w:tcPr>
            <w:tcW w:w="952" w:type="dxa"/>
            <w:vMerge w:val="restart"/>
            <w:shd w:val="clear" w:color="auto" w:fill="00B2A9" w:themeFill="accent1"/>
            <w:vAlign w:val="center"/>
            <w:hideMark/>
          </w:tcPr>
          <w:p w:rsidR="00C83190" w:rsidRDefault="00C83190">
            <w:pPr>
              <w:pStyle w:val="Tablecolumnhead"/>
              <w:rPr>
                <w:rFonts w:asciiTheme="majorHAnsi" w:eastAsia="Calibri" w:hAnsiTheme="majorHAnsi" w:cstheme="majorBidi"/>
                <w:sz w:val="40"/>
              </w:rPr>
            </w:pPr>
            <w:r w:rsidRPr="00BE72D7">
              <w:rPr>
                <w:rFonts w:eastAsia="Calibri"/>
              </w:rPr>
              <w:t>2006</w:t>
            </w:r>
          </w:p>
          <w:p w:rsidR="00C83190" w:rsidRPr="006A7B5F" w:rsidRDefault="00C83190">
            <w:pPr>
              <w:pStyle w:val="Tablecolumnhead"/>
              <w:rPr>
                <w:rFonts w:eastAsia="Calibri"/>
              </w:rPr>
            </w:pPr>
            <w:r w:rsidRPr="00C44680">
              <w:rPr>
                <w:rFonts w:ascii="Arial Bold" w:eastAsia="Calibri" w:hAnsi="Arial Bold"/>
                <w:spacing w:val="-12"/>
                <w:sz w:val="16"/>
              </w:rPr>
              <w:t>Regulation</w:t>
            </w:r>
          </w:p>
        </w:tc>
        <w:tc>
          <w:tcPr>
            <w:tcW w:w="1029" w:type="dxa"/>
            <w:vMerge w:val="restart"/>
            <w:shd w:val="clear" w:color="auto" w:fill="00B2A9" w:themeFill="accent1"/>
            <w:vAlign w:val="center"/>
            <w:hideMark/>
          </w:tcPr>
          <w:p w:rsidR="00C83190" w:rsidRDefault="00C83190">
            <w:pPr>
              <w:pStyle w:val="Tablecolumnhead"/>
              <w:rPr>
                <w:rFonts w:asciiTheme="majorHAnsi" w:eastAsiaTheme="majorEastAsia" w:hAnsiTheme="majorHAnsi" w:cstheme="majorBidi"/>
                <w:sz w:val="40"/>
              </w:rPr>
            </w:pPr>
            <w:r w:rsidRPr="008F0E53">
              <w:rPr>
                <w:rFonts w:eastAsia="Calibri"/>
              </w:rPr>
              <w:t>2017</w:t>
            </w:r>
          </w:p>
          <w:p w:rsidR="00C83190" w:rsidRPr="006A7B5F" w:rsidRDefault="00C83190">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C83190" w:rsidRPr="006A7B5F" w:rsidRDefault="00C83190">
            <w:pPr>
              <w:pStyle w:val="Tablecolumnhead"/>
              <w:rPr>
                <w:rFonts w:eastAsia="Calibri"/>
              </w:rPr>
            </w:pPr>
            <w:r w:rsidRPr="006A7B5F">
              <w:t xml:space="preserve">Short description of the </w:t>
            </w:r>
            <w:r>
              <w:t>Regulation</w:t>
            </w:r>
          </w:p>
        </w:tc>
        <w:tc>
          <w:tcPr>
            <w:tcW w:w="1998" w:type="dxa"/>
            <w:gridSpan w:val="5"/>
            <w:shd w:val="clear" w:color="auto" w:fill="00B2A9" w:themeFill="accent1"/>
            <w:vAlign w:val="center"/>
          </w:tcPr>
          <w:p w:rsidR="00C83190" w:rsidRPr="006A7B5F" w:rsidRDefault="00C83190">
            <w:pPr>
              <w:pStyle w:val="Tablecolumnhead"/>
            </w:pPr>
            <w:r w:rsidRPr="006A7B5F">
              <w:t>Proposed regulatory change</w:t>
            </w:r>
          </w:p>
        </w:tc>
        <w:tc>
          <w:tcPr>
            <w:tcW w:w="6327" w:type="dxa"/>
            <w:vMerge w:val="restart"/>
            <w:shd w:val="clear" w:color="auto" w:fill="00B2A9" w:themeFill="accent1"/>
            <w:vAlign w:val="center"/>
          </w:tcPr>
          <w:p w:rsidR="00C83190" w:rsidRPr="006A7B5F" w:rsidRDefault="00C83190">
            <w:pPr>
              <w:pStyle w:val="Tablecolumnhead"/>
            </w:pPr>
            <w:r w:rsidRPr="006A7B5F">
              <w:t>Why the 2017 Regulation is proposed</w:t>
            </w:r>
          </w:p>
        </w:tc>
      </w:tr>
      <w:tr w:rsidR="00B751DE" w:rsidRPr="00427EE1" w:rsidTr="006119D2">
        <w:trPr>
          <w:cantSplit/>
          <w:trHeight w:val="966"/>
          <w:tblHeader/>
        </w:trPr>
        <w:tc>
          <w:tcPr>
            <w:tcW w:w="952"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1029"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CB1480" w:rsidRPr="00427EE1" w:rsidTr="006119D2">
        <w:trPr>
          <w:cantSplit/>
          <w:trHeight w:val="340"/>
        </w:trPr>
        <w:tc>
          <w:tcPr>
            <w:tcW w:w="95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rsidP="006757E8">
            <w:pPr>
              <w:pStyle w:val="Tabletext"/>
              <w:rPr>
                <w:rFonts w:eastAsia="Calibri"/>
              </w:rPr>
            </w:pPr>
            <w:r w:rsidRPr="00427EE1">
              <w:rPr>
                <w:rFonts w:eastAsia="Calibri"/>
              </w:rPr>
              <w:t>1511</w:t>
            </w:r>
          </w:p>
        </w:tc>
        <w:tc>
          <w:tcPr>
            <w:tcW w:w="102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rsidP="006757E8">
            <w:pPr>
              <w:pStyle w:val="Tabletext"/>
              <w:rPr>
                <w:rFonts w:eastAsia="Calibri"/>
                <w:lang w:eastAsia="en-US"/>
              </w:rPr>
            </w:pPr>
            <w:r w:rsidRPr="00427EE1">
              <w:rPr>
                <w:rFonts w:eastAsia="Calibri"/>
                <w:lang w:eastAsia="en-US"/>
              </w:rPr>
              <w:t>260</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D615BC" w:rsidRPr="00427EE1" w:rsidRDefault="00CB1480">
            <w:pPr>
              <w:pStyle w:val="Tabletext"/>
              <w:rPr>
                <w:rFonts w:eastAsia="Calibri"/>
                <w:b/>
                <w:lang w:eastAsia="en-US"/>
              </w:rPr>
            </w:pPr>
            <w:r w:rsidRPr="00427EE1">
              <w:rPr>
                <w:rFonts w:eastAsia="Calibri"/>
                <w:b/>
                <w:lang w:eastAsia="en-US"/>
              </w:rPr>
              <w:t>Notice of suspension or cancellation of registration</w:t>
            </w:r>
          </w:p>
          <w:p w:rsidR="00CB1480" w:rsidRPr="00427EE1" w:rsidRDefault="002E244C">
            <w:pPr>
              <w:pStyle w:val="Tabletext"/>
              <w:rPr>
                <w:rFonts w:eastAsia="Calibri"/>
                <w:lang w:eastAsia="en-US"/>
              </w:rPr>
            </w:pPr>
            <w:r>
              <w:rPr>
                <w:rFonts w:eastAsia="Calibri"/>
                <w:lang w:eastAsia="en-US"/>
              </w:rPr>
              <w:t xml:space="preserve">Establishes </w:t>
            </w:r>
            <w:r w:rsidR="00CB1480" w:rsidRPr="00427EE1">
              <w:rPr>
                <w:rFonts w:eastAsia="Calibri"/>
                <w:lang w:eastAsia="en-US"/>
              </w:rPr>
              <w:t xml:space="preserve">forms to be provided for notice of suspension or notice of cancellation of registration.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assists in administrative efficiency for building practitioners by providing template forms for suspension of registration or notice of cancellation of registration.</w:t>
            </w:r>
          </w:p>
        </w:tc>
      </w:tr>
    </w:tbl>
    <w:p w:rsidR="00AC4E58" w:rsidRPr="00427EE1" w:rsidRDefault="00AC4E58" w:rsidP="006757E8"/>
    <w:p w:rsidR="00AC4E58" w:rsidRPr="00427EE1" w:rsidRDefault="00EF2008" w:rsidP="006119D2">
      <w:pPr>
        <w:pStyle w:val="Heading4"/>
      </w:pPr>
      <w:proofErr w:type="spellStart"/>
      <w:r>
        <w:t>Div</w:t>
      </w:r>
      <w:proofErr w:type="spellEnd"/>
      <w:r w:rsidR="00B751DE" w:rsidRPr="00427EE1">
        <w:t xml:space="preserve"> </w:t>
      </w:r>
      <w:r w:rsidR="00C7328F">
        <w:t>5</w:t>
      </w:r>
      <w:r w:rsidR="008475D9">
        <w:t>—</w:t>
      </w:r>
      <w:r w:rsidR="00B751DE" w:rsidRPr="00427EE1">
        <w:t>Professional standards</w:t>
      </w:r>
    </w:p>
    <w:tbl>
      <w:tblPr>
        <w:tblW w:w="14535" w:type="dxa"/>
        <w:tblInd w:w="-158"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38"/>
        <w:gridCol w:w="1029"/>
        <w:gridCol w:w="4243"/>
        <w:gridCol w:w="399"/>
        <w:gridCol w:w="399"/>
        <w:gridCol w:w="402"/>
        <w:gridCol w:w="400"/>
        <w:gridCol w:w="398"/>
        <w:gridCol w:w="6327"/>
      </w:tblGrid>
      <w:tr w:rsidR="00C83190" w:rsidRPr="00427EE1" w:rsidTr="006119D2">
        <w:trPr>
          <w:cantSplit/>
          <w:trHeight w:val="436"/>
          <w:tblHeader/>
        </w:trPr>
        <w:tc>
          <w:tcPr>
            <w:tcW w:w="938" w:type="dxa"/>
            <w:vMerge w:val="restart"/>
            <w:shd w:val="clear" w:color="auto" w:fill="00B2A9" w:themeFill="accent1"/>
            <w:vAlign w:val="center"/>
            <w:hideMark/>
          </w:tcPr>
          <w:p w:rsidR="00C83190" w:rsidRDefault="00C83190">
            <w:pPr>
              <w:pStyle w:val="Tablecolumnhead"/>
              <w:rPr>
                <w:rFonts w:asciiTheme="majorHAnsi" w:eastAsia="Calibri" w:hAnsiTheme="majorHAnsi" w:cstheme="majorBidi"/>
                <w:sz w:val="40"/>
              </w:rPr>
            </w:pPr>
            <w:r w:rsidRPr="00BE72D7">
              <w:rPr>
                <w:rFonts w:eastAsia="Calibri"/>
              </w:rPr>
              <w:t>2006</w:t>
            </w:r>
          </w:p>
          <w:p w:rsidR="00C83190" w:rsidRPr="006A7B5F" w:rsidRDefault="00C83190">
            <w:pPr>
              <w:pStyle w:val="Tablecolumnhead"/>
              <w:rPr>
                <w:rFonts w:eastAsia="Calibri"/>
              </w:rPr>
            </w:pPr>
            <w:r w:rsidRPr="00C44680">
              <w:rPr>
                <w:rFonts w:ascii="Arial Bold" w:eastAsia="Calibri" w:hAnsi="Arial Bold"/>
                <w:spacing w:val="-12"/>
                <w:sz w:val="16"/>
              </w:rPr>
              <w:t>Regulation</w:t>
            </w:r>
          </w:p>
        </w:tc>
        <w:tc>
          <w:tcPr>
            <w:tcW w:w="1029" w:type="dxa"/>
            <w:vMerge w:val="restart"/>
            <w:shd w:val="clear" w:color="auto" w:fill="00B2A9" w:themeFill="accent1"/>
            <w:vAlign w:val="center"/>
            <w:hideMark/>
          </w:tcPr>
          <w:p w:rsidR="00C83190" w:rsidRDefault="00C83190">
            <w:pPr>
              <w:pStyle w:val="Tablecolumnhead"/>
              <w:rPr>
                <w:rFonts w:asciiTheme="majorHAnsi" w:eastAsiaTheme="majorEastAsia" w:hAnsiTheme="majorHAnsi" w:cstheme="majorBidi"/>
                <w:sz w:val="40"/>
              </w:rPr>
            </w:pPr>
            <w:r w:rsidRPr="008F0E53">
              <w:rPr>
                <w:rFonts w:eastAsia="Calibri"/>
              </w:rPr>
              <w:t>2017</w:t>
            </w:r>
          </w:p>
          <w:p w:rsidR="00C83190" w:rsidRPr="006A7B5F" w:rsidRDefault="00C83190">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C83190" w:rsidRPr="006A7B5F" w:rsidRDefault="00C83190">
            <w:pPr>
              <w:pStyle w:val="Tablecolumnhead"/>
              <w:rPr>
                <w:rFonts w:eastAsia="Calibri"/>
              </w:rPr>
            </w:pPr>
            <w:r w:rsidRPr="006A7B5F">
              <w:rPr>
                <w:szCs w:val="22"/>
              </w:rPr>
              <w:t xml:space="preserve">Short description of the </w:t>
            </w:r>
            <w:r>
              <w:rPr>
                <w:szCs w:val="22"/>
              </w:rPr>
              <w:t>Regulation</w:t>
            </w:r>
          </w:p>
        </w:tc>
        <w:tc>
          <w:tcPr>
            <w:tcW w:w="1998" w:type="dxa"/>
            <w:gridSpan w:val="5"/>
            <w:shd w:val="clear" w:color="auto" w:fill="00B2A9" w:themeFill="accent1"/>
            <w:vAlign w:val="center"/>
          </w:tcPr>
          <w:p w:rsidR="00C83190" w:rsidRPr="006A7B5F" w:rsidRDefault="00C83190">
            <w:pPr>
              <w:pStyle w:val="Tablecolumnhead"/>
            </w:pPr>
            <w:r w:rsidRPr="006A7B5F">
              <w:rPr>
                <w:szCs w:val="22"/>
              </w:rPr>
              <w:t>Proposed regulatory change</w:t>
            </w:r>
          </w:p>
        </w:tc>
        <w:tc>
          <w:tcPr>
            <w:tcW w:w="6327" w:type="dxa"/>
            <w:vMerge w:val="restart"/>
            <w:shd w:val="clear" w:color="auto" w:fill="00B2A9" w:themeFill="accent1"/>
            <w:vAlign w:val="center"/>
          </w:tcPr>
          <w:p w:rsidR="00C83190" w:rsidRPr="006A7B5F" w:rsidRDefault="00C83190">
            <w:pPr>
              <w:pStyle w:val="Tablecolumnhead"/>
            </w:pPr>
            <w:r w:rsidRPr="006A7B5F">
              <w:rPr>
                <w:szCs w:val="22"/>
              </w:rPr>
              <w:t>Why the 2017 Regulation is proposed</w:t>
            </w:r>
          </w:p>
        </w:tc>
      </w:tr>
      <w:tr w:rsidR="00B751DE" w:rsidRPr="00427EE1" w:rsidTr="006119D2">
        <w:trPr>
          <w:cantSplit/>
          <w:trHeight w:val="966"/>
          <w:tblHeader/>
        </w:trPr>
        <w:tc>
          <w:tcPr>
            <w:tcW w:w="938"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1029"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CB1480" w:rsidRPr="00427EE1" w:rsidTr="006119D2">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rsidP="006757E8">
            <w:pPr>
              <w:pStyle w:val="Tabletext"/>
              <w:rPr>
                <w:rFonts w:eastAsia="Calibri"/>
              </w:rPr>
            </w:pPr>
            <w:r w:rsidRPr="00427EE1">
              <w:rPr>
                <w:rFonts w:eastAsia="Calibri"/>
              </w:rPr>
              <w:t>1502</w:t>
            </w:r>
          </w:p>
        </w:tc>
        <w:tc>
          <w:tcPr>
            <w:tcW w:w="102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rsidP="006757E8">
            <w:pPr>
              <w:pStyle w:val="Tabletext"/>
              <w:rPr>
                <w:rFonts w:eastAsia="Calibri"/>
                <w:lang w:eastAsia="en-US"/>
              </w:rPr>
            </w:pPr>
            <w:r w:rsidRPr="00427EE1">
              <w:rPr>
                <w:rFonts w:eastAsia="Calibri"/>
                <w:lang w:eastAsia="en-US"/>
              </w:rPr>
              <w:t>261</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CB1480" w:rsidRPr="00427EE1" w:rsidRDefault="00CB1480">
            <w:pPr>
              <w:pStyle w:val="Tabletext"/>
              <w:rPr>
                <w:rFonts w:eastAsia="Calibri"/>
                <w:b/>
                <w:lang w:eastAsia="en-US"/>
              </w:rPr>
            </w:pPr>
            <w:r w:rsidRPr="00427EE1">
              <w:rPr>
                <w:rFonts w:eastAsia="Calibri"/>
                <w:b/>
                <w:lang w:eastAsia="en-US"/>
              </w:rPr>
              <w:t>Professional standards</w:t>
            </w:r>
          </w:p>
          <w:p w:rsidR="00CB1480" w:rsidRPr="00427EE1" w:rsidRDefault="0026629F">
            <w:pPr>
              <w:pStyle w:val="Tabletext"/>
              <w:rPr>
                <w:rFonts w:eastAsia="Calibri"/>
                <w:lang w:eastAsia="en-US"/>
              </w:rPr>
            </w:pPr>
            <w:r>
              <w:rPr>
                <w:rFonts w:eastAsia="Calibri"/>
                <w:lang w:eastAsia="en-US"/>
              </w:rPr>
              <w:t xml:space="preserve">Specifies </w:t>
            </w:r>
            <w:r w:rsidR="00CB1480" w:rsidRPr="00427EE1">
              <w:rPr>
                <w:rFonts w:eastAsia="Calibri"/>
                <w:lang w:eastAsia="en-US"/>
              </w:rPr>
              <w:t xml:space="preserve">the professional standards to which a building practitioner must abide.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pStyle w:val="Tabletext"/>
              <w:rPr>
                <w:rFonts w:eastAsia="Calibri"/>
              </w:rPr>
            </w:pPr>
            <w:r w:rsidRPr="00427EE1">
              <w:rPr>
                <w:rFonts w:eastAsia="Calibri"/>
              </w:rPr>
              <w:t xml:space="preserve">The </w:t>
            </w:r>
            <w:r w:rsidR="000273F9">
              <w:rPr>
                <w:rFonts w:eastAsia="Calibri"/>
              </w:rPr>
              <w:t>Regulation</w:t>
            </w:r>
            <w:r w:rsidRPr="00427EE1">
              <w:rPr>
                <w:rFonts w:eastAsia="Calibri"/>
              </w:rPr>
              <w:t xml:space="preserve"> continues to specify the professional standards to be observed by registered building practitioners in the different categories or classes of registration. This supplements </w:t>
            </w:r>
            <w:r w:rsidR="00720C4E">
              <w:rPr>
                <w:rFonts w:eastAsia="Calibri"/>
              </w:rPr>
              <w:t>VBA</w:t>
            </w:r>
            <w:r w:rsidRPr="00427EE1">
              <w:rPr>
                <w:rFonts w:eastAsia="Calibri"/>
              </w:rPr>
              <w:t xml:space="preserve">’s registration assessment process and provides standards by which to base disciplinary action. </w:t>
            </w:r>
          </w:p>
        </w:tc>
      </w:tr>
    </w:tbl>
    <w:p w:rsidR="001F2AFD" w:rsidRPr="00427EE1" w:rsidRDefault="001F2AFD" w:rsidP="006757E8"/>
    <w:p w:rsidR="00B751DE" w:rsidRPr="00427EE1" w:rsidRDefault="00EF2008" w:rsidP="006119D2">
      <w:pPr>
        <w:pStyle w:val="Heading4"/>
      </w:pPr>
      <w:proofErr w:type="spellStart"/>
      <w:r>
        <w:lastRenderedPageBreak/>
        <w:t>Div</w:t>
      </w:r>
      <w:proofErr w:type="spellEnd"/>
      <w:r w:rsidR="00B751DE" w:rsidRPr="00427EE1">
        <w:t xml:space="preserve"> </w:t>
      </w:r>
      <w:r w:rsidR="00C7328F">
        <w:t>6</w:t>
      </w:r>
      <w:r w:rsidR="008475D9">
        <w:t>—</w:t>
      </w:r>
      <w:r w:rsidR="00B751DE" w:rsidRPr="00427EE1">
        <w:t>Fees</w:t>
      </w:r>
    </w:p>
    <w:tbl>
      <w:tblPr>
        <w:tblW w:w="14549" w:type="dxa"/>
        <w:tblInd w:w="-172"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38"/>
        <w:gridCol w:w="1043"/>
        <w:gridCol w:w="4243"/>
        <w:gridCol w:w="399"/>
        <w:gridCol w:w="399"/>
        <w:gridCol w:w="402"/>
        <w:gridCol w:w="400"/>
        <w:gridCol w:w="398"/>
        <w:gridCol w:w="6327"/>
      </w:tblGrid>
      <w:tr w:rsidR="00C83190" w:rsidRPr="00427EE1" w:rsidTr="006119D2">
        <w:trPr>
          <w:cantSplit/>
          <w:trHeight w:val="319"/>
          <w:tblHeader/>
        </w:trPr>
        <w:tc>
          <w:tcPr>
            <w:tcW w:w="938" w:type="dxa"/>
            <w:vMerge w:val="restart"/>
            <w:shd w:val="clear" w:color="auto" w:fill="00B2A9" w:themeFill="accent1"/>
            <w:vAlign w:val="center"/>
            <w:hideMark/>
          </w:tcPr>
          <w:p w:rsidR="00C83190" w:rsidRDefault="00C83190">
            <w:pPr>
              <w:pStyle w:val="Tablecolumnhead"/>
              <w:rPr>
                <w:rFonts w:asciiTheme="majorHAnsi" w:eastAsia="Calibri" w:hAnsiTheme="majorHAnsi" w:cstheme="majorBidi"/>
                <w:sz w:val="40"/>
              </w:rPr>
            </w:pPr>
            <w:r w:rsidRPr="00BE72D7">
              <w:rPr>
                <w:rFonts w:eastAsia="Calibri"/>
              </w:rPr>
              <w:t>2006</w:t>
            </w:r>
          </w:p>
          <w:p w:rsidR="00C83190" w:rsidRPr="006A7B5F" w:rsidRDefault="00C83190">
            <w:pPr>
              <w:pStyle w:val="Tablecolumnhead"/>
              <w:rPr>
                <w:rFonts w:eastAsia="Calibri"/>
              </w:rPr>
            </w:pPr>
            <w:r w:rsidRPr="00C44680">
              <w:rPr>
                <w:rFonts w:ascii="Arial Bold" w:eastAsia="Calibri" w:hAnsi="Arial Bold"/>
                <w:spacing w:val="-12"/>
                <w:sz w:val="16"/>
              </w:rPr>
              <w:t>Regulation</w:t>
            </w:r>
          </w:p>
        </w:tc>
        <w:tc>
          <w:tcPr>
            <w:tcW w:w="1043" w:type="dxa"/>
            <w:vMerge w:val="restart"/>
            <w:shd w:val="clear" w:color="auto" w:fill="00B2A9" w:themeFill="accent1"/>
            <w:vAlign w:val="center"/>
            <w:hideMark/>
          </w:tcPr>
          <w:p w:rsidR="00C83190" w:rsidRDefault="00C83190">
            <w:pPr>
              <w:pStyle w:val="Tablecolumnhead"/>
              <w:rPr>
                <w:rFonts w:asciiTheme="majorHAnsi" w:eastAsiaTheme="majorEastAsia" w:hAnsiTheme="majorHAnsi" w:cstheme="majorBidi"/>
                <w:sz w:val="40"/>
              </w:rPr>
            </w:pPr>
            <w:r w:rsidRPr="008F0E53">
              <w:rPr>
                <w:rFonts w:eastAsia="Calibri"/>
              </w:rPr>
              <w:t>2017</w:t>
            </w:r>
          </w:p>
          <w:p w:rsidR="00C83190" w:rsidRPr="006A7B5F" w:rsidRDefault="00C83190">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C83190" w:rsidRPr="006A7B5F" w:rsidRDefault="00C83190">
            <w:pPr>
              <w:pStyle w:val="Tablecolumnhead"/>
              <w:rPr>
                <w:rFonts w:eastAsia="Calibri"/>
              </w:rPr>
            </w:pPr>
            <w:r w:rsidRPr="006A7B5F">
              <w:t xml:space="preserve">Short description of the </w:t>
            </w:r>
            <w:r>
              <w:t>Regulation</w:t>
            </w:r>
          </w:p>
        </w:tc>
        <w:tc>
          <w:tcPr>
            <w:tcW w:w="1998" w:type="dxa"/>
            <w:gridSpan w:val="5"/>
            <w:shd w:val="clear" w:color="auto" w:fill="00B2A9" w:themeFill="accent1"/>
            <w:vAlign w:val="center"/>
          </w:tcPr>
          <w:p w:rsidR="00C83190" w:rsidRPr="006A7B5F" w:rsidRDefault="00C83190">
            <w:pPr>
              <w:pStyle w:val="Tablecolumnhead"/>
            </w:pPr>
            <w:r w:rsidRPr="006A7B5F">
              <w:t>Proposed regulatory change</w:t>
            </w:r>
          </w:p>
        </w:tc>
        <w:tc>
          <w:tcPr>
            <w:tcW w:w="6327" w:type="dxa"/>
            <w:vMerge w:val="restart"/>
            <w:shd w:val="clear" w:color="auto" w:fill="00B2A9" w:themeFill="accent1"/>
            <w:vAlign w:val="center"/>
          </w:tcPr>
          <w:p w:rsidR="00C83190" w:rsidRPr="006A7B5F" w:rsidRDefault="00C83190">
            <w:pPr>
              <w:pStyle w:val="Tablecolumnhead"/>
            </w:pPr>
            <w:r w:rsidRPr="006A7B5F">
              <w:t>Why the 2017 Regulation is proposed</w:t>
            </w:r>
          </w:p>
        </w:tc>
      </w:tr>
      <w:tr w:rsidR="00B751DE" w:rsidRPr="00427EE1" w:rsidTr="006119D2">
        <w:trPr>
          <w:cantSplit/>
          <w:trHeight w:val="966"/>
          <w:tblHeader/>
        </w:trPr>
        <w:tc>
          <w:tcPr>
            <w:tcW w:w="938"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1043"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CB1480" w:rsidRPr="00427EE1" w:rsidTr="006119D2">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rsidP="006757E8">
            <w:pPr>
              <w:pStyle w:val="Tabletext"/>
              <w:rPr>
                <w:rFonts w:eastAsia="Calibri"/>
              </w:rPr>
            </w:pPr>
            <w:r w:rsidRPr="00427EE1">
              <w:rPr>
                <w:rFonts w:eastAsia="Calibri"/>
              </w:rPr>
              <w:t>1508</w:t>
            </w:r>
          </w:p>
        </w:tc>
        <w:tc>
          <w:tcPr>
            <w:tcW w:w="10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rsidP="006757E8">
            <w:pPr>
              <w:pStyle w:val="Tabletext"/>
              <w:rPr>
                <w:rFonts w:eastAsia="Calibri"/>
                <w:lang w:eastAsia="en-US"/>
              </w:rPr>
            </w:pPr>
            <w:r w:rsidRPr="00427EE1">
              <w:rPr>
                <w:rFonts w:eastAsia="Calibri"/>
                <w:lang w:eastAsia="en-US"/>
              </w:rPr>
              <w:t>262</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CB1480" w:rsidRPr="00427EE1" w:rsidRDefault="00CB1480">
            <w:pPr>
              <w:pStyle w:val="Tabletext"/>
              <w:rPr>
                <w:rFonts w:eastAsia="Calibri"/>
                <w:b/>
              </w:rPr>
            </w:pPr>
            <w:r w:rsidRPr="00427EE1">
              <w:rPr>
                <w:rFonts w:eastAsia="Calibri"/>
                <w:b/>
              </w:rPr>
              <w:t>Duplicate certificate fee</w:t>
            </w:r>
          </w:p>
          <w:p w:rsidR="00CB1480" w:rsidRPr="00427EE1" w:rsidRDefault="00CB1480">
            <w:pPr>
              <w:pStyle w:val="Tabletext"/>
              <w:rPr>
                <w:rFonts w:eastAsia="Calibri"/>
                <w:i/>
              </w:rPr>
            </w:pPr>
            <w:r w:rsidRPr="00427EE1">
              <w:rPr>
                <w:rFonts w:eastAsia="Calibri"/>
                <w:lang w:eastAsia="en-US"/>
              </w:rPr>
              <w:t xml:space="preserve"> </w:t>
            </w:r>
            <w:r w:rsidR="002E244C">
              <w:rPr>
                <w:rFonts w:eastAsia="Calibri"/>
                <w:lang w:eastAsia="en-US"/>
              </w:rPr>
              <w:t xml:space="preserve">Prescribes </w:t>
            </w:r>
            <w:r w:rsidRPr="00427EE1">
              <w:rPr>
                <w:rFonts w:eastAsia="Calibri"/>
              </w:rPr>
              <w:t>a fee for a duplicate practitioners certificate</w:t>
            </w:r>
            <w:r w:rsidR="00C83190">
              <w:rPr>
                <w:rFonts w:eastAsia="Calibri"/>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pStyle w:val="Tabletext"/>
              <w:rPr>
                <w:rFonts w:eastAsia="Calibri"/>
              </w:rPr>
            </w:pPr>
            <w:r w:rsidRPr="00427EE1">
              <w:rPr>
                <w:rFonts w:eastAsia="Calibri"/>
              </w:rPr>
              <w:t xml:space="preserve">The </w:t>
            </w:r>
            <w:r w:rsidR="000273F9">
              <w:rPr>
                <w:rFonts w:eastAsia="Calibri"/>
              </w:rPr>
              <w:t>Regulation</w:t>
            </w:r>
            <w:r w:rsidRPr="00427EE1">
              <w:rPr>
                <w:rFonts w:eastAsia="Calibri"/>
              </w:rPr>
              <w:t xml:space="preserve"> gives effect to </w:t>
            </w:r>
            <w:r w:rsidR="0023395A">
              <w:rPr>
                <w:rFonts w:eastAsia="Calibri"/>
              </w:rPr>
              <w:t xml:space="preserve">s </w:t>
            </w:r>
            <w:r w:rsidRPr="00427EE1">
              <w:rPr>
                <w:rFonts w:eastAsia="Calibri"/>
              </w:rPr>
              <w:t xml:space="preserve">172(7) of the Act, to prescribe a fee of 2.75 fee units for a duplicate building practitioner’s certificate. This assists the general administration of the Act. </w:t>
            </w:r>
          </w:p>
        </w:tc>
      </w:tr>
    </w:tbl>
    <w:p w:rsidR="00AC4E58" w:rsidRPr="00427EE1" w:rsidRDefault="00AC4E58" w:rsidP="006757E8"/>
    <w:p w:rsidR="00B751DE" w:rsidRPr="00427EE1" w:rsidRDefault="00EF2008" w:rsidP="006119D2">
      <w:pPr>
        <w:pStyle w:val="Heading4"/>
      </w:pPr>
      <w:proofErr w:type="spellStart"/>
      <w:r>
        <w:t>Div</w:t>
      </w:r>
      <w:proofErr w:type="spellEnd"/>
      <w:r w:rsidR="00B751DE" w:rsidRPr="00427EE1">
        <w:t xml:space="preserve"> </w:t>
      </w:r>
      <w:r w:rsidR="00C7328F">
        <w:t>7</w:t>
      </w:r>
      <w:r w:rsidR="008475D9">
        <w:t>—</w:t>
      </w:r>
      <w:r w:rsidR="00B751DE" w:rsidRPr="00427EE1">
        <w:t>Exemptions for certain building practitioners</w:t>
      </w:r>
    </w:p>
    <w:tbl>
      <w:tblPr>
        <w:tblW w:w="14549" w:type="dxa"/>
        <w:tblInd w:w="-172"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38"/>
        <w:gridCol w:w="1043"/>
        <w:gridCol w:w="4243"/>
        <w:gridCol w:w="399"/>
        <w:gridCol w:w="399"/>
        <w:gridCol w:w="402"/>
        <w:gridCol w:w="400"/>
        <w:gridCol w:w="398"/>
        <w:gridCol w:w="6327"/>
      </w:tblGrid>
      <w:tr w:rsidR="00C83190" w:rsidRPr="00427EE1" w:rsidTr="006119D2">
        <w:trPr>
          <w:cantSplit/>
          <w:trHeight w:val="54"/>
          <w:tblHeader/>
        </w:trPr>
        <w:tc>
          <w:tcPr>
            <w:tcW w:w="938" w:type="dxa"/>
            <w:vMerge w:val="restart"/>
            <w:shd w:val="clear" w:color="auto" w:fill="00B2A9" w:themeFill="accent1"/>
            <w:vAlign w:val="center"/>
            <w:hideMark/>
          </w:tcPr>
          <w:p w:rsidR="00C83190" w:rsidRDefault="00C83190">
            <w:pPr>
              <w:pStyle w:val="Tablecolumnhead"/>
              <w:rPr>
                <w:rFonts w:asciiTheme="majorHAnsi" w:eastAsia="Calibri" w:hAnsiTheme="majorHAnsi" w:cstheme="majorBidi"/>
                <w:sz w:val="40"/>
              </w:rPr>
            </w:pPr>
            <w:r w:rsidRPr="00BE72D7">
              <w:rPr>
                <w:rFonts w:eastAsia="Calibri"/>
              </w:rPr>
              <w:t>2006</w:t>
            </w:r>
          </w:p>
          <w:p w:rsidR="00C83190" w:rsidRPr="006A7B5F" w:rsidRDefault="00C83190">
            <w:pPr>
              <w:pStyle w:val="Tablecolumnhead"/>
              <w:rPr>
                <w:rFonts w:eastAsia="Calibri"/>
              </w:rPr>
            </w:pPr>
            <w:r w:rsidRPr="00C44680">
              <w:rPr>
                <w:rFonts w:ascii="Arial Bold" w:eastAsia="Calibri" w:hAnsi="Arial Bold"/>
                <w:spacing w:val="-12"/>
                <w:sz w:val="16"/>
              </w:rPr>
              <w:t>Regulation</w:t>
            </w:r>
          </w:p>
        </w:tc>
        <w:tc>
          <w:tcPr>
            <w:tcW w:w="1043" w:type="dxa"/>
            <w:vMerge w:val="restart"/>
            <w:shd w:val="clear" w:color="auto" w:fill="00B2A9" w:themeFill="accent1"/>
            <w:vAlign w:val="center"/>
            <w:hideMark/>
          </w:tcPr>
          <w:p w:rsidR="00C83190" w:rsidRDefault="00C83190">
            <w:pPr>
              <w:pStyle w:val="Tablecolumnhead"/>
              <w:rPr>
                <w:rFonts w:asciiTheme="majorHAnsi" w:eastAsiaTheme="majorEastAsia" w:hAnsiTheme="majorHAnsi" w:cstheme="majorBidi"/>
                <w:sz w:val="40"/>
              </w:rPr>
            </w:pPr>
            <w:r w:rsidRPr="008F0E53">
              <w:rPr>
                <w:rFonts w:eastAsia="Calibri"/>
              </w:rPr>
              <w:t>2017</w:t>
            </w:r>
          </w:p>
          <w:p w:rsidR="00C83190" w:rsidRPr="006A7B5F" w:rsidRDefault="00C83190">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C83190" w:rsidRPr="006A7B5F" w:rsidRDefault="00C83190">
            <w:pPr>
              <w:pStyle w:val="Tablecolumnhead"/>
              <w:rPr>
                <w:rFonts w:eastAsia="Calibri"/>
              </w:rPr>
            </w:pPr>
            <w:r w:rsidRPr="006A7B5F">
              <w:t xml:space="preserve">Short description of the </w:t>
            </w:r>
            <w:r>
              <w:t>Regulation</w:t>
            </w:r>
          </w:p>
        </w:tc>
        <w:tc>
          <w:tcPr>
            <w:tcW w:w="1998" w:type="dxa"/>
            <w:gridSpan w:val="5"/>
            <w:shd w:val="clear" w:color="auto" w:fill="00B2A9" w:themeFill="accent1"/>
            <w:vAlign w:val="center"/>
          </w:tcPr>
          <w:p w:rsidR="00C83190" w:rsidRPr="006A7B5F" w:rsidRDefault="00C83190">
            <w:pPr>
              <w:pStyle w:val="Tablecolumnhead"/>
            </w:pPr>
            <w:r w:rsidRPr="006A7B5F">
              <w:t>Proposed regulatory change</w:t>
            </w:r>
          </w:p>
        </w:tc>
        <w:tc>
          <w:tcPr>
            <w:tcW w:w="6327" w:type="dxa"/>
            <w:vMerge w:val="restart"/>
            <w:shd w:val="clear" w:color="auto" w:fill="00B2A9" w:themeFill="accent1"/>
            <w:vAlign w:val="center"/>
          </w:tcPr>
          <w:p w:rsidR="00C83190" w:rsidRPr="006A7B5F" w:rsidRDefault="00C83190">
            <w:pPr>
              <w:pStyle w:val="Tablecolumnhead"/>
            </w:pPr>
            <w:r w:rsidRPr="006A7B5F">
              <w:t>Why the 2017 Regulation is proposed</w:t>
            </w:r>
          </w:p>
        </w:tc>
      </w:tr>
      <w:tr w:rsidR="00B751DE" w:rsidRPr="00427EE1" w:rsidTr="006119D2">
        <w:trPr>
          <w:cantSplit/>
          <w:trHeight w:val="966"/>
          <w:tblHeader/>
        </w:trPr>
        <w:tc>
          <w:tcPr>
            <w:tcW w:w="938"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1043"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CB1480" w:rsidRPr="00427EE1" w:rsidTr="006119D2">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rsidP="006757E8">
            <w:pPr>
              <w:pStyle w:val="Tabletext"/>
              <w:rPr>
                <w:rFonts w:eastAsia="Calibri"/>
              </w:rPr>
            </w:pPr>
            <w:r w:rsidRPr="00427EE1">
              <w:rPr>
                <w:rFonts w:eastAsia="Calibri"/>
              </w:rPr>
              <w:t>1810</w:t>
            </w:r>
          </w:p>
        </w:tc>
        <w:tc>
          <w:tcPr>
            <w:tcW w:w="10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rsidP="006757E8">
            <w:pPr>
              <w:pStyle w:val="Tabletext"/>
              <w:rPr>
                <w:rFonts w:eastAsia="Calibri"/>
                <w:lang w:eastAsia="en-US"/>
              </w:rPr>
            </w:pPr>
            <w:r w:rsidRPr="00427EE1">
              <w:rPr>
                <w:rFonts w:eastAsia="Calibri"/>
                <w:lang w:eastAsia="en-US"/>
              </w:rPr>
              <w:t>263</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CB1480" w:rsidRPr="00427EE1" w:rsidRDefault="00CB1480">
            <w:pPr>
              <w:pStyle w:val="Tabletext"/>
              <w:rPr>
                <w:rFonts w:eastAsia="Calibri"/>
                <w:b/>
                <w:lang w:eastAsia="en-US"/>
              </w:rPr>
            </w:pPr>
            <w:r w:rsidRPr="00427EE1">
              <w:rPr>
                <w:rFonts w:eastAsia="Calibri"/>
                <w:b/>
                <w:lang w:eastAsia="en-US"/>
              </w:rPr>
              <w:t>Builders engaged in low value domestic building work</w:t>
            </w:r>
          </w:p>
          <w:p w:rsidR="00CB1480" w:rsidRPr="00427EE1" w:rsidRDefault="0026629F">
            <w:pPr>
              <w:pStyle w:val="Tabletext"/>
              <w:rPr>
                <w:rFonts w:eastAsia="Calibri"/>
                <w:lang w:eastAsia="en-US"/>
              </w:rPr>
            </w:pPr>
            <w:r>
              <w:rPr>
                <w:rFonts w:eastAsia="Calibri"/>
                <w:lang w:eastAsia="en-US"/>
              </w:rPr>
              <w:t xml:space="preserve">Specifies </w:t>
            </w:r>
            <w:r w:rsidR="00CB1480" w:rsidRPr="00427EE1">
              <w:rPr>
                <w:rFonts w:eastAsia="Calibri"/>
                <w:lang w:eastAsia="en-US"/>
              </w:rPr>
              <w:t xml:space="preserve">that persons engaged in low value domestic building work are exempt from registration as a building practitioner.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rsidP="006119D2">
            <w:pPr>
              <w:pStyle w:val="Tabletext"/>
              <w:tabs>
                <w:tab w:val="left" w:pos="5150"/>
              </w:tabs>
              <w:rPr>
                <w:rFonts w:eastAsia="Calibri"/>
              </w:rPr>
            </w:pPr>
            <w:r w:rsidRPr="00427EE1">
              <w:rPr>
                <w:rFonts w:eastAsia="Calibri"/>
              </w:rPr>
              <w:t xml:space="preserve">This </w:t>
            </w:r>
            <w:r w:rsidR="000273F9">
              <w:rPr>
                <w:rFonts w:eastAsia="Calibri"/>
              </w:rPr>
              <w:t>Regulation</w:t>
            </w:r>
            <w:r w:rsidRPr="00427EE1">
              <w:rPr>
                <w:rFonts w:eastAsia="Calibri"/>
              </w:rPr>
              <w:t xml:space="preserve"> has been updated for consistency with the </w:t>
            </w:r>
            <w:r w:rsidRPr="006119D2">
              <w:rPr>
                <w:rFonts w:eastAsia="Calibri"/>
                <w:i/>
              </w:rPr>
              <w:t>Domestic Building Contracts Act 1995</w:t>
            </w:r>
            <w:r w:rsidRPr="00427EE1">
              <w:rPr>
                <w:rFonts w:eastAsia="Calibri"/>
              </w:rPr>
              <w:t>, to allow those engaging in low value domestic building work to be titled and considered a building practitioner. This assists the general administration of the Act.</w:t>
            </w:r>
          </w:p>
        </w:tc>
      </w:tr>
      <w:tr w:rsidR="00CB1480" w:rsidRPr="00427EE1" w:rsidTr="006119D2">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rsidP="006757E8">
            <w:pPr>
              <w:pStyle w:val="Tabletext"/>
              <w:rPr>
                <w:rFonts w:eastAsia="Calibri"/>
              </w:rPr>
            </w:pPr>
            <w:r w:rsidRPr="00427EE1">
              <w:rPr>
                <w:rFonts w:eastAsia="Calibri"/>
              </w:rPr>
              <w:t>1811</w:t>
            </w:r>
          </w:p>
          <w:p w:rsidR="00CB1480" w:rsidRPr="00427EE1" w:rsidRDefault="00CB1480" w:rsidP="006757E8">
            <w:pPr>
              <w:pStyle w:val="Tabletext"/>
              <w:rPr>
                <w:rFonts w:eastAsia="Calibri"/>
              </w:rPr>
            </w:pPr>
            <w:r w:rsidRPr="00427EE1">
              <w:rPr>
                <w:rFonts w:eastAsia="Calibri"/>
              </w:rPr>
              <w:t>1812</w:t>
            </w:r>
          </w:p>
        </w:tc>
        <w:tc>
          <w:tcPr>
            <w:tcW w:w="10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pStyle w:val="Tabletext"/>
              <w:rPr>
                <w:rFonts w:eastAsia="Calibri"/>
                <w:lang w:eastAsia="en-US"/>
              </w:rPr>
            </w:pPr>
            <w:r w:rsidRPr="00427EE1">
              <w:rPr>
                <w:rFonts w:eastAsia="Calibri"/>
                <w:lang w:eastAsia="en-US"/>
              </w:rPr>
              <w:t>264</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CB1480" w:rsidRPr="00427EE1" w:rsidRDefault="00CB1480">
            <w:pPr>
              <w:pStyle w:val="Tabletext"/>
              <w:rPr>
                <w:rFonts w:eastAsia="Calibri"/>
                <w:b/>
                <w:lang w:eastAsia="en-US"/>
              </w:rPr>
            </w:pPr>
            <w:r w:rsidRPr="00427EE1">
              <w:rPr>
                <w:rFonts w:eastAsia="Calibri"/>
                <w:b/>
                <w:lang w:eastAsia="en-US"/>
              </w:rPr>
              <w:t>Builders of Class 10 buildings</w:t>
            </w:r>
          </w:p>
          <w:p w:rsidR="00CB1480" w:rsidRPr="00427EE1" w:rsidRDefault="0026629F">
            <w:pPr>
              <w:pStyle w:val="Tabletext"/>
              <w:rPr>
                <w:rFonts w:eastAsia="Calibri"/>
                <w:lang w:eastAsia="en-US"/>
              </w:rPr>
            </w:pPr>
            <w:r>
              <w:rPr>
                <w:rFonts w:eastAsia="Calibri"/>
                <w:lang w:eastAsia="en-US"/>
              </w:rPr>
              <w:t xml:space="preserve">Specifies </w:t>
            </w:r>
            <w:r w:rsidR="00CB1480" w:rsidRPr="00427EE1">
              <w:rPr>
                <w:rFonts w:eastAsia="Calibri"/>
                <w:lang w:eastAsia="en-US"/>
              </w:rPr>
              <w:t xml:space="preserve">that builders engaged in the building of </w:t>
            </w:r>
            <w:r w:rsidR="00195602">
              <w:rPr>
                <w:rFonts w:eastAsia="Calibri"/>
                <w:lang w:eastAsia="en-US"/>
              </w:rPr>
              <w:t>C</w:t>
            </w:r>
            <w:r w:rsidR="00CB1480" w:rsidRPr="00427EE1">
              <w:rPr>
                <w:rFonts w:eastAsia="Calibri"/>
                <w:lang w:eastAsia="en-US"/>
              </w:rPr>
              <w:t xml:space="preserve">lass 10 and </w:t>
            </w:r>
            <w:r w:rsidR="00195602">
              <w:rPr>
                <w:rFonts w:eastAsia="Calibri"/>
                <w:lang w:eastAsia="en-US"/>
              </w:rPr>
              <w:t>C</w:t>
            </w:r>
            <w:r w:rsidR="00CB1480" w:rsidRPr="00427EE1">
              <w:rPr>
                <w:rFonts w:eastAsia="Calibri"/>
                <w:lang w:eastAsia="en-US"/>
              </w:rPr>
              <w:t xml:space="preserve">lass 10b buildings are exempt from registration as a building practitioner.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has been updated for consistency with the BCA and to consolidate the exemptions relating to </w:t>
            </w:r>
            <w:r w:rsidR="00195602">
              <w:rPr>
                <w:rFonts w:eastAsia="Calibri"/>
              </w:rPr>
              <w:t>C</w:t>
            </w:r>
            <w:r w:rsidRPr="00427EE1">
              <w:rPr>
                <w:rFonts w:eastAsia="Calibri"/>
              </w:rPr>
              <w:t xml:space="preserve">lass 10 and </w:t>
            </w:r>
            <w:r w:rsidR="00195602">
              <w:rPr>
                <w:rFonts w:eastAsia="Calibri"/>
              </w:rPr>
              <w:t>C</w:t>
            </w:r>
            <w:r w:rsidR="00195602" w:rsidRPr="00427EE1">
              <w:rPr>
                <w:rFonts w:eastAsia="Calibri"/>
              </w:rPr>
              <w:t xml:space="preserve">lass </w:t>
            </w:r>
            <w:r w:rsidRPr="00427EE1">
              <w:rPr>
                <w:rFonts w:eastAsia="Calibri"/>
              </w:rPr>
              <w:t>10b buildings. This assists the general administration of the Act.</w:t>
            </w:r>
          </w:p>
        </w:tc>
      </w:tr>
      <w:tr w:rsidR="00CB1480" w:rsidRPr="00427EE1" w:rsidTr="006119D2">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rsidP="006757E8">
            <w:pPr>
              <w:pStyle w:val="Tabletext"/>
              <w:rPr>
                <w:rFonts w:eastAsia="Calibri"/>
              </w:rPr>
            </w:pPr>
            <w:r w:rsidRPr="00427EE1">
              <w:rPr>
                <w:rFonts w:eastAsia="Calibri"/>
              </w:rPr>
              <w:t>1813</w:t>
            </w:r>
          </w:p>
        </w:tc>
        <w:tc>
          <w:tcPr>
            <w:tcW w:w="10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rsidP="006757E8">
            <w:pPr>
              <w:pStyle w:val="Tabletext"/>
              <w:rPr>
                <w:rFonts w:eastAsia="Calibri"/>
                <w:lang w:eastAsia="en-US"/>
              </w:rPr>
            </w:pPr>
            <w:r w:rsidRPr="00427EE1">
              <w:rPr>
                <w:rFonts w:eastAsia="Calibri"/>
                <w:lang w:eastAsia="en-US"/>
              </w:rPr>
              <w:t>265</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CB1480" w:rsidRPr="00427EE1" w:rsidRDefault="00CB1480">
            <w:pPr>
              <w:pStyle w:val="Tabletext"/>
              <w:rPr>
                <w:rFonts w:eastAsia="Calibri"/>
                <w:b/>
                <w:lang w:eastAsia="en-US"/>
              </w:rPr>
            </w:pPr>
            <w:r w:rsidRPr="00427EE1">
              <w:rPr>
                <w:rFonts w:eastAsia="Calibri"/>
                <w:b/>
                <w:lang w:eastAsia="en-US"/>
              </w:rPr>
              <w:t>Draftsperson doing certain domestic building work</w:t>
            </w:r>
          </w:p>
          <w:p w:rsidR="00CB1480" w:rsidRPr="00427EE1" w:rsidRDefault="0026629F">
            <w:pPr>
              <w:pStyle w:val="Tabletext"/>
              <w:rPr>
                <w:rFonts w:eastAsia="Calibri"/>
                <w:lang w:eastAsia="en-US"/>
              </w:rPr>
            </w:pPr>
            <w:r>
              <w:rPr>
                <w:rFonts w:eastAsia="Calibri"/>
                <w:lang w:eastAsia="en-US"/>
              </w:rPr>
              <w:t xml:space="preserve">Specifies </w:t>
            </w:r>
            <w:r w:rsidR="00CB1480" w:rsidRPr="00427EE1">
              <w:rPr>
                <w:rFonts w:eastAsia="Calibri"/>
                <w:lang w:eastAsia="en-US"/>
              </w:rPr>
              <w:t>that draftspersons engaged in preparing plans and documentation are exempt from registration as a building practitioner.</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has been updated for consistency with the </w:t>
            </w:r>
            <w:r w:rsidRPr="006119D2">
              <w:rPr>
                <w:rFonts w:eastAsia="Calibri"/>
                <w:i/>
              </w:rPr>
              <w:t>Domestic Building Contracts Act 1995</w:t>
            </w:r>
            <w:r w:rsidRPr="00427EE1">
              <w:rPr>
                <w:rFonts w:eastAsia="Calibri"/>
              </w:rPr>
              <w:t>, to allow draftspersons engaging in the preparation plans and related documentation to be titled and considered a building practitioner. This assists the general administration of the Act.</w:t>
            </w:r>
          </w:p>
        </w:tc>
      </w:tr>
    </w:tbl>
    <w:p w:rsidR="00B751DE" w:rsidRPr="00427EE1" w:rsidRDefault="00B751DE" w:rsidP="006757E8"/>
    <w:p w:rsidR="00AC4E58" w:rsidRPr="00427EE1" w:rsidRDefault="004267C5" w:rsidP="006119D2">
      <w:pPr>
        <w:pStyle w:val="Heading3"/>
        <w:rPr>
          <w:color w:val="005954" w:themeColor="accent1" w:themeShade="80"/>
          <w:sz w:val="22"/>
          <w:szCs w:val="22"/>
        </w:rPr>
      </w:pPr>
      <w:bookmarkStart w:id="193" w:name="_Toc481501614"/>
      <w:r>
        <w:t xml:space="preserve">Pt </w:t>
      </w:r>
      <w:r w:rsidR="00B751DE" w:rsidRPr="00427EE1">
        <w:t>20</w:t>
      </w:r>
      <w:r w:rsidR="008475D9">
        <w:t>—</w:t>
      </w:r>
      <w:r w:rsidR="00B751DE" w:rsidRPr="00427EE1">
        <w:t>Appeals and reviews</w:t>
      </w:r>
      <w:bookmarkEnd w:id="193"/>
    </w:p>
    <w:tbl>
      <w:tblPr>
        <w:tblW w:w="14549" w:type="dxa"/>
        <w:tblInd w:w="-172"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38"/>
        <w:gridCol w:w="1043"/>
        <w:gridCol w:w="4243"/>
        <w:gridCol w:w="399"/>
        <w:gridCol w:w="399"/>
        <w:gridCol w:w="402"/>
        <w:gridCol w:w="400"/>
        <w:gridCol w:w="398"/>
        <w:gridCol w:w="6327"/>
      </w:tblGrid>
      <w:tr w:rsidR="00C83190" w:rsidRPr="00427EE1" w:rsidTr="006119D2">
        <w:trPr>
          <w:cantSplit/>
          <w:trHeight w:val="316"/>
          <w:tblHeader/>
        </w:trPr>
        <w:tc>
          <w:tcPr>
            <w:tcW w:w="938" w:type="dxa"/>
            <w:vMerge w:val="restart"/>
            <w:shd w:val="clear" w:color="auto" w:fill="00B2A9" w:themeFill="accent1"/>
            <w:vAlign w:val="center"/>
            <w:hideMark/>
          </w:tcPr>
          <w:p w:rsidR="00C83190" w:rsidRDefault="00C83190">
            <w:pPr>
              <w:pStyle w:val="Tablecolumnhead"/>
              <w:rPr>
                <w:rFonts w:asciiTheme="majorHAnsi" w:eastAsia="Calibri" w:hAnsiTheme="majorHAnsi" w:cstheme="majorBidi"/>
                <w:sz w:val="40"/>
              </w:rPr>
            </w:pPr>
            <w:r w:rsidRPr="00BE72D7">
              <w:rPr>
                <w:rFonts w:eastAsia="Calibri"/>
              </w:rPr>
              <w:t>2006</w:t>
            </w:r>
          </w:p>
          <w:p w:rsidR="00C83190" w:rsidRPr="006A7B5F" w:rsidRDefault="00C83190">
            <w:pPr>
              <w:pStyle w:val="Tablecolumnhead"/>
              <w:rPr>
                <w:rFonts w:eastAsia="Calibri"/>
              </w:rPr>
            </w:pPr>
            <w:r w:rsidRPr="00C44680">
              <w:rPr>
                <w:rFonts w:ascii="Arial Bold" w:eastAsia="Calibri" w:hAnsi="Arial Bold"/>
                <w:spacing w:val="-12"/>
                <w:sz w:val="16"/>
              </w:rPr>
              <w:t>Regulation</w:t>
            </w:r>
          </w:p>
        </w:tc>
        <w:tc>
          <w:tcPr>
            <w:tcW w:w="1043" w:type="dxa"/>
            <w:vMerge w:val="restart"/>
            <w:shd w:val="clear" w:color="auto" w:fill="00B2A9" w:themeFill="accent1"/>
            <w:vAlign w:val="center"/>
            <w:hideMark/>
          </w:tcPr>
          <w:p w:rsidR="00C83190" w:rsidRDefault="00C83190">
            <w:pPr>
              <w:pStyle w:val="Tablecolumnhead"/>
              <w:rPr>
                <w:rFonts w:asciiTheme="majorHAnsi" w:eastAsiaTheme="majorEastAsia" w:hAnsiTheme="majorHAnsi" w:cstheme="majorBidi"/>
                <w:sz w:val="40"/>
              </w:rPr>
            </w:pPr>
            <w:r w:rsidRPr="008F0E53">
              <w:rPr>
                <w:rFonts w:eastAsia="Calibri"/>
              </w:rPr>
              <w:t>2017</w:t>
            </w:r>
          </w:p>
          <w:p w:rsidR="00C83190" w:rsidRPr="006A7B5F" w:rsidRDefault="00C83190">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C83190" w:rsidRPr="006A7B5F" w:rsidRDefault="00C83190">
            <w:pPr>
              <w:pStyle w:val="Tablecolumnhead"/>
              <w:rPr>
                <w:rFonts w:eastAsia="Calibri"/>
              </w:rPr>
            </w:pPr>
            <w:r w:rsidRPr="006A7B5F">
              <w:rPr>
                <w:szCs w:val="22"/>
              </w:rPr>
              <w:t xml:space="preserve">Short description of the </w:t>
            </w:r>
            <w:r>
              <w:rPr>
                <w:szCs w:val="22"/>
              </w:rPr>
              <w:t>Regulation</w:t>
            </w:r>
          </w:p>
        </w:tc>
        <w:tc>
          <w:tcPr>
            <w:tcW w:w="1998" w:type="dxa"/>
            <w:gridSpan w:val="5"/>
            <w:shd w:val="clear" w:color="auto" w:fill="00B2A9" w:themeFill="accent1"/>
            <w:vAlign w:val="center"/>
          </w:tcPr>
          <w:p w:rsidR="00C83190" w:rsidRPr="006A7B5F" w:rsidRDefault="00C83190">
            <w:pPr>
              <w:pStyle w:val="Tablecolumnhead"/>
            </w:pPr>
            <w:r w:rsidRPr="006A7B5F">
              <w:rPr>
                <w:szCs w:val="22"/>
              </w:rPr>
              <w:t>Proposed regulatory change</w:t>
            </w:r>
          </w:p>
        </w:tc>
        <w:tc>
          <w:tcPr>
            <w:tcW w:w="6327" w:type="dxa"/>
            <w:vMerge w:val="restart"/>
            <w:shd w:val="clear" w:color="auto" w:fill="00B2A9" w:themeFill="accent1"/>
            <w:vAlign w:val="center"/>
          </w:tcPr>
          <w:p w:rsidR="00C83190" w:rsidRPr="006A7B5F" w:rsidRDefault="00C83190">
            <w:pPr>
              <w:pStyle w:val="Tablecolumnhead"/>
            </w:pPr>
            <w:r w:rsidRPr="006A7B5F">
              <w:rPr>
                <w:szCs w:val="22"/>
              </w:rPr>
              <w:t>Why the 2017 Regulation is proposed</w:t>
            </w:r>
          </w:p>
        </w:tc>
      </w:tr>
      <w:tr w:rsidR="00B751DE" w:rsidRPr="00427EE1" w:rsidTr="006119D2">
        <w:trPr>
          <w:cantSplit/>
          <w:trHeight w:val="966"/>
          <w:tblHeader/>
        </w:trPr>
        <w:tc>
          <w:tcPr>
            <w:tcW w:w="938"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1043"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CB1480" w:rsidRPr="00427EE1" w:rsidTr="006119D2">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rsidP="006757E8">
            <w:pPr>
              <w:pStyle w:val="Tabletext"/>
              <w:rPr>
                <w:rFonts w:eastAsia="Calibri"/>
              </w:rPr>
            </w:pPr>
            <w:r w:rsidRPr="00427EE1">
              <w:rPr>
                <w:rFonts w:eastAsia="Calibri"/>
              </w:rPr>
              <w:t>1601</w:t>
            </w:r>
          </w:p>
        </w:tc>
        <w:tc>
          <w:tcPr>
            <w:tcW w:w="10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rsidP="006757E8">
            <w:pPr>
              <w:pStyle w:val="Tabletext"/>
              <w:rPr>
                <w:rFonts w:eastAsia="Calibri"/>
                <w:lang w:eastAsia="en-US"/>
              </w:rPr>
            </w:pPr>
            <w:r w:rsidRPr="00427EE1">
              <w:rPr>
                <w:rFonts w:eastAsia="Calibri"/>
                <w:lang w:eastAsia="en-US"/>
              </w:rPr>
              <w:t>266</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CB1480" w:rsidRPr="00427EE1" w:rsidRDefault="00CB1480">
            <w:pPr>
              <w:pStyle w:val="Tabletext"/>
              <w:rPr>
                <w:rFonts w:eastAsia="Calibri"/>
                <w:b/>
                <w:lang w:eastAsia="en-US"/>
              </w:rPr>
            </w:pPr>
            <w:r w:rsidRPr="00427EE1">
              <w:rPr>
                <w:rFonts w:eastAsia="Calibri"/>
                <w:b/>
                <w:lang w:eastAsia="en-US"/>
              </w:rPr>
              <w:t>Appeal periods</w:t>
            </w:r>
          </w:p>
          <w:p w:rsidR="00CB1480" w:rsidRPr="00427EE1" w:rsidRDefault="002E244C">
            <w:pPr>
              <w:pStyle w:val="Tabletext"/>
              <w:rPr>
                <w:rFonts w:eastAsia="Calibri"/>
                <w:lang w:eastAsia="en-US"/>
              </w:rPr>
            </w:pPr>
            <w:r>
              <w:rPr>
                <w:rFonts w:eastAsia="Calibri"/>
                <w:lang w:eastAsia="en-US"/>
              </w:rPr>
              <w:t xml:space="preserve">Prescribes </w:t>
            </w:r>
            <w:r w:rsidR="00CB1480" w:rsidRPr="00427EE1">
              <w:rPr>
                <w:rFonts w:eastAsia="Calibri"/>
                <w:lang w:eastAsia="en-US"/>
              </w:rPr>
              <w:t xml:space="preserve">time periods for decisions of the </w:t>
            </w:r>
            <w:r w:rsidR="00666D12">
              <w:rPr>
                <w:rFonts w:eastAsia="Calibri"/>
                <w:lang w:eastAsia="en-US"/>
              </w:rPr>
              <w:t>BAB</w:t>
            </w:r>
            <w:r w:rsidR="00CB1480" w:rsidRPr="00427EE1">
              <w:rPr>
                <w:rFonts w:eastAsia="Calibri"/>
                <w:lang w:eastAsia="en-US"/>
              </w:rPr>
              <w:t xml:space="preserve"> after an appeal is made.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has been updated to clarify the sections of the Act under which right of appeal arises, the subject matter of the decisions relating to the right of appeal and the prescribed appeal period for the purposes of </w:t>
            </w:r>
            <w:r w:rsidR="0023395A">
              <w:rPr>
                <w:rFonts w:eastAsia="Calibri"/>
              </w:rPr>
              <w:t xml:space="preserve">s </w:t>
            </w:r>
            <w:r w:rsidRPr="00427EE1">
              <w:rPr>
                <w:rFonts w:eastAsia="Calibri"/>
              </w:rPr>
              <w:t xml:space="preserve">146(1)(a) of the Act. This provides additional clarity for those appealing and awaiting the effect of a </w:t>
            </w:r>
            <w:r w:rsidR="00666D12">
              <w:rPr>
                <w:rFonts w:eastAsia="Calibri"/>
              </w:rPr>
              <w:t>BAB</w:t>
            </w:r>
            <w:r w:rsidRPr="00427EE1">
              <w:rPr>
                <w:rFonts w:eastAsia="Calibri"/>
              </w:rPr>
              <w:t xml:space="preserve"> decision. </w:t>
            </w:r>
          </w:p>
        </w:tc>
      </w:tr>
      <w:tr w:rsidR="00CB1480" w:rsidRPr="00427EE1" w:rsidTr="006119D2">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rsidP="006757E8">
            <w:pPr>
              <w:pStyle w:val="Tabletext"/>
              <w:rPr>
                <w:rFonts w:eastAsia="Calibri"/>
              </w:rPr>
            </w:pPr>
            <w:r w:rsidRPr="00427EE1">
              <w:rPr>
                <w:rFonts w:eastAsia="Calibri"/>
              </w:rPr>
              <w:t>1602</w:t>
            </w:r>
          </w:p>
        </w:tc>
        <w:tc>
          <w:tcPr>
            <w:tcW w:w="10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rsidP="006757E8">
            <w:pPr>
              <w:pStyle w:val="Tabletext"/>
              <w:rPr>
                <w:rFonts w:eastAsia="Calibri"/>
                <w:lang w:eastAsia="en-US"/>
              </w:rPr>
            </w:pPr>
            <w:r w:rsidRPr="00427EE1">
              <w:rPr>
                <w:rFonts w:eastAsia="Calibri"/>
                <w:lang w:eastAsia="en-US"/>
              </w:rPr>
              <w:t>267</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CB1480" w:rsidRPr="00427EE1" w:rsidRDefault="00CB1480">
            <w:pPr>
              <w:pStyle w:val="Tabletext"/>
              <w:rPr>
                <w:rFonts w:eastAsia="Calibri"/>
                <w:b/>
                <w:lang w:eastAsia="en-US"/>
              </w:rPr>
            </w:pPr>
            <w:r w:rsidRPr="00427EE1">
              <w:rPr>
                <w:rFonts w:eastAsia="Calibri"/>
                <w:b/>
                <w:lang w:eastAsia="en-US"/>
              </w:rPr>
              <w:t>Appeal, referral and application fees</w:t>
            </w:r>
          </w:p>
          <w:p w:rsidR="00C438D3" w:rsidRDefault="002E244C">
            <w:pPr>
              <w:pStyle w:val="Tabletext"/>
              <w:rPr>
                <w:rFonts w:eastAsia="Calibri"/>
                <w:lang w:eastAsia="en-US"/>
              </w:rPr>
            </w:pPr>
            <w:r>
              <w:rPr>
                <w:rFonts w:eastAsia="Calibri"/>
                <w:lang w:eastAsia="en-US"/>
              </w:rPr>
              <w:t>P</w:t>
            </w:r>
            <w:r w:rsidR="00BB3A66" w:rsidRPr="00427EE1">
              <w:rPr>
                <w:rFonts w:eastAsia="Calibri"/>
                <w:lang w:eastAsia="en-US"/>
              </w:rPr>
              <w:t>rescribes</w:t>
            </w:r>
            <w:r w:rsidR="00CB1480" w:rsidRPr="00427EE1">
              <w:rPr>
                <w:rFonts w:eastAsia="Calibri"/>
                <w:lang w:eastAsia="en-US"/>
              </w:rPr>
              <w:t xml:space="preserve"> fees for making an appeal, a referral or an application to </w:t>
            </w:r>
            <w:r w:rsidR="00666D12">
              <w:rPr>
                <w:rFonts w:eastAsia="Calibri"/>
                <w:lang w:eastAsia="en-US"/>
              </w:rPr>
              <w:t>BAB</w:t>
            </w:r>
            <w:r w:rsidR="00CB1480" w:rsidRPr="00427EE1">
              <w:rPr>
                <w:rFonts w:eastAsia="Calibri"/>
                <w:lang w:eastAsia="en-US"/>
              </w:rPr>
              <w:t xml:space="preserve">.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assists the general administration of the appeals process and enables </w:t>
            </w:r>
            <w:r w:rsidR="00666D12">
              <w:rPr>
                <w:rFonts w:eastAsia="Calibri"/>
              </w:rPr>
              <w:t>BAB</w:t>
            </w:r>
            <w:r w:rsidRPr="00427EE1">
              <w:rPr>
                <w:rFonts w:eastAsia="Calibri"/>
              </w:rPr>
              <w:t xml:space="preserve"> to recover costs for services. The structure of the </w:t>
            </w:r>
            <w:r w:rsidR="000273F9">
              <w:rPr>
                <w:rFonts w:eastAsia="Calibri"/>
              </w:rPr>
              <w:t>Regulation</w:t>
            </w:r>
            <w:r w:rsidRPr="00427EE1">
              <w:rPr>
                <w:rFonts w:eastAsia="Calibri"/>
              </w:rPr>
              <w:t xml:space="preserve"> has been updated into three </w:t>
            </w:r>
            <w:proofErr w:type="spellStart"/>
            <w:r w:rsidRPr="00427EE1">
              <w:rPr>
                <w:rFonts w:eastAsia="Calibri"/>
              </w:rPr>
              <w:t>subregulations</w:t>
            </w:r>
            <w:proofErr w:type="spellEnd"/>
            <w:r w:rsidRPr="00427EE1">
              <w:rPr>
                <w:rFonts w:eastAsia="Calibri"/>
              </w:rPr>
              <w:t>. All these fees are set out in detail in Chapter B4.2.4. The fee units for appeals range from 13.82 and 23.04 for Class 1 &amp; 10 buildings to 23.04</w:t>
            </w:r>
            <w:r w:rsidR="00E60957">
              <w:rPr>
                <w:rFonts w:eastAsia="Calibri"/>
              </w:rPr>
              <w:t xml:space="preserve"> </w:t>
            </w:r>
            <w:r w:rsidRPr="00427EE1">
              <w:rPr>
                <w:rFonts w:eastAsia="Calibri"/>
              </w:rPr>
              <w:t>and 46.10 for Class 2</w:t>
            </w:r>
            <w:r w:rsidR="00EF2008">
              <w:rPr>
                <w:rFonts w:eastAsia="Calibri"/>
              </w:rPr>
              <w:t>–</w:t>
            </w:r>
            <w:r w:rsidRPr="00427EE1">
              <w:rPr>
                <w:rFonts w:eastAsia="Calibri"/>
              </w:rPr>
              <w:t>9 buildings. There is also a fast</w:t>
            </w:r>
            <w:r w:rsidR="00181511">
              <w:rPr>
                <w:rFonts w:eastAsia="Calibri"/>
              </w:rPr>
              <w:t>-track</w:t>
            </w:r>
            <w:r w:rsidRPr="00427EE1">
              <w:rPr>
                <w:rFonts w:eastAsia="Calibri"/>
              </w:rPr>
              <w:t xml:space="preserve"> fee of 36.88 fee units. The fee units f</w:t>
            </w:r>
            <w:r w:rsidR="00296466">
              <w:rPr>
                <w:rFonts w:eastAsia="Calibri"/>
              </w:rPr>
              <w:t>or</w:t>
            </w:r>
            <w:r w:rsidRPr="00427EE1">
              <w:rPr>
                <w:rFonts w:eastAsia="Calibri"/>
              </w:rPr>
              <w:t xml:space="preserve"> modification and compliance range from 8.29 fee units for Class 1 &amp; 10 buildings to 18.43 fee units for Class 2</w:t>
            </w:r>
            <w:r w:rsidR="00EF2008">
              <w:rPr>
                <w:rFonts w:eastAsia="Calibri"/>
              </w:rPr>
              <w:t>–</w:t>
            </w:r>
            <w:r w:rsidRPr="00427EE1">
              <w:rPr>
                <w:rFonts w:eastAsia="Calibri"/>
              </w:rPr>
              <w:t xml:space="preserve">9 buildings. Referrals (design) cost 18.43 fee units and referrals (access provisions) is 41.89 fee units. </w:t>
            </w:r>
          </w:p>
        </w:tc>
      </w:tr>
      <w:tr w:rsidR="00CB1480" w:rsidRPr="00427EE1" w:rsidTr="006119D2">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rsidP="006757E8">
            <w:pPr>
              <w:pStyle w:val="Tabletext"/>
              <w:rPr>
                <w:rFonts w:eastAsia="Calibri"/>
              </w:rPr>
            </w:pPr>
            <w:r w:rsidRPr="00427EE1">
              <w:rPr>
                <w:rFonts w:eastAsia="Calibri"/>
              </w:rPr>
              <w:t>1602(f), 1603, 1604</w:t>
            </w:r>
          </w:p>
        </w:tc>
        <w:tc>
          <w:tcPr>
            <w:tcW w:w="10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rsidP="006757E8">
            <w:pPr>
              <w:pStyle w:val="Tabletext"/>
              <w:rPr>
                <w:rFonts w:eastAsia="Calibri"/>
                <w:lang w:eastAsia="en-US"/>
              </w:rPr>
            </w:pPr>
            <w:r w:rsidRPr="00427EE1">
              <w:rPr>
                <w:rFonts w:eastAsia="Calibri"/>
                <w:lang w:eastAsia="en-US"/>
              </w:rPr>
              <w:t>268</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CB1480" w:rsidRPr="00427EE1" w:rsidRDefault="00CB1480">
            <w:pPr>
              <w:pStyle w:val="Tabletext"/>
              <w:rPr>
                <w:rFonts w:eastAsia="Calibri"/>
                <w:b/>
                <w:lang w:eastAsia="en-US"/>
              </w:rPr>
            </w:pPr>
            <w:r w:rsidRPr="00427EE1">
              <w:rPr>
                <w:rFonts w:eastAsia="Calibri"/>
                <w:b/>
                <w:lang w:eastAsia="en-US"/>
              </w:rPr>
              <w:t>Fees for fast</w:t>
            </w:r>
            <w:r w:rsidR="00181511">
              <w:rPr>
                <w:rFonts w:eastAsia="Calibri"/>
                <w:b/>
                <w:lang w:eastAsia="en-US"/>
              </w:rPr>
              <w:t>-track</w:t>
            </w:r>
            <w:r w:rsidRPr="00427EE1">
              <w:rPr>
                <w:rFonts w:eastAsia="Calibri"/>
                <w:b/>
                <w:lang w:eastAsia="en-US"/>
              </w:rPr>
              <w:t xml:space="preserve"> appeals</w:t>
            </w:r>
          </w:p>
          <w:p w:rsidR="00CB1480" w:rsidRPr="00427EE1" w:rsidRDefault="002E244C">
            <w:pPr>
              <w:pStyle w:val="Tabletext"/>
              <w:rPr>
                <w:rFonts w:eastAsia="Calibri"/>
                <w:lang w:eastAsia="en-US"/>
              </w:rPr>
            </w:pPr>
            <w:r>
              <w:rPr>
                <w:rFonts w:eastAsia="Calibri"/>
                <w:lang w:eastAsia="en-US"/>
              </w:rPr>
              <w:t xml:space="preserve">Prescribes </w:t>
            </w:r>
            <w:r w:rsidR="00CB1480" w:rsidRPr="00427EE1">
              <w:rPr>
                <w:rFonts w:eastAsia="Calibri"/>
                <w:lang w:eastAsia="en-US"/>
              </w:rPr>
              <w:t>fees for fast</w:t>
            </w:r>
            <w:r w:rsidR="00181511">
              <w:rPr>
                <w:rFonts w:eastAsia="Calibri"/>
                <w:lang w:eastAsia="en-US"/>
              </w:rPr>
              <w:t>-track</w:t>
            </w:r>
            <w:r w:rsidR="00CB1480" w:rsidRPr="00427EE1">
              <w:rPr>
                <w:rFonts w:eastAsia="Calibri"/>
                <w:lang w:eastAsia="en-US"/>
              </w:rPr>
              <w:t xml:space="preserve"> appeals, hourly based fees and the refund of a request fee if the request fee is refused.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CB1480" w:rsidRPr="00427EE1" w:rsidRDefault="00CB1480">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consolidates and updates existing </w:t>
            </w:r>
            <w:r w:rsidR="008911CB">
              <w:rPr>
                <w:rFonts w:eastAsia="Calibri"/>
              </w:rPr>
              <w:t>Regulations</w:t>
            </w:r>
            <w:r w:rsidRPr="00427EE1">
              <w:rPr>
                <w:rFonts w:eastAsia="Calibri"/>
              </w:rPr>
              <w:t xml:space="preserve"> for clarity and to assist the administration of the appeals framework. A fee for site inspections has been removed, however</w:t>
            </w:r>
            <w:r w:rsidR="00D90FC3">
              <w:rPr>
                <w:rFonts w:eastAsia="Calibri"/>
              </w:rPr>
              <w:t>,</w:t>
            </w:r>
            <w:r w:rsidRPr="00427EE1">
              <w:rPr>
                <w:rFonts w:eastAsia="Calibri"/>
              </w:rPr>
              <w:t xml:space="preserve"> as the </w:t>
            </w:r>
            <w:r w:rsidR="00195602">
              <w:rPr>
                <w:rFonts w:eastAsia="Calibri"/>
              </w:rPr>
              <w:t>department</w:t>
            </w:r>
            <w:r w:rsidRPr="00427EE1">
              <w:rPr>
                <w:rFonts w:eastAsia="Calibri"/>
              </w:rPr>
              <w:t xml:space="preserve"> understands that this activity is only undertaken for fast</w:t>
            </w:r>
            <w:r w:rsidR="00181511">
              <w:rPr>
                <w:rFonts w:eastAsia="Calibri"/>
              </w:rPr>
              <w:t>-track</w:t>
            </w:r>
            <w:r w:rsidRPr="00427EE1">
              <w:rPr>
                <w:rFonts w:eastAsia="Calibri"/>
              </w:rPr>
              <w:t xml:space="preserve"> appeals, proposed fee 268(2) is considered sufficient. The fee for making a request is 36.88 fee units, and an additional prescribed fee is 14.74 fee units </w:t>
            </w:r>
            <w:r w:rsidR="0023395A">
              <w:rPr>
                <w:rFonts w:eastAsia="Calibri"/>
              </w:rPr>
              <w:t>an</w:t>
            </w:r>
            <w:r w:rsidR="0023395A" w:rsidRPr="00427EE1">
              <w:rPr>
                <w:rFonts w:eastAsia="Calibri"/>
              </w:rPr>
              <w:t xml:space="preserve"> </w:t>
            </w:r>
            <w:r w:rsidRPr="00427EE1">
              <w:rPr>
                <w:rFonts w:eastAsia="Calibri"/>
              </w:rPr>
              <w:t>hour.</w:t>
            </w:r>
          </w:p>
        </w:tc>
      </w:tr>
      <w:tr w:rsidR="00CB1480" w:rsidRPr="00427EE1" w:rsidTr="006119D2">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rsidP="006757E8">
            <w:pPr>
              <w:pStyle w:val="Tabletext"/>
              <w:rPr>
                <w:rFonts w:eastAsia="Calibri"/>
              </w:rPr>
            </w:pPr>
            <w:r w:rsidRPr="00427EE1">
              <w:rPr>
                <w:rFonts w:eastAsia="Calibri"/>
              </w:rPr>
              <w:t>1604(2)</w:t>
            </w:r>
          </w:p>
        </w:tc>
        <w:tc>
          <w:tcPr>
            <w:tcW w:w="10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rsidP="006757E8">
            <w:pPr>
              <w:pStyle w:val="Tabletext"/>
              <w:rPr>
                <w:rFonts w:eastAsia="Calibri"/>
                <w:lang w:eastAsia="en-US"/>
              </w:rPr>
            </w:pPr>
            <w:r w:rsidRPr="00427EE1">
              <w:rPr>
                <w:rFonts w:eastAsia="Calibri"/>
                <w:lang w:eastAsia="en-US"/>
              </w:rPr>
              <w:t>269</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CB1480" w:rsidRPr="00427EE1" w:rsidRDefault="006757E8">
            <w:pPr>
              <w:pStyle w:val="Tabletext"/>
              <w:rPr>
                <w:rFonts w:eastAsia="Calibri"/>
                <w:b/>
                <w:lang w:eastAsia="en-US"/>
              </w:rPr>
            </w:pPr>
            <w:r>
              <w:rPr>
                <w:rFonts w:eastAsia="Calibri"/>
                <w:b/>
                <w:lang w:eastAsia="en-US"/>
              </w:rPr>
              <w:t>VBA</w:t>
            </w:r>
            <w:r w:rsidR="00CB1480" w:rsidRPr="00427EE1">
              <w:rPr>
                <w:rFonts w:eastAsia="Calibri"/>
                <w:b/>
                <w:lang w:eastAsia="en-US"/>
              </w:rPr>
              <w:t xml:space="preserve"> must refund fees</w:t>
            </w:r>
          </w:p>
          <w:p w:rsidR="00CB1480" w:rsidRPr="00427EE1" w:rsidRDefault="002E244C">
            <w:pPr>
              <w:pStyle w:val="Tabletext"/>
              <w:rPr>
                <w:rFonts w:eastAsia="Calibri"/>
                <w:lang w:eastAsia="en-US"/>
              </w:rPr>
            </w:pPr>
            <w:r>
              <w:rPr>
                <w:rFonts w:eastAsia="Calibri"/>
                <w:lang w:eastAsia="en-US"/>
              </w:rPr>
              <w:t xml:space="preserve">Provides </w:t>
            </w:r>
            <w:r w:rsidR="00CB1480" w:rsidRPr="00427EE1">
              <w:rPr>
                <w:rFonts w:eastAsia="Calibri"/>
                <w:lang w:eastAsia="en-US"/>
              </w:rPr>
              <w:t xml:space="preserve">that </w:t>
            </w:r>
            <w:r w:rsidR="00720C4E">
              <w:rPr>
                <w:rFonts w:eastAsia="Calibri"/>
                <w:lang w:eastAsia="en-US"/>
              </w:rPr>
              <w:t>VBA</w:t>
            </w:r>
            <w:r w:rsidR="00CB1480" w:rsidRPr="00427EE1">
              <w:rPr>
                <w:rFonts w:eastAsia="Calibri"/>
                <w:lang w:eastAsia="en-US"/>
              </w:rPr>
              <w:t xml:space="preserve"> may refund fees paid to </w:t>
            </w:r>
            <w:r w:rsidR="00666D12">
              <w:rPr>
                <w:rFonts w:eastAsia="Calibri"/>
                <w:lang w:eastAsia="en-US"/>
              </w:rPr>
              <w:t>BAB</w:t>
            </w:r>
            <w:r w:rsidR="00CB1480" w:rsidRPr="00427EE1">
              <w:rPr>
                <w:rFonts w:eastAsia="Calibri"/>
                <w:lang w:eastAsia="en-US"/>
              </w:rPr>
              <w:t xml:space="preserve"> for an appeal, request, application or referral that does not proceed.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maintains current </w:t>
            </w:r>
            <w:proofErr w:type="spellStart"/>
            <w:r w:rsidR="003902AD">
              <w:rPr>
                <w:rFonts w:eastAsia="Calibri"/>
              </w:rPr>
              <w:t>reg</w:t>
            </w:r>
            <w:proofErr w:type="spellEnd"/>
            <w:r w:rsidR="003902AD">
              <w:rPr>
                <w:rFonts w:eastAsia="Calibri"/>
              </w:rPr>
              <w:t xml:space="preserve"> 1</w:t>
            </w:r>
            <w:r w:rsidRPr="00427EE1">
              <w:rPr>
                <w:rFonts w:eastAsia="Calibri"/>
              </w:rPr>
              <w:t xml:space="preserve">604(2) and allows refunds to appeal proceedings that do not eventuate. This ensures that appeal applicants do not incur unnecessary expense. </w:t>
            </w:r>
          </w:p>
        </w:tc>
      </w:tr>
      <w:tr w:rsidR="00CB1480" w:rsidRPr="00427EE1" w:rsidTr="006119D2">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rsidP="006757E8">
            <w:pPr>
              <w:pStyle w:val="Tabletext"/>
              <w:rPr>
                <w:rFonts w:eastAsia="Calibri"/>
              </w:rPr>
            </w:pPr>
            <w:r w:rsidRPr="00427EE1">
              <w:rPr>
                <w:rFonts w:eastAsia="Calibri"/>
              </w:rPr>
              <w:lastRenderedPageBreak/>
              <w:t>1605</w:t>
            </w:r>
          </w:p>
        </w:tc>
        <w:tc>
          <w:tcPr>
            <w:tcW w:w="10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rsidP="006757E8">
            <w:pPr>
              <w:pStyle w:val="Tabletext"/>
              <w:rPr>
                <w:rFonts w:eastAsia="Calibri"/>
                <w:lang w:eastAsia="en-US"/>
              </w:rPr>
            </w:pPr>
            <w:r w:rsidRPr="00427EE1">
              <w:rPr>
                <w:rFonts w:eastAsia="Calibri"/>
                <w:lang w:eastAsia="en-US"/>
              </w:rPr>
              <w:t>270</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CB1480" w:rsidRPr="00427EE1" w:rsidRDefault="00CB1480">
            <w:pPr>
              <w:pStyle w:val="Tabletext"/>
              <w:rPr>
                <w:rFonts w:eastAsia="Calibri"/>
                <w:b/>
                <w:lang w:eastAsia="en-US"/>
              </w:rPr>
            </w:pPr>
            <w:r w:rsidRPr="00427EE1">
              <w:rPr>
                <w:rFonts w:eastAsia="Calibri"/>
                <w:b/>
                <w:lang w:eastAsia="en-US"/>
              </w:rPr>
              <w:t>Review period</w:t>
            </w:r>
          </w:p>
          <w:p w:rsidR="00CB1480" w:rsidRPr="00427EE1" w:rsidRDefault="002E244C">
            <w:pPr>
              <w:pStyle w:val="Tabletext"/>
              <w:rPr>
                <w:rFonts w:eastAsia="Calibri"/>
                <w:lang w:eastAsia="en-US"/>
              </w:rPr>
            </w:pPr>
            <w:r>
              <w:rPr>
                <w:rFonts w:eastAsia="Calibri"/>
                <w:lang w:eastAsia="en-US"/>
              </w:rPr>
              <w:t xml:space="preserve">Provides </w:t>
            </w:r>
            <w:r w:rsidR="00CB1480" w:rsidRPr="00427EE1">
              <w:rPr>
                <w:rFonts w:eastAsia="Calibri"/>
                <w:lang w:eastAsia="en-US"/>
              </w:rPr>
              <w:t xml:space="preserve">a period of 60 days to lodge a review with the Victorian Civil and Administrative Tribunal.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CB1480" w:rsidRPr="00427EE1" w:rsidRDefault="00CB1480">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continues to prescribe a 60 day period for reviews to the Victorian Civil and Administrative Tribunal.</w:t>
            </w:r>
          </w:p>
        </w:tc>
      </w:tr>
    </w:tbl>
    <w:p w:rsidR="00AC4E58" w:rsidRPr="00427EE1" w:rsidRDefault="00AC4E58" w:rsidP="006757E8"/>
    <w:p w:rsidR="00AC4E58" w:rsidRPr="00427EE1" w:rsidRDefault="004267C5" w:rsidP="006119D2">
      <w:pPr>
        <w:pStyle w:val="Heading3"/>
        <w:rPr>
          <w:color w:val="005954" w:themeColor="accent1" w:themeShade="80"/>
          <w:sz w:val="22"/>
          <w:szCs w:val="22"/>
        </w:rPr>
      </w:pPr>
      <w:bookmarkStart w:id="194" w:name="_Toc481501615"/>
      <w:r>
        <w:t xml:space="preserve">Pt </w:t>
      </w:r>
      <w:r w:rsidR="00B751DE" w:rsidRPr="00427EE1">
        <w:t>21</w:t>
      </w:r>
      <w:r w:rsidR="008475D9">
        <w:t>—</w:t>
      </w:r>
      <w:r w:rsidR="00B751DE" w:rsidRPr="00427EE1">
        <w:t>Infringement notices</w:t>
      </w:r>
      <w:bookmarkEnd w:id="194"/>
    </w:p>
    <w:tbl>
      <w:tblPr>
        <w:tblW w:w="14549" w:type="dxa"/>
        <w:tblInd w:w="-172"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38"/>
        <w:gridCol w:w="1043"/>
        <w:gridCol w:w="4243"/>
        <w:gridCol w:w="399"/>
        <w:gridCol w:w="399"/>
        <w:gridCol w:w="402"/>
        <w:gridCol w:w="400"/>
        <w:gridCol w:w="398"/>
        <w:gridCol w:w="6327"/>
      </w:tblGrid>
      <w:tr w:rsidR="00C83190" w:rsidRPr="00427EE1" w:rsidTr="006119D2">
        <w:trPr>
          <w:cantSplit/>
          <w:trHeight w:val="423"/>
          <w:tblHeader/>
        </w:trPr>
        <w:tc>
          <w:tcPr>
            <w:tcW w:w="938" w:type="dxa"/>
            <w:vMerge w:val="restart"/>
            <w:shd w:val="clear" w:color="auto" w:fill="00B2A9" w:themeFill="accent1"/>
            <w:vAlign w:val="center"/>
            <w:hideMark/>
          </w:tcPr>
          <w:p w:rsidR="00C83190" w:rsidRDefault="00C83190">
            <w:pPr>
              <w:pStyle w:val="Tablecolumnhead"/>
              <w:rPr>
                <w:rFonts w:asciiTheme="majorHAnsi" w:eastAsia="Calibri" w:hAnsiTheme="majorHAnsi" w:cstheme="majorBidi"/>
                <w:sz w:val="40"/>
              </w:rPr>
            </w:pPr>
            <w:r w:rsidRPr="00BE72D7">
              <w:rPr>
                <w:rFonts w:eastAsia="Calibri"/>
              </w:rPr>
              <w:t>2006</w:t>
            </w:r>
          </w:p>
          <w:p w:rsidR="00C83190" w:rsidRPr="001707F1" w:rsidRDefault="00C83190">
            <w:pPr>
              <w:pStyle w:val="Tablecolumnhead"/>
              <w:rPr>
                <w:rFonts w:eastAsia="Calibri"/>
              </w:rPr>
            </w:pPr>
            <w:r w:rsidRPr="00C44680">
              <w:rPr>
                <w:rFonts w:ascii="Arial Bold" w:eastAsia="Calibri" w:hAnsi="Arial Bold"/>
                <w:spacing w:val="-12"/>
                <w:sz w:val="16"/>
              </w:rPr>
              <w:t>Regulation</w:t>
            </w:r>
          </w:p>
        </w:tc>
        <w:tc>
          <w:tcPr>
            <w:tcW w:w="1043" w:type="dxa"/>
            <w:vMerge w:val="restart"/>
            <w:shd w:val="clear" w:color="auto" w:fill="00B2A9" w:themeFill="accent1"/>
            <w:vAlign w:val="center"/>
            <w:hideMark/>
          </w:tcPr>
          <w:p w:rsidR="00C83190" w:rsidRDefault="00C83190">
            <w:pPr>
              <w:pStyle w:val="Tablecolumnhead"/>
              <w:rPr>
                <w:rFonts w:asciiTheme="majorHAnsi" w:eastAsiaTheme="majorEastAsia" w:hAnsiTheme="majorHAnsi" w:cstheme="majorBidi"/>
                <w:sz w:val="40"/>
              </w:rPr>
            </w:pPr>
            <w:r w:rsidRPr="008F0E53">
              <w:rPr>
                <w:rFonts w:eastAsia="Calibri"/>
              </w:rPr>
              <w:t>2017</w:t>
            </w:r>
          </w:p>
          <w:p w:rsidR="00C83190" w:rsidRPr="001707F1" w:rsidRDefault="00C83190">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C83190" w:rsidRPr="001707F1" w:rsidRDefault="00C83190">
            <w:pPr>
              <w:pStyle w:val="Tablecolumnhead"/>
              <w:rPr>
                <w:rFonts w:eastAsia="Calibri"/>
              </w:rPr>
            </w:pPr>
            <w:r w:rsidRPr="001707F1">
              <w:rPr>
                <w:szCs w:val="22"/>
              </w:rPr>
              <w:t xml:space="preserve">Short description of the </w:t>
            </w:r>
            <w:r>
              <w:rPr>
                <w:szCs w:val="22"/>
              </w:rPr>
              <w:t>Regulation</w:t>
            </w:r>
          </w:p>
        </w:tc>
        <w:tc>
          <w:tcPr>
            <w:tcW w:w="1998" w:type="dxa"/>
            <w:gridSpan w:val="5"/>
            <w:shd w:val="clear" w:color="auto" w:fill="00B2A9" w:themeFill="accent1"/>
            <w:vAlign w:val="center"/>
          </w:tcPr>
          <w:p w:rsidR="00C83190" w:rsidRPr="001707F1" w:rsidRDefault="00C83190">
            <w:pPr>
              <w:pStyle w:val="Tablecolumnhead"/>
            </w:pPr>
            <w:r w:rsidRPr="001707F1">
              <w:rPr>
                <w:szCs w:val="22"/>
              </w:rPr>
              <w:t>Proposed regulatory change</w:t>
            </w:r>
          </w:p>
        </w:tc>
        <w:tc>
          <w:tcPr>
            <w:tcW w:w="6327" w:type="dxa"/>
            <w:vMerge w:val="restart"/>
            <w:shd w:val="clear" w:color="auto" w:fill="00B2A9" w:themeFill="accent1"/>
            <w:vAlign w:val="center"/>
          </w:tcPr>
          <w:p w:rsidR="00C83190" w:rsidRPr="001707F1" w:rsidRDefault="00C83190">
            <w:pPr>
              <w:pStyle w:val="Tablecolumnhead"/>
            </w:pPr>
            <w:r w:rsidRPr="001707F1">
              <w:rPr>
                <w:szCs w:val="22"/>
              </w:rPr>
              <w:t>Why the 2017 Regulation is proposed</w:t>
            </w:r>
          </w:p>
        </w:tc>
      </w:tr>
      <w:tr w:rsidR="00B751DE" w:rsidRPr="00427EE1" w:rsidTr="006119D2">
        <w:trPr>
          <w:cantSplit/>
          <w:trHeight w:val="966"/>
          <w:tblHeader/>
        </w:trPr>
        <w:tc>
          <w:tcPr>
            <w:tcW w:w="938"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1043"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665375" w:rsidRPr="00427EE1" w:rsidTr="006119D2">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665375" w:rsidRPr="00427EE1" w:rsidRDefault="00665375" w:rsidP="006757E8">
            <w:pPr>
              <w:pStyle w:val="Tabletext"/>
              <w:rPr>
                <w:rFonts w:eastAsia="Calibri"/>
              </w:rPr>
            </w:pPr>
            <w:r w:rsidRPr="00427EE1">
              <w:rPr>
                <w:rFonts w:eastAsia="Calibri"/>
              </w:rPr>
              <w:t>1701</w:t>
            </w:r>
          </w:p>
        </w:tc>
        <w:tc>
          <w:tcPr>
            <w:tcW w:w="10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665375" w:rsidRPr="00427EE1" w:rsidRDefault="00665375" w:rsidP="006757E8">
            <w:pPr>
              <w:pStyle w:val="Tabletext"/>
              <w:rPr>
                <w:rFonts w:eastAsia="Calibri"/>
                <w:lang w:eastAsia="en-US"/>
              </w:rPr>
            </w:pPr>
            <w:r w:rsidRPr="00427EE1">
              <w:rPr>
                <w:rFonts w:eastAsia="Calibri"/>
                <w:lang w:eastAsia="en-US"/>
              </w:rPr>
              <w:t>271</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665375" w:rsidRPr="00427EE1" w:rsidRDefault="00665375">
            <w:pPr>
              <w:pStyle w:val="Tabletext"/>
              <w:rPr>
                <w:rFonts w:eastAsia="Calibri"/>
                <w:b/>
                <w:lang w:eastAsia="en-US"/>
              </w:rPr>
            </w:pPr>
            <w:r w:rsidRPr="00427EE1">
              <w:rPr>
                <w:rFonts w:eastAsia="Calibri"/>
                <w:b/>
                <w:lang w:eastAsia="en-US"/>
              </w:rPr>
              <w:t>Application</w:t>
            </w:r>
          </w:p>
          <w:p w:rsidR="00665375" w:rsidRPr="00427EE1" w:rsidRDefault="00EF2008">
            <w:pPr>
              <w:pStyle w:val="Tabletext"/>
              <w:rPr>
                <w:rFonts w:eastAsia="Calibri"/>
                <w:lang w:eastAsia="en-US"/>
              </w:rPr>
            </w:pPr>
            <w:r>
              <w:rPr>
                <w:rFonts w:eastAsia="Calibri"/>
                <w:lang w:eastAsia="en-US"/>
              </w:rPr>
              <w:t>Pt</w:t>
            </w:r>
            <w:r w:rsidR="008911CB" w:rsidRPr="00427EE1">
              <w:rPr>
                <w:rFonts w:eastAsia="Calibri"/>
                <w:lang w:eastAsia="en-US"/>
              </w:rPr>
              <w:t xml:space="preserve"> </w:t>
            </w:r>
            <w:r w:rsidR="00665375" w:rsidRPr="00427EE1">
              <w:rPr>
                <w:rFonts w:eastAsia="Calibri"/>
                <w:lang w:eastAsia="en-US"/>
              </w:rPr>
              <w:t xml:space="preserve">17 applies to all buildings and </w:t>
            </w:r>
            <w:proofErr w:type="spellStart"/>
            <w:r w:rsidR="00A030CC">
              <w:rPr>
                <w:rFonts w:eastAsia="Calibri"/>
                <w:lang w:eastAsia="en-US"/>
              </w:rPr>
              <w:t>PoPEs</w:t>
            </w:r>
            <w:proofErr w:type="spellEnd"/>
            <w:r w:rsidR="00665375" w:rsidRPr="00427EE1">
              <w:rPr>
                <w:rFonts w:eastAsia="Calibri"/>
                <w:lang w:eastAsia="en-US"/>
              </w:rPr>
              <w:t xml:space="preserve">, whenever constructed.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665375" w:rsidRPr="00427EE1" w:rsidRDefault="00665375">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665375" w:rsidRPr="00427EE1" w:rsidRDefault="00665375">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665375" w:rsidRPr="00427EE1" w:rsidRDefault="00665375">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665375" w:rsidRPr="00427EE1" w:rsidRDefault="00665375">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665375" w:rsidRPr="00427EE1" w:rsidRDefault="00665375">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665375" w:rsidRPr="00427EE1" w:rsidRDefault="00665375">
            <w:pPr>
              <w:pStyle w:val="Tabletext"/>
              <w:rPr>
                <w:rFonts w:eastAsia="Calibri"/>
              </w:rPr>
            </w:pPr>
            <w:r w:rsidRPr="00427EE1">
              <w:rPr>
                <w:rFonts w:eastAsia="Calibri"/>
              </w:rPr>
              <w:t xml:space="preserve">Specifies the buildings that can be subject to an infringement offence under </w:t>
            </w:r>
            <w:r w:rsidR="008911CB">
              <w:rPr>
                <w:rFonts w:eastAsia="Calibri"/>
              </w:rPr>
              <w:t>pt.</w:t>
            </w:r>
            <w:r w:rsidRPr="00427EE1">
              <w:rPr>
                <w:rFonts w:eastAsia="Calibri"/>
              </w:rPr>
              <w:t xml:space="preserve"> 21</w:t>
            </w:r>
            <w:r w:rsidR="00C83190">
              <w:rPr>
                <w:rFonts w:eastAsia="Calibri"/>
              </w:rPr>
              <w:t>.</w:t>
            </w:r>
          </w:p>
        </w:tc>
      </w:tr>
      <w:tr w:rsidR="00665375" w:rsidRPr="00427EE1" w:rsidTr="006119D2">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rsidP="006757E8">
            <w:pPr>
              <w:pStyle w:val="Tabletext"/>
              <w:rPr>
                <w:rFonts w:eastAsia="Calibri"/>
              </w:rPr>
            </w:pPr>
            <w:r w:rsidRPr="00427EE1">
              <w:rPr>
                <w:rFonts w:eastAsia="Calibri"/>
              </w:rPr>
              <w:t>1702</w:t>
            </w:r>
          </w:p>
        </w:tc>
        <w:tc>
          <w:tcPr>
            <w:tcW w:w="10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rsidP="006757E8">
            <w:pPr>
              <w:pStyle w:val="Tabletext"/>
              <w:rPr>
                <w:rFonts w:eastAsia="Calibri"/>
                <w:lang w:eastAsia="en-US"/>
              </w:rPr>
            </w:pPr>
            <w:r w:rsidRPr="00427EE1">
              <w:rPr>
                <w:rFonts w:eastAsia="Calibri"/>
                <w:lang w:eastAsia="en-US"/>
              </w:rPr>
              <w:t>272</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665375" w:rsidRPr="00427EE1" w:rsidRDefault="00665375">
            <w:pPr>
              <w:pStyle w:val="Tabletext"/>
              <w:rPr>
                <w:rFonts w:eastAsia="Calibri"/>
                <w:b/>
                <w:lang w:eastAsia="en-US"/>
              </w:rPr>
            </w:pPr>
            <w:r w:rsidRPr="00427EE1">
              <w:rPr>
                <w:rFonts w:eastAsia="Calibri"/>
                <w:b/>
                <w:lang w:eastAsia="en-US"/>
              </w:rPr>
              <w:t>Authorised officers</w:t>
            </w:r>
          </w:p>
          <w:p w:rsidR="00665375" w:rsidRPr="00427EE1" w:rsidRDefault="0026629F">
            <w:pPr>
              <w:pStyle w:val="Tabletext"/>
              <w:rPr>
                <w:rFonts w:eastAsia="Calibri"/>
                <w:lang w:eastAsia="en-US"/>
              </w:rPr>
            </w:pPr>
            <w:r>
              <w:rPr>
                <w:rFonts w:eastAsia="Calibri"/>
                <w:lang w:eastAsia="en-US"/>
              </w:rPr>
              <w:t xml:space="preserve">Specifies </w:t>
            </w:r>
            <w:r w:rsidR="00665375" w:rsidRPr="00427EE1">
              <w:rPr>
                <w:rFonts w:eastAsia="Calibri"/>
                <w:lang w:eastAsia="en-US"/>
              </w:rPr>
              <w:t xml:space="preserve">the prescribed office or class of officers to give effect to the definition of </w:t>
            </w:r>
            <w:r w:rsidR="005E2285">
              <w:rPr>
                <w:rFonts w:eastAsia="Calibri"/>
                <w:lang w:eastAsia="en-US"/>
              </w:rPr>
              <w:t>'</w:t>
            </w:r>
            <w:r w:rsidR="00665375" w:rsidRPr="00427EE1">
              <w:rPr>
                <w:rFonts w:eastAsia="Calibri"/>
                <w:lang w:eastAsia="en-US"/>
              </w:rPr>
              <w:t>authorised officer</w:t>
            </w:r>
            <w:r w:rsidR="005E2285">
              <w:rPr>
                <w:rFonts w:eastAsia="Calibri"/>
                <w:lang w:eastAsia="en-US"/>
              </w:rPr>
              <w:t>'</w:t>
            </w:r>
            <w:r w:rsidR="00665375" w:rsidRPr="00427EE1">
              <w:rPr>
                <w:rFonts w:eastAsia="Calibri"/>
                <w:lang w:eastAsia="en-US"/>
              </w:rPr>
              <w:t xml:space="preserve"> for building infringement notices.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required continues to give effect to </w:t>
            </w:r>
            <w:r w:rsidR="0023395A">
              <w:rPr>
                <w:rFonts w:eastAsia="Calibri"/>
              </w:rPr>
              <w:t xml:space="preserve">s </w:t>
            </w:r>
            <w:r w:rsidRPr="00427EE1">
              <w:rPr>
                <w:rFonts w:eastAsia="Calibri"/>
              </w:rPr>
              <w:t>254 of the Act. It has been updated to provide the offences for which authorised persons are best placed to have responsibility for enforcing.</w:t>
            </w:r>
          </w:p>
        </w:tc>
      </w:tr>
      <w:tr w:rsidR="00665375" w:rsidRPr="00427EE1" w:rsidTr="006119D2">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rsidP="006757E8">
            <w:pPr>
              <w:pStyle w:val="Tabletext"/>
              <w:rPr>
                <w:rFonts w:eastAsia="Calibri"/>
              </w:rPr>
            </w:pPr>
            <w:r w:rsidRPr="00427EE1">
              <w:rPr>
                <w:rFonts w:eastAsia="Calibri"/>
              </w:rPr>
              <w:t>1703</w:t>
            </w:r>
          </w:p>
        </w:tc>
        <w:tc>
          <w:tcPr>
            <w:tcW w:w="10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rsidP="006757E8">
            <w:pPr>
              <w:pStyle w:val="Tabletext"/>
              <w:rPr>
                <w:rFonts w:eastAsia="Calibri"/>
                <w:lang w:eastAsia="en-US"/>
              </w:rPr>
            </w:pPr>
            <w:r w:rsidRPr="00427EE1">
              <w:rPr>
                <w:rFonts w:eastAsia="Calibri"/>
                <w:lang w:eastAsia="en-US"/>
              </w:rPr>
              <w:t>273</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665375" w:rsidRPr="00427EE1" w:rsidRDefault="00665375">
            <w:pPr>
              <w:pStyle w:val="Tabletext"/>
              <w:rPr>
                <w:rFonts w:eastAsia="Calibri"/>
                <w:b/>
                <w:lang w:eastAsia="en-US"/>
              </w:rPr>
            </w:pPr>
            <w:r w:rsidRPr="00427EE1">
              <w:rPr>
                <w:rFonts w:eastAsia="Calibri"/>
                <w:b/>
                <w:lang w:eastAsia="en-US"/>
              </w:rPr>
              <w:t>Prescribed offences</w:t>
            </w:r>
          </w:p>
          <w:p w:rsidR="00665375" w:rsidRPr="00427EE1" w:rsidRDefault="0026629F">
            <w:pPr>
              <w:pStyle w:val="Tabletext"/>
              <w:rPr>
                <w:rFonts w:eastAsia="Calibri"/>
                <w:lang w:eastAsia="en-US"/>
              </w:rPr>
            </w:pPr>
            <w:r>
              <w:rPr>
                <w:rFonts w:eastAsia="Calibri"/>
                <w:lang w:eastAsia="en-US"/>
              </w:rPr>
              <w:t xml:space="preserve">Specifies </w:t>
            </w:r>
            <w:r w:rsidR="00665375" w:rsidRPr="00427EE1">
              <w:rPr>
                <w:rFonts w:eastAsia="Calibri"/>
                <w:lang w:eastAsia="en-US"/>
              </w:rPr>
              <w:t xml:space="preserve">the offences in the </w:t>
            </w:r>
            <w:r w:rsidR="008911CB">
              <w:rPr>
                <w:rFonts w:eastAsia="Calibri"/>
                <w:lang w:eastAsia="en-US"/>
              </w:rPr>
              <w:t>Regulations</w:t>
            </w:r>
            <w:r w:rsidR="00665375" w:rsidRPr="00427EE1">
              <w:rPr>
                <w:rFonts w:eastAsia="Calibri"/>
                <w:lang w:eastAsia="en-US"/>
              </w:rPr>
              <w:t xml:space="preserve"> to give effect to the definition of </w:t>
            </w:r>
            <w:r w:rsidR="005E2285">
              <w:rPr>
                <w:rFonts w:eastAsia="Calibri"/>
                <w:lang w:eastAsia="en-US"/>
              </w:rPr>
              <w:t>'</w:t>
            </w:r>
            <w:r w:rsidR="00665375" w:rsidRPr="00427EE1">
              <w:rPr>
                <w:rFonts w:eastAsia="Calibri"/>
                <w:lang w:eastAsia="en-US"/>
              </w:rPr>
              <w:t>prescribed offences</w:t>
            </w:r>
            <w:r w:rsidR="005E2285">
              <w:rPr>
                <w:rFonts w:eastAsia="Calibri"/>
                <w:lang w:eastAsia="en-US"/>
              </w:rPr>
              <w:t>'</w:t>
            </w:r>
            <w:r w:rsidR="00665375" w:rsidRPr="00427EE1">
              <w:rPr>
                <w:rFonts w:eastAsia="Calibri"/>
                <w:lang w:eastAsia="en-US"/>
              </w:rPr>
              <w:t xml:space="preserve"> for building infringement notices</w:t>
            </w:r>
            <w:r w:rsidR="00C83190">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required to prescribe offences for the purposes of </w:t>
            </w:r>
            <w:r w:rsidR="0023395A">
              <w:rPr>
                <w:rFonts w:eastAsia="Calibri"/>
              </w:rPr>
              <w:t xml:space="preserve">s </w:t>
            </w:r>
            <w:r w:rsidRPr="00427EE1">
              <w:rPr>
                <w:rFonts w:eastAsia="Calibri"/>
              </w:rPr>
              <w:t xml:space="preserve">254 of the Act, which assists in the administration of the building infringement notice framework. Infringement offences relation to fire safety in certain residential buildings have been removed (current </w:t>
            </w:r>
            <w:proofErr w:type="spellStart"/>
            <w:r w:rsidR="003902AD">
              <w:rPr>
                <w:rFonts w:eastAsia="Calibri"/>
              </w:rPr>
              <w:t>regs</w:t>
            </w:r>
            <w:proofErr w:type="spellEnd"/>
            <w:r w:rsidRPr="00427EE1">
              <w:rPr>
                <w:rFonts w:eastAsia="Calibri"/>
              </w:rPr>
              <w:t xml:space="preserve"> 707</w:t>
            </w:r>
            <w:r w:rsidR="00EF2008">
              <w:rPr>
                <w:rFonts w:eastAsia="Calibri"/>
              </w:rPr>
              <w:t>–</w:t>
            </w:r>
            <w:r w:rsidRPr="00427EE1">
              <w:rPr>
                <w:rFonts w:eastAsia="Calibri"/>
              </w:rPr>
              <w:t>710), as noncompliance with these requirements needs to be treated seriously through a building notice or order.</w:t>
            </w:r>
          </w:p>
          <w:p w:rsidR="00665375" w:rsidRPr="00427EE1" w:rsidRDefault="00665375">
            <w:pPr>
              <w:pStyle w:val="Tabletext"/>
              <w:rPr>
                <w:rFonts w:eastAsia="Calibri"/>
              </w:rPr>
            </w:pPr>
            <w:r w:rsidRPr="00427EE1">
              <w:rPr>
                <w:rFonts w:eastAsia="Calibri"/>
              </w:rPr>
              <w:t xml:space="preserve">Has also been updated to include proposed </w:t>
            </w:r>
            <w:proofErr w:type="spellStart"/>
            <w:r w:rsidR="003902AD">
              <w:rPr>
                <w:rFonts w:eastAsia="Calibri"/>
              </w:rPr>
              <w:t>reg</w:t>
            </w:r>
            <w:proofErr w:type="spellEnd"/>
            <w:r w:rsidR="003902AD">
              <w:rPr>
                <w:rFonts w:eastAsia="Calibri"/>
              </w:rPr>
              <w:t xml:space="preserve"> 4</w:t>
            </w:r>
            <w:r w:rsidRPr="00427EE1">
              <w:rPr>
                <w:rFonts w:eastAsia="Calibri"/>
              </w:rPr>
              <w:t xml:space="preserve">9(1) (current </w:t>
            </w:r>
            <w:proofErr w:type="spellStart"/>
            <w:r w:rsidR="003902AD">
              <w:rPr>
                <w:rFonts w:eastAsia="Calibri"/>
              </w:rPr>
              <w:t>reg</w:t>
            </w:r>
            <w:proofErr w:type="spellEnd"/>
            <w:r w:rsidR="003902AD">
              <w:rPr>
                <w:rFonts w:eastAsia="Calibri"/>
              </w:rPr>
              <w:t xml:space="preserve"> 3</w:t>
            </w:r>
            <w:r w:rsidRPr="00427EE1">
              <w:rPr>
                <w:rFonts w:eastAsia="Calibri"/>
              </w:rPr>
              <w:t xml:space="preserve">17(1)) and proposed </w:t>
            </w:r>
            <w:proofErr w:type="spellStart"/>
            <w:r w:rsidR="003902AD">
              <w:rPr>
                <w:rFonts w:eastAsia="Calibri"/>
              </w:rPr>
              <w:t>reg</w:t>
            </w:r>
            <w:proofErr w:type="spellEnd"/>
            <w:r w:rsidR="003902AD">
              <w:rPr>
                <w:rFonts w:eastAsia="Calibri"/>
              </w:rPr>
              <w:t xml:space="preserve"> 1</w:t>
            </w:r>
            <w:r w:rsidRPr="00427EE1">
              <w:rPr>
                <w:rFonts w:eastAsia="Calibri"/>
              </w:rPr>
              <w:t xml:space="preserve">95(2) (current </w:t>
            </w:r>
            <w:proofErr w:type="spellStart"/>
            <w:r w:rsidR="003902AD">
              <w:rPr>
                <w:rFonts w:eastAsia="Calibri"/>
              </w:rPr>
              <w:t>reg</w:t>
            </w:r>
            <w:proofErr w:type="spellEnd"/>
            <w:r w:rsidR="003902AD">
              <w:rPr>
                <w:rFonts w:eastAsia="Calibri"/>
              </w:rPr>
              <w:t xml:space="preserve"> 1</w:t>
            </w:r>
            <w:r w:rsidRPr="00427EE1">
              <w:rPr>
                <w:rFonts w:eastAsia="Calibri"/>
              </w:rPr>
              <w:t xml:space="preserve">007(2)), and align with proposed changes to </w:t>
            </w:r>
            <w:proofErr w:type="spellStart"/>
            <w:r w:rsidR="008911CB">
              <w:rPr>
                <w:rFonts w:eastAsia="Calibri"/>
              </w:rPr>
              <w:t>pt</w:t>
            </w:r>
            <w:proofErr w:type="spellEnd"/>
            <w:r w:rsidRPr="00427EE1">
              <w:rPr>
                <w:rFonts w:eastAsia="Calibri"/>
              </w:rPr>
              <w:t xml:space="preserve"> 16</w:t>
            </w:r>
            <w:r w:rsidR="00EF2008">
              <w:rPr>
                <w:rFonts w:eastAsia="Calibri"/>
              </w:rPr>
              <w:t xml:space="preserve"> d</w:t>
            </w:r>
            <w:r w:rsidRPr="00427EE1">
              <w:rPr>
                <w:rFonts w:eastAsia="Calibri"/>
              </w:rPr>
              <w:t xml:space="preserve">iv 1 (maintenance of </w:t>
            </w:r>
            <w:r w:rsidR="00296466">
              <w:rPr>
                <w:rFonts w:eastAsia="Calibri"/>
              </w:rPr>
              <w:t>ESMs</w:t>
            </w:r>
            <w:r w:rsidRPr="00427EE1">
              <w:rPr>
                <w:rFonts w:eastAsia="Calibri"/>
              </w:rPr>
              <w:t>).</w:t>
            </w:r>
          </w:p>
        </w:tc>
      </w:tr>
      <w:tr w:rsidR="00665375" w:rsidRPr="00427EE1" w:rsidTr="006119D2">
        <w:trPr>
          <w:cantSplit/>
          <w:trHeight w:val="340"/>
        </w:trPr>
        <w:tc>
          <w:tcPr>
            <w:tcW w:w="93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rsidP="006757E8">
            <w:pPr>
              <w:pStyle w:val="Tabletext"/>
              <w:rPr>
                <w:rFonts w:eastAsia="Calibri"/>
              </w:rPr>
            </w:pPr>
            <w:r w:rsidRPr="00427EE1">
              <w:rPr>
                <w:rFonts w:eastAsia="Calibri"/>
              </w:rPr>
              <w:lastRenderedPageBreak/>
              <w:t>1705</w:t>
            </w:r>
          </w:p>
        </w:tc>
        <w:tc>
          <w:tcPr>
            <w:tcW w:w="10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rsidP="006757E8">
            <w:pPr>
              <w:pStyle w:val="Tabletext"/>
              <w:rPr>
                <w:rFonts w:eastAsia="Calibri"/>
                <w:lang w:eastAsia="en-US"/>
              </w:rPr>
            </w:pPr>
            <w:r w:rsidRPr="00427EE1">
              <w:rPr>
                <w:rFonts w:eastAsia="Calibri"/>
                <w:lang w:eastAsia="en-US"/>
              </w:rPr>
              <w:t>274</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665375" w:rsidRPr="00427EE1" w:rsidRDefault="00665375">
            <w:pPr>
              <w:pStyle w:val="Tabletext"/>
              <w:rPr>
                <w:rFonts w:eastAsia="Calibri"/>
                <w:b/>
                <w:lang w:eastAsia="en-US"/>
              </w:rPr>
            </w:pPr>
            <w:r w:rsidRPr="00427EE1">
              <w:rPr>
                <w:rFonts w:eastAsia="Calibri"/>
                <w:b/>
                <w:lang w:eastAsia="en-US"/>
              </w:rPr>
              <w:t>Prescribed penalties</w:t>
            </w:r>
          </w:p>
          <w:p w:rsidR="00665375" w:rsidRPr="00427EE1" w:rsidRDefault="0026629F">
            <w:pPr>
              <w:pStyle w:val="Tabletext"/>
              <w:rPr>
                <w:rFonts w:eastAsia="Calibri"/>
                <w:lang w:eastAsia="en-US"/>
              </w:rPr>
            </w:pPr>
            <w:r>
              <w:rPr>
                <w:rFonts w:eastAsia="Calibri"/>
                <w:lang w:eastAsia="en-US"/>
              </w:rPr>
              <w:t xml:space="preserve">Specifies </w:t>
            </w:r>
            <w:r w:rsidR="00665375" w:rsidRPr="00427EE1">
              <w:rPr>
                <w:rFonts w:eastAsia="Calibri"/>
                <w:lang w:eastAsia="en-US"/>
              </w:rPr>
              <w:t xml:space="preserve">the prescribed penalties for building infringement notices.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continues to prescribe </w:t>
            </w:r>
            <w:r w:rsidR="00296466">
              <w:rPr>
                <w:rFonts w:eastAsia="Calibri"/>
              </w:rPr>
              <w:t>five</w:t>
            </w:r>
            <w:r w:rsidRPr="00427EE1">
              <w:rPr>
                <w:rFonts w:eastAsia="Calibri"/>
              </w:rPr>
              <w:t xml:space="preserve"> penalty units in the case of a </w:t>
            </w:r>
            <w:proofErr w:type="spellStart"/>
            <w:r w:rsidR="00027095">
              <w:rPr>
                <w:rFonts w:eastAsia="Calibri"/>
              </w:rPr>
              <w:t>PoPE</w:t>
            </w:r>
            <w:proofErr w:type="spellEnd"/>
            <w:r w:rsidR="00F717BE">
              <w:rPr>
                <w:rFonts w:eastAsia="Calibri"/>
              </w:rPr>
              <w:t xml:space="preserve"> </w:t>
            </w:r>
            <w:r w:rsidRPr="00427EE1">
              <w:rPr>
                <w:rFonts w:eastAsia="Calibri"/>
              </w:rPr>
              <w:t xml:space="preserve">and </w:t>
            </w:r>
            <w:r w:rsidR="00296466">
              <w:rPr>
                <w:rFonts w:eastAsia="Calibri"/>
              </w:rPr>
              <w:t>two</w:t>
            </w:r>
            <w:r w:rsidRPr="00427EE1">
              <w:rPr>
                <w:rFonts w:eastAsia="Calibri"/>
              </w:rPr>
              <w:t xml:space="preserve"> penalty units in any other case, to give effect to </w:t>
            </w:r>
            <w:r w:rsidR="0023395A">
              <w:rPr>
                <w:rFonts w:eastAsia="Calibri"/>
              </w:rPr>
              <w:t xml:space="preserve">s </w:t>
            </w:r>
            <w:r w:rsidRPr="00427EE1">
              <w:rPr>
                <w:rFonts w:eastAsia="Calibri"/>
              </w:rPr>
              <w:t xml:space="preserve">255(3) of the Act. This assists in the administration of the building infringement notice framework. </w:t>
            </w:r>
          </w:p>
        </w:tc>
      </w:tr>
    </w:tbl>
    <w:p w:rsidR="00B751DE" w:rsidRPr="00427EE1" w:rsidRDefault="00B751DE" w:rsidP="006757E8"/>
    <w:p w:rsidR="00B751DE" w:rsidRPr="00427EE1" w:rsidRDefault="006E6791" w:rsidP="006119D2">
      <w:pPr>
        <w:pStyle w:val="Heading3"/>
        <w:rPr>
          <w:color w:val="005954" w:themeColor="accent1" w:themeShade="80"/>
          <w:sz w:val="22"/>
          <w:szCs w:val="22"/>
        </w:rPr>
      </w:pPr>
      <w:bookmarkStart w:id="195" w:name="_Toc481501616"/>
      <w:r w:rsidRPr="00427EE1">
        <w:t xml:space="preserve">Pt </w:t>
      </w:r>
      <w:r w:rsidR="00C7328F">
        <w:t>22</w:t>
      </w:r>
      <w:r w:rsidR="008475D9">
        <w:t>—</w:t>
      </w:r>
      <w:r w:rsidR="00B751DE" w:rsidRPr="00427EE1">
        <w:t>Exemptions</w:t>
      </w:r>
      <w:bookmarkEnd w:id="195"/>
    </w:p>
    <w:tbl>
      <w:tblPr>
        <w:tblW w:w="14493" w:type="dxa"/>
        <w:tblInd w:w="-116"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66"/>
        <w:gridCol w:w="959"/>
        <w:gridCol w:w="4243"/>
        <w:gridCol w:w="399"/>
        <w:gridCol w:w="399"/>
        <w:gridCol w:w="402"/>
        <w:gridCol w:w="400"/>
        <w:gridCol w:w="398"/>
        <w:gridCol w:w="6327"/>
      </w:tblGrid>
      <w:tr w:rsidR="00C83190" w:rsidRPr="00427EE1" w:rsidTr="006119D2">
        <w:trPr>
          <w:cantSplit/>
          <w:trHeight w:val="320"/>
          <w:tblHeader/>
        </w:trPr>
        <w:tc>
          <w:tcPr>
            <w:tcW w:w="966" w:type="dxa"/>
            <w:vMerge w:val="restart"/>
            <w:shd w:val="clear" w:color="auto" w:fill="00B2A9" w:themeFill="accent1"/>
            <w:vAlign w:val="center"/>
            <w:hideMark/>
          </w:tcPr>
          <w:p w:rsidR="00C83190" w:rsidRDefault="00C83190">
            <w:pPr>
              <w:pStyle w:val="Tablecolumnhead"/>
              <w:rPr>
                <w:rFonts w:asciiTheme="majorHAnsi" w:eastAsia="Calibri" w:hAnsiTheme="majorHAnsi" w:cstheme="majorBidi"/>
                <w:sz w:val="40"/>
              </w:rPr>
            </w:pPr>
            <w:r w:rsidRPr="00BE72D7">
              <w:rPr>
                <w:rFonts w:eastAsia="Calibri"/>
              </w:rPr>
              <w:t>2006</w:t>
            </w:r>
          </w:p>
          <w:p w:rsidR="00C83190" w:rsidRPr="001707F1" w:rsidRDefault="00C83190">
            <w:pPr>
              <w:pStyle w:val="Tablecolumnhead"/>
              <w:rPr>
                <w:rFonts w:eastAsia="Calibri"/>
              </w:rPr>
            </w:pPr>
            <w:r w:rsidRPr="00C44680">
              <w:rPr>
                <w:rFonts w:ascii="Arial Bold" w:eastAsia="Calibri" w:hAnsi="Arial Bold"/>
                <w:spacing w:val="-12"/>
                <w:sz w:val="16"/>
              </w:rPr>
              <w:t>Regulation</w:t>
            </w:r>
          </w:p>
        </w:tc>
        <w:tc>
          <w:tcPr>
            <w:tcW w:w="959" w:type="dxa"/>
            <w:vMerge w:val="restart"/>
            <w:shd w:val="clear" w:color="auto" w:fill="00B2A9" w:themeFill="accent1"/>
            <w:vAlign w:val="center"/>
            <w:hideMark/>
          </w:tcPr>
          <w:p w:rsidR="00C83190" w:rsidRDefault="00C83190">
            <w:pPr>
              <w:pStyle w:val="Tablecolumnhead"/>
              <w:rPr>
                <w:rFonts w:asciiTheme="majorHAnsi" w:eastAsiaTheme="majorEastAsia" w:hAnsiTheme="majorHAnsi" w:cstheme="majorBidi"/>
                <w:sz w:val="40"/>
              </w:rPr>
            </w:pPr>
            <w:r w:rsidRPr="008F0E53">
              <w:rPr>
                <w:rFonts w:eastAsia="Calibri"/>
              </w:rPr>
              <w:t>2017</w:t>
            </w:r>
          </w:p>
          <w:p w:rsidR="00C83190" w:rsidRPr="001707F1" w:rsidRDefault="00C83190">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C83190" w:rsidRPr="001707F1" w:rsidRDefault="00C83190">
            <w:pPr>
              <w:pStyle w:val="Tablecolumnhead"/>
              <w:rPr>
                <w:rFonts w:eastAsia="Calibri"/>
              </w:rPr>
            </w:pPr>
            <w:r w:rsidRPr="001707F1">
              <w:rPr>
                <w:szCs w:val="22"/>
              </w:rPr>
              <w:t xml:space="preserve">Short description of the </w:t>
            </w:r>
            <w:r>
              <w:rPr>
                <w:szCs w:val="22"/>
              </w:rPr>
              <w:t>Regulation</w:t>
            </w:r>
          </w:p>
        </w:tc>
        <w:tc>
          <w:tcPr>
            <w:tcW w:w="1998" w:type="dxa"/>
            <w:gridSpan w:val="5"/>
            <w:shd w:val="clear" w:color="auto" w:fill="00B2A9" w:themeFill="accent1"/>
            <w:vAlign w:val="center"/>
          </w:tcPr>
          <w:p w:rsidR="00C83190" w:rsidRPr="001707F1" w:rsidRDefault="00C83190">
            <w:pPr>
              <w:pStyle w:val="Tablecolumnhead"/>
            </w:pPr>
            <w:r w:rsidRPr="001707F1">
              <w:rPr>
                <w:szCs w:val="22"/>
              </w:rPr>
              <w:t>Proposed regulatory change</w:t>
            </w:r>
          </w:p>
        </w:tc>
        <w:tc>
          <w:tcPr>
            <w:tcW w:w="6327" w:type="dxa"/>
            <w:vMerge w:val="restart"/>
            <w:shd w:val="clear" w:color="auto" w:fill="00B2A9" w:themeFill="accent1"/>
            <w:vAlign w:val="center"/>
          </w:tcPr>
          <w:p w:rsidR="00C83190" w:rsidRPr="001707F1" w:rsidRDefault="00C83190">
            <w:pPr>
              <w:pStyle w:val="Tablecolumnhead"/>
            </w:pPr>
            <w:r w:rsidRPr="001707F1">
              <w:rPr>
                <w:szCs w:val="22"/>
              </w:rPr>
              <w:t>Why the 2017 Regulation is proposed</w:t>
            </w:r>
          </w:p>
        </w:tc>
      </w:tr>
      <w:tr w:rsidR="00B751DE" w:rsidRPr="00427EE1" w:rsidTr="006119D2">
        <w:trPr>
          <w:cantSplit/>
          <w:trHeight w:val="966"/>
          <w:tblHeader/>
        </w:trPr>
        <w:tc>
          <w:tcPr>
            <w:tcW w:w="966"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959"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B751DE"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rPr>
            </w:pPr>
            <w:r w:rsidRPr="00427EE1">
              <w:rPr>
                <w:rFonts w:eastAsia="Calibri"/>
              </w:rPr>
              <w:t>1802</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lang w:eastAsia="en-US"/>
              </w:rPr>
            </w:pPr>
            <w:r w:rsidRPr="00427EE1">
              <w:rPr>
                <w:rFonts w:eastAsia="Calibri"/>
                <w:lang w:eastAsia="en-US"/>
              </w:rPr>
              <w:t>275</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B751DE" w:rsidRPr="00427EE1" w:rsidRDefault="00B751DE">
            <w:pPr>
              <w:pStyle w:val="Tabletext"/>
              <w:rPr>
                <w:rFonts w:eastAsia="Calibri"/>
                <w:b/>
                <w:lang w:eastAsia="en-US"/>
              </w:rPr>
            </w:pPr>
            <w:r w:rsidRPr="00427EE1">
              <w:rPr>
                <w:rFonts w:eastAsia="Calibri"/>
                <w:b/>
                <w:lang w:eastAsia="en-US"/>
              </w:rPr>
              <w:t xml:space="preserve">Exemptions from building </w:t>
            </w:r>
            <w:r w:rsidR="008911CB">
              <w:rPr>
                <w:rFonts w:eastAsia="Calibri"/>
                <w:b/>
                <w:lang w:eastAsia="en-US"/>
              </w:rPr>
              <w:t>Regulations</w:t>
            </w:r>
          </w:p>
          <w:p w:rsidR="00B751DE" w:rsidRPr="00427EE1" w:rsidRDefault="002E244C">
            <w:pPr>
              <w:pStyle w:val="Tabletext"/>
              <w:rPr>
                <w:rFonts w:eastAsia="Calibri"/>
                <w:lang w:eastAsia="en-US"/>
              </w:rPr>
            </w:pPr>
            <w:r>
              <w:rPr>
                <w:rFonts w:eastAsia="Calibri"/>
                <w:lang w:eastAsia="en-US"/>
              </w:rPr>
              <w:t xml:space="preserve">Establishes </w:t>
            </w:r>
            <w:r w:rsidR="00B751DE" w:rsidRPr="00427EE1">
              <w:rPr>
                <w:rFonts w:eastAsia="Calibri"/>
              </w:rPr>
              <w:t xml:space="preserve">that the buildings and building work specified in </w:t>
            </w:r>
            <w:proofErr w:type="spellStart"/>
            <w:r w:rsidR="00995450">
              <w:rPr>
                <w:rFonts w:eastAsia="Calibri"/>
              </w:rPr>
              <w:t>sch</w:t>
            </w:r>
            <w:proofErr w:type="spellEnd"/>
            <w:r w:rsidR="00995450">
              <w:rPr>
                <w:rFonts w:eastAsia="Calibri"/>
              </w:rPr>
              <w:t xml:space="preserve"> </w:t>
            </w:r>
            <w:r w:rsidR="00B751DE" w:rsidRPr="00427EE1">
              <w:rPr>
                <w:rFonts w:eastAsia="Calibri"/>
              </w:rPr>
              <w:t xml:space="preserve">3 are exempt from the building </w:t>
            </w:r>
            <w:r w:rsidR="008911CB">
              <w:rPr>
                <w:rFonts w:eastAsia="Calibri"/>
              </w:rPr>
              <w:t>Regulations</w:t>
            </w:r>
            <w:r w:rsidR="00B751DE" w:rsidRPr="00427EE1">
              <w:rPr>
                <w:rFonts w:eastAsia="Calibri"/>
              </w:rPr>
              <w:t>.</w:t>
            </w:r>
            <w:r w:rsidR="00B751DE" w:rsidRPr="00427EE1">
              <w:rPr>
                <w:rFonts w:eastAsia="Calibri"/>
                <w:lang w:eastAsia="en-US"/>
              </w:rPr>
              <w:t xml:space="preserve">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D615BC" w:rsidRPr="00427EE1" w:rsidRDefault="00B751DE">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has been updated to modernise the drafting structure.</w:t>
            </w:r>
          </w:p>
          <w:p w:rsidR="00D615BC" w:rsidRPr="00427EE1" w:rsidRDefault="00A934F8">
            <w:pPr>
              <w:pStyle w:val="Tabletext"/>
              <w:rPr>
                <w:rFonts w:eastAsia="Calibri"/>
              </w:rPr>
            </w:pPr>
            <w:r w:rsidRPr="00427EE1">
              <w:rPr>
                <w:rFonts w:eastAsia="Calibri"/>
              </w:rPr>
              <w:t>Item 1: Exemption for construction of a 10</w:t>
            </w:r>
            <w:r w:rsidR="009E1732">
              <w:rPr>
                <w:rFonts w:eastAsia="Calibri"/>
              </w:rPr>
              <w:t xml:space="preserve"> m</w:t>
            </w:r>
            <w:r w:rsidR="009E1732" w:rsidRPr="006119D2">
              <w:rPr>
                <w:rFonts w:eastAsia="Calibri"/>
                <w:vertAlign w:val="superscript"/>
              </w:rPr>
              <w:t>2</w:t>
            </w:r>
            <w:r w:rsidRPr="00427EE1">
              <w:rPr>
                <w:rFonts w:eastAsia="Calibri"/>
              </w:rPr>
              <w:t xml:space="preserve"> shed has been updated to provide for the construction of a shed on otherwise undeveloped land.</w:t>
            </w:r>
          </w:p>
          <w:p w:rsidR="00B751DE" w:rsidRPr="00427EE1" w:rsidRDefault="00A934F8">
            <w:pPr>
              <w:pStyle w:val="Tabletext"/>
              <w:rPr>
                <w:rFonts w:eastAsia="Calibri"/>
              </w:rPr>
            </w:pPr>
            <w:r w:rsidRPr="00427EE1">
              <w:rPr>
                <w:rFonts w:eastAsia="Calibri"/>
              </w:rPr>
              <w:t xml:space="preserve">Item 12: Exemption for construction of a sign has been clarified so that the exemption applies to a Class 10b structure constructed </w:t>
            </w:r>
            <w:r w:rsidR="00D90FC3">
              <w:rPr>
                <w:rFonts w:eastAsia="Calibri"/>
              </w:rPr>
              <w:t xml:space="preserve">to </w:t>
            </w:r>
            <w:r w:rsidRPr="00427EE1">
              <w:rPr>
                <w:rFonts w:eastAsia="Calibri"/>
              </w:rPr>
              <w:t xml:space="preserve">display a sign. </w:t>
            </w:r>
          </w:p>
        </w:tc>
      </w:tr>
      <w:tr w:rsidR="00B751DE"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D9D9D9" w:themeFill="background1" w:themeFillShade="D9"/>
            <w:vAlign w:val="center"/>
          </w:tcPr>
          <w:p w:rsidR="00B751DE" w:rsidRPr="00427EE1" w:rsidRDefault="00B751DE" w:rsidP="006757E8">
            <w:pPr>
              <w:pStyle w:val="Tabletext"/>
              <w:rPr>
                <w:rFonts w:eastAsia="Calibri"/>
              </w:rPr>
            </w:pPr>
            <w:r w:rsidRPr="00427EE1">
              <w:rPr>
                <w:rFonts w:eastAsia="Calibri"/>
              </w:rPr>
              <w:t>1803</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D9D9D9" w:themeFill="background1" w:themeFillShade="D9"/>
            <w:vAlign w:val="center"/>
          </w:tcPr>
          <w:p w:rsidR="00B751DE" w:rsidRPr="00427EE1" w:rsidRDefault="00107811" w:rsidP="006757E8">
            <w:pPr>
              <w:pStyle w:val="Tabletext"/>
              <w:rPr>
                <w:rFonts w:eastAsia="Calibri"/>
                <w:lang w:eastAsia="en-US"/>
              </w:rPr>
            </w:pPr>
            <w:r>
              <w:rPr>
                <w:rFonts w:eastAsia="Calibri"/>
                <w:lang w:eastAsia="en-US"/>
              </w:rPr>
              <w:t>207</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D9D9D9" w:themeFill="background1" w:themeFillShade="D9"/>
          </w:tcPr>
          <w:p w:rsidR="00B751DE" w:rsidRPr="00427EE1" w:rsidRDefault="00B751DE">
            <w:pPr>
              <w:pStyle w:val="Tabletext"/>
              <w:rPr>
                <w:rFonts w:eastAsia="Calibri"/>
              </w:rPr>
            </w:pPr>
            <w:r w:rsidRPr="00427EE1">
              <w:rPr>
                <w:rFonts w:eastAsia="Calibri"/>
                <w:i/>
              </w:rPr>
              <w:t xml:space="preserve">Exemption from permit for temporary structures. </w:t>
            </w:r>
            <w:r w:rsidRPr="00427EE1">
              <w:rPr>
                <w:rFonts w:eastAsia="Calibri"/>
                <w:b/>
                <w:i/>
              </w:rPr>
              <w:t>Moved</w:t>
            </w:r>
            <w:r w:rsidRPr="00427EE1">
              <w:rPr>
                <w:rFonts w:eastAsia="Calibri"/>
                <w:i/>
              </w:rPr>
              <w:t xml:space="preserve"> to </w:t>
            </w:r>
            <w:r w:rsidR="008911CB">
              <w:rPr>
                <w:rFonts w:eastAsia="Calibri"/>
                <w:i/>
              </w:rPr>
              <w:t>pt.</w:t>
            </w:r>
            <w:r w:rsidRPr="00427EE1">
              <w:rPr>
                <w:rFonts w:eastAsia="Calibri"/>
                <w:i/>
              </w:rPr>
              <w:t xml:space="preserve"> </w:t>
            </w:r>
            <w:r w:rsidR="00107811" w:rsidRPr="00427EE1">
              <w:rPr>
                <w:rFonts w:eastAsia="Calibri"/>
                <w:i/>
              </w:rPr>
              <w:t>1</w:t>
            </w:r>
            <w:r w:rsidR="00107811">
              <w:rPr>
                <w:rFonts w:eastAsia="Calibri"/>
                <w:i/>
              </w:rPr>
              <w:t>5</w:t>
            </w:r>
            <w:r w:rsidRPr="00427EE1">
              <w:rPr>
                <w:rFonts w:eastAsia="Calibri"/>
                <w:i/>
              </w:rPr>
              <w:t>—</w:t>
            </w:r>
            <w:r w:rsidR="00A030CC">
              <w:rPr>
                <w:rFonts w:eastAsia="Calibri"/>
                <w:i/>
              </w:rPr>
              <w:t xml:space="preserve"> </w:t>
            </w:r>
            <w:r w:rsidRPr="00427EE1">
              <w:rPr>
                <w:rFonts w:eastAsia="Calibri"/>
                <w:i/>
              </w:rPr>
              <w:t xml:space="preserve">Places of public entertainment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D9D9D9" w:themeFill="background1" w:themeFillShade="D9"/>
            <w:vAlign w:val="center"/>
          </w:tcPr>
          <w:p w:rsidR="00B751DE" w:rsidRPr="00427EE1" w:rsidRDefault="00B751DE">
            <w:pPr>
              <w:pStyle w:val="Tabletext"/>
              <w:rPr>
                <w:rFonts w:eastAsia="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D9D9D9" w:themeFill="background1" w:themeFillShade="D9"/>
            <w:vAlign w:val="center"/>
          </w:tcPr>
          <w:p w:rsidR="00B751DE" w:rsidRPr="00427EE1" w:rsidRDefault="00B751DE">
            <w:pPr>
              <w:pStyle w:val="Tabletext"/>
              <w:rPr>
                <w:rFonts w:eastAsia="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D9D9D9" w:themeFill="background1" w:themeFillShade="D9"/>
            <w:vAlign w:val="center"/>
          </w:tcPr>
          <w:p w:rsidR="00B751DE" w:rsidRPr="00427EE1" w:rsidRDefault="00B751DE">
            <w:pPr>
              <w:pStyle w:val="Tabletext"/>
              <w:rPr>
                <w:rFonts w:eastAsia="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D9D9D9" w:themeFill="background1" w:themeFillShade="D9"/>
            <w:vAlign w:val="center"/>
          </w:tcPr>
          <w:p w:rsidR="00B751DE" w:rsidRPr="00427EE1" w:rsidRDefault="00B751DE">
            <w:pPr>
              <w:pStyle w:val="Tabletext"/>
              <w:rPr>
                <w:rFonts w:eastAsia="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D9D9D9" w:themeFill="background1" w:themeFillShade="D9"/>
            <w:vAlign w:val="center"/>
          </w:tcPr>
          <w:p w:rsidR="00B751DE" w:rsidRPr="00427EE1" w:rsidRDefault="00B751DE">
            <w:pPr>
              <w:pStyle w:val="Tabletext"/>
              <w:rPr>
                <w:rFonts w:eastAsia="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D9D9D9" w:themeFill="background1" w:themeFillShade="D9"/>
            <w:vAlign w:val="center"/>
          </w:tcPr>
          <w:p w:rsidR="00B751DE" w:rsidRPr="00427EE1" w:rsidRDefault="00B751DE">
            <w:pPr>
              <w:pStyle w:val="Tabletext"/>
              <w:rPr>
                <w:rFonts w:eastAsia="Calibri"/>
              </w:rPr>
            </w:pPr>
          </w:p>
        </w:tc>
      </w:tr>
      <w:tr w:rsidR="00B751DE"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rPr>
            </w:pPr>
            <w:r w:rsidRPr="00427EE1">
              <w:rPr>
                <w:rFonts w:eastAsia="Calibri"/>
              </w:rPr>
              <w:t>1804</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lang w:eastAsia="en-US"/>
              </w:rPr>
            </w:pPr>
            <w:r w:rsidRPr="00427EE1">
              <w:rPr>
                <w:rFonts w:eastAsia="Calibri"/>
                <w:lang w:eastAsia="en-US"/>
              </w:rPr>
              <w:t>276</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B751DE" w:rsidRPr="00427EE1" w:rsidRDefault="00B751DE">
            <w:pPr>
              <w:pStyle w:val="Tabletext"/>
              <w:rPr>
                <w:rFonts w:eastAsia="Calibri"/>
                <w:b/>
              </w:rPr>
            </w:pPr>
            <w:r w:rsidRPr="00427EE1">
              <w:rPr>
                <w:rFonts w:eastAsia="Calibri"/>
                <w:b/>
              </w:rPr>
              <w:t>Exemption for Class 10 buildings on farm land</w:t>
            </w:r>
          </w:p>
          <w:p w:rsidR="00B751DE" w:rsidRPr="00427EE1" w:rsidRDefault="002E244C">
            <w:pPr>
              <w:pStyle w:val="Tabletext"/>
              <w:rPr>
                <w:rFonts w:eastAsia="Calibri"/>
              </w:rPr>
            </w:pPr>
            <w:r>
              <w:rPr>
                <w:rFonts w:eastAsia="Calibri"/>
                <w:lang w:eastAsia="en-US"/>
              </w:rPr>
              <w:t xml:space="preserve">Establishes </w:t>
            </w:r>
            <w:r w:rsidR="00B751DE" w:rsidRPr="00427EE1">
              <w:rPr>
                <w:rFonts w:eastAsia="Calibri"/>
              </w:rPr>
              <w:t xml:space="preserve">that a relevant council may exempt </w:t>
            </w:r>
            <w:r w:rsidR="00195602">
              <w:rPr>
                <w:rFonts w:eastAsia="Calibri"/>
              </w:rPr>
              <w:t>C</w:t>
            </w:r>
            <w:r w:rsidR="00B751DE" w:rsidRPr="00427EE1">
              <w:rPr>
                <w:rFonts w:eastAsia="Calibri"/>
              </w:rPr>
              <w:t xml:space="preserve">lass 10 buildings on farm land for the purposes of the Regulations.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continues to provide that a relevant council may exempt </w:t>
            </w:r>
            <w:r w:rsidR="00195602">
              <w:rPr>
                <w:rFonts w:eastAsia="Calibri"/>
              </w:rPr>
              <w:t>C</w:t>
            </w:r>
            <w:r w:rsidRPr="00427EE1">
              <w:rPr>
                <w:rFonts w:eastAsia="Calibri"/>
              </w:rPr>
              <w:t xml:space="preserve">lass 10 buildings on farm land for the purposes of the Regulations. </w:t>
            </w:r>
          </w:p>
        </w:tc>
      </w:tr>
      <w:tr w:rsidR="00B751DE"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rPr>
            </w:pPr>
            <w:r w:rsidRPr="00427EE1">
              <w:rPr>
                <w:rFonts w:eastAsia="Calibri"/>
              </w:rPr>
              <w:lastRenderedPageBreak/>
              <w:t>1805</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lang w:eastAsia="en-US"/>
              </w:rPr>
            </w:pPr>
            <w:r w:rsidRPr="00427EE1">
              <w:rPr>
                <w:rFonts w:eastAsia="Calibri"/>
                <w:lang w:eastAsia="en-US"/>
              </w:rPr>
              <w:t>277</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B751DE" w:rsidRPr="00427EE1" w:rsidRDefault="00B751DE">
            <w:pPr>
              <w:pStyle w:val="Tabletext"/>
              <w:rPr>
                <w:rFonts w:eastAsia="Calibri"/>
                <w:b/>
              </w:rPr>
            </w:pPr>
            <w:r w:rsidRPr="00427EE1">
              <w:rPr>
                <w:rFonts w:eastAsia="Calibri"/>
                <w:b/>
              </w:rPr>
              <w:t>Exemptions relating to building surveyors for certain buildings</w:t>
            </w:r>
          </w:p>
          <w:p w:rsidR="00B751DE" w:rsidRPr="00427EE1" w:rsidRDefault="002E244C">
            <w:pPr>
              <w:pStyle w:val="Tabletext"/>
              <w:rPr>
                <w:rFonts w:eastAsia="Calibri"/>
              </w:rPr>
            </w:pPr>
            <w:r>
              <w:rPr>
                <w:rFonts w:eastAsia="Calibri"/>
                <w:lang w:eastAsia="en-US"/>
              </w:rPr>
              <w:t xml:space="preserve">Provides </w:t>
            </w:r>
            <w:r w:rsidR="00B751DE" w:rsidRPr="00427EE1">
              <w:rPr>
                <w:rFonts w:eastAsia="Calibri"/>
              </w:rPr>
              <w:t xml:space="preserve">exemptions </w:t>
            </w:r>
            <w:r w:rsidR="00105F1C" w:rsidRPr="00427EE1">
              <w:rPr>
                <w:rFonts w:eastAsia="Calibri"/>
              </w:rPr>
              <w:t xml:space="preserve">from certain notice provisions </w:t>
            </w:r>
            <w:r w:rsidR="00B751DE" w:rsidRPr="00427EE1">
              <w:rPr>
                <w:rFonts w:eastAsia="Calibri"/>
              </w:rPr>
              <w:t xml:space="preserve">under the Act </w:t>
            </w:r>
            <w:r w:rsidR="00105F1C" w:rsidRPr="00427EE1">
              <w:rPr>
                <w:rFonts w:eastAsia="Calibri"/>
              </w:rPr>
              <w:t>in relation to certain public buildings</w:t>
            </w:r>
            <w:r w:rsidR="00B751DE" w:rsidRPr="00427EE1">
              <w:rPr>
                <w:rFonts w:eastAsia="Calibri"/>
              </w:rPr>
              <w:t xml:space="preserve">.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has been updated to </w:t>
            </w:r>
            <w:r w:rsidR="00105F1C" w:rsidRPr="00427EE1">
              <w:rPr>
                <w:rFonts w:eastAsia="Calibri"/>
              </w:rPr>
              <w:t>reflect current legislation.</w:t>
            </w:r>
          </w:p>
        </w:tc>
      </w:tr>
      <w:tr w:rsidR="00B751DE"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rPr>
            </w:pPr>
            <w:r w:rsidRPr="00427EE1">
              <w:rPr>
                <w:rFonts w:eastAsia="Calibri"/>
              </w:rPr>
              <w:t>1807</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lang w:eastAsia="en-US"/>
              </w:rPr>
            </w:pPr>
            <w:r w:rsidRPr="00427EE1">
              <w:rPr>
                <w:rFonts w:eastAsia="Calibri"/>
                <w:lang w:eastAsia="en-US"/>
              </w:rPr>
              <w:t>n/a</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D615BC" w:rsidRPr="00427EE1" w:rsidRDefault="00B751DE">
            <w:pPr>
              <w:pStyle w:val="Tabletext"/>
              <w:rPr>
                <w:rFonts w:eastAsia="Calibri"/>
                <w:b/>
              </w:rPr>
            </w:pPr>
            <w:r w:rsidRPr="00427EE1">
              <w:rPr>
                <w:rFonts w:eastAsia="Calibri"/>
                <w:b/>
              </w:rPr>
              <w:t>Definitions</w:t>
            </w:r>
          </w:p>
          <w:p w:rsidR="00B751DE" w:rsidRPr="00427EE1" w:rsidRDefault="0026629F">
            <w:pPr>
              <w:pStyle w:val="Tabletext"/>
              <w:rPr>
                <w:rFonts w:eastAsia="Calibri"/>
              </w:rPr>
            </w:pPr>
            <w:r>
              <w:rPr>
                <w:rFonts w:eastAsia="Calibri"/>
                <w:lang w:eastAsia="en-US"/>
              </w:rPr>
              <w:t xml:space="preserve">Specifies </w:t>
            </w:r>
            <w:r w:rsidR="00B751DE" w:rsidRPr="00427EE1">
              <w:rPr>
                <w:rFonts w:eastAsia="Calibri"/>
              </w:rPr>
              <w:t xml:space="preserve">definitions for </w:t>
            </w:r>
            <w:r w:rsidR="005E2285">
              <w:rPr>
                <w:rFonts w:eastAsia="Calibri"/>
                <w:lang w:eastAsia="en-US"/>
              </w:rPr>
              <w:t>'</w:t>
            </w:r>
            <w:r w:rsidR="00B751DE" w:rsidRPr="00427EE1">
              <w:rPr>
                <w:rFonts w:eastAsia="Calibri"/>
              </w:rPr>
              <w:t>exemptions</w:t>
            </w:r>
            <w:r w:rsidR="005E2285">
              <w:rPr>
                <w:rFonts w:eastAsia="Calibri"/>
                <w:lang w:eastAsia="en-US"/>
              </w:rPr>
              <w:t>'</w:t>
            </w:r>
            <w:r w:rsidR="00B751DE" w:rsidRPr="00427EE1">
              <w:rPr>
                <w:rFonts w:eastAsia="Calibri"/>
              </w:rPr>
              <w:t xml:space="preserve"> relating to builders of </w:t>
            </w:r>
            <w:proofErr w:type="spellStart"/>
            <w:r w:rsidR="00B751DE" w:rsidRPr="00427EE1">
              <w:rPr>
                <w:rFonts w:eastAsia="Calibri"/>
              </w:rPr>
              <w:t>multi</w:t>
            </w:r>
            <w:r w:rsidR="007C5A88">
              <w:rPr>
                <w:rFonts w:eastAsia="Calibri"/>
              </w:rPr>
              <w:t>storey</w:t>
            </w:r>
            <w:proofErr w:type="spellEnd"/>
            <w:r w:rsidR="00B751DE" w:rsidRPr="00427EE1">
              <w:rPr>
                <w:rFonts w:eastAsia="Calibri"/>
              </w:rPr>
              <w:t xml:space="preserve"> residential buildings.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proposed for revocation as the Act (specifically a domestic building insurance ministerial order made under </w:t>
            </w:r>
            <w:r w:rsidR="0023395A">
              <w:rPr>
                <w:rFonts w:eastAsia="Calibri"/>
              </w:rPr>
              <w:t xml:space="preserve">s </w:t>
            </w:r>
            <w:r w:rsidRPr="00427EE1">
              <w:rPr>
                <w:rFonts w:eastAsia="Calibri"/>
              </w:rPr>
              <w:t>135) provides for the same exemption.</w:t>
            </w:r>
          </w:p>
        </w:tc>
      </w:tr>
      <w:tr w:rsidR="00B751DE"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rPr>
            </w:pPr>
            <w:r w:rsidRPr="00427EE1">
              <w:rPr>
                <w:rFonts w:eastAsia="Calibri"/>
              </w:rPr>
              <w:t>1808</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lang w:eastAsia="en-US"/>
              </w:rPr>
            </w:pPr>
            <w:r w:rsidRPr="00427EE1">
              <w:rPr>
                <w:rFonts w:eastAsia="Calibri"/>
                <w:lang w:eastAsia="en-US"/>
              </w:rPr>
              <w:t>n/a</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B751DE" w:rsidRPr="00427EE1" w:rsidRDefault="00B751DE">
            <w:pPr>
              <w:pStyle w:val="Tabletext"/>
              <w:rPr>
                <w:rFonts w:eastAsia="Calibri"/>
                <w:b/>
              </w:rPr>
            </w:pPr>
            <w:r w:rsidRPr="00427EE1">
              <w:rPr>
                <w:rFonts w:eastAsia="Calibri"/>
                <w:b/>
              </w:rPr>
              <w:t>Exemption from required insurance for builder</w:t>
            </w:r>
          </w:p>
          <w:p w:rsidR="00B751DE" w:rsidRPr="00427EE1" w:rsidRDefault="002E244C">
            <w:pPr>
              <w:pStyle w:val="Tabletext"/>
              <w:rPr>
                <w:rFonts w:eastAsia="Calibri"/>
              </w:rPr>
            </w:pPr>
            <w:r>
              <w:rPr>
                <w:rFonts w:eastAsia="Calibri"/>
                <w:lang w:eastAsia="en-US"/>
              </w:rPr>
              <w:t xml:space="preserve">Establishes </w:t>
            </w:r>
            <w:r w:rsidR="00B751DE" w:rsidRPr="00427EE1">
              <w:rPr>
                <w:rFonts w:eastAsia="Calibri"/>
              </w:rPr>
              <w:t xml:space="preserve">an exemption from insurance for a builder who proposes to or carries out domestic building work under a major domestic building contract for the construction of a </w:t>
            </w:r>
            <w:proofErr w:type="spellStart"/>
            <w:r w:rsidR="00B751DE" w:rsidRPr="00427EE1">
              <w:rPr>
                <w:rFonts w:eastAsia="Calibri"/>
              </w:rPr>
              <w:t>multi</w:t>
            </w:r>
            <w:r w:rsidR="007C5A88">
              <w:rPr>
                <w:rFonts w:eastAsia="Calibri"/>
              </w:rPr>
              <w:t>storey</w:t>
            </w:r>
            <w:proofErr w:type="spellEnd"/>
            <w:r w:rsidR="00B751DE" w:rsidRPr="00427EE1">
              <w:rPr>
                <w:rFonts w:eastAsia="Calibri"/>
              </w:rPr>
              <w:t xml:space="preserve"> residential building.</w:t>
            </w:r>
            <w:r w:rsidR="00D71A15" w:rsidRPr="00427EE1">
              <w:rPr>
                <w:rFonts w:eastAsia="Calibri"/>
              </w:rPr>
              <w:t xml:space="preserve">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proposed for revocation as the Act (specifically a domestic building insurance ministerial order made under </w:t>
            </w:r>
            <w:r w:rsidR="0023395A">
              <w:rPr>
                <w:rFonts w:eastAsia="Calibri"/>
              </w:rPr>
              <w:t xml:space="preserve">s </w:t>
            </w:r>
            <w:r w:rsidRPr="00427EE1">
              <w:rPr>
                <w:rFonts w:eastAsia="Calibri"/>
              </w:rPr>
              <w:t xml:space="preserve">135) provides for the same exemption. </w:t>
            </w:r>
          </w:p>
        </w:tc>
      </w:tr>
      <w:tr w:rsidR="00B751DE" w:rsidRPr="00427EE1" w:rsidTr="006119D2">
        <w:trPr>
          <w:cantSplit/>
          <w:trHeight w:val="340"/>
        </w:trPr>
        <w:tc>
          <w:tcPr>
            <w:tcW w:w="966"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rPr>
            </w:pPr>
            <w:r w:rsidRPr="00427EE1">
              <w:rPr>
                <w:rFonts w:eastAsia="Calibri"/>
              </w:rPr>
              <w:t>1809</w:t>
            </w:r>
          </w:p>
        </w:tc>
        <w:tc>
          <w:tcPr>
            <w:tcW w:w="95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rsidP="006757E8">
            <w:pPr>
              <w:pStyle w:val="Tabletext"/>
              <w:rPr>
                <w:rFonts w:eastAsia="Calibri"/>
                <w:lang w:eastAsia="en-US"/>
              </w:rPr>
            </w:pPr>
            <w:r w:rsidRPr="00427EE1">
              <w:rPr>
                <w:rFonts w:eastAsia="Calibri"/>
                <w:lang w:eastAsia="en-US"/>
              </w:rPr>
              <w:t>n/a</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tcPr>
          <w:p w:rsidR="00B751DE" w:rsidRPr="00427EE1" w:rsidRDefault="00B751DE">
            <w:pPr>
              <w:pStyle w:val="Tabletext"/>
              <w:rPr>
                <w:rFonts w:eastAsia="Calibri"/>
                <w:b/>
              </w:rPr>
            </w:pPr>
            <w:r w:rsidRPr="00427EE1">
              <w:rPr>
                <w:rFonts w:eastAsia="Calibri"/>
                <w:b/>
              </w:rPr>
              <w:t>Exemptions from required insurance for owner-builders</w:t>
            </w:r>
          </w:p>
          <w:p w:rsidR="00C438D3" w:rsidRDefault="002E244C">
            <w:pPr>
              <w:pStyle w:val="Tabletext"/>
              <w:rPr>
                <w:rFonts w:eastAsia="Calibri"/>
              </w:rPr>
            </w:pPr>
            <w:r>
              <w:rPr>
                <w:rFonts w:eastAsia="Calibri"/>
                <w:lang w:eastAsia="en-US"/>
              </w:rPr>
              <w:t>E</w:t>
            </w:r>
            <w:r w:rsidR="00B751DE" w:rsidRPr="00427EE1">
              <w:rPr>
                <w:rFonts w:eastAsia="Calibri"/>
              </w:rPr>
              <w:t>stablishe</w:t>
            </w:r>
            <w:r>
              <w:rPr>
                <w:rFonts w:eastAsia="Calibri"/>
              </w:rPr>
              <w:t>s</w:t>
            </w:r>
            <w:r w:rsidR="00B751DE" w:rsidRPr="00427EE1">
              <w:rPr>
                <w:rFonts w:eastAsia="Calibri"/>
              </w:rPr>
              <w:t xml:space="preserve"> an exemption from insurance for an owner-builder who constructs a </w:t>
            </w:r>
            <w:proofErr w:type="spellStart"/>
            <w:r w:rsidR="00B751DE" w:rsidRPr="00427EE1">
              <w:rPr>
                <w:rFonts w:eastAsia="Calibri"/>
              </w:rPr>
              <w:t>multi</w:t>
            </w:r>
            <w:r w:rsidR="007C5A88">
              <w:rPr>
                <w:rFonts w:eastAsia="Calibri"/>
              </w:rPr>
              <w:t>storey</w:t>
            </w:r>
            <w:proofErr w:type="spellEnd"/>
            <w:r w:rsidR="00B751DE" w:rsidRPr="00427EE1">
              <w:rPr>
                <w:rFonts w:eastAsia="Calibri"/>
              </w:rPr>
              <w:t xml:space="preserve"> residential building.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vAlign w:val="center"/>
          </w:tcPr>
          <w:p w:rsidR="00B751DE" w:rsidRPr="00427EE1" w:rsidRDefault="00B751DE">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proposed for revocation as the Act (specifically a domestic building insurance ministerial order made under </w:t>
            </w:r>
            <w:r w:rsidR="0023395A">
              <w:rPr>
                <w:rFonts w:eastAsia="Calibri"/>
              </w:rPr>
              <w:t xml:space="preserve">s </w:t>
            </w:r>
            <w:r w:rsidRPr="00427EE1">
              <w:rPr>
                <w:rFonts w:eastAsia="Calibri"/>
              </w:rPr>
              <w:t>135) provides for the same exemption.</w:t>
            </w:r>
          </w:p>
        </w:tc>
      </w:tr>
    </w:tbl>
    <w:p w:rsidR="00AC4E58" w:rsidRPr="00427EE1" w:rsidRDefault="00AC4E58" w:rsidP="006757E8"/>
    <w:p w:rsidR="00AC4E58" w:rsidRPr="00427EE1" w:rsidRDefault="004267C5" w:rsidP="006119D2">
      <w:pPr>
        <w:pStyle w:val="Heading3"/>
        <w:rPr>
          <w:color w:val="005954" w:themeColor="accent1" w:themeShade="80"/>
          <w:sz w:val="22"/>
          <w:szCs w:val="22"/>
        </w:rPr>
      </w:pPr>
      <w:bookmarkStart w:id="196" w:name="_Toc481501617"/>
      <w:r>
        <w:lastRenderedPageBreak/>
        <w:t xml:space="preserve">Pt </w:t>
      </w:r>
      <w:r w:rsidR="00B751DE" w:rsidRPr="00427EE1">
        <w:t>23</w:t>
      </w:r>
      <w:r w:rsidR="008475D9">
        <w:t>—</w:t>
      </w:r>
      <w:r w:rsidR="00B751DE" w:rsidRPr="00427EE1">
        <w:t>Transitional provisions</w:t>
      </w:r>
      <w:bookmarkEnd w:id="196"/>
    </w:p>
    <w:tbl>
      <w:tblPr>
        <w:tblW w:w="14493" w:type="dxa"/>
        <w:tblInd w:w="-116" w:type="dxa"/>
        <w:tblBorders>
          <w:top w:val="dotted" w:sz="4" w:space="0" w:color="00B2A9" w:themeColor="accent1"/>
          <w:left w:val="dotted" w:sz="4" w:space="0" w:color="00B2A9" w:themeColor="accent1"/>
          <w:bottom w:val="dotted" w:sz="4" w:space="0" w:color="00B2A9" w:themeColor="accent1"/>
          <w:right w:val="dotted" w:sz="4" w:space="0" w:color="00B2A9" w:themeColor="accent1"/>
          <w:insideH w:val="dotted" w:sz="4" w:space="0" w:color="00B2A9" w:themeColor="accent1"/>
          <w:insideV w:val="dotted" w:sz="4" w:space="0" w:color="00B2A9" w:themeColor="accent1"/>
        </w:tblBorders>
        <w:tblLayout w:type="fixed"/>
        <w:tblLook w:val="04A0" w:firstRow="1" w:lastRow="0" w:firstColumn="1" w:lastColumn="0" w:noHBand="0" w:noVBand="1"/>
      </w:tblPr>
      <w:tblGrid>
        <w:gridCol w:w="980"/>
        <w:gridCol w:w="945"/>
        <w:gridCol w:w="4243"/>
        <w:gridCol w:w="399"/>
        <w:gridCol w:w="399"/>
        <w:gridCol w:w="402"/>
        <w:gridCol w:w="400"/>
        <w:gridCol w:w="398"/>
        <w:gridCol w:w="6327"/>
      </w:tblGrid>
      <w:tr w:rsidR="00C83190" w:rsidRPr="00427EE1" w:rsidTr="006119D2">
        <w:trPr>
          <w:cantSplit/>
          <w:trHeight w:val="427"/>
          <w:tblHeader/>
        </w:trPr>
        <w:tc>
          <w:tcPr>
            <w:tcW w:w="980" w:type="dxa"/>
            <w:vMerge w:val="restart"/>
            <w:shd w:val="clear" w:color="auto" w:fill="00B2A9" w:themeFill="accent1"/>
            <w:vAlign w:val="center"/>
            <w:hideMark/>
          </w:tcPr>
          <w:p w:rsidR="00C83190" w:rsidRDefault="00C83190">
            <w:pPr>
              <w:pStyle w:val="Tablecolumnhead"/>
              <w:rPr>
                <w:rFonts w:asciiTheme="majorHAnsi" w:eastAsia="Calibri" w:hAnsiTheme="majorHAnsi" w:cstheme="majorBidi"/>
                <w:sz w:val="40"/>
              </w:rPr>
            </w:pPr>
            <w:r w:rsidRPr="00BE72D7">
              <w:rPr>
                <w:rFonts w:eastAsia="Calibri"/>
              </w:rPr>
              <w:t>2006</w:t>
            </w:r>
          </w:p>
          <w:p w:rsidR="00C83190" w:rsidRPr="001707F1" w:rsidRDefault="00C83190">
            <w:pPr>
              <w:pStyle w:val="Tablecolumnhead"/>
              <w:rPr>
                <w:rFonts w:eastAsia="Calibri"/>
              </w:rPr>
            </w:pPr>
            <w:r w:rsidRPr="00C44680">
              <w:rPr>
                <w:rFonts w:ascii="Arial Bold" w:eastAsia="Calibri" w:hAnsi="Arial Bold"/>
                <w:spacing w:val="-12"/>
                <w:sz w:val="16"/>
              </w:rPr>
              <w:t>Regulation</w:t>
            </w:r>
          </w:p>
        </w:tc>
        <w:tc>
          <w:tcPr>
            <w:tcW w:w="945" w:type="dxa"/>
            <w:vMerge w:val="restart"/>
            <w:shd w:val="clear" w:color="auto" w:fill="00B2A9" w:themeFill="accent1"/>
            <w:vAlign w:val="center"/>
            <w:hideMark/>
          </w:tcPr>
          <w:p w:rsidR="00C83190" w:rsidRDefault="00C83190">
            <w:pPr>
              <w:pStyle w:val="Tablecolumnhead"/>
              <w:rPr>
                <w:rFonts w:asciiTheme="majorHAnsi" w:eastAsiaTheme="majorEastAsia" w:hAnsiTheme="majorHAnsi" w:cstheme="majorBidi"/>
                <w:sz w:val="40"/>
              </w:rPr>
            </w:pPr>
            <w:r w:rsidRPr="008F0E53">
              <w:rPr>
                <w:rFonts w:eastAsia="Calibri"/>
              </w:rPr>
              <w:t>2017</w:t>
            </w:r>
          </w:p>
          <w:p w:rsidR="00C83190" w:rsidRPr="001707F1" w:rsidRDefault="00C83190">
            <w:pPr>
              <w:pStyle w:val="Tablecolumnhead"/>
            </w:pPr>
            <w:r w:rsidRPr="00C44680">
              <w:rPr>
                <w:rFonts w:ascii="Arial Bold" w:eastAsia="Calibri" w:hAnsi="Arial Bold"/>
                <w:spacing w:val="-12"/>
                <w:sz w:val="16"/>
              </w:rPr>
              <w:t>Regulation</w:t>
            </w:r>
          </w:p>
        </w:tc>
        <w:tc>
          <w:tcPr>
            <w:tcW w:w="4243" w:type="dxa"/>
            <w:vMerge w:val="restart"/>
            <w:shd w:val="clear" w:color="auto" w:fill="00B2A9" w:themeFill="accent1"/>
            <w:vAlign w:val="center"/>
            <w:hideMark/>
          </w:tcPr>
          <w:p w:rsidR="00C83190" w:rsidRPr="001707F1" w:rsidRDefault="00C83190">
            <w:pPr>
              <w:pStyle w:val="Tablecolumnhead"/>
              <w:rPr>
                <w:rFonts w:eastAsia="Calibri"/>
              </w:rPr>
            </w:pPr>
            <w:r w:rsidRPr="001707F1">
              <w:t xml:space="preserve">Short description of the </w:t>
            </w:r>
            <w:r>
              <w:t>Regulation</w:t>
            </w:r>
          </w:p>
        </w:tc>
        <w:tc>
          <w:tcPr>
            <w:tcW w:w="1998" w:type="dxa"/>
            <w:gridSpan w:val="5"/>
            <w:shd w:val="clear" w:color="auto" w:fill="00B2A9" w:themeFill="accent1"/>
            <w:vAlign w:val="center"/>
          </w:tcPr>
          <w:p w:rsidR="00C83190" w:rsidRPr="001707F1" w:rsidRDefault="00C83190">
            <w:pPr>
              <w:pStyle w:val="Tablecolumnhead"/>
            </w:pPr>
            <w:r w:rsidRPr="001707F1">
              <w:t>Proposed regulatory change</w:t>
            </w:r>
          </w:p>
        </w:tc>
        <w:tc>
          <w:tcPr>
            <w:tcW w:w="6327" w:type="dxa"/>
            <w:vMerge w:val="restart"/>
            <w:shd w:val="clear" w:color="auto" w:fill="00B2A9" w:themeFill="accent1"/>
            <w:vAlign w:val="center"/>
          </w:tcPr>
          <w:p w:rsidR="00C83190" w:rsidRPr="001707F1" w:rsidRDefault="00C83190">
            <w:pPr>
              <w:pStyle w:val="Tablecolumnhead"/>
            </w:pPr>
            <w:r w:rsidRPr="001707F1">
              <w:t>Why the 2017 Regulation is proposed</w:t>
            </w:r>
          </w:p>
        </w:tc>
      </w:tr>
      <w:tr w:rsidR="00B751DE" w:rsidRPr="00427EE1" w:rsidTr="006119D2">
        <w:trPr>
          <w:cantSplit/>
          <w:trHeight w:val="966"/>
          <w:tblHeader/>
        </w:trPr>
        <w:tc>
          <w:tcPr>
            <w:tcW w:w="980"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945" w:type="dxa"/>
            <w:vMerge/>
            <w:shd w:val="clear" w:color="auto" w:fill="00B2A9" w:themeFill="accent1"/>
            <w:vAlign w:val="center"/>
            <w:hideMark/>
          </w:tcPr>
          <w:p w:rsidR="00B751DE" w:rsidRPr="00427EE1" w:rsidRDefault="00B751DE">
            <w:pPr>
              <w:spacing w:line="276" w:lineRule="auto"/>
              <w:jc w:val="center"/>
              <w:rPr>
                <w:rFonts w:ascii="Calibri" w:eastAsia="Calibri" w:hAnsi="Calibri"/>
                <w:sz w:val="16"/>
                <w:szCs w:val="16"/>
                <w:lang w:eastAsia="en-US"/>
              </w:rPr>
            </w:pPr>
          </w:p>
        </w:tc>
        <w:tc>
          <w:tcPr>
            <w:tcW w:w="4243" w:type="dxa"/>
            <w:vMerge/>
            <w:shd w:val="clear" w:color="auto" w:fill="00B2A9" w:themeFill="accent1"/>
            <w:vAlign w:val="center"/>
          </w:tcPr>
          <w:p w:rsidR="00B751DE" w:rsidRPr="00427EE1" w:rsidRDefault="00B751DE">
            <w:pPr>
              <w:spacing w:line="276" w:lineRule="auto"/>
              <w:jc w:val="center"/>
              <w:rPr>
                <w:rFonts w:ascii="Calibri" w:eastAsia="Calibri" w:hAnsi="Calibri"/>
                <w:sz w:val="16"/>
                <w:szCs w:val="16"/>
                <w:lang w:eastAsia="en-US"/>
              </w:rPr>
            </w:pPr>
          </w:p>
        </w:tc>
        <w:tc>
          <w:tcPr>
            <w:tcW w:w="399"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Revoke</w:t>
            </w:r>
          </w:p>
        </w:tc>
        <w:tc>
          <w:tcPr>
            <w:tcW w:w="399" w:type="dxa"/>
            <w:shd w:val="clear" w:color="auto" w:fill="FFFFFF" w:themeFill="background1"/>
            <w:textDirection w:val="btLr"/>
          </w:tcPr>
          <w:p w:rsidR="00B751DE" w:rsidRPr="00427EE1" w:rsidRDefault="00B751DE">
            <w:pPr>
              <w:spacing w:line="276" w:lineRule="auto"/>
              <w:ind w:left="113" w:right="113"/>
              <w:jc w:val="center"/>
              <w:rPr>
                <w:sz w:val="14"/>
                <w:szCs w:val="16"/>
                <w:lang w:eastAsia="en-US"/>
              </w:rPr>
            </w:pPr>
            <w:r w:rsidRPr="00427EE1">
              <w:rPr>
                <w:sz w:val="14"/>
                <w:szCs w:val="16"/>
                <w:lang w:eastAsia="en-US"/>
              </w:rPr>
              <w:t>No Change</w:t>
            </w:r>
          </w:p>
        </w:tc>
        <w:tc>
          <w:tcPr>
            <w:tcW w:w="402" w:type="dxa"/>
            <w:shd w:val="clear" w:color="auto" w:fill="FFFFFF" w:themeFill="background1"/>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Updated</w:t>
            </w:r>
          </w:p>
        </w:tc>
        <w:tc>
          <w:tcPr>
            <w:tcW w:w="400" w:type="dxa"/>
            <w:shd w:val="clear" w:color="auto" w:fill="BCFFFB" w:themeFill="accent1" w:themeFillTint="33"/>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 xml:space="preserve">Reduce </w:t>
            </w:r>
          </w:p>
        </w:tc>
        <w:tc>
          <w:tcPr>
            <w:tcW w:w="398" w:type="dxa"/>
            <w:shd w:val="clear" w:color="auto" w:fill="37FFF4" w:themeFill="accent1" w:themeFillTint="99"/>
            <w:textDirection w:val="btLr"/>
            <w:hideMark/>
          </w:tcPr>
          <w:p w:rsidR="00B751DE" w:rsidRPr="00427EE1" w:rsidRDefault="00B751DE">
            <w:pPr>
              <w:spacing w:line="276" w:lineRule="auto"/>
              <w:ind w:left="113" w:right="113"/>
              <w:jc w:val="center"/>
              <w:rPr>
                <w:sz w:val="14"/>
                <w:szCs w:val="16"/>
                <w:lang w:eastAsia="en-US"/>
              </w:rPr>
            </w:pPr>
            <w:r w:rsidRPr="00427EE1">
              <w:rPr>
                <w:sz w:val="14"/>
                <w:szCs w:val="16"/>
                <w:lang w:eastAsia="en-US"/>
              </w:rPr>
              <w:t>Strengthen</w:t>
            </w:r>
          </w:p>
        </w:tc>
        <w:tc>
          <w:tcPr>
            <w:tcW w:w="6327" w:type="dxa"/>
            <w:vMerge/>
            <w:shd w:val="clear" w:color="auto" w:fill="00B2A9" w:themeFill="accent1"/>
            <w:textDirection w:val="btLr"/>
          </w:tcPr>
          <w:p w:rsidR="00B751DE" w:rsidRPr="00427EE1" w:rsidRDefault="00B751DE">
            <w:pPr>
              <w:spacing w:line="276" w:lineRule="auto"/>
              <w:ind w:left="113" w:right="113"/>
              <w:jc w:val="center"/>
              <w:rPr>
                <w:sz w:val="16"/>
                <w:szCs w:val="16"/>
                <w:lang w:eastAsia="en-US"/>
              </w:rPr>
            </w:pPr>
          </w:p>
        </w:tc>
      </w:tr>
      <w:tr w:rsidR="00665375" w:rsidRPr="00427EE1" w:rsidTr="006119D2">
        <w:trPr>
          <w:cantSplit/>
          <w:trHeight w:val="340"/>
        </w:trPr>
        <w:tc>
          <w:tcPr>
            <w:tcW w:w="98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rsidP="006757E8">
            <w:pPr>
              <w:pStyle w:val="Tabletext"/>
              <w:rPr>
                <w:rFonts w:eastAsia="Calibri"/>
              </w:rPr>
            </w:pPr>
            <w:r w:rsidRPr="00427EE1">
              <w:rPr>
                <w:rFonts w:eastAsia="Calibri"/>
              </w:rPr>
              <w:t>2002</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rsidP="006757E8">
            <w:pPr>
              <w:pStyle w:val="Tabletext"/>
              <w:rPr>
                <w:rFonts w:eastAsia="Calibri"/>
                <w:lang w:eastAsia="en-US"/>
              </w:rPr>
            </w:pPr>
            <w:r w:rsidRPr="00427EE1">
              <w:rPr>
                <w:rFonts w:eastAsia="Calibri"/>
                <w:lang w:eastAsia="en-US"/>
              </w:rPr>
              <w:t>278</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665375" w:rsidRPr="00427EE1" w:rsidRDefault="00665375">
            <w:pPr>
              <w:pStyle w:val="Tabletext"/>
              <w:rPr>
                <w:rFonts w:eastAsia="Calibri"/>
                <w:b/>
              </w:rPr>
            </w:pPr>
            <w:r w:rsidRPr="00427EE1">
              <w:rPr>
                <w:rFonts w:eastAsia="Calibri"/>
                <w:b/>
              </w:rPr>
              <w:t>Registration of building practitioners not affected by revocation of Building (Interim) Regulations 2005</w:t>
            </w:r>
          </w:p>
          <w:p w:rsidR="00665375" w:rsidRPr="00427EE1" w:rsidRDefault="00665375">
            <w:pPr>
              <w:pStyle w:val="Tabletext"/>
              <w:rPr>
                <w:rFonts w:eastAsia="Calibri"/>
              </w:rPr>
            </w:pPr>
            <w:r w:rsidRPr="00427EE1">
              <w:rPr>
                <w:rFonts w:eastAsia="Calibri"/>
                <w:lang w:eastAsia="en-US"/>
              </w:rPr>
              <w:t>This is a transitional provision for building practitioners registered as part of the Building (Interim) Regulations 2005.</w:t>
            </w:r>
            <w:r w:rsidRPr="00427EE1">
              <w:rPr>
                <w:rFonts w:eastAsia="Calibri"/>
              </w:rPr>
              <w:t xml:space="preserve">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pStyle w:val="Tabletext"/>
              <w:rPr>
                <w:rFonts w:eastAsia="Calibri"/>
              </w:rPr>
            </w:pPr>
            <w:r w:rsidRPr="00427EE1">
              <w:rPr>
                <w:rFonts w:eastAsia="Calibri"/>
              </w:rPr>
              <w:t xml:space="preserve">The </w:t>
            </w:r>
            <w:r w:rsidR="000273F9">
              <w:rPr>
                <w:rFonts w:eastAsia="Calibri"/>
              </w:rPr>
              <w:t>Regulation</w:t>
            </w:r>
            <w:r w:rsidRPr="00427EE1">
              <w:rPr>
                <w:rFonts w:eastAsia="Calibri"/>
              </w:rPr>
              <w:t xml:space="preserve"> has been retained to ensure that building practitioners previously registered are not affected by updating of the </w:t>
            </w:r>
            <w:r w:rsidR="008911CB">
              <w:rPr>
                <w:rFonts w:eastAsia="Calibri"/>
              </w:rPr>
              <w:t>Regulations</w:t>
            </w:r>
            <w:r w:rsidRPr="00427EE1">
              <w:rPr>
                <w:rFonts w:eastAsia="Calibri"/>
              </w:rPr>
              <w:t xml:space="preserve">. </w:t>
            </w:r>
          </w:p>
        </w:tc>
      </w:tr>
      <w:tr w:rsidR="00665375" w:rsidRPr="00427EE1" w:rsidTr="006119D2">
        <w:trPr>
          <w:cantSplit/>
          <w:trHeight w:val="340"/>
        </w:trPr>
        <w:tc>
          <w:tcPr>
            <w:tcW w:w="98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rsidP="006757E8">
            <w:pPr>
              <w:pStyle w:val="Tabletext"/>
              <w:rPr>
                <w:rFonts w:eastAsia="Calibri"/>
              </w:rPr>
            </w:pPr>
            <w:r w:rsidRPr="00427EE1">
              <w:rPr>
                <w:rFonts w:eastAsia="Calibri"/>
              </w:rPr>
              <w:t>2003</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rsidP="006757E8">
            <w:pPr>
              <w:pStyle w:val="Tabletext"/>
              <w:rPr>
                <w:rFonts w:eastAsia="Calibri"/>
                <w:lang w:eastAsia="en-US"/>
              </w:rPr>
            </w:pPr>
            <w:r w:rsidRPr="00427EE1">
              <w:rPr>
                <w:rFonts w:eastAsia="Calibri"/>
                <w:lang w:eastAsia="en-US"/>
              </w:rPr>
              <w:t>n/a</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665375" w:rsidRPr="00427EE1" w:rsidRDefault="00665375">
            <w:pPr>
              <w:pStyle w:val="Tabletext"/>
              <w:rPr>
                <w:rFonts w:eastAsia="Calibri"/>
                <w:b/>
              </w:rPr>
            </w:pPr>
            <w:r w:rsidRPr="00427EE1">
              <w:rPr>
                <w:rFonts w:eastAsia="Calibri"/>
                <w:b/>
              </w:rPr>
              <w:t>Transitional provisions—Building Amendment Regulations 2009</w:t>
            </w:r>
          </w:p>
          <w:p w:rsidR="00665375" w:rsidRPr="00427EE1" w:rsidRDefault="002E244C">
            <w:pPr>
              <w:pStyle w:val="Tabletext"/>
              <w:rPr>
                <w:rFonts w:eastAsia="Calibri"/>
                <w:lang w:eastAsia="en-US"/>
              </w:rPr>
            </w:pPr>
            <w:r>
              <w:rPr>
                <w:rFonts w:eastAsia="Calibri"/>
                <w:lang w:eastAsia="en-US"/>
              </w:rPr>
              <w:t xml:space="preserve">Provides </w:t>
            </w:r>
            <w:r w:rsidR="00665375" w:rsidRPr="00427EE1">
              <w:rPr>
                <w:rFonts w:eastAsia="Calibri"/>
                <w:lang w:eastAsia="en-US"/>
              </w:rPr>
              <w:t xml:space="preserve">for building practitioners registered using the qualifications listed in </w:t>
            </w:r>
            <w:proofErr w:type="spellStart"/>
            <w:r w:rsidR="00995450">
              <w:rPr>
                <w:rFonts w:eastAsia="Calibri"/>
                <w:lang w:eastAsia="en-US"/>
              </w:rPr>
              <w:t>sch</w:t>
            </w:r>
            <w:proofErr w:type="spellEnd"/>
            <w:r w:rsidR="00995450">
              <w:rPr>
                <w:rFonts w:eastAsia="Calibri"/>
                <w:lang w:eastAsia="en-US"/>
              </w:rPr>
              <w:t xml:space="preserve"> </w:t>
            </w:r>
            <w:r w:rsidR="00665375" w:rsidRPr="00427EE1">
              <w:rPr>
                <w:rFonts w:eastAsia="Calibri"/>
                <w:lang w:eastAsia="en-US"/>
              </w:rPr>
              <w:t xml:space="preserve">7 before the commencement of the Building Amendment Regulation 2009. </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tabs>
                <w:tab w:val="left" w:pos="567"/>
              </w:tabs>
              <w:spacing w:line="276" w:lineRule="auto"/>
              <w:jc w:val="center"/>
              <w:rPr>
                <w:rFonts w:ascii="Calibri" w:eastAsia="Calibri" w:hAnsi="Calibri"/>
                <w:lang w:eastAsia="en-US"/>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is now redundant and will be revoked. </w:t>
            </w:r>
          </w:p>
        </w:tc>
      </w:tr>
      <w:tr w:rsidR="00665375" w:rsidRPr="00427EE1" w:rsidTr="006119D2">
        <w:trPr>
          <w:cantSplit/>
          <w:trHeight w:val="340"/>
        </w:trPr>
        <w:tc>
          <w:tcPr>
            <w:tcW w:w="98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rsidP="006757E8">
            <w:pPr>
              <w:pStyle w:val="Tabletext"/>
              <w:rPr>
                <w:rFonts w:eastAsia="Calibri"/>
              </w:rPr>
            </w:pPr>
            <w:r w:rsidRPr="00427EE1">
              <w:rPr>
                <w:rFonts w:eastAsia="Calibri"/>
              </w:rPr>
              <w:t>2004</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rsidP="006757E8">
            <w:pPr>
              <w:pStyle w:val="Tabletext"/>
              <w:rPr>
                <w:rFonts w:eastAsia="Calibri"/>
                <w:lang w:eastAsia="en-US"/>
              </w:rPr>
            </w:pPr>
            <w:r w:rsidRPr="00427EE1">
              <w:rPr>
                <w:rFonts w:eastAsia="Calibri"/>
                <w:lang w:eastAsia="en-US"/>
              </w:rPr>
              <w:t>279</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665375" w:rsidRPr="00427EE1" w:rsidRDefault="00665375">
            <w:pPr>
              <w:pStyle w:val="Tabletext"/>
              <w:rPr>
                <w:rFonts w:eastAsia="Calibri"/>
                <w:b/>
              </w:rPr>
            </w:pPr>
            <w:r w:rsidRPr="00427EE1">
              <w:rPr>
                <w:rFonts w:eastAsia="Calibri"/>
                <w:b/>
              </w:rPr>
              <w:t>Transitional provision—Building Legislation Amendment (Consumer Protection) Act 2016</w:t>
            </w:r>
          </w:p>
          <w:p w:rsidR="00665375" w:rsidRPr="00427EE1" w:rsidRDefault="002E244C">
            <w:pPr>
              <w:pStyle w:val="Tabletext"/>
              <w:rPr>
                <w:rFonts w:eastAsia="Calibri"/>
                <w:lang w:eastAsia="en-US"/>
              </w:rPr>
            </w:pPr>
            <w:r>
              <w:rPr>
                <w:rFonts w:eastAsia="Calibri"/>
                <w:lang w:eastAsia="en-US"/>
              </w:rPr>
              <w:t xml:space="preserve">Provides </w:t>
            </w:r>
            <w:r w:rsidR="00665375" w:rsidRPr="00427EE1">
              <w:rPr>
                <w:rFonts w:eastAsia="Calibri"/>
                <w:lang w:eastAsia="en-US"/>
              </w:rPr>
              <w:t xml:space="preserve">that the amendments as a result of </w:t>
            </w:r>
            <w:r w:rsidR="0023395A">
              <w:rPr>
                <w:rFonts w:eastAsia="Calibri"/>
                <w:lang w:eastAsia="en-US"/>
              </w:rPr>
              <w:t xml:space="preserve">s </w:t>
            </w:r>
            <w:r w:rsidR="00665375" w:rsidRPr="00427EE1">
              <w:rPr>
                <w:rFonts w:eastAsia="Calibri"/>
                <w:lang w:eastAsia="en-US"/>
              </w:rPr>
              <w:t xml:space="preserve">38 of the Building Amendment (Consumer Protection) Act 2016 (a builder must not appoint a </w:t>
            </w:r>
            <w:r w:rsidR="00C85843">
              <w:rPr>
                <w:rFonts w:eastAsia="Calibri"/>
                <w:lang w:eastAsia="en-US"/>
              </w:rPr>
              <w:t>PBS</w:t>
            </w:r>
            <w:r w:rsidR="00665375" w:rsidRPr="00427EE1">
              <w:rPr>
                <w:rFonts w:eastAsia="Calibri"/>
                <w:lang w:eastAsia="en-US"/>
              </w:rPr>
              <w:t xml:space="preserve"> on behalf of an owner for whom domestic building work is to be carried out; and a </w:t>
            </w:r>
            <w:r w:rsidR="00C85843">
              <w:rPr>
                <w:rFonts w:eastAsia="Calibri"/>
                <w:lang w:eastAsia="en-US"/>
              </w:rPr>
              <w:t>PBS</w:t>
            </w:r>
            <w:r w:rsidR="00665375" w:rsidRPr="00427EE1">
              <w:rPr>
                <w:rFonts w:eastAsia="Calibri"/>
                <w:lang w:eastAsia="en-US"/>
              </w:rPr>
              <w:t xml:space="preserve"> must not accept such an appointment) do not apply in relation to a contract for domestic building work entered into before the commencement of that section</w:t>
            </w:r>
            <w:r w:rsidR="00C83190">
              <w:rPr>
                <w:rFonts w:eastAsia="Calibri"/>
                <w:lang w:eastAsia="en-US"/>
              </w:rPr>
              <w:t>.</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tabs>
                <w:tab w:val="left" w:pos="567"/>
              </w:tabs>
              <w:spacing w:line="276" w:lineRule="auto"/>
              <w:jc w:val="center"/>
              <w:rPr>
                <w:rFonts w:ascii="Calibri" w:eastAsia="Calibri" w:hAnsi="Calibri"/>
                <w:lang w:eastAsia="en-US"/>
              </w:rPr>
            </w:pP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pStyle w:val="Tabletext"/>
              <w:rPr>
                <w:rFonts w:eastAsia="Calibri"/>
              </w:rPr>
            </w:pPr>
            <w:r w:rsidRPr="00427EE1">
              <w:rPr>
                <w:rFonts w:eastAsia="Calibri"/>
              </w:rPr>
              <w:t xml:space="preserve">This </w:t>
            </w:r>
            <w:r w:rsidR="000273F9">
              <w:rPr>
                <w:rFonts w:eastAsia="Calibri"/>
              </w:rPr>
              <w:t>Regulation</w:t>
            </w:r>
            <w:r w:rsidRPr="00427EE1">
              <w:rPr>
                <w:rFonts w:eastAsia="Calibri"/>
              </w:rPr>
              <w:t xml:space="preserve"> has been retained to ensure that contracts entered into </w:t>
            </w:r>
            <w:r w:rsidR="00D90FC3">
              <w:rPr>
                <w:rFonts w:eastAsia="Calibri"/>
              </w:rPr>
              <w:t>before</w:t>
            </w:r>
            <w:r w:rsidRPr="00427EE1">
              <w:rPr>
                <w:rFonts w:eastAsia="Calibri"/>
              </w:rPr>
              <w:t xml:space="preserve"> the commencement of </w:t>
            </w:r>
            <w:r w:rsidR="0023395A">
              <w:rPr>
                <w:rFonts w:eastAsia="Calibri"/>
              </w:rPr>
              <w:t xml:space="preserve">s </w:t>
            </w:r>
            <w:r w:rsidRPr="00427EE1">
              <w:rPr>
                <w:rFonts w:eastAsia="Calibri"/>
              </w:rPr>
              <w:t xml:space="preserve">38 of the Building Amendment </w:t>
            </w:r>
            <w:r w:rsidRPr="006119D2">
              <w:rPr>
                <w:rFonts w:eastAsia="Calibri"/>
                <w:i/>
              </w:rPr>
              <w:t>(Consumer Protection) Act 2016</w:t>
            </w:r>
            <w:r w:rsidRPr="00427EE1">
              <w:rPr>
                <w:rFonts w:eastAsia="Calibri"/>
              </w:rPr>
              <w:t xml:space="preserve"> are not affected.</w:t>
            </w:r>
          </w:p>
        </w:tc>
      </w:tr>
      <w:tr w:rsidR="00665375" w:rsidRPr="00427EE1" w:rsidTr="006119D2">
        <w:trPr>
          <w:cantSplit/>
          <w:trHeight w:val="340"/>
        </w:trPr>
        <w:tc>
          <w:tcPr>
            <w:tcW w:w="98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rsidP="006757E8">
            <w:pPr>
              <w:pStyle w:val="Tabletext"/>
              <w:rPr>
                <w:rFonts w:eastAsia="Calibri"/>
              </w:rPr>
            </w:pPr>
            <w:r w:rsidRPr="00427EE1">
              <w:rPr>
                <w:rFonts w:eastAsia="Calibri"/>
              </w:rPr>
              <w:lastRenderedPageBreak/>
              <w:t>n/a</w:t>
            </w:r>
          </w:p>
        </w:tc>
        <w:tc>
          <w:tcPr>
            <w:tcW w:w="945"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rsidP="006757E8">
            <w:pPr>
              <w:pStyle w:val="Tabletext"/>
              <w:rPr>
                <w:rFonts w:eastAsia="Calibri"/>
                <w:lang w:eastAsia="en-US"/>
              </w:rPr>
            </w:pPr>
            <w:r w:rsidRPr="00427EE1">
              <w:rPr>
                <w:rFonts w:eastAsia="Calibri"/>
                <w:lang w:eastAsia="en-US"/>
              </w:rPr>
              <w:t>NEW</w:t>
            </w:r>
          </w:p>
          <w:p w:rsidR="00665375" w:rsidRPr="00427EE1" w:rsidRDefault="00665375">
            <w:pPr>
              <w:pStyle w:val="Tabletext"/>
              <w:rPr>
                <w:rFonts w:eastAsia="Calibri"/>
                <w:lang w:eastAsia="en-US"/>
              </w:rPr>
            </w:pPr>
            <w:r w:rsidRPr="00427EE1">
              <w:rPr>
                <w:rFonts w:eastAsia="Calibri"/>
                <w:lang w:eastAsia="en-US"/>
              </w:rPr>
              <w:t>280</w:t>
            </w:r>
          </w:p>
        </w:tc>
        <w:tc>
          <w:tcPr>
            <w:tcW w:w="4243"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tcPr>
          <w:p w:rsidR="00665375" w:rsidRPr="00427EE1" w:rsidRDefault="00665375">
            <w:pPr>
              <w:pStyle w:val="Tabletext"/>
              <w:rPr>
                <w:rFonts w:eastAsia="Calibri"/>
                <w:b/>
              </w:rPr>
            </w:pPr>
            <w:r w:rsidRPr="00427EE1">
              <w:rPr>
                <w:rFonts w:eastAsia="Calibri"/>
                <w:b/>
              </w:rPr>
              <w:t xml:space="preserve">Transitional provision – revocation of </w:t>
            </w:r>
            <w:r w:rsidR="008911CB">
              <w:rPr>
                <w:rFonts w:eastAsia="Calibri"/>
                <w:b/>
              </w:rPr>
              <w:t>Regulations</w:t>
            </w:r>
            <w:r w:rsidRPr="00427EE1">
              <w:rPr>
                <w:rFonts w:eastAsia="Calibri"/>
                <w:b/>
              </w:rPr>
              <w:t xml:space="preserve"> prescribing fees</w:t>
            </w:r>
          </w:p>
          <w:p w:rsidR="00665375" w:rsidRPr="00427EE1" w:rsidRDefault="00665375">
            <w:pPr>
              <w:pStyle w:val="Tabletext"/>
              <w:rPr>
                <w:rFonts w:eastAsia="Calibri"/>
              </w:rPr>
            </w:pPr>
            <w:r w:rsidRPr="00427EE1">
              <w:rPr>
                <w:rFonts w:eastAsia="Calibri"/>
                <w:lang w:eastAsia="en-US"/>
              </w:rPr>
              <w:t xml:space="preserve">This </w:t>
            </w:r>
            <w:r w:rsidR="000273F9">
              <w:rPr>
                <w:rFonts w:eastAsia="Calibri"/>
                <w:lang w:eastAsia="en-US"/>
              </w:rPr>
              <w:t>Regulation</w:t>
            </w:r>
            <w:r w:rsidRPr="00427EE1">
              <w:rPr>
                <w:rFonts w:eastAsia="Calibri"/>
                <w:lang w:eastAsia="en-US"/>
              </w:rPr>
              <w:t xml:space="preserve"> will revoke all fee </w:t>
            </w:r>
            <w:r w:rsidR="008911CB">
              <w:rPr>
                <w:rFonts w:eastAsia="Calibri"/>
                <w:lang w:eastAsia="en-US"/>
              </w:rPr>
              <w:t>Regulations</w:t>
            </w:r>
            <w:r w:rsidRPr="00427EE1">
              <w:rPr>
                <w:rFonts w:eastAsia="Calibri"/>
                <w:lang w:eastAsia="en-US"/>
              </w:rPr>
              <w:t xml:space="preserve"> by 1 June 2020.</w:t>
            </w: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tabs>
                <w:tab w:val="left" w:pos="567"/>
              </w:tabs>
              <w:spacing w:line="276" w:lineRule="auto"/>
              <w:jc w:val="center"/>
              <w:rPr>
                <w:rFonts w:ascii="Calibri" w:eastAsia="Calibri" w:hAnsi="Calibri"/>
                <w:lang w:eastAsia="en-US"/>
              </w:rPr>
            </w:pPr>
          </w:p>
        </w:tc>
        <w:tc>
          <w:tcPr>
            <w:tcW w:w="399"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tabs>
                <w:tab w:val="left" w:pos="567"/>
              </w:tabs>
              <w:spacing w:line="276" w:lineRule="auto"/>
              <w:jc w:val="center"/>
              <w:rPr>
                <w:rStyle w:val="tgc"/>
                <w:rFonts w:ascii="MS Gothic" w:eastAsia="MS Gothic" w:hAnsi="MS Gothic" w:cs="MS Gothic"/>
                <w:color w:val="222222"/>
                <w:lang w:val="en-GB"/>
              </w:rPr>
            </w:pPr>
          </w:p>
        </w:tc>
        <w:tc>
          <w:tcPr>
            <w:tcW w:w="402"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tabs>
                <w:tab w:val="left" w:pos="567"/>
              </w:tabs>
              <w:spacing w:line="276" w:lineRule="auto"/>
              <w:jc w:val="center"/>
              <w:rPr>
                <w:rFonts w:ascii="Calibri" w:eastAsia="Calibri" w:hAnsi="Calibri"/>
                <w:lang w:eastAsia="en-US"/>
              </w:rPr>
            </w:pPr>
          </w:p>
        </w:tc>
        <w:tc>
          <w:tcPr>
            <w:tcW w:w="400"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tabs>
                <w:tab w:val="left" w:pos="567"/>
              </w:tabs>
              <w:spacing w:line="276" w:lineRule="auto"/>
              <w:jc w:val="center"/>
              <w:rPr>
                <w:rFonts w:ascii="Calibri" w:eastAsia="Calibri" w:hAnsi="Calibri"/>
                <w:lang w:eastAsia="en-US"/>
              </w:rPr>
            </w:pPr>
            <w:r w:rsidRPr="00427EE1">
              <w:rPr>
                <w:rFonts w:ascii="MS Gothic" w:eastAsia="MS Gothic" w:hAnsi="MS Gothic" w:cs="MS Gothic"/>
                <w:color w:val="222222"/>
              </w:rPr>
              <w:t>✓</w:t>
            </w:r>
          </w:p>
        </w:tc>
        <w:tc>
          <w:tcPr>
            <w:tcW w:w="398"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665375">
            <w:pPr>
              <w:tabs>
                <w:tab w:val="left" w:pos="567"/>
              </w:tabs>
              <w:spacing w:line="276" w:lineRule="auto"/>
              <w:jc w:val="center"/>
              <w:rPr>
                <w:rFonts w:ascii="Calibri" w:eastAsia="Calibri" w:hAnsi="Calibri"/>
                <w:lang w:eastAsia="en-US"/>
              </w:rPr>
            </w:pPr>
          </w:p>
        </w:tc>
        <w:tc>
          <w:tcPr>
            <w:tcW w:w="6327" w:type="dxa"/>
            <w:tcBorders>
              <w:top w:val="dotted" w:sz="4" w:space="0" w:color="00B2A9" w:themeColor="accent1"/>
              <w:left w:val="dotted" w:sz="4" w:space="0" w:color="00B2A9" w:themeColor="accent1"/>
              <w:bottom w:val="dotted" w:sz="4" w:space="0" w:color="00B2A9" w:themeColor="accent1"/>
              <w:right w:val="dotted" w:sz="4" w:space="0" w:color="00B2A9" w:themeColor="accent1"/>
            </w:tcBorders>
            <w:shd w:val="clear" w:color="auto" w:fill="FFFFFF" w:themeFill="background1"/>
            <w:vAlign w:val="center"/>
          </w:tcPr>
          <w:p w:rsidR="00665375" w:rsidRPr="00427EE1" w:rsidRDefault="003F0AA3">
            <w:pPr>
              <w:pStyle w:val="Tabletext"/>
              <w:rPr>
                <w:rFonts w:eastAsia="Calibri"/>
              </w:rPr>
            </w:pPr>
            <w:r w:rsidRPr="00427EE1">
              <w:rPr>
                <w:rFonts w:eastAsia="Calibri"/>
              </w:rPr>
              <w:t>This</w:t>
            </w:r>
            <w:r w:rsidR="00E60957">
              <w:rPr>
                <w:rFonts w:eastAsia="Calibri"/>
              </w:rPr>
              <w:t xml:space="preserve"> </w:t>
            </w:r>
            <w:r w:rsidR="000273F9">
              <w:rPr>
                <w:rFonts w:eastAsia="Calibri"/>
              </w:rPr>
              <w:t>Regulation</w:t>
            </w:r>
            <w:r w:rsidR="00665375" w:rsidRPr="00427EE1">
              <w:rPr>
                <w:rFonts w:eastAsia="Calibri"/>
              </w:rPr>
              <w:t xml:space="preserve"> gives additional time for </w:t>
            </w:r>
            <w:r w:rsidR="00720C4E">
              <w:rPr>
                <w:rFonts w:eastAsia="Calibri"/>
              </w:rPr>
              <w:t>VBA</w:t>
            </w:r>
            <w:r w:rsidR="00665375" w:rsidRPr="00427EE1">
              <w:rPr>
                <w:rFonts w:eastAsia="Calibri"/>
              </w:rPr>
              <w:t xml:space="preserve"> and </w:t>
            </w:r>
            <w:r w:rsidR="00666D12">
              <w:rPr>
                <w:rFonts w:eastAsia="Calibri"/>
              </w:rPr>
              <w:t>BAB</w:t>
            </w:r>
            <w:r w:rsidR="00665375" w:rsidRPr="00427EE1">
              <w:rPr>
                <w:rFonts w:eastAsia="Calibri"/>
              </w:rPr>
              <w:t xml:space="preserve"> to undertake a review of all fee </w:t>
            </w:r>
            <w:r w:rsidR="008911CB">
              <w:rPr>
                <w:rFonts w:eastAsia="Calibri"/>
              </w:rPr>
              <w:t>Regulations</w:t>
            </w:r>
            <w:r w:rsidRPr="00427EE1">
              <w:rPr>
                <w:rFonts w:eastAsia="Calibri"/>
              </w:rPr>
              <w:t xml:space="preserve">. </w:t>
            </w:r>
            <w:r w:rsidR="00665375" w:rsidRPr="00427EE1">
              <w:rPr>
                <w:rFonts w:eastAsia="Calibri"/>
              </w:rPr>
              <w:t>It also enables a review of the proposed fees</w:t>
            </w:r>
            <w:r w:rsidRPr="00427EE1">
              <w:rPr>
                <w:rFonts w:eastAsia="Calibri"/>
              </w:rPr>
              <w:t xml:space="preserve"> </w:t>
            </w:r>
            <w:r w:rsidR="00665375" w:rsidRPr="00427EE1">
              <w:rPr>
                <w:rFonts w:eastAsia="Calibri"/>
              </w:rPr>
              <w:t>o</w:t>
            </w:r>
            <w:r w:rsidRPr="00427EE1">
              <w:rPr>
                <w:rFonts w:eastAsia="Calibri"/>
              </w:rPr>
              <w:t>f</w:t>
            </w:r>
            <w:r w:rsidR="00665375" w:rsidRPr="00427EE1">
              <w:rPr>
                <w:rFonts w:eastAsia="Calibri"/>
              </w:rPr>
              <w:t xml:space="preserve"> </w:t>
            </w:r>
            <w:r w:rsidR="00C46B4F" w:rsidRPr="00427EE1">
              <w:rPr>
                <w:rFonts w:eastAsia="Calibri"/>
              </w:rPr>
              <w:t>c</w:t>
            </w:r>
            <w:r w:rsidR="00665375" w:rsidRPr="00427EE1">
              <w:rPr>
                <w:rFonts w:eastAsia="Calibri"/>
              </w:rPr>
              <w:t xml:space="preserve">ouncil within three years. New fee </w:t>
            </w:r>
            <w:r w:rsidR="008911CB">
              <w:rPr>
                <w:rFonts w:eastAsia="Calibri"/>
              </w:rPr>
              <w:t>Regulations</w:t>
            </w:r>
            <w:r w:rsidR="00665375" w:rsidRPr="00427EE1">
              <w:rPr>
                <w:rFonts w:eastAsia="Calibri"/>
              </w:rPr>
              <w:t xml:space="preserve"> will need to be made </w:t>
            </w:r>
            <w:r w:rsidR="00D90FC3">
              <w:rPr>
                <w:rFonts w:eastAsia="Calibri"/>
              </w:rPr>
              <w:t>before</w:t>
            </w:r>
            <w:r w:rsidR="00665375" w:rsidRPr="00427EE1">
              <w:rPr>
                <w:rFonts w:eastAsia="Calibri"/>
              </w:rPr>
              <w:t xml:space="preserve"> June 2020 otherwise there will be no power for council, </w:t>
            </w:r>
            <w:r w:rsidR="00720C4E">
              <w:rPr>
                <w:rFonts w:eastAsia="Calibri"/>
              </w:rPr>
              <w:t>VBA</w:t>
            </w:r>
            <w:r w:rsidR="00665375" w:rsidRPr="00427EE1">
              <w:rPr>
                <w:rFonts w:eastAsia="Calibri"/>
              </w:rPr>
              <w:t xml:space="preserve"> or the BAB to</w:t>
            </w:r>
            <w:r w:rsidR="00E60957">
              <w:rPr>
                <w:rFonts w:eastAsia="Calibri"/>
              </w:rPr>
              <w:t xml:space="preserve"> </w:t>
            </w:r>
            <w:r w:rsidR="00665375" w:rsidRPr="00427EE1">
              <w:rPr>
                <w:rFonts w:eastAsia="Calibri"/>
              </w:rPr>
              <w:t xml:space="preserve">charge these fees after that date. </w:t>
            </w:r>
          </w:p>
        </w:tc>
      </w:tr>
    </w:tbl>
    <w:p w:rsidR="00A13A98" w:rsidRPr="00427EE1" w:rsidRDefault="00A13A98">
      <w:pPr>
        <w:rPr>
          <w:b/>
          <w:color w:val="00B2A9" w:themeColor="accent1"/>
        </w:rPr>
        <w:sectPr w:rsidR="00A13A98" w:rsidRPr="00427EE1" w:rsidSect="006119D2">
          <w:headerReference w:type="even" r:id="rId44"/>
          <w:footerReference w:type="even" r:id="rId45"/>
          <w:pgSz w:w="16840" w:h="11907" w:orient="landscape" w:code="9"/>
          <w:pgMar w:top="993" w:right="2268" w:bottom="1134" w:left="1134" w:header="284" w:footer="0" w:gutter="0"/>
          <w:cols w:space="284"/>
          <w:docGrid w:linePitch="360"/>
        </w:sectPr>
      </w:pPr>
    </w:p>
    <w:p w:rsidR="0058551B" w:rsidRPr="00427EE1" w:rsidRDefault="00AA4331">
      <w:r>
        <w:rPr>
          <w:noProof/>
        </w:rPr>
        <w:lastRenderedPageBreak/>
        <w:pict>
          <v:group id="_x0000_s1184" style="position:absolute;margin-left:12pt;margin-top:12pt;width:595.5pt;height:841.5pt;z-index:251679744;mso-position-horizontal-relative:page;mso-position-vertical-relative:page" coordsize="75628,10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">
            <v:shape id="_x0000_s1185" type="#_x0000_t75" style="position:absolute;width:75628;height:106870;visibility:visible" filled="t" fillcolor="white [3212]">
              <v:fill o:detectmouseclick="t"/>
              <v:path o:connecttype="none"/>
            </v:shape>
            <v:rect id="DELWPRectangle" o:spid="_x0000_s1186" style="position:absolute;left:3587;top:3600;width:68400;height:99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9kwMMA&#10;AADbAAAADwAAAGRycy9kb3ducmV2LnhtbESPUWvCMBSF3wf7D+EOfJtpi5vSmYrIBGH6oNsPuCbX&#10;tqy5KUmmdb9+EYQ9Hs453+HMF4PtxJl8aB0ryMcZCGLtTMu1gq/P9fMMRIjIBjvHpOBKARbV48Mc&#10;S+MuvKfzIdYiQTiUqKCJsS+lDLohi2HseuLknZy3GJP0tTQeLwluO1lk2au02HJaaLCnVUP6+/Bj&#10;Feyux+IDf7cT/d7Zae+cZJ+flBo9Dcs3EJGG+B++tzdGQfECty/pB8j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9kwMMAAADbAAAADwAAAAAAAAAAAAAAAACYAgAAZHJzL2Rv&#10;d25yZXYueG1sUEsFBgAAAAAEAAQA9QAAAIgDAAAAAA==&#10;" fillcolor="#201547" stroked="f"/>
            <v:shape id="Text Box 22" o:spid="_x0000_s1187" type="#_x0000_t202" style="position:absolute;left:7200;top:97574;width:23832;height:57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ULKsMA&#10;AADbAAAADwAAAGRycy9kb3ducmV2LnhtbERPTU/CQBC9m/gfNmPiTbZAYkxlIUYl4aAgIAnchu7Y&#10;NnZnm92hlH/PHkw8vrzvyax3jeooxNqzgeEgA0VceFtzaeB7O394AhUF2WLjmQxcKMJsenszwdz6&#10;M6+p20ipUgjHHA1UIm2udSwqchgHviVO3I8PDiXBUGob8JzCXaNHWfaoHdacGips6bWi4ndzcgaa&#10;fQwfx0wO3Vv5KV8rfdq9D5fG3N/1L8+ghHr5F/+5F9bAOK1PX9IP0N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ULKsMAAADbAAAADwAAAAAAAAAAAAAAAACYAgAAZHJzL2Rv&#10;d25yZXYueG1sUEsFBgAAAAAEAAQA9QAAAIgDAAAAAA==&#10;" filled="f" stroked="f" strokeweight=".5pt">
              <v:textbox style="mso-next-textbox:#Text Box 22" inset="0,0,0,0">
                <w:txbxContent>
                  <w:p w:rsidR="008915F8" w:rsidRDefault="008915F8" w:rsidP="00C85843">
                    <w:pPr>
                      <w:pStyle w:val="xWeb"/>
                      <w:rPr>
                        <w:color w:val="FFFFFF"/>
                      </w:rPr>
                    </w:pPr>
                    <w:r w:rsidRPr="00CC18C6">
                      <w:rPr>
                        <w:color w:val="FFFFFF"/>
                      </w:rPr>
                      <w:t>delwp.vic.gov.au</w:t>
                    </w:r>
                  </w:p>
                  <w:p w:rsidR="008915F8" w:rsidRPr="00CC18C6" w:rsidRDefault="008915F8" w:rsidP="00C85843">
                    <w:pPr>
                      <w:pStyle w:val="xWeb"/>
                      <w:rPr>
                        <w:color w:val="FFFFFF"/>
                      </w:rPr>
                    </w:pPr>
                  </w:p>
                </w:txbxContent>
              </v:textbox>
            </v:shape>
            <w10:wrap anchorx="page" anchory="page"/>
          </v:group>
        </w:pict>
      </w:r>
    </w:p>
    <w:sectPr w:rsidR="0058551B" w:rsidRPr="00427EE1" w:rsidSect="004F7D03">
      <w:headerReference w:type="even" r:id="rId46"/>
      <w:headerReference w:type="default" r:id="rId47"/>
      <w:footerReference w:type="even" r:id="rId48"/>
      <w:footerReference w:type="default" r:id="rId49"/>
      <w:pgSz w:w="11907" w:h="16840" w:code="9"/>
      <w:pgMar w:top="2268" w:right="1134" w:bottom="1134" w:left="1134" w:header="284" w:footer="284"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331" w:rsidRDefault="00AA4331">
      <w:r>
        <w:separator/>
      </w:r>
    </w:p>
    <w:p w:rsidR="00AA4331" w:rsidRDefault="00AA4331"/>
  </w:endnote>
  <w:endnote w:type="continuationSeparator" w:id="0">
    <w:p w:rsidR="00AA4331" w:rsidRDefault="00AA4331">
      <w:r>
        <w:continuationSeparator/>
      </w:r>
    </w:p>
    <w:p w:rsidR="00AA4331" w:rsidRDefault="00AA4331"/>
  </w:endnote>
  <w:endnote w:type="continuationNotice" w:id="1">
    <w:p w:rsidR="00AA4331" w:rsidRDefault="00AA43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n-ea">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504" w:type="dxa"/>
      <w:tblLayout w:type="fixed"/>
      <w:tblCellMar>
        <w:bottom w:w="284" w:type="dxa"/>
      </w:tblCellMar>
      <w:tblLook w:val="04A0" w:firstRow="1" w:lastRow="0" w:firstColumn="1" w:lastColumn="0" w:noHBand="0" w:noVBand="1"/>
    </w:tblPr>
    <w:tblGrid>
      <w:gridCol w:w="340"/>
      <w:gridCol w:w="8164"/>
    </w:tblGrid>
    <w:tr w:rsidR="008915F8" w:rsidTr="00D83BD4">
      <w:trPr>
        <w:trHeight w:val="397"/>
      </w:trPr>
      <w:tc>
        <w:tcPr>
          <w:tcW w:w="340" w:type="dxa"/>
        </w:tcPr>
        <w:p w:rsidR="008915F8" w:rsidRPr="00D55628" w:rsidRDefault="008915F8" w:rsidP="00D55628">
          <w:pPr>
            <w:pStyle w:val="FooterEven"/>
          </w:pPr>
          <w:r>
            <w:fldChar w:fldCharType="begin"/>
          </w:r>
          <w:r>
            <w:instrText xml:space="preserve"> PAGE   \* MERGEFORMAT </w:instrText>
          </w:r>
          <w:r>
            <w:fldChar w:fldCharType="separate"/>
          </w:r>
          <w:r>
            <w:rPr>
              <w:noProof/>
            </w:rPr>
            <w:t>3</w:t>
          </w:r>
          <w:r>
            <w:rPr>
              <w:noProof/>
            </w:rPr>
            <w:fldChar w:fldCharType="end"/>
          </w:r>
        </w:p>
      </w:tc>
      <w:tc>
        <w:tcPr>
          <w:tcW w:w="8164" w:type="dxa"/>
        </w:tcPr>
        <w:p w:rsidR="008915F8" w:rsidRPr="00D55628" w:rsidRDefault="008915F8" w:rsidP="00D55628">
          <w:pPr>
            <w:pStyle w:val="FooterEven"/>
          </w:pPr>
          <w:r w:rsidRPr="000A15E4">
            <w:rPr>
              <w:rStyle w:val="Bold"/>
            </w:rPr>
            <w:t>Title of document</w:t>
          </w:r>
          <w:r w:rsidRPr="00D55628">
            <w:t xml:space="preserve"> Subtitle</w:t>
          </w:r>
        </w:p>
      </w:tc>
    </w:tr>
  </w:tbl>
  <w:p w:rsidR="008915F8" w:rsidRPr="008B6D45" w:rsidRDefault="008915F8" w:rsidP="005949B0">
    <w:pPr>
      <w:pStyle w:val="FooterEven"/>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8915F8" w:rsidTr="00DD7238">
      <w:trPr>
        <w:trHeight w:val="397"/>
      </w:trPr>
      <w:tc>
        <w:tcPr>
          <w:tcW w:w="9071" w:type="dxa"/>
        </w:tcPr>
        <w:p w:rsidR="008915F8" w:rsidRPr="00D55628" w:rsidRDefault="008915F8" w:rsidP="00D55628">
          <w:pPr>
            <w:pStyle w:val="FooterOdd"/>
            <w:rPr>
              <w:rStyle w:val="Bold"/>
            </w:rPr>
          </w:pPr>
          <w:r>
            <w:fldChar w:fldCharType="begin"/>
          </w:r>
          <w:r>
            <w:instrText xml:space="preserve"> STYLEREF  Title  \* MERGEFORMAT </w:instrText>
          </w:r>
          <w:r>
            <w:fldChar w:fldCharType="separate"/>
          </w:r>
          <w:r w:rsidR="00B47740">
            <w:rPr>
              <w:b/>
              <w:bCs/>
              <w:noProof/>
              <w:lang w:val="en-US"/>
            </w:rPr>
            <w:t>Error! No text of specified style in document.</w:t>
          </w:r>
          <w:r>
            <w:fldChar w:fldCharType="end"/>
          </w:r>
        </w:p>
        <w:p w:rsidR="008915F8" w:rsidRPr="00CB1FB7" w:rsidRDefault="008915F8" w:rsidP="00CB1FB7">
          <w:pPr>
            <w:pStyle w:val="FooterOdd"/>
            <w:rPr>
              <w:b/>
            </w:rPr>
          </w:pPr>
          <w:r>
            <w:fldChar w:fldCharType="begin"/>
          </w:r>
          <w:r>
            <w:instrText xml:space="preserve"> STYLEREF  Subtitle  \* MERGEFORMAT </w:instrText>
          </w:r>
          <w:r>
            <w:fldChar w:fldCharType="separate"/>
          </w:r>
          <w:r w:rsidR="00B47740">
            <w:rPr>
              <w:b/>
              <w:bCs/>
              <w:noProof/>
              <w:lang w:val="en-US"/>
            </w:rPr>
            <w:t>Error! No text of specified style in document.</w:t>
          </w:r>
          <w:r>
            <w:fldChar w:fldCharType="end"/>
          </w:r>
        </w:p>
      </w:tc>
      <w:tc>
        <w:tcPr>
          <w:tcW w:w="340" w:type="dxa"/>
        </w:tcPr>
        <w:p w:rsidR="008915F8" w:rsidRPr="00D55628" w:rsidRDefault="008915F8" w:rsidP="00D55628">
          <w:pPr>
            <w:pStyle w:val="FooterOddPageNumber"/>
          </w:pPr>
          <w:r>
            <w:fldChar w:fldCharType="begin"/>
          </w:r>
          <w:r>
            <w:instrText xml:space="preserve"> PAGE   \* MERGEFORMAT </w:instrText>
          </w:r>
          <w:r>
            <w:fldChar w:fldCharType="separate"/>
          </w:r>
          <w:r w:rsidR="00B47740">
            <w:rPr>
              <w:noProof/>
            </w:rPr>
            <w:t>127</w:t>
          </w:r>
          <w:r>
            <w:rPr>
              <w:noProof/>
            </w:rPr>
            <w:fldChar w:fldCharType="end"/>
          </w:r>
        </w:p>
      </w:tc>
    </w:tr>
  </w:tbl>
  <w:p w:rsidR="008915F8" w:rsidRDefault="00AA4331">
    <w:pPr>
      <w:pStyle w:val="Footer"/>
    </w:pPr>
    <w:r>
      <w:rPr>
        <w:noProof/>
      </w:rPr>
      <w:pict>
        <v:shapetype id="_x0000_t202" coordsize="21600,21600" o:spt="202" path="m,l,21600r21600,l21600,xe">
          <v:stroke joinstyle="miter"/>
          <v:path gradientshapeok="t" o:connecttype="rect"/>
        </v:shapetype>
        <v:shape id="_x0000_s2077" type="#_x0000_t202" alt="Title: Background Watermark Image" style="position:absolute;margin-left:0;margin-top:0;width:595.3pt;height:141.45pt;z-index:-251656192;visibility:visible;mso-position-horizontal:center;mso-position-horizontal-relative:page;mso-position-vertical:center;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" filled="f" stroked="f">
          <v:textbox>
            <w:txbxContent>
              <w:p w:rsidR="008915F8" w:rsidRPr="0001226A" w:rsidRDefault="008915F8" w:rsidP="00DF21D2">
                <w:pPr>
                  <w:pStyle w:val="xStatus"/>
                </w:pPr>
              </w:p>
            </w:txbxContent>
          </v:textbox>
          <w10:wrap anchorx="page" anchory="page"/>
          <w10:anchorlock/>
        </v:shape>
      </w:pict>
    </w:r>
  </w:p>
  <w:p w:rsidR="008915F8" w:rsidRDefault="008915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5F8" w:rsidRDefault="00AA4331">
    <w:pPr>
      <w:pStyle w:val="Footer"/>
    </w:pPr>
    <w:r>
      <w:rPr>
        <w:noProof/>
      </w:rPr>
      <w:pict>
        <v:shapetype id="_x0000_t202" coordsize="21600,21600" o:spt="202" path="m,l,21600r21600,l21600,xe">
          <v:stroke joinstyle="miter"/>
          <v:path gradientshapeok="t" o:connecttype="rect"/>
        </v:shapetype>
        <v:shape id="Text Box 224" o:spid="_x0000_s2081" type="#_x0000_t202" alt="Title: Background Watermark Image" style="position:absolute;margin-left:0;margin-top:0;width:595.3pt;height:141.45pt;z-index:-251602944;visibility:visible;mso-position-horizontal:center;mso-position-horizontal-relative:page;mso-position-vertical:center;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" filled="f" stroked="f">
          <v:textbox>
            <w:txbxContent>
              <w:p w:rsidR="008915F8" w:rsidRPr="0001226A" w:rsidRDefault="008915F8" w:rsidP="00DF21D2">
                <w:pPr>
                  <w:pStyle w:val="xStatus"/>
                </w:pPr>
              </w:p>
            </w:txbxContent>
          </v:textbox>
          <w10:wrap anchorx="page" anchory="page"/>
          <w10:anchorlock/>
        </v:shape>
      </w:pict>
    </w:r>
  </w:p>
  <w:p w:rsidR="008915F8" w:rsidRDefault="008915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5F8" w:rsidRDefault="008915F8">
    <w:pPr>
      <w:pStyle w:val="Footer"/>
    </w:pPr>
    <w:r w:rsidRPr="00D55628">
      <w:rPr>
        <w:noProof/>
      </w:rPr>
      <w:drawing>
        <wp:anchor distT="0" distB="0" distL="114300" distR="114300" simplePos="0" relativeHeight="251712512" behindDoc="1" locked="0" layoutInCell="1" allowOverlap="1" wp14:anchorId="7A3DD4B3" wp14:editId="3115DF9F">
          <wp:simplePos x="0" y="0"/>
          <wp:positionH relativeFrom="page">
            <wp:align>right</wp:align>
          </wp:positionH>
          <wp:positionV relativeFrom="page">
            <wp:align>bottom</wp:align>
          </wp:positionV>
          <wp:extent cx="2203200" cy="903600"/>
          <wp:effectExtent l="0" t="0" r="6985" b="0"/>
          <wp:wrapNone/>
          <wp:docPr id="10" name="Logo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I_Black_RGB_right (w 1cm margin).emf"/>
                  <pic:cNvPicPr/>
                </pic:nvPicPr>
                <pic:blipFill>
                  <a:blip r:embed="rId1">
                    <a:extLst>
                      <a:ext uri="{28A0092B-C50C-407E-A947-70E740481C1C}">
                        <a14:useLocalDpi xmlns:a14="http://schemas.microsoft.com/office/drawing/2010/main" val="0"/>
                      </a:ext>
                    </a:extLst>
                  </a:blip>
                  <a:stretch>
                    <a:fillRect/>
                  </a:stretch>
                </pic:blipFill>
                <pic:spPr bwMode="auto">
                  <a:xfrm>
                    <a:off x="0" y="0"/>
                    <a:ext cx="2203200" cy="903600"/>
                  </a:xfrm>
                  <a:prstGeom prst="rect">
                    <a:avLst/>
                  </a:prstGeom>
                  <a:ln>
                    <a:noFill/>
                  </a:ln>
                  <a:extLst>
                    <a:ext uri="{53640926-AAD7-44D8-BBD7-CCE9431645EC}">
                      <a14:shadowObscured xmlns:a14="http://schemas.microsoft.com/office/drawing/2010/main"/>
                    </a:ext>
                  </a:extLst>
                </pic:spPr>
              </pic:pic>
            </a:graphicData>
          </a:graphic>
        </wp:anchor>
      </w:drawing>
    </w:r>
    <w:r w:rsidRPr="00D55628">
      <w:rPr>
        <w:noProof/>
      </w:rPr>
      <w:drawing>
        <wp:anchor distT="0" distB="0" distL="114300" distR="114300" simplePos="0" relativeHeight="251711488" behindDoc="1" locked="1" layoutInCell="1" allowOverlap="1" wp14:anchorId="2F30B5B2" wp14:editId="7AB74CD2">
          <wp:simplePos x="0" y="0"/>
          <wp:positionH relativeFrom="page">
            <wp:align>right</wp:align>
          </wp:positionH>
          <wp:positionV relativeFrom="page">
            <wp:align>bottom</wp:align>
          </wp:positionV>
          <wp:extent cx="2520000" cy="1062000"/>
          <wp:effectExtent l="0" t="0" r="0" b="0"/>
          <wp:wrapNone/>
          <wp:docPr id="47"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I_541_RGB_right (w 1cm margin).emf"/>
                  <pic:cNvPicPr/>
                </pic:nvPicPr>
                <pic:blipFill>
                  <a:blip r:embed="rId2">
                    <a:extLst>
                      <a:ext uri="{28A0092B-C50C-407E-A947-70E740481C1C}">
                        <a14:useLocalDpi xmlns:a14="http://schemas.microsoft.com/office/drawing/2010/main" val="0"/>
                      </a:ext>
                    </a:extLst>
                  </a:blip>
                  <a:srcRect r="-37744" b="-93793"/>
                  <a:stretch>
                    <a:fillRect/>
                  </a:stretch>
                </pic:blipFill>
                <pic:spPr bwMode="auto">
                  <a:xfrm>
                    <a:off x="0" y="0"/>
                    <a:ext cx="2520000" cy="1062000"/>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5F8" w:rsidRPr="006650EF" w:rsidRDefault="008915F8" w:rsidP="00842D04">
    <w:pPr>
      <w:pStyle w:val="Footer-Even"/>
      <w:tabs>
        <w:tab w:val="right" w:pos="14034"/>
      </w:tabs>
    </w:pPr>
    <w:r w:rsidRPr="00CC3648">
      <w:rPr>
        <w:b/>
        <w:color w:val="00B2A9" w:themeColor="accent1"/>
      </w:rPr>
      <w:fldChar w:fldCharType="begin"/>
    </w:r>
    <w:r w:rsidRPr="00CC3648">
      <w:rPr>
        <w:b/>
        <w:color w:val="00B2A9" w:themeColor="accent1"/>
      </w:rPr>
      <w:instrText xml:space="preserve"> PAGE  \* MERGEFORMAT </w:instrText>
    </w:r>
    <w:r w:rsidRPr="00CC3648">
      <w:rPr>
        <w:b/>
        <w:color w:val="00B2A9" w:themeColor="accent1"/>
      </w:rPr>
      <w:fldChar w:fldCharType="separate"/>
    </w:r>
    <w:r>
      <w:rPr>
        <w:b/>
        <w:noProof/>
        <w:color w:val="00B2A9" w:themeColor="accent1"/>
      </w:rPr>
      <w:t>6</w:t>
    </w:r>
    <w:r w:rsidRPr="00CC3648">
      <w:rPr>
        <w:b/>
        <w:noProof/>
        <w:color w:val="00B2A9" w:themeColor="accent1"/>
      </w:rPr>
      <w:fldChar w:fldCharType="end"/>
    </w:r>
    <w:r>
      <w:rPr>
        <w:noProof/>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5F8" w:rsidRDefault="008915F8" w:rsidP="006119D2">
    <w:pPr>
      <w:pStyle w:val="Footer"/>
      <w:pBdr>
        <w:top w:val="single" w:sz="4" w:space="1" w:color="D9D9D9" w:themeColor="background1" w:themeShade="D9"/>
      </w:pBdr>
      <w:ind w:firstLine="567"/>
      <w:rPr>
        <w:b/>
      </w:rPr>
    </w:pPr>
  </w:p>
  <w:p w:rsidR="008915F8" w:rsidRPr="00D840F2" w:rsidRDefault="008915F8" w:rsidP="00842D04">
    <w:pPr>
      <w:tabs>
        <w:tab w:val="right" w:pos="8221"/>
      </w:tabs>
      <w:rPr>
        <w:rFonts w:ascii="Arial" w:hAnsi="Arial"/>
        <w:sz w:val="19"/>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9481"/>
      <w:docPartObj>
        <w:docPartGallery w:val="Page Numbers (Bottom of Page)"/>
        <w:docPartUnique/>
      </w:docPartObj>
    </w:sdtPr>
    <w:sdtEndPr>
      <w:rPr>
        <w:color w:val="7F7F7F" w:themeColor="background1" w:themeShade="7F"/>
        <w:spacing w:val="60"/>
      </w:rPr>
    </w:sdtEndPr>
    <w:sdtContent>
      <w:p w:rsidR="008915F8" w:rsidRPr="00DB4C93" w:rsidRDefault="008915F8" w:rsidP="004242BD">
        <w:pPr>
          <w:pStyle w:val="Footer"/>
          <w:pBdr>
            <w:top w:val="single" w:sz="4" w:space="1" w:color="D9D9D9" w:themeColor="background1" w:themeShade="D9"/>
          </w:pBdr>
          <w:spacing w:after="0" w:line="240" w:lineRule="auto"/>
          <w:rPr>
            <w:b/>
            <w:color w:val="1A1A1A" w:themeColor="text1" w:themeShade="80"/>
          </w:rPr>
        </w:pPr>
        <w:r>
          <w:fldChar w:fldCharType="begin"/>
        </w:r>
        <w:r>
          <w:instrText xml:space="preserve"> PAGE   \* MERGEFORMAT </w:instrText>
        </w:r>
        <w:r>
          <w:fldChar w:fldCharType="separate"/>
        </w:r>
        <w:r w:rsidR="00B47740" w:rsidRPr="00B47740">
          <w:rPr>
            <w:b/>
            <w:noProof/>
          </w:rPr>
          <w:t>2</w:t>
        </w:r>
        <w:r>
          <w:rPr>
            <w:b/>
            <w:noProof/>
          </w:rPr>
          <w:fldChar w:fldCharType="end"/>
        </w:r>
        <w:r>
          <w:rPr>
            <w:b/>
          </w:rPr>
          <w:t xml:space="preserve"> | </w:t>
        </w:r>
        <w:r>
          <w:rPr>
            <w:b/>
          </w:rPr>
          <w:tab/>
        </w:r>
        <w:r w:rsidRPr="000924F0">
          <w:rPr>
            <w:b/>
            <w:color w:val="1A1A1A" w:themeColor="text1" w:themeShade="80"/>
          </w:rPr>
          <w:t>Regulatory impact statement proposed Building Regulations 2017</w:t>
        </w:r>
      </w:p>
      <w:p w:rsidR="008915F8" w:rsidDel="004242BD" w:rsidRDefault="008915F8" w:rsidP="006119D2">
        <w:pPr>
          <w:pStyle w:val="Footer"/>
          <w:pBdr>
            <w:top w:val="single" w:sz="4" w:space="1" w:color="D9D9D9" w:themeColor="background1" w:themeShade="D9"/>
          </w:pBdr>
          <w:spacing w:after="0" w:line="240" w:lineRule="auto"/>
          <w:ind w:firstLine="567"/>
          <w:rPr>
            <w:color w:val="7F7F7F" w:themeColor="background1" w:themeShade="7F"/>
            <w:spacing w:val="60"/>
          </w:rPr>
        </w:pPr>
        <w:r w:rsidRPr="000924F0">
          <w:rPr>
            <w:rStyle w:val="Bold"/>
            <w:b w:val="0"/>
            <w:color w:val="1A1A1A" w:themeColor="text1" w:themeShade="80"/>
          </w:rPr>
          <w:t xml:space="preserve">Part </w:t>
        </w:r>
        <w:r>
          <w:rPr>
            <w:rStyle w:val="Bold"/>
            <w:b w:val="0"/>
            <w:color w:val="1A1A1A" w:themeColor="text1" w:themeShade="80"/>
          </w:rPr>
          <w:t>A</w:t>
        </w:r>
        <w:r w:rsidRPr="000924F0">
          <w:rPr>
            <w:rStyle w:val="Bold"/>
            <w:b w:val="0"/>
            <w:color w:val="1A1A1A" w:themeColor="text1" w:themeShade="80"/>
          </w:rPr>
          <w:t xml:space="preserve">: </w:t>
        </w:r>
        <w:r>
          <w:rPr>
            <w:rStyle w:val="Bold"/>
            <w:b w:val="0"/>
            <w:color w:val="1A1A1A" w:themeColor="text1" w:themeShade="80"/>
          </w:rPr>
          <w:t>Background and proposed approach</w:t>
        </w:r>
      </w:p>
      <w:p w:rsidR="008915F8" w:rsidRDefault="00AA4331" w:rsidP="006119D2">
        <w:pPr>
          <w:pStyle w:val="Footer"/>
          <w:pBdr>
            <w:top w:val="single" w:sz="4" w:space="1" w:color="D9D9D9" w:themeColor="background1" w:themeShade="D9"/>
          </w:pBdr>
          <w:ind w:firstLine="567"/>
          <w:rPr>
            <w:b/>
          </w:rPr>
        </w:pPr>
      </w:p>
    </w:sdtContent>
  </w:sdt>
  <w:p w:rsidR="008915F8" w:rsidRPr="00D840F2" w:rsidRDefault="008915F8" w:rsidP="00842D04">
    <w:pPr>
      <w:tabs>
        <w:tab w:val="right" w:pos="8221"/>
      </w:tabs>
      <w:rPr>
        <w:rFonts w:ascii="Arial" w:hAnsi="Arial"/>
        <w:sz w:val="19"/>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5F8" w:rsidRPr="006650EF" w:rsidRDefault="008915F8" w:rsidP="00842D04">
    <w:pPr>
      <w:pStyle w:val="Footer-Even"/>
      <w:tabs>
        <w:tab w:val="right" w:pos="14034"/>
      </w:tabs>
    </w:pPr>
    <w:r w:rsidRPr="00CC3648">
      <w:rPr>
        <w:b/>
        <w:color w:val="00B2A9" w:themeColor="accent1"/>
      </w:rPr>
      <w:fldChar w:fldCharType="begin"/>
    </w:r>
    <w:r w:rsidRPr="00CC3648">
      <w:rPr>
        <w:b/>
        <w:color w:val="00B2A9" w:themeColor="accent1"/>
      </w:rPr>
      <w:instrText xml:space="preserve"> PAGE  \* MERGEFORMAT </w:instrText>
    </w:r>
    <w:r w:rsidRPr="00CC3648">
      <w:rPr>
        <w:b/>
        <w:color w:val="00B2A9" w:themeColor="accent1"/>
      </w:rPr>
      <w:fldChar w:fldCharType="separate"/>
    </w:r>
    <w:r>
      <w:rPr>
        <w:b/>
        <w:noProof/>
        <w:color w:val="00B2A9" w:themeColor="accent1"/>
      </w:rPr>
      <w:t>52</w:t>
    </w:r>
    <w:r w:rsidRPr="00CC3648">
      <w:rPr>
        <w:b/>
        <w:noProof/>
        <w:color w:val="00B2A9" w:themeColor="accent1"/>
      </w:rPr>
      <w:fldChar w:fldCharType="end"/>
    </w:r>
    <w:r>
      <w:rPr>
        <w:noProof/>
      </w:rPr>
      <w:tab/>
    </w:r>
    <w:r w:rsidRPr="00D840F2">
      <w:t>Department of Land, Environment, Water and Planning</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5F8" w:rsidRPr="006650EF" w:rsidRDefault="008915F8" w:rsidP="00842D04">
    <w:pPr>
      <w:pStyle w:val="Footer-Even"/>
      <w:tabs>
        <w:tab w:val="clear" w:pos="8220"/>
        <w:tab w:val="right" w:pos="13467"/>
      </w:tabs>
    </w:pPr>
    <w:r w:rsidRPr="00CC3648">
      <w:rPr>
        <w:b/>
        <w:color w:val="00B2A9" w:themeColor="accent1"/>
      </w:rPr>
      <w:fldChar w:fldCharType="begin"/>
    </w:r>
    <w:r w:rsidRPr="00CC3648">
      <w:rPr>
        <w:b/>
        <w:color w:val="00B2A9" w:themeColor="accent1"/>
      </w:rPr>
      <w:instrText xml:space="preserve"> PAGE  \* MERGEFORMAT </w:instrText>
    </w:r>
    <w:r w:rsidRPr="00CC3648">
      <w:rPr>
        <w:b/>
        <w:color w:val="00B2A9" w:themeColor="accent1"/>
      </w:rPr>
      <w:fldChar w:fldCharType="separate"/>
    </w:r>
    <w:r>
      <w:rPr>
        <w:b/>
        <w:noProof/>
        <w:color w:val="00B2A9" w:themeColor="accent1"/>
      </w:rPr>
      <w:t>124</w:t>
    </w:r>
    <w:r w:rsidRPr="00CC3648">
      <w:rPr>
        <w:b/>
        <w:noProof/>
        <w:color w:val="00B2A9" w:themeColor="accent1"/>
      </w:rPr>
      <w:fldChar w:fldCharType="end"/>
    </w:r>
    <w:r>
      <w:rPr>
        <w:noProof/>
      </w:rPr>
      <w:tab/>
    </w:r>
    <w:r w:rsidRPr="00D840F2">
      <w:t>Department of Land, Environment, Water and Planning</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8915F8" w:rsidTr="00DD7238">
      <w:trPr>
        <w:trHeight w:val="397"/>
      </w:trPr>
      <w:tc>
        <w:tcPr>
          <w:tcW w:w="340" w:type="dxa"/>
        </w:tcPr>
        <w:p w:rsidR="008915F8" w:rsidRPr="00D55628" w:rsidRDefault="008915F8" w:rsidP="006C52DE">
          <w:pPr>
            <w:pStyle w:val="FooterEvenPageNumber"/>
            <w:framePr w:wrap="auto" w:vAnchor="margin" w:hAnchor="text" w:yAlign="inline"/>
          </w:pPr>
        </w:p>
      </w:tc>
      <w:tc>
        <w:tcPr>
          <w:tcW w:w="9071" w:type="dxa"/>
        </w:tcPr>
        <w:p w:rsidR="008915F8" w:rsidRPr="00D55628" w:rsidRDefault="008915F8" w:rsidP="00D55628">
          <w:pPr>
            <w:pStyle w:val="FooterEven"/>
          </w:pPr>
        </w:p>
      </w:tc>
    </w:tr>
  </w:tbl>
  <w:p w:rsidR="008915F8" w:rsidRDefault="00AA4331" w:rsidP="005949B0">
    <w:pPr>
      <w:pStyle w:val="FooterEven"/>
    </w:pPr>
    <w:r>
      <w:rPr>
        <w:noProof/>
      </w:rPr>
      <w:pict>
        <v:shapetype id="_x0000_t202" coordsize="21600,21600" o:spt="202" path="m,l,21600r21600,l21600,xe">
          <v:stroke joinstyle="miter"/>
          <v:path gradientshapeok="t" o:connecttype="rect"/>
        </v:shapetype>
        <v:shape id="_x0000_s2078" type="#_x0000_t202" alt="Title: Background Watermark Image" style="position:absolute;margin-left:0;margin-top:0;width:595.3pt;height:141.45pt;z-index:-251654144;visibility:visible;mso-position-horizontal:center;mso-position-horizontal-relative:page;mso-position-vertical:center;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" filled="f" stroked="f">
          <v:textbox>
            <w:txbxContent>
              <w:p w:rsidR="008915F8" w:rsidRPr="0001226A" w:rsidRDefault="008915F8" w:rsidP="00DF21D2">
                <w:pPr>
                  <w:pStyle w:val="xStatus"/>
                </w:pPr>
              </w:p>
            </w:txbxContent>
          </v:textbox>
          <w10:wrap anchorx="page" anchory="page"/>
          <w10:anchorlock/>
        </v:shape>
      </w:pict>
    </w:r>
  </w:p>
  <w:p w:rsidR="008915F8" w:rsidRPr="00B5221E" w:rsidRDefault="008915F8" w:rsidP="00B522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331" w:rsidRDefault="00AA4331">
      <w:pPr>
        <w:pStyle w:val="FootnoteSeparator"/>
        <w:spacing w:before="200" w:after="0" w:line="240" w:lineRule="auto"/>
      </w:pPr>
    </w:p>
  </w:footnote>
  <w:footnote w:type="continuationSeparator" w:id="0">
    <w:p w:rsidR="00AA4331" w:rsidRDefault="00AA4331">
      <w:pPr>
        <w:pStyle w:val="FootnoteSeparator"/>
        <w:spacing w:before="0" w:after="0" w:line="240" w:lineRule="auto"/>
      </w:pPr>
    </w:p>
  </w:footnote>
  <w:footnote w:type="continuationNotice" w:id="1">
    <w:p w:rsidR="00AA4331" w:rsidRDefault="00AA4331">
      <w:pPr>
        <w:spacing w:after="0" w:line="240" w:lineRule="auto"/>
      </w:pPr>
    </w:p>
  </w:footnote>
  <w:footnote w:id="2">
    <w:p w:rsidR="008915F8" w:rsidRDefault="008915F8" w:rsidP="004F7D03">
      <w:pPr>
        <w:pStyle w:val="FootnoteText"/>
      </w:pPr>
      <w:r>
        <w:rPr>
          <w:rStyle w:val="FootnoteReference"/>
        </w:rPr>
        <w:footnoteRef/>
      </w:r>
      <w:r>
        <w:t xml:space="preserve"> </w:t>
      </w:r>
      <w:r>
        <w:tab/>
      </w:r>
      <w:r w:rsidRPr="00060570">
        <w:t>The Building Practitioners Board was abolished on 1 September 2016. From that date VBA has assumed responsibility for functions previously the responsibility of the Building Practitioners Board</w:t>
      </w:r>
      <w:r>
        <w:t>.</w:t>
      </w:r>
    </w:p>
  </w:footnote>
  <w:footnote w:id="3">
    <w:p w:rsidR="008915F8" w:rsidRDefault="008915F8">
      <w:pPr>
        <w:pStyle w:val="FootnoteText"/>
      </w:pPr>
      <w:r>
        <w:rPr>
          <w:rStyle w:val="FootnoteReference"/>
        </w:rPr>
        <w:footnoteRef/>
      </w:r>
      <w:r>
        <w:t xml:space="preserve"> </w:t>
      </w:r>
      <w:r>
        <w:tab/>
      </w:r>
      <w:r w:rsidRPr="00451305">
        <w:t>Victorian Parliamentary Debates, Legislative Assembly</w:t>
      </w:r>
      <w:r>
        <w:t xml:space="preserve">, </w:t>
      </w:r>
      <w:r w:rsidRPr="00451305">
        <w:t xml:space="preserve">vol. no. </w:t>
      </w:r>
      <w:r>
        <w:t>414</w:t>
      </w:r>
      <w:r w:rsidRPr="00451305">
        <w:t xml:space="preserve">, </w:t>
      </w:r>
      <w:r>
        <w:t>Thursday, 11 November 1993</w:t>
      </w:r>
      <w:r w:rsidRPr="00451305">
        <w:t>, page no.</w:t>
      </w:r>
      <w:r>
        <w:t xml:space="preserve"> 1690.</w:t>
      </w:r>
    </w:p>
  </w:footnote>
  <w:footnote w:id="4">
    <w:p w:rsidR="008915F8" w:rsidRPr="008F2BE4" w:rsidRDefault="008915F8" w:rsidP="004F7D03">
      <w:pPr>
        <w:pStyle w:val="FootnoteText"/>
      </w:pPr>
      <w:r>
        <w:rPr>
          <w:rStyle w:val="FootnoteReference"/>
        </w:rPr>
        <w:footnoteRef/>
      </w:r>
      <w:r>
        <w:t xml:space="preserve"> </w:t>
      </w:r>
      <w:r>
        <w:tab/>
      </w:r>
      <w:r w:rsidRPr="00060570">
        <w:t xml:space="preserve">Building Regulations 2006, </w:t>
      </w:r>
      <w:proofErr w:type="spellStart"/>
      <w:r w:rsidRPr="00060570">
        <w:t>reg</w:t>
      </w:r>
      <w:proofErr w:type="spellEnd"/>
      <w:r w:rsidRPr="00060570">
        <w:t xml:space="preserve"> 109.</w:t>
      </w:r>
    </w:p>
  </w:footnote>
  <w:footnote w:id="5">
    <w:p w:rsidR="008915F8" w:rsidRDefault="008915F8" w:rsidP="004F7D03">
      <w:pPr>
        <w:pStyle w:val="FootnoteText"/>
      </w:pPr>
      <w:r>
        <w:rPr>
          <w:rStyle w:val="FootnoteReference"/>
        </w:rPr>
        <w:footnoteRef/>
      </w:r>
      <w:r>
        <w:t xml:space="preserve"> </w:t>
      </w:r>
      <w:r>
        <w:tab/>
        <w:t xml:space="preserve">The meaning of ‘relevant building surveyor’ is defined in s 3(1) of the </w:t>
      </w:r>
      <w:r w:rsidRPr="00EE0DBA">
        <w:rPr>
          <w:i/>
        </w:rPr>
        <w:t>Building Act 1993</w:t>
      </w:r>
      <w:r>
        <w:t>.</w:t>
      </w:r>
    </w:p>
  </w:footnote>
  <w:footnote w:id="6">
    <w:p w:rsidR="008915F8" w:rsidRDefault="008915F8" w:rsidP="004F7D03">
      <w:pPr>
        <w:pStyle w:val="FootnoteText"/>
      </w:pPr>
      <w:r>
        <w:rPr>
          <w:rStyle w:val="FootnoteReference"/>
        </w:rPr>
        <w:footnoteRef/>
      </w:r>
      <w:r>
        <w:t xml:space="preserve"> </w:t>
      </w:r>
      <w:r>
        <w:tab/>
      </w:r>
      <w:r w:rsidRPr="00670994">
        <w:rPr>
          <w:i/>
        </w:rPr>
        <w:t>Building Act 1993</w:t>
      </w:r>
      <w:r>
        <w:rPr>
          <w:i/>
        </w:rPr>
        <w:t xml:space="preserve">, </w:t>
      </w:r>
      <w:proofErr w:type="spellStart"/>
      <w:r>
        <w:t>pt</w:t>
      </w:r>
      <w:proofErr w:type="spellEnd"/>
      <w:r>
        <w:t xml:space="preserve"> 3 and </w:t>
      </w:r>
      <w:proofErr w:type="spellStart"/>
      <w:r>
        <w:t>sch</w:t>
      </w:r>
      <w:proofErr w:type="spellEnd"/>
      <w:r>
        <w:t xml:space="preserve"> 2.</w:t>
      </w:r>
    </w:p>
  </w:footnote>
  <w:footnote w:id="7">
    <w:p w:rsidR="008915F8" w:rsidRDefault="008915F8" w:rsidP="004F7D03">
      <w:pPr>
        <w:pStyle w:val="FootnoteText"/>
      </w:pPr>
      <w:r>
        <w:rPr>
          <w:rStyle w:val="FootnoteReference"/>
        </w:rPr>
        <w:footnoteRef/>
      </w:r>
      <w:r>
        <w:t xml:space="preserve"> </w:t>
      </w:r>
      <w:r>
        <w:tab/>
      </w:r>
      <w:r w:rsidRPr="000B4F2F">
        <w:rPr>
          <w:i/>
        </w:rPr>
        <w:t>Building Act 1993</w:t>
      </w:r>
      <w:r>
        <w:rPr>
          <w:i/>
        </w:rPr>
        <w:t xml:space="preserve">, </w:t>
      </w:r>
      <w:r>
        <w:t>s 17.</w:t>
      </w:r>
    </w:p>
  </w:footnote>
  <w:footnote w:id="8">
    <w:p w:rsidR="008915F8" w:rsidRDefault="008915F8" w:rsidP="004F7D03">
      <w:pPr>
        <w:pStyle w:val="FootnoteText"/>
      </w:pPr>
      <w:r>
        <w:rPr>
          <w:rStyle w:val="FootnoteReference"/>
        </w:rPr>
        <w:footnoteRef/>
      </w:r>
      <w:r>
        <w:t xml:space="preserve"> </w:t>
      </w:r>
      <w:r>
        <w:tab/>
      </w:r>
      <w:r w:rsidRPr="000B4F2F">
        <w:rPr>
          <w:i/>
        </w:rPr>
        <w:t>Building Act 1993</w:t>
      </w:r>
      <w:r>
        <w:rPr>
          <w:i/>
        </w:rPr>
        <w:t xml:space="preserve">, </w:t>
      </w:r>
      <w:proofErr w:type="spellStart"/>
      <w:r>
        <w:t>ss</w:t>
      </w:r>
      <w:proofErr w:type="spellEnd"/>
      <w:r>
        <w:t xml:space="preserve"> 19, 24 and 24A.</w:t>
      </w:r>
    </w:p>
  </w:footnote>
  <w:footnote w:id="9">
    <w:p w:rsidR="008915F8" w:rsidRPr="002B5F53" w:rsidRDefault="008915F8">
      <w:pPr>
        <w:pStyle w:val="FootnoteText"/>
      </w:pPr>
      <w:r>
        <w:rPr>
          <w:rStyle w:val="FootnoteReference"/>
        </w:rPr>
        <w:footnoteRef/>
      </w:r>
      <w:r>
        <w:t xml:space="preserve"> </w:t>
      </w:r>
      <w:r>
        <w:tab/>
      </w:r>
      <w:r w:rsidRPr="008353D5">
        <w:rPr>
          <w:i/>
        </w:rPr>
        <w:t>Building Act 1993</w:t>
      </w:r>
      <w:r>
        <w:rPr>
          <w:i/>
        </w:rPr>
        <w:t xml:space="preserve">, </w:t>
      </w:r>
      <w:proofErr w:type="spellStart"/>
      <w:r>
        <w:t>pt</w:t>
      </w:r>
      <w:proofErr w:type="spellEnd"/>
      <w:r>
        <w:t xml:space="preserve"> 3 and </w:t>
      </w:r>
      <w:proofErr w:type="spellStart"/>
      <w:r>
        <w:t>sch</w:t>
      </w:r>
      <w:proofErr w:type="spellEnd"/>
      <w:r>
        <w:t xml:space="preserve"> 2.</w:t>
      </w:r>
    </w:p>
  </w:footnote>
  <w:footnote w:id="10">
    <w:p w:rsidR="008915F8" w:rsidRDefault="008915F8" w:rsidP="004F7D03">
      <w:pPr>
        <w:pStyle w:val="FootnoteText"/>
      </w:pPr>
      <w:r>
        <w:rPr>
          <w:rStyle w:val="FootnoteReference"/>
        </w:rPr>
        <w:footnoteRef/>
      </w:r>
      <w:r>
        <w:t xml:space="preserve"> </w:t>
      </w:r>
      <w:r>
        <w:tab/>
      </w:r>
      <w:r w:rsidRPr="00C12D0E">
        <w:rPr>
          <w:i/>
        </w:rPr>
        <w:t>Building Act 1993</w:t>
      </w:r>
      <w:r w:rsidRPr="008353D5">
        <w:t>,</w:t>
      </w:r>
      <w:r>
        <w:rPr>
          <w:i/>
        </w:rPr>
        <w:t xml:space="preserve"> </w:t>
      </w:r>
      <w:proofErr w:type="spellStart"/>
      <w:r>
        <w:t>pt</w:t>
      </w:r>
      <w:proofErr w:type="spellEnd"/>
      <w:r>
        <w:t xml:space="preserve"> 4. </w:t>
      </w:r>
      <w:r w:rsidRPr="008353D5">
        <w:t>Building Regulations 2006</w:t>
      </w:r>
      <w:r>
        <w:t xml:space="preserve">, </w:t>
      </w:r>
      <w:proofErr w:type="spellStart"/>
      <w:r>
        <w:t>pt</w:t>
      </w:r>
      <w:proofErr w:type="spellEnd"/>
      <w:r w:rsidRPr="00206171">
        <w:t xml:space="preserve"> 9</w:t>
      </w:r>
      <w:r w:rsidRPr="008F2BE4">
        <w:t>.</w:t>
      </w:r>
    </w:p>
  </w:footnote>
  <w:footnote w:id="11">
    <w:p w:rsidR="008915F8" w:rsidRPr="00BB6558" w:rsidRDefault="008915F8">
      <w:pPr>
        <w:pStyle w:val="FootnoteText"/>
      </w:pPr>
      <w:r>
        <w:rPr>
          <w:rStyle w:val="FootnoteReference"/>
        </w:rPr>
        <w:footnoteRef/>
      </w:r>
      <w:r>
        <w:tab/>
      </w:r>
      <w:r>
        <w:rPr>
          <w:i/>
        </w:rPr>
        <w:t xml:space="preserve">Building Act 1993, </w:t>
      </w:r>
      <w:r>
        <w:t xml:space="preserve">div 2 of </w:t>
      </w:r>
      <w:proofErr w:type="spellStart"/>
      <w:r>
        <w:t>pt</w:t>
      </w:r>
      <w:proofErr w:type="spellEnd"/>
      <w:r>
        <w:t xml:space="preserve"> 4.</w:t>
      </w:r>
    </w:p>
  </w:footnote>
  <w:footnote w:id="12">
    <w:p w:rsidR="008915F8" w:rsidRDefault="008915F8" w:rsidP="004F7D03">
      <w:pPr>
        <w:pStyle w:val="FootnoteText"/>
      </w:pPr>
      <w:r>
        <w:rPr>
          <w:rStyle w:val="FootnoteReference"/>
        </w:rPr>
        <w:footnoteRef/>
      </w:r>
      <w:r>
        <w:t xml:space="preserve"> </w:t>
      </w:r>
      <w:r>
        <w:tab/>
      </w:r>
      <w:r w:rsidRPr="00C12D0E">
        <w:rPr>
          <w:i/>
        </w:rPr>
        <w:t>Building Act 1993,</w:t>
      </w:r>
      <w:r>
        <w:rPr>
          <w:i/>
        </w:rPr>
        <w:t xml:space="preserve"> </w:t>
      </w:r>
      <w:r w:rsidRPr="006119D2">
        <w:t>d</w:t>
      </w:r>
      <w:r w:rsidRPr="00EF2008">
        <w:t>iv</w:t>
      </w:r>
      <w:r>
        <w:t xml:space="preserve"> 3 of </w:t>
      </w:r>
      <w:proofErr w:type="spellStart"/>
      <w:r>
        <w:t>pt</w:t>
      </w:r>
      <w:proofErr w:type="spellEnd"/>
      <w:r>
        <w:t xml:space="preserve"> 4, and </w:t>
      </w:r>
      <w:proofErr w:type="spellStart"/>
      <w:r>
        <w:t>pt</w:t>
      </w:r>
      <w:proofErr w:type="spellEnd"/>
      <w:r w:rsidRPr="00206171">
        <w:t xml:space="preserve"> 5</w:t>
      </w:r>
      <w:r>
        <w:t>.</w:t>
      </w:r>
      <w:r w:rsidRPr="00206171">
        <w:t xml:space="preserve"> </w:t>
      </w:r>
      <w:r w:rsidRPr="008353D5">
        <w:t>Building Regulations 2006</w:t>
      </w:r>
      <w:r>
        <w:t xml:space="preserve">, </w:t>
      </w:r>
      <w:proofErr w:type="spellStart"/>
      <w:r>
        <w:t>pt</w:t>
      </w:r>
      <w:proofErr w:type="spellEnd"/>
      <w:r w:rsidRPr="00206171">
        <w:t xml:space="preserve"> 10</w:t>
      </w:r>
      <w:r>
        <w:rPr>
          <w:i/>
        </w:rPr>
        <w:t>.</w:t>
      </w:r>
    </w:p>
  </w:footnote>
  <w:footnote w:id="13">
    <w:p w:rsidR="008915F8" w:rsidRDefault="008915F8" w:rsidP="004F7D03">
      <w:pPr>
        <w:pStyle w:val="FootnoteText"/>
      </w:pPr>
      <w:r>
        <w:rPr>
          <w:rStyle w:val="FootnoteReference"/>
        </w:rPr>
        <w:footnoteRef/>
      </w:r>
      <w:r>
        <w:t xml:space="preserve"> </w:t>
      </w:r>
      <w:r>
        <w:tab/>
        <w:t>VBA</w:t>
      </w:r>
      <w:r w:rsidRPr="0079046D">
        <w:t xml:space="preserve">’s </w:t>
      </w:r>
      <w:r>
        <w:t xml:space="preserve">2015–16 </w:t>
      </w:r>
      <w:r w:rsidRPr="0079046D">
        <w:t>Annual Report</w:t>
      </w:r>
      <w:r>
        <w:t xml:space="preserve">, available at: </w:t>
      </w:r>
      <w:r w:rsidRPr="00AF3F6A">
        <w:t>http://www.vba.vic.gov.au/__data/assets/pdf_file/0006/49704/VBA-Annual-Report-2015-16.pdf</w:t>
      </w:r>
    </w:p>
  </w:footnote>
  <w:footnote w:id="14">
    <w:p w:rsidR="008915F8" w:rsidRDefault="008915F8" w:rsidP="004F7D03">
      <w:pPr>
        <w:pStyle w:val="FootnoteText"/>
      </w:pPr>
      <w:r>
        <w:rPr>
          <w:rStyle w:val="FootnoteReference"/>
        </w:rPr>
        <w:footnoteRef/>
      </w:r>
      <w:r>
        <w:t xml:space="preserve"> </w:t>
      </w:r>
      <w:r>
        <w:tab/>
      </w:r>
      <w:r w:rsidRPr="00C12D0E">
        <w:rPr>
          <w:i/>
        </w:rPr>
        <w:t>Building Act 1993</w:t>
      </w:r>
      <w:r>
        <w:t>, div</w:t>
      </w:r>
      <w:r w:rsidRPr="00206171">
        <w:t xml:space="preserve"> 3 of </w:t>
      </w:r>
      <w:proofErr w:type="spellStart"/>
      <w:r>
        <w:t>pt</w:t>
      </w:r>
      <w:proofErr w:type="spellEnd"/>
      <w:r w:rsidRPr="00206171">
        <w:t xml:space="preserve"> 12</w:t>
      </w:r>
      <w:r>
        <w:t>.</w:t>
      </w:r>
    </w:p>
  </w:footnote>
  <w:footnote w:id="15">
    <w:p w:rsidR="008915F8" w:rsidRPr="002F129B" w:rsidRDefault="008915F8">
      <w:pPr>
        <w:pStyle w:val="FootnoteText"/>
      </w:pPr>
      <w:r>
        <w:rPr>
          <w:rStyle w:val="FootnoteReference"/>
        </w:rPr>
        <w:footnoteRef/>
      </w:r>
      <w:r>
        <w:t xml:space="preserve"> </w:t>
      </w:r>
      <w:r>
        <w:tab/>
      </w:r>
      <w:r>
        <w:rPr>
          <w:i/>
        </w:rPr>
        <w:t xml:space="preserve">Building Act 1993, </w:t>
      </w:r>
      <w:proofErr w:type="spellStart"/>
      <w:r>
        <w:t>pt</w:t>
      </w:r>
      <w:proofErr w:type="spellEnd"/>
      <w:r>
        <w:t xml:space="preserve"> 10.</w:t>
      </w:r>
    </w:p>
  </w:footnote>
  <w:footnote w:id="16">
    <w:p w:rsidR="008915F8" w:rsidRDefault="008915F8" w:rsidP="004F7D03">
      <w:pPr>
        <w:pStyle w:val="FootnoteText"/>
      </w:pPr>
      <w:r>
        <w:rPr>
          <w:rStyle w:val="FootnoteReference"/>
        </w:rPr>
        <w:footnoteRef/>
      </w:r>
      <w:r>
        <w:t xml:space="preserve"> </w:t>
      </w:r>
      <w:r>
        <w:tab/>
      </w:r>
      <w:r w:rsidRPr="00C12D0E">
        <w:rPr>
          <w:i/>
        </w:rPr>
        <w:t>Building Act 1993</w:t>
      </w:r>
      <w:r>
        <w:rPr>
          <w:i/>
        </w:rPr>
        <w:t xml:space="preserve">, </w:t>
      </w:r>
      <w:r>
        <w:t>div</w:t>
      </w:r>
      <w:r w:rsidRPr="00206171">
        <w:t xml:space="preserve"> 4 of </w:t>
      </w:r>
      <w:proofErr w:type="spellStart"/>
      <w:r>
        <w:t>pt</w:t>
      </w:r>
      <w:proofErr w:type="spellEnd"/>
      <w:r w:rsidRPr="00206171">
        <w:t xml:space="preserve"> 12</w:t>
      </w:r>
      <w:r>
        <w:rPr>
          <w:i/>
        </w:rPr>
        <w:t>.</w:t>
      </w:r>
    </w:p>
  </w:footnote>
  <w:footnote w:id="17">
    <w:p w:rsidR="008915F8" w:rsidRPr="008353D5" w:rsidRDefault="008915F8">
      <w:pPr>
        <w:pStyle w:val="FootnoteText"/>
        <w:rPr>
          <w:i/>
        </w:rPr>
      </w:pPr>
      <w:r>
        <w:rPr>
          <w:rStyle w:val="FootnoteReference"/>
        </w:rPr>
        <w:footnoteRef/>
      </w:r>
      <w:r>
        <w:t xml:space="preserve"> </w:t>
      </w:r>
      <w:r>
        <w:tab/>
      </w:r>
      <w:r>
        <w:rPr>
          <w:i/>
        </w:rPr>
        <w:t xml:space="preserve">Building Act 1993, </w:t>
      </w:r>
      <w:r>
        <w:t xml:space="preserve">S 212 and div 5 of </w:t>
      </w:r>
      <w:proofErr w:type="spellStart"/>
      <w:r>
        <w:t>pt</w:t>
      </w:r>
      <w:proofErr w:type="spellEnd"/>
      <w:r>
        <w:t xml:space="preserve"> 12</w:t>
      </w:r>
      <w:r>
        <w:rPr>
          <w:i/>
        </w:rPr>
        <w:t>.</w:t>
      </w:r>
    </w:p>
  </w:footnote>
  <w:footnote w:id="18">
    <w:p w:rsidR="008915F8" w:rsidRPr="008353D5" w:rsidRDefault="008915F8" w:rsidP="004F7D03">
      <w:pPr>
        <w:pStyle w:val="FootnoteText"/>
      </w:pPr>
      <w:r>
        <w:rPr>
          <w:rStyle w:val="FootnoteReference"/>
        </w:rPr>
        <w:footnoteRef/>
      </w:r>
      <w:r>
        <w:t xml:space="preserve"> </w:t>
      </w:r>
      <w:r>
        <w:tab/>
      </w:r>
      <w:r>
        <w:rPr>
          <w:i/>
        </w:rPr>
        <w:t>Building Act 1993</w:t>
      </w:r>
      <w:r w:rsidRPr="008353D5">
        <w:t xml:space="preserve">, </w:t>
      </w:r>
      <w:r>
        <w:t>s</w:t>
      </w:r>
      <w:r w:rsidRPr="008353D5">
        <w:t xml:space="preserve"> 80.</w:t>
      </w:r>
    </w:p>
  </w:footnote>
  <w:footnote w:id="19">
    <w:p w:rsidR="008915F8" w:rsidRDefault="008915F8" w:rsidP="004F7D03">
      <w:pPr>
        <w:pStyle w:val="FootnoteText"/>
      </w:pPr>
      <w:r>
        <w:rPr>
          <w:rStyle w:val="FootnoteReference"/>
        </w:rPr>
        <w:footnoteRef/>
      </w:r>
      <w:r>
        <w:t xml:space="preserve"> </w:t>
      </w:r>
      <w:r>
        <w:tab/>
      </w:r>
      <w:r>
        <w:rPr>
          <w:i/>
        </w:rPr>
        <w:t>Building Act 1993</w:t>
      </w:r>
      <w:r w:rsidRPr="008353D5">
        <w:t xml:space="preserve">, </w:t>
      </w:r>
      <w:r>
        <w:t>s</w:t>
      </w:r>
      <w:r w:rsidRPr="008353D5">
        <w:t xml:space="preserve"> 3(1).</w:t>
      </w:r>
    </w:p>
  </w:footnote>
  <w:footnote w:id="20">
    <w:p w:rsidR="008915F8" w:rsidRPr="00E6185A" w:rsidRDefault="008915F8" w:rsidP="004F7D03">
      <w:pPr>
        <w:pStyle w:val="FootnoteText"/>
      </w:pPr>
      <w:r>
        <w:rPr>
          <w:rStyle w:val="FootnoteReference"/>
        </w:rPr>
        <w:footnoteRef/>
      </w:r>
      <w:r>
        <w:t xml:space="preserve"> </w:t>
      </w:r>
      <w:r>
        <w:tab/>
      </w:r>
      <w:r>
        <w:rPr>
          <w:i/>
        </w:rPr>
        <w:t>Building Act 1993</w:t>
      </w:r>
      <w:r w:rsidRPr="008353D5">
        <w:t xml:space="preserve">, </w:t>
      </w:r>
      <w:r>
        <w:t>s</w:t>
      </w:r>
      <w:r w:rsidRPr="008353D5">
        <w:t xml:space="preserve"> 17 and </w:t>
      </w:r>
      <w:r>
        <w:t>s</w:t>
      </w:r>
      <w:r w:rsidRPr="008353D5">
        <w:t xml:space="preserve"> 76(a) for </w:t>
      </w:r>
      <w:r>
        <w:t>PBS</w:t>
      </w:r>
      <w:r w:rsidRPr="008353D5">
        <w:t>s.</w:t>
      </w:r>
    </w:p>
  </w:footnote>
  <w:footnote w:id="21">
    <w:p w:rsidR="008915F8" w:rsidRDefault="008915F8" w:rsidP="004F7D03">
      <w:pPr>
        <w:pStyle w:val="FootnoteText"/>
      </w:pPr>
      <w:r>
        <w:rPr>
          <w:rStyle w:val="FootnoteReference"/>
        </w:rPr>
        <w:footnoteRef/>
      </w:r>
      <w:r>
        <w:t xml:space="preserve"> </w:t>
      </w:r>
      <w:r>
        <w:tab/>
      </w:r>
      <w:r>
        <w:rPr>
          <w:i/>
        </w:rPr>
        <w:t>Building Act 1993</w:t>
      </w:r>
      <w:r w:rsidRPr="008353D5">
        <w:t xml:space="preserve">, </w:t>
      </w:r>
      <w:r>
        <w:t>s</w:t>
      </w:r>
      <w:r w:rsidRPr="008353D5">
        <w:t xml:space="preserve"> 76(b) for </w:t>
      </w:r>
      <w:r>
        <w:t>PBS</w:t>
      </w:r>
      <w:r w:rsidRPr="008353D5">
        <w:t>s</w:t>
      </w:r>
      <w:r>
        <w:rPr>
          <w:i/>
        </w:rPr>
        <w:t>.</w:t>
      </w:r>
    </w:p>
  </w:footnote>
  <w:footnote w:id="22">
    <w:p w:rsidR="008915F8" w:rsidRPr="00E6185A" w:rsidRDefault="008915F8" w:rsidP="004F7D03">
      <w:pPr>
        <w:pStyle w:val="FootnoteText"/>
      </w:pPr>
      <w:r>
        <w:rPr>
          <w:rStyle w:val="FootnoteReference"/>
        </w:rPr>
        <w:footnoteRef/>
      </w:r>
      <w:r>
        <w:t xml:space="preserve"> </w:t>
      </w:r>
      <w:r>
        <w:tab/>
      </w:r>
      <w:r>
        <w:rPr>
          <w:i/>
        </w:rPr>
        <w:t>Building Act 1993</w:t>
      </w:r>
      <w:r w:rsidRPr="008353D5">
        <w:t xml:space="preserve">, </w:t>
      </w:r>
      <w:r>
        <w:t>s</w:t>
      </w:r>
      <w:r w:rsidRPr="008353D5">
        <w:t xml:space="preserve"> 76(c) for </w:t>
      </w:r>
      <w:r>
        <w:t>PBS</w:t>
      </w:r>
      <w:r w:rsidRPr="008353D5">
        <w:t>s.</w:t>
      </w:r>
    </w:p>
  </w:footnote>
  <w:footnote w:id="23">
    <w:p w:rsidR="008915F8" w:rsidRPr="001B3094" w:rsidRDefault="008915F8" w:rsidP="001B3094">
      <w:pPr>
        <w:pStyle w:val="FootnoteText"/>
      </w:pPr>
      <w:r w:rsidRPr="001B3094">
        <w:rPr>
          <w:rStyle w:val="FootnoteReference"/>
        </w:rPr>
        <w:footnoteRef/>
      </w:r>
      <w:r w:rsidRPr="001B3094">
        <w:rPr>
          <w:rStyle w:val="FootnoteReference"/>
        </w:rPr>
        <w:t xml:space="preserve"> </w:t>
      </w:r>
      <w:r w:rsidRPr="001B3094">
        <w:rPr>
          <w:rStyle w:val="FootnoteReference"/>
        </w:rPr>
        <w:tab/>
      </w:r>
      <w:r w:rsidRPr="001B3094">
        <w:t xml:space="preserve">Building Regulations 2006, </w:t>
      </w:r>
      <w:proofErr w:type="spellStart"/>
      <w:r>
        <w:t>sch</w:t>
      </w:r>
      <w:proofErr w:type="spellEnd"/>
      <w:r w:rsidRPr="001B3094">
        <w:t xml:space="preserve"> 7.</w:t>
      </w:r>
    </w:p>
  </w:footnote>
  <w:footnote w:id="24">
    <w:p w:rsidR="008915F8" w:rsidRPr="001B3094" w:rsidRDefault="008915F8" w:rsidP="001B3094">
      <w:pPr>
        <w:pStyle w:val="FootnoteText"/>
      </w:pPr>
      <w:r w:rsidRPr="001B3094">
        <w:rPr>
          <w:rStyle w:val="FootnoteReference"/>
        </w:rPr>
        <w:footnoteRef/>
      </w:r>
      <w:r w:rsidRPr="001B3094">
        <w:rPr>
          <w:rStyle w:val="FootnoteReference"/>
        </w:rPr>
        <w:t xml:space="preserve"> </w:t>
      </w:r>
      <w:r w:rsidRPr="001B3094">
        <w:rPr>
          <w:rStyle w:val="FootnoteReference"/>
        </w:rPr>
        <w:tab/>
      </w:r>
      <w:r w:rsidRPr="001B3094">
        <w:t>Victorian Government Printer, (2005), Building Practitioners' Insurance Ministerial Order, Victoria Government Gazette. No. S 91, Thursday 12 May 2005,</w:t>
      </w:r>
    </w:p>
  </w:footnote>
  <w:footnote w:id="25">
    <w:p w:rsidR="008915F8" w:rsidRPr="001B3094" w:rsidRDefault="008915F8" w:rsidP="001B3094">
      <w:pPr>
        <w:pStyle w:val="FootnoteText"/>
      </w:pPr>
      <w:r w:rsidRPr="001B3094">
        <w:rPr>
          <w:rStyle w:val="FootnoteReference"/>
        </w:rPr>
        <w:footnoteRef/>
      </w:r>
      <w:r w:rsidRPr="001B3094">
        <w:rPr>
          <w:rStyle w:val="FootnoteReference"/>
        </w:rPr>
        <w:t xml:space="preserve"> </w:t>
      </w:r>
      <w:r w:rsidRPr="001B3094">
        <w:rPr>
          <w:rStyle w:val="FootnoteReference"/>
        </w:rPr>
        <w:tab/>
      </w:r>
      <w:r w:rsidRPr="001B3094">
        <w:rPr>
          <w:i/>
        </w:rPr>
        <w:t>Building Act 1993</w:t>
      </w:r>
      <w:r w:rsidRPr="001B3094">
        <w:t xml:space="preserve">, </w:t>
      </w:r>
      <w:r>
        <w:t>s</w:t>
      </w:r>
      <w:r w:rsidRPr="001B3094">
        <w:t xml:space="preserve"> 34.</w:t>
      </w:r>
    </w:p>
  </w:footnote>
  <w:footnote w:id="26">
    <w:p w:rsidR="008915F8" w:rsidRPr="001B3094" w:rsidRDefault="008915F8" w:rsidP="001B3094">
      <w:pPr>
        <w:pStyle w:val="FootnoteText"/>
      </w:pPr>
      <w:r w:rsidRPr="001B3094">
        <w:rPr>
          <w:rStyle w:val="FootnoteReference"/>
        </w:rPr>
        <w:footnoteRef/>
      </w:r>
      <w:r w:rsidRPr="001B3094">
        <w:rPr>
          <w:rStyle w:val="FootnoteReference"/>
        </w:rPr>
        <w:t xml:space="preserve"> </w:t>
      </w:r>
      <w:r w:rsidRPr="001B3094">
        <w:tab/>
      </w:r>
      <w:hyperlink r:id="rId1" w:history="1">
        <w:r w:rsidRPr="001B3094">
          <w:t>http://planningschemes.dpcd.vic.gov.au</w:t>
        </w:r>
      </w:hyperlink>
      <w:r w:rsidRPr="001B3094">
        <w:t>.</w:t>
      </w:r>
    </w:p>
  </w:footnote>
  <w:footnote w:id="27">
    <w:p w:rsidR="008915F8" w:rsidRPr="0022407E" w:rsidRDefault="008915F8" w:rsidP="004F7D03">
      <w:pPr>
        <w:pStyle w:val="FootnoteText"/>
        <w:rPr>
          <w:szCs w:val="14"/>
          <w:lang w:val="en-US"/>
        </w:rPr>
      </w:pPr>
      <w:r w:rsidRPr="0022407E">
        <w:rPr>
          <w:rStyle w:val="FootnoteReference"/>
          <w:szCs w:val="14"/>
        </w:rPr>
        <w:footnoteRef/>
      </w:r>
      <w:r w:rsidRPr="0022407E">
        <w:rPr>
          <w:szCs w:val="14"/>
        </w:rPr>
        <w:t xml:space="preserve"> </w:t>
      </w:r>
      <w:r>
        <w:rPr>
          <w:szCs w:val="14"/>
        </w:rPr>
        <w:tab/>
      </w:r>
      <w:r w:rsidRPr="0022407E">
        <w:rPr>
          <w:rFonts w:cs="Times New Roman"/>
          <w:szCs w:val="14"/>
        </w:rPr>
        <w:t>A planning permit may be required to change the use of land, or to construct a building or alter existing buildings on certain land. For example to open a bar, subdivide land, build two or more dwellings, construct one dwelling on a small allotment, or to undertake building work when the zone or overlay requires a permit.</w:t>
      </w:r>
    </w:p>
  </w:footnote>
  <w:footnote w:id="28">
    <w:p w:rsidR="008915F8" w:rsidRPr="00153359" w:rsidRDefault="008915F8" w:rsidP="004F7D03">
      <w:pPr>
        <w:pStyle w:val="FootnoteText"/>
        <w:rPr>
          <w:rFonts w:asciiTheme="majorHAnsi" w:hAnsiTheme="majorHAnsi"/>
          <w:szCs w:val="14"/>
        </w:rPr>
      </w:pPr>
      <w:r w:rsidRPr="00153359">
        <w:rPr>
          <w:rStyle w:val="FootnoteReference"/>
          <w:rFonts w:asciiTheme="majorHAnsi" w:hAnsiTheme="majorHAnsi"/>
          <w:szCs w:val="14"/>
        </w:rPr>
        <w:footnoteRef/>
      </w:r>
      <w:r>
        <w:rPr>
          <w:rFonts w:asciiTheme="majorHAnsi" w:hAnsiTheme="majorHAnsi"/>
          <w:szCs w:val="14"/>
        </w:rPr>
        <w:tab/>
      </w:r>
      <w:r>
        <w:rPr>
          <w:rFonts w:asciiTheme="majorHAnsi" w:hAnsiTheme="majorHAnsi"/>
          <w:i/>
          <w:szCs w:val="14"/>
        </w:rPr>
        <w:t xml:space="preserve">Building Act 1993, </w:t>
      </w:r>
      <w:proofErr w:type="spellStart"/>
      <w:r>
        <w:rPr>
          <w:rFonts w:asciiTheme="majorHAnsi" w:hAnsiTheme="majorHAnsi"/>
          <w:szCs w:val="14"/>
        </w:rPr>
        <w:t>pt</w:t>
      </w:r>
      <w:proofErr w:type="spellEnd"/>
      <w:r w:rsidRPr="00153359">
        <w:rPr>
          <w:rFonts w:asciiTheme="majorHAnsi" w:hAnsiTheme="majorHAnsi"/>
          <w:szCs w:val="14"/>
        </w:rPr>
        <w:t xml:space="preserve"> 11</w:t>
      </w:r>
      <w:r>
        <w:rPr>
          <w:rFonts w:asciiTheme="majorHAnsi" w:hAnsiTheme="majorHAnsi"/>
          <w:szCs w:val="14"/>
        </w:rPr>
        <w:t>.</w:t>
      </w:r>
    </w:p>
  </w:footnote>
  <w:footnote w:id="29">
    <w:p w:rsidR="008915F8" w:rsidRPr="00153359" w:rsidRDefault="008915F8" w:rsidP="004F7D03">
      <w:pPr>
        <w:pStyle w:val="FootnoteText"/>
        <w:rPr>
          <w:rFonts w:asciiTheme="majorHAnsi" w:hAnsiTheme="majorHAnsi"/>
          <w:szCs w:val="14"/>
        </w:rPr>
      </w:pPr>
      <w:r w:rsidRPr="00153359">
        <w:rPr>
          <w:rStyle w:val="FootnoteReference"/>
          <w:rFonts w:asciiTheme="majorHAnsi" w:hAnsiTheme="majorHAnsi"/>
          <w:szCs w:val="14"/>
        </w:rPr>
        <w:footnoteRef/>
      </w:r>
      <w:r w:rsidRPr="00153359">
        <w:rPr>
          <w:rFonts w:asciiTheme="majorHAnsi" w:hAnsiTheme="majorHAnsi"/>
          <w:szCs w:val="14"/>
        </w:rPr>
        <w:t xml:space="preserve"> </w:t>
      </w:r>
      <w:r>
        <w:rPr>
          <w:rFonts w:asciiTheme="majorHAnsi" w:hAnsiTheme="majorHAnsi"/>
          <w:szCs w:val="14"/>
        </w:rPr>
        <w:tab/>
      </w:r>
      <w:r w:rsidRPr="00153359">
        <w:rPr>
          <w:rFonts w:asciiTheme="majorHAnsi" w:hAnsiTheme="majorHAnsi"/>
          <w:szCs w:val="14"/>
        </w:rPr>
        <w:t>www.accc.gov.au</w:t>
      </w:r>
    </w:p>
  </w:footnote>
  <w:footnote w:id="30">
    <w:p w:rsidR="008915F8" w:rsidRPr="002D6259" w:rsidRDefault="008915F8" w:rsidP="0035176F">
      <w:pPr>
        <w:pStyle w:val="FootnoteText"/>
      </w:pPr>
      <w:r w:rsidRPr="008353D5">
        <w:rPr>
          <w:rStyle w:val="FootnoteReference"/>
          <w:sz w:val="16"/>
          <w:szCs w:val="16"/>
        </w:rPr>
        <w:footnoteRef/>
      </w:r>
      <w:r w:rsidRPr="008353D5">
        <w:rPr>
          <w:rStyle w:val="FootnoteReference"/>
          <w:sz w:val="16"/>
          <w:szCs w:val="16"/>
        </w:rPr>
        <w:t xml:space="preserve"> </w:t>
      </w:r>
      <w:r w:rsidRPr="008353D5">
        <w:rPr>
          <w:rStyle w:val="FootnoteReference"/>
          <w:sz w:val="16"/>
          <w:szCs w:val="16"/>
        </w:rPr>
        <w:tab/>
      </w:r>
      <w:r w:rsidRPr="002D6259">
        <w:t>https://www.vmia.vic.gov.au/insure/domestic-building-insurance</w:t>
      </w:r>
    </w:p>
  </w:footnote>
  <w:footnote w:id="31">
    <w:p w:rsidR="008915F8" w:rsidRPr="002D6259" w:rsidRDefault="008915F8">
      <w:pPr>
        <w:pStyle w:val="FootnoteText"/>
      </w:pPr>
      <w:r w:rsidRPr="008353D5">
        <w:rPr>
          <w:rStyle w:val="FootnoteReference"/>
          <w:sz w:val="16"/>
          <w:szCs w:val="16"/>
        </w:rPr>
        <w:footnoteRef/>
      </w:r>
      <w:r>
        <w:rPr>
          <w:rStyle w:val="FootnoteReference"/>
          <w:sz w:val="16"/>
          <w:szCs w:val="16"/>
        </w:rPr>
        <w:tab/>
      </w:r>
      <w:r w:rsidRPr="008353D5">
        <w:t xml:space="preserve">Information on domestic building insurance can be found at: </w:t>
      </w:r>
      <w:hyperlink r:id="rId2" w:tgtFrame="_blank" w:history="1">
        <w:r w:rsidRPr="008353D5">
          <w:t>www.dbi.vmia.vic.gov.au</w:t>
        </w:r>
      </w:hyperlink>
      <w:r w:rsidRPr="008353D5">
        <w:t>.</w:t>
      </w:r>
    </w:p>
  </w:footnote>
  <w:footnote w:id="32">
    <w:p w:rsidR="008915F8" w:rsidRPr="004D678A" w:rsidRDefault="008915F8" w:rsidP="004F7D03">
      <w:pPr>
        <w:pStyle w:val="FootnoteText"/>
        <w:rPr>
          <w:sz w:val="16"/>
          <w:szCs w:val="16"/>
        </w:rPr>
      </w:pPr>
      <w:r w:rsidRPr="004D678A">
        <w:rPr>
          <w:rStyle w:val="FootnoteReference"/>
          <w:sz w:val="16"/>
          <w:szCs w:val="16"/>
        </w:rPr>
        <w:footnoteRef/>
      </w:r>
      <w:r>
        <w:rPr>
          <w:sz w:val="16"/>
          <w:szCs w:val="16"/>
        </w:rPr>
        <w:tab/>
      </w:r>
      <w:r w:rsidRPr="00AC1A59">
        <w:rPr>
          <w:szCs w:val="20"/>
        </w:rPr>
        <w:t>BCA accepted evidence of suitability for use</w:t>
      </w:r>
    </w:p>
  </w:footnote>
  <w:footnote w:id="33">
    <w:p w:rsidR="008915F8" w:rsidRPr="004D678A" w:rsidRDefault="008915F8" w:rsidP="004F7D03">
      <w:pPr>
        <w:pStyle w:val="FootnoteText"/>
        <w:rPr>
          <w:sz w:val="16"/>
          <w:szCs w:val="16"/>
        </w:rPr>
      </w:pPr>
      <w:r w:rsidRPr="004D678A">
        <w:rPr>
          <w:rStyle w:val="FootnoteReference"/>
          <w:sz w:val="16"/>
          <w:szCs w:val="16"/>
        </w:rPr>
        <w:footnoteRef/>
      </w:r>
      <w:r>
        <w:rPr>
          <w:sz w:val="16"/>
          <w:szCs w:val="16"/>
        </w:rPr>
        <w:tab/>
      </w:r>
      <w:r w:rsidRPr="00AC1A59">
        <w:rPr>
          <w:szCs w:val="20"/>
        </w:rPr>
        <w:t>P</w:t>
      </w:r>
      <w:r>
        <w:rPr>
          <w:szCs w:val="20"/>
        </w:rPr>
        <w:t>t</w:t>
      </w:r>
      <w:r w:rsidRPr="00AC1A59">
        <w:rPr>
          <w:szCs w:val="20"/>
        </w:rPr>
        <w:t xml:space="preserve"> 4 of the </w:t>
      </w:r>
      <w:r w:rsidRPr="00AC1A59">
        <w:rPr>
          <w:i/>
          <w:szCs w:val="20"/>
        </w:rPr>
        <w:t>Residential Tenancies Act 1997</w:t>
      </w:r>
      <w:r w:rsidRPr="00AC1A59">
        <w:rPr>
          <w:szCs w:val="20"/>
        </w:rPr>
        <w:t xml:space="preserve"> and Residential Tenancies (Rooming House Standards) Regulations 2012. Prescribed accommodation comprises: residential accommodation, hotels and motels, hostels, student dormitories, holiday camps, rooming houses.</w:t>
      </w:r>
    </w:p>
  </w:footnote>
  <w:footnote w:id="34">
    <w:p w:rsidR="008915F8" w:rsidRPr="004D678A" w:rsidRDefault="008915F8" w:rsidP="004F7D03">
      <w:pPr>
        <w:pStyle w:val="FootnoteText"/>
        <w:rPr>
          <w:sz w:val="16"/>
          <w:szCs w:val="16"/>
        </w:rPr>
      </w:pPr>
      <w:r w:rsidRPr="004D678A">
        <w:rPr>
          <w:rStyle w:val="FootnoteReference"/>
          <w:sz w:val="16"/>
          <w:szCs w:val="16"/>
        </w:rPr>
        <w:footnoteRef/>
      </w:r>
      <w:r>
        <w:rPr>
          <w:sz w:val="16"/>
          <w:szCs w:val="16"/>
        </w:rPr>
        <w:tab/>
      </w:r>
      <w:r w:rsidRPr="00AC1A59">
        <w:rPr>
          <w:szCs w:val="20"/>
        </w:rPr>
        <w:t>Public Health and Wellbeing Regulations 2009</w:t>
      </w:r>
    </w:p>
  </w:footnote>
  <w:footnote w:id="35">
    <w:p w:rsidR="008915F8" w:rsidRPr="004D678A" w:rsidRDefault="008915F8" w:rsidP="004F7D03">
      <w:pPr>
        <w:pStyle w:val="FootnoteText"/>
        <w:rPr>
          <w:sz w:val="16"/>
          <w:szCs w:val="16"/>
        </w:rPr>
      </w:pPr>
      <w:r w:rsidRPr="004D678A">
        <w:rPr>
          <w:rStyle w:val="FootnoteReference"/>
          <w:sz w:val="16"/>
          <w:szCs w:val="16"/>
        </w:rPr>
        <w:footnoteRef/>
      </w:r>
      <w:r>
        <w:rPr>
          <w:sz w:val="16"/>
          <w:szCs w:val="16"/>
        </w:rPr>
        <w:tab/>
      </w:r>
      <w:r w:rsidRPr="00AC1A59">
        <w:rPr>
          <w:szCs w:val="20"/>
        </w:rPr>
        <w:t>Residential Tenancies (Rooming House Standards) Regulations 2012</w:t>
      </w:r>
    </w:p>
  </w:footnote>
  <w:footnote w:id="36">
    <w:p w:rsidR="008915F8" w:rsidRDefault="008915F8">
      <w:pPr>
        <w:pStyle w:val="FootnoteText"/>
        <w:rPr>
          <w:color w:val="4A1C4C" w:themeColor="accent2" w:themeShade="BF"/>
        </w:rPr>
      </w:pPr>
      <w:r w:rsidRPr="004D678A">
        <w:rPr>
          <w:rStyle w:val="FootnoteReference"/>
          <w:sz w:val="16"/>
          <w:szCs w:val="16"/>
        </w:rPr>
        <w:footnoteRef/>
      </w:r>
      <w:r>
        <w:t xml:space="preserve"> </w:t>
      </w:r>
      <w:r>
        <w:tab/>
      </w:r>
      <w:r w:rsidRPr="00C1043D">
        <w:t>Commonwealth</w:t>
      </w:r>
      <w:r w:rsidRPr="000856D9">
        <w:t>, Parliamentary Debates</w:t>
      </w:r>
      <w:r w:rsidRPr="00C1043D">
        <w:t>, Senate,</w:t>
      </w:r>
      <w:r w:rsidRPr="00AC1A59">
        <w:t xml:space="preserve"> </w:t>
      </w:r>
      <w:r w:rsidRPr="00C1043D">
        <w:t xml:space="preserve">28 February 2013, 1323 (Kate Lundy) </w:t>
      </w:r>
      <w:r>
        <w:t>'</w:t>
      </w:r>
      <w:r w:rsidRPr="00C1043D">
        <w:t>Building Materials Imports</w:t>
      </w:r>
      <w:r>
        <w:t>'</w:t>
      </w:r>
      <w:r w:rsidRPr="00C1043D">
        <w:t xml:space="preserve"> </w:t>
      </w:r>
      <w:r w:rsidRPr="00AC1A59">
        <w:t>http://parlinfo.aph.gov.au/parlInfo/search/display/display.w3p;query=Id%3A%22chamber%2Fhansards%2Fbbf08272-5de4-436c-9325-d389def0cc1c%2F0166%22</w:t>
      </w:r>
    </w:p>
  </w:footnote>
  <w:footnote w:id="37">
    <w:p w:rsidR="008915F8" w:rsidRPr="004D678A" w:rsidRDefault="008915F8" w:rsidP="004F7D03">
      <w:pPr>
        <w:pStyle w:val="FootnoteText"/>
        <w:rPr>
          <w:sz w:val="16"/>
          <w:szCs w:val="16"/>
        </w:rPr>
      </w:pPr>
      <w:r w:rsidRPr="004D678A">
        <w:rPr>
          <w:rStyle w:val="FootnoteReference"/>
          <w:sz w:val="16"/>
          <w:szCs w:val="16"/>
        </w:rPr>
        <w:footnoteRef/>
      </w:r>
      <w:r w:rsidRPr="004D678A">
        <w:rPr>
          <w:sz w:val="16"/>
          <w:szCs w:val="16"/>
        </w:rPr>
        <w:t xml:space="preserve"> </w:t>
      </w:r>
      <w:r>
        <w:rPr>
          <w:sz w:val="16"/>
          <w:szCs w:val="16"/>
        </w:rPr>
        <w:tab/>
      </w:r>
      <w:r w:rsidRPr="00AC1A59">
        <w:rPr>
          <w:szCs w:val="20"/>
        </w:rPr>
        <w:t>Occupational Health and Safety Regulations 2007</w:t>
      </w:r>
    </w:p>
  </w:footnote>
  <w:footnote w:id="38">
    <w:p w:rsidR="008915F8" w:rsidRPr="004D678A" w:rsidRDefault="008915F8" w:rsidP="004F7D03">
      <w:pPr>
        <w:pStyle w:val="FootnoteText"/>
        <w:rPr>
          <w:sz w:val="16"/>
          <w:szCs w:val="16"/>
        </w:rPr>
      </w:pPr>
      <w:r w:rsidRPr="004D678A">
        <w:rPr>
          <w:rStyle w:val="FootnoteReference"/>
          <w:sz w:val="16"/>
          <w:szCs w:val="16"/>
        </w:rPr>
        <w:footnoteRef/>
      </w:r>
      <w:r w:rsidRPr="004D678A">
        <w:rPr>
          <w:sz w:val="16"/>
          <w:szCs w:val="16"/>
        </w:rPr>
        <w:t xml:space="preserve"> </w:t>
      </w:r>
      <w:r>
        <w:rPr>
          <w:sz w:val="16"/>
          <w:szCs w:val="16"/>
        </w:rPr>
        <w:tab/>
      </w:r>
      <w:r w:rsidRPr="00AC1A59">
        <w:rPr>
          <w:szCs w:val="20"/>
        </w:rPr>
        <w:t>Environment Protection (Residential Noise) Regulations 2008</w:t>
      </w:r>
    </w:p>
  </w:footnote>
  <w:footnote w:id="39">
    <w:p w:rsidR="008915F8" w:rsidRPr="00C57793" w:rsidRDefault="008915F8" w:rsidP="004F7D03">
      <w:pPr>
        <w:pStyle w:val="FootnoteText"/>
        <w:rPr>
          <w:lang w:val="en-US"/>
        </w:rPr>
      </w:pPr>
      <w:r>
        <w:rPr>
          <w:rStyle w:val="FootnoteReference"/>
        </w:rPr>
        <w:footnoteRef/>
      </w:r>
      <w:r>
        <w:t xml:space="preserve"> </w:t>
      </w:r>
      <w:r>
        <w:rPr>
          <w:lang w:val="en-US"/>
        </w:rPr>
        <w:tab/>
      </w:r>
      <w:r>
        <w:t>Victorian Competition and Efficiency Commission</w:t>
      </w:r>
      <w:r w:rsidDel="001B067C">
        <w:rPr>
          <w:lang w:val="en-US"/>
        </w:rPr>
        <w:t xml:space="preserve"> </w:t>
      </w:r>
      <w:r>
        <w:rPr>
          <w:lang w:val="en-US"/>
        </w:rPr>
        <w:t>2005, Housing regulation in Victoria: Building better outcomes.</w:t>
      </w:r>
    </w:p>
  </w:footnote>
  <w:footnote w:id="40">
    <w:p w:rsidR="008915F8" w:rsidRDefault="008915F8" w:rsidP="004F7D03">
      <w:pPr>
        <w:pStyle w:val="FootnoteText"/>
      </w:pPr>
      <w:r>
        <w:rPr>
          <w:rStyle w:val="FootnoteReference"/>
        </w:rPr>
        <w:footnoteRef/>
      </w:r>
      <w:r>
        <w:t xml:space="preserve"> </w:t>
      </w:r>
      <w:r>
        <w:tab/>
      </w:r>
      <w:r w:rsidRPr="00D52161">
        <w:t xml:space="preserve">Government of Victoria, 2014, </w:t>
      </w:r>
      <w:r w:rsidRPr="00D52161">
        <w:rPr>
          <w:i/>
        </w:rPr>
        <w:t>Victorian Guide to Regulation</w:t>
      </w:r>
      <w:r w:rsidRPr="00D52161">
        <w:t>, Department of Treasury and Finance, Melbourne.</w:t>
      </w:r>
    </w:p>
  </w:footnote>
  <w:footnote w:id="41">
    <w:p w:rsidR="008915F8" w:rsidRDefault="008915F8" w:rsidP="004F7D03">
      <w:pPr>
        <w:pStyle w:val="FootnoteText"/>
      </w:pPr>
      <w:r>
        <w:rPr>
          <w:rStyle w:val="FootnoteReference"/>
        </w:rPr>
        <w:footnoteRef/>
      </w:r>
      <w:r>
        <w:t xml:space="preserve"> </w:t>
      </w:r>
      <w:r>
        <w:tab/>
        <w:t>Victorian Auditor General's Office 2015, Victoria’s Consumer Protection Framework for Building Construction.</w:t>
      </w:r>
    </w:p>
  </w:footnote>
  <w:footnote w:id="42">
    <w:p w:rsidR="008915F8" w:rsidRDefault="008915F8" w:rsidP="00953062">
      <w:pPr>
        <w:pStyle w:val="FootnoteText"/>
      </w:pPr>
      <w:r>
        <w:rPr>
          <w:rStyle w:val="FootnoteReference"/>
        </w:rPr>
        <w:footnoteRef/>
      </w:r>
      <w:r>
        <w:t xml:space="preserve"> </w:t>
      </w:r>
      <w:r>
        <w:tab/>
        <w:t>The survey showed that the building industry ranked fourth out of 22 sectors, behind telecommunications (ranked 1) and above utilities (ranked 6).</w:t>
      </w:r>
    </w:p>
  </w:footnote>
  <w:footnote w:id="43">
    <w:p w:rsidR="008915F8" w:rsidRDefault="008915F8" w:rsidP="004F7D03">
      <w:pPr>
        <w:pStyle w:val="FootnoteText"/>
      </w:pPr>
      <w:r>
        <w:rPr>
          <w:rStyle w:val="FootnoteReference"/>
        </w:rPr>
        <w:footnoteRef/>
      </w:r>
      <w:r>
        <w:t xml:space="preserve"> </w:t>
      </w:r>
      <w:r>
        <w:tab/>
        <w:t>Mills, A, Love, P and Williams, P (2009) Defect Costs in Residential Construction, Journal of Construction Engineering and Management, citing various previous studies.</w:t>
      </w:r>
    </w:p>
  </w:footnote>
  <w:footnote w:id="44">
    <w:p w:rsidR="008915F8" w:rsidRPr="008353D5" w:rsidRDefault="008915F8" w:rsidP="005E581A">
      <w:pPr>
        <w:pStyle w:val="FootnoteText"/>
      </w:pPr>
      <w:r>
        <w:rPr>
          <w:rStyle w:val="FootnoteReference"/>
        </w:rPr>
        <w:footnoteRef/>
      </w:r>
      <w:r>
        <w:t xml:space="preserve"> </w:t>
      </w:r>
      <w:r>
        <w:tab/>
        <w:t xml:space="preserve">We are not aware of any similar studies conducted on more recent </w:t>
      </w:r>
      <w:r w:rsidRPr="00480D34">
        <w:t xml:space="preserve">data examining defect costs in detail. </w:t>
      </w:r>
      <w:r>
        <w:br/>
      </w:r>
      <w:r w:rsidRPr="00480D34">
        <w:t>The Australian Consumer Survey 2016 found that 17</w:t>
      </w:r>
      <w:r>
        <w:t>%</w:t>
      </w:r>
      <w:r w:rsidRPr="00480D34">
        <w:t xml:space="preserve"> of survey respondents (Australia wide) reported experiencing a problem with a builder. This indicates building work quality remains an issue in the industry (</w:t>
      </w:r>
      <w:r>
        <w:t xml:space="preserve">The Australian Treasury on behalf of Consumer Affairs Australia and New Zealand (CAANZ), </w:t>
      </w:r>
      <w:r w:rsidRPr="00206171">
        <w:rPr>
          <w:i/>
        </w:rPr>
        <w:t>Australian Consumer Survey</w:t>
      </w:r>
      <w:r>
        <w:rPr>
          <w:i/>
        </w:rPr>
        <w:t xml:space="preserve"> </w:t>
      </w:r>
      <w:r w:rsidRPr="00206171">
        <w:rPr>
          <w:i/>
        </w:rPr>
        <w:t>2016</w:t>
      </w:r>
      <w:r>
        <w:t xml:space="preserve">, 18 May 2016, </w:t>
      </w:r>
      <w:r w:rsidRPr="00480D34">
        <w:t xml:space="preserve">available at: </w:t>
      </w:r>
      <w:hyperlink r:id="rId3" w:history="1">
        <w:r w:rsidRPr="00480D34">
          <w:rPr>
            <w:rStyle w:val="Hyperlink"/>
          </w:rPr>
          <w:t>http://consumerlaw.gov.au/australian-consumer-survey</w:t>
        </w:r>
      </w:hyperlink>
      <w:r w:rsidRPr="00480D34">
        <w:t xml:space="preserve"> )</w:t>
      </w:r>
    </w:p>
  </w:footnote>
  <w:footnote w:id="45">
    <w:p w:rsidR="008915F8" w:rsidRDefault="008915F8" w:rsidP="004F7D03">
      <w:pPr>
        <w:pStyle w:val="FootnoteText"/>
      </w:pPr>
      <w:r>
        <w:rPr>
          <w:rStyle w:val="FootnoteReference"/>
        </w:rPr>
        <w:footnoteRef/>
      </w:r>
      <w:r>
        <w:t xml:space="preserve"> </w:t>
      </w:r>
      <w:r>
        <w:tab/>
        <w:t>Ibid.</w:t>
      </w:r>
    </w:p>
  </w:footnote>
  <w:footnote w:id="46">
    <w:p w:rsidR="008915F8" w:rsidRDefault="008915F8" w:rsidP="004F7D03">
      <w:pPr>
        <w:pStyle w:val="FootnoteText"/>
      </w:pPr>
      <w:r>
        <w:rPr>
          <w:rStyle w:val="FootnoteReference"/>
        </w:rPr>
        <w:footnoteRef/>
      </w:r>
      <w:r>
        <w:t xml:space="preserve"> </w:t>
      </w:r>
      <w:r>
        <w:tab/>
        <w:t>Ibid.</w:t>
      </w:r>
    </w:p>
  </w:footnote>
  <w:footnote w:id="47">
    <w:p w:rsidR="008915F8" w:rsidRDefault="008915F8" w:rsidP="004F7D03">
      <w:pPr>
        <w:pStyle w:val="FootnoteText"/>
      </w:pPr>
      <w:r>
        <w:rPr>
          <w:rStyle w:val="FootnoteReference"/>
        </w:rPr>
        <w:footnoteRef/>
      </w:r>
      <w:r>
        <w:t xml:space="preserve"> </w:t>
      </w:r>
      <w:r>
        <w:tab/>
        <w:t>Ibid.</w:t>
      </w:r>
    </w:p>
  </w:footnote>
  <w:footnote w:id="48">
    <w:p w:rsidR="008915F8" w:rsidRPr="00B11615" w:rsidRDefault="008915F8" w:rsidP="004F7D03">
      <w:pPr>
        <w:pStyle w:val="FootnoteText"/>
      </w:pPr>
      <w:r w:rsidRPr="00B11615">
        <w:rPr>
          <w:rStyle w:val="FootnoteReference"/>
        </w:rPr>
        <w:footnoteRef/>
      </w:r>
      <w:r w:rsidRPr="00B11615">
        <w:t xml:space="preserve"> </w:t>
      </w:r>
      <w:r>
        <w:tab/>
      </w:r>
      <w:r w:rsidRPr="00B11615">
        <w:t>Victorian Building Commission (2005) Dispute reduction research summary report, March 2005</w:t>
      </w:r>
    </w:p>
  </w:footnote>
  <w:footnote w:id="49">
    <w:p w:rsidR="008915F8" w:rsidRDefault="008915F8" w:rsidP="004F7D03">
      <w:pPr>
        <w:pStyle w:val="FootnoteText"/>
      </w:pPr>
      <w:r>
        <w:rPr>
          <w:rStyle w:val="FootnoteReference"/>
        </w:rPr>
        <w:footnoteRef/>
      </w:r>
      <w:r>
        <w:t xml:space="preserve"> </w:t>
      </w:r>
      <w:r>
        <w:tab/>
        <w:t>Ibid.</w:t>
      </w:r>
    </w:p>
  </w:footnote>
  <w:footnote w:id="50">
    <w:p w:rsidR="008915F8" w:rsidRDefault="008915F8" w:rsidP="006119D2">
      <w:pPr>
        <w:pStyle w:val="FootnoteText"/>
      </w:pPr>
      <w:r w:rsidRPr="00B11615">
        <w:rPr>
          <w:rStyle w:val="FootnoteReference"/>
        </w:rPr>
        <w:footnoteRef/>
      </w:r>
      <w:r w:rsidRPr="00B11615">
        <w:t xml:space="preserve"> </w:t>
      </w:r>
      <w:r>
        <w:tab/>
      </w:r>
      <w:r w:rsidRPr="006119D2">
        <w:rPr>
          <w:rStyle w:val="FootnoteTextChar"/>
        </w:rPr>
        <w:t>VBA’s building complaints system doesn’t have a categorisation process. The sample of complaints were categorised according to what appeared to be the most prominent complaint at the time of categorisation, based on the available information.</w:t>
      </w:r>
    </w:p>
  </w:footnote>
  <w:footnote w:id="51">
    <w:p w:rsidR="008915F8" w:rsidRPr="00C36CCE" w:rsidRDefault="008915F8" w:rsidP="0017064E">
      <w:pPr>
        <w:pStyle w:val="FootnoteText"/>
        <w:rPr>
          <w:sz w:val="16"/>
          <w:szCs w:val="16"/>
        </w:rPr>
      </w:pPr>
      <w:r>
        <w:rPr>
          <w:rStyle w:val="FootnoteReference"/>
        </w:rPr>
        <w:footnoteRef/>
      </w:r>
      <w:r>
        <w:t xml:space="preserve"> </w:t>
      </w:r>
      <w:r>
        <w:tab/>
      </w:r>
      <w:r w:rsidRPr="0017064E">
        <w:t xml:space="preserve">Productivity Commission 2011, Identifying and Evaluating </w:t>
      </w:r>
      <w:r w:rsidRPr="00AC1A59">
        <w:rPr>
          <w:szCs w:val="20"/>
        </w:rPr>
        <w:t>Regulation</w:t>
      </w:r>
      <w:r w:rsidRPr="0017064E">
        <w:t xml:space="preserve"> Reforms, Research Report, Canberra. Page XVIII.</w:t>
      </w:r>
    </w:p>
  </w:footnote>
  <w:footnote w:id="52">
    <w:p w:rsidR="008915F8" w:rsidRDefault="008915F8" w:rsidP="004F7D03">
      <w:pPr>
        <w:pStyle w:val="FootnoteText"/>
      </w:pPr>
      <w:r>
        <w:rPr>
          <w:rStyle w:val="FootnoteReference"/>
        </w:rPr>
        <w:footnoteRef/>
      </w:r>
      <w:r>
        <w:t xml:space="preserve"> </w:t>
      </w:r>
      <w:r>
        <w:tab/>
      </w:r>
      <w:r w:rsidRPr="00AC1A59">
        <w:rPr>
          <w:i/>
          <w:szCs w:val="20"/>
        </w:rPr>
        <w:t>Victorian Guide to Regulation, Toolkit 3: Requirements and processes for making subordinate legislation</w:t>
      </w:r>
      <w:r w:rsidRPr="00AC1A59">
        <w:rPr>
          <w:szCs w:val="20"/>
        </w:rPr>
        <w:t>, page 18 (Department of Treasury and Finance, updated December 2014)</w:t>
      </w:r>
      <w:r>
        <w:t>.</w:t>
      </w:r>
    </w:p>
  </w:footnote>
  <w:footnote w:id="53">
    <w:p w:rsidR="008915F8" w:rsidRPr="00BC3A0E" w:rsidRDefault="008915F8" w:rsidP="004F7D03">
      <w:pPr>
        <w:pStyle w:val="FootnoteText"/>
        <w:rPr>
          <w:szCs w:val="14"/>
        </w:rPr>
      </w:pPr>
      <w:r w:rsidRPr="006119D2">
        <w:rPr>
          <w:rStyle w:val="FootnoteReference"/>
        </w:rPr>
        <w:footnoteRef/>
      </w:r>
      <w:r w:rsidRPr="006119D2">
        <w:rPr>
          <w:rStyle w:val="FootnoteReference"/>
        </w:rPr>
        <w:t xml:space="preserve"> </w:t>
      </w:r>
      <w:r>
        <w:rPr>
          <w:sz w:val="16"/>
          <w:szCs w:val="16"/>
        </w:rPr>
        <w:tab/>
      </w:r>
      <w:r w:rsidRPr="00BC3A0E">
        <w:rPr>
          <w:szCs w:val="14"/>
        </w:rPr>
        <w:t xml:space="preserve">ALP, </w:t>
      </w:r>
      <w:r w:rsidRPr="00AC1A59">
        <w:rPr>
          <w:i/>
          <w:szCs w:val="14"/>
        </w:rPr>
        <w:t xml:space="preserve">Keeping it Liveable. </w:t>
      </w:r>
      <w:proofErr w:type="spellStart"/>
      <w:r w:rsidRPr="00AC1A59">
        <w:rPr>
          <w:i/>
          <w:szCs w:val="14"/>
        </w:rPr>
        <w:t>Labor’s</w:t>
      </w:r>
      <w:proofErr w:type="spellEnd"/>
      <w:r w:rsidRPr="00AC1A59">
        <w:rPr>
          <w:i/>
          <w:szCs w:val="14"/>
        </w:rPr>
        <w:t xml:space="preserve"> plan for your community</w:t>
      </w:r>
      <w:r>
        <w:rPr>
          <w:szCs w:val="14"/>
          <w:u w:val="single"/>
        </w:rPr>
        <w:t xml:space="preserve"> </w:t>
      </w:r>
      <w:r w:rsidRPr="00BC3A0E">
        <w:rPr>
          <w:szCs w:val="14"/>
        </w:rPr>
        <w:t>(November 2014), page 3</w:t>
      </w:r>
      <w:r>
        <w:rPr>
          <w:szCs w:val="14"/>
        </w:rPr>
        <w:t>.</w:t>
      </w:r>
    </w:p>
  </w:footnote>
  <w:footnote w:id="54">
    <w:p w:rsidR="008915F8" w:rsidRDefault="008915F8">
      <w:pPr>
        <w:pStyle w:val="FootnoteText"/>
      </w:pPr>
      <w:r>
        <w:rPr>
          <w:rStyle w:val="FootnoteReference"/>
        </w:rPr>
        <w:footnoteRef/>
      </w:r>
      <w:r>
        <w:t xml:space="preserve"> </w:t>
      </w:r>
      <w:r>
        <w:tab/>
      </w:r>
      <w:r w:rsidRPr="004368BE">
        <w:rPr>
          <w:color w:val="000000"/>
        </w:rPr>
        <w:t>Building Amendment (</w:t>
      </w:r>
      <w:r w:rsidRPr="00AC1A59">
        <w:rPr>
          <w:szCs w:val="20"/>
        </w:rPr>
        <w:t>Construction</w:t>
      </w:r>
      <w:r w:rsidRPr="004368BE">
        <w:rPr>
          <w:color w:val="000000"/>
        </w:rPr>
        <w:t xml:space="preserve"> of Swimming Pools and Spas) Regulations 2016 S.R. No. 104/2016</w:t>
      </w:r>
    </w:p>
  </w:footnote>
  <w:footnote w:id="55">
    <w:p w:rsidR="008915F8" w:rsidRDefault="008915F8" w:rsidP="004F7D03">
      <w:pPr>
        <w:pStyle w:val="FootnoteText"/>
      </w:pPr>
      <w:r>
        <w:rPr>
          <w:rStyle w:val="FootnoteReference"/>
        </w:rPr>
        <w:footnoteRef/>
      </w:r>
      <w:r>
        <w:t xml:space="preserve"> </w:t>
      </w:r>
      <w:r>
        <w:tab/>
        <w:t>Building Amendment Regulations 2016 S.R. No. 33 / 2016</w:t>
      </w:r>
    </w:p>
  </w:footnote>
  <w:footnote w:id="56">
    <w:p w:rsidR="008915F8" w:rsidRDefault="008915F8" w:rsidP="004F7D03">
      <w:pPr>
        <w:pStyle w:val="FootnoteText"/>
      </w:pPr>
      <w:r>
        <w:rPr>
          <w:rStyle w:val="FootnoteReference"/>
        </w:rPr>
        <w:footnoteRef/>
      </w:r>
      <w:r>
        <w:t xml:space="preserve"> </w:t>
      </w:r>
      <w:r>
        <w:tab/>
        <w:t>Building Amendment (Siting Requirements) Regulations 2016 S.R. No 49/2016</w:t>
      </w:r>
    </w:p>
  </w:footnote>
  <w:footnote w:id="57">
    <w:p w:rsidR="008915F8" w:rsidRDefault="008915F8" w:rsidP="0062128D">
      <w:pPr>
        <w:pStyle w:val="FootnoteText"/>
      </w:pPr>
      <w:r>
        <w:rPr>
          <w:rStyle w:val="FootnoteReference"/>
        </w:rPr>
        <w:footnoteRef/>
      </w:r>
      <w:r>
        <w:t xml:space="preserve"> </w:t>
      </w:r>
      <w:r>
        <w:tab/>
        <w:t xml:space="preserve">S 16 of the </w:t>
      </w:r>
      <w:r w:rsidRPr="00B34609">
        <w:rPr>
          <w:i/>
        </w:rPr>
        <w:t>Building Act 1993</w:t>
      </w:r>
      <w:r>
        <w:t>.</w:t>
      </w:r>
    </w:p>
  </w:footnote>
  <w:footnote w:id="58">
    <w:p w:rsidR="008915F8" w:rsidRDefault="008915F8">
      <w:pPr>
        <w:pStyle w:val="FootnoteText"/>
      </w:pPr>
      <w:r>
        <w:rPr>
          <w:rStyle w:val="FootnoteReference"/>
        </w:rPr>
        <w:footnoteRef/>
      </w:r>
      <w:r>
        <w:t xml:space="preserve"> </w:t>
      </w:r>
      <w:r>
        <w:tab/>
        <w:t>Net present value.</w:t>
      </w:r>
    </w:p>
  </w:footnote>
  <w:footnote w:id="59">
    <w:p w:rsidR="008915F8" w:rsidRDefault="008915F8">
      <w:pPr>
        <w:pStyle w:val="FootnoteText"/>
      </w:pPr>
      <w:r>
        <w:rPr>
          <w:rStyle w:val="FootnoteReference"/>
        </w:rPr>
        <w:footnoteRef/>
      </w:r>
      <w:r>
        <w:t xml:space="preserve"> There is a Guidelines currently in place and is available on VBA’s website: </w:t>
      </w:r>
      <w:r w:rsidRPr="00A3231C">
        <w:t>http://www.vba.vic.gov.au/__data/assets/pdf_file/0006/18789/Ministers-Guidelines-MG12.pdf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5F8" w:rsidRDefault="008915F8" w:rsidP="009C64FA">
    <w:pPr>
      <w:pStyle w:val="Header"/>
    </w:pPr>
  </w:p>
  <w:p w:rsidR="008915F8" w:rsidRPr="00393205" w:rsidRDefault="008915F8" w:rsidP="003932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5F8" w:rsidRPr="005573E5" w:rsidRDefault="008915F8" w:rsidP="005573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5F8" w:rsidRPr="000029E8" w:rsidRDefault="008915F8" w:rsidP="000029E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5F8" w:rsidRPr="00460052" w:rsidRDefault="00AA4331" w:rsidP="001E216E">
    <w:pPr>
      <w:pStyle w:val="FirstPagePanelFrame"/>
      <w:framePr w:wrap="notBeside"/>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412.4pt;height:247.45pt;rotation:315;z-index:-251629568;mso-position-horizontal:center;mso-position-horizontal-relative:margin;mso-position-vertical:center;mso-position-vertical-relative:margin" o:allowincell="f" fillcolor="#d8d8d8" stroked="f">
          <v:textpath style="font-family:&quot;Calibri&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5F8" w:rsidRPr="005D1FC6" w:rsidRDefault="008915F8" w:rsidP="001E216E">
    <w:pPr>
      <w:pStyle w:val="Header"/>
    </w:pPr>
    <w:r>
      <w:t>Evaluation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5F8" w:rsidRDefault="008915F8">
    <w:r>
      <w:c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5F8" w:rsidRPr="005D1FC6" w:rsidRDefault="008915F8" w:rsidP="001E216E">
    <w:pPr>
      <w:pStyle w:val="Header"/>
    </w:pPr>
    <w:r>
      <w:t>Appendix A – Regulation change summary</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5F8" w:rsidRDefault="008915F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5F8" w:rsidRDefault="008915F8" w:rsidP="009C64FA">
    <w:pPr>
      <w:pStyle w:val="Header"/>
    </w:pPr>
  </w:p>
  <w:p w:rsidR="008915F8" w:rsidRPr="00393205" w:rsidRDefault="008915F8" w:rsidP="003932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701828"/>
    <w:lvl w:ilvl="0">
      <w:start w:val="1"/>
      <w:numFmt w:val="bullet"/>
      <w:lvlText w:val=""/>
      <w:lvlJc w:val="left"/>
      <w:pPr>
        <w:tabs>
          <w:tab w:val="num" w:pos="360"/>
        </w:tabs>
        <w:ind w:left="360" w:hanging="360"/>
      </w:pPr>
      <w:rPr>
        <w:rFonts w:ascii="Symbol" w:hAnsi="Symbol" w:hint="default"/>
      </w:rPr>
    </w:lvl>
  </w:abstractNum>
  <w:abstractNum w:abstractNumId="1">
    <w:nsid w:val="008529EF"/>
    <w:multiLevelType w:val="hybridMultilevel"/>
    <w:tmpl w:val="9034B422"/>
    <w:lvl w:ilvl="0" w:tplc="E7041A5C">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nsid w:val="008E72B1"/>
    <w:multiLevelType w:val="hybridMultilevel"/>
    <w:tmpl w:val="9E909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14A211D"/>
    <w:multiLevelType w:val="hybridMultilevel"/>
    <w:tmpl w:val="3E4AF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2F6355F"/>
    <w:multiLevelType w:val="hybridMultilevel"/>
    <w:tmpl w:val="5C022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54D1922"/>
    <w:multiLevelType w:val="hybridMultilevel"/>
    <w:tmpl w:val="E778A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6260ECE"/>
    <w:multiLevelType w:val="multilevel"/>
    <w:tmpl w:val="BA76D176"/>
    <w:lvl w:ilvl="0">
      <w:start w:val="3"/>
      <w:numFmt w:val="decimal"/>
      <w:lvlText w:val="%1"/>
      <w:lvlJc w:val="left"/>
      <w:pPr>
        <w:ind w:left="432" w:hanging="432"/>
      </w:pPr>
      <w:rPr>
        <w:rFonts w:hint="default"/>
      </w:rPr>
    </w:lvl>
    <w:lvl w:ilvl="1">
      <w:start w:val="5"/>
      <w:numFmt w:val="decimal"/>
      <w:lvlText w:val="%1.%2"/>
      <w:lvlJc w:val="left"/>
      <w:pPr>
        <w:ind w:left="576" w:hanging="576"/>
      </w:pPr>
      <w:rPr>
        <w:rFonts w:hint="default"/>
        <w:b/>
        <w:sz w:val="32"/>
        <w:szCs w:val="3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363534"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8">
    <w:nsid w:val="0731221B"/>
    <w:multiLevelType w:val="multilevel"/>
    <w:tmpl w:val="54B62ED8"/>
    <w:styleLink w:val="BulletList"/>
    <w:lvl w:ilvl="0">
      <w:start w:val="1"/>
      <w:numFmt w:val="bullet"/>
      <w:lvlRestart w:val="0"/>
      <w:lvlText w:val=""/>
      <w:lvlJc w:val="left"/>
      <w:pPr>
        <w:tabs>
          <w:tab w:val="num" w:pos="567"/>
        </w:tabs>
        <w:ind w:left="567" w:hanging="567"/>
      </w:pPr>
      <w:rPr>
        <w:rFonts w:ascii="Symbol" w:hAnsi="Symbol" w:hint="default"/>
        <w:b w:val="0"/>
        <w:i w:val="0"/>
        <w:color w:val="auto"/>
      </w:rPr>
    </w:lvl>
    <w:lvl w:ilvl="1">
      <w:start w:val="1"/>
      <w:numFmt w:val="bullet"/>
      <w:lvlText w:val="–"/>
      <w:lvlJc w:val="left"/>
      <w:pPr>
        <w:tabs>
          <w:tab w:val="num" w:pos="1134"/>
        </w:tabs>
        <w:ind w:left="1134" w:hanging="567"/>
      </w:pPr>
      <w:rPr>
        <w:rFonts w:ascii="Arial" w:hAnsi="Arial" w:hint="default"/>
        <w:b w:val="0"/>
        <w:i w:val="0"/>
        <w:color w:val="auto"/>
      </w:rPr>
    </w:lvl>
    <w:lvl w:ilvl="2">
      <w:start w:val="1"/>
      <w:numFmt w:val="bullet"/>
      <w:lvlText w:val="o"/>
      <w:lvlJc w:val="left"/>
      <w:pPr>
        <w:tabs>
          <w:tab w:val="num" w:pos="1701"/>
        </w:tabs>
        <w:ind w:left="1701" w:hanging="567"/>
      </w:pPr>
      <w:rPr>
        <w:rFonts w:ascii="Arial" w:hAnsi="Arial" w:hint="default"/>
        <w:b w:val="0"/>
        <w:i w:val="0"/>
        <w:color w:val="auto"/>
        <w:sz w:val="10"/>
        <w:szCs w:val="10"/>
      </w:rPr>
    </w:lvl>
    <w:lvl w:ilvl="3">
      <w:start w:val="1"/>
      <w:numFmt w:val="bullet"/>
      <w:lvlText w:val=""/>
      <w:lvlJc w:val="left"/>
      <w:pPr>
        <w:tabs>
          <w:tab w:val="num" w:pos="2268"/>
        </w:tabs>
        <w:ind w:left="2268" w:hanging="567"/>
      </w:pPr>
      <w:rPr>
        <w:rFonts w:ascii="Wingdings" w:hAnsi="Wingdings" w:hint="default"/>
        <w:b w:val="0"/>
        <w:i w:val="0"/>
        <w:color w:val="auto"/>
        <w:sz w:val="10"/>
        <w:szCs w:val="10"/>
      </w:rPr>
    </w:lvl>
    <w:lvl w:ilvl="4">
      <w:start w:val="1"/>
      <w:numFmt w:val="none"/>
      <w:lvlText w:val="%5"/>
      <w:lvlJc w:val="left"/>
      <w:pPr>
        <w:tabs>
          <w:tab w:val="num" w:pos="0"/>
        </w:tabs>
        <w:ind w:left="0" w:firstLine="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9">
    <w:nsid w:val="08112352"/>
    <w:multiLevelType w:val="multilevel"/>
    <w:tmpl w:val="8CEA6DAA"/>
    <w:name w:val="Bullets"/>
    <w:styleLink w:val="Bullets"/>
    <w:lvl w:ilvl="0">
      <w:start w:val="1"/>
      <w:numFmt w:val="bullet"/>
      <w:pStyle w:val="Bullet1"/>
      <w:lvlText w:val=""/>
      <w:lvlJc w:val="left"/>
      <w:pPr>
        <w:tabs>
          <w:tab w:val="num" w:pos="284"/>
        </w:tabs>
        <w:ind w:left="284" w:hanging="284"/>
      </w:pPr>
      <w:rPr>
        <w:rFonts w:ascii="Symbol" w:hAnsi="Symbol" w:hint="default"/>
        <w:color w:val="auto"/>
      </w:rPr>
    </w:lvl>
    <w:lvl w:ilvl="1">
      <w:start w:val="1"/>
      <w:numFmt w:val="bullet"/>
      <w:pStyle w:val="Bullet2"/>
      <w:lvlText w:val="–"/>
      <w:lvlJc w:val="left"/>
      <w:pPr>
        <w:tabs>
          <w:tab w:val="num" w:pos="567"/>
        </w:tabs>
        <w:ind w:left="568" w:hanging="284"/>
      </w:pPr>
      <w:rPr>
        <w:rFonts w:ascii="Arial" w:hAnsi="Arial" w:hint="default"/>
        <w:color w:val="auto"/>
      </w:rPr>
    </w:lvl>
    <w:lvl w:ilvl="2">
      <w:start w:val="1"/>
      <w:numFmt w:val="bullet"/>
      <w:pStyle w:val="Bullet3"/>
      <w:lvlText w:val="◦"/>
      <w:lvlJc w:val="left"/>
      <w:pPr>
        <w:tabs>
          <w:tab w:val="num" w:pos="851"/>
        </w:tabs>
        <w:ind w:left="852" w:hanging="284"/>
      </w:pPr>
      <w:rPr>
        <w:rFonts w:ascii="Georgia" w:hAnsi="Georgia" w:hint="default"/>
        <w:color w:val="auto"/>
      </w:rPr>
    </w:lvl>
    <w:lvl w:ilvl="3">
      <w:start w:val="1"/>
      <w:numFmt w:val="bullet"/>
      <w:pStyle w:val="Bullet4"/>
      <w:lvlText w:val=""/>
      <w:lvlJc w:val="left"/>
      <w:pPr>
        <w:tabs>
          <w:tab w:val="num" w:pos="1134"/>
        </w:tabs>
        <w:ind w:left="1136" w:hanging="284"/>
      </w:pPr>
      <w:rPr>
        <w:rFonts w:ascii="Symbol" w:hAnsi="Symbol" w:hint="default"/>
        <w:color w:val="auto"/>
      </w:rPr>
    </w:lvl>
    <w:lvl w:ilvl="4">
      <w:start w:val="1"/>
      <w:numFmt w:val="lowerLetter"/>
      <w:lvlText w:val="(%5)"/>
      <w:lvlJc w:val="left"/>
      <w:pPr>
        <w:tabs>
          <w:tab w:val="num" w:pos="1418"/>
        </w:tabs>
        <w:ind w:left="1420" w:hanging="284"/>
      </w:pPr>
      <w:rPr>
        <w:rFonts w:hint="default"/>
      </w:rPr>
    </w:lvl>
    <w:lvl w:ilvl="5">
      <w:start w:val="1"/>
      <w:numFmt w:val="lowerRoman"/>
      <w:lvlText w:val="(%6)"/>
      <w:lvlJc w:val="left"/>
      <w:pPr>
        <w:tabs>
          <w:tab w:val="num" w:pos="1701"/>
        </w:tabs>
        <w:ind w:left="1701" w:hanging="281"/>
      </w:pPr>
      <w:rPr>
        <w:rFonts w:hint="default"/>
      </w:rPr>
    </w:lvl>
    <w:lvl w:ilvl="6">
      <w:start w:val="1"/>
      <w:numFmt w:val="decimal"/>
      <w:lvlText w:val="%7."/>
      <w:lvlJc w:val="left"/>
      <w:pPr>
        <w:tabs>
          <w:tab w:val="num" w:pos="1985"/>
        </w:tabs>
        <w:ind w:left="1985" w:hanging="284"/>
      </w:pPr>
      <w:rPr>
        <w:rFonts w:hint="default"/>
      </w:rPr>
    </w:lvl>
    <w:lvl w:ilvl="7">
      <w:start w:val="1"/>
      <w:numFmt w:val="lowerLetter"/>
      <w:lvlText w:val="%8."/>
      <w:lvlJc w:val="left"/>
      <w:pPr>
        <w:tabs>
          <w:tab w:val="num" w:pos="2268"/>
        </w:tabs>
        <w:ind w:left="2268" w:hanging="283"/>
      </w:pPr>
      <w:rPr>
        <w:rFonts w:hint="default"/>
      </w:rPr>
    </w:lvl>
    <w:lvl w:ilvl="8">
      <w:start w:val="1"/>
      <w:numFmt w:val="lowerRoman"/>
      <w:lvlText w:val="%9."/>
      <w:lvlJc w:val="left"/>
      <w:pPr>
        <w:tabs>
          <w:tab w:val="num" w:pos="2552"/>
        </w:tabs>
        <w:ind w:left="2552" w:hanging="284"/>
      </w:pPr>
      <w:rPr>
        <w:rFonts w:hint="default"/>
      </w:rPr>
    </w:lvl>
  </w:abstractNum>
  <w:abstractNum w:abstractNumId="10">
    <w:nsid w:val="09257FF5"/>
    <w:multiLevelType w:val="multilevel"/>
    <w:tmpl w:val="585065D6"/>
    <w:lvl w:ilvl="0">
      <w:start w:val="1"/>
      <w:numFmt w:val="bullet"/>
      <w:pStyle w:val="CVBullet1"/>
      <w:lvlText w:val=""/>
      <w:lvlJc w:val="left"/>
      <w:pPr>
        <w:ind w:left="227" w:hanging="227"/>
      </w:pPr>
      <w:rPr>
        <w:rFonts w:ascii="Symbol" w:hAnsi="Symbol" w:hint="default"/>
        <w:color w:val="auto"/>
      </w:rPr>
    </w:lvl>
    <w:lvl w:ilvl="1">
      <w:start w:val="1"/>
      <w:numFmt w:val="bullet"/>
      <w:pStyle w:val="CVBullet2"/>
      <w:lvlText w:val="–"/>
      <w:lvlJc w:val="left"/>
      <w:pPr>
        <w:ind w:left="454" w:hanging="227"/>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984408E"/>
    <w:multiLevelType w:val="multilevel"/>
    <w:tmpl w:val="EE3860A0"/>
    <w:name w:val="PwCListNumbers1"/>
    <w:styleLink w:val="PwCListNumbers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2">
    <w:nsid w:val="0A3952D8"/>
    <w:multiLevelType w:val="hybridMultilevel"/>
    <w:tmpl w:val="F5EAD7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0B416DDE"/>
    <w:multiLevelType w:val="hybridMultilevel"/>
    <w:tmpl w:val="46B05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0C351215"/>
    <w:multiLevelType w:val="multilevel"/>
    <w:tmpl w:val="921CA162"/>
    <w:name w:val="DELWPHeadings"/>
    <w:lvl w:ilvl="0">
      <w:start w:val="1"/>
      <w:numFmt w:val="none"/>
      <w:lvlRestart w:val="0"/>
      <w:pStyle w:val="Heading1"/>
      <w:suff w:val="nothing"/>
      <w:lvlText w:val=""/>
      <w:lvlJc w:val="left"/>
      <w:pPr>
        <w:ind w:left="0" w:firstLine="0"/>
      </w:pPr>
      <w:rPr>
        <w:rFonts w:hint="default"/>
        <w:color w:val="642667"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15">
    <w:nsid w:val="0C844608"/>
    <w:multiLevelType w:val="hybridMultilevel"/>
    <w:tmpl w:val="B8EE288A"/>
    <w:lvl w:ilvl="0" w:tplc="84183498">
      <w:start w:val="1"/>
      <w:numFmt w:val="bullet"/>
      <w:lvlText w:val="-"/>
      <w:lvlJc w:val="left"/>
      <w:pPr>
        <w:ind w:left="884" w:hanging="360"/>
      </w:pPr>
      <w:rPr>
        <w:rFonts w:ascii="Arial" w:hAnsi="Arial" w:hint="default"/>
      </w:rPr>
    </w:lvl>
    <w:lvl w:ilvl="1" w:tplc="0C090003" w:tentative="1">
      <w:start w:val="1"/>
      <w:numFmt w:val="bullet"/>
      <w:lvlText w:val="o"/>
      <w:lvlJc w:val="left"/>
      <w:pPr>
        <w:ind w:left="1604" w:hanging="360"/>
      </w:pPr>
      <w:rPr>
        <w:rFonts w:ascii="Courier New" w:hAnsi="Courier New" w:cs="Courier New" w:hint="default"/>
      </w:rPr>
    </w:lvl>
    <w:lvl w:ilvl="2" w:tplc="0C090005" w:tentative="1">
      <w:start w:val="1"/>
      <w:numFmt w:val="bullet"/>
      <w:lvlText w:val=""/>
      <w:lvlJc w:val="left"/>
      <w:pPr>
        <w:ind w:left="2324" w:hanging="360"/>
      </w:pPr>
      <w:rPr>
        <w:rFonts w:ascii="Wingdings" w:hAnsi="Wingdings" w:hint="default"/>
      </w:rPr>
    </w:lvl>
    <w:lvl w:ilvl="3" w:tplc="0C090001" w:tentative="1">
      <w:start w:val="1"/>
      <w:numFmt w:val="bullet"/>
      <w:lvlText w:val=""/>
      <w:lvlJc w:val="left"/>
      <w:pPr>
        <w:ind w:left="3044" w:hanging="360"/>
      </w:pPr>
      <w:rPr>
        <w:rFonts w:ascii="Symbol" w:hAnsi="Symbol" w:hint="default"/>
      </w:rPr>
    </w:lvl>
    <w:lvl w:ilvl="4" w:tplc="0C090003" w:tentative="1">
      <w:start w:val="1"/>
      <w:numFmt w:val="bullet"/>
      <w:lvlText w:val="o"/>
      <w:lvlJc w:val="left"/>
      <w:pPr>
        <w:ind w:left="3764" w:hanging="360"/>
      </w:pPr>
      <w:rPr>
        <w:rFonts w:ascii="Courier New" w:hAnsi="Courier New" w:cs="Courier New" w:hint="default"/>
      </w:rPr>
    </w:lvl>
    <w:lvl w:ilvl="5" w:tplc="0C090005" w:tentative="1">
      <w:start w:val="1"/>
      <w:numFmt w:val="bullet"/>
      <w:lvlText w:val=""/>
      <w:lvlJc w:val="left"/>
      <w:pPr>
        <w:ind w:left="4484" w:hanging="360"/>
      </w:pPr>
      <w:rPr>
        <w:rFonts w:ascii="Wingdings" w:hAnsi="Wingdings" w:hint="default"/>
      </w:rPr>
    </w:lvl>
    <w:lvl w:ilvl="6" w:tplc="0C090001" w:tentative="1">
      <w:start w:val="1"/>
      <w:numFmt w:val="bullet"/>
      <w:lvlText w:val=""/>
      <w:lvlJc w:val="left"/>
      <w:pPr>
        <w:ind w:left="5204" w:hanging="360"/>
      </w:pPr>
      <w:rPr>
        <w:rFonts w:ascii="Symbol" w:hAnsi="Symbol" w:hint="default"/>
      </w:rPr>
    </w:lvl>
    <w:lvl w:ilvl="7" w:tplc="0C090003" w:tentative="1">
      <w:start w:val="1"/>
      <w:numFmt w:val="bullet"/>
      <w:lvlText w:val="o"/>
      <w:lvlJc w:val="left"/>
      <w:pPr>
        <w:ind w:left="5924" w:hanging="360"/>
      </w:pPr>
      <w:rPr>
        <w:rFonts w:ascii="Courier New" w:hAnsi="Courier New" w:cs="Courier New" w:hint="default"/>
      </w:rPr>
    </w:lvl>
    <w:lvl w:ilvl="8" w:tplc="0C090005" w:tentative="1">
      <w:start w:val="1"/>
      <w:numFmt w:val="bullet"/>
      <w:lvlText w:val=""/>
      <w:lvlJc w:val="left"/>
      <w:pPr>
        <w:ind w:left="6644" w:hanging="360"/>
      </w:pPr>
      <w:rPr>
        <w:rFonts w:ascii="Wingdings" w:hAnsi="Wingdings" w:hint="default"/>
      </w:rPr>
    </w:lvl>
  </w:abstractNum>
  <w:abstractNum w:abstractNumId="16">
    <w:nsid w:val="0DBC0AB1"/>
    <w:multiLevelType w:val="hybridMultilevel"/>
    <w:tmpl w:val="B9846F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18">
    <w:nsid w:val="10F244F6"/>
    <w:multiLevelType w:val="hybridMultilevel"/>
    <w:tmpl w:val="A4665CAE"/>
    <w:lvl w:ilvl="0" w:tplc="0C090001">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9">
    <w:nsid w:val="113C4B44"/>
    <w:multiLevelType w:val="multilevel"/>
    <w:tmpl w:val="4E5C847A"/>
    <w:styleLink w:val="Indents"/>
    <w:lvl w:ilvl="0">
      <w:start w:val="1"/>
      <w:numFmt w:val="none"/>
      <w:suff w:val="nothing"/>
      <w:lvlText w:val=""/>
      <w:lvlJc w:val="left"/>
      <w:pPr>
        <w:ind w:left="0" w:firstLine="0"/>
      </w:pPr>
      <w:rPr>
        <w:rFonts w:hint="default"/>
        <w:color w:val="auto"/>
      </w:rPr>
    </w:lvl>
    <w:lvl w:ilvl="1">
      <w:start w:val="1"/>
      <w:numFmt w:val="none"/>
      <w:suff w:val="nothing"/>
      <w:lvlText w:val=""/>
      <w:lvlJc w:val="left"/>
      <w:pPr>
        <w:ind w:left="567"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835" w:firstLine="0"/>
      </w:pPr>
      <w:rPr>
        <w:rFonts w:hint="default"/>
      </w:rPr>
    </w:lvl>
    <w:lvl w:ilvl="6">
      <w:start w:val="1"/>
      <w:numFmt w:val="none"/>
      <w:suff w:val="nothing"/>
      <w:lvlText w:val=""/>
      <w:lvlJc w:val="left"/>
      <w:pPr>
        <w:ind w:left="3402" w:firstLine="0"/>
      </w:pPr>
      <w:rPr>
        <w:rFonts w:hint="default"/>
      </w:rPr>
    </w:lvl>
    <w:lvl w:ilvl="7">
      <w:start w:val="1"/>
      <w:numFmt w:val="none"/>
      <w:suff w:val="nothing"/>
      <w:lvlText w:val=""/>
      <w:lvlJc w:val="left"/>
      <w:pPr>
        <w:ind w:left="3969" w:firstLine="0"/>
      </w:pPr>
      <w:rPr>
        <w:rFonts w:hint="default"/>
      </w:rPr>
    </w:lvl>
    <w:lvl w:ilvl="8">
      <w:start w:val="1"/>
      <w:numFmt w:val="none"/>
      <w:suff w:val="nothing"/>
      <w:lvlText w:val=""/>
      <w:lvlJc w:val="left"/>
      <w:pPr>
        <w:ind w:left="4536" w:firstLine="0"/>
      </w:pPr>
      <w:rPr>
        <w:rFonts w:hint="default"/>
      </w:rPr>
    </w:lvl>
  </w:abstractNum>
  <w:abstractNum w:abstractNumId="20">
    <w:nsid w:val="12BA1215"/>
    <w:multiLevelType w:val="hybridMultilevel"/>
    <w:tmpl w:val="B5982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147D2BE3"/>
    <w:multiLevelType w:val="hybridMultilevel"/>
    <w:tmpl w:val="C50E2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149600AF"/>
    <w:multiLevelType w:val="hybridMultilevel"/>
    <w:tmpl w:val="60622C86"/>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16417FC4"/>
    <w:multiLevelType w:val="multilevel"/>
    <w:tmpl w:val="50B20D3A"/>
    <w:styleLink w:val="TableNumberedListSmall"/>
    <w:lvl w:ilvl="0">
      <w:start w:val="1"/>
      <w:numFmt w:val="decimal"/>
      <w:lvlRestart w:val="0"/>
      <w:pStyle w:val="TableNumberedListSmall1"/>
      <w:lvlText w:val="%1"/>
      <w:lvlJc w:val="left"/>
      <w:pPr>
        <w:tabs>
          <w:tab w:val="num" w:pos="283"/>
        </w:tabs>
        <w:ind w:left="284" w:hanging="284"/>
      </w:pPr>
      <w:rPr>
        <w:rFonts w:asciiTheme="minorHAnsi" w:hAnsiTheme="minorHAnsi" w:hint="default"/>
        <w:b w:val="0"/>
        <w:i w:val="0"/>
        <w:color w:val="auto"/>
        <w:sz w:val="20"/>
      </w:rPr>
    </w:lvl>
    <w:lvl w:ilvl="1">
      <w:start w:val="1"/>
      <w:numFmt w:val="lowerLetter"/>
      <w:lvlRestart w:val="0"/>
      <w:pStyle w:val="TableNumberedListSmall2"/>
      <w:lvlText w:val="%2"/>
      <w:lvlJc w:val="left"/>
      <w:pPr>
        <w:tabs>
          <w:tab w:val="num" w:pos="567"/>
        </w:tabs>
        <w:ind w:left="567" w:hanging="283"/>
      </w:pPr>
      <w:rPr>
        <w:rFonts w:hint="default"/>
        <w:b w:val="0"/>
        <w:i w:val="0"/>
        <w:color w:val="auto"/>
        <w:szCs w:val="10"/>
      </w:rPr>
    </w:lvl>
    <w:lvl w:ilvl="2">
      <w:start w:val="1"/>
      <w:numFmt w:val="lowerRoman"/>
      <w:lvlRestart w:val="0"/>
      <w:pStyle w:val="TableNumberedListSmall3"/>
      <w:lvlText w:val="%3"/>
      <w:lvlJc w:val="left"/>
      <w:pPr>
        <w:tabs>
          <w:tab w:val="num" w:pos="851"/>
        </w:tabs>
        <w:ind w:left="851" w:hanging="284"/>
      </w:pPr>
      <w:rPr>
        <w:rFonts w:asciiTheme="minorHAnsi" w:hAnsiTheme="minorHAnsi" w:hint="default"/>
        <w:b w:val="0"/>
        <w:i w:val="0"/>
        <w:color w:val="auto"/>
        <w:sz w:val="20"/>
        <w:szCs w:val="10"/>
      </w:rPr>
    </w:lvl>
    <w:lvl w:ilvl="3">
      <w:start w:val="1"/>
      <w:numFmt w:val="none"/>
      <w:lvlRestart w:val="0"/>
      <w:lvlText w:val=""/>
      <w:lvlJc w:val="left"/>
      <w:pPr>
        <w:tabs>
          <w:tab w:val="num" w:pos="0"/>
        </w:tabs>
        <w:ind w:left="0" w:firstLine="0"/>
      </w:pPr>
      <w:rPr>
        <w:rFonts w:hint="default"/>
        <w:color w:val="auto"/>
        <w:sz w:val="10"/>
        <w:szCs w:val="10"/>
      </w:rPr>
    </w:lvl>
    <w:lvl w:ilvl="4">
      <w:start w:val="1"/>
      <w:numFmt w:val="none"/>
      <w:lvlText w:val="%5"/>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4">
    <w:nsid w:val="1739233C"/>
    <w:multiLevelType w:val="hybridMultilevel"/>
    <w:tmpl w:val="FCCE17A0"/>
    <w:lvl w:ilvl="0" w:tplc="F0382800">
      <w:start w:val="1"/>
      <w:numFmt w:val="bullet"/>
      <w:pStyle w:val="Bulleted"/>
      <w:lvlText w:val="–"/>
      <w:lvlJc w:val="left"/>
      <w:pPr>
        <w:tabs>
          <w:tab w:val="num" w:pos="3970"/>
        </w:tabs>
        <w:ind w:left="3970" w:hanging="567"/>
      </w:pPr>
      <w:rPr>
        <w:rFonts w:ascii="Arial" w:hAnsi="Arial" w:hint="default"/>
        <w:color w:val="auto"/>
      </w:rPr>
    </w:lvl>
    <w:lvl w:ilvl="1" w:tplc="77A43194">
      <w:numFmt w:val="bullet"/>
      <w:lvlText w:val="-"/>
      <w:lvlJc w:val="left"/>
      <w:pPr>
        <w:tabs>
          <w:tab w:val="num" w:pos="1440"/>
        </w:tabs>
        <w:ind w:left="1440" w:hanging="360"/>
      </w:pPr>
      <w:rPr>
        <w:rFonts w:ascii="Arial" w:eastAsia="Times New Roman" w:hAnsi="Arial" w:hint="default"/>
        <w:color w:val="auto"/>
      </w:rPr>
    </w:lvl>
    <w:lvl w:ilvl="2" w:tplc="77A43194">
      <w:numFmt w:val="bullet"/>
      <w:lvlText w:val="-"/>
      <w:lvlJc w:val="left"/>
      <w:pPr>
        <w:tabs>
          <w:tab w:val="num" w:pos="2160"/>
        </w:tabs>
        <w:ind w:left="2160" w:hanging="360"/>
      </w:pPr>
      <w:rPr>
        <w:rFonts w:ascii="Arial" w:eastAsia="Times New Roman" w:hAnsi="Aria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17F55A4C"/>
    <w:multiLevelType w:val="hybridMultilevel"/>
    <w:tmpl w:val="A9C8C6D2"/>
    <w:lvl w:ilvl="0" w:tplc="EAAAFB9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184F5379"/>
    <w:multiLevelType w:val="multilevel"/>
    <w:tmpl w:val="1546630C"/>
    <w:styleLink w:val="ListNumberList"/>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187E60D1"/>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18DF6AE8"/>
    <w:multiLevelType w:val="multilevel"/>
    <w:tmpl w:val="624C8E34"/>
    <w:lvl w:ilvl="0">
      <w:start w:val="1"/>
      <w:numFmt w:val="decimal"/>
      <w:lvlText w:val="%1"/>
      <w:lvlJc w:val="left"/>
      <w:pPr>
        <w:ind w:left="432" w:hanging="432"/>
      </w:pPr>
    </w:lvl>
    <w:lvl w:ilvl="1">
      <w:start w:val="1"/>
      <w:numFmt w:val="decimal"/>
      <w:lvlText w:val="%1.%2"/>
      <w:lvlJc w:val="left"/>
      <w:pPr>
        <w:ind w:left="576" w:hanging="576"/>
      </w:pPr>
      <w:rPr>
        <w:b/>
        <w:sz w:val="32"/>
        <w:szCs w:val="32"/>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30">
    <w:nsid w:val="1AB5510D"/>
    <w:multiLevelType w:val="hybridMultilevel"/>
    <w:tmpl w:val="64AEE84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1">
    <w:nsid w:val="1BC33078"/>
    <w:multiLevelType w:val="hybridMultilevel"/>
    <w:tmpl w:val="32E6F120"/>
    <w:lvl w:ilvl="0" w:tplc="3D6A5998">
      <w:start w:val="1"/>
      <w:numFmt w:val="decimal"/>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nsid w:val="1D230827"/>
    <w:multiLevelType w:val="multilevel"/>
    <w:tmpl w:val="AF18B140"/>
    <w:styleLink w:val="TableNumberdListNormal"/>
    <w:lvl w:ilvl="0">
      <w:start w:val="1"/>
      <w:numFmt w:val="decimal"/>
      <w:lvlRestart w:val="0"/>
      <w:lvlText w:val="%1"/>
      <w:lvlJc w:val="left"/>
      <w:pPr>
        <w:tabs>
          <w:tab w:val="num" w:pos="283"/>
        </w:tabs>
        <w:ind w:left="284" w:hanging="284"/>
      </w:pPr>
      <w:rPr>
        <w:rFonts w:ascii="Times New Roman" w:hAnsi="Times New Roman" w:hint="default"/>
        <w:b w:val="0"/>
        <w:i w:val="0"/>
        <w:color w:val="auto"/>
      </w:rPr>
    </w:lvl>
    <w:lvl w:ilvl="1">
      <w:start w:val="1"/>
      <w:numFmt w:val="lowerLetter"/>
      <w:lvlRestart w:val="0"/>
      <w:lvlText w:val="%2"/>
      <w:lvlJc w:val="left"/>
      <w:pPr>
        <w:tabs>
          <w:tab w:val="num" w:pos="567"/>
        </w:tabs>
        <w:ind w:left="567" w:hanging="283"/>
      </w:pPr>
      <w:rPr>
        <w:rFonts w:hint="default"/>
        <w:b w:val="0"/>
        <w:i w:val="0"/>
        <w:color w:val="auto"/>
        <w:szCs w:val="10"/>
      </w:rPr>
    </w:lvl>
    <w:lvl w:ilvl="2">
      <w:start w:val="1"/>
      <w:numFmt w:val="lowerRoman"/>
      <w:lvlRestart w:val="0"/>
      <w:lvlText w:val="%3"/>
      <w:lvlJc w:val="left"/>
      <w:pPr>
        <w:tabs>
          <w:tab w:val="num" w:pos="851"/>
        </w:tabs>
        <w:ind w:left="851" w:hanging="284"/>
      </w:pPr>
      <w:rPr>
        <w:rFonts w:hint="default"/>
        <w:b w:val="0"/>
        <w:i w:val="0"/>
        <w:color w:val="auto"/>
        <w:sz w:val="10"/>
        <w:szCs w:val="10"/>
      </w:rPr>
    </w:lvl>
    <w:lvl w:ilvl="3">
      <w:start w:val="1"/>
      <w:numFmt w:val="none"/>
      <w:lvlRestart w:val="0"/>
      <w:lvlText w:val=""/>
      <w:lvlJc w:val="left"/>
      <w:pPr>
        <w:tabs>
          <w:tab w:val="num" w:pos="0"/>
        </w:tabs>
        <w:ind w:left="0" w:firstLine="0"/>
      </w:pPr>
      <w:rPr>
        <w:rFonts w:hint="default"/>
        <w:color w:val="auto"/>
        <w:sz w:val="10"/>
        <w:szCs w:val="10"/>
      </w:rPr>
    </w:lvl>
    <w:lvl w:ilvl="4">
      <w:start w:val="1"/>
      <w:numFmt w:val="none"/>
      <w:lvlText w:val="%5"/>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33">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34">
    <w:nsid w:val="1FEE36D9"/>
    <w:multiLevelType w:val="hybridMultilevel"/>
    <w:tmpl w:val="A9C2F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22695387"/>
    <w:multiLevelType w:val="hybridMultilevel"/>
    <w:tmpl w:val="70667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283947C2"/>
    <w:multiLevelType w:val="multilevel"/>
    <w:tmpl w:val="50B20D3A"/>
    <w:numStyleLink w:val="TableNumberedListSmall"/>
  </w:abstractNum>
  <w:abstractNum w:abstractNumId="37">
    <w:nsid w:val="28784E41"/>
    <w:multiLevelType w:val="hybridMultilevel"/>
    <w:tmpl w:val="E28210F8"/>
    <w:lvl w:ilvl="0" w:tplc="7F7C526E">
      <w:start w:val="1"/>
      <w:numFmt w:val="bullet"/>
      <w:pStyle w:val="Tabletextdotpoi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28CE30E8"/>
    <w:multiLevelType w:val="hybridMultilevel"/>
    <w:tmpl w:val="EEC462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29F60073"/>
    <w:multiLevelType w:val="multilevel"/>
    <w:tmpl w:val="28909FD8"/>
    <w:lvl w:ilvl="0">
      <w:start w:val="1"/>
      <w:numFmt w:val="decimal"/>
      <w:lvlRestart w:val="0"/>
      <w:pStyle w:val="TableNumberedList1"/>
      <w:lvlText w:val="%1"/>
      <w:lvlJc w:val="left"/>
      <w:pPr>
        <w:tabs>
          <w:tab w:val="num" w:pos="283"/>
        </w:tabs>
        <w:ind w:left="284" w:hanging="284"/>
      </w:pPr>
      <w:rPr>
        <w:rFonts w:ascii="Times New Roman" w:hAnsi="Times New Roman" w:hint="default"/>
        <w:b w:val="0"/>
        <w:i w:val="0"/>
        <w:color w:val="auto"/>
        <w:sz w:val="20"/>
      </w:rPr>
    </w:lvl>
    <w:lvl w:ilvl="1">
      <w:start w:val="1"/>
      <w:numFmt w:val="lowerLetter"/>
      <w:lvlRestart w:val="0"/>
      <w:pStyle w:val="TableNumberedList2"/>
      <w:lvlText w:val="%2"/>
      <w:lvlJc w:val="left"/>
      <w:pPr>
        <w:tabs>
          <w:tab w:val="num" w:pos="567"/>
        </w:tabs>
        <w:ind w:left="567" w:hanging="283"/>
      </w:pPr>
      <w:rPr>
        <w:rFonts w:hint="default"/>
        <w:b w:val="0"/>
        <w:i w:val="0"/>
        <w:color w:val="auto"/>
        <w:szCs w:val="10"/>
      </w:rPr>
    </w:lvl>
    <w:lvl w:ilvl="2">
      <w:start w:val="1"/>
      <w:numFmt w:val="lowerRoman"/>
      <w:lvlRestart w:val="0"/>
      <w:pStyle w:val="TableNumberedList3"/>
      <w:lvlText w:val="%3"/>
      <w:lvlJc w:val="left"/>
      <w:pPr>
        <w:tabs>
          <w:tab w:val="num" w:pos="851"/>
        </w:tabs>
        <w:ind w:left="851" w:hanging="284"/>
      </w:pPr>
      <w:rPr>
        <w:rFonts w:asciiTheme="minorHAnsi" w:hAnsiTheme="minorHAnsi" w:hint="default"/>
        <w:b w:val="0"/>
        <w:i w:val="0"/>
        <w:color w:val="auto"/>
        <w:sz w:val="20"/>
        <w:szCs w:val="10"/>
      </w:rPr>
    </w:lvl>
    <w:lvl w:ilvl="3">
      <w:start w:val="1"/>
      <w:numFmt w:val="none"/>
      <w:lvlRestart w:val="0"/>
      <w:lvlText w:val=""/>
      <w:lvlJc w:val="left"/>
      <w:pPr>
        <w:tabs>
          <w:tab w:val="num" w:pos="0"/>
        </w:tabs>
        <w:ind w:left="0" w:firstLine="0"/>
      </w:pPr>
      <w:rPr>
        <w:rFonts w:hint="default"/>
        <w:color w:val="auto"/>
        <w:sz w:val="10"/>
        <w:szCs w:val="10"/>
      </w:rPr>
    </w:lvl>
    <w:lvl w:ilvl="4">
      <w:start w:val="1"/>
      <w:numFmt w:val="none"/>
      <w:lvlText w:val="%5"/>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40">
    <w:nsid w:val="2BB04A46"/>
    <w:multiLevelType w:val="hybridMultilevel"/>
    <w:tmpl w:val="3E0CC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2BF876DE"/>
    <w:multiLevelType w:val="multilevel"/>
    <w:tmpl w:val="B7F496D4"/>
    <w:lvl w:ilvl="0">
      <w:start w:val="1"/>
      <w:numFmt w:val="bullet"/>
      <w:lvlRestart w:val="0"/>
      <w:pStyle w:val="TableBullet1Small"/>
      <w:lvlText w:val=""/>
      <w:lvlJc w:val="left"/>
      <w:pPr>
        <w:tabs>
          <w:tab w:val="num" w:pos="284"/>
        </w:tabs>
        <w:ind w:left="170" w:hanging="170"/>
      </w:pPr>
      <w:rPr>
        <w:rFonts w:ascii="Symbol" w:hAnsi="Symbol" w:hint="default"/>
        <w:b w:val="0"/>
        <w:i w:val="0"/>
        <w:color w:val="auto"/>
      </w:rPr>
    </w:lvl>
    <w:lvl w:ilvl="1">
      <w:start w:val="1"/>
      <w:numFmt w:val="bullet"/>
      <w:lvlRestart w:val="0"/>
      <w:pStyle w:val="TableBullet2Small"/>
      <w:lvlText w:val="–"/>
      <w:lvlJc w:val="left"/>
      <w:pPr>
        <w:tabs>
          <w:tab w:val="num" w:pos="567"/>
        </w:tabs>
        <w:ind w:left="340" w:hanging="170"/>
      </w:pPr>
      <w:rPr>
        <w:rFonts w:ascii="Arial" w:hAnsi="Arial" w:hint="default"/>
        <w:b w:val="0"/>
        <w:i w:val="0"/>
        <w:color w:val="auto"/>
      </w:rPr>
    </w:lvl>
    <w:lvl w:ilvl="2">
      <w:start w:val="1"/>
      <w:numFmt w:val="bullet"/>
      <w:lvlRestart w:val="0"/>
      <w:pStyle w:val="TableBullet3Small"/>
      <w:lvlText w:val="o"/>
      <w:lvlJc w:val="left"/>
      <w:pPr>
        <w:tabs>
          <w:tab w:val="num" w:pos="851"/>
        </w:tabs>
        <w:ind w:left="510" w:hanging="170"/>
      </w:pPr>
      <w:rPr>
        <w:rFonts w:ascii="Arial" w:hAnsi="Arial" w:hint="default"/>
        <w:b w:val="0"/>
        <w:i w:val="0"/>
        <w:color w:val="auto"/>
        <w:sz w:val="10"/>
        <w:szCs w:val="10"/>
      </w:rPr>
    </w:lvl>
    <w:lvl w:ilvl="3">
      <w:start w:val="1"/>
      <w:numFmt w:val="none"/>
      <w:lvlRestart w:val="0"/>
      <w:lvlText w:val=""/>
      <w:lvlJc w:val="left"/>
      <w:pPr>
        <w:tabs>
          <w:tab w:val="num" w:pos="2880"/>
        </w:tabs>
        <w:ind w:left="2880" w:hanging="720"/>
      </w:pPr>
      <w:rPr>
        <w:rFonts w:hint="default"/>
        <w:b w:val="0"/>
        <w:i w:val="0"/>
        <w:color w:val="auto"/>
        <w:sz w:val="10"/>
        <w:szCs w:val="10"/>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42">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3">
    <w:nsid w:val="307E06FA"/>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nsid w:val="32D7125E"/>
    <w:multiLevelType w:val="multilevel"/>
    <w:tmpl w:val="8E0CCD38"/>
    <w:styleLink w:val="CV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334A64FB"/>
    <w:multiLevelType w:val="hybridMultilevel"/>
    <w:tmpl w:val="9C445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35873D81"/>
    <w:multiLevelType w:val="hybridMultilevel"/>
    <w:tmpl w:val="DB9A3EFE"/>
    <w:lvl w:ilvl="0" w:tplc="0664A6F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35EB44ED"/>
    <w:multiLevelType w:val="hybridMultilevel"/>
    <w:tmpl w:val="7BC6F078"/>
    <w:lvl w:ilvl="0" w:tplc="3D6A599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nsid w:val="390B2960"/>
    <w:multiLevelType w:val="hybridMultilevel"/>
    <w:tmpl w:val="96085900"/>
    <w:lvl w:ilvl="0" w:tplc="C2D4E72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3A866625"/>
    <w:multiLevelType w:val="hybridMultilevel"/>
    <w:tmpl w:val="EB86F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3B724A96"/>
    <w:multiLevelType w:val="hybridMultilevel"/>
    <w:tmpl w:val="1DD28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nsid w:val="3D9E1048"/>
    <w:multiLevelType w:val="hybridMultilevel"/>
    <w:tmpl w:val="950EBCB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3E4F29E4"/>
    <w:multiLevelType w:val="multilevel"/>
    <w:tmpl w:val="0BD8A4F4"/>
    <w:styleLink w:val="ChapterNumberingList"/>
    <w:lvl w:ilvl="0">
      <w:start w:val="1"/>
      <w:numFmt w:val="decimal"/>
      <w:lvlRestart w:val="0"/>
      <w:suff w:val="nothing"/>
      <w:lvlText w:val="%1"/>
      <w:lvlJc w:val="left"/>
      <w:pPr>
        <w:ind w:left="0" w:firstLine="0"/>
      </w:pPr>
      <w:rPr>
        <w:rFonts w:hint="default"/>
      </w:rPr>
    </w:lvl>
    <w:lvl w:ilvl="1">
      <w:start w:val="1"/>
      <w:numFmt w:val="decimal"/>
      <w:lvlRestart w:val="0"/>
      <w:lvlText w:val="%2"/>
      <w:lvlJc w:val="left"/>
      <w:pPr>
        <w:tabs>
          <w:tab w:val="num" w:pos="850"/>
        </w:tabs>
        <w:ind w:left="850" w:hanging="850"/>
      </w:pPr>
      <w:rPr>
        <w:rFonts w:hint="default"/>
      </w:rPr>
    </w:lvl>
    <w:lvl w:ilvl="2">
      <w:start w:val="1"/>
      <w:numFmt w:val="decimal"/>
      <w:lvlText w:val="%2.%3"/>
      <w:lvlJc w:val="left"/>
      <w:pPr>
        <w:tabs>
          <w:tab w:val="num" w:pos="850"/>
        </w:tabs>
        <w:ind w:left="850" w:hanging="850"/>
      </w:pPr>
      <w:rPr>
        <w:rFonts w:hint="default"/>
      </w:rPr>
    </w:lvl>
    <w:lvl w:ilvl="3">
      <w:start w:val="1"/>
      <w:numFmt w:val="decimal"/>
      <w:lvlText w:val="%2.%3.%4"/>
      <w:lvlJc w:val="left"/>
      <w:pPr>
        <w:tabs>
          <w:tab w:val="num" w:pos="850"/>
        </w:tabs>
        <w:ind w:left="850" w:hanging="850"/>
      </w:pPr>
      <w:rPr>
        <w:rFonts w:hint="default"/>
      </w:rPr>
    </w:lvl>
    <w:lvl w:ilvl="4">
      <w:start w:val="1"/>
      <w:numFmt w:val="upperLetter"/>
      <w:lvlRestart w:val="0"/>
      <w:lvlText w:val="Appendix %5"/>
      <w:lvlJc w:val="left"/>
      <w:pPr>
        <w:tabs>
          <w:tab w:val="num" w:pos="3685"/>
        </w:tabs>
        <w:ind w:left="0" w:firstLine="0"/>
      </w:pPr>
      <w:rPr>
        <w:rFonts w:hint="default"/>
      </w:rPr>
    </w:lvl>
    <w:lvl w:ilvl="5">
      <w:start w:val="1"/>
      <w:numFmt w:val="upperLetter"/>
      <w:lvlRestart w:val="0"/>
      <w:suff w:val="nothing"/>
      <w:lvlText w:val="Appendix %6"/>
      <w:lvlJc w:val="left"/>
      <w:pPr>
        <w:ind w:left="0" w:firstLine="0"/>
      </w:pPr>
      <w:rPr>
        <w:rFonts w:hint="default"/>
      </w:rPr>
    </w:lvl>
    <w:lvl w:ilvl="6">
      <w:start w:val="1"/>
      <w:numFmt w:val="decimal"/>
      <w:lvlText w:val="%7"/>
      <w:lvlJc w:val="left"/>
      <w:pPr>
        <w:tabs>
          <w:tab w:val="num" w:pos="567"/>
        </w:tabs>
        <w:ind w:left="567" w:hanging="567"/>
      </w:pPr>
      <w:rPr>
        <w:rFonts w:hint="default"/>
        <w:b/>
        <w:i/>
      </w:rPr>
    </w:lvl>
    <w:lvl w:ilvl="7">
      <w:start w:val="1"/>
      <w:numFmt w:val="decimal"/>
      <w:lvlText w:val="%8"/>
      <w:lvlJc w:val="left"/>
      <w:pPr>
        <w:tabs>
          <w:tab w:val="num" w:pos="284"/>
        </w:tabs>
        <w:ind w:left="284" w:hanging="284"/>
      </w:pPr>
      <w:rPr>
        <w:rFonts w:hint="default"/>
        <w:b w:val="0"/>
        <w:i w:val="0"/>
        <w:color w:val="auto"/>
      </w:rPr>
    </w:lvl>
    <w:lvl w:ilvl="8">
      <w:start w:val="1"/>
      <w:numFmt w:val="lowerLetter"/>
      <w:lvlText w:val="%9"/>
      <w:lvlJc w:val="left"/>
      <w:pPr>
        <w:tabs>
          <w:tab w:val="num" w:pos="567"/>
        </w:tabs>
        <w:ind w:left="567" w:hanging="283"/>
      </w:pPr>
      <w:rPr>
        <w:rFonts w:hint="default"/>
        <w:b w:val="0"/>
        <w:i w:val="0"/>
        <w:color w:val="auto"/>
      </w:rPr>
    </w:lvl>
  </w:abstractNum>
  <w:abstractNum w:abstractNumId="56">
    <w:nsid w:val="3E545AA8"/>
    <w:multiLevelType w:val="hybridMultilevel"/>
    <w:tmpl w:val="1494C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7">
    <w:nsid w:val="3EE52A50"/>
    <w:multiLevelType w:val="multilevel"/>
    <w:tmpl w:val="EE12AE72"/>
    <w:name w:val="PwCListNumbers13"/>
    <w:styleLink w:val="PwCAppendixList1"/>
    <w:lvl w:ilvl="0">
      <w:start w:val="1"/>
      <w:numFmt w:val="upperLetter"/>
      <w:pStyle w:val="Appendix"/>
      <w:lvlText w:val="Appendix %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408C7EDB"/>
    <w:multiLevelType w:val="hybridMultilevel"/>
    <w:tmpl w:val="E08AA0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nsid w:val="40E60A1F"/>
    <w:multiLevelType w:val="hybridMultilevel"/>
    <w:tmpl w:val="06EC108C"/>
    <w:lvl w:ilvl="0" w:tplc="3D6A5998">
      <w:start w:val="1"/>
      <w:numFmt w:val="decimal"/>
      <w:lvlText w:val="%1."/>
      <w:lvlJc w:val="left"/>
      <w:pPr>
        <w:ind w:left="1440" w:hanging="360"/>
      </w:pPr>
      <w:rPr>
        <w:rFonts w:hint="default"/>
      </w:rPr>
    </w:lvl>
    <w:lvl w:ilvl="1" w:tplc="0C09001B">
      <w:start w:val="1"/>
      <w:numFmt w:val="low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420A2DB0"/>
    <w:multiLevelType w:val="hybridMultilevel"/>
    <w:tmpl w:val="E69ED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nsid w:val="44A77C07"/>
    <w:multiLevelType w:val="hybridMultilevel"/>
    <w:tmpl w:val="7BC6F078"/>
    <w:lvl w:ilvl="0" w:tplc="3D6A599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nsid w:val="460B564E"/>
    <w:multiLevelType w:val="multilevel"/>
    <w:tmpl w:val="D5EA105E"/>
    <w:styleLink w:val="TableBulletSmallList"/>
    <w:lvl w:ilvl="0">
      <w:start w:val="1"/>
      <w:numFmt w:val="bullet"/>
      <w:lvlRestart w:val="0"/>
      <w:lvlText w:val=""/>
      <w:lvlJc w:val="left"/>
      <w:pPr>
        <w:tabs>
          <w:tab w:val="num" w:pos="284"/>
        </w:tabs>
        <w:ind w:left="284" w:hanging="284"/>
      </w:pPr>
      <w:rPr>
        <w:rFonts w:ascii="Symbol" w:hAnsi="Symbol" w:hint="default"/>
        <w:b w:val="0"/>
        <w:i w:val="0"/>
        <w:color w:val="auto"/>
      </w:rPr>
    </w:lvl>
    <w:lvl w:ilvl="1">
      <w:start w:val="1"/>
      <w:numFmt w:val="bullet"/>
      <w:lvlRestart w:val="0"/>
      <w:lvlText w:val="–"/>
      <w:lvlJc w:val="left"/>
      <w:pPr>
        <w:tabs>
          <w:tab w:val="num" w:pos="567"/>
        </w:tabs>
        <w:ind w:left="567" w:hanging="283"/>
      </w:pPr>
      <w:rPr>
        <w:rFonts w:ascii="Arial" w:hAnsi="Arial" w:hint="default"/>
        <w:b w:val="0"/>
        <w:i w:val="0"/>
        <w:color w:val="auto"/>
      </w:rPr>
    </w:lvl>
    <w:lvl w:ilvl="2">
      <w:start w:val="1"/>
      <w:numFmt w:val="bullet"/>
      <w:lvlRestart w:val="0"/>
      <w:lvlText w:val="o"/>
      <w:lvlJc w:val="left"/>
      <w:pPr>
        <w:tabs>
          <w:tab w:val="num" w:pos="851"/>
        </w:tabs>
        <w:ind w:left="851" w:hanging="284"/>
      </w:pPr>
      <w:rPr>
        <w:rFonts w:ascii="Arial" w:hAnsi="Arial" w:hint="default"/>
        <w:b w:val="0"/>
        <w:i w:val="0"/>
        <w:color w:val="auto"/>
        <w:sz w:val="10"/>
        <w:szCs w:val="10"/>
      </w:rPr>
    </w:lvl>
    <w:lvl w:ilvl="3">
      <w:start w:val="1"/>
      <w:numFmt w:val="none"/>
      <w:lvlRestart w:val="0"/>
      <w:lvlText w:val=""/>
      <w:lvlJc w:val="left"/>
      <w:pPr>
        <w:tabs>
          <w:tab w:val="num" w:pos="2880"/>
        </w:tabs>
        <w:ind w:left="2880" w:hanging="720"/>
      </w:pPr>
      <w:rPr>
        <w:rFonts w:hint="default"/>
        <w:b w:val="0"/>
        <w:i w:val="0"/>
        <w:color w:val="auto"/>
        <w:sz w:val="10"/>
        <w:szCs w:val="10"/>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64">
    <w:nsid w:val="49700C03"/>
    <w:multiLevelType w:val="hybridMultilevel"/>
    <w:tmpl w:val="FBFCA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nsid w:val="4AAB5470"/>
    <w:multiLevelType w:val="multilevel"/>
    <w:tmpl w:val="FE465B3C"/>
    <w:lvl w:ilvl="0">
      <w:start w:val="1"/>
      <w:numFmt w:val="bullet"/>
      <w:lvlRestart w:val="0"/>
      <w:pStyle w:val="Dotpoint"/>
      <w:lvlText w:val=""/>
      <w:lvlJc w:val="left"/>
      <w:pPr>
        <w:tabs>
          <w:tab w:val="num" w:pos="284"/>
        </w:tabs>
        <w:ind w:left="284" w:hanging="284"/>
      </w:pPr>
      <w:rPr>
        <w:rFonts w:ascii="Symbol" w:hAnsi="Symbol" w:hint="default"/>
        <w:b w:val="0"/>
        <w:i w:val="0"/>
        <w:color w:val="auto"/>
        <w:sz w:val="20"/>
        <w:szCs w:val="20"/>
      </w:rPr>
    </w:lvl>
    <w:lvl w:ilvl="1">
      <w:start w:val="1"/>
      <w:numFmt w:val="bullet"/>
      <w:lvlText w:val="–"/>
      <w:lvlJc w:val="left"/>
      <w:pPr>
        <w:tabs>
          <w:tab w:val="num" w:pos="567"/>
        </w:tabs>
        <w:ind w:left="568" w:hanging="284"/>
      </w:pPr>
      <w:rPr>
        <w:rFonts w:ascii="Arial" w:hAnsi="Arial" w:hint="default"/>
        <w:b w:val="0"/>
        <w:i w:val="0"/>
        <w:color w:val="auto"/>
      </w:rPr>
    </w:lvl>
    <w:lvl w:ilvl="2">
      <w:start w:val="1"/>
      <w:numFmt w:val="bullet"/>
      <w:lvlText w:val="◦"/>
      <w:lvlJc w:val="left"/>
      <w:pPr>
        <w:tabs>
          <w:tab w:val="num" w:pos="851"/>
        </w:tabs>
        <w:ind w:left="852" w:hanging="284"/>
      </w:pPr>
      <w:rPr>
        <w:rFonts w:ascii="Georgia" w:hAnsi="Georgia" w:hint="default"/>
        <w:b w:val="0"/>
        <w:i w:val="0"/>
        <w:color w:val="auto"/>
        <w:sz w:val="18"/>
        <w:szCs w:val="10"/>
      </w:rPr>
    </w:lvl>
    <w:lvl w:ilvl="3">
      <w:start w:val="1"/>
      <w:numFmt w:val="bullet"/>
      <w:lvlText w:val=""/>
      <w:lvlJc w:val="left"/>
      <w:pPr>
        <w:tabs>
          <w:tab w:val="num" w:pos="1134"/>
        </w:tabs>
        <w:ind w:left="1136" w:hanging="284"/>
      </w:pPr>
      <w:rPr>
        <w:rFonts w:ascii="Symbol" w:hAnsi="Symbol" w:hint="default"/>
        <w:b w:val="0"/>
        <w:i w:val="0"/>
        <w:color w:val="auto"/>
        <w:sz w:val="20"/>
        <w:szCs w:val="10"/>
      </w:rPr>
    </w:lvl>
    <w:lvl w:ilvl="4">
      <w:start w:val="1"/>
      <w:numFmt w:val="bullet"/>
      <w:lvlText w:val="~"/>
      <w:lvlJc w:val="left"/>
      <w:pPr>
        <w:tabs>
          <w:tab w:val="num" w:pos="1418"/>
        </w:tabs>
        <w:ind w:left="1420" w:hanging="284"/>
      </w:pPr>
      <w:rPr>
        <w:rFonts w:ascii="Georgia" w:hAnsi="Georgia" w:hint="default"/>
        <w:color w:val="auto"/>
      </w:rPr>
    </w:lvl>
    <w:lvl w:ilvl="5">
      <w:start w:val="1"/>
      <w:numFmt w:val="lowerRoman"/>
      <w:lvlText w:val="%6"/>
      <w:lvlJc w:val="left"/>
      <w:pPr>
        <w:tabs>
          <w:tab w:val="num" w:pos="1701"/>
        </w:tabs>
        <w:ind w:left="1361" w:firstLine="59"/>
      </w:pPr>
      <w:rPr>
        <w:rFonts w:hint="default"/>
      </w:rPr>
    </w:lvl>
    <w:lvl w:ilvl="6">
      <w:start w:val="1"/>
      <w:numFmt w:val="decimal"/>
      <w:lvlText w:val="%7"/>
      <w:lvlJc w:val="left"/>
      <w:pPr>
        <w:tabs>
          <w:tab w:val="num" w:pos="1985"/>
        </w:tabs>
        <w:ind w:left="1985" w:hanging="964"/>
      </w:pPr>
      <w:rPr>
        <w:rFonts w:hint="default"/>
      </w:rPr>
    </w:lvl>
    <w:lvl w:ilvl="7">
      <w:start w:val="1"/>
      <w:numFmt w:val="lowerLetter"/>
      <w:lvlText w:val="%8"/>
      <w:lvlJc w:val="left"/>
      <w:pPr>
        <w:tabs>
          <w:tab w:val="num" w:pos="2268"/>
        </w:tabs>
        <w:ind w:left="2211" w:hanging="226"/>
      </w:pPr>
      <w:rPr>
        <w:rFonts w:hint="default"/>
      </w:rPr>
    </w:lvl>
    <w:lvl w:ilvl="8">
      <w:start w:val="1"/>
      <w:numFmt w:val="lowerRoman"/>
      <w:lvlText w:val="%9"/>
      <w:lvlJc w:val="left"/>
      <w:pPr>
        <w:tabs>
          <w:tab w:val="num" w:pos="2552"/>
        </w:tabs>
        <w:ind w:left="2552" w:hanging="284"/>
      </w:pPr>
      <w:rPr>
        <w:rFonts w:hint="default"/>
      </w:rPr>
    </w:lvl>
  </w:abstractNum>
  <w:abstractNum w:abstractNumId="66">
    <w:nsid w:val="4AE16CBB"/>
    <w:multiLevelType w:val="hybridMultilevel"/>
    <w:tmpl w:val="1B9C9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nsid w:val="4CA92DF7"/>
    <w:multiLevelType w:val="hybridMultilevel"/>
    <w:tmpl w:val="50902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nsid w:val="4D545EC4"/>
    <w:multiLevelType w:val="multilevel"/>
    <w:tmpl w:val="33E2D606"/>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9">
    <w:nsid w:val="4D8C2F25"/>
    <w:multiLevelType w:val="multilevel"/>
    <w:tmpl w:val="6E008996"/>
    <w:lvl w:ilvl="0">
      <w:start w:val="1"/>
      <w:numFmt w:val="bullet"/>
      <w:lvlRestart w:val="0"/>
      <w:pStyle w:val="TableBullet1Normal"/>
      <w:lvlText w:val=""/>
      <w:lvlJc w:val="left"/>
      <w:pPr>
        <w:tabs>
          <w:tab w:val="num" w:pos="283"/>
        </w:tabs>
        <w:ind w:left="284" w:hanging="284"/>
      </w:pPr>
      <w:rPr>
        <w:rFonts w:ascii="Symbol" w:hAnsi="Symbol" w:hint="default"/>
        <w:b w:val="0"/>
        <w:i w:val="0"/>
        <w:color w:val="auto"/>
      </w:rPr>
    </w:lvl>
    <w:lvl w:ilvl="1">
      <w:start w:val="1"/>
      <w:numFmt w:val="bullet"/>
      <w:lvlRestart w:val="0"/>
      <w:pStyle w:val="TableBullet2Normal"/>
      <w:lvlText w:val="–"/>
      <w:lvlJc w:val="left"/>
      <w:pPr>
        <w:tabs>
          <w:tab w:val="num" w:pos="567"/>
        </w:tabs>
        <w:ind w:left="567" w:hanging="283"/>
      </w:pPr>
      <w:rPr>
        <w:rFonts w:ascii="Arial" w:hAnsi="Arial" w:hint="default"/>
        <w:b w:val="0"/>
        <w:i w:val="0"/>
        <w:color w:val="auto"/>
        <w:szCs w:val="10"/>
      </w:rPr>
    </w:lvl>
    <w:lvl w:ilvl="2">
      <w:start w:val="1"/>
      <w:numFmt w:val="bullet"/>
      <w:lvlRestart w:val="0"/>
      <w:pStyle w:val="TableBullet3Normal"/>
      <w:lvlText w:val="o"/>
      <w:lvlJc w:val="left"/>
      <w:pPr>
        <w:tabs>
          <w:tab w:val="num" w:pos="851"/>
        </w:tabs>
        <w:ind w:left="851" w:hanging="284"/>
      </w:pPr>
      <w:rPr>
        <w:rFonts w:ascii="Arial" w:hAnsi="Arial" w:hint="default"/>
        <w:b w:val="0"/>
        <w:i w:val="0"/>
        <w:color w:val="auto"/>
        <w:sz w:val="10"/>
        <w:szCs w:val="10"/>
      </w:rPr>
    </w:lvl>
    <w:lvl w:ilvl="3">
      <w:start w:val="1"/>
      <w:numFmt w:val="none"/>
      <w:lvlRestart w:val="0"/>
      <w:lvlText w:val=""/>
      <w:lvlJc w:val="left"/>
      <w:pPr>
        <w:tabs>
          <w:tab w:val="num" w:pos="0"/>
        </w:tabs>
        <w:ind w:left="0" w:firstLine="0"/>
      </w:pPr>
      <w:rPr>
        <w:rFonts w:hint="default"/>
        <w:color w:val="auto"/>
        <w:sz w:val="10"/>
        <w:szCs w:val="10"/>
      </w:rPr>
    </w:lvl>
    <w:lvl w:ilvl="4">
      <w:start w:val="1"/>
      <w:numFmt w:val="none"/>
      <w:lvlText w:val="%5"/>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70">
    <w:nsid w:val="4DAB6D7B"/>
    <w:multiLevelType w:val="multilevel"/>
    <w:tmpl w:val="AD504C06"/>
    <w:lvl w:ilvl="0">
      <w:start w:val="1"/>
      <w:numFmt w:val="bullet"/>
      <w:lvlText w:val="-"/>
      <w:lvlJc w:val="left"/>
      <w:pPr>
        <w:tabs>
          <w:tab w:val="num" w:pos="1080"/>
        </w:tabs>
        <w:ind w:left="1080" w:hanging="360"/>
      </w:pPr>
      <w:rPr>
        <w:rFonts w:ascii="Georgia" w:hAnsi="Georgia"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1">
    <w:nsid w:val="50022C54"/>
    <w:multiLevelType w:val="hybridMultilevel"/>
    <w:tmpl w:val="996C657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73">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74">
    <w:nsid w:val="518C39C9"/>
    <w:multiLevelType w:val="multilevel"/>
    <w:tmpl w:val="D93463A2"/>
    <w:styleLink w:val="Style1"/>
    <w:lvl w:ilvl="0">
      <w:start w:val="1"/>
      <w:numFmt w:val="decimal"/>
      <w:lvlText w:val="%1"/>
      <w:lvlJc w:val="left"/>
      <w:pPr>
        <w:tabs>
          <w:tab w:val="num" w:pos="567"/>
        </w:tabs>
        <w:ind w:left="567" w:hanging="567"/>
      </w:pPr>
      <w:rPr>
        <w:rFonts w:hint="default"/>
      </w:rPr>
    </w:lvl>
    <w:lvl w:ilvl="1">
      <w:start w:val="1"/>
      <w:numFmt w:val="none"/>
      <w:suff w:val="nothing"/>
      <w:lvlText w:val=""/>
      <w:lvlJc w:val="left"/>
      <w:pPr>
        <w:ind w:left="0" w:firstLine="0"/>
      </w:pPr>
      <w:rPr>
        <w:rFonts w:hint="default"/>
      </w:rPr>
    </w:lvl>
    <w:lvl w:ilvl="2">
      <w:start w:val="1"/>
      <w:numFmt w:val="upperLetter"/>
      <w:lvlText w:val="Appendix %3"/>
      <w:lvlJc w:val="left"/>
      <w:pPr>
        <w:tabs>
          <w:tab w:val="num" w:pos="1985"/>
        </w:tabs>
        <w:ind w:left="1985" w:hanging="198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537E60C9"/>
    <w:multiLevelType w:val="hybridMultilevel"/>
    <w:tmpl w:val="A83A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nsid w:val="53E41844"/>
    <w:multiLevelType w:val="hybridMultilevel"/>
    <w:tmpl w:val="2C9EF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nsid w:val="542E2533"/>
    <w:multiLevelType w:val="hybridMultilevel"/>
    <w:tmpl w:val="7BC6F078"/>
    <w:lvl w:ilvl="0" w:tplc="3D6A599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nsid w:val="56303757"/>
    <w:multiLevelType w:val="multilevel"/>
    <w:tmpl w:val="9BA237F4"/>
    <w:lvl w:ilvl="0">
      <w:start w:val="1"/>
      <w:numFmt w:val="bullet"/>
      <w:lvlRestart w:val="0"/>
      <w:lvlText w:val=""/>
      <w:lvlJc w:val="left"/>
      <w:pPr>
        <w:tabs>
          <w:tab w:val="num" w:pos="284"/>
        </w:tabs>
        <w:ind w:left="284" w:hanging="284"/>
      </w:pPr>
      <w:rPr>
        <w:rFonts w:ascii="Symbol" w:hAnsi="Symbol" w:hint="default"/>
        <w:b w:val="0"/>
        <w:i w:val="0"/>
        <w:color w:val="auto"/>
        <w:sz w:val="20"/>
        <w:szCs w:val="20"/>
      </w:rPr>
    </w:lvl>
    <w:lvl w:ilvl="1">
      <w:start w:val="1"/>
      <w:numFmt w:val="bullet"/>
      <w:lvlText w:val="–"/>
      <w:lvlJc w:val="left"/>
      <w:pPr>
        <w:tabs>
          <w:tab w:val="num" w:pos="567"/>
        </w:tabs>
        <w:ind w:left="568" w:hanging="284"/>
      </w:pPr>
      <w:rPr>
        <w:rFonts w:ascii="Arial" w:hAnsi="Arial" w:hint="default"/>
        <w:b w:val="0"/>
        <w:i w:val="0"/>
        <w:color w:val="auto"/>
      </w:rPr>
    </w:lvl>
    <w:lvl w:ilvl="2">
      <w:start w:val="1"/>
      <w:numFmt w:val="bullet"/>
      <w:lvlText w:val="◦"/>
      <w:lvlJc w:val="left"/>
      <w:pPr>
        <w:tabs>
          <w:tab w:val="num" w:pos="851"/>
        </w:tabs>
        <w:ind w:left="852" w:hanging="284"/>
      </w:pPr>
      <w:rPr>
        <w:rFonts w:ascii="Georgia" w:hAnsi="Georgia" w:hint="default"/>
        <w:b w:val="0"/>
        <w:i w:val="0"/>
        <w:color w:val="auto"/>
        <w:sz w:val="18"/>
        <w:szCs w:val="10"/>
      </w:rPr>
    </w:lvl>
    <w:lvl w:ilvl="3">
      <w:start w:val="1"/>
      <w:numFmt w:val="bullet"/>
      <w:lvlText w:val=""/>
      <w:lvlJc w:val="left"/>
      <w:pPr>
        <w:tabs>
          <w:tab w:val="num" w:pos="1134"/>
        </w:tabs>
        <w:ind w:left="1136" w:hanging="284"/>
      </w:pPr>
      <w:rPr>
        <w:rFonts w:ascii="Symbol" w:hAnsi="Symbol" w:hint="default"/>
        <w:b w:val="0"/>
        <w:i w:val="0"/>
        <w:color w:val="auto"/>
        <w:sz w:val="20"/>
        <w:szCs w:val="10"/>
      </w:rPr>
    </w:lvl>
    <w:lvl w:ilvl="4">
      <w:start w:val="1"/>
      <w:numFmt w:val="bullet"/>
      <w:lvlText w:val=""/>
      <w:lvlJc w:val="left"/>
      <w:pPr>
        <w:tabs>
          <w:tab w:val="num" w:pos="1418"/>
        </w:tabs>
        <w:ind w:left="1420" w:hanging="284"/>
      </w:pPr>
      <w:rPr>
        <w:rFonts w:ascii="Symbol" w:hAnsi="Symbol" w:hint="default"/>
        <w:color w:val="auto"/>
      </w:rPr>
    </w:lvl>
    <w:lvl w:ilvl="5">
      <w:start w:val="1"/>
      <w:numFmt w:val="lowerRoman"/>
      <w:lvlText w:val="%6"/>
      <w:lvlJc w:val="left"/>
      <w:pPr>
        <w:tabs>
          <w:tab w:val="num" w:pos="1701"/>
        </w:tabs>
        <w:ind w:left="1361" w:firstLine="59"/>
      </w:pPr>
      <w:rPr>
        <w:rFonts w:hint="default"/>
      </w:rPr>
    </w:lvl>
    <w:lvl w:ilvl="6">
      <w:start w:val="1"/>
      <w:numFmt w:val="decimal"/>
      <w:lvlText w:val="%7"/>
      <w:lvlJc w:val="left"/>
      <w:pPr>
        <w:tabs>
          <w:tab w:val="num" w:pos="1985"/>
        </w:tabs>
        <w:ind w:left="1985" w:hanging="964"/>
      </w:pPr>
      <w:rPr>
        <w:rFonts w:hint="default"/>
      </w:rPr>
    </w:lvl>
    <w:lvl w:ilvl="7">
      <w:start w:val="1"/>
      <w:numFmt w:val="lowerLetter"/>
      <w:lvlText w:val="%8"/>
      <w:lvlJc w:val="left"/>
      <w:pPr>
        <w:tabs>
          <w:tab w:val="num" w:pos="2268"/>
        </w:tabs>
        <w:ind w:left="2211" w:hanging="226"/>
      </w:pPr>
      <w:rPr>
        <w:rFonts w:hint="default"/>
      </w:rPr>
    </w:lvl>
    <w:lvl w:ilvl="8">
      <w:start w:val="1"/>
      <w:numFmt w:val="lowerRoman"/>
      <w:lvlText w:val="%9"/>
      <w:lvlJc w:val="left"/>
      <w:pPr>
        <w:tabs>
          <w:tab w:val="num" w:pos="2552"/>
        </w:tabs>
        <w:ind w:left="2552" w:hanging="284"/>
      </w:pPr>
      <w:rPr>
        <w:rFonts w:hint="default"/>
      </w:rPr>
    </w:lvl>
  </w:abstractNum>
  <w:abstractNum w:abstractNumId="79">
    <w:nsid w:val="56456EDE"/>
    <w:multiLevelType w:val="hybridMultilevel"/>
    <w:tmpl w:val="F5322D3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0">
    <w:nsid w:val="5744251C"/>
    <w:multiLevelType w:val="hybridMultilevel"/>
    <w:tmpl w:val="01CA054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nsid w:val="588A7989"/>
    <w:multiLevelType w:val="hybridMultilevel"/>
    <w:tmpl w:val="79065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nsid w:val="591C52D2"/>
    <w:multiLevelType w:val="hybridMultilevel"/>
    <w:tmpl w:val="0204B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nsid w:val="5BE3553D"/>
    <w:multiLevelType w:val="hybridMultilevel"/>
    <w:tmpl w:val="AD621E3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85">
    <w:nsid w:val="5DF37B2E"/>
    <w:multiLevelType w:val="hybridMultilevel"/>
    <w:tmpl w:val="ED1834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6">
    <w:nsid w:val="5E2E4E95"/>
    <w:multiLevelType w:val="hybridMultilevel"/>
    <w:tmpl w:val="D8CA75B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nsid w:val="5E401664"/>
    <w:multiLevelType w:val="multilevel"/>
    <w:tmpl w:val="EE12AE72"/>
    <w:name w:val="LongTOC"/>
    <w:numStyleLink w:val="PwCAppendixList1"/>
  </w:abstractNum>
  <w:abstractNum w:abstractNumId="88">
    <w:nsid w:val="618B7011"/>
    <w:multiLevelType w:val="hybridMultilevel"/>
    <w:tmpl w:val="111E0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nsid w:val="620345B8"/>
    <w:multiLevelType w:val="hybridMultilevel"/>
    <w:tmpl w:val="E7740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nsid w:val="636D140D"/>
    <w:multiLevelType w:val="multilevel"/>
    <w:tmpl w:val="12686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nsid w:val="63917BB9"/>
    <w:multiLevelType w:val="multilevel"/>
    <w:tmpl w:val="C3DE98D4"/>
    <w:lvl w:ilvl="0">
      <w:start w:val="1"/>
      <w:numFmt w:val="none"/>
      <w:pStyle w:val="PwCNormal"/>
      <w:suff w:val="nothing"/>
      <w:lvlText w:val=""/>
      <w:lvlJc w:val="left"/>
      <w:pPr>
        <w:ind w:left="0" w:firstLine="0"/>
      </w:pPr>
      <w:rPr>
        <w:rFonts w:hint="default"/>
        <w:color w:val="auto"/>
      </w:rPr>
    </w:lvl>
    <w:lvl w:ilvl="1">
      <w:start w:val="1"/>
      <w:numFmt w:val="none"/>
      <w:pStyle w:val="Indent1"/>
      <w:suff w:val="nothing"/>
      <w:lvlText w:val=""/>
      <w:lvlJc w:val="left"/>
      <w:pPr>
        <w:ind w:left="284" w:firstLine="0"/>
      </w:pPr>
      <w:rPr>
        <w:rFonts w:hint="default"/>
      </w:rPr>
    </w:lvl>
    <w:lvl w:ilvl="2">
      <w:start w:val="1"/>
      <w:numFmt w:val="none"/>
      <w:pStyle w:val="Indent2"/>
      <w:suff w:val="nothing"/>
      <w:lvlText w:val=""/>
      <w:lvlJc w:val="left"/>
      <w:pPr>
        <w:ind w:left="568" w:firstLine="0"/>
      </w:pPr>
      <w:rPr>
        <w:rFonts w:hint="default"/>
      </w:rPr>
    </w:lvl>
    <w:lvl w:ilvl="3">
      <w:start w:val="1"/>
      <w:numFmt w:val="none"/>
      <w:pStyle w:val="Indent3"/>
      <w:suff w:val="nothing"/>
      <w:lvlText w:val=""/>
      <w:lvlJc w:val="left"/>
      <w:pPr>
        <w:ind w:left="852" w:firstLine="0"/>
      </w:pPr>
      <w:rPr>
        <w:rFonts w:hint="default"/>
      </w:rPr>
    </w:lvl>
    <w:lvl w:ilvl="4">
      <w:start w:val="1"/>
      <w:numFmt w:val="none"/>
      <w:pStyle w:val="Indent4"/>
      <w:suff w:val="nothing"/>
      <w:lvlText w:val=""/>
      <w:lvlJc w:val="left"/>
      <w:pPr>
        <w:ind w:left="1136" w:firstLine="0"/>
      </w:pPr>
      <w:rPr>
        <w:rFonts w:hint="default"/>
      </w:rPr>
    </w:lvl>
    <w:lvl w:ilvl="5">
      <w:start w:val="1"/>
      <w:numFmt w:val="none"/>
      <w:pStyle w:val="Indent5"/>
      <w:suff w:val="nothing"/>
      <w:lvlText w:val=""/>
      <w:lvlJc w:val="left"/>
      <w:pPr>
        <w:ind w:left="1420" w:firstLine="0"/>
      </w:pPr>
      <w:rPr>
        <w:rFonts w:hint="default"/>
      </w:rPr>
    </w:lvl>
    <w:lvl w:ilvl="6">
      <w:start w:val="1"/>
      <w:numFmt w:val="none"/>
      <w:pStyle w:val="Indent6"/>
      <w:suff w:val="nothing"/>
      <w:lvlText w:val=""/>
      <w:lvlJc w:val="left"/>
      <w:pPr>
        <w:ind w:left="1704" w:firstLine="0"/>
      </w:pPr>
      <w:rPr>
        <w:rFonts w:hint="default"/>
      </w:rPr>
    </w:lvl>
    <w:lvl w:ilvl="7">
      <w:start w:val="1"/>
      <w:numFmt w:val="none"/>
      <w:pStyle w:val="Indent7"/>
      <w:suff w:val="nothing"/>
      <w:lvlText w:val=""/>
      <w:lvlJc w:val="left"/>
      <w:pPr>
        <w:ind w:left="1988" w:firstLine="0"/>
      </w:pPr>
      <w:rPr>
        <w:rFonts w:hint="default"/>
      </w:rPr>
    </w:lvl>
    <w:lvl w:ilvl="8">
      <w:start w:val="1"/>
      <w:numFmt w:val="none"/>
      <w:pStyle w:val="Indent8"/>
      <w:suff w:val="nothing"/>
      <w:lvlText w:val=""/>
      <w:lvlJc w:val="left"/>
      <w:pPr>
        <w:ind w:left="2272" w:firstLine="0"/>
      </w:pPr>
      <w:rPr>
        <w:rFonts w:hint="default"/>
      </w:rPr>
    </w:lvl>
  </w:abstractNum>
  <w:abstractNum w:abstractNumId="92">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93">
    <w:nsid w:val="6477642B"/>
    <w:multiLevelType w:val="hybridMultilevel"/>
    <w:tmpl w:val="FED83E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4">
    <w:nsid w:val="666878DC"/>
    <w:multiLevelType w:val="hybridMultilevel"/>
    <w:tmpl w:val="A1781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nsid w:val="67783C86"/>
    <w:multiLevelType w:val="hybridMultilevel"/>
    <w:tmpl w:val="2B862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nsid w:val="68136603"/>
    <w:multiLevelType w:val="hybridMultilevel"/>
    <w:tmpl w:val="BF1E8DFC"/>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97">
    <w:nsid w:val="6887519B"/>
    <w:multiLevelType w:val="hybridMultilevel"/>
    <w:tmpl w:val="F4A27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nsid w:val="6B6D7548"/>
    <w:multiLevelType w:val="hybridMultilevel"/>
    <w:tmpl w:val="146E099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9">
    <w:nsid w:val="6C8A32D2"/>
    <w:multiLevelType w:val="multilevel"/>
    <w:tmpl w:val="25800BE4"/>
    <w:styleLink w:val="TableBulletNormalList"/>
    <w:lvl w:ilvl="0">
      <w:start w:val="1"/>
      <w:numFmt w:val="bullet"/>
      <w:lvlRestart w:val="0"/>
      <w:lvlText w:val=""/>
      <w:lvlJc w:val="left"/>
      <w:pPr>
        <w:tabs>
          <w:tab w:val="num" w:pos="283"/>
        </w:tabs>
        <w:ind w:left="283" w:hanging="283"/>
      </w:pPr>
      <w:rPr>
        <w:rFonts w:ascii="Symbol" w:hAnsi="Symbol" w:hint="default"/>
        <w:b w:val="0"/>
        <w:i w:val="0"/>
        <w:color w:val="auto"/>
      </w:rPr>
    </w:lvl>
    <w:lvl w:ilvl="1">
      <w:start w:val="1"/>
      <w:numFmt w:val="bullet"/>
      <w:lvlRestart w:val="0"/>
      <w:lvlText w:val="–"/>
      <w:lvlJc w:val="left"/>
      <w:pPr>
        <w:tabs>
          <w:tab w:val="num" w:pos="567"/>
        </w:tabs>
        <w:ind w:left="567" w:hanging="283"/>
      </w:pPr>
      <w:rPr>
        <w:rFonts w:ascii="Arial" w:hAnsi="Arial" w:hint="default"/>
        <w:b w:val="0"/>
        <w:i w:val="0"/>
        <w:color w:val="auto"/>
        <w:szCs w:val="10"/>
      </w:rPr>
    </w:lvl>
    <w:lvl w:ilvl="2">
      <w:start w:val="1"/>
      <w:numFmt w:val="bullet"/>
      <w:lvlRestart w:val="0"/>
      <w:lvlText w:val="o"/>
      <w:lvlJc w:val="left"/>
      <w:pPr>
        <w:tabs>
          <w:tab w:val="num" w:pos="851"/>
        </w:tabs>
        <w:ind w:left="851" w:hanging="284"/>
      </w:pPr>
      <w:rPr>
        <w:rFonts w:ascii="Arial" w:hAnsi="Arial" w:hint="default"/>
        <w:b w:val="0"/>
        <w:i w:val="0"/>
        <w:color w:val="auto"/>
        <w:sz w:val="10"/>
        <w:szCs w:val="10"/>
      </w:rPr>
    </w:lvl>
    <w:lvl w:ilvl="3">
      <w:start w:val="1"/>
      <w:numFmt w:val="none"/>
      <w:lvlRestart w:val="0"/>
      <w:lvlText w:val=""/>
      <w:lvlJc w:val="left"/>
      <w:pPr>
        <w:tabs>
          <w:tab w:val="num" w:pos="0"/>
        </w:tabs>
        <w:ind w:left="0" w:firstLine="0"/>
      </w:pPr>
      <w:rPr>
        <w:rFonts w:hint="default"/>
        <w:color w:val="auto"/>
        <w:sz w:val="10"/>
        <w:szCs w:val="10"/>
      </w:rPr>
    </w:lvl>
    <w:lvl w:ilvl="4">
      <w:start w:val="1"/>
      <w:numFmt w:val="none"/>
      <w:lvlText w:val="%5"/>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0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1">
    <w:nsid w:val="6E905A75"/>
    <w:multiLevelType w:val="hybridMultilevel"/>
    <w:tmpl w:val="E8E63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64266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103">
    <w:nsid w:val="7042634D"/>
    <w:multiLevelType w:val="hybridMultilevel"/>
    <w:tmpl w:val="8D92B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nsid w:val="707518CF"/>
    <w:multiLevelType w:val="multilevel"/>
    <w:tmpl w:val="8CEA6DAA"/>
    <w:name w:val="Bullets2"/>
    <w:numStyleLink w:val="Bullets"/>
  </w:abstractNum>
  <w:abstractNum w:abstractNumId="105">
    <w:nsid w:val="723E026F"/>
    <w:multiLevelType w:val="hybridMultilevel"/>
    <w:tmpl w:val="0FBC24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6">
    <w:nsid w:val="732A5E2A"/>
    <w:multiLevelType w:val="hybridMultilevel"/>
    <w:tmpl w:val="7EC0E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nsid w:val="737D57E7"/>
    <w:multiLevelType w:val="hybridMultilevel"/>
    <w:tmpl w:val="1E980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nsid w:val="73E03319"/>
    <w:multiLevelType w:val="hybridMultilevel"/>
    <w:tmpl w:val="E5B63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nsid w:val="751B5BC4"/>
    <w:multiLevelType w:val="hybridMultilevel"/>
    <w:tmpl w:val="6B02B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nsid w:val="7631767A"/>
    <w:multiLevelType w:val="hybridMultilevel"/>
    <w:tmpl w:val="D1E00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nsid w:val="766601D4"/>
    <w:multiLevelType w:val="hybridMultilevel"/>
    <w:tmpl w:val="A9943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nsid w:val="78104699"/>
    <w:multiLevelType w:val="hybridMultilevel"/>
    <w:tmpl w:val="84DA020A"/>
    <w:lvl w:ilvl="0" w:tplc="0C090005">
      <w:start w:val="1"/>
      <w:numFmt w:val="bullet"/>
      <w:lvlText w:val=""/>
      <w:lvlJc w:val="left"/>
      <w:pPr>
        <w:ind w:left="780" w:hanging="360"/>
      </w:pPr>
      <w:rPr>
        <w:rFonts w:ascii="Wingdings" w:hAnsi="Wingding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3">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14">
    <w:nsid w:val="799F1C78"/>
    <w:multiLevelType w:val="hybridMultilevel"/>
    <w:tmpl w:val="DBBEA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nsid w:val="7A9E5E57"/>
    <w:multiLevelType w:val="hybridMultilevel"/>
    <w:tmpl w:val="CF3004F8"/>
    <w:lvl w:ilvl="0" w:tplc="99001D6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6">
    <w:nsid w:val="7DD76C00"/>
    <w:multiLevelType w:val="hybridMultilevel"/>
    <w:tmpl w:val="1EF4F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nsid w:val="7E3E7521"/>
    <w:multiLevelType w:val="hybridMultilevel"/>
    <w:tmpl w:val="950C8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nsid w:val="7E611F77"/>
    <w:multiLevelType w:val="hybridMultilevel"/>
    <w:tmpl w:val="95B82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nsid w:val="7EA8460C"/>
    <w:multiLevelType w:val="multilevel"/>
    <w:tmpl w:val="6728E3A2"/>
    <w:styleLink w:val="IndentList"/>
    <w:lvl w:ilvl="0">
      <w:start w:val="1"/>
      <w:numFmt w:val="none"/>
      <w:suff w:val="nothing"/>
      <w:lvlText w:val=""/>
      <w:lvlJc w:val="left"/>
      <w:pPr>
        <w:ind w:left="0" w:firstLine="0"/>
      </w:pPr>
      <w:rPr>
        <w:rFonts w:hint="default"/>
        <w:color w:val="auto"/>
      </w:rPr>
    </w:lvl>
    <w:lvl w:ilvl="1">
      <w:start w:val="1"/>
      <w:numFmt w:val="none"/>
      <w:lvlRestart w:val="0"/>
      <w:suff w:val="nothing"/>
      <w:lvlText w:val=""/>
      <w:lvlJc w:val="left"/>
      <w:pPr>
        <w:ind w:left="567" w:firstLine="0"/>
      </w:pPr>
      <w:rPr>
        <w:rFonts w:hint="default"/>
      </w:rPr>
    </w:lvl>
    <w:lvl w:ilvl="2">
      <w:start w:val="1"/>
      <w:numFmt w:val="none"/>
      <w:lvlRestart w:val="0"/>
      <w:suff w:val="nothing"/>
      <w:lvlText w:val=""/>
      <w:lvlJc w:val="left"/>
      <w:pPr>
        <w:ind w:left="1134" w:firstLine="0"/>
      </w:pPr>
      <w:rPr>
        <w:rFonts w:hint="default"/>
      </w:rPr>
    </w:lvl>
    <w:lvl w:ilvl="3">
      <w:start w:val="1"/>
      <w:numFmt w:val="none"/>
      <w:lvlRestart w:val="0"/>
      <w:suff w:val="nothing"/>
      <w:lvlText w:val=""/>
      <w:lvlJc w:val="left"/>
      <w:pPr>
        <w:ind w:left="1701" w:firstLine="0"/>
      </w:pPr>
      <w:rPr>
        <w:rFonts w:hint="default"/>
      </w:rPr>
    </w:lvl>
    <w:lvl w:ilvl="4">
      <w:start w:val="1"/>
      <w:numFmt w:val="none"/>
      <w:lvlRestart w:val="0"/>
      <w:suff w:val="nothing"/>
      <w:lvlText w:val=""/>
      <w:lvlJc w:val="left"/>
      <w:pPr>
        <w:ind w:left="2268" w:firstLine="0"/>
      </w:pPr>
      <w:rPr>
        <w:rFonts w:hint="default"/>
      </w:rPr>
    </w:lvl>
    <w:lvl w:ilvl="5">
      <w:start w:val="1"/>
      <w:numFmt w:val="none"/>
      <w:lvlRestart w:val="0"/>
      <w:suff w:val="nothing"/>
      <w:lvlText w:val=""/>
      <w:lvlJc w:val="left"/>
      <w:pPr>
        <w:ind w:left="2835" w:firstLine="0"/>
      </w:pPr>
      <w:rPr>
        <w:rFonts w:hint="default"/>
      </w:rPr>
    </w:lvl>
    <w:lvl w:ilvl="6">
      <w:start w:val="1"/>
      <w:numFmt w:val="none"/>
      <w:lvlRestart w:val="0"/>
      <w:suff w:val="nothing"/>
      <w:lvlText w:val=""/>
      <w:lvlJc w:val="left"/>
      <w:pPr>
        <w:ind w:left="3402" w:firstLine="0"/>
      </w:pPr>
      <w:rPr>
        <w:rFonts w:hint="default"/>
      </w:rPr>
    </w:lvl>
    <w:lvl w:ilvl="7">
      <w:start w:val="1"/>
      <w:numFmt w:val="none"/>
      <w:lvlRestart w:val="0"/>
      <w:suff w:val="nothing"/>
      <w:lvlText w:val=""/>
      <w:lvlJc w:val="left"/>
      <w:pPr>
        <w:ind w:left="3969" w:firstLine="0"/>
      </w:pPr>
      <w:rPr>
        <w:rFonts w:hint="default"/>
      </w:rPr>
    </w:lvl>
    <w:lvl w:ilvl="8">
      <w:start w:val="1"/>
      <w:numFmt w:val="none"/>
      <w:lvlRestart w:val="0"/>
      <w:suff w:val="nothing"/>
      <w:lvlText w:val=""/>
      <w:lvlJc w:val="left"/>
      <w:pPr>
        <w:ind w:left="4536" w:firstLine="0"/>
      </w:pPr>
      <w:rPr>
        <w:rFonts w:hint="default"/>
      </w:rPr>
    </w:lvl>
  </w:abstractNum>
  <w:abstractNum w:abstractNumId="120">
    <w:nsid w:val="7FB21C60"/>
    <w:multiLevelType w:val="hybridMultilevel"/>
    <w:tmpl w:val="98487B00"/>
    <w:lvl w:ilvl="0" w:tplc="0C090001">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num w:numId="1">
    <w:abstractNumId w:val="53"/>
  </w:num>
  <w:num w:numId="2">
    <w:abstractNumId w:val="100"/>
  </w:num>
  <w:num w:numId="3">
    <w:abstractNumId w:val="84"/>
  </w:num>
  <w:num w:numId="4">
    <w:abstractNumId w:val="113"/>
  </w:num>
  <w:num w:numId="5">
    <w:abstractNumId w:val="42"/>
  </w:num>
  <w:num w:numId="6">
    <w:abstractNumId w:val="17"/>
  </w:num>
  <w:num w:numId="7">
    <w:abstractNumId w:val="14"/>
  </w:num>
  <w:num w:numId="8">
    <w:abstractNumId w:val="7"/>
  </w:num>
  <w:num w:numId="9">
    <w:abstractNumId w:val="102"/>
  </w:num>
  <w:num w:numId="10">
    <w:abstractNumId w:val="29"/>
  </w:num>
  <w:num w:numId="11">
    <w:abstractNumId w:val="48"/>
  </w:num>
  <w:num w:numId="12">
    <w:abstractNumId w:val="33"/>
  </w:num>
  <w:num w:numId="13">
    <w:abstractNumId w:val="60"/>
  </w:num>
  <w:num w:numId="14">
    <w:abstractNumId w:val="68"/>
  </w:num>
  <w:num w:numId="15">
    <w:abstractNumId w:val="8"/>
  </w:num>
  <w:num w:numId="16">
    <w:abstractNumId w:val="19"/>
  </w:num>
  <w:num w:numId="17">
    <w:abstractNumId w:val="63"/>
  </w:num>
  <w:num w:numId="18">
    <w:abstractNumId w:val="99"/>
  </w:num>
  <w:num w:numId="19">
    <w:abstractNumId w:val="69"/>
  </w:num>
  <w:num w:numId="20">
    <w:abstractNumId w:val="41"/>
  </w:num>
  <w:num w:numId="21">
    <w:abstractNumId w:val="44"/>
  </w:num>
  <w:num w:numId="22">
    <w:abstractNumId w:val="10"/>
  </w:num>
  <w:num w:numId="23">
    <w:abstractNumId w:val="57"/>
  </w:num>
  <w:num w:numId="24">
    <w:abstractNumId w:val="87"/>
    <w:lvlOverride w:ilvl="0">
      <w:lvl w:ilvl="0">
        <w:start w:val="1"/>
        <w:numFmt w:val="upperLetter"/>
        <w:pStyle w:val="Appendix"/>
        <w:lvlText w:val="Appendix %1 "/>
        <w:lvlJc w:val="left"/>
        <w:pPr>
          <w:ind w:left="360" w:hanging="360"/>
        </w:pPr>
        <w:rPr>
          <w:rFonts w:hint="default"/>
        </w:rPr>
      </w:lvl>
    </w:lvlOverride>
  </w:num>
  <w:num w:numId="25">
    <w:abstractNumId w:val="11"/>
  </w:num>
  <w:num w:numId="26">
    <w:abstractNumId w:val="32"/>
  </w:num>
  <w:num w:numId="27">
    <w:abstractNumId w:val="39"/>
  </w:num>
  <w:num w:numId="28">
    <w:abstractNumId w:val="23"/>
  </w:num>
  <w:num w:numId="29">
    <w:abstractNumId w:val="36"/>
  </w:num>
  <w:num w:numId="30">
    <w:abstractNumId w:val="26"/>
  </w:num>
  <w:num w:numId="31">
    <w:abstractNumId w:val="27"/>
  </w:num>
  <w:num w:numId="32">
    <w:abstractNumId w:val="43"/>
  </w:num>
  <w:num w:numId="33">
    <w:abstractNumId w:val="9"/>
  </w:num>
  <w:num w:numId="34">
    <w:abstractNumId w:val="74"/>
  </w:num>
  <w:num w:numId="35">
    <w:abstractNumId w:val="55"/>
  </w:num>
  <w:num w:numId="36">
    <w:abstractNumId w:val="104"/>
  </w:num>
  <w:num w:numId="37">
    <w:abstractNumId w:val="91"/>
  </w:num>
  <w:num w:numId="38">
    <w:abstractNumId w:val="119"/>
  </w:num>
  <w:num w:numId="39">
    <w:abstractNumId w:val="65"/>
  </w:num>
  <w:num w:numId="40">
    <w:abstractNumId w:val="81"/>
  </w:num>
  <w:num w:numId="41">
    <w:abstractNumId w:val="45"/>
  </w:num>
  <w:num w:numId="42">
    <w:abstractNumId w:val="34"/>
  </w:num>
  <w:num w:numId="43">
    <w:abstractNumId w:val="54"/>
  </w:num>
  <w:num w:numId="44">
    <w:abstractNumId w:val="94"/>
  </w:num>
  <w:num w:numId="45">
    <w:abstractNumId w:val="80"/>
  </w:num>
  <w:num w:numId="46">
    <w:abstractNumId w:val="22"/>
  </w:num>
  <w:num w:numId="47">
    <w:abstractNumId w:val="40"/>
  </w:num>
  <w:num w:numId="48">
    <w:abstractNumId w:val="112"/>
  </w:num>
  <w:num w:numId="49">
    <w:abstractNumId w:val="56"/>
  </w:num>
  <w:num w:numId="5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3"/>
  </w:num>
  <w:num w:numId="52">
    <w:abstractNumId w:val="85"/>
  </w:num>
  <w:num w:numId="53">
    <w:abstractNumId w:val="16"/>
  </w:num>
  <w:num w:numId="54">
    <w:abstractNumId w:val="24"/>
  </w:num>
  <w:num w:numId="55">
    <w:abstractNumId w:val="15"/>
  </w:num>
  <w:num w:numId="56">
    <w:abstractNumId w:val="28"/>
  </w:num>
  <w:num w:numId="57">
    <w:abstractNumId w:val="77"/>
  </w:num>
  <w:num w:numId="58">
    <w:abstractNumId w:val="88"/>
  </w:num>
  <w:num w:numId="59">
    <w:abstractNumId w:val="31"/>
  </w:num>
  <w:num w:numId="60">
    <w:abstractNumId w:val="78"/>
  </w:num>
  <w:num w:numId="61">
    <w:abstractNumId w:val="6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2">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0"/>
  </w:num>
  <w:num w:numId="64">
    <w:abstractNumId w:val="58"/>
  </w:num>
  <w:num w:numId="65">
    <w:abstractNumId w:val="52"/>
  </w:num>
  <w:num w:numId="66">
    <w:abstractNumId w:val="70"/>
  </w:num>
  <w:num w:numId="67">
    <w:abstractNumId w:val="105"/>
  </w:num>
  <w:num w:numId="68">
    <w:abstractNumId w:val="114"/>
  </w:num>
  <w:num w:numId="69">
    <w:abstractNumId w:val="97"/>
  </w:num>
  <w:num w:numId="70">
    <w:abstractNumId w:val="13"/>
  </w:num>
  <w:num w:numId="71">
    <w:abstractNumId w:val="110"/>
  </w:num>
  <w:num w:numId="72">
    <w:abstractNumId w:val="111"/>
  </w:num>
  <w:num w:numId="73">
    <w:abstractNumId w:val="86"/>
  </w:num>
  <w:num w:numId="74">
    <w:abstractNumId w:val="2"/>
  </w:num>
  <w:num w:numId="75">
    <w:abstractNumId w:val="5"/>
  </w:num>
  <w:num w:numId="76">
    <w:abstractNumId w:val="108"/>
  </w:num>
  <w:num w:numId="77">
    <w:abstractNumId w:val="103"/>
  </w:num>
  <w:num w:numId="78">
    <w:abstractNumId w:val="117"/>
  </w:num>
  <w:num w:numId="79">
    <w:abstractNumId w:val="95"/>
  </w:num>
  <w:num w:numId="80">
    <w:abstractNumId w:val="82"/>
  </w:num>
  <w:num w:numId="81">
    <w:abstractNumId w:val="107"/>
  </w:num>
  <w:num w:numId="82">
    <w:abstractNumId w:val="118"/>
  </w:num>
  <w:num w:numId="83">
    <w:abstractNumId w:val="101"/>
  </w:num>
  <w:num w:numId="84">
    <w:abstractNumId w:val="46"/>
  </w:num>
  <w:num w:numId="85">
    <w:abstractNumId w:val="7"/>
  </w:num>
  <w:num w:numId="86">
    <w:abstractNumId w:val="115"/>
  </w:num>
  <w:num w:numId="87">
    <w:abstractNumId w:val="91"/>
  </w:num>
  <w:num w:numId="88">
    <w:abstractNumId w:val="0"/>
  </w:num>
  <w:num w:numId="89">
    <w:abstractNumId w:val="7"/>
  </w:num>
  <w:num w:numId="90">
    <w:abstractNumId w:val="7"/>
  </w:num>
  <w:num w:numId="91">
    <w:abstractNumId w:val="91"/>
  </w:num>
  <w:num w:numId="92">
    <w:abstractNumId w:val="91"/>
  </w:num>
  <w:num w:numId="93">
    <w:abstractNumId w:val="116"/>
  </w:num>
  <w:num w:numId="94">
    <w:abstractNumId w:val="90"/>
  </w:num>
  <w:num w:numId="95">
    <w:abstractNumId w:val="38"/>
  </w:num>
  <w:num w:numId="96">
    <w:abstractNumId w:val="71"/>
  </w:num>
  <w:num w:numId="97">
    <w:abstractNumId w:val="12"/>
  </w:num>
  <w:num w:numId="98">
    <w:abstractNumId w:val="98"/>
  </w:num>
  <w:num w:numId="99">
    <w:abstractNumId w:val="20"/>
  </w:num>
  <w:num w:numId="100">
    <w:abstractNumId w:val="51"/>
  </w:num>
  <w:num w:numId="101">
    <w:abstractNumId w:val="91"/>
  </w:num>
  <w:num w:numId="102">
    <w:abstractNumId w:val="64"/>
  </w:num>
  <w:num w:numId="103">
    <w:abstractNumId w:val="7"/>
  </w:num>
  <w:num w:numId="104">
    <w:abstractNumId w:val="83"/>
  </w:num>
  <w:num w:numId="105">
    <w:abstractNumId w:val="59"/>
  </w:num>
  <w:num w:numId="106">
    <w:abstractNumId w:val="91"/>
  </w:num>
  <w:num w:numId="107">
    <w:abstractNumId w:val="79"/>
  </w:num>
  <w:num w:numId="108">
    <w:abstractNumId w:val="66"/>
  </w:num>
  <w:num w:numId="109">
    <w:abstractNumId w:val="89"/>
  </w:num>
  <w:num w:numId="110">
    <w:abstractNumId w:val="91"/>
  </w:num>
  <w:num w:numId="111">
    <w:abstractNumId w:val="35"/>
  </w:num>
  <w:num w:numId="112">
    <w:abstractNumId w:val="67"/>
  </w:num>
  <w:num w:numId="113">
    <w:abstractNumId w:val="106"/>
  </w:num>
  <w:num w:numId="114">
    <w:abstractNumId w:val="91"/>
  </w:num>
  <w:num w:numId="115">
    <w:abstractNumId w:val="109"/>
  </w:num>
  <w:num w:numId="116">
    <w:abstractNumId w:val="4"/>
  </w:num>
  <w:num w:numId="117">
    <w:abstractNumId w:val="7"/>
  </w:num>
  <w:num w:numId="118">
    <w:abstractNumId w:val="75"/>
  </w:num>
  <w:num w:numId="119">
    <w:abstractNumId w:val="76"/>
  </w:num>
  <w:num w:numId="120">
    <w:abstractNumId w:val="91"/>
  </w:num>
  <w:num w:numId="121">
    <w:abstractNumId w:val="61"/>
  </w:num>
  <w:num w:numId="122">
    <w:abstractNumId w:val="18"/>
  </w:num>
  <w:num w:numId="123">
    <w:abstractNumId w:val="6"/>
  </w:num>
  <w:num w:numId="124">
    <w:abstractNumId w:val="91"/>
  </w:num>
  <w:num w:numId="125">
    <w:abstractNumId w:val="91"/>
  </w:num>
  <w:num w:numId="126">
    <w:abstractNumId w:val="91"/>
  </w:num>
  <w:num w:numId="127">
    <w:abstractNumId w:val="91"/>
  </w:num>
  <w:num w:numId="128">
    <w:abstractNumId w:val="91"/>
  </w:num>
  <w:num w:numId="129">
    <w:abstractNumId w:val="91"/>
  </w:num>
  <w:num w:numId="130">
    <w:abstractNumId w:val="91"/>
  </w:num>
  <w:num w:numId="131">
    <w:abstractNumId w:val="21"/>
  </w:num>
  <w:num w:numId="132">
    <w:abstractNumId w:val="91"/>
  </w:num>
  <w:num w:numId="133">
    <w:abstractNumId w:val="14"/>
  </w:num>
  <w:num w:numId="134">
    <w:abstractNumId w:val="91"/>
  </w:num>
  <w:num w:numId="135">
    <w:abstractNumId w:val="47"/>
  </w:num>
  <w:num w:numId="136">
    <w:abstractNumId w:val="49"/>
  </w:num>
  <w:num w:numId="137">
    <w:abstractNumId w:val="120"/>
  </w:num>
  <w:num w:numId="138">
    <w:abstractNumId w:val="1"/>
  </w:num>
  <w:num w:numId="139">
    <w:abstractNumId w:val="91"/>
  </w:num>
  <w:num w:numId="140">
    <w:abstractNumId w:val="3"/>
  </w:num>
  <w:num w:numId="141">
    <w:abstractNumId w:val="62"/>
  </w:num>
  <w:num w:numId="142">
    <w:abstractNumId w:val="25"/>
  </w:num>
  <w:num w:numId="143">
    <w:abstractNumId w:val="37"/>
  </w:num>
  <w:num w:numId="144">
    <w:abstractNumId w:val="96"/>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proofState w:spelling="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82" style="mso-position-horizontal-relative:page;mso-position-vertical-relative:page" stroke="f">
      <v:stroke on="f"/>
      <o:colormru v:ext="edit" colors="white"/>
    </o:shapedefaults>
    <o:shapelayout v:ext="edit">
      <o:idmap v:ext="edit" data="2"/>
    </o:shapelayout>
  </w:hdrShapeDefaults>
  <w:footnotePr>
    <w:footnote w:id="-1"/>
    <w:footnote w:id="0"/>
    <w:footnote w:id="1"/>
  </w:footnotePr>
  <w:endnotePr>
    <w:endnote w:id="-1"/>
    <w:endnote w:id="0"/>
    <w:endnote w:id="1"/>
  </w:endnotePr>
  <w:compat>
    <w:doNotExpandShiftReturn/>
    <w:compatSetting w:name="compatibilityMode" w:uri="http://schemas.microsoft.com/office/word" w:val="12"/>
  </w:compat>
  <w:docVars>
    <w:docVar w:name="A4Landscape" w:val="False"/>
    <w:docVar w:name="A4Portrait" w:val="True"/>
    <w:docVar w:name="AppendixName" w:val="Appendix"/>
    <w:docVar w:name="CoBrandNumber" w:val="0"/>
    <w:docVar w:name="CoverCoBranded" w:val="False"/>
    <w:docVar w:name="CoverLayout" w:val="Single"/>
    <w:docVar w:name="CoverProjectBar" w:val="False"/>
    <w:docVar w:name="CoverWebAddress" w:val="False"/>
    <w:docVar w:name="dgnword-docGUID" w:val="{E551462B-5C21-4AE3-8C46-DFD5869487F4}"/>
    <w:docVar w:name="dgnword-eventsink" w:val="284759320"/>
    <w:docVar w:name="FooterTextAuto" w:val="True"/>
    <w:docVar w:name="Heading1Numbered" w:val="False"/>
    <w:docVar w:name="Heading2Numbered" w:val="False"/>
    <w:docVar w:name="Heading3Numbered" w:val="False"/>
    <w:docVar w:name="PageSetup" w:val="Double"/>
    <w:docVar w:name="Theme Color" w:val="Planning"/>
    <w:docVar w:name="TOC" w:val="True"/>
    <w:docVar w:name="TOCNew" w:val="True"/>
    <w:docVar w:name="Version" w:val="1"/>
  </w:docVars>
  <w:rsids>
    <w:rsidRoot w:val="004F7D03"/>
    <w:rsid w:val="0000017F"/>
    <w:rsid w:val="00000279"/>
    <w:rsid w:val="000004BD"/>
    <w:rsid w:val="00000B7A"/>
    <w:rsid w:val="00000C89"/>
    <w:rsid w:val="00000FEB"/>
    <w:rsid w:val="000012BE"/>
    <w:rsid w:val="00001F76"/>
    <w:rsid w:val="000024EB"/>
    <w:rsid w:val="0000279C"/>
    <w:rsid w:val="000028B4"/>
    <w:rsid w:val="000029E8"/>
    <w:rsid w:val="00002D9B"/>
    <w:rsid w:val="00002DE1"/>
    <w:rsid w:val="00003960"/>
    <w:rsid w:val="00004237"/>
    <w:rsid w:val="0000456E"/>
    <w:rsid w:val="00004641"/>
    <w:rsid w:val="0000491E"/>
    <w:rsid w:val="00004CA4"/>
    <w:rsid w:val="00005261"/>
    <w:rsid w:val="00005647"/>
    <w:rsid w:val="00005686"/>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3FF"/>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669"/>
    <w:rsid w:val="00017D91"/>
    <w:rsid w:val="00017FA8"/>
    <w:rsid w:val="00020DB2"/>
    <w:rsid w:val="00021A33"/>
    <w:rsid w:val="00021CF5"/>
    <w:rsid w:val="0002261E"/>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41C"/>
    <w:rsid w:val="00025A62"/>
    <w:rsid w:val="00025ADB"/>
    <w:rsid w:val="00025F6C"/>
    <w:rsid w:val="00026290"/>
    <w:rsid w:val="000263AA"/>
    <w:rsid w:val="00026700"/>
    <w:rsid w:val="00026706"/>
    <w:rsid w:val="0002674C"/>
    <w:rsid w:val="00026AC5"/>
    <w:rsid w:val="00027095"/>
    <w:rsid w:val="0002719A"/>
    <w:rsid w:val="000273F9"/>
    <w:rsid w:val="0002752C"/>
    <w:rsid w:val="00027779"/>
    <w:rsid w:val="00027D1E"/>
    <w:rsid w:val="00027E13"/>
    <w:rsid w:val="00027EED"/>
    <w:rsid w:val="00027F13"/>
    <w:rsid w:val="000303AC"/>
    <w:rsid w:val="00030692"/>
    <w:rsid w:val="00030AFE"/>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171"/>
    <w:rsid w:val="0003451C"/>
    <w:rsid w:val="00034E46"/>
    <w:rsid w:val="00035139"/>
    <w:rsid w:val="00035163"/>
    <w:rsid w:val="000351EF"/>
    <w:rsid w:val="000357AD"/>
    <w:rsid w:val="00035B4E"/>
    <w:rsid w:val="00035F72"/>
    <w:rsid w:val="000362D6"/>
    <w:rsid w:val="00036908"/>
    <w:rsid w:val="00036A70"/>
    <w:rsid w:val="00036FBD"/>
    <w:rsid w:val="00037072"/>
    <w:rsid w:val="00037CE2"/>
    <w:rsid w:val="00037F49"/>
    <w:rsid w:val="00037F81"/>
    <w:rsid w:val="000408C9"/>
    <w:rsid w:val="00040BDB"/>
    <w:rsid w:val="00041586"/>
    <w:rsid w:val="000415EA"/>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DC"/>
    <w:rsid w:val="000455E1"/>
    <w:rsid w:val="00045AA1"/>
    <w:rsid w:val="0004622F"/>
    <w:rsid w:val="00046864"/>
    <w:rsid w:val="000469E0"/>
    <w:rsid w:val="00046EE3"/>
    <w:rsid w:val="000473A1"/>
    <w:rsid w:val="0004761D"/>
    <w:rsid w:val="00047C72"/>
    <w:rsid w:val="00047CE9"/>
    <w:rsid w:val="000501F1"/>
    <w:rsid w:val="00050257"/>
    <w:rsid w:val="00050487"/>
    <w:rsid w:val="000504A5"/>
    <w:rsid w:val="000507C3"/>
    <w:rsid w:val="00051372"/>
    <w:rsid w:val="00052234"/>
    <w:rsid w:val="00052630"/>
    <w:rsid w:val="00052825"/>
    <w:rsid w:val="00052C61"/>
    <w:rsid w:val="00053244"/>
    <w:rsid w:val="00053C43"/>
    <w:rsid w:val="00054147"/>
    <w:rsid w:val="0005472E"/>
    <w:rsid w:val="000547C6"/>
    <w:rsid w:val="00054AD4"/>
    <w:rsid w:val="00055546"/>
    <w:rsid w:val="0005568C"/>
    <w:rsid w:val="000557B4"/>
    <w:rsid w:val="00055860"/>
    <w:rsid w:val="00055D0B"/>
    <w:rsid w:val="000560BA"/>
    <w:rsid w:val="000566F0"/>
    <w:rsid w:val="000570E5"/>
    <w:rsid w:val="00057EB2"/>
    <w:rsid w:val="0006013C"/>
    <w:rsid w:val="00060538"/>
    <w:rsid w:val="00060570"/>
    <w:rsid w:val="00060EE0"/>
    <w:rsid w:val="00060FD9"/>
    <w:rsid w:val="00061573"/>
    <w:rsid w:val="000617D7"/>
    <w:rsid w:val="000620DA"/>
    <w:rsid w:val="000626EE"/>
    <w:rsid w:val="00062985"/>
    <w:rsid w:val="00063D48"/>
    <w:rsid w:val="00063E71"/>
    <w:rsid w:val="000640A9"/>
    <w:rsid w:val="0006422E"/>
    <w:rsid w:val="00064489"/>
    <w:rsid w:val="00065584"/>
    <w:rsid w:val="000655FD"/>
    <w:rsid w:val="00065A52"/>
    <w:rsid w:val="00065EC1"/>
    <w:rsid w:val="000660C5"/>
    <w:rsid w:val="00066ABF"/>
    <w:rsid w:val="00066F02"/>
    <w:rsid w:val="00067098"/>
    <w:rsid w:val="0006742D"/>
    <w:rsid w:val="000676F8"/>
    <w:rsid w:val="00067769"/>
    <w:rsid w:val="000704F3"/>
    <w:rsid w:val="00070C97"/>
    <w:rsid w:val="0007112E"/>
    <w:rsid w:val="00071B67"/>
    <w:rsid w:val="00071CA4"/>
    <w:rsid w:val="00071DE2"/>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A1F"/>
    <w:rsid w:val="00074C2B"/>
    <w:rsid w:val="000752FC"/>
    <w:rsid w:val="000758E3"/>
    <w:rsid w:val="00076B41"/>
    <w:rsid w:val="000776E5"/>
    <w:rsid w:val="0008006E"/>
    <w:rsid w:val="000802A9"/>
    <w:rsid w:val="0008061A"/>
    <w:rsid w:val="00081146"/>
    <w:rsid w:val="0008129B"/>
    <w:rsid w:val="00081682"/>
    <w:rsid w:val="000816AD"/>
    <w:rsid w:val="0008221A"/>
    <w:rsid w:val="00082224"/>
    <w:rsid w:val="0008252E"/>
    <w:rsid w:val="00082889"/>
    <w:rsid w:val="00082914"/>
    <w:rsid w:val="0008309F"/>
    <w:rsid w:val="000838A2"/>
    <w:rsid w:val="00083917"/>
    <w:rsid w:val="00083CD6"/>
    <w:rsid w:val="00084187"/>
    <w:rsid w:val="00084CB1"/>
    <w:rsid w:val="00085689"/>
    <w:rsid w:val="0008568F"/>
    <w:rsid w:val="000856D9"/>
    <w:rsid w:val="00086FD5"/>
    <w:rsid w:val="0008745F"/>
    <w:rsid w:val="000908D6"/>
    <w:rsid w:val="0009125C"/>
    <w:rsid w:val="000913AD"/>
    <w:rsid w:val="00091468"/>
    <w:rsid w:val="00091F49"/>
    <w:rsid w:val="0009214D"/>
    <w:rsid w:val="00093051"/>
    <w:rsid w:val="000935F8"/>
    <w:rsid w:val="000938C5"/>
    <w:rsid w:val="00093F02"/>
    <w:rsid w:val="000948CF"/>
    <w:rsid w:val="00094A84"/>
    <w:rsid w:val="00094EA4"/>
    <w:rsid w:val="00094F27"/>
    <w:rsid w:val="0009521E"/>
    <w:rsid w:val="00095E8A"/>
    <w:rsid w:val="00096627"/>
    <w:rsid w:val="00096B2D"/>
    <w:rsid w:val="00096B35"/>
    <w:rsid w:val="00096FD0"/>
    <w:rsid w:val="00097170"/>
    <w:rsid w:val="00097538"/>
    <w:rsid w:val="00097763"/>
    <w:rsid w:val="000979B3"/>
    <w:rsid w:val="00097BCF"/>
    <w:rsid w:val="00097C1B"/>
    <w:rsid w:val="00097F35"/>
    <w:rsid w:val="000A0179"/>
    <w:rsid w:val="000A04B4"/>
    <w:rsid w:val="000A055B"/>
    <w:rsid w:val="000A059B"/>
    <w:rsid w:val="000A05D6"/>
    <w:rsid w:val="000A09AD"/>
    <w:rsid w:val="000A0D74"/>
    <w:rsid w:val="000A1512"/>
    <w:rsid w:val="000A15E4"/>
    <w:rsid w:val="000A16B0"/>
    <w:rsid w:val="000A18D5"/>
    <w:rsid w:val="000A1DED"/>
    <w:rsid w:val="000A2315"/>
    <w:rsid w:val="000A28BD"/>
    <w:rsid w:val="000A2A90"/>
    <w:rsid w:val="000A2C62"/>
    <w:rsid w:val="000A2E96"/>
    <w:rsid w:val="000A30F9"/>
    <w:rsid w:val="000A3721"/>
    <w:rsid w:val="000A3841"/>
    <w:rsid w:val="000A3B01"/>
    <w:rsid w:val="000A4744"/>
    <w:rsid w:val="000A51F3"/>
    <w:rsid w:val="000A5266"/>
    <w:rsid w:val="000A5E67"/>
    <w:rsid w:val="000A5EBD"/>
    <w:rsid w:val="000A6267"/>
    <w:rsid w:val="000A6592"/>
    <w:rsid w:val="000A6C89"/>
    <w:rsid w:val="000A719A"/>
    <w:rsid w:val="000A72DE"/>
    <w:rsid w:val="000A730E"/>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5EEC"/>
    <w:rsid w:val="000B669C"/>
    <w:rsid w:val="000B6BF6"/>
    <w:rsid w:val="000B7CAB"/>
    <w:rsid w:val="000B7CC2"/>
    <w:rsid w:val="000C005D"/>
    <w:rsid w:val="000C012A"/>
    <w:rsid w:val="000C015B"/>
    <w:rsid w:val="000C0411"/>
    <w:rsid w:val="000C0A3E"/>
    <w:rsid w:val="000C1784"/>
    <w:rsid w:val="000C27FF"/>
    <w:rsid w:val="000C2888"/>
    <w:rsid w:val="000C2B9A"/>
    <w:rsid w:val="000C2CCC"/>
    <w:rsid w:val="000C2CD8"/>
    <w:rsid w:val="000C33EB"/>
    <w:rsid w:val="000C3B79"/>
    <w:rsid w:val="000C3C38"/>
    <w:rsid w:val="000C41E0"/>
    <w:rsid w:val="000C41F9"/>
    <w:rsid w:val="000C4231"/>
    <w:rsid w:val="000C42A0"/>
    <w:rsid w:val="000C436A"/>
    <w:rsid w:val="000C4E6D"/>
    <w:rsid w:val="000C55BE"/>
    <w:rsid w:val="000C57F2"/>
    <w:rsid w:val="000C6231"/>
    <w:rsid w:val="000C707C"/>
    <w:rsid w:val="000C7611"/>
    <w:rsid w:val="000D050A"/>
    <w:rsid w:val="000D0526"/>
    <w:rsid w:val="000D06EA"/>
    <w:rsid w:val="000D0CA4"/>
    <w:rsid w:val="000D1A7B"/>
    <w:rsid w:val="000D1E7B"/>
    <w:rsid w:val="000D2526"/>
    <w:rsid w:val="000D2813"/>
    <w:rsid w:val="000D3282"/>
    <w:rsid w:val="000D357C"/>
    <w:rsid w:val="000D3AE8"/>
    <w:rsid w:val="000D3B59"/>
    <w:rsid w:val="000D3D33"/>
    <w:rsid w:val="000D3E39"/>
    <w:rsid w:val="000D3F6F"/>
    <w:rsid w:val="000D3F7B"/>
    <w:rsid w:val="000D42D6"/>
    <w:rsid w:val="000D464F"/>
    <w:rsid w:val="000D4EC1"/>
    <w:rsid w:val="000D5A3A"/>
    <w:rsid w:val="000D60C8"/>
    <w:rsid w:val="000D6DC7"/>
    <w:rsid w:val="000D703A"/>
    <w:rsid w:val="000D7202"/>
    <w:rsid w:val="000D7482"/>
    <w:rsid w:val="000D76D9"/>
    <w:rsid w:val="000D7891"/>
    <w:rsid w:val="000D7E1F"/>
    <w:rsid w:val="000E01C1"/>
    <w:rsid w:val="000E01D0"/>
    <w:rsid w:val="000E0F87"/>
    <w:rsid w:val="000E1779"/>
    <w:rsid w:val="000E1BEC"/>
    <w:rsid w:val="000E1F1D"/>
    <w:rsid w:val="000E21E5"/>
    <w:rsid w:val="000E2207"/>
    <w:rsid w:val="000E24E1"/>
    <w:rsid w:val="000E25A9"/>
    <w:rsid w:val="000E27B6"/>
    <w:rsid w:val="000E2CE7"/>
    <w:rsid w:val="000E33C8"/>
    <w:rsid w:val="000E35C7"/>
    <w:rsid w:val="000E3826"/>
    <w:rsid w:val="000E3AF5"/>
    <w:rsid w:val="000E3B96"/>
    <w:rsid w:val="000E4B54"/>
    <w:rsid w:val="000E53BD"/>
    <w:rsid w:val="000E55A2"/>
    <w:rsid w:val="000E5F4E"/>
    <w:rsid w:val="000E6684"/>
    <w:rsid w:val="000E6777"/>
    <w:rsid w:val="000E7410"/>
    <w:rsid w:val="000E7936"/>
    <w:rsid w:val="000E7F51"/>
    <w:rsid w:val="000F03BC"/>
    <w:rsid w:val="000F09FD"/>
    <w:rsid w:val="000F0A47"/>
    <w:rsid w:val="000F0B44"/>
    <w:rsid w:val="000F0D60"/>
    <w:rsid w:val="000F1317"/>
    <w:rsid w:val="000F147D"/>
    <w:rsid w:val="000F16AC"/>
    <w:rsid w:val="000F1A3A"/>
    <w:rsid w:val="000F1A53"/>
    <w:rsid w:val="000F1A5A"/>
    <w:rsid w:val="000F1D45"/>
    <w:rsid w:val="000F1FA4"/>
    <w:rsid w:val="000F2014"/>
    <w:rsid w:val="000F2194"/>
    <w:rsid w:val="000F24B2"/>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0D72"/>
    <w:rsid w:val="001011A3"/>
    <w:rsid w:val="00101435"/>
    <w:rsid w:val="00101451"/>
    <w:rsid w:val="0010306F"/>
    <w:rsid w:val="001031FC"/>
    <w:rsid w:val="0010384A"/>
    <w:rsid w:val="00103B03"/>
    <w:rsid w:val="00103D73"/>
    <w:rsid w:val="00103F0F"/>
    <w:rsid w:val="00104371"/>
    <w:rsid w:val="00104F66"/>
    <w:rsid w:val="001054A3"/>
    <w:rsid w:val="0010559C"/>
    <w:rsid w:val="00105C32"/>
    <w:rsid w:val="00105F1C"/>
    <w:rsid w:val="0010606F"/>
    <w:rsid w:val="0010632A"/>
    <w:rsid w:val="0010632E"/>
    <w:rsid w:val="00106343"/>
    <w:rsid w:val="00106A7E"/>
    <w:rsid w:val="00106A81"/>
    <w:rsid w:val="00106B89"/>
    <w:rsid w:val="00106CA2"/>
    <w:rsid w:val="00107811"/>
    <w:rsid w:val="001108B2"/>
    <w:rsid w:val="00110A24"/>
    <w:rsid w:val="00110A62"/>
    <w:rsid w:val="00110B1B"/>
    <w:rsid w:val="00110B5D"/>
    <w:rsid w:val="0011105B"/>
    <w:rsid w:val="0011110D"/>
    <w:rsid w:val="0011111B"/>
    <w:rsid w:val="00111483"/>
    <w:rsid w:val="00111886"/>
    <w:rsid w:val="00111CE1"/>
    <w:rsid w:val="00112614"/>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CC"/>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6CF"/>
    <w:rsid w:val="001269E0"/>
    <w:rsid w:val="00126E38"/>
    <w:rsid w:val="001270B7"/>
    <w:rsid w:val="00127385"/>
    <w:rsid w:val="00127410"/>
    <w:rsid w:val="0012741A"/>
    <w:rsid w:val="00127532"/>
    <w:rsid w:val="00127998"/>
    <w:rsid w:val="00127D30"/>
    <w:rsid w:val="00127F2F"/>
    <w:rsid w:val="001300CB"/>
    <w:rsid w:val="001308BE"/>
    <w:rsid w:val="00130E14"/>
    <w:rsid w:val="00131311"/>
    <w:rsid w:val="001314EF"/>
    <w:rsid w:val="001315CE"/>
    <w:rsid w:val="00131FB2"/>
    <w:rsid w:val="0013248A"/>
    <w:rsid w:val="001325D7"/>
    <w:rsid w:val="00132744"/>
    <w:rsid w:val="00132777"/>
    <w:rsid w:val="00133770"/>
    <w:rsid w:val="001339C7"/>
    <w:rsid w:val="00133A4B"/>
    <w:rsid w:val="00133A9C"/>
    <w:rsid w:val="00133E3D"/>
    <w:rsid w:val="0013436B"/>
    <w:rsid w:val="0013448B"/>
    <w:rsid w:val="001346B4"/>
    <w:rsid w:val="00134898"/>
    <w:rsid w:val="00134E87"/>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28"/>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BC2"/>
    <w:rsid w:val="00150C70"/>
    <w:rsid w:val="00151C40"/>
    <w:rsid w:val="00151DB1"/>
    <w:rsid w:val="001522A3"/>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A81"/>
    <w:rsid w:val="00156F4A"/>
    <w:rsid w:val="001573A7"/>
    <w:rsid w:val="00157B67"/>
    <w:rsid w:val="00157E61"/>
    <w:rsid w:val="00157E78"/>
    <w:rsid w:val="001601C2"/>
    <w:rsid w:val="00160ED7"/>
    <w:rsid w:val="001619E0"/>
    <w:rsid w:val="00161E60"/>
    <w:rsid w:val="00162B86"/>
    <w:rsid w:val="00162E29"/>
    <w:rsid w:val="0016301C"/>
    <w:rsid w:val="0016310E"/>
    <w:rsid w:val="0016334C"/>
    <w:rsid w:val="00163536"/>
    <w:rsid w:val="00163E14"/>
    <w:rsid w:val="00163F22"/>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7064E"/>
    <w:rsid w:val="00170713"/>
    <w:rsid w:val="001707F1"/>
    <w:rsid w:val="00170F85"/>
    <w:rsid w:val="001715D8"/>
    <w:rsid w:val="00171FD1"/>
    <w:rsid w:val="00172031"/>
    <w:rsid w:val="00172DA4"/>
    <w:rsid w:val="00173F6E"/>
    <w:rsid w:val="001748A0"/>
    <w:rsid w:val="00174B19"/>
    <w:rsid w:val="00175635"/>
    <w:rsid w:val="001756B6"/>
    <w:rsid w:val="0017570D"/>
    <w:rsid w:val="00175826"/>
    <w:rsid w:val="0017593D"/>
    <w:rsid w:val="00175B81"/>
    <w:rsid w:val="00175C26"/>
    <w:rsid w:val="00175E2D"/>
    <w:rsid w:val="00175F2D"/>
    <w:rsid w:val="00176238"/>
    <w:rsid w:val="00176368"/>
    <w:rsid w:val="00176A24"/>
    <w:rsid w:val="00176DBD"/>
    <w:rsid w:val="00176DF9"/>
    <w:rsid w:val="001770BB"/>
    <w:rsid w:val="0017720A"/>
    <w:rsid w:val="00177415"/>
    <w:rsid w:val="00177AC3"/>
    <w:rsid w:val="00177B82"/>
    <w:rsid w:val="00180081"/>
    <w:rsid w:val="00180234"/>
    <w:rsid w:val="001811ED"/>
    <w:rsid w:val="0018138B"/>
    <w:rsid w:val="00181511"/>
    <w:rsid w:val="0018157F"/>
    <w:rsid w:val="001823D5"/>
    <w:rsid w:val="00182759"/>
    <w:rsid w:val="0018296A"/>
    <w:rsid w:val="00182986"/>
    <w:rsid w:val="00183265"/>
    <w:rsid w:val="00183DC3"/>
    <w:rsid w:val="00183F0D"/>
    <w:rsid w:val="0018400C"/>
    <w:rsid w:val="00184D8A"/>
    <w:rsid w:val="00184FE9"/>
    <w:rsid w:val="00185004"/>
    <w:rsid w:val="00185580"/>
    <w:rsid w:val="001856A2"/>
    <w:rsid w:val="0018593D"/>
    <w:rsid w:val="001859B6"/>
    <w:rsid w:val="00185D75"/>
    <w:rsid w:val="00185F4B"/>
    <w:rsid w:val="0018600C"/>
    <w:rsid w:val="0018616D"/>
    <w:rsid w:val="00186ECA"/>
    <w:rsid w:val="00187485"/>
    <w:rsid w:val="00187860"/>
    <w:rsid w:val="00187A24"/>
    <w:rsid w:val="00190073"/>
    <w:rsid w:val="00190242"/>
    <w:rsid w:val="0019095F"/>
    <w:rsid w:val="001911C7"/>
    <w:rsid w:val="001911F6"/>
    <w:rsid w:val="0019138F"/>
    <w:rsid w:val="00191688"/>
    <w:rsid w:val="0019194F"/>
    <w:rsid w:val="00191D9C"/>
    <w:rsid w:val="0019229D"/>
    <w:rsid w:val="00192396"/>
    <w:rsid w:val="001924D8"/>
    <w:rsid w:val="00192793"/>
    <w:rsid w:val="001929A8"/>
    <w:rsid w:val="001932CF"/>
    <w:rsid w:val="00193A53"/>
    <w:rsid w:val="00193BEE"/>
    <w:rsid w:val="001942B8"/>
    <w:rsid w:val="00194471"/>
    <w:rsid w:val="00194C55"/>
    <w:rsid w:val="00194CF5"/>
    <w:rsid w:val="0019502C"/>
    <w:rsid w:val="001952E8"/>
    <w:rsid w:val="00195602"/>
    <w:rsid w:val="00195A47"/>
    <w:rsid w:val="00195EAE"/>
    <w:rsid w:val="00196016"/>
    <w:rsid w:val="00196165"/>
    <w:rsid w:val="00196393"/>
    <w:rsid w:val="00196667"/>
    <w:rsid w:val="001966C9"/>
    <w:rsid w:val="00197033"/>
    <w:rsid w:val="0019725F"/>
    <w:rsid w:val="00197717"/>
    <w:rsid w:val="001977C0"/>
    <w:rsid w:val="00197F7F"/>
    <w:rsid w:val="001A0827"/>
    <w:rsid w:val="001A0EF8"/>
    <w:rsid w:val="001A13E9"/>
    <w:rsid w:val="001A150E"/>
    <w:rsid w:val="001A18D2"/>
    <w:rsid w:val="001A245B"/>
    <w:rsid w:val="001A25AC"/>
    <w:rsid w:val="001A37A6"/>
    <w:rsid w:val="001A4197"/>
    <w:rsid w:val="001A45A0"/>
    <w:rsid w:val="001A4931"/>
    <w:rsid w:val="001A4BB8"/>
    <w:rsid w:val="001A50A5"/>
    <w:rsid w:val="001A5240"/>
    <w:rsid w:val="001A548E"/>
    <w:rsid w:val="001A5625"/>
    <w:rsid w:val="001A67FA"/>
    <w:rsid w:val="001A7616"/>
    <w:rsid w:val="001A788D"/>
    <w:rsid w:val="001A7B61"/>
    <w:rsid w:val="001A7F0C"/>
    <w:rsid w:val="001B025E"/>
    <w:rsid w:val="001B067C"/>
    <w:rsid w:val="001B0693"/>
    <w:rsid w:val="001B0706"/>
    <w:rsid w:val="001B0807"/>
    <w:rsid w:val="001B0F9E"/>
    <w:rsid w:val="001B101F"/>
    <w:rsid w:val="001B136D"/>
    <w:rsid w:val="001B1442"/>
    <w:rsid w:val="001B1470"/>
    <w:rsid w:val="001B1C97"/>
    <w:rsid w:val="001B1F30"/>
    <w:rsid w:val="001B2BCC"/>
    <w:rsid w:val="001B2D9F"/>
    <w:rsid w:val="001B3094"/>
    <w:rsid w:val="001B3494"/>
    <w:rsid w:val="001B36B4"/>
    <w:rsid w:val="001B38B7"/>
    <w:rsid w:val="001B39AE"/>
    <w:rsid w:val="001B3F7F"/>
    <w:rsid w:val="001B411F"/>
    <w:rsid w:val="001B4653"/>
    <w:rsid w:val="001B4A22"/>
    <w:rsid w:val="001B4A40"/>
    <w:rsid w:val="001B58BC"/>
    <w:rsid w:val="001B5E7A"/>
    <w:rsid w:val="001B6912"/>
    <w:rsid w:val="001B6D85"/>
    <w:rsid w:val="001B7723"/>
    <w:rsid w:val="001B7979"/>
    <w:rsid w:val="001B7FBD"/>
    <w:rsid w:val="001C03D1"/>
    <w:rsid w:val="001C0AC9"/>
    <w:rsid w:val="001C0ECA"/>
    <w:rsid w:val="001C144D"/>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813"/>
    <w:rsid w:val="001D1792"/>
    <w:rsid w:val="001D1D29"/>
    <w:rsid w:val="001D2509"/>
    <w:rsid w:val="001D2DA1"/>
    <w:rsid w:val="001D2DA8"/>
    <w:rsid w:val="001D3116"/>
    <w:rsid w:val="001D347F"/>
    <w:rsid w:val="001D3B9E"/>
    <w:rsid w:val="001D3E83"/>
    <w:rsid w:val="001D3F6F"/>
    <w:rsid w:val="001D4A29"/>
    <w:rsid w:val="001D4F9A"/>
    <w:rsid w:val="001D5114"/>
    <w:rsid w:val="001D5119"/>
    <w:rsid w:val="001D55F2"/>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16E"/>
    <w:rsid w:val="001E24D4"/>
    <w:rsid w:val="001E25C4"/>
    <w:rsid w:val="001E2E6F"/>
    <w:rsid w:val="001E3511"/>
    <w:rsid w:val="001E3642"/>
    <w:rsid w:val="001E3DBD"/>
    <w:rsid w:val="001E4751"/>
    <w:rsid w:val="001E4938"/>
    <w:rsid w:val="001E4CD8"/>
    <w:rsid w:val="001E4FB6"/>
    <w:rsid w:val="001E51A6"/>
    <w:rsid w:val="001E5212"/>
    <w:rsid w:val="001E53A9"/>
    <w:rsid w:val="001E55D5"/>
    <w:rsid w:val="001E589C"/>
    <w:rsid w:val="001E6920"/>
    <w:rsid w:val="001E693A"/>
    <w:rsid w:val="001E6EC8"/>
    <w:rsid w:val="001E7632"/>
    <w:rsid w:val="001E7905"/>
    <w:rsid w:val="001F0190"/>
    <w:rsid w:val="001F0858"/>
    <w:rsid w:val="001F0883"/>
    <w:rsid w:val="001F08A4"/>
    <w:rsid w:val="001F0A0A"/>
    <w:rsid w:val="001F0B61"/>
    <w:rsid w:val="001F0DCF"/>
    <w:rsid w:val="001F1194"/>
    <w:rsid w:val="001F11E2"/>
    <w:rsid w:val="001F141F"/>
    <w:rsid w:val="001F14F2"/>
    <w:rsid w:val="001F1BAB"/>
    <w:rsid w:val="001F1EEE"/>
    <w:rsid w:val="001F203C"/>
    <w:rsid w:val="001F2108"/>
    <w:rsid w:val="001F2A4D"/>
    <w:rsid w:val="001F2AF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200180"/>
    <w:rsid w:val="00200A9D"/>
    <w:rsid w:val="00200B2E"/>
    <w:rsid w:val="00201324"/>
    <w:rsid w:val="00201841"/>
    <w:rsid w:val="0020194C"/>
    <w:rsid w:val="00201F55"/>
    <w:rsid w:val="0020205B"/>
    <w:rsid w:val="00202A60"/>
    <w:rsid w:val="00202C45"/>
    <w:rsid w:val="00202E4A"/>
    <w:rsid w:val="00203011"/>
    <w:rsid w:val="00203049"/>
    <w:rsid w:val="002031FC"/>
    <w:rsid w:val="0020332E"/>
    <w:rsid w:val="00203733"/>
    <w:rsid w:val="0020390A"/>
    <w:rsid w:val="002041DB"/>
    <w:rsid w:val="0020460C"/>
    <w:rsid w:val="00205553"/>
    <w:rsid w:val="0020587F"/>
    <w:rsid w:val="002059C8"/>
    <w:rsid w:val="00206005"/>
    <w:rsid w:val="00206747"/>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9CC"/>
    <w:rsid w:val="00210D74"/>
    <w:rsid w:val="00211046"/>
    <w:rsid w:val="002112B2"/>
    <w:rsid w:val="00211AE6"/>
    <w:rsid w:val="00211FE8"/>
    <w:rsid w:val="00212DA6"/>
    <w:rsid w:val="00212E50"/>
    <w:rsid w:val="00213289"/>
    <w:rsid w:val="002138D3"/>
    <w:rsid w:val="002139D9"/>
    <w:rsid w:val="00213AA1"/>
    <w:rsid w:val="00213B45"/>
    <w:rsid w:val="002147CA"/>
    <w:rsid w:val="002154DF"/>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FB0"/>
    <w:rsid w:val="0022236B"/>
    <w:rsid w:val="00222411"/>
    <w:rsid w:val="0022253A"/>
    <w:rsid w:val="00222ACC"/>
    <w:rsid w:val="00222D23"/>
    <w:rsid w:val="00223B9B"/>
    <w:rsid w:val="00223E41"/>
    <w:rsid w:val="00223EC7"/>
    <w:rsid w:val="002240AD"/>
    <w:rsid w:val="002241F7"/>
    <w:rsid w:val="00224234"/>
    <w:rsid w:val="002242F0"/>
    <w:rsid w:val="00224404"/>
    <w:rsid w:val="0022452B"/>
    <w:rsid w:val="00224EDC"/>
    <w:rsid w:val="00224F1D"/>
    <w:rsid w:val="00225CB2"/>
    <w:rsid w:val="002262A7"/>
    <w:rsid w:val="0022634F"/>
    <w:rsid w:val="0022790E"/>
    <w:rsid w:val="00227B32"/>
    <w:rsid w:val="0023007D"/>
    <w:rsid w:val="002302F5"/>
    <w:rsid w:val="00230478"/>
    <w:rsid w:val="0023084B"/>
    <w:rsid w:val="00231311"/>
    <w:rsid w:val="0023151E"/>
    <w:rsid w:val="0023219B"/>
    <w:rsid w:val="0023282F"/>
    <w:rsid w:val="00232E2E"/>
    <w:rsid w:val="00232E42"/>
    <w:rsid w:val="00233827"/>
    <w:rsid w:val="0023395A"/>
    <w:rsid w:val="00233EB7"/>
    <w:rsid w:val="00233F42"/>
    <w:rsid w:val="00234272"/>
    <w:rsid w:val="002347C3"/>
    <w:rsid w:val="00234809"/>
    <w:rsid w:val="00234856"/>
    <w:rsid w:val="00235450"/>
    <w:rsid w:val="002359C3"/>
    <w:rsid w:val="00235ABC"/>
    <w:rsid w:val="00235C2D"/>
    <w:rsid w:val="00235CBD"/>
    <w:rsid w:val="002361E1"/>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35"/>
    <w:rsid w:val="002412A2"/>
    <w:rsid w:val="00241740"/>
    <w:rsid w:val="00241810"/>
    <w:rsid w:val="002423A4"/>
    <w:rsid w:val="00242AB5"/>
    <w:rsid w:val="00242CFC"/>
    <w:rsid w:val="00242E04"/>
    <w:rsid w:val="002430F9"/>
    <w:rsid w:val="002432E0"/>
    <w:rsid w:val="0024336C"/>
    <w:rsid w:val="00243622"/>
    <w:rsid w:val="002436B2"/>
    <w:rsid w:val="00243D2B"/>
    <w:rsid w:val="00243E8D"/>
    <w:rsid w:val="00244224"/>
    <w:rsid w:val="00244B6B"/>
    <w:rsid w:val="002454C8"/>
    <w:rsid w:val="00245790"/>
    <w:rsid w:val="00245971"/>
    <w:rsid w:val="00245CE9"/>
    <w:rsid w:val="00245E00"/>
    <w:rsid w:val="00246012"/>
    <w:rsid w:val="00247B52"/>
    <w:rsid w:val="00247E49"/>
    <w:rsid w:val="00247E94"/>
    <w:rsid w:val="00247EB2"/>
    <w:rsid w:val="00250568"/>
    <w:rsid w:val="0025057A"/>
    <w:rsid w:val="002507C7"/>
    <w:rsid w:val="002511AF"/>
    <w:rsid w:val="00251AF9"/>
    <w:rsid w:val="00251BF4"/>
    <w:rsid w:val="00252146"/>
    <w:rsid w:val="002525B9"/>
    <w:rsid w:val="00252B3D"/>
    <w:rsid w:val="00252BA5"/>
    <w:rsid w:val="00253077"/>
    <w:rsid w:val="00253368"/>
    <w:rsid w:val="00253DF7"/>
    <w:rsid w:val="002544FC"/>
    <w:rsid w:val="00254AB4"/>
    <w:rsid w:val="00254CA1"/>
    <w:rsid w:val="00254D73"/>
    <w:rsid w:val="00254DE3"/>
    <w:rsid w:val="0025505F"/>
    <w:rsid w:val="002550FF"/>
    <w:rsid w:val="0025523C"/>
    <w:rsid w:val="00255C71"/>
    <w:rsid w:val="00255D7F"/>
    <w:rsid w:val="00255DD3"/>
    <w:rsid w:val="00256057"/>
    <w:rsid w:val="002560F7"/>
    <w:rsid w:val="002568FE"/>
    <w:rsid w:val="0025775A"/>
    <w:rsid w:val="002578D4"/>
    <w:rsid w:val="002579C1"/>
    <w:rsid w:val="00260001"/>
    <w:rsid w:val="002604DA"/>
    <w:rsid w:val="00260781"/>
    <w:rsid w:val="00260899"/>
    <w:rsid w:val="00260992"/>
    <w:rsid w:val="00260A76"/>
    <w:rsid w:val="00260FC1"/>
    <w:rsid w:val="002611D2"/>
    <w:rsid w:val="002612E2"/>
    <w:rsid w:val="002614DA"/>
    <w:rsid w:val="00261BDD"/>
    <w:rsid w:val="00261C51"/>
    <w:rsid w:val="00261DCD"/>
    <w:rsid w:val="0026285F"/>
    <w:rsid w:val="00262CFB"/>
    <w:rsid w:val="00262E05"/>
    <w:rsid w:val="00262E69"/>
    <w:rsid w:val="0026369F"/>
    <w:rsid w:val="002636AB"/>
    <w:rsid w:val="0026373B"/>
    <w:rsid w:val="00263BE7"/>
    <w:rsid w:val="00264677"/>
    <w:rsid w:val="00264A62"/>
    <w:rsid w:val="00265045"/>
    <w:rsid w:val="00265096"/>
    <w:rsid w:val="0026589E"/>
    <w:rsid w:val="002659C1"/>
    <w:rsid w:val="0026629F"/>
    <w:rsid w:val="002662BA"/>
    <w:rsid w:val="002668A0"/>
    <w:rsid w:val="00266EB3"/>
    <w:rsid w:val="00267319"/>
    <w:rsid w:val="00267693"/>
    <w:rsid w:val="00267CA8"/>
    <w:rsid w:val="00267CB6"/>
    <w:rsid w:val="00267EF8"/>
    <w:rsid w:val="00270AC9"/>
    <w:rsid w:val="00271B90"/>
    <w:rsid w:val="00271BC9"/>
    <w:rsid w:val="00272039"/>
    <w:rsid w:val="00272184"/>
    <w:rsid w:val="00272283"/>
    <w:rsid w:val="0027244F"/>
    <w:rsid w:val="00272601"/>
    <w:rsid w:val="00272C0F"/>
    <w:rsid w:val="0027300A"/>
    <w:rsid w:val="00273651"/>
    <w:rsid w:val="0027369B"/>
    <w:rsid w:val="00273730"/>
    <w:rsid w:val="0027393A"/>
    <w:rsid w:val="00273DB4"/>
    <w:rsid w:val="00273FD5"/>
    <w:rsid w:val="00273FDB"/>
    <w:rsid w:val="002746B3"/>
    <w:rsid w:val="0027492F"/>
    <w:rsid w:val="00274F3B"/>
    <w:rsid w:val="002753C1"/>
    <w:rsid w:val="00275624"/>
    <w:rsid w:val="0027562D"/>
    <w:rsid w:val="0027598E"/>
    <w:rsid w:val="00275B33"/>
    <w:rsid w:val="00275BCE"/>
    <w:rsid w:val="00275E5F"/>
    <w:rsid w:val="002760B0"/>
    <w:rsid w:val="0027632F"/>
    <w:rsid w:val="002766CD"/>
    <w:rsid w:val="0027678A"/>
    <w:rsid w:val="002770AD"/>
    <w:rsid w:val="00277171"/>
    <w:rsid w:val="002772EE"/>
    <w:rsid w:val="002779C6"/>
    <w:rsid w:val="00277A0A"/>
    <w:rsid w:val="00277B3D"/>
    <w:rsid w:val="00277BAB"/>
    <w:rsid w:val="0028044C"/>
    <w:rsid w:val="0028048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5F6B"/>
    <w:rsid w:val="00286C19"/>
    <w:rsid w:val="00287075"/>
    <w:rsid w:val="00287146"/>
    <w:rsid w:val="00287609"/>
    <w:rsid w:val="002878A6"/>
    <w:rsid w:val="00287D08"/>
    <w:rsid w:val="00290136"/>
    <w:rsid w:val="0029046B"/>
    <w:rsid w:val="002905D9"/>
    <w:rsid w:val="00290935"/>
    <w:rsid w:val="002913D6"/>
    <w:rsid w:val="00291A94"/>
    <w:rsid w:val="00291BB4"/>
    <w:rsid w:val="002925DE"/>
    <w:rsid w:val="00292C66"/>
    <w:rsid w:val="0029318B"/>
    <w:rsid w:val="00293463"/>
    <w:rsid w:val="00293680"/>
    <w:rsid w:val="002940DF"/>
    <w:rsid w:val="002942A8"/>
    <w:rsid w:val="002943BB"/>
    <w:rsid w:val="0029457A"/>
    <w:rsid w:val="00294BC0"/>
    <w:rsid w:val="00294C41"/>
    <w:rsid w:val="0029505A"/>
    <w:rsid w:val="002958B8"/>
    <w:rsid w:val="00295F12"/>
    <w:rsid w:val="00296466"/>
    <w:rsid w:val="00296613"/>
    <w:rsid w:val="00296829"/>
    <w:rsid w:val="002972FC"/>
    <w:rsid w:val="00297462"/>
    <w:rsid w:val="00297CA9"/>
    <w:rsid w:val="00297D1A"/>
    <w:rsid w:val="00297EC6"/>
    <w:rsid w:val="002A0AED"/>
    <w:rsid w:val="002A13AD"/>
    <w:rsid w:val="002A22E0"/>
    <w:rsid w:val="002A2754"/>
    <w:rsid w:val="002A289B"/>
    <w:rsid w:val="002A307B"/>
    <w:rsid w:val="002A314B"/>
    <w:rsid w:val="002A36DE"/>
    <w:rsid w:val="002A38F1"/>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1AF"/>
    <w:rsid w:val="002B171F"/>
    <w:rsid w:val="002B1842"/>
    <w:rsid w:val="002B1C2D"/>
    <w:rsid w:val="002B1DB7"/>
    <w:rsid w:val="002B1DCE"/>
    <w:rsid w:val="002B1DE7"/>
    <w:rsid w:val="002B1F25"/>
    <w:rsid w:val="002B2336"/>
    <w:rsid w:val="002B234F"/>
    <w:rsid w:val="002B2563"/>
    <w:rsid w:val="002B25C0"/>
    <w:rsid w:val="002B26F5"/>
    <w:rsid w:val="002B286F"/>
    <w:rsid w:val="002B2FCD"/>
    <w:rsid w:val="002B2FF1"/>
    <w:rsid w:val="002B32A8"/>
    <w:rsid w:val="002B3396"/>
    <w:rsid w:val="002B3565"/>
    <w:rsid w:val="002B3C05"/>
    <w:rsid w:val="002B407B"/>
    <w:rsid w:val="002B407C"/>
    <w:rsid w:val="002B49EE"/>
    <w:rsid w:val="002B4CAF"/>
    <w:rsid w:val="002B4EBE"/>
    <w:rsid w:val="002B509A"/>
    <w:rsid w:val="002B52C3"/>
    <w:rsid w:val="002B553B"/>
    <w:rsid w:val="002B587D"/>
    <w:rsid w:val="002B58C3"/>
    <w:rsid w:val="002B5B0B"/>
    <w:rsid w:val="002B5F53"/>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765"/>
    <w:rsid w:val="002C09A2"/>
    <w:rsid w:val="002C13EA"/>
    <w:rsid w:val="002C1547"/>
    <w:rsid w:val="002C173C"/>
    <w:rsid w:val="002C1B40"/>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DB1"/>
    <w:rsid w:val="002C5F6C"/>
    <w:rsid w:val="002C6693"/>
    <w:rsid w:val="002C729B"/>
    <w:rsid w:val="002C73EA"/>
    <w:rsid w:val="002C7FEF"/>
    <w:rsid w:val="002D04B2"/>
    <w:rsid w:val="002D06AC"/>
    <w:rsid w:val="002D0754"/>
    <w:rsid w:val="002D0A8B"/>
    <w:rsid w:val="002D0AC8"/>
    <w:rsid w:val="002D1038"/>
    <w:rsid w:val="002D10F3"/>
    <w:rsid w:val="002D140F"/>
    <w:rsid w:val="002D1D09"/>
    <w:rsid w:val="002D1E0C"/>
    <w:rsid w:val="002D1EEC"/>
    <w:rsid w:val="002D1F56"/>
    <w:rsid w:val="002D212B"/>
    <w:rsid w:val="002D23E1"/>
    <w:rsid w:val="002D23FC"/>
    <w:rsid w:val="002D27CA"/>
    <w:rsid w:val="002D39C3"/>
    <w:rsid w:val="002D3AAE"/>
    <w:rsid w:val="002D3B57"/>
    <w:rsid w:val="002D3F88"/>
    <w:rsid w:val="002D4193"/>
    <w:rsid w:val="002D4531"/>
    <w:rsid w:val="002D47E6"/>
    <w:rsid w:val="002D4B67"/>
    <w:rsid w:val="002D4F87"/>
    <w:rsid w:val="002D5353"/>
    <w:rsid w:val="002D5398"/>
    <w:rsid w:val="002D5584"/>
    <w:rsid w:val="002D5767"/>
    <w:rsid w:val="002D5E35"/>
    <w:rsid w:val="002D6259"/>
    <w:rsid w:val="002D65F7"/>
    <w:rsid w:val="002D66F5"/>
    <w:rsid w:val="002D6A84"/>
    <w:rsid w:val="002D6B9C"/>
    <w:rsid w:val="002D6C05"/>
    <w:rsid w:val="002D70B7"/>
    <w:rsid w:val="002D7840"/>
    <w:rsid w:val="002D7C5A"/>
    <w:rsid w:val="002D7DB1"/>
    <w:rsid w:val="002D7DE4"/>
    <w:rsid w:val="002E0210"/>
    <w:rsid w:val="002E0666"/>
    <w:rsid w:val="002E07DD"/>
    <w:rsid w:val="002E0CE5"/>
    <w:rsid w:val="002E18B5"/>
    <w:rsid w:val="002E18FF"/>
    <w:rsid w:val="002E2335"/>
    <w:rsid w:val="002E23C3"/>
    <w:rsid w:val="002E244C"/>
    <w:rsid w:val="002E27E9"/>
    <w:rsid w:val="002E2FCE"/>
    <w:rsid w:val="002E3600"/>
    <w:rsid w:val="002E37F7"/>
    <w:rsid w:val="002E3891"/>
    <w:rsid w:val="002E3909"/>
    <w:rsid w:val="002E3E90"/>
    <w:rsid w:val="002E3EAC"/>
    <w:rsid w:val="002E3F9E"/>
    <w:rsid w:val="002E429F"/>
    <w:rsid w:val="002E479B"/>
    <w:rsid w:val="002E4943"/>
    <w:rsid w:val="002E49CB"/>
    <w:rsid w:val="002E4E56"/>
    <w:rsid w:val="002E52CC"/>
    <w:rsid w:val="002E5752"/>
    <w:rsid w:val="002E5808"/>
    <w:rsid w:val="002E584F"/>
    <w:rsid w:val="002E58C5"/>
    <w:rsid w:val="002E5B9E"/>
    <w:rsid w:val="002E6B7A"/>
    <w:rsid w:val="002E6DC0"/>
    <w:rsid w:val="002E7001"/>
    <w:rsid w:val="002E7446"/>
    <w:rsid w:val="002E7991"/>
    <w:rsid w:val="002E7A32"/>
    <w:rsid w:val="002E7EE9"/>
    <w:rsid w:val="002F0A6E"/>
    <w:rsid w:val="002F0BF5"/>
    <w:rsid w:val="002F129B"/>
    <w:rsid w:val="002F1ECC"/>
    <w:rsid w:val="002F25E9"/>
    <w:rsid w:val="002F3E23"/>
    <w:rsid w:val="002F4165"/>
    <w:rsid w:val="002F44C2"/>
    <w:rsid w:val="002F4916"/>
    <w:rsid w:val="002F4B98"/>
    <w:rsid w:val="002F4FB6"/>
    <w:rsid w:val="002F56F8"/>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A8"/>
    <w:rsid w:val="00302A79"/>
    <w:rsid w:val="00302ACB"/>
    <w:rsid w:val="00302C18"/>
    <w:rsid w:val="00302C1B"/>
    <w:rsid w:val="00303661"/>
    <w:rsid w:val="00303961"/>
    <w:rsid w:val="00303BD5"/>
    <w:rsid w:val="00303CCE"/>
    <w:rsid w:val="00303E3A"/>
    <w:rsid w:val="00303E4B"/>
    <w:rsid w:val="003043D2"/>
    <w:rsid w:val="003044A7"/>
    <w:rsid w:val="003052C1"/>
    <w:rsid w:val="00305AF5"/>
    <w:rsid w:val="00306030"/>
    <w:rsid w:val="0030612E"/>
    <w:rsid w:val="00306780"/>
    <w:rsid w:val="00306796"/>
    <w:rsid w:val="00306B0C"/>
    <w:rsid w:val="00307282"/>
    <w:rsid w:val="00307581"/>
    <w:rsid w:val="00307DE3"/>
    <w:rsid w:val="00307EE7"/>
    <w:rsid w:val="00310A6E"/>
    <w:rsid w:val="00310F51"/>
    <w:rsid w:val="003111E8"/>
    <w:rsid w:val="003114B3"/>
    <w:rsid w:val="00311AEC"/>
    <w:rsid w:val="00312073"/>
    <w:rsid w:val="00312320"/>
    <w:rsid w:val="00312916"/>
    <w:rsid w:val="00312C86"/>
    <w:rsid w:val="00313432"/>
    <w:rsid w:val="00313587"/>
    <w:rsid w:val="0031370A"/>
    <w:rsid w:val="0031398E"/>
    <w:rsid w:val="00313AA4"/>
    <w:rsid w:val="00314018"/>
    <w:rsid w:val="00314046"/>
    <w:rsid w:val="003140E6"/>
    <w:rsid w:val="00314485"/>
    <w:rsid w:val="003145C4"/>
    <w:rsid w:val="00314EA8"/>
    <w:rsid w:val="00315133"/>
    <w:rsid w:val="0031528F"/>
    <w:rsid w:val="0031535C"/>
    <w:rsid w:val="00315585"/>
    <w:rsid w:val="00315622"/>
    <w:rsid w:val="00315855"/>
    <w:rsid w:val="00315CFC"/>
    <w:rsid w:val="00315F65"/>
    <w:rsid w:val="00316EE5"/>
    <w:rsid w:val="003177C7"/>
    <w:rsid w:val="00317B03"/>
    <w:rsid w:val="00317B60"/>
    <w:rsid w:val="00320D1D"/>
    <w:rsid w:val="00320E0A"/>
    <w:rsid w:val="00321131"/>
    <w:rsid w:val="00321137"/>
    <w:rsid w:val="003217EF"/>
    <w:rsid w:val="00321955"/>
    <w:rsid w:val="00322899"/>
    <w:rsid w:val="003229CA"/>
    <w:rsid w:val="00323063"/>
    <w:rsid w:val="00323374"/>
    <w:rsid w:val="003234E6"/>
    <w:rsid w:val="0032380A"/>
    <w:rsid w:val="00323975"/>
    <w:rsid w:val="00323BB4"/>
    <w:rsid w:val="0032407D"/>
    <w:rsid w:val="00324330"/>
    <w:rsid w:val="00324361"/>
    <w:rsid w:val="003243D5"/>
    <w:rsid w:val="0032455A"/>
    <w:rsid w:val="0032492D"/>
    <w:rsid w:val="00324C65"/>
    <w:rsid w:val="00324E02"/>
    <w:rsid w:val="003251E1"/>
    <w:rsid w:val="003259D4"/>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A1B"/>
    <w:rsid w:val="00332B70"/>
    <w:rsid w:val="00332CA3"/>
    <w:rsid w:val="00332CF8"/>
    <w:rsid w:val="003331F6"/>
    <w:rsid w:val="003334C7"/>
    <w:rsid w:val="003335F7"/>
    <w:rsid w:val="0033364B"/>
    <w:rsid w:val="003336C5"/>
    <w:rsid w:val="00333EE2"/>
    <w:rsid w:val="00333FA3"/>
    <w:rsid w:val="00334389"/>
    <w:rsid w:val="003345C8"/>
    <w:rsid w:val="00334614"/>
    <w:rsid w:val="00334747"/>
    <w:rsid w:val="00334955"/>
    <w:rsid w:val="00334ED7"/>
    <w:rsid w:val="00335A0C"/>
    <w:rsid w:val="00335E10"/>
    <w:rsid w:val="00335EAE"/>
    <w:rsid w:val="003362FA"/>
    <w:rsid w:val="003363DA"/>
    <w:rsid w:val="003365F6"/>
    <w:rsid w:val="00336657"/>
    <w:rsid w:val="003368F1"/>
    <w:rsid w:val="00336A3D"/>
    <w:rsid w:val="00336F65"/>
    <w:rsid w:val="003370FB"/>
    <w:rsid w:val="00337980"/>
    <w:rsid w:val="00337989"/>
    <w:rsid w:val="003404FD"/>
    <w:rsid w:val="00340C4D"/>
    <w:rsid w:val="00341DE0"/>
    <w:rsid w:val="003420E0"/>
    <w:rsid w:val="00342173"/>
    <w:rsid w:val="00342444"/>
    <w:rsid w:val="003428F3"/>
    <w:rsid w:val="00342C49"/>
    <w:rsid w:val="00342D06"/>
    <w:rsid w:val="00343185"/>
    <w:rsid w:val="00343B7B"/>
    <w:rsid w:val="003440FE"/>
    <w:rsid w:val="003446A9"/>
    <w:rsid w:val="003448D2"/>
    <w:rsid w:val="00344C80"/>
    <w:rsid w:val="00344D5B"/>
    <w:rsid w:val="00344FFD"/>
    <w:rsid w:val="0034574D"/>
    <w:rsid w:val="00345B5F"/>
    <w:rsid w:val="003466FF"/>
    <w:rsid w:val="00346730"/>
    <w:rsid w:val="003468F1"/>
    <w:rsid w:val="00346B3F"/>
    <w:rsid w:val="00346F16"/>
    <w:rsid w:val="00346F99"/>
    <w:rsid w:val="00347330"/>
    <w:rsid w:val="0034750A"/>
    <w:rsid w:val="00347BA8"/>
    <w:rsid w:val="00350C48"/>
    <w:rsid w:val="00350E09"/>
    <w:rsid w:val="003511D3"/>
    <w:rsid w:val="0035176F"/>
    <w:rsid w:val="00351B24"/>
    <w:rsid w:val="00351DC1"/>
    <w:rsid w:val="00352130"/>
    <w:rsid w:val="00352289"/>
    <w:rsid w:val="00352C21"/>
    <w:rsid w:val="00353573"/>
    <w:rsid w:val="00353707"/>
    <w:rsid w:val="00353E2A"/>
    <w:rsid w:val="00354570"/>
    <w:rsid w:val="003546A5"/>
    <w:rsid w:val="00354841"/>
    <w:rsid w:val="00354EFD"/>
    <w:rsid w:val="003555CC"/>
    <w:rsid w:val="003561B4"/>
    <w:rsid w:val="003574ED"/>
    <w:rsid w:val="003576A7"/>
    <w:rsid w:val="003576B5"/>
    <w:rsid w:val="003576FA"/>
    <w:rsid w:val="00357AB4"/>
    <w:rsid w:val="0036096A"/>
    <w:rsid w:val="00360B61"/>
    <w:rsid w:val="00360F3F"/>
    <w:rsid w:val="00361287"/>
    <w:rsid w:val="0036145D"/>
    <w:rsid w:val="00361F2F"/>
    <w:rsid w:val="00361FBC"/>
    <w:rsid w:val="00362039"/>
    <w:rsid w:val="003622D4"/>
    <w:rsid w:val="003625B1"/>
    <w:rsid w:val="003628F9"/>
    <w:rsid w:val="00362D3F"/>
    <w:rsid w:val="00362E3A"/>
    <w:rsid w:val="003630B0"/>
    <w:rsid w:val="00363120"/>
    <w:rsid w:val="00363532"/>
    <w:rsid w:val="00363763"/>
    <w:rsid w:val="00363BBC"/>
    <w:rsid w:val="00364154"/>
    <w:rsid w:val="003643E8"/>
    <w:rsid w:val="003649FB"/>
    <w:rsid w:val="00364A5C"/>
    <w:rsid w:val="00364CA5"/>
    <w:rsid w:val="00366470"/>
    <w:rsid w:val="003664CB"/>
    <w:rsid w:val="003669E5"/>
    <w:rsid w:val="0036708C"/>
    <w:rsid w:val="00367673"/>
    <w:rsid w:val="00370617"/>
    <w:rsid w:val="00370901"/>
    <w:rsid w:val="003709D8"/>
    <w:rsid w:val="00370AC3"/>
    <w:rsid w:val="00370D02"/>
    <w:rsid w:val="00371C1B"/>
    <w:rsid w:val="00371D63"/>
    <w:rsid w:val="003728DE"/>
    <w:rsid w:val="00373317"/>
    <w:rsid w:val="0037344B"/>
    <w:rsid w:val="0037377A"/>
    <w:rsid w:val="00373994"/>
    <w:rsid w:val="00373A4D"/>
    <w:rsid w:val="00373D12"/>
    <w:rsid w:val="00374140"/>
    <w:rsid w:val="00374298"/>
    <w:rsid w:val="0037511C"/>
    <w:rsid w:val="003751ED"/>
    <w:rsid w:val="003752C3"/>
    <w:rsid w:val="003752DA"/>
    <w:rsid w:val="003752E2"/>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00A"/>
    <w:rsid w:val="00382150"/>
    <w:rsid w:val="00382225"/>
    <w:rsid w:val="003823DC"/>
    <w:rsid w:val="0038300B"/>
    <w:rsid w:val="003832A8"/>
    <w:rsid w:val="003833EC"/>
    <w:rsid w:val="00383499"/>
    <w:rsid w:val="00383D60"/>
    <w:rsid w:val="00383FA3"/>
    <w:rsid w:val="0038434D"/>
    <w:rsid w:val="003845A7"/>
    <w:rsid w:val="003846E5"/>
    <w:rsid w:val="003857BF"/>
    <w:rsid w:val="00385906"/>
    <w:rsid w:val="00385DC0"/>
    <w:rsid w:val="0038608D"/>
    <w:rsid w:val="003866A9"/>
    <w:rsid w:val="003868F9"/>
    <w:rsid w:val="00386C52"/>
    <w:rsid w:val="00386CB8"/>
    <w:rsid w:val="00386DE5"/>
    <w:rsid w:val="003870F1"/>
    <w:rsid w:val="00387788"/>
    <w:rsid w:val="00387B23"/>
    <w:rsid w:val="00387F59"/>
    <w:rsid w:val="003901B7"/>
    <w:rsid w:val="003902AD"/>
    <w:rsid w:val="00390F45"/>
    <w:rsid w:val="00391137"/>
    <w:rsid w:val="00391E78"/>
    <w:rsid w:val="00391F27"/>
    <w:rsid w:val="003920B2"/>
    <w:rsid w:val="00392E40"/>
    <w:rsid w:val="0039318E"/>
    <w:rsid w:val="00393205"/>
    <w:rsid w:val="00393413"/>
    <w:rsid w:val="003936CD"/>
    <w:rsid w:val="003938BA"/>
    <w:rsid w:val="0039396D"/>
    <w:rsid w:val="00393EA9"/>
    <w:rsid w:val="00394109"/>
    <w:rsid w:val="0039435D"/>
    <w:rsid w:val="0039452D"/>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A8A"/>
    <w:rsid w:val="003A2A8F"/>
    <w:rsid w:val="003A2B1C"/>
    <w:rsid w:val="003A2BFD"/>
    <w:rsid w:val="003A2D2C"/>
    <w:rsid w:val="003A34C6"/>
    <w:rsid w:val="003A37BF"/>
    <w:rsid w:val="003A3AE7"/>
    <w:rsid w:val="003A3B9B"/>
    <w:rsid w:val="003A444D"/>
    <w:rsid w:val="003A4505"/>
    <w:rsid w:val="003A5365"/>
    <w:rsid w:val="003A546D"/>
    <w:rsid w:val="003A569F"/>
    <w:rsid w:val="003A6013"/>
    <w:rsid w:val="003A634F"/>
    <w:rsid w:val="003A64FA"/>
    <w:rsid w:val="003A6CE9"/>
    <w:rsid w:val="003A6D48"/>
    <w:rsid w:val="003A7910"/>
    <w:rsid w:val="003A79F1"/>
    <w:rsid w:val="003A7D28"/>
    <w:rsid w:val="003A7D9F"/>
    <w:rsid w:val="003B0339"/>
    <w:rsid w:val="003B0406"/>
    <w:rsid w:val="003B061E"/>
    <w:rsid w:val="003B06BF"/>
    <w:rsid w:val="003B0724"/>
    <w:rsid w:val="003B12B7"/>
    <w:rsid w:val="003B148C"/>
    <w:rsid w:val="003B1774"/>
    <w:rsid w:val="003B2E3A"/>
    <w:rsid w:val="003B32C3"/>
    <w:rsid w:val="003B32F7"/>
    <w:rsid w:val="003B3E59"/>
    <w:rsid w:val="003B430A"/>
    <w:rsid w:val="003B4332"/>
    <w:rsid w:val="003B4465"/>
    <w:rsid w:val="003B47B2"/>
    <w:rsid w:val="003B482F"/>
    <w:rsid w:val="003B4BE8"/>
    <w:rsid w:val="003B4E07"/>
    <w:rsid w:val="003B5119"/>
    <w:rsid w:val="003B53AB"/>
    <w:rsid w:val="003B53CC"/>
    <w:rsid w:val="003B5AD3"/>
    <w:rsid w:val="003B5DE9"/>
    <w:rsid w:val="003B5FA4"/>
    <w:rsid w:val="003B61E9"/>
    <w:rsid w:val="003B6345"/>
    <w:rsid w:val="003B634E"/>
    <w:rsid w:val="003B6539"/>
    <w:rsid w:val="003B6F54"/>
    <w:rsid w:val="003B712E"/>
    <w:rsid w:val="003B735C"/>
    <w:rsid w:val="003B7430"/>
    <w:rsid w:val="003B7EC7"/>
    <w:rsid w:val="003C0482"/>
    <w:rsid w:val="003C05CC"/>
    <w:rsid w:val="003C091E"/>
    <w:rsid w:val="003C09E7"/>
    <w:rsid w:val="003C0BED"/>
    <w:rsid w:val="003C16C4"/>
    <w:rsid w:val="003C18AD"/>
    <w:rsid w:val="003C20D3"/>
    <w:rsid w:val="003C217F"/>
    <w:rsid w:val="003C2217"/>
    <w:rsid w:val="003C2AA7"/>
    <w:rsid w:val="003C2E9B"/>
    <w:rsid w:val="003C3368"/>
    <w:rsid w:val="003C35C0"/>
    <w:rsid w:val="003C38BD"/>
    <w:rsid w:val="003C3A14"/>
    <w:rsid w:val="003C3BC2"/>
    <w:rsid w:val="003C3C33"/>
    <w:rsid w:val="003C3F27"/>
    <w:rsid w:val="003C4209"/>
    <w:rsid w:val="003C474B"/>
    <w:rsid w:val="003C5099"/>
    <w:rsid w:val="003C50AA"/>
    <w:rsid w:val="003C5AF6"/>
    <w:rsid w:val="003C5C56"/>
    <w:rsid w:val="003C62D6"/>
    <w:rsid w:val="003C6444"/>
    <w:rsid w:val="003C673F"/>
    <w:rsid w:val="003C6B7E"/>
    <w:rsid w:val="003C71FE"/>
    <w:rsid w:val="003C7B87"/>
    <w:rsid w:val="003D0360"/>
    <w:rsid w:val="003D0AFC"/>
    <w:rsid w:val="003D0CA7"/>
    <w:rsid w:val="003D1288"/>
    <w:rsid w:val="003D12AE"/>
    <w:rsid w:val="003D142B"/>
    <w:rsid w:val="003D1E04"/>
    <w:rsid w:val="003D20BA"/>
    <w:rsid w:val="003D25C4"/>
    <w:rsid w:val="003D2C4D"/>
    <w:rsid w:val="003D3447"/>
    <w:rsid w:val="003D3468"/>
    <w:rsid w:val="003D357E"/>
    <w:rsid w:val="003D3695"/>
    <w:rsid w:val="003D3F0D"/>
    <w:rsid w:val="003D4055"/>
    <w:rsid w:val="003D4318"/>
    <w:rsid w:val="003D4483"/>
    <w:rsid w:val="003D4627"/>
    <w:rsid w:val="003D4C15"/>
    <w:rsid w:val="003D4DC8"/>
    <w:rsid w:val="003D545B"/>
    <w:rsid w:val="003D5476"/>
    <w:rsid w:val="003D5A45"/>
    <w:rsid w:val="003D5EA3"/>
    <w:rsid w:val="003D6113"/>
    <w:rsid w:val="003D6245"/>
    <w:rsid w:val="003D6A16"/>
    <w:rsid w:val="003D6AA6"/>
    <w:rsid w:val="003D75A3"/>
    <w:rsid w:val="003D75DD"/>
    <w:rsid w:val="003D7644"/>
    <w:rsid w:val="003D7685"/>
    <w:rsid w:val="003D76D7"/>
    <w:rsid w:val="003D7ECF"/>
    <w:rsid w:val="003D7EE9"/>
    <w:rsid w:val="003E0B36"/>
    <w:rsid w:val="003E0E29"/>
    <w:rsid w:val="003E106A"/>
    <w:rsid w:val="003E13A8"/>
    <w:rsid w:val="003E1E9A"/>
    <w:rsid w:val="003E22D4"/>
    <w:rsid w:val="003E24BD"/>
    <w:rsid w:val="003E2C4B"/>
    <w:rsid w:val="003E313F"/>
    <w:rsid w:val="003E3643"/>
    <w:rsid w:val="003E39F6"/>
    <w:rsid w:val="003E3E59"/>
    <w:rsid w:val="003E4332"/>
    <w:rsid w:val="003E514F"/>
    <w:rsid w:val="003E5442"/>
    <w:rsid w:val="003E5AAB"/>
    <w:rsid w:val="003E6066"/>
    <w:rsid w:val="003E60CA"/>
    <w:rsid w:val="003E6458"/>
    <w:rsid w:val="003E649F"/>
    <w:rsid w:val="003E690B"/>
    <w:rsid w:val="003E6917"/>
    <w:rsid w:val="003E6A4C"/>
    <w:rsid w:val="003E6CA0"/>
    <w:rsid w:val="003E724B"/>
    <w:rsid w:val="003E73B7"/>
    <w:rsid w:val="003E7618"/>
    <w:rsid w:val="003E7784"/>
    <w:rsid w:val="003E7AAB"/>
    <w:rsid w:val="003F078F"/>
    <w:rsid w:val="003F0989"/>
    <w:rsid w:val="003F0AA3"/>
    <w:rsid w:val="003F0C86"/>
    <w:rsid w:val="003F1131"/>
    <w:rsid w:val="003F13AC"/>
    <w:rsid w:val="003F1523"/>
    <w:rsid w:val="003F168A"/>
    <w:rsid w:val="003F183B"/>
    <w:rsid w:val="003F1886"/>
    <w:rsid w:val="003F19DB"/>
    <w:rsid w:val="003F1A89"/>
    <w:rsid w:val="003F2934"/>
    <w:rsid w:val="003F2D3A"/>
    <w:rsid w:val="003F2ECC"/>
    <w:rsid w:val="003F2EDD"/>
    <w:rsid w:val="003F2FDD"/>
    <w:rsid w:val="003F32DE"/>
    <w:rsid w:val="003F36B9"/>
    <w:rsid w:val="003F385A"/>
    <w:rsid w:val="003F3912"/>
    <w:rsid w:val="003F42EA"/>
    <w:rsid w:val="003F44F5"/>
    <w:rsid w:val="003F4A93"/>
    <w:rsid w:val="003F4DE2"/>
    <w:rsid w:val="003F4E79"/>
    <w:rsid w:val="003F524E"/>
    <w:rsid w:val="003F5644"/>
    <w:rsid w:val="003F5720"/>
    <w:rsid w:val="003F5AAB"/>
    <w:rsid w:val="003F5C95"/>
    <w:rsid w:val="003F6017"/>
    <w:rsid w:val="003F635B"/>
    <w:rsid w:val="003F6842"/>
    <w:rsid w:val="003F6B4D"/>
    <w:rsid w:val="003F6E4F"/>
    <w:rsid w:val="003F7913"/>
    <w:rsid w:val="003F7B68"/>
    <w:rsid w:val="003F7E66"/>
    <w:rsid w:val="004002A8"/>
    <w:rsid w:val="00400760"/>
    <w:rsid w:val="00400A90"/>
    <w:rsid w:val="0040102D"/>
    <w:rsid w:val="004010B3"/>
    <w:rsid w:val="00401465"/>
    <w:rsid w:val="00401E9C"/>
    <w:rsid w:val="00402188"/>
    <w:rsid w:val="0040281F"/>
    <w:rsid w:val="00402AAA"/>
    <w:rsid w:val="00402F29"/>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8A8"/>
    <w:rsid w:val="00410A0F"/>
    <w:rsid w:val="00410BB0"/>
    <w:rsid w:val="00410E71"/>
    <w:rsid w:val="004113E2"/>
    <w:rsid w:val="00411F52"/>
    <w:rsid w:val="0041201A"/>
    <w:rsid w:val="00412245"/>
    <w:rsid w:val="004122D4"/>
    <w:rsid w:val="0041287F"/>
    <w:rsid w:val="00412DE8"/>
    <w:rsid w:val="00413316"/>
    <w:rsid w:val="004133CE"/>
    <w:rsid w:val="004134DF"/>
    <w:rsid w:val="0041360B"/>
    <w:rsid w:val="004143E5"/>
    <w:rsid w:val="0041469A"/>
    <w:rsid w:val="0041497A"/>
    <w:rsid w:val="00414B80"/>
    <w:rsid w:val="00415C01"/>
    <w:rsid w:val="00415FBA"/>
    <w:rsid w:val="004162D7"/>
    <w:rsid w:val="0041647B"/>
    <w:rsid w:val="004166A0"/>
    <w:rsid w:val="0041692C"/>
    <w:rsid w:val="00416A93"/>
    <w:rsid w:val="00416BD8"/>
    <w:rsid w:val="00416FCD"/>
    <w:rsid w:val="004179D0"/>
    <w:rsid w:val="00417A6D"/>
    <w:rsid w:val="004200B0"/>
    <w:rsid w:val="00420664"/>
    <w:rsid w:val="00420949"/>
    <w:rsid w:val="00420A87"/>
    <w:rsid w:val="00420B15"/>
    <w:rsid w:val="00420C24"/>
    <w:rsid w:val="00420DCE"/>
    <w:rsid w:val="00420E5E"/>
    <w:rsid w:val="004212F0"/>
    <w:rsid w:val="00421799"/>
    <w:rsid w:val="0042191F"/>
    <w:rsid w:val="00421F78"/>
    <w:rsid w:val="00422267"/>
    <w:rsid w:val="0042227F"/>
    <w:rsid w:val="00422E51"/>
    <w:rsid w:val="0042317C"/>
    <w:rsid w:val="00423925"/>
    <w:rsid w:val="00423C20"/>
    <w:rsid w:val="00423F52"/>
    <w:rsid w:val="00423FEB"/>
    <w:rsid w:val="004242BD"/>
    <w:rsid w:val="00424A25"/>
    <w:rsid w:val="004250A5"/>
    <w:rsid w:val="00425CF9"/>
    <w:rsid w:val="00425FF4"/>
    <w:rsid w:val="0042629F"/>
    <w:rsid w:val="004267C5"/>
    <w:rsid w:val="00426930"/>
    <w:rsid w:val="004269D5"/>
    <w:rsid w:val="0042706D"/>
    <w:rsid w:val="004270FD"/>
    <w:rsid w:val="004271D5"/>
    <w:rsid w:val="00427261"/>
    <w:rsid w:val="004272B9"/>
    <w:rsid w:val="004273F5"/>
    <w:rsid w:val="004277BC"/>
    <w:rsid w:val="00427915"/>
    <w:rsid w:val="00427EE1"/>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54C2"/>
    <w:rsid w:val="00445868"/>
    <w:rsid w:val="00445CA0"/>
    <w:rsid w:val="00446176"/>
    <w:rsid w:val="0044618B"/>
    <w:rsid w:val="00446390"/>
    <w:rsid w:val="004464A2"/>
    <w:rsid w:val="00446534"/>
    <w:rsid w:val="00446920"/>
    <w:rsid w:val="00447351"/>
    <w:rsid w:val="00447B50"/>
    <w:rsid w:val="00447BD5"/>
    <w:rsid w:val="00447C55"/>
    <w:rsid w:val="0045004D"/>
    <w:rsid w:val="00450BFC"/>
    <w:rsid w:val="00450C2B"/>
    <w:rsid w:val="00450E1B"/>
    <w:rsid w:val="004512D8"/>
    <w:rsid w:val="00451305"/>
    <w:rsid w:val="0045153F"/>
    <w:rsid w:val="00451B45"/>
    <w:rsid w:val="00451D03"/>
    <w:rsid w:val="00451D07"/>
    <w:rsid w:val="00451DF6"/>
    <w:rsid w:val="00451DFE"/>
    <w:rsid w:val="00452268"/>
    <w:rsid w:val="0045230A"/>
    <w:rsid w:val="00452AEA"/>
    <w:rsid w:val="00452D17"/>
    <w:rsid w:val="00452E0B"/>
    <w:rsid w:val="00453663"/>
    <w:rsid w:val="004538BB"/>
    <w:rsid w:val="00453F26"/>
    <w:rsid w:val="0045400B"/>
    <w:rsid w:val="0045406B"/>
    <w:rsid w:val="0045426D"/>
    <w:rsid w:val="00454D16"/>
    <w:rsid w:val="0045510B"/>
    <w:rsid w:val="00455385"/>
    <w:rsid w:val="0045555C"/>
    <w:rsid w:val="004556CC"/>
    <w:rsid w:val="0045598B"/>
    <w:rsid w:val="00455BCE"/>
    <w:rsid w:val="004561E6"/>
    <w:rsid w:val="0045626E"/>
    <w:rsid w:val="00456C11"/>
    <w:rsid w:val="0045701C"/>
    <w:rsid w:val="0045714E"/>
    <w:rsid w:val="0045724E"/>
    <w:rsid w:val="004575A6"/>
    <w:rsid w:val="004576B7"/>
    <w:rsid w:val="004578A8"/>
    <w:rsid w:val="00457E4C"/>
    <w:rsid w:val="004606CB"/>
    <w:rsid w:val="0046109E"/>
    <w:rsid w:val="00461293"/>
    <w:rsid w:val="004613ED"/>
    <w:rsid w:val="004614C6"/>
    <w:rsid w:val="004615D2"/>
    <w:rsid w:val="004621EC"/>
    <w:rsid w:val="004621F0"/>
    <w:rsid w:val="004623BF"/>
    <w:rsid w:val="004627AB"/>
    <w:rsid w:val="0046283F"/>
    <w:rsid w:val="00462F2F"/>
    <w:rsid w:val="004631BC"/>
    <w:rsid w:val="004634CE"/>
    <w:rsid w:val="004635A7"/>
    <w:rsid w:val="00463645"/>
    <w:rsid w:val="00463BC7"/>
    <w:rsid w:val="00463E97"/>
    <w:rsid w:val="004649D9"/>
    <w:rsid w:val="00464D36"/>
    <w:rsid w:val="00464F86"/>
    <w:rsid w:val="0046503A"/>
    <w:rsid w:val="004652D7"/>
    <w:rsid w:val="00465713"/>
    <w:rsid w:val="004659BD"/>
    <w:rsid w:val="00465F2A"/>
    <w:rsid w:val="0046684C"/>
    <w:rsid w:val="004668C7"/>
    <w:rsid w:val="00466A37"/>
    <w:rsid w:val="00466E27"/>
    <w:rsid w:val="004674B9"/>
    <w:rsid w:val="00467962"/>
    <w:rsid w:val="00467FA5"/>
    <w:rsid w:val="00471473"/>
    <w:rsid w:val="00471496"/>
    <w:rsid w:val="0047188C"/>
    <w:rsid w:val="00471D90"/>
    <w:rsid w:val="00472154"/>
    <w:rsid w:val="0047291F"/>
    <w:rsid w:val="00472C47"/>
    <w:rsid w:val="00472D29"/>
    <w:rsid w:val="00473915"/>
    <w:rsid w:val="00473D4B"/>
    <w:rsid w:val="004741FF"/>
    <w:rsid w:val="0047431D"/>
    <w:rsid w:val="00474492"/>
    <w:rsid w:val="00474924"/>
    <w:rsid w:val="004749BC"/>
    <w:rsid w:val="00474AB4"/>
    <w:rsid w:val="00474C65"/>
    <w:rsid w:val="0047533C"/>
    <w:rsid w:val="00475575"/>
    <w:rsid w:val="00475DC7"/>
    <w:rsid w:val="00475E92"/>
    <w:rsid w:val="00476187"/>
    <w:rsid w:val="00476D9E"/>
    <w:rsid w:val="00477146"/>
    <w:rsid w:val="004772B4"/>
    <w:rsid w:val="00477835"/>
    <w:rsid w:val="004778C7"/>
    <w:rsid w:val="00477A42"/>
    <w:rsid w:val="0048018C"/>
    <w:rsid w:val="0048066C"/>
    <w:rsid w:val="0048087A"/>
    <w:rsid w:val="00480D93"/>
    <w:rsid w:val="00480DA7"/>
    <w:rsid w:val="0048154D"/>
    <w:rsid w:val="0048157D"/>
    <w:rsid w:val="0048179C"/>
    <w:rsid w:val="00481A57"/>
    <w:rsid w:val="004825B9"/>
    <w:rsid w:val="00482A29"/>
    <w:rsid w:val="00482A70"/>
    <w:rsid w:val="004831D6"/>
    <w:rsid w:val="0048328C"/>
    <w:rsid w:val="00483326"/>
    <w:rsid w:val="004834A7"/>
    <w:rsid w:val="0048365D"/>
    <w:rsid w:val="00483927"/>
    <w:rsid w:val="00483A51"/>
    <w:rsid w:val="00483B71"/>
    <w:rsid w:val="00483CA0"/>
    <w:rsid w:val="00483D92"/>
    <w:rsid w:val="00483FCE"/>
    <w:rsid w:val="0048408A"/>
    <w:rsid w:val="004842EB"/>
    <w:rsid w:val="00484746"/>
    <w:rsid w:val="00485533"/>
    <w:rsid w:val="0048558F"/>
    <w:rsid w:val="00485759"/>
    <w:rsid w:val="00485BCA"/>
    <w:rsid w:val="00485D2C"/>
    <w:rsid w:val="00485DBF"/>
    <w:rsid w:val="00485E49"/>
    <w:rsid w:val="004861D1"/>
    <w:rsid w:val="004862E7"/>
    <w:rsid w:val="00486531"/>
    <w:rsid w:val="0048677F"/>
    <w:rsid w:val="00486AF4"/>
    <w:rsid w:val="00486B9D"/>
    <w:rsid w:val="00486F4D"/>
    <w:rsid w:val="00487851"/>
    <w:rsid w:val="004879B6"/>
    <w:rsid w:val="00487EC0"/>
    <w:rsid w:val="00487EC7"/>
    <w:rsid w:val="00490F9B"/>
    <w:rsid w:val="00491465"/>
    <w:rsid w:val="0049165E"/>
    <w:rsid w:val="00491A11"/>
    <w:rsid w:val="004922A5"/>
    <w:rsid w:val="004925EC"/>
    <w:rsid w:val="00492C0D"/>
    <w:rsid w:val="00492CD9"/>
    <w:rsid w:val="00493B8D"/>
    <w:rsid w:val="0049412F"/>
    <w:rsid w:val="00494637"/>
    <w:rsid w:val="0049473E"/>
    <w:rsid w:val="0049493E"/>
    <w:rsid w:val="0049530B"/>
    <w:rsid w:val="00495456"/>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42F"/>
    <w:rsid w:val="004A200E"/>
    <w:rsid w:val="004A2164"/>
    <w:rsid w:val="004A2515"/>
    <w:rsid w:val="004A2B54"/>
    <w:rsid w:val="004A2E41"/>
    <w:rsid w:val="004A30FA"/>
    <w:rsid w:val="004A324F"/>
    <w:rsid w:val="004A34BC"/>
    <w:rsid w:val="004A35BE"/>
    <w:rsid w:val="004A39FD"/>
    <w:rsid w:val="004A45E4"/>
    <w:rsid w:val="004A4A85"/>
    <w:rsid w:val="004A5164"/>
    <w:rsid w:val="004A5391"/>
    <w:rsid w:val="004A5619"/>
    <w:rsid w:val="004A57C0"/>
    <w:rsid w:val="004A5897"/>
    <w:rsid w:val="004A593E"/>
    <w:rsid w:val="004A5D61"/>
    <w:rsid w:val="004A650C"/>
    <w:rsid w:val="004A69C8"/>
    <w:rsid w:val="004A6C97"/>
    <w:rsid w:val="004A78CB"/>
    <w:rsid w:val="004A7AA8"/>
    <w:rsid w:val="004A7F29"/>
    <w:rsid w:val="004B00FE"/>
    <w:rsid w:val="004B0796"/>
    <w:rsid w:val="004B09F7"/>
    <w:rsid w:val="004B0A7D"/>
    <w:rsid w:val="004B0AB9"/>
    <w:rsid w:val="004B0E07"/>
    <w:rsid w:val="004B0E1F"/>
    <w:rsid w:val="004B10EC"/>
    <w:rsid w:val="004B141F"/>
    <w:rsid w:val="004B1491"/>
    <w:rsid w:val="004B16BA"/>
    <w:rsid w:val="004B1E8C"/>
    <w:rsid w:val="004B3987"/>
    <w:rsid w:val="004B3A9B"/>
    <w:rsid w:val="004B3C6B"/>
    <w:rsid w:val="004B441C"/>
    <w:rsid w:val="004B44C5"/>
    <w:rsid w:val="004B4B80"/>
    <w:rsid w:val="004B4D21"/>
    <w:rsid w:val="004B55DC"/>
    <w:rsid w:val="004B6F83"/>
    <w:rsid w:val="004B7FA5"/>
    <w:rsid w:val="004C0479"/>
    <w:rsid w:val="004C0A38"/>
    <w:rsid w:val="004C1076"/>
    <w:rsid w:val="004C112B"/>
    <w:rsid w:val="004C12BA"/>
    <w:rsid w:val="004C1649"/>
    <w:rsid w:val="004C1A1C"/>
    <w:rsid w:val="004C1AD1"/>
    <w:rsid w:val="004C1DBC"/>
    <w:rsid w:val="004C2710"/>
    <w:rsid w:val="004C29A2"/>
    <w:rsid w:val="004C2AE8"/>
    <w:rsid w:val="004C37B2"/>
    <w:rsid w:val="004C398D"/>
    <w:rsid w:val="004C3ACD"/>
    <w:rsid w:val="004C3C46"/>
    <w:rsid w:val="004C402B"/>
    <w:rsid w:val="004C417C"/>
    <w:rsid w:val="004C4781"/>
    <w:rsid w:val="004C49D5"/>
    <w:rsid w:val="004C4C8A"/>
    <w:rsid w:val="004C4EE4"/>
    <w:rsid w:val="004C5315"/>
    <w:rsid w:val="004C577C"/>
    <w:rsid w:val="004C581E"/>
    <w:rsid w:val="004C5CEB"/>
    <w:rsid w:val="004C5E01"/>
    <w:rsid w:val="004C60CF"/>
    <w:rsid w:val="004C7235"/>
    <w:rsid w:val="004C7276"/>
    <w:rsid w:val="004C72EE"/>
    <w:rsid w:val="004C7366"/>
    <w:rsid w:val="004C77E1"/>
    <w:rsid w:val="004C77F2"/>
    <w:rsid w:val="004C7F52"/>
    <w:rsid w:val="004D0374"/>
    <w:rsid w:val="004D03AF"/>
    <w:rsid w:val="004D078E"/>
    <w:rsid w:val="004D082D"/>
    <w:rsid w:val="004D09B3"/>
    <w:rsid w:val="004D0BB5"/>
    <w:rsid w:val="004D0CC3"/>
    <w:rsid w:val="004D0ED6"/>
    <w:rsid w:val="004D1061"/>
    <w:rsid w:val="004D2591"/>
    <w:rsid w:val="004D26E7"/>
    <w:rsid w:val="004D2824"/>
    <w:rsid w:val="004D2B7A"/>
    <w:rsid w:val="004D2F0B"/>
    <w:rsid w:val="004D36AE"/>
    <w:rsid w:val="004D4063"/>
    <w:rsid w:val="004D4140"/>
    <w:rsid w:val="004D514B"/>
    <w:rsid w:val="004D528E"/>
    <w:rsid w:val="004D55FF"/>
    <w:rsid w:val="004D5A45"/>
    <w:rsid w:val="004D5B4D"/>
    <w:rsid w:val="004D5BFF"/>
    <w:rsid w:val="004D6506"/>
    <w:rsid w:val="004D6C28"/>
    <w:rsid w:val="004D6FAF"/>
    <w:rsid w:val="004D70A6"/>
    <w:rsid w:val="004D7FA5"/>
    <w:rsid w:val="004E0044"/>
    <w:rsid w:val="004E033D"/>
    <w:rsid w:val="004E08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541"/>
    <w:rsid w:val="004E3C09"/>
    <w:rsid w:val="004E3CC5"/>
    <w:rsid w:val="004E3F91"/>
    <w:rsid w:val="004E4B5E"/>
    <w:rsid w:val="004E4C36"/>
    <w:rsid w:val="004E52B6"/>
    <w:rsid w:val="004E53E9"/>
    <w:rsid w:val="004E5401"/>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0DDB"/>
    <w:rsid w:val="004F1002"/>
    <w:rsid w:val="004F11A9"/>
    <w:rsid w:val="004F1382"/>
    <w:rsid w:val="004F1B1E"/>
    <w:rsid w:val="004F20D9"/>
    <w:rsid w:val="004F240B"/>
    <w:rsid w:val="004F24D9"/>
    <w:rsid w:val="004F2685"/>
    <w:rsid w:val="004F35E0"/>
    <w:rsid w:val="004F3A12"/>
    <w:rsid w:val="004F3D42"/>
    <w:rsid w:val="004F43A1"/>
    <w:rsid w:val="004F45B8"/>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03"/>
    <w:rsid w:val="004F7D83"/>
    <w:rsid w:val="004F7EDF"/>
    <w:rsid w:val="00500110"/>
    <w:rsid w:val="00500799"/>
    <w:rsid w:val="00500DE8"/>
    <w:rsid w:val="00501064"/>
    <w:rsid w:val="005014FC"/>
    <w:rsid w:val="005019B5"/>
    <w:rsid w:val="005019C0"/>
    <w:rsid w:val="00502243"/>
    <w:rsid w:val="0050225A"/>
    <w:rsid w:val="00502D81"/>
    <w:rsid w:val="00502D90"/>
    <w:rsid w:val="00502E1D"/>
    <w:rsid w:val="00502F97"/>
    <w:rsid w:val="0050312B"/>
    <w:rsid w:val="00503352"/>
    <w:rsid w:val="005033D8"/>
    <w:rsid w:val="00503662"/>
    <w:rsid w:val="00503CF7"/>
    <w:rsid w:val="00503F00"/>
    <w:rsid w:val="005042D3"/>
    <w:rsid w:val="00504727"/>
    <w:rsid w:val="00504BF6"/>
    <w:rsid w:val="00505460"/>
    <w:rsid w:val="00505CE1"/>
    <w:rsid w:val="00506058"/>
    <w:rsid w:val="00506259"/>
    <w:rsid w:val="005062DD"/>
    <w:rsid w:val="00506A1F"/>
    <w:rsid w:val="005071A3"/>
    <w:rsid w:val="005077C6"/>
    <w:rsid w:val="00507CFB"/>
    <w:rsid w:val="00510245"/>
    <w:rsid w:val="0051024A"/>
    <w:rsid w:val="0051067C"/>
    <w:rsid w:val="005107C6"/>
    <w:rsid w:val="00510833"/>
    <w:rsid w:val="0051089A"/>
    <w:rsid w:val="005108EF"/>
    <w:rsid w:val="00510A01"/>
    <w:rsid w:val="00511120"/>
    <w:rsid w:val="00511156"/>
    <w:rsid w:val="0051118C"/>
    <w:rsid w:val="0051138B"/>
    <w:rsid w:val="00511A66"/>
    <w:rsid w:val="00512229"/>
    <w:rsid w:val="00512DFB"/>
    <w:rsid w:val="00512E08"/>
    <w:rsid w:val="005135E4"/>
    <w:rsid w:val="00513906"/>
    <w:rsid w:val="00513EDA"/>
    <w:rsid w:val="00513F42"/>
    <w:rsid w:val="00513F6B"/>
    <w:rsid w:val="005140C4"/>
    <w:rsid w:val="005142A8"/>
    <w:rsid w:val="00514425"/>
    <w:rsid w:val="00514E2D"/>
    <w:rsid w:val="00514ECF"/>
    <w:rsid w:val="00515B23"/>
    <w:rsid w:val="00515C39"/>
    <w:rsid w:val="00516381"/>
    <w:rsid w:val="00516487"/>
    <w:rsid w:val="00516C58"/>
    <w:rsid w:val="005173C0"/>
    <w:rsid w:val="00517471"/>
    <w:rsid w:val="00517538"/>
    <w:rsid w:val="00520415"/>
    <w:rsid w:val="005204AE"/>
    <w:rsid w:val="005206FD"/>
    <w:rsid w:val="00520A59"/>
    <w:rsid w:val="00521006"/>
    <w:rsid w:val="00521163"/>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4043"/>
    <w:rsid w:val="0052438E"/>
    <w:rsid w:val="00525B0A"/>
    <w:rsid w:val="0052624A"/>
    <w:rsid w:val="00526266"/>
    <w:rsid w:val="00526493"/>
    <w:rsid w:val="00526A07"/>
    <w:rsid w:val="00526A2E"/>
    <w:rsid w:val="00526EBE"/>
    <w:rsid w:val="00527730"/>
    <w:rsid w:val="005302CE"/>
    <w:rsid w:val="00530311"/>
    <w:rsid w:val="0053092A"/>
    <w:rsid w:val="00530BC0"/>
    <w:rsid w:val="005310F3"/>
    <w:rsid w:val="0053160A"/>
    <w:rsid w:val="00531614"/>
    <w:rsid w:val="005319CA"/>
    <w:rsid w:val="00531A3D"/>
    <w:rsid w:val="00531DE9"/>
    <w:rsid w:val="00531EC4"/>
    <w:rsid w:val="00531F4B"/>
    <w:rsid w:val="00532673"/>
    <w:rsid w:val="0053272A"/>
    <w:rsid w:val="00532A16"/>
    <w:rsid w:val="0053349A"/>
    <w:rsid w:val="005334AF"/>
    <w:rsid w:val="005336D9"/>
    <w:rsid w:val="00533DD7"/>
    <w:rsid w:val="00534101"/>
    <w:rsid w:val="00534175"/>
    <w:rsid w:val="0053426F"/>
    <w:rsid w:val="00534527"/>
    <w:rsid w:val="0053497F"/>
    <w:rsid w:val="00534DA3"/>
    <w:rsid w:val="00534DD6"/>
    <w:rsid w:val="00535E1F"/>
    <w:rsid w:val="0053665B"/>
    <w:rsid w:val="00536848"/>
    <w:rsid w:val="00536B82"/>
    <w:rsid w:val="00536BED"/>
    <w:rsid w:val="00536DA1"/>
    <w:rsid w:val="00537024"/>
    <w:rsid w:val="0053708A"/>
    <w:rsid w:val="00537261"/>
    <w:rsid w:val="00537401"/>
    <w:rsid w:val="0053770A"/>
    <w:rsid w:val="005379C2"/>
    <w:rsid w:val="00537E54"/>
    <w:rsid w:val="00537E60"/>
    <w:rsid w:val="0054010B"/>
    <w:rsid w:val="005402B2"/>
    <w:rsid w:val="00540758"/>
    <w:rsid w:val="00540776"/>
    <w:rsid w:val="005407D4"/>
    <w:rsid w:val="005414E2"/>
    <w:rsid w:val="0054160D"/>
    <w:rsid w:val="005416A2"/>
    <w:rsid w:val="00541EB7"/>
    <w:rsid w:val="00542945"/>
    <w:rsid w:val="00542AD5"/>
    <w:rsid w:val="00542EDE"/>
    <w:rsid w:val="0054341E"/>
    <w:rsid w:val="00543FC2"/>
    <w:rsid w:val="00544088"/>
    <w:rsid w:val="0054433B"/>
    <w:rsid w:val="00544AD7"/>
    <w:rsid w:val="005452DF"/>
    <w:rsid w:val="0054585E"/>
    <w:rsid w:val="00545B76"/>
    <w:rsid w:val="00546073"/>
    <w:rsid w:val="00546F98"/>
    <w:rsid w:val="0054736B"/>
    <w:rsid w:val="005478BB"/>
    <w:rsid w:val="00547BC4"/>
    <w:rsid w:val="00550BE8"/>
    <w:rsid w:val="00550C69"/>
    <w:rsid w:val="00551607"/>
    <w:rsid w:val="00552423"/>
    <w:rsid w:val="005534BB"/>
    <w:rsid w:val="00553651"/>
    <w:rsid w:val="0055365C"/>
    <w:rsid w:val="00553668"/>
    <w:rsid w:val="00553ADF"/>
    <w:rsid w:val="005541D4"/>
    <w:rsid w:val="00554A10"/>
    <w:rsid w:val="005550AC"/>
    <w:rsid w:val="005562EA"/>
    <w:rsid w:val="005565AB"/>
    <w:rsid w:val="00556A21"/>
    <w:rsid w:val="00556E29"/>
    <w:rsid w:val="00556EE7"/>
    <w:rsid w:val="005573E5"/>
    <w:rsid w:val="0055768B"/>
    <w:rsid w:val="00557FDA"/>
    <w:rsid w:val="0056060F"/>
    <w:rsid w:val="005613E8"/>
    <w:rsid w:val="00561536"/>
    <w:rsid w:val="0056158C"/>
    <w:rsid w:val="00561816"/>
    <w:rsid w:val="005619B2"/>
    <w:rsid w:val="00561C27"/>
    <w:rsid w:val="0056225F"/>
    <w:rsid w:val="0056255F"/>
    <w:rsid w:val="0056269B"/>
    <w:rsid w:val="0056298E"/>
    <w:rsid w:val="00562C8B"/>
    <w:rsid w:val="00563627"/>
    <w:rsid w:val="0056383A"/>
    <w:rsid w:val="0056396A"/>
    <w:rsid w:val="005641CA"/>
    <w:rsid w:val="00564478"/>
    <w:rsid w:val="005647F9"/>
    <w:rsid w:val="00564CE1"/>
    <w:rsid w:val="00564FDD"/>
    <w:rsid w:val="00565127"/>
    <w:rsid w:val="00566671"/>
    <w:rsid w:val="00566DAC"/>
    <w:rsid w:val="00566FEA"/>
    <w:rsid w:val="005676F5"/>
    <w:rsid w:val="00567C79"/>
    <w:rsid w:val="00570012"/>
    <w:rsid w:val="00570018"/>
    <w:rsid w:val="005704B3"/>
    <w:rsid w:val="005705A3"/>
    <w:rsid w:val="00570BF4"/>
    <w:rsid w:val="005715BD"/>
    <w:rsid w:val="005719C2"/>
    <w:rsid w:val="00572C10"/>
    <w:rsid w:val="00572FD2"/>
    <w:rsid w:val="005735B8"/>
    <w:rsid w:val="005735BB"/>
    <w:rsid w:val="00573ABC"/>
    <w:rsid w:val="00573EC6"/>
    <w:rsid w:val="005746CB"/>
    <w:rsid w:val="00574A48"/>
    <w:rsid w:val="00574A5F"/>
    <w:rsid w:val="00574C1C"/>
    <w:rsid w:val="00574E66"/>
    <w:rsid w:val="00575769"/>
    <w:rsid w:val="005759A1"/>
    <w:rsid w:val="00575CFA"/>
    <w:rsid w:val="00575D6A"/>
    <w:rsid w:val="00575FB3"/>
    <w:rsid w:val="005760F7"/>
    <w:rsid w:val="00576192"/>
    <w:rsid w:val="005761FD"/>
    <w:rsid w:val="00576A48"/>
    <w:rsid w:val="00576A9C"/>
    <w:rsid w:val="00576C1D"/>
    <w:rsid w:val="00576EC9"/>
    <w:rsid w:val="00576F3F"/>
    <w:rsid w:val="0057744C"/>
    <w:rsid w:val="00577475"/>
    <w:rsid w:val="005775D9"/>
    <w:rsid w:val="00577878"/>
    <w:rsid w:val="005778F0"/>
    <w:rsid w:val="00577F44"/>
    <w:rsid w:val="00577F58"/>
    <w:rsid w:val="0058016F"/>
    <w:rsid w:val="005801D7"/>
    <w:rsid w:val="00580227"/>
    <w:rsid w:val="005804C3"/>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D"/>
    <w:rsid w:val="00583129"/>
    <w:rsid w:val="005835F6"/>
    <w:rsid w:val="00583D40"/>
    <w:rsid w:val="00583E2B"/>
    <w:rsid w:val="00583E96"/>
    <w:rsid w:val="005840D6"/>
    <w:rsid w:val="00584161"/>
    <w:rsid w:val="0058451D"/>
    <w:rsid w:val="00584B8F"/>
    <w:rsid w:val="00584E40"/>
    <w:rsid w:val="0058551B"/>
    <w:rsid w:val="00585C73"/>
    <w:rsid w:val="00585F3C"/>
    <w:rsid w:val="005867AE"/>
    <w:rsid w:val="00586E12"/>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2EB2"/>
    <w:rsid w:val="00593021"/>
    <w:rsid w:val="005930BC"/>
    <w:rsid w:val="00593486"/>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1360"/>
    <w:rsid w:val="005A1526"/>
    <w:rsid w:val="005A15BB"/>
    <w:rsid w:val="005A15E6"/>
    <w:rsid w:val="005A1C96"/>
    <w:rsid w:val="005A21FA"/>
    <w:rsid w:val="005A24B9"/>
    <w:rsid w:val="005A274F"/>
    <w:rsid w:val="005A2951"/>
    <w:rsid w:val="005A29BE"/>
    <w:rsid w:val="005A2A5D"/>
    <w:rsid w:val="005A2CB7"/>
    <w:rsid w:val="005A3174"/>
    <w:rsid w:val="005A4144"/>
    <w:rsid w:val="005A42D6"/>
    <w:rsid w:val="005A44BF"/>
    <w:rsid w:val="005A44DD"/>
    <w:rsid w:val="005A4E7B"/>
    <w:rsid w:val="005A4E82"/>
    <w:rsid w:val="005A5248"/>
    <w:rsid w:val="005A6761"/>
    <w:rsid w:val="005A7264"/>
    <w:rsid w:val="005A74DB"/>
    <w:rsid w:val="005A74EC"/>
    <w:rsid w:val="005A78C7"/>
    <w:rsid w:val="005A7E99"/>
    <w:rsid w:val="005B07F8"/>
    <w:rsid w:val="005B0981"/>
    <w:rsid w:val="005B1133"/>
    <w:rsid w:val="005B1263"/>
    <w:rsid w:val="005B18AD"/>
    <w:rsid w:val="005B1C39"/>
    <w:rsid w:val="005B1DA4"/>
    <w:rsid w:val="005B2177"/>
    <w:rsid w:val="005B2807"/>
    <w:rsid w:val="005B3497"/>
    <w:rsid w:val="005B36BA"/>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1D9C"/>
    <w:rsid w:val="005C1EBD"/>
    <w:rsid w:val="005C23E4"/>
    <w:rsid w:val="005C246E"/>
    <w:rsid w:val="005C2571"/>
    <w:rsid w:val="005C2763"/>
    <w:rsid w:val="005C28E9"/>
    <w:rsid w:val="005C2AAF"/>
    <w:rsid w:val="005C2C1D"/>
    <w:rsid w:val="005C34FA"/>
    <w:rsid w:val="005C382F"/>
    <w:rsid w:val="005C3D75"/>
    <w:rsid w:val="005C4461"/>
    <w:rsid w:val="005C45B9"/>
    <w:rsid w:val="005C5186"/>
    <w:rsid w:val="005C5402"/>
    <w:rsid w:val="005C5DEF"/>
    <w:rsid w:val="005C5ECE"/>
    <w:rsid w:val="005C5ED9"/>
    <w:rsid w:val="005C6825"/>
    <w:rsid w:val="005C6B73"/>
    <w:rsid w:val="005C6BE2"/>
    <w:rsid w:val="005C7A7A"/>
    <w:rsid w:val="005D0397"/>
    <w:rsid w:val="005D0565"/>
    <w:rsid w:val="005D071D"/>
    <w:rsid w:val="005D09B8"/>
    <w:rsid w:val="005D1075"/>
    <w:rsid w:val="005D1248"/>
    <w:rsid w:val="005D1255"/>
    <w:rsid w:val="005D12C4"/>
    <w:rsid w:val="005D141F"/>
    <w:rsid w:val="005D1494"/>
    <w:rsid w:val="005D2102"/>
    <w:rsid w:val="005D2885"/>
    <w:rsid w:val="005D395A"/>
    <w:rsid w:val="005D48A2"/>
    <w:rsid w:val="005D497A"/>
    <w:rsid w:val="005D4AA8"/>
    <w:rsid w:val="005D52B9"/>
    <w:rsid w:val="005D5F04"/>
    <w:rsid w:val="005D62B3"/>
    <w:rsid w:val="005D6CC9"/>
    <w:rsid w:val="005D764B"/>
    <w:rsid w:val="005D773B"/>
    <w:rsid w:val="005E0160"/>
    <w:rsid w:val="005E03CB"/>
    <w:rsid w:val="005E0821"/>
    <w:rsid w:val="005E0A98"/>
    <w:rsid w:val="005E109D"/>
    <w:rsid w:val="005E16C9"/>
    <w:rsid w:val="005E1961"/>
    <w:rsid w:val="005E2204"/>
    <w:rsid w:val="005E2285"/>
    <w:rsid w:val="005E25C1"/>
    <w:rsid w:val="005E2661"/>
    <w:rsid w:val="005E3167"/>
    <w:rsid w:val="005E36CC"/>
    <w:rsid w:val="005E3CB4"/>
    <w:rsid w:val="005E3E05"/>
    <w:rsid w:val="005E43AE"/>
    <w:rsid w:val="005E462C"/>
    <w:rsid w:val="005E4816"/>
    <w:rsid w:val="005E52F3"/>
    <w:rsid w:val="005E5351"/>
    <w:rsid w:val="005E542C"/>
    <w:rsid w:val="005E581A"/>
    <w:rsid w:val="005E59CF"/>
    <w:rsid w:val="005E651B"/>
    <w:rsid w:val="005E6A00"/>
    <w:rsid w:val="005E6DD2"/>
    <w:rsid w:val="005E74A0"/>
    <w:rsid w:val="005E7D9F"/>
    <w:rsid w:val="005E7E2C"/>
    <w:rsid w:val="005E7ECE"/>
    <w:rsid w:val="005E7FAB"/>
    <w:rsid w:val="005F0BB2"/>
    <w:rsid w:val="005F0C5A"/>
    <w:rsid w:val="005F0D01"/>
    <w:rsid w:val="005F106A"/>
    <w:rsid w:val="005F12A9"/>
    <w:rsid w:val="005F1B12"/>
    <w:rsid w:val="005F1B40"/>
    <w:rsid w:val="005F1F06"/>
    <w:rsid w:val="005F2030"/>
    <w:rsid w:val="005F2104"/>
    <w:rsid w:val="005F2738"/>
    <w:rsid w:val="005F2CD9"/>
    <w:rsid w:val="005F2DD4"/>
    <w:rsid w:val="005F38AC"/>
    <w:rsid w:val="005F40BB"/>
    <w:rsid w:val="005F4CC2"/>
    <w:rsid w:val="005F4FED"/>
    <w:rsid w:val="005F551C"/>
    <w:rsid w:val="005F5CE7"/>
    <w:rsid w:val="005F5F36"/>
    <w:rsid w:val="005F618D"/>
    <w:rsid w:val="005F6F53"/>
    <w:rsid w:val="005F719C"/>
    <w:rsid w:val="005F73D0"/>
    <w:rsid w:val="005F7770"/>
    <w:rsid w:val="005F7C8F"/>
    <w:rsid w:val="0060043D"/>
    <w:rsid w:val="0060058E"/>
    <w:rsid w:val="00600802"/>
    <w:rsid w:val="006008D1"/>
    <w:rsid w:val="006009A8"/>
    <w:rsid w:val="00600A7A"/>
    <w:rsid w:val="0060128F"/>
    <w:rsid w:val="00601ECC"/>
    <w:rsid w:val="006023D9"/>
    <w:rsid w:val="0060269A"/>
    <w:rsid w:val="00602739"/>
    <w:rsid w:val="006028D5"/>
    <w:rsid w:val="00602916"/>
    <w:rsid w:val="00602979"/>
    <w:rsid w:val="00603085"/>
    <w:rsid w:val="00603830"/>
    <w:rsid w:val="006039CE"/>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10620"/>
    <w:rsid w:val="00610D6D"/>
    <w:rsid w:val="0061110A"/>
    <w:rsid w:val="006112CD"/>
    <w:rsid w:val="006119D2"/>
    <w:rsid w:val="00611A84"/>
    <w:rsid w:val="00611AEA"/>
    <w:rsid w:val="00611B10"/>
    <w:rsid w:val="00611D72"/>
    <w:rsid w:val="00611ED0"/>
    <w:rsid w:val="0061201A"/>
    <w:rsid w:val="006120DB"/>
    <w:rsid w:val="00612230"/>
    <w:rsid w:val="00612958"/>
    <w:rsid w:val="00612DE6"/>
    <w:rsid w:val="00612EAE"/>
    <w:rsid w:val="00613A36"/>
    <w:rsid w:val="00614254"/>
    <w:rsid w:val="00614317"/>
    <w:rsid w:val="0061433C"/>
    <w:rsid w:val="0061434B"/>
    <w:rsid w:val="006143BD"/>
    <w:rsid w:val="0061445B"/>
    <w:rsid w:val="00614C53"/>
    <w:rsid w:val="00615263"/>
    <w:rsid w:val="0061599C"/>
    <w:rsid w:val="00615AD4"/>
    <w:rsid w:val="0061619C"/>
    <w:rsid w:val="00616BFE"/>
    <w:rsid w:val="00616EAD"/>
    <w:rsid w:val="00617567"/>
    <w:rsid w:val="00617C5A"/>
    <w:rsid w:val="00617D36"/>
    <w:rsid w:val="00617FA5"/>
    <w:rsid w:val="00620A75"/>
    <w:rsid w:val="00621089"/>
    <w:rsid w:val="0062128D"/>
    <w:rsid w:val="00621407"/>
    <w:rsid w:val="006215B5"/>
    <w:rsid w:val="00621757"/>
    <w:rsid w:val="00621D27"/>
    <w:rsid w:val="00622B92"/>
    <w:rsid w:val="00622CC0"/>
    <w:rsid w:val="00622E33"/>
    <w:rsid w:val="00622FC5"/>
    <w:rsid w:val="00623C20"/>
    <w:rsid w:val="006243D6"/>
    <w:rsid w:val="00624A25"/>
    <w:rsid w:val="00624FB0"/>
    <w:rsid w:val="006254B4"/>
    <w:rsid w:val="006254FD"/>
    <w:rsid w:val="006262CF"/>
    <w:rsid w:val="006266D4"/>
    <w:rsid w:val="006266E1"/>
    <w:rsid w:val="006266FA"/>
    <w:rsid w:val="00627067"/>
    <w:rsid w:val="00627240"/>
    <w:rsid w:val="00627750"/>
    <w:rsid w:val="0063007A"/>
    <w:rsid w:val="006302E0"/>
    <w:rsid w:val="0063056A"/>
    <w:rsid w:val="00630767"/>
    <w:rsid w:val="006307CD"/>
    <w:rsid w:val="00630E39"/>
    <w:rsid w:val="0063103F"/>
    <w:rsid w:val="0063133D"/>
    <w:rsid w:val="00631925"/>
    <w:rsid w:val="00631D9A"/>
    <w:rsid w:val="006326EA"/>
    <w:rsid w:val="00632B06"/>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730"/>
    <w:rsid w:val="006378C4"/>
    <w:rsid w:val="00640E50"/>
    <w:rsid w:val="00640EC7"/>
    <w:rsid w:val="00641975"/>
    <w:rsid w:val="00641FE4"/>
    <w:rsid w:val="006421A8"/>
    <w:rsid w:val="00642290"/>
    <w:rsid w:val="006423EC"/>
    <w:rsid w:val="00642B49"/>
    <w:rsid w:val="00642E73"/>
    <w:rsid w:val="006430E4"/>
    <w:rsid w:val="006434FB"/>
    <w:rsid w:val="00643947"/>
    <w:rsid w:val="00644027"/>
    <w:rsid w:val="0064428A"/>
    <w:rsid w:val="00644375"/>
    <w:rsid w:val="006444A0"/>
    <w:rsid w:val="006445F9"/>
    <w:rsid w:val="0064481A"/>
    <w:rsid w:val="00644C3A"/>
    <w:rsid w:val="00644D13"/>
    <w:rsid w:val="00645089"/>
    <w:rsid w:val="00645553"/>
    <w:rsid w:val="00645637"/>
    <w:rsid w:val="0064591A"/>
    <w:rsid w:val="00645A8E"/>
    <w:rsid w:val="00645BCE"/>
    <w:rsid w:val="00645D07"/>
    <w:rsid w:val="00645E86"/>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75F"/>
    <w:rsid w:val="00654C98"/>
    <w:rsid w:val="00654F06"/>
    <w:rsid w:val="00655501"/>
    <w:rsid w:val="006556BA"/>
    <w:rsid w:val="00655BFD"/>
    <w:rsid w:val="00655E3E"/>
    <w:rsid w:val="00655F1F"/>
    <w:rsid w:val="00655F4D"/>
    <w:rsid w:val="0065610C"/>
    <w:rsid w:val="00656718"/>
    <w:rsid w:val="00656BAC"/>
    <w:rsid w:val="00657A05"/>
    <w:rsid w:val="006603A8"/>
    <w:rsid w:val="006603BD"/>
    <w:rsid w:val="00660830"/>
    <w:rsid w:val="00660AE9"/>
    <w:rsid w:val="00661178"/>
    <w:rsid w:val="006614FF"/>
    <w:rsid w:val="0066180C"/>
    <w:rsid w:val="00661AD7"/>
    <w:rsid w:val="00661B95"/>
    <w:rsid w:val="00661C62"/>
    <w:rsid w:val="00661D3E"/>
    <w:rsid w:val="0066220E"/>
    <w:rsid w:val="00662307"/>
    <w:rsid w:val="006623B5"/>
    <w:rsid w:val="0066247E"/>
    <w:rsid w:val="0066283C"/>
    <w:rsid w:val="006637E3"/>
    <w:rsid w:val="00663817"/>
    <w:rsid w:val="006638C7"/>
    <w:rsid w:val="00664031"/>
    <w:rsid w:val="00664914"/>
    <w:rsid w:val="00664BF0"/>
    <w:rsid w:val="00664C0B"/>
    <w:rsid w:val="00665375"/>
    <w:rsid w:val="00665A3C"/>
    <w:rsid w:val="00665D0D"/>
    <w:rsid w:val="00665E16"/>
    <w:rsid w:val="006662EB"/>
    <w:rsid w:val="006669FB"/>
    <w:rsid w:val="00666D12"/>
    <w:rsid w:val="00666DFB"/>
    <w:rsid w:val="0066740E"/>
    <w:rsid w:val="006679B3"/>
    <w:rsid w:val="0067011C"/>
    <w:rsid w:val="00670C77"/>
    <w:rsid w:val="00670F64"/>
    <w:rsid w:val="00671067"/>
    <w:rsid w:val="00671260"/>
    <w:rsid w:val="006712C2"/>
    <w:rsid w:val="00671492"/>
    <w:rsid w:val="006717E1"/>
    <w:rsid w:val="0067197D"/>
    <w:rsid w:val="00671D89"/>
    <w:rsid w:val="00671FFF"/>
    <w:rsid w:val="00672399"/>
    <w:rsid w:val="0067295F"/>
    <w:rsid w:val="00672BB1"/>
    <w:rsid w:val="00672D08"/>
    <w:rsid w:val="006738DD"/>
    <w:rsid w:val="00673B0F"/>
    <w:rsid w:val="00673B43"/>
    <w:rsid w:val="00673F70"/>
    <w:rsid w:val="00674720"/>
    <w:rsid w:val="00674C30"/>
    <w:rsid w:val="00675203"/>
    <w:rsid w:val="006757E8"/>
    <w:rsid w:val="00675E8D"/>
    <w:rsid w:val="006760A1"/>
    <w:rsid w:val="006768D4"/>
    <w:rsid w:val="00676B02"/>
    <w:rsid w:val="006770D4"/>
    <w:rsid w:val="006773B8"/>
    <w:rsid w:val="006773E8"/>
    <w:rsid w:val="00677CFC"/>
    <w:rsid w:val="00677D3D"/>
    <w:rsid w:val="00677DE9"/>
    <w:rsid w:val="006801FB"/>
    <w:rsid w:val="00680CBA"/>
    <w:rsid w:val="00680D85"/>
    <w:rsid w:val="006813EB"/>
    <w:rsid w:val="00681603"/>
    <w:rsid w:val="006817C4"/>
    <w:rsid w:val="006819A9"/>
    <w:rsid w:val="00681AF8"/>
    <w:rsid w:val="00681E17"/>
    <w:rsid w:val="00682292"/>
    <w:rsid w:val="00682478"/>
    <w:rsid w:val="006829E9"/>
    <w:rsid w:val="00682A59"/>
    <w:rsid w:val="00682BD8"/>
    <w:rsid w:val="0068306F"/>
    <w:rsid w:val="0068323C"/>
    <w:rsid w:val="0068345F"/>
    <w:rsid w:val="00683AD9"/>
    <w:rsid w:val="0068458E"/>
    <w:rsid w:val="006848E7"/>
    <w:rsid w:val="0068506C"/>
    <w:rsid w:val="006850FB"/>
    <w:rsid w:val="006852CE"/>
    <w:rsid w:val="00685B39"/>
    <w:rsid w:val="00685FF1"/>
    <w:rsid w:val="0068664E"/>
    <w:rsid w:val="00686997"/>
    <w:rsid w:val="00686BAD"/>
    <w:rsid w:val="00686C6D"/>
    <w:rsid w:val="00687233"/>
    <w:rsid w:val="006873BE"/>
    <w:rsid w:val="006876AA"/>
    <w:rsid w:val="006876F9"/>
    <w:rsid w:val="006903C0"/>
    <w:rsid w:val="0069052A"/>
    <w:rsid w:val="006909B7"/>
    <w:rsid w:val="00690BA0"/>
    <w:rsid w:val="0069111E"/>
    <w:rsid w:val="00691664"/>
    <w:rsid w:val="00691804"/>
    <w:rsid w:val="0069186E"/>
    <w:rsid w:val="00691BD2"/>
    <w:rsid w:val="0069210E"/>
    <w:rsid w:val="00692731"/>
    <w:rsid w:val="00692877"/>
    <w:rsid w:val="006930DF"/>
    <w:rsid w:val="0069327C"/>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49C"/>
    <w:rsid w:val="00697598"/>
    <w:rsid w:val="006979E4"/>
    <w:rsid w:val="00697AB9"/>
    <w:rsid w:val="00697EA6"/>
    <w:rsid w:val="006A036F"/>
    <w:rsid w:val="006A0425"/>
    <w:rsid w:val="006A0FAB"/>
    <w:rsid w:val="006A1212"/>
    <w:rsid w:val="006A14B6"/>
    <w:rsid w:val="006A1733"/>
    <w:rsid w:val="006A1A20"/>
    <w:rsid w:val="006A2763"/>
    <w:rsid w:val="006A2DEE"/>
    <w:rsid w:val="006A3398"/>
    <w:rsid w:val="006A396B"/>
    <w:rsid w:val="006A3A4C"/>
    <w:rsid w:val="006A3A96"/>
    <w:rsid w:val="006A4025"/>
    <w:rsid w:val="006A40D7"/>
    <w:rsid w:val="006A4700"/>
    <w:rsid w:val="006A4C45"/>
    <w:rsid w:val="006A4D08"/>
    <w:rsid w:val="006A4D41"/>
    <w:rsid w:val="006A59A2"/>
    <w:rsid w:val="006A62A4"/>
    <w:rsid w:val="006A66B0"/>
    <w:rsid w:val="006A6A19"/>
    <w:rsid w:val="006A7144"/>
    <w:rsid w:val="006A73C4"/>
    <w:rsid w:val="006A761F"/>
    <w:rsid w:val="006A7B5F"/>
    <w:rsid w:val="006A7BC9"/>
    <w:rsid w:val="006B00A9"/>
    <w:rsid w:val="006B0264"/>
    <w:rsid w:val="006B04EB"/>
    <w:rsid w:val="006B05D3"/>
    <w:rsid w:val="006B0F4B"/>
    <w:rsid w:val="006B13BB"/>
    <w:rsid w:val="006B14EB"/>
    <w:rsid w:val="006B16AB"/>
    <w:rsid w:val="006B1790"/>
    <w:rsid w:val="006B1B43"/>
    <w:rsid w:val="006B1C34"/>
    <w:rsid w:val="006B2C90"/>
    <w:rsid w:val="006B3157"/>
    <w:rsid w:val="006B36E4"/>
    <w:rsid w:val="006B39FD"/>
    <w:rsid w:val="006B41FB"/>
    <w:rsid w:val="006B42A9"/>
    <w:rsid w:val="006B4566"/>
    <w:rsid w:val="006B460D"/>
    <w:rsid w:val="006B460E"/>
    <w:rsid w:val="006B46AE"/>
    <w:rsid w:val="006B47DA"/>
    <w:rsid w:val="006B550D"/>
    <w:rsid w:val="006B5CB2"/>
    <w:rsid w:val="006B62DD"/>
    <w:rsid w:val="006B62E9"/>
    <w:rsid w:val="006B65FF"/>
    <w:rsid w:val="006B6636"/>
    <w:rsid w:val="006B6D7C"/>
    <w:rsid w:val="006B70FB"/>
    <w:rsid w:val="006B7163"/>
    <w:rsid w:val="006B7260"/>
    <w:rsid w:val="006B77B4"/>
    <w:rsid w:val="006C04FB"/>
    <w:rsid w:val="006C07F6"/>
    <w:rsid w:val="006C086D"/>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3A5"/>
    <w:rsid w:val="006C55AB"/>
    <w:rsid w:val="006C577B"/>
    <w:rsid w:val="006C5DF4"/>
    <w:rsid w:val="006C660C"/>
    <w:rsid w:val="006C66D5"/>
    <w:rsid w:val="006C68CD"/>
    <w:rsid w:val="006C71AB"/>
    <w:rsid w:val="006D0A00"/>
    <w:rsid w:val="006D0A6F"/>
    <w:rsid w:val="006D0D91"/>
    <w:rsid w:val="006D0E5A"/>
    <w:rsid w:val="006D0EC4"/>
    <w:rsid w:val="006D10E8"/>
    <w:rsid w:val="006D119C"/>
    <w:rsid w:val="006D2216"/>
    <w:rsid w:val="006D27E6"/>
    <w:rsid w:val="006D2A33"/>
    <w:rsid w:val="006D2EB2"/>
    <w:rsid w:val="006D3267"/>
    <w:rsid w:val="006D3855"/>
    <w:rsid w:val="006D3E6B"/>
    <w:rsid w:val="006D4804"/>
    <w:rsid w:val="006D4901"/>
    <w:rsid w:val="006D576A"/>
    <w:rsid w:val="006D58B9"/>
    <w:rsid w:val="006D5B8A"/>
    <w:rsid w:val="006D6720"/>
    <w:rsid w:val="006D6905"/>
    <w:rsid w:val="006D6C20"/>
    <w:rsid w:val="006D6D63"/>
    <w:rsid w:val="006D71A0"/>
    <w:rsid w:val="006D756A"/>
    <w:rsid w:val="006D7C46"/>
    <w:rsid w:val="006D7C88"/>
    <w:rsid w:val="006E0006"/>
    <w:rsid w:val="006E01B1"/>
    <w:rsid w:val="006E035D"/>
    <w:rsid w:val="006E083A"/>
    <w:rsid w:val="006E0857"/>
    <w:rsid w:val="006E0861"/>
    <w:rsid w:val="006E0970"/>
    <w:rsid w:val="006E0F43"/>
    <w:rsid w:val="006E10BA"/>
    <w:rsid w:val="006E125D"/>
    <w:rsid w:val="006E1305"/>
    <w:rsid w:val="006E18D4"/>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2CC"/>
    <w:rsid w:val="006E6791"/>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37C"/>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6BD1"/>
    <w:rsid w:val="006F747F"/>
    <w:rsid w:val="0070005F"/>
    <w:rsid w:val="00700C18"/>
    <w:rsid w:val="007010C5"/>
    <w:rsid w:val="007011AB"/>
    <w:rsid w:val="00701263"/>
    <w:rsid w:val="00701595"/>
    <w:rsid w:val="00701BC0"/>
    <w:rsid w:val="00701F5E"/>
    <w:rsid w:val="007023F5"/>
    <w:rsid w:val="00702B73"/>
    <w:rsid w:val="00702D28"/>
    <w:rsid w:val="00703986"/>
    <w:rsid w:val="00703AF1"/>
    <w:rsid w:val="00703B4E"/>
    <w:rsid w:val="00703BC5"/>
    <w:rsid w:val="00704255"/>
    <w:rsid w:val="00704C26"/>
    <w:rsid w:val="00704C93"/>
    <w:rsid w:val="00704D0F"/>
    <w:rsid w:val="00705752"/>
    <w:rsid w:val="00706021"/>
    <w:rsid w:val="00706347"/>
    <w:rsid w:val="007064EA"/>
    <w:rsid w:val="0070663E"/>
    <w:rsid w:val="00706747"/>
    <w:rsid w:val="00706F9F"/>
    <w:rsid w:val="007070EE"/>
    <w:rsid w:val="00707264"/>
    <w:rsid w:val="00707373"/>
    <w:rsid w:val="00707725"/>
    <w:rsid w:val="00707B50"/>
    <w:rsid w:val="0071061B"/>
    <w:rsid w:val="0071108E"/>
    <w:rsid w:val="007112FA"/>
    <w:rsid w:val="007114A6"/>
    <w:rsid w:val="0071172A"/>
    <w:rsid w:val="0071198A"/>
    <w:rsid w:val="00711D33"/>
    <w:rsid w:val="00711F73"/>
    <w:rsid w:val="007120C9"/>
    <w:rsid w:val="0071253A"/>
    <w:rsid w:val="0071329F"/>
    <w:rsid w:val="00713B45"/>
    <w:rsid w:val="00714FD3"/>
    <w:rsid w:val="0071530E"/>
    <w:rsid w:val="00715952"/>
    <w:rsid w:val="00715EE8"/>
    <w:rsid w:val="00716795"/>
    <w:rsid w:val="007169A1"/>
    <w:rsid w:val="00716CA0"/>
    <w:rsid w:val="007172B7"/>
    <w:rsid w:val="007178CC"/>
    <w:rsid w:val="00717B97"/>
    <w:rsid w:val="00720154"/>
    <w:rsid w:val="007202E0"/>
    <w:rsid w:val="007209C2"/>
    <w:rsid w:val="00720C4E"/>
    <w:rsid w:val="00720CF3"/>
    <w:rsid w:val="00720D32"/>
    <w:rsid w:val="00720D3D"/>
    <w:rsid w:val="007219AA"/>
    <w:rsid w:val="007219FD"/>
    <w:rsid w:val="00721A9C"/>
    <w:rsid w:val="0072212E"/>
    <w:rsid w:val="007221FA"/>
    <w:rsid w:val="0072239F"/>
    <w:rsid w:val="0072260B"/>
    <w:rsid w:val="00722A0A"/>
    <w:rsid w:val="00722C6D"/>
    <w:rsid w:val="007230EC"/>
    <w:rsid w:val="00723379"/>
    <w:rsid w:val="007239D7"/>
    <w:rsid w:val="00723CAA"/>
    <w:rsid w:val="007244C5"/>
    <w:rsid w:val="00724536"/>
    <w:rsid w:val="00724A27"/>
    <w:rsid w:val="007253F3"/>
    <w:rsid w:val="007254A4"/>
    <w:rsid w:val="00725BC7"/>
    <w:rsid w:val="00725F40"/>
    <w:rsid w:val="007261D2"/>
    <w:rsid w:val="00726A4B"/>
    <w:rsid w:val="00726B50"/>
    <w:rsid w:val="00726E5A"/>
    <w:rsid w:val="0072717E"/>
    <w:rsid w:val="00727294"/>
    <w:rsid w:val="00727346"/>
    <w:rsid w:val="0072771D"/>
    <w:rsid w:val="00727BF4"/>
    <w:rsid w:val="00727D59"/>
    <w:rsid w:val="007312FD"/>
    <w:rsid w:val="00731798"/>
    <w:rsid w:val="00731DF4"/>
    <w:rsid w:val="00731F43"/>
    <w:rsid w:val="007322F9"/>
    <w:rsid w:val="00732B3E"/>
    <w:rsid w:val="00732B4D"/>
    <w:rsid w:val="0073302E"/>
    <w:rsid w:val="007334AC"/>
    <w:rsid w:val="00733881"/>
    <w:rsid w:val="00733AA2"/>
    <w:rsid w:val="00733BAD"/>
    <w:rsid w:val="00733CAD"/>
    <w:rsid w:val="00733DB9"/>
    <w:rsid w:val="00733DE8"/>
    <w:rsid w:val="00733FAF"/>
    <w:rsid w:val="00734617"/>
    <w:rsid w:val="007346AC"/>
    <w:rsid w:val="007347E0"/>
    <w:rsid w:val="00734B53"/>
    <w:rsid w:val="007354D4"/>
    <w:rsid w:val="00735711"/>
    <w:rsid w:val="007359DA"/>
    <w:rsid w:val="00735B6D"/>
    <w:rsid w:val="00735C7A"/>
    <w:rsid w:val="00735CBD"/>
    <w:rsid w:val="00736637"/>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AB"/>
    <w:rsid w:val="00742476"/>
    <w:rsid w:val="0074248C"/>
    <w:rsid w:val="0074286B"/>
    <w:rsid w:val="00742974"/>
    <w:rsid w:val="00742E83"/>
    <w:rsid w:val="00743779"/>
    <w:rsid w:val="00743C5A"/>
    <w:rsid w:val="00743E88"/>
    <w:rsid w:val="007444C1"/>
    <w:rsid w:val="0074479B"/>
    <w:rsid w:val="0074545B"/>
    <w:rsid w:val="00745643"/>
    <w:rsid w:val="007458C6"/>
    <w:rsid w:val="007459A9"/>
    <w:rsid w:val="00745DFB"/>
    <w:rsid w:val="00746166"/>
    <w:rsid w:val="00746362"/>
    <w:rsid w:val="00746592"/>
    <w:rsid w:val="007474E3"/>
    <w:rsid w:val="007477CB"/>
    <w:rsid w:val="0075075D"/>
    <w:rsid w:val="00750760"/>
    <w:rsid w:val="00750D2B"/>
    <w:rsid w:val="00750D59"/>
    <w:rsid w:val="00750DDB"/>
    <w:rsid w:val="00750FCA"/>
    <w:rsid w:val="007514C0"/>
    <w:rsid w:val="00752085"/>
    <w:rsid w:val="007525FC"/>
    <w:rsid w:val="00752726"/>
    <w:rsid w:val="0075295B"/>
    <w:rsid w:val="007532E6"/>
    <w:rsid w:val="00753414"/>
    <w:rsid w:val="0075357D"/>
    <w:rsid w:val="007535AA"/>
    <w:rsid w:val="007535DA"/>
    <w:rsid w:val="0075373B"/>
    <w:rsid w:val="00753FA3"/>
    <w:rsid w:val="00754BEB"/>
    <w:rsid w:val="00754D6D"/>
    <w:rsid w:val="00754F62"/>
    <w:rsid w:val="007554D1"/>
    <w:rsid w:val="00755615"/>
    <w:rsid w:val="00755649"/>
    <w:rsid w:val="00755955"/>
    <w:rsid w:val="00755B26"/>
    <w:rsid w:val="00755B35"/>
    <w:rsid w:val="00755CC8"/>
    <w:rsid w:val="00755F55"/>
    <w:rsid w:val="00756497"/>
    <w:rsid w:val="00756552"/>
    <w:rsid w:val="00756FFA"/>
    <w:rsid w:val="007579AE"/>
    <w:rsid w:val="007579E2"/>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F41"/>
    <w:rsid w:val="00765F49"/>
    <w:rsid w:val="007660F9"/>
    <w:rsid w:val="007667D9"/>
    <w:rsid w:val="00766982"/>
    <w:rsid w:val="00767205"/>
    <w:rsid w:val="007673BD"/>
    <w:rsid w:val="007673EA"/>
    <w:rsid w:val="0076773C"/>
    <w:rsid w:val="00767852"/>
    <w:rsid w:val="00767D34"/>
    <w:rsid w:val="00767E25"/>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223"/>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E0F"/>
    <w:rsid w:val="007812DE"/>
    <w:rsid w:val="00781566"/>
    <w:rsid w:val="00781795"/>
    <w:rsid w:val="00781A63"/>
    <w:rsid w:val="00781D40"/>
    <w:rsid w:val="007820C9"/>
    <w:rsid w:val="0078243F"/>
    <w:rsid w:val="0078248E"/>
    <w:rsid w:val="0078329D"/>
    <w:rsid w:val="007832C4"/>
    <w:rsid w:val="007833CA"/>
    <w:rsid w:val="00783690"/>
    <w:rsid w:val="007837CC"/>
    <w:rsid w:val="00783801"/>
    <w:rsid w:val="007838B7"/>
    <w:rsid w:val="007838D6"/>
    <w:rsid w:val="00783C09"/>
    <w:rsid w:val="00783F49"/>
    <w:rsid w:val="007843F4"/>
    <w:rsid w:val="0078476C"/>
    <w:rsid w:val="00784B91"/>
    <w:rsid w:val="00784E3D"/>
    <w:rsid w:val="00785089"/>
    <w:rsid w:val="007851E1"/>
    <w:rsid w:val="00785300"/>
    <w:rsid w:val="0078568D"/>
    <w:rsid w:val="00785938"/>
    <w:rsid w:val="007859A9"/>
    <w:rsid w:val="00785A12"/>
    <w:rsid w:val="00785AA2"/>
    <w:rsid w:val="00785AEE"/>
    <w:rsid w:val="00785FCA"/>
    <w:rsid w:val="00786086"/>
    <w:rsid w:val="007860F7"/>
    <w:rsid w:val="007861EC"/>
    <w:rsid w:val="00786379"/>
    <w:rsid w:val="007864F2"/>
    <w:rsid w:val="00786862"/>
    <w:rsid w:val="00786B21"/>
    <w:rsid w:val="007871B1"/>
    <w:rsid w:val="007874CB"/>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DCE"/>
    <w:rsid w:val="00792E00"/>
    <w:rsid w:val="00793018"/>
    <w:rsid w:val="00793107"/>
    <w:rsid w:val="007933F8"/>
    <w:rsid w:val="00793602"/>
    <w:rsid w:val="007939F0"/>
    <w:rsid w:val="0079412C"/>
    <w:rsid w:val="007943AF"/>
    <w:rsid w:val="0079458E"/>
    <w:rsid w:val="007947CB"/>
    <w:rsid w:val="00794808"/>
    <w:rsid w:val="0079521E"/>
    <w:rsid w:val="00795366"/>
    <w:rsid w:val="007953AA"/>
    <w:rsid w:val="00795609"/>
    <w:rsid w:val="0079581E"/>
    <w:rsid w:val="00795C30"/>
    <w:rsid w:val="00795EC4"/>
    <w:rsid w:val="0079687A"/>
    <w:rsid w:val="00796C23"/>
    <w:rsid w:val="00796C84"/>
    <w:rsid w:val="00796EA4"/>
    <w:rsid w:val="00797148"/>
    <w:rsid w:val="00797272"/>
    <w:rsid w:val="007972F7"/>
    <w:rsid w:val="00797756"/>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3F54"/>
    <w:rsid w:val="007A402E"/>
    <w:rsid w:val="007A47C6"/>
    <w:rsid w:val="007A4B5C"/>
    <w:rsid w:val="007A4B65"/>
    <w:rsid w:val="007A4BA3"/>
    <w:rsid w:val="007A4C6F"/>
    <w:rsid w:val="007A4DE7"/>
    <w:rsid w:val="007A4E1C"/>
    <w:rsid w:val="007A63BF"/>
    <w:rsid w:val="007A6488"/>
    <w:rsid w:val="007A71E7"/>
    <w:rsid w:val="007A766B"/>
    <w:rsid w:val="007A7A5E"/>
    <w:rsid w:val="007A7DED"/>
    <w:rsid w:val="007A7DF2"/>
    <w:rsid w:val="007B00D1"/>
    <w:rsid w:val="007B0974"/>
    <w:rsid w:val="007B0B6E"/>
    <w:rsid w:val="007B0F02"/>
    <w:rsid w:val="007B1164"/>
    <w:rsid w:val="007B140D"/>
    <w:rsid w:val="007B197C"/>
    <w:rsid w:val="007B1F76"/>
    <w:rsid w:val="007B27B4"/>
    <w:rsid w:val="007B2802"/>
    <w:rsid w:val="007B3314"/>
    <w:rsid w:val="007B384D"/>
    <w:rsid w:val="007B3B92"/>
    <w:rsid w:val="007B3BA0"/>
    <w:rsid w:val="007B4113"/>
    <w:rsid w:val="007B41F2"/>
    <w:rsid w:val="007B431B"/>
    <w:rsid w:val="007B4412"/>
    <w:rsid w:val="007B47D4"/>
    <w:rsid w:val="007B4823"/>
    <w:rsid w:val="007B4EC0"/>
    <w:rsid w:val="007B4F3A"/>
    <w:rsid w:val="007B5135"/>
    <w:rsid w:val="007B5174"/>
    <w:rsid w:val="007B51F1"/>
    <w:rsid w:val="007B5837"/>
    <w:rsid w:val="007B5BC4"/>
    <w:rsid w:val="007B608C"/>
    <w:rsid w:val="007B6535"/>
    <w:rsid w:val="007B6996"/>
    <w:rsid w:val="007B6D2E"/>
    <w:rsid w:val="007B6D7A"/>
    <w:rsid w:val="007B6D8F"/>
    <w:rsid w:val="007B6DA8"/>
    <w:rsid w:val="007B74C4"/>
    <w:rsid w:val="007B7559"/>
    <w:rsid w:val="007B76C3"/>
    <w:rsid w:val="007B76F2"/>
    <w:rsid w:val="007B7A2B"/>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3AE7"/>
    <w:rsid w:val="007C4181"/>
    <w:rsid w:val="007C472A"/>
    <w:rsid w:val="007C477E"/>
    <w:rsid w:val="007C4BCE"/>
    <w:rsid w:val="007C4EA8"/>
    <w:rsid w:val="007C518E"/>
    <w:rsid w:val="007C5400"/>
    <w:rsid w:val="007C5554"/>
    <w:rsid w:val="007C57D5"/>
    <w:rsid w:val="007C5A88"/>
    <w:rsid w:val="007C6276"/>
    <w:rsid w:val="007C6706"/>
    <w:rsid w:val="007C6777"/>
    <w:rsid w:val="007C6AA2"/>
    <w:rsid w:val="007C6EB3"/>
    <w:rsid w:val="007C6ECA"/>
    <w:rsid w:val="007C7BDE"/>
    <w:rsid w:val="007C7E1E"/>
    <w:rsid w:val="007D00DF"/>
    <w:rsid w:val="007D02A3"/>
    <w:rsid w:val="007D0435"/>
    <w:rsid w:val="007D0603"/>
    <w:rsid w:val="007D082B"/>
    <w:rsid w:val="007D0C23"/>
    <w:rsid w:val="007D176F"/>
    <w:rsid w:val="007D1854"/>
    <w:rsid w:val="007D1C4B"/>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DE0"/>
    <w:rsid w:val="007D7FEE"/>
    <w:rsid w:val="007E0104"/>
    <w:rsid w:val="007E01B8"/>
    <w:rsid w:val="007E08CF"/>
    <w:rsid w:val="007E0A5E"/>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5278"/>
    <w:rsid w:val="007E536E"/>
    <w:rsid w:val="007E558B"/>
    <w:rsid w:val="007E5C43"/>
    <w:rsid w:val="007E5F8D"/>
    <w:rsid w:val="007E679C"/>
    <w:rsid w:val="007E6818"/>
    <w:rsid w:val="007E6819"/>
    <w:rsid w:val="007E6F77"/>
    <w:rsid w:val="007E7B22"/>
    <w:rsid w:val="007E7E4B"/>
    <w:rsid w:val="007E7F34"/>
    <w:rsid w:val="007F1A6B"/>
    <w:rsid w:val="007F1D7C"/>
    <w:rsid w:val="007F2545"/>
    <w:rsid w:val="007F26D5"/>
    <w:rsid w:val="007F297D"/>
    <w:rsid w:val="007F2BA6"/>
    <w:rsid w:val="007F3088"/>
    <w:rsid w:val="007F32C9"/>
    <w:rsid w:val="007F35A0"/>
    <w:rsid w:val="007F4249"/>
    <w:rsid w:val="007F4643"/>
    <w:rsid w:val="007F52F1"/>
    <w:rsid w:val="007F5B9D"/>
    <w:rsid w:val="007F5E2A"/>
    <w:rsid w:val="007F64A5"/>
    <w:rsid w:val="007F66D7"/>
    <w:rsid w:val="007F68B8"/>
    <w:rsid w:val="007F6F7A"/>
    <w:rsid w:val="007F7420"/>
    <w:rsid w:val="007F75BE"/>
    <w:rsid w:val="007F7FB2"/>
    <w:rsid w:val="008000C5"/>
    <w:rsid w:val="00800745"/>
    <w:rsid w:val="0080077B"/>
    <w:rsid w:val="0080079F"/>
    <w:rsid w:val="00801416"/>
    <w:rsid w:val="00801F39"/>
    <w:rsid w:val="00802595"/>
    <w:rsid w:val="0080262C"/>
    <w:rsid w:val="00802698"/>
    <w:rsid w:val="00802711"/>
    <w:rsid w:val="00802A6A"/>
    <w:rsid w:val="00803081"/>
    <w:rsid w:val="008037C4"/>
    <w:rsid w:val="0080394D"/>
    <w:rsid w:val="00803E7F"/>
    <w:rsid w:val="00804202"/>
    <w:rsid w:val="0080475D"/>
    <w:rsid w:val="008049A7"/>
    <w:rsid w:val="00804B47"/>
    <w:rsid w:val="00804CFF"/>
    <w:rsid w:val="00805563"/>
    <w:rsid w:val="00805D15"/>
    <w:rsid w:val="00805E38"/>
    <w:rsid w:val="0080638B"/>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91C"/>
    <w:rsid w:val="00810B9B"/>
    <w:rsid w:val="00810C97"/>
    <w:rsid w:val="00810DB7"/>
    <w:rsid w:val="0081130A"/>
    <w:rsid w:val="00811388"/>
    <w:rsid w:val="008113A3"/>
    <w:rsid w:val="008114B8"/>
    <w:rsid w:val="00811BE4"/>
    <w:rsid w:val="0081219B"/>
    <w:rsid w:val="00812471"/>
    <w:rsid w:val="008125FD"/>
    <w:rsid w:val="00812815"/>
    <w:rsid w:val="00812942"/>
    <w:rsid w:val="00812A2A"/>
    <w:rsid w:val="008130E7"/>
    <w:rsid w:val="008134CB"/>
    <w:rsid w:val="0081365B"/>
    <w:rsid w:val="00813897"/>
    <w:rsid w:val="00813B7A"/>
    <w:rsid w:val="008141F0"/>
    <w:rsid w:val="008144C5"/>
    <w:rsid w:val="0081521B"/>
    <w:rsid w:val="00815479"/>
    <w:rsid w:val="00815A5C"/>
    <w:rsid w:val="00815BDC"/>
    <w:rsid w:val="00815C25"/>
    <w:rsid w:val="0081625D"/>
    <w:rsid w:val="008168C3"/>
    <w:rsid w:val="00816E7C"/>
    <w:rsid w:val="00816FAD"/>
    <w:rsid w:val="00817873"/>
    <w:rsid w:val="00820451"/>
    <w:rsid w:val="008207F6"/>
    <w:rsid w:val="00820CF6"/>
    <w:rsid w:val="00820F1C"/>
    <w:rsid w:val="00821262"/>
    <w:rsid w:val="008212DD"/>
    <w:rsid w:val="00821EEC"/>
    <w:rsid w:val="008220A5"/>
    <w:rsid w:val="008226F0"/>
    <w:rsid w:val="008227BC"/>
    <w:rsid w:val="00822AEC"/>
    <w:rsid w:val="00822EB8"/>
    <w:rsid w:val="008230D6"/>
    <w:rsid w:val="00823238"/>
    <w:rsid w:val="00823550"/>
    <w:rsid w:val="008236C5"/>
    <w:rsid w:val="00823A27"/>
    <w:rsid w:val="00823F98"/>
    <w:rsid w:val="00824171"/>
    <w:rsid w:val="0082438E"/>
    <w:rsid w:val="00824CD5"/>
    <w:rsid w:val="00824EDE"/>
    <w:rsid w:val="00825126"/>
    <w:rsid w:val="0082545D"/>
    <w:rsid w:val="00825489"/>
    <w:rsid w:val="00825BC4"/>
    <w:rsid w:val="00825C51"/>
    <w:rsid w:val="00825D71"/>
    <w:rsid w:val="00825DF1"/>
    <w:rsid w:val="00825EF8"/>
    <w:rsid w:val="0082618F"/>
    <w:rsid w:val="0082647E"/>
    <w:rsid w:val="0082677C"/>
    <w:rsid w:val="00826FF7"/>
    <w:rsid w:val="008273E7"/>
    <w:rsid w:val="00827625"/>
    <w:rsid w:val="008276EA"/>
    <w:rsid w:val="00827CEB"/>
    <w:rsid w:val="00827DC6"/>
    <w:rsid w:val="00830017"/>
    <w:rsid w:val="008300F0"/>
    <w:rsid w:val="00830404"/>
    <w:rsid w:val="008306EE"/>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52BE"/>
    <w:rsid w:val="008353D5"/>
    <w:rsid w:val="0083594F"/>
    <w:rsid w:val="0083625A"/>
    <w:rsid w:val="0083644E"/>
    <w:rsid w:val="00836702"/>
    <w:rsid w:val="00836A4F"/>
    <w:rsid w:val="00836DDA"/>
    <w:rsid w:val="00836EF0"/>
    <w:rsid w:val="0083775B"/>
    <w:rsid w:val="00840D81"/>
    <w:rsid w:val="00840DFB"/>
    <w:rsid w:val="00840EEC"/>
    <w:rsid w:val="008411FB"/>
    <w:rsid w:val="00841202"/>
    <w:rsid w:val="00841303"/>
    <w:rsid w:val="00841B93"/>
    <w:rsid w:val="00841F95"/>
    <w:rsid w:val="00842269"/>
    <w:rsid w:val="008423CE"/>
    <w:rsid w:val="0084291E"/>
    <w:rsid w:val="008429AA"/>
    <w:rsid w:val="00842D04"/>
    <w:rsid w:val="00842D21"/>
    <w:rsid w:val="00843072"/>
    <w:rsid w:val="008432D3"/>
    <w:rsid w:val="008436A2"/>
    <w:rsid w:val="008445F6"/>
    <w:rsid w:val="008448E9"/>
    <w:rsid w:val="00844B28"/>
    <w:rsid w:val="00844B85"/>
    <w:rsid w:val="00845010"/>
    <w:rsid w:val="0084503F"/>
    <w:rsid w:val="0084589F"/>
    <w:rsid w:val="0084645D"/>
    <w:rsid w:val="0084654E"/>
    <w:rsid w:val="00846560"/>
    <w:rsid w:val="00846CDC"/>
    <w:rsid w:val="00846F12"/>
    <w:rsid w:val="00846F26"/>
    <w:rsid w:val="00847067"/>
    <w:rsid w:val="008475D9"/>
    <w:rsid w:val="00847A28"/>
    <w:rsid w:val="00850090"/>
    <w:rsid w:val="008500A9"/>
    <w:rsid w:val="00850A6C"/>
    <w:rsid w:val="00850DCF"/>
    <w:rsid w:val="00850DE6"/>
    <w:rsid w:val="0085205A"/>
    <w:rsid w:val="0085232C"/>
    <w:rsid w:val="00852345"/>
    <w:rsid w:val="00852C4A"/>
    <w:rsid w:val="00852C8B"/>
    <w:rsid w:val="00853053"/>
    <w:rsid w:val="0085362D"/>
    <w:rsid w:val="008536DA"/>
    <w:rsid w:val="008538DB"/>
    <w:rsid w:val="00853987"/>
    <w:rsid w:val="00853B92"/>
    <w:rsid w:val="00853F3F"/>
    <w:rsid w:val="00854775"/>
    <w:rsid w:val="00854A92"/>
    <w:rsid w:val="00854AFC"/>
    <w:rsid w:val="00854E25"/>
    <w:rsid w:val="00854EF0"/>
    <w:rsid w:val="00855D27"/>
    <w:rsid w:val="00856840"/>
    <w:rsid w:val="00856AAA"/>
    <w:rsid w:val="00856B69"/>
    <w:rsid w:val="008577AF"/>
    <w:rsid w:val="008579A6"/>
    <w:rsid w:val="0086000C"/>
    <w:rsid w:val="008601F2"/>
    <w:rsid w:val="008602BB"/>
    <w:rsid w:val="00860EA0"/>
    <w:rsid w:val="00860FAB"/>
    <w:rsid w:val="00860FDE"/>
    <w:rsid w:val="00861101"/>
    <w:rsid w:val="00861311"/>
    <w:rsid w:val="00861880"/>
    <w:rsid w:val="00861AF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0A5"/>
    <w:rsid w:val="008652B7"/>
    <w:rsid w:val="00865535"/>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2BC8"/>
    <w:rsid w:val="008730AA"/>
    <w:rsid w:val="008732E8"/>
    <w:rsid w:val="008732FF"/>
    <w:rsid w:val="00873328"/>
    <w:rsid w:val="008733E3"/>
    <w:rsid w:val="0087348D"/>
    <w:rsid w:val="008735D1"/>
    <w:rsid w:val="0087397A"/>
    <w:rsid w:val="00873DF8"/>
    <w:rsid w:val="00873EB9"/>
    <w:rsid w:val="00874B42"/>
    <w:rsid w:val="00874D8C"/>
    <w:rsid w:val="008754BE"/>
    <w:rsid w:val="008759AC"/>
    <w:rsid w:val="00875CD3"/>
    <w:rsid w:val="00875FAE"/>
    <w:rsid w:val="00876BC7"/>
    <w:rsid w:val="00876EAC"/>
    <w:rsid w:val="00877975"/>
    <w:rsid w:val="00880672"/>
    <w:rsid w:val="00880758"/>
    <w:rsid w:val="008811B0"/>
    <w:rsid w:val="008814CC"/>
    <w:rsid w:val="00881C71"/>
    <w:rsid w:val="00881C82"/>
    <w:rsid w:val="00881F0A"/>
    <w:rsid w:val="00882A32"/>
    <w:rsid w:val="00883406"/>
    <w:rsid w:val="0088346A"/>
    <w:rsid w:val="00883981"/>
    <w:rsid w:val="00883F73"/>
    <w:rsid w:val="0088426E"/>
    <w:rsid w:val="00884348"/>
    <w:rsid w:val="00884D2F"/>
    <w:rsid w:val="00884DA4"/>
    <w:rsid w:val="00885159"/>
    <w:rsid w:val="00885267"/>
    <w:rsid w:val="008854C4"/>
    <w:rsid w:val="008858A3"/>
    <w:rsid w:val="00885968"/>
    <w:rsid w:val="00885BBF"/>
    <w:rsid w:val="00885C84"/>
    <w:rsid w:val="008861D3"/>
    <w:rsid w:val="00886BDE"/>
    <w:rsid w:val="00886E96"/>
    <w:rsid w:val="00887CC1"/>
    <w:rsid w:val="00887D0A"/>
    <w:rsid w:val="0089049E"/>
    <w:rsid w:val="00890838"/>
    <w:rsid w:val="0089091A"/>
    <w:rsid w:val="008911CB"/>
    <w:rsid w:val="0089139E"/>
    <w:rsid w:val="00891463"/>
    <w:rsid w:val="008915F8"/>
    <w:rsid w:val="00891CB9"/>
    <w:rsid w:val="00891CBC"/>
    <w:rsid w:val="00891FB0"/>
    <w:rsid w:val="0089215E"/>
    <w:rsid w:val="008924C4"/>
    <w:rsid w:val="0089267F"/>
    <w:rsid w:val="0089285A"/>
    <w:rsid w:val="00892864"/>
    <w:rsid w:val="00892A95"/>
    <w:rsid w:val="00893106"/>
    <w:rsid w:val="008933FC"/>
    <w:rsid w:val="00893445"/>
    <w:rsid w:val="008934CA"/>
    <w:rsid w:val="00893540"/>
    <w:rsid w:val="00893E62"/>
    <w:rsid w:val="008948B8"/>
    <w:rsid w:val="00895015"/>
    <w:rsid w:val="0089550A"/>
    <w:rsid w:val="00895DD3"/>
    <w:rsid w:val="00896414"/>
    <w:rsid w:val="00896DDE"/>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1D24"/>
    <w:rsid w:val="008A1FAF"/>
    <w:rsid w:val="008A2952"/>
    <w:rsid w:val="008A300B"/>
    <w:rsid w:val="008A3042"/>
    <w:rsid w:val="008A31E8"/>
    <w:rsid w:val="008A31F7"/>
    <w:rsid w:val="008A3450"/>
    <w:rsid w:val="008A38F2"/>
    <w:rsid w:val="008A3B88"/>
    <w:rsid w:val="008A3C08"/>
    <w:rsid w:val="008A4229"/>
    <w:rsid w:val="008A431B"/>
    <w:rsid w:val="008A43D8"/>
    <w:rsid w:val="008A44B6"/>
    <w:rsid w:val="008A4612"/>
    <w:rsid w:val="008A4977"/>
    <w:rsid w:val="008A5077"/>
    <w:rsid w:val="008A53E6"/>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B1"/>
    <w:rsid w:val="008B1FC0"/>
    <w:rsid w:val="008B1FE2"/>
    <w:rsid w:val="008B2035"/>
    <w:rsid w:val="008B2488"/>
    <w:rsid w:val="008B3EB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5BF"/>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3E3A"/>
    <w:rsid w:val="008C4536"/>
    <w:rsid w:val="008C4692"/>
    <w:rsid w:val="008C4FA6"/>
    <w:rsid w:val="008C4FB4"/>
    <w:rsid w:val="008C513F"/>
    <w:rsid w:val="008C51E3"/>
    <w:rsid w:val="008C5778"/>
    <w:rsid w:val="008C5947"/>
    <w:rsid w:val="008C5E9A"/>
    <w:rsid w:val="008C6168"/>
    <w:rsid w:val="008C650B"/>
    <w:rsid w:val="008C66C7"/>
    <w:rsid w:val="008C6A34"/>
    <w:rsid w:val="008C7B4F"/>
    <w:rsid w:val="008C7EC0"/>
    <w:rsid w:val="008D0359"/>
    <w:rsid w:val="008D0497"/>
    <w:rsid w:val="008D0562"/>
    <w:rsid w:val="008D07B8"/>
    <w:rsid w:val="008D0998"/>
    <w:rsid w:val="008D09AC"/>
    <w:rsid w:val="008D0A50"/>
    <w:rsid w:val="008D1098"/>
    <w:rsid w:val="008D165F"/>
    <w:rsid w:val="008D19A7"/>
    <w:rsid w:val="008D1C99"/>
    <w:rsid w:val="008D2349"/>
    <w:rsid w:val="008D26CC"/>
    <w:rsid w:val="008D285A"/>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72E6"/>
    <w:rsid w:val="008D72F7"/>
    <w:rsid w:val="008D7A99"/>
    <w:rsid w:val="008D7C5A"/>
    <w:rsid w:val="008D7E6D"/>
    <w:rsid w:val="008D7F16"/>
    <w:rsid w:val="008E00D0"/>
    <w:rsid w:val="008E023F"/>
    <w:rsid w:val="008E051A"/>
    <w:rsid w:val="008E155C"/>
    <w:rsid w:val="008E1A1F"/>
    <w:rsid w:val="008E1A29"/>
    <w:rsid w:val="008E1A64"/>
    <w:rsid w:val="008E1ED6"/>
    <w:rsid w:val="008E1FE4"/>
    <w:rsid w:val="008E2797"/>
    <w:rsid w:val="008E2910"/>
    <w:rsid w:val="008E2C0F"/>
    <w:rsid w:val="008E2CCE"/>
    <w:rsid w:val="008E3389"/>
    <w:rsid w:val="008E3558"/>
    <w:rsid w:val="008E35BF"/>
    <w:rsid w:val="008E3730"/>
    <w:rsid w:val="008E3756"/>
    <w:rsid w:val="008E46FA"/>
    <w:rsid w:val="008E55E1"/>
    <w:rsid w:val="008E61C7"/>
    <w:rsid w:val="008E6A3D"/>
    <w:rsid w:val="008E6D8A"/>
    <w:rsid w:val="008E6EE3"/>
    <w:rsid w:val="008E77A1"/>
    <w:rsid w:val="008E78E9"/>
    <w:rsid w:val="008E7C9D"/>
    <w:rsid w:val="008F0554"/>
    <w:rsid w:val="008F06A2"/>
    <w:rsid w:val="008F0B33"/>
    <w:rsid w:val="008F0CD7"/>
    <w:rsid w:val="008F0D5D"/>
    <w:rsid w:val="008F0E53"/>
    <w:rsid w:val="008F10CE"/>
    <w:rsid w:val="008F15EA"/>
    <w:rsid w:val="008F16D5"/>
    <w:rsid w:val="008F22DE"/>
    <w:rsid w:val="008F27C7"/>
    <w:rsid w:val="008F286B"/>
    <w:rsid w:val="008F2FAD"/>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348"/>
    <w:rsid w:val="0090177D"/>
    <w:rsid w:val="00901A42"/>
    <w:rsid w:val="00901CD1"/>
    <w:rsid w:val="00901D90"/>
    <w:rsid w:val="009026C9"/>
    <w:rsid w:val="009027F8"/>
    <w:rsid w:val="00902DB3"/>
    <w:rsid w:val="009031E8"/>
    <w:rsid w:val="00903B1A"/>
    <w:rsid w:val="009040AA"/>
    <w:rsid w:val="00904F14"/>
    <w:rsid w:val="00905031"/>
    <w:rsid w:val="009052C0"/>
    <w:rsid w:val="0090567B"/>
    <w:rsid w:val="00905730"/>
    <w:rsid w:val="00905888"/>
    <w:rsid w:val="00905BAC"/>
    <w:rsid w:val="00905BEE"/>
    <w:rsid w:val="00905F99"/>
    <w:rsid w:val="00906444"/>
    <w:rsid w:val="0090692F"/>
    <w:rsid w:val="00906C3D"/>
    <w:rsid w:val="00907749"/>
    <w:rsid w:val="00907A52"/>
    <w:rsid w:val="00910716"/>
    <w:rsid w:val="00910751"/>
    <w:rsid w:val="00910990"/>
    <w:rsid w:val="009116AD"/>
    <w:rsid w:val="009116DB"/>
    <w:rsid w:val="00911795"/>
    <w:rsid w:val="00911A16"/>
    <w:rsid w:val="00911B2D"/>
    <w:rsid w:val="00911D99"/>
    <w:rsid w:val="00912881"/>
    <w:rsid w:val="00912AD2"/>
    <w:rsid w:val="00912B89"/>
    <w:rsid w:val="00912C42"/>
    <w:rsid w:val="00912CFD"/>
    <w:rsid w:val="00912D89"/>
    <w:rsid w:val="009131EE"/>
    <w:rsid w:val="009133EF"/>
    <w:rsid w:val="00913AD8"/>
    <w:rsid w:val="009152CB"/>
    <w:rsid w:val="009158DF"/>
    <w:rsid w:val="00916382"/>
    <w:rsid w:val="00916905"/>
    <w:rsid w:val="00916BCF"/>
    <w:rsid w:val="0091707E"/>
    <w:rsid w:val="009170D3"/>
    <w:rsid w:val="00917241"/>
    <w:rsid w:val="0091727B"/>
    <w:rsid w:val="0091745D"/>
    <w:rsid w:val="009174F2"/>
    <w:rsid w:val="00917B5E"/>
    <w:rsid w:val="00920F57"/>
    <w:rsid w:val="00921411"/>
    <w:rsid w:val="00921449"/>
    <w:rsid w:val="00921B1C"/>
    <w:rsid w:val="00921D71"/>
    <w:rsid w:val="00921E43"/>
    <w:rsid w:val="00921F13"/>
    <w:rsid w:val="009220C7"/>
    <w:rsid w:val="00922379"/>
    <w:rsid w:val="00922550"/>
    <w:rsid w:val="00922660"/>
    <w:rsid w:val="00922B08"/>
    <w:rsid w:val="00923441"/>
    <w:rsid w:val="00923921"/>
    <w:rsid w:val="00923981"/>
    <w:rsid w:val="009241E5"/>
    <w:rsid w:val="009247D8"/>
    <w:rsid w:val="00924BB6"/>
    <w:rsid w:val="00924BBD"/>
    <w:rsid w:val="00924D79"/>
    <w:rsid w:val="00924DFE"/>
    <w:rsid w:val="00925208"/>
    <w:rsid w:val="00925296"/>
    <w:rsid w:val="009255EB"/>
    <w:rsid w:val="00925652"/>
    <w:rsid w:val="00925EA0"/>
    <w:rsid w:val="009260F5"/>
    <w:rsid w:val="00926150"/>
    <w:rsid w:val="00926221"/>
    <w:rsid w:val="00926B1B"/>
    <w:rsid w:val="009278C6"/>
    <w:rsid w:val="00927A7F"/>
    <w:rsid w:val="00927C36"/>
    <w:rsid w:val="00930297"/>
    <w:rsid w:val="009304ED"/>
    <w:rsid w:val="0093064D"/>
    <w:rsid w:val="00930CD3"/>
    <w:rsid w:val="009317BD"/>
    <w:rsid w:val="0093183F"/>
    <w:rsid w:val="00931850"/>
    <w:rsid w:val="0093220A"/>
    <w:rsid w:val="00932326"/>
    <w:rsid w:val="0093234A"/>
    <w:rsid w:val="00932919"/>
    <w:rsid w:val="009329EE"/>
    <w:rsid w:val="00932B0C"/>
    <w:rsid w:val="00932DED"/>
    <w:rsid w:val="009331EA"/>
    <w:rsid w:val="009336CF"/>
    <w:rsid w:val="00933732"/>
    <w:rsid w:val="009337C6"/>
    <w:rsid w:val="00933BEE"/>
    <w:rsid w:val="00934534"/>
    <w:rsid w:val="00934640"/>
    <w:rsid w:val="009347B4"/>
    <w:rsid w:val="00934E7D"/>
    <w:rsid w:val="00934EB8"/>
    <w:rsid w:val="00935830"/>
    <w:rsid w:val="00935A91"/>
    <w:rsid w:val="009363B5"/>
    <w:rsid w:val="00936592"/>
    <w:rsid w:val="009368A6"/>
    <w:rsid w:val="00936A6C"/>
    <w:rsid w:val="00936BF1"/>
    <w:rsid w:val="009372FC"/>
    <w:rsid w:val="0093741E"/>
    <w:rsid w:val="00937625"/>
    <w:rsid w:val="009376D1"/>
    <w:rsid w:val="009401D3"/>
    <w:rsid w:val="009404AB"/>
    <w:rsid w:val="00940702"/>
    <w:rsid w:val="009407C5"/>
    <w:rsid w:val="00940A3B"/>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E56"/>
    <w:rsid w:val="0094707D"/>
    <w:rsid w:val="009472D7"/>
    <w:rsid w:val="00947B3D"/>
    <w:rsid w:val="0095055C"/>
    <w:rsid w:val="009506F2"/>
    <w:rsid w:val="00950766"/>
    <w:rsid w:val="00950923"/>
    <w:rsid w:val="00950E06"/>
    <w:rsid w:val="009510E7"/>
    <w:rsid w:val="0095142B"/>
    <w:rsid w:val="00951434"/>
    <w:rsid w:val="00951494"/>
    <w:rsid w:val="00951782"/>
    <w:rsid w:val="009517F4"/>
    <w:rsid w:val="00951CE6"/>
    <w:rsid w:val="00951D98"/>
    <w:rsid w:val="009522DF"/>
    <w:rsid w:val="009523EA"/>
    <w:rsid w:val="0095266F"/>
    <w:rsid w:val="00953062"/>
    <w:rsid w:val="009536CB"/>
    <w:rsid w:val="00953E72"/>
    <w:rsid w:val="00953F59"/>
    <w:rsid w:val="00954751"/>
    <w:rsid w:val="00954AD6"/>
    <w:rsid w:val="00954CD6"/>
    <w:rsid w:val="00954D1C"/>
    <w:rsid w:val="00954E80"/>
    <w:rsid w:val="00954ED4"/>
    <w:rsid w:val="009557CE"/>
    <w:rsid w:val="0095591B"/>
    <w:rsid w:val="00955B2B"/>
    <w:rsid w:val="00955DFD"/>
    <w:rsid w:val="0095655D"/>
    <w:rsid w:val="00956D8F"/>
    <w:rsid w:val="009570F3"/>
    <w:rsid w:val="00957483"/>
    <w:rsid w:val="0095767B"/>
    <w:rsid w:val="00957C63"/>
    <w:rsid w:val="00957C98"/>
    <w:rsid w:val="00957D10"/>
    <w:rsid w:val="00957E7F"/>
    <w:rsid w:val="0096015E"/>
    <w:rsid w:val="009602AB"/>
    <w:rsid w:val="00960449"/>
    <w:rsid w:val="009606B3"/>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4F5A"/>
    <w:rsid w:val="0096535C"/>
    <w:rsid w:val="009658AB"/>
    <w:rsid w:val="00965BD5"/>
    <w:rsid w:val="00965C39"/>
    <w:rsid w:val="00965CE0"/>
    <w:rsid w:val="00965E31"/>
    <w:rsid w:val="00966A50"/>
    <w:rsid w:val="00966CA6"/>
    <w:rsid w:val="00966ED7"/>
    <w:rsid w:val="00966F19"/>
    <w:rsid w:val="00967ADB"/>
    <w:rsid w:val="0097010A"/>
    <w:rsid w:val="009706D4"/>
    <w:rsid w:val="00970B6A"/>
    <w:rsid w:val="00970CC4"/>
    <w:rsid w:val="00970D7B"/>
    <w:rsid w:val="00972956"/>
    <w:rsid w:val="00972B1E"/>
    <w:rsid w:val="00972B93"/>
    <w:rsid w:val="00972C5B"/>
    <w:rsid w:val="00972F49"/>
    <w:rsid w:val="00973700"/>
    <w:rsid w:val="00973960"/>
    <w:rsid w:val="00973C50"/>
    <w:rsid w:val="009748CE"/>
    <w:rsid w:val="00975337"/>
    <w:rsid w:val="0097539B"/>
    <w:rsid w:val="00975C91"/>
    <w:rsid w:val="00975D72"/>
    <w:rsid w:val="00976B89"/>
    <w:rsid w:val="00977318"/>
    <w:rsid w:val="0097757C"/>
    <w:rsid w:val="0098053B"/>
    <w:rsid w:val="009807C6"/>
    <w:rsid w:val="00980ACA"/>
    <w:rsid w:val="00980F14"/>
    <w:rsid w:val="0098125C"/>
    <w:rsid w:val="0098146B"/>
    <w:rsid w:val="00981877"/>
    <w:rsid w:val="009828BD"/>
    <w:rsid w:val="009829FD"/>
    <w:rsid w:val="00982A6F"/>
    <w:rsid w:val="00982F90"/>
    <w:rsid w:val="00983984"/>
    <w:rsid w:val="00983BA8"/>
    <w:rsid w:val="00983C3B"/>
    <w:rsid w:val="00984DFF"/>
    <w:rsid w:val="0098555E"/>
    <w:rsid w:val="009856E1"/>
    <w:rsid w:val="009857FB"/>
    <w:rsid w:val="00986423"/>
    <w:rsid w:val="009866B2"/>
    <w:rsid w:val="00986D0E"/>
    <w:rsid w:val="00986E15"/>
    <w:rsid w:val="009871C5"/>
    <w:rsid w:val="0098742C"/>
    <w:rsid w:val="00987506"/>
    <w:rsid w:val="0098765F"/>
    <w:rsid w:val="00987688"/>
    <w:rsid w:val="00987A47"/>
    <w:rsid w:val="00987DFA"/>
    <w:rsid w:val="009900E6"/>
    <w:rsid w:val="009906B8"/>
    <w:rsid w:val="00990B2B"/>
    <w:rsid w:val="00990B6D"/>
    <w:rsid w:val="00990DDE"/>
    <w:rsid w:val="00991123"/>
    <w:rsid w:val="0099117B"/>
    <w:rsid w:val="00991550"/>
    <w:rsid w:val="0099181B"/>
    <w:rsid w:val="00993080"/>
    <w:rsid w:val="00993756"/>
    <w:rsid w:val="00993ACA"/>
    <w:rsid w:val="00993DAE"/>
    <w:rsid w:val="0099426F"/>
    <w:rsid w:val="009942BA"/>
    <w:rsid w:val="0099462D"/>
    <w:rsid w:val="00994EAF"/>
    <w:rsid w:val="00995139"/>
    <w:rsid w:val="009953FE"/>
    <w:rsid w:val="00995450"/>
    <w:rsid w:val="009954E3"/>
    <w:rsid w:val="009959E3"/>
    <w:rsid w:val="0099603B"/>
    <w:rsid w:val="00996446"/>
    <w:rsid w:val="00996ADB"/>
    <w:rsid w:val="00997040"/>
    <w:rsid w:val="0099721E"/>
    <w:rsid w:val="00997271"/>
    <w:rsid w:val="00997461"/>
    <w:rsid w:val="00997A4A"/>
    <w:rsid w:val="009A0B18"/>
    <w:rsid w:val="009A0B30"/>
    <w:rsid w:val="009A0B77"/>
    <w:rsid w:val="009A0FBA"/>
    <w:rsid w:val="009A1781"/>
    <w:rsid w:val="009A1890"/>
    <w:rsid w:val="009A1DFB"/>
    <w:rsid w:val="009A1E37"/>
    <w:rsid w:val="009A2131"/>
    <w:rsid w:val="009A2189"/>
    <w:rsid w:val="009A228A"/>
    <w:rsid w:val="009A253C"/>
    <w:rsid w:val="009A2627"/>
    <w:rsid w:val="009A28F9"/>
    <w:rsid w:val="009A2E7A"/>
    <w:rsid w:val="009A2F7F"/>
    <w:rsid w:val="009A347B"/>
    <w:rsid w:val="009A39B3"/>
    <w:rsid w:val="009A3A46"/>
    <w:rsid w:val="009A4EEA"/>
    <w:rsid w:val="009A5178"/>
    <w:rsid w:val="009A5C8E"/>
    <w:rsid w:val="009A5D79"/>
    <w:rsid w:val="009A608A"/>
    <w:rsid w:val="009A62E0"/>
    <w:rsid w:val="009A6354"/>
    <w:rsid w:val="009A64BF"/>
    <w:rsid w:val="009A69D0"/>
    <w:rsid w:val="009A6BD5"/>
    <w:rsid w:val="009A6DE2"/>
    <w:rsid w:val="009A6E4C"/>
    <w:rsid w:val="009A74C3"/>
    <w:rsid w:val="009A7D1C"/>
    <w:rsid w:val="009A7DC6"/>
    <w:rsid w:val="009A7E48"/>
    <w:rsid w:val="009B0580"/>
    <w:rsid w:val="009B0714"/>
    <w:rsid w:val="009B0ED2"/>
    <w:rsid w:val="009B0F6A"/>
    <w:rsid w:val="009B129D"/>
    <w:rsid w:val="009B1335"/>
    <w:rsid w:val="009B14D7"/>
    <w:rsid w:val="009B1665"/>
    <w:rsid w:val="009B17A5"/>
    <w:rsid w:val="009B241F"/>
    <w:rsid w:val="009B27B5"/>
    <w:rsid w:val="009B2EEC"/>
    <w:rsid w:val="009B31D6"/>
    <w:rsid w:val="009B3662"/>
    <w:rsid w:val="009B385E"/>
    <w:rsid w:val="009B3AE9"/>
    <w:rsid w:val="009B4456"/>
    <w:rsid w:val="009B4E07"/>
    <w:rsid w:val="009B5860"/>
    <w:rsid w:val="009B5C61"/>
    <w:rsid w:val="009B5CA5"/>
    <w:rsid w:val="009B5EB0"/>
    <w:rsid w:val="009B5F86"/>
    <w:rsid w:val="009B649A"/>
    <w:rsid w:val="009B68A3"/>
    <w:rsid w:val="009B69D6"/>
    <w:rsid w:val="009B6AAC"/>
    <w:rsid w:val="009B6F45"/>
    <w:rsid w:val="009B6F5B"/>
    <w:rsid w:val="009B702A"/>
    <w:rsid w:val="009B7E38"/>
    <w:rsid w:val="009C01F0"/>
    <w:rsid w:val="009C0292"/>
    <w:rsid w:val="009C0303"/>
    <w:rsid w:val="009C0693"/>
    <w:rsid w:val="009C0E41"/>
    <w:rsid w:val="009C1595"/>
    <w:rsid w:val="009C18BB"/>
    <w:rsid w:val="009C1904"/>
    <w:rsid w:val="009C1AD8"/>
    <w:rsid w:val="009C1DA9"/>
    <w:rsid w:val="009C1E7C"/>
    <w:rsid w:val="009C1FBF"/>
    <w:rsid w:val="009C1FD9"/>
    <w:rsid w:val="009C21E0"/>
    <w:rsid w:val="009C256D"/>
    <w:rsid w:val="009C3555"/>
    <w:rsid w:val="009C3562"/>
    <w:rsid w:val="009C379A"/>
    <w:rsid w:val="009C37C7"/>
    <w:rsid w:val="009C38A5"/>
    <w:rsid w:val="009C3936"/>
    <w:rsid w:val="009C473C"/>
    <w:rsid w:val="009C4771"/>
    <w:rsid w:val="009C4F42"/>
    <w:rsid w:val="009C51DE"/>
    <w:rsid w:val="009C5224"/>
    <w:rsid w:val="009C5419"/>
    <w:rsid w:val="009C5BEB"/>
    <w:rsid w:val="009C5E27"/>
    <w:rsid w:val="009C64FA"/>
    <w:rsid w:val="009C6C1D"/>
    <w:rsid w:val="009C6EDB"/>
    <w:rsid w:val="009C76E4"/>
    <w:rsid w:val="009C7BA4"/>
    <w:rsid w:val="009C7CE6"/>
    <w:rsid w:val="009D046D"/>
    <w:rsid w:val="009D0A84"/>
    <w:rsid w:val="009D0AFD"/>
    <w:rsid w:val="009D0E38"/>
    <w:rsid w:val="009D0E99"/>
    <w:rsid w:val="009D0F7A"/>
    <w:rsid w:val="009D1640"/>
    <w:rsid w:val="009D1A2B"/>
    <w:rsid w:val="009D244A"/>
    <w:rsid w:val="009D27D6"/>
    <w:rsid w:val="009D2A17"/>
    <w:rsid w:val="009D2C08"/>
    <w:rsid w:val="009D3554"/>
    <w:rsid w:val="009D4157"/>
    <w:rsid w:val="009D434D"/>
    <w:rsid w:val="009D4394"/>
    <w:rsid w:val="009D45AE"/>
    <w:rsid w:val="009D49B7"/>
    <w:rsid w:val="009D4EBA"/>
    <w:rsid w:val="009D50B3"/>
    <w:rsid w:val="009D53C5"/>
    <w:rsid w:val="009D5AA8"/>
    <w:rsid w:val="009D691C"/>
    <w:rsid w:val="009D6B60"/>
    <w:rsid w:val="009D6F30"/>
    <w:rsid w:val="009D6F6C"/>
    <w:rsid w:val="009D756C"/>
    <w:rsid w:val="009D7C0D"/>
    <w:rsid w:val="009D7D08"/>
    <w:rsid w:val="009E0728"/>
    <w:rsid w:val="009E0A89"/>
    <w:rsid w:val="009E0B37"/>
    <w:rsid w:val="009E0BF0"/>
    <w:rsid w:val="009E0C93"/>
    <w:rsid w:val="009E0F8F"/>
    <w:rsid w:val="009E1066"/>
    <w:rsid w:val="009E13E5"/>
    <w:rsid w:val="009E1732"/>
    <w:rsid w:val="009E1853"/>
    <w:rsid w:val="009E1CCF"/>
    <w:rsid w:val="009E1EAC"/>
    <w:rsid w:val="009E29C5"/>
    <w:rsid w:val="009E2F3B"/>
    <w:rsid w:val="009E3169"/>
    <w:rsid w:val="009E3528"/>
    <w:rsid w:val="009E3B07"/>
    <w:rsid w:val="009E3BBC"/>
    <w:rsid w:val="009E3C3B"/>
    <w:rsid w:val="009E4848"/>
    <w:rsid w:val="009E4D3F"/>
    <w:rsid w:val="009E4F96"/>
    <w:rsid w:val="009E520E"/>
    <w:rsid w:val="009E54A0"/>
    <w:rsid w:val="009E5513"/>
    <w:rsid w:val="009E5A1A"/>
    <w:rsid w:val="009E5D41"/>
    <w:rsid w:val="009E6606"/>
    <w:rsid w:val="009E681A"/>
    <w:rsid w:val="009E6F7C"/>
    <w:rsid w:val="009E765C"/>
    <w:rsid w:val="009E76AC"/>
    <w:rsid w:val="009E775C"/>
    <w:rsid w:val="009E77D2"/>
    <w:rsid w:val="009F08E5"/>
    <w:rsid w:val="009F0F39"/>
    <w:rsid w:val="009F12E1"/>
    <w:rsid w:val="009F1401"/>
    <w:rsid w:val="009F1416"/>
    <w:rsid w:val="009F1986"/>
    <w:rsid w:val="009F1F67"/>
    <w:rsid w:val="009F2088"/>
    <w:rsid w:val="009F20AA"/>
    <w:rsid w:val="009F24FC"/>
    <w:rsid w:val="009F26D5"/>
    <w:rsid w:val="009F26F4"/>
    <w:rsid w:val="009F28C7"/>
    <w:rsid w:val="009F2912"/>
    <w:rsid w:val="009F30F1"/>
    <w:rsid w:val="009F3538"/>
    <w:rsid w:val="009F3846"/>
    <w:rsid w:val="009F3D22"/>
    <w:rsid w:val="009F3EBC"/>
    <w:rsid w:val="009F40DE"/>
    <w:rsid w:val="009F4174"/>
    <w:rsid w:val="009F4633"/>
    <w:rsid w:val="009F4EA8"/>
    <w:rsid w:val="009F5AD9"/>
    <w:rsid w:val="009F5CF0"/>
    <w:rsid w:val="009F5E97"/>
    <w:rsid w:val="009F61A9"/>
    <w:rsid w:val="009F68BB"/>
    <w:rsid w:val="009F6F55"/>
    <w:rsid w:val="009F71DE"/>
    <w:rsid w:val="009F7316"/>
    <w:rsid w:val="009F7423"/>
    <w:rsid w:val="009F7B97"/>
    <w:rsid w:val="00A00531"/>
    <w:rsid w:val="00A014C6"/>
    <w:rsid w:val="00A01DCA"/>
    <w:rsid w:val="00A025B3"/>
    <w:rsid w:val="00A0276E"/>
    <w:rsid w:val="00A028C3"/>
    <w:rsid w:val="00A030CC"/>
    <w:rsid w:val="00A0310E"/>
    <w:rsid w:val="00A0424C"/>
    <w:rsid w:val="00A049CA"/>
    <w:rsid w:val="00A04A55"/>
    <w:rsid w:val="00A05269"/>
    <w:rsid w:val="00A053CC"/>
    <w:rsid w:val="00A0540D"/>
    <w:rsid w:val="00A05F57"/>
    <w:rsid w:val="00A06A21"/>
    <w:rsid w:val="00A06AB1"/>
    <w:rsid w:val="00A07034"/>
    <w:rsid w:val="00A07207"/>
    <w:rsid w:val="00A07F76"/>
    <w:rsid w:val="00A10084"/>
    <w:rsid w:val="00A10656"/>
    <w:rsid w:val="00A10897"/>
    <w:rsid w:val="00A10C8A"/>
    <w:rsid w:val="00A11B86"/>
    <w:rsid w:val="00A11C70"/>
    <w:rsid w:val="00A11F87"/>
    <w:rsid w:val="00A122D6"/>
    <w:rsid w:val="00A124A0"/>
    <w:rsid w:val="00A128AF"/>
    <w:rsid w:val="00A12996"/>
    <w:rsid w:val="00A12A98"/>
    <w:rsid w:val="00A139AC"/>
    <w:rsid w:val="00A13A98"/>
    <w:rsid w:val="00A13CE0"/>
    <w:rsid w:val="00A14104"/>
    <w:rsid w:val="00A1416B"/>
    <w:rsid w:val="00A1431F"/>
    <w:rsid w:val="00A14B4E"/>
    <w:rsid w:val="00A14C73"/>
    <w:rsid w:val="00A14EA0"/>
    <w:rsid w:val="00A15676"/>
    <w:rsid w:val="00A159CE"/>
    <w:rsid w:val="00A15C90"/>
    <w:rsid w:val="00A16110"/>
    <w:rsid w:val="00A16714"/>
    <w:rsid w:val="00A16AB7"/>
    <w:rsid w:val="00A16B92"/>
    <w:rsid w:val="00A173AC"/>
    <w:rsid w:val="00A1747D"/>
    <w:rsid w:val="00A1789F"/>
    <w:rsid w:val="00A17AB7"/>
    <w:rsid w:val="00A17CDF"/>
    <w:rsid w:val="00A17DD5"/>
    <w:rsid w:val="00A208AA"/>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62"/>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77A"/>
    <w:rsid w:val="00A32EE3"/>
    <w:rsid w:val="00A3314C"/>
    <w:rsid w:val="00A332A1"/>
    <w:rsid w:val="00A33AF9"/>
    <w:rsid w:val="00A33B2D"/>
    <w:rsid w:val="00A33BC4"/>
    <w:rsid w:val="00A33F26"/>
    <w:rsid w:val="00A340F4"/>
    <w:rsid w:val="00A3438C"/>
    <w:rsid w:val="00A34864"/>
    <w:rsid w:val="00A348E4"/>
    <w:rsid w:val="00A357B2"/>
    <w:rsid w:val="00A357C3"/>
    <w:rsid w:val="00A358DC"/>
    <w:rsid w:val="00A359E3"/>
    <w:rsid w:val="00A35B40"/>
    <w:rsid w:val="00A35B83"/>
    <w:rsid w:val="00A35CF8"/>
    <w:rsid w:val="00A35EDB"/>
    <w:rsid w:val="00A3657C"/>
    <w:rsid w:val="00A36B36"/>
    <w:rsid w:val="00A36EC4"/>
    <w:rsid w:val="00A36FD3"/>
    <w:rsid w:val="00A373E0"/>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61C"/>
    <w:rsid w:val="00A44B1D"/>
    <w:rsid w:val="00A44B8F"/>
    <w:rsid w:val="00A44E9B"/>
    <w:rsid w:val="00A45099"/>
    <w:rsid w:val="00A45858"/>
    <w:rsid w:val="00A45D29"/>
    <w:rsid w:val="00A45EA1"/>
    <w:rsid w:val="00A45FF5"/>
    <w:rsid w:val="00A46658"/>
    <w:rsid w:val="00A4684E"/>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895"/>
    <w:rsid w:val="00A54972"/>
    <w:rsid w:val="00A54C4A"/>
    <w:rsid w:val="00A55099"/>
    <w:rsid w:val="00A551BD"/>
    <w:rsid w:val="00A553C8"/>
    <w:rsid w:val="00A5581C"/>
    <w:rsid w:val="00A55F09"/>
    <w:rsid w:val="00A562C4"/>
    <w:rsid w:val="00A56B1E"/>
    <w:rsid w:val="00A56E27"/>
    <w:rsid w:val="00A56E85"/>
    <w:rsid w:val="00A573C7"/>
    <w:rsid w:val="00A57420"/>
    <w:rsid w:val="00A577F3"/>
    <w:rsid w:val="00A57929"/>
    <w:rsid w:val="00A57B08"/>
    <w:rsid w:val="00A6046E"/>
    <w:rsid w:val="00A60851"/>
    <w:rsid w:val="00A60ADB"/>
    <w:rsid w:val="00A60CB7"/>
    <w:rsid w:val="00A613D9"/>
    <w:rsid w:val="00A61413"/>
    <w:rsid w:val="00A61530"/>
    <w:rsid w:val="00A61580"/>
    <w:rsid w:val="00A61B2C"/>
    <w:rsid w:val="00A61B81"/>
    <w:rsid w:val="00A61DDD"/>
    <w:rsid w:val="00A620CB"/>
    <w:rsid w:val="00A62811"/>
    <w:rsid w:val="00A631C8"/>
    <w:rsid w:val="00A63E8C"/>
    <w:rsid w:val="00A63EEE"/>
    <w:rsid w:val="00A64417"/>
    <w:rsid w:val="00A64BF9"/>
    <w:rsid w:val="00A64C9F"/>
    <w:rsid w:val="00A653F3"/>
    <w:rsid w:val="00A665C7"/>
    <w:rsid w:val="00A66C93"/>
    <w:rsid w:val="00A66F00"/>
    <w:rsid w:val="00A67702"/>
    <w:rsid w:val="00A67E3F"/>
    <w:rsid w:val="00A70ECB"/>
    <w:rsid w:val="00A70F74"/>
    <w:rsid w:val="00A712F7"/>
    <w:rsid w:val="00A71437"/>
    <w:rsid w:val="00A718F3"/>
    <w:rsid w:val="00A71ADE"/>
    <w:rsid w:val="00A7235A"/>
    <w:rsid w:val="00A72461"/>
    <w:rsid w:val="00A72531"/>
    <w:rsid w:val="00A72717"/>
    <w:rsid w:val="00A729CA"/>
    <w:rsid w:val="00A7303D"/>
    <w:rsid w:val="00A73291"/>
    <w:rsid w:val="00A7334C"/>
    <w:rsid w:val="00A73467"/>
    <w:rsid w:val="00A73809"/>
    <w:rsid w:val="00A73912"/>
    <w:rsid w:val="00A73A43"/>
    <w:rsid w:val="00A73CDA"/>
    <w:rsid w:val="00A73CFF"/>
    <w:rsid w:val="00A73D3B"/>
    <w:rsid w:val="00A73E27"/>
    <w:rsid w:val="00A7415E"/>
    <w:rsid w:val="00A749D0"/>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C6A"/>
    <w:rsid w:val="00A82E32"/>
    <w:rsid w:val="00A82E84"/>
    <w:rsid w:val="00A83517"/>
    <w:rsid w:val="00A8379A"/>
    <w:rsid w:val="00A83924"/>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2901"/>
    <w:rsid w:val="00A934F8"/>
    <w:rsid w:val="00A93932"/>
    <w:rsid w:val="00A93E28"/>
    <w:rsid w:val="00A93F4B"/>
    <w:rsid w:val="00A93FC2"/>
    <w:rsid w:val="00A942BA"/>
    <w:rsid w:val="00A949D2"/>
    <w:rsid w:val="00A9559C"/>
    <w:rsid w:val="00A955CE"/>
    <w:rsid w:val="00A95B1D"/>
    <w:rsid w:val="00A95DD5"/>
    <w:rsid w:val="00A961F8"/>
    <w:rsid w:val="00A9625A"/>
    <w:rsid w:val="00A964D5"/>
    <w:rsid w:val="00A96A4E"/>
    <w:rsid w:val="00A96FF0"/>
    <w:rsid w:val="00A97593"/>
    <w:rsid w:val="00A977A0"/>
    <w:rsid w:val="00A97C74"/>
    <w:rsid w:val="00A97CA5"/>
    <w:rsid w:val="00A97D4C"/>
    <w:rsid w:val="00AA062D"/>
    <w:rsid w:val="00AA06C5"/>
    <w:rsid w:val="00AA094A"/>
    <w:rsid w:val="00AA0B93"/>
    <w:rsid w:val="00AA12CB"/>
    <w:rsid w:val="00AA1768"/>
    <w:rsid w:val="00AA17E6"/>
    <w:rsid w:val="00AA1AA6"/>
    <w:rsid w:val="00AA1AAC"/>
    <w:rsid w:val="00AA1D6C"/>
    <w:rsid w:val="00AA1E7C"/>
    <w:rsid w:val="00AA1F09"/>
    <w:rsid w:val="00AA21C0"/>
    <w:rsid w:val="00AA23E2"/>
    <w:rsid w:val="00AA24BA"/>
    <w:rsid w:val="00AA25A1"/>
    <w:rsid w:val="00AA2B59"/>
    <w:rsid w:val="00AA2B8F"/>
    <w:rsid w:val="00AA2C74"/>
    <w:rsid w:val="00AA2D08"/>
    <w:rsid w:val="00AA34E3"/>
    <w:rsid w:val="00AA3625"/>
    <w:rsid w:val="00AA3C21"/>
    <w:rsid w:val="00AA3DD9"/>
    <w:rsid w:val="00AA4173"/>
    <w:rsid w:val="00AA4186"/>
    <w:rsid w:val="00AA4306"/>
    <w:rsid w:val="00AA432B"/>
    <w:rsid w:val="00AA4331"/>
    <w:rsid w:val="00AA43E8"/>
    <w:rsid w:val="00AA44B1"/>
    <w:rsid w:val="00AA4A49"/>
    <w:rsid w:val="00AA4BE4"/>
    <w:rsid w:val="00AA58B9"/>
    <w:rsid w:val="00AA63C9"/>
    <w:rsid w:val="00AA68B3"/>
    <w:rsid w:val="00AA6991"/>
    <w:rsid w:val="00AA6C49"/>
    <w:rsid w:val="00AA6C65"/>
    <w:rsid w:val="00AA741E"/>
    <w:rsid w:val="00AA7C65"/>
    <w:rsid w:val="00AB0D8D"/>
    <w:rsid w:val="00AB14B9"/>
    <w:rsid w:val="00AB225D"/>
    <w:rsid w:val="00AB2526"/>
    <w:rsid w:val="00AB2532"/>
    <w:rsid w:val="00AB275F"/>
    <w:rsid w:val="00AB27EA"/>
    <w:rsid w:val="00AB2EB2"/>
    <w:rsid w:val="00AB325D"/>
    <w:rsid w:val="00AB3846"/>
    <w:rsid w:val="00AB3877"/>
    <w:rsid w:val="00AB3BD5"/>
    <w:rsid w:val="00AB3C26"/>
    <w:rsid w:val="00AB414E"/>
    <w:rsid w:val="00AB4154"/>
    <w:rsid w:val="00AB4171"/>
    <w:rsid w:val="00AB43A1"/>
    <w:rsid w:val="00AB4663"/>
    <w:rsid w:val="00AB48D3"/>
    <w:rsid w:val="00AB4979"/>
    <w:rsid w:val="00AB4A5C"/>
    <w:rsid w:val="00AB4BFA"/>
    <w:rsid w:val="00AB52DB"/>
    <w:rsid w:val="00AB5365"/>
    <w:rsid w:val="00AB5AAB"/>
    <w:rsid w:val="00AB5C7E"/>
    <w:rsid w:val="00AB62DB"/>
    <w:rsid w:val="00AB644B"/>
    <w:rsid w:val="00AB6775"/>
    <w:rsid w:val="00AB727E"/>
    <w:rsid w:val="00AB75FC"/>
    <w:rsid w:val="00AB780B"/>
    <w:rsid w:val="00AB7F96"/>
    <w:rsid w:val="00AC0013"/>
    <w:rsid w:val="00AC0148"/>
    <w:rsid w:val="00AC0287"/>
    <w:rsid w:val="00AC0A16"/>
    <w:rsid w:val="00AC113A"/>
    <w:rsid w:val="00AC11E1"/>
    <w:rsid w:val="00AC138D"/>
    <w:rsid w:val="00AC17A3"/>
    <w:rsid w:val="00AC1A59"/>
    <w:rsid w:val="00AC1FFA"/>
    <w:rsid w:val="00AC22F9"/>
    <w:rsid w:val="00AC28FE"/>
    <w:rsid w:val="00AC297B"/>
    <w:rsid w:val="00AC3862"/>
    <w:rsid w:val="00AC4123"/>
    <w:rsid w:val="00AC451A"/>
    <w:rsid w:val="00AC478F"/>
    <w:rsid w:val="00AC4C2C"/>
    <w:rsid w:val="00AC4DE1"/>
    <w:rsid w:val="00AC4E58"/>
    <w:rsid w:val="00AC537D"/>
    <w:rsid w:val="00AC552C"/>
    <w:rsid w:val="00AC5B6A"/>
    <w:rsid w:val="00AC652C"/>
    <w:rsid w:val="00AC6554"/>
    <w:rsid w:val="00AC667E"/>
    <w:rsid w:val="00AC68D7"/>
    <w:rsid w:val="00AC6B78"/>
    <w:rsid w:val="00AC6D0B"/>
    <w:rsid w:val="00AC6D19"/>
    <w:rsid w:val="00AC70C0"/>
    <w:rsid w:val="00AD02B7"/>
    <w:rsid w:val="00AD03D6"/>
    <w:rsid w:val="00AD0593"/>
    <w:rsid w:val="00AD05B0"/>
    <w:rsid w:val="00AD0B66"/>
    <w:rsid w:val="00AD135F"/>
    <w:rsid w:val="00AD1831"/>
    <w:rsid w:val="00AD18EE"/>
    <w:rsid w:val="00AD2747"/>
    <w:rsid w:val="00AD3037"/>
    <w:rsid w:val="00AD3296"/>
    <w:rsid w:val="00AD3297"/>
    <w:rsid w:val="00AD33BC"/>
    <w:rsid w:val="00AD391C"/>
    <w:rsid w:val="00AD49FA"/>
    <w:rsid w:val="00AD4C26"/>
    <w:rsid w:val="00AD52BD"/>
    <w:rsid w:val="00AD5DB5"/>
    <w:rsid w:val="00AD67D6"/>
    <w:rsid w:val="00AD6B3E"/>
    <w:rsid w:val="00AD70E2"/>
    <w:rsid w:val="00AD7588"/>
    <w:rsid w:val="00AD76BC"/>
    <w:rsid w:val="00AD7C28"/>
    <w:rsid w:val="00AD7C88"/>
    <w:rsid w:val="00AE0962"/>
    <w:rsid w:val="00AE0A91"/>
    <w:rsid w:val="00AE0FCB"/>
    <w:rsid w:val="00AE1B7D"/>
    <w:rsid w:val="00AE1C38"/>
    <w:rsid w:val="00AE2718"/>
    <w:rsid w:val="00AE2C29"/>
    <w:rsid w:val="00AE2FBA"/>
    <w:rsid w:val="00AE3242"/>
    <w:rsid w:val="00AE3298"/>
    <w:rsid w:val="00AE36B4"/>
    <w:rsid w:val="00AE382A"/>
    <w:rsid w:val="00AE38F7"/>
    <w:rsid w:val="00AE3CF0"/>
    <w:rsid w:val="00AE4098"/>
    <w:rsid w:val="00AE4226"/>
    <w:rsid w:val="00AE4CD3"/>
    <w:rsid w:val="00AE4F2B"/>
    <w:rsid w:val="00AE53B1"/>
    <w:rsid w:val="00AE5A7C"/>
    <w:rsid w:val="00AE6090"/>
    <w:rsid w:val="00AE6236"/>
    <w:rsid w:val="00AE6583"/>
    <w:rsid w:val="00AE6630"/>
    <w:rsid w:val="00AE6724"/>
    <w:rsid w:val="00AE6BCD"/>
    <w:rsid w:val="00AE710C"/>
    <w:rsid w:val="00AE7375"/>
    <w:rsid w:val="00AE76F3"/>
    <w:rsid w:val="00AE77D6"/>
    <w:rsid w:val="00AE7BE6"/>
    <w:rsid w:val="00AF0002"/>
    <w:rsid w:val="00AF0481"/>
    <w:rsid w:val="00AF0AEB"/>
    <w:rsid w:val="00AF0C58"/>
    <w:rsid w:val="00AF1079"/>
    <w:rsid w:val="00AF1BFC"/>
    <w:rsid w:val="00AF1D5E"/>
    <w:rsid w:val="00AF203B"/>
    <w:rsid w:val="00AF2484"/>
    <w:rsid w:val="00AF2BC0"/>
    <w:rsid w:val="00AF3E4D"/>
    <w:rsid w:val="00AF49EA"/>
    <w:rsid w:val="00AF4F20"/>
    <w:rsid w:val="00AF4F66"/>
    <w:rsid w:val="00AF5647"/>
    <w:rsid w:val="00AF56B7"/>
    <w:rsid w:val="00AF5AFE"/>
    <w:rsid w:val="00AF666D"/>
    <w:rsid w:val="00AF6804"/>
    <w:rsid w:val="00AF6AA5"/>
    <w:rsid w:val="00AF6AB0"/>
    <w:rsid w:val="00AF6DE2"/>
    <w:rsid w:val="00AF7210"/>
    <w:rsid w:val="00AF757C"/>
    <w:rsid w:val="00AF7582"/>
    <w:rsid w:val="00AF76BB"/>
    <w:rsid w:val="00AF771E"/>
    <w:rsid w:val="00B00375"/>
    <w:rsid w:val="00B00433"/>
    <w:rsid w:val="00B00AFA"/>
    <w:rsid w:val="00B017D8"/>
    <w:rsid w:val="00B01A56"/>
    <w:rsid w:val="00B01E99"/>
    <w:rsid w:val="00B0242F"/>
    <w:rsid w:val="00B025A5"/>
    <w:rsid w:val="00B0383E"/>
    <w:rsid w:val="00B03852"/>
    <w:rsid w:val="00B03B07"/>
    <w:rsid w:val="00B03B76"/>
    <w:rsid w:val="00B03C53"/>
    <w:rsid w:val="00B03D71"/>
    <w:rsid w:val="00B04FF3"/>
    <w:rsid w:val="00B05AD9"/>
    <w:rsid w:val="00B06117"/>
    <w:rsid w:val="00B06278"/>
    <w:rsid w:val="00B06477"/>
    <w:rsid w:val="00B069A8"/>
    <w:rsid w:val="00B06ADB"/>
    <w:rsid w:val="00B06CC6"/>
    <w:rsid w:val="00B06E1B"/>
    <w:rsid w:val="00B070B9"/>
    <w:rsid w:val="00B075AD"/>
    <w:rsid w:val="00B0787B"/>
    <w:rsid w:val="00B07891"/>
    <w:rsid w:val="00B07980"/>
    <w:rsid w:val="00B07B63"/>
    <w:rsid w:val="00B07DA6"/>
    <w:rsid w:val="00B10795"/>
    <w:rsid w:val="00B10956"/>
    <w:rsid w:val="00B10E0B"/>
    <w:rsid w:val="00B11876"/>
    <w:rsid w:val="00B118BC"/>
    <w:rsid w:val="00B120C0"/>
    <w:rsid w:val="00B124BB"/>
    <w:rsid w:val="00B12647"/>
    <w:rsid w:val="00B1287F"/>
    <w:rsid w:val="00B12922"/>
    <w:rsid w:val="00B12BBF"/>
    <w:rsid w:val="00B12F5A"/>
    <w:rsid w:val="00B1392B"/>
    <w:rsid w:val="00B13AF4"/>
    <w:rsid w:val="00B13F63"/>
    <w:rsid w:val="00B14196"/>
    <w:rsid w:val="00B1487F"/>
    <w:rsid w:val="00B14921"/>
    <w:rsid w:val="00B14CE9"/>
    <w:rsid w:val="00B14E80"/>
    <w:rsid w:val="00B1501A"/>
    <w:rsid w:val="00B1551F"/>
    <w:rsid w:val="00B15683"/>
    <w:rsid w:val="00B158D7"/>
    <w:rsid w:val="00B15B7C"/>
    <w:rsid w:val="00B15C7C"/>
    <w:rsid w:val="00B15EDE"/>
    <w:rsid w:val="00B160BA"/>
    <w:rsid w:val="00B1651F"/>
    <w:rsid w:val="00B166D4"/>
    <w:rsid w:val="00B16745"/>
    <w:rsid w:val="00B175E1"/>
    <w:rsid w:val="00B175E2"/>
    <w:rsid w:val="00B17922"/>
    <w:rsid w:val="00B17963"/>
    <w:rsid w:val="00B179BB"/>
    <w:rsid w:val="00B179C6"/>
    <w:rsid w:val="00B206CE"/>
    <w:rsid w:val="00B20754"/>
    <w:rsid w:val="00B20DA0"/>
    <w:rsid w:val="00B20DB6"/>
    <w:rsid w:val="00B21420"/>
    <w:rsid w:val="00B2149A"/>
    <w:rsid w:val="00B2158E"/>
    <w:rsid w:val="00B21EC8"/>
    <w:rsid w:val="00B21FAC"/>
    <w:rsid w:val="00B22015"/>
    <w:rsid w:val="00B2231F"/>
    <w:rsid w:val="00B223DF"/>
    <w:rsid w:val="00B22493"/>
    <w:rsid w:val="00B224A8"/>
    <w:rsid w:val="00B229BB"/>
    <w:rsid w:val="00B22C57"/>
    <w:rsid w:val="00B23142"/>
    <w:rsid w:val="00B2316C"/>
    <w:rsid w:val="00B2360C"/>
    <w:rsid w:val="00B23832"/>
    <w:rsid w:val="00B23EFF"/>
    <w:rsid w:val="00B2432A"/>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27F8D"/>
    <w:rsid w:val="00B30238"/>
    <w:rsid w:val="00B30389"/>
    <w:rsid w:val="00B3044D"/>
    <w:rsid w:val="00B3050B"/>
    <w:rsid w:val="00B307F2"/>
    <w:rsid w:val="00B3082A"/>
    <w:rsid w:val="00B30A60"/>
    <w:rsid w:val="00B30B20"/>
    <w:rsid w:val="00B30EA5"/>
    <w:rsid w:val="00B314D1"/>
    <w:rsid w:val="00B31748"/>
    <w:rsid w:val="00B31C36"/>
    <w:rsid w:val="00B31D68"/>
    <w:rsid w:val="00B31F3C"/>
    <w:rsid w:val="00B3254F"/>
    <w:rsid w:val="00B33139"/>
    <w:rsid w:val="00B336C5"/>
    <w:rsid w:val="00B33B3A"/>
    <w:rsid w:val="00B33D84"/>
    <w:rsid w:val="00B34227"/>
    <w:rsid w:val="00B3429A"/>
    <w:rsid w:val="00B3450B"/>
    <w:rsid w:val="00B353BF"/>
    <w:rsid w:val="00B353D4"/>
    <w:rsid w:val="00B35C30"/>
    <w:rsid w:val="00B36423"/>
    <w:rsid w:val="00B3655F"/>
    <w:rsid w:val="00B36FC7"/>
    <w:rsid w:val="00B37033"/>
    <w:rsid w:val="00B370F3"/>
    <w:rsid w:val="00B37B74"/>
    <w:rsid w:val="00B37B76"/>
    <w:rsid w:val="00B37BA4"/>
    <w:rsid w:val="00B4072C"/>
    <w:rsid w:val="00B40794"/>
    <w:rsid w:val="00B4095A"/>
    <w:rsid w:val="00B40BBE"/>
    <w:rsid w:val="00B40CAF"/>
    <w:rsid w:val="00B40D2F"/>
    <w:rsid w:val="00B4116F"/>
    <w:rsid w:val="00B4139F"/>
    <w:rsid w:val="00B429BA"/>
    <w:rsid w:val="00B42BC9"/>
    <w:rsid w:val="00B42D85"/>
    <w:rsid w:val="00B42E79"/>
    <w:rsid w:val="00B433DE"/>
    <w:rsid w:val="00B4369C"/>
    <w:rsid w:val="00B437BB"/>
    <w:rsid w:val="00B44444"/>
    <w:rsid w:val="00B44A2B"/>
    <w:rsid w:val="00B4516E"/>
    <w:rsid w:val="00B45389"/>
    <w:rsid w:val="00B457E2"/>
    <w:rsid w:val="00B458C2"/>
    <w:rsid w:val="00B45EDA"/>
    <w:rsid w:val="00B4690A"/>
    <w:rsid w:val="00B4717F"/>
    <w:rsid w:val="00B47740"/>
    <w:rsid w:val="00B4780B"/>
    <w:rsid w:val="00B47AF6"/>
    <w:rsid w:val="00B50BF4"/>
    <w:rsid w:val="00B50F32"/>
    <w:rsid w:val="00B512C9"/>
    <w:rsid w:val="00B51E4E"/>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1AA"/>
    <w:rsid w:val="00B60C53"/>
    <w:rsid w:val="00B60DC1"/>
    <w:rsid w:val="00B60F9D"/>
    <w:rsid w:val="00B61B16"/>
    <w:rsid w:val="00B62003"/>
    <w:rsid w:val="00B62110"/>
    <w:rsid w:val="00B62320"/>
    <w:rsid w:val="00B62425"/>
    <w:rsid w:val="00B62BAF"/>
    <w:rsid w:val="00B63B96"/>
    <w:rsid w:val="00B63F44"/>
    <w:rsid w:val="00B6404F"/>
    <w:rsid w:val="00B64CD9"/>
    <w:rsid w:val="00B64D2F"/>
    <w:rsid w:val="00B65160"/>
    <w:rsid w:val="00B6549C"/>
    <w:rsid w:val="00B6553F"/>
    <w:rsid w:val="00B6561B"/>
    <w:rsid w:val="00B6566B"/>
    <w:rsid w:val="00B65C8D"/>
    <w:rsid w:val="00B65DA8"/>
    <w:rsid w:val="00B65EFE"/>
    <w:rsid w:val="00B66B90"/>
    <w:rsid w:val="00B670BF"/>
    <w:rsid w:val="00B670E1"/>
    <w:rsid w:val="00B674B6"/>
    <w:rsid w:val="00B67A58"/>
    <w:rsid w:val="00B67BB1"/>
    <w:rsid w:val="00B7023B"/>
    <w:rsid w:val="00B702B8"/>
    <w:rsid w:val="00B702FF"/>
    <w:rsid w:val="00B70436"/>
    <w:rsid w:val="00B70562"/>
    <w:rsid w:val="00B70D3B"/>
    <w:rsid w:val="00B71320"/>
    <w:rsid w:val="00B717DD"/>
    <w:rsid w:val="00B71A99"/>
    <w:rsid w:val="00B71B3E"/>
    <w:rsid w:val="00B71BB3"/>
    <w:rsid w:val="00B7210F"/>
    <w:rsid w:val="00B72791"/>
    <w:rsid w:val="00B73397"/>
    <w:rsid w:val="00B7377D"/>
    <w:rsid w:val="00B739CC"/>
    <w:rsid w:val="00B740EF"/>
    <w:rsid w:val="00B74861"/>
    <w:rsid w:val="00B74B2A"/>
    <w:rsid w:val="00B74B7C"/>
    <w:rsid w:val="00B75123"/>
    <w:rsid w:val="00B751DE"/>
    <w:rsid w:val="00B75A06"/>
    <w:rsid w:val="00B75B80"/>
    <w:rsid w:val="00B75C14"/>
    <w:rsid w:val="00B75D1F"/>
    <w:rsid w:val="00B76499"/>
    <w:rsid w:val="00B765CC"/>
    <w:rsid w:val="00B7686E"/>
    <w:rsid w:val="00B76A62"/>
    <w:rsid w:val="00B76C61"/>
    <w:rsid w:val="00B76FAE"/>
    <w:rsid w:val="00B77603"/>
    <w:rsid w:val="00B7789B"/>
    <w:rsid w:val="00B77C75"/>
    <w:rsid w:val="00B77F09"/>
    <w:rsid w:val="00B8027E"/>
    <w:rsid w:val="00B80545"/>
    <w:rsid w:val="00B805BC"/>
    <w:rsid w:val="00B80BE4"/>
    <w:rsid w:val="00B80CD3"/>
    <w:rsid w:val="00B81AA9"/>
    <w:rsid w:val="00B81EC8"/>
    <w:rsid w:val="00B82061"/>
    <w:rsid w:val="00B8248A"/>
    <w:rsid w:val="00B82664"/>
    <w:rsid w:val="00B82A0A"/>
    <w:rsid w:val="00B82A1C"/>
    <w:rsid w:val="00B82CCE"/>
    <w:rsid w:val="00B82EA0"/>
    <w:rsid w:val="00B83024"/>
    <w:rsid w:val="00B836F9"/>
    <w:rsid w:val="00B83743"/>
    <w:rsid w:val="00B8374F"/>
    <w:rsid w:val="00B83BCF"/>
    <w:rsid w:val="00B83E0A"/>
    <w:rsid w:val="00B84128"/>
    <w:rsid w:val="00B84996"/>
    <w:rsid w:val="00B8504C"/>
    <w:rsid w:val="00B862EF"/>
    <w:rsid w:val="00B86500"/>
    <w:rsid w:val="00B868CA"/>
    <w:rsid w:val="00B8691D"/>
    <w:rsid w:val="00B870F1"/>
    <w:rsid w:val="00B8751C"/>
    <w:rsid w:val="00B876CB"/>
    <w:rsid w:val="00B8775E"/>
    <w:rsid w:val="00B902C1"/>
    <w:rsid w:val="00B90768"/>
    <w:rsid w:val="00B90893"/>
    <w:rsid w:val="00B9168D"/>
    <w:rsid w:val="00B9172A"/>
    <w:rsid w:val="00B91993"/>
    <w:rsid w:val="00B91E9F"/>
    <w:rsid w:val="00B927B5"/>
    <w:rsid w:val="00B92A23"/>
    <w:rsid w:val="00B92BF0"/>
    <w:rsid w:val="00B92FDB"/>
    <w:rsid w:val="00B9359C"/>
    <w:rsid w:val="00B93856"/>
    <w:rsid w:val="00B93B79"/>
    <w:rsid w:val="00B93FEB"/>
    <w:rsid w:val="00B942BD"/>
    <w:rsid w:val="00B94515"/>
    <w:rsid w:val="00B94A33"/>
    <w:rsid w:val="00B94F63"/>
    <w:rsid w:val="00B95327"/>
    <w:rsid w:val="00B9587D"/>
    <w:rsid w:val="00B958FC"/>
    <w:rsid w:val="00B95B7D"/>
    <w:rsid w:val="00B95D29"/>
    <w:rsid w:val="00B95D37"/>
    <w:rsid w:val="00B9611C"/>
    <w:rsid w:val="00B966A1"/>
    <w:rsid w:val="00B968D3"/>
    <w:rsid w:val="00B97493"/>
    <w:rsid w:val="00B97615"/>
    <w:rsid w:val="00B9762E"/>
    <w:rsid w:val="00B97A26"/>
    <w:rsid w:val="00B97BAB"/>
    <w:rsid w:val="00B97C5F"/>
    <w:rsid w:val="00BA0238"/>
    <w:rsid w:val="00BA0307"/>
    <w:rsid w:val="00BA0612"/>
    <w:rsid w:val="00BA0760"/>
    <w:rsid w:val="00BA0E6D"/>
    <w:rsid w:val="00BA1061"/>
    <w:rsid w:val="00BA12BF"/>
    <w:rsid w:val="00BA1490"/>
    <w:rsid w:val="00BA156B"/>
    <w:rsid w:val="00BA1605"/>
    <w:rsid w:val="00BA21A7"/>
    <w:rsid w:val="00BA287A"/>
    <w:rsid w:val="00BA2A44"/>
    <w:rsid w:val="00BA2DDF"/>
    <w:rsid w:val="00BA3616"/>
    <w:rsid w:val="00BA3AA5"/>
    <w:rsid w:val="00BA3B7E"/>
    <w:rsid w:val="00BA4241"/>
    <w:rsid w:val="00BA4375"/>
    <w:rsid w:val="00BA4391"/>
    <w:rsid w:val="00BA43C5"/>
    <w:rsid w:val="00BA4E19"/>
    <w:rsid w:val="00BA4EBC"/>
    <w:rsid w:val="00BA4FB0"/>
    <w:rsid w:val="00BA51E6"/>
    <w:rsid w:val="00BA54D2"/>
    <w:rsid w:val="00BA581B"/>
    <w:rsid w:val="00BA58A1"/>
    <w:rsid w:val="00BA622E"/>
    <w:rsid w:val="00BA655E"/>
    <w:rsid w:val="00BA7507"/>
    <w:rsid w:val="00BA7B4C"/>
    <w:rsid w:val="00BB03B6"/>
    <w:rsid w:val="00BB06D7"/>
    <w:rsid w:val="00BB09F9"/>
    <w:rsid w:val="00BB122A"/>
    <w:rsid w:val="00BB1304"/>
    <w:rsid w:val="00BB15B8"/>
    <w:rsid w:val="00BB1B50"/>
    <w:rsid w:val="00BB1C51"/>
    <w:rsid w:val="00BB1C6C"/>
    <w:rsid w:val="00BB1CF5"/>
    <w:rsid w:val="00BB1F66"/>
    <w:rsid w:val="00BB225C"/>
    <w:rsid w:val="00BB2277"/>
    <w:rsid w:val="00BB2767"/>
    <w:rsid w:val="00BB2992"/>
    <w:rsid w:val="00BB2DB2"/>
    <w:rsid w:val="00BB3111"/>
    <w:rsid w:val="00BB318E"/>
    <w:rsid w:val="00BB35F3"/>
    <w:rsid w:val="00BB369F"/>
    <w:rsid w:val="00BB3A66"/>
    <w:rsid w:val="00BB3C7B"/>
    <w:rsid w:val="00BB4405"/>
    <w:rsid w:val="00BB450E"/>
    <w:rsid w:val="00BB4B4F"/>
    <w:rsid w:val="00BB5913"/>
    <w:rsid w:val="00BB5B40"/>
    <w:rsid w:val="00BB5B68"/>
    <w:rsid w:val="00BB5B8A"/>
    <w:rsid w:val="00BB6023"/>
    <w:rsid w:val="00BB6558"/>
    <w:rsid w:val="00BB6DCE"/>
    <w:rsid w:val="00BB766C"/>
    <w:rsid w:val="00BB7EEF"/>
    <w:rsid w:val="00BC0244"/>
    <w:rsid w:val="00BC0602"/>
    <w:rsid w:val="00BC0DC9"/>
    <w:rsid w:val="00BC0FB0"/>
    <w:rsid w:val="00BC15FC"/>
    <w:rsid w:val="00BC1BF9"/>
    <w:rsid w:val="00BC1F14"/>
    <w:rsid w:val="00BC2134"/>
    <w:rsid w:val="00BC2C8D"/>
    <w:rsid w:val="00BC337D"/>
    <w:rsid w:val="00BC3A69"/>
    <w:rsid w:val="00BC3F46"/>
    <w:rsid w:val="00BC4020"/>
    <w:rsid w:val="00BC49CD"/>
    <w:rsid w:val="00BC5478"/>
    <w:rsid w:val="00BC54EF"/>
    <w:rsid w:val="00BC5557"/>
    <w:rsid w:val="00BC559A"/>
    <w:rsid w:val="00BC5780"/>
    <w:rsid w:val="00BC5A82"/>
    <w:rsid w:val="00BC5D9E"/>
    <w:rsid w:val="00BC5DFA"/>
    <w:rsid w:val="00BC5EC4"/>
    <w:rsid w:val="00BC62FE"/>
    <w:rsid w:val="00BC6481"/>
    <w:rsid w:val="00BC6D72"/>
    <w:rsid w:val="00BC7173"/>
    <w:rsid w:val="00BC71BC"/>
    <w:rsid w:val="00BC7202"/>
    <w:rsid w:val="00BC7888"/>
    <w:rsid w:val="00BC79F4"/>
    <w:rsid w:val="00BC7C79"/>
    <w:rsid w:val="00BC7E9C"/>
    <w:rsid w:val="00BD027C"/>
    <w:rsid w:val="00BD02C5"/>
    <w:rsid w:val="00BD0318"/>
    <w:rsid w:val="00BD052E"/>
    <w:rsid w:val="00BD0578"/>
    <w:rsid w:val="00BD087D"/>
    <w:rsid w:val="00BD0B35"/>
    <w:rsid w:val="00BD0D53"/>
    <w:rsid w:val="00BD12F1"/>
    <w:rsid w:val="00BD150E"/>
    <w:rsid w:val="00BD154F"/>
    <w:rsid w:val="00BD16A2"/>
    <w:rsid w:val="00BD19B4"/>
    <w:rsid w:val="00BD1B1A"/>
    <w:rsid w:val="00BD1ED5"/>
    <w:rsid w:val="00BD1F7C"/>
    <w:rsid w:val="00BD1F97"/>
    <w:rsid w:val="00BD225E"/>
    <w:rsid w:val="00BD22E1"/>
    <w:rsid w:val="00BD23E9"/>
    <w:rsid w:val="00BD2AF3"/>
    <w:rsid w:val="00BD34BB"/>
    <w:rsid w:val="00BD356A"/>
    <w:rsid w:val="00BD36AC"/>
    <w:rsid w:val="00BD41E1"/>
    <w:rsid w:val="00BD476F"/>
    <w:rsid w:val="00BD484E"/>
    <w:rsid w:val="00BD4BC3"/>
    <w:rsid w:val="00BD4C55"/>
    <w:rsid w:val="00BD4CC0"/>
    <w:rsid w:val="00BD4F6D"/>
    <w:rsid w:val="00BD4FE9"/>
    <w:rsid w:val="00BD5006"/>
    <w:rsid w:val="00BD5111"/>
    <w:rsid w:val="00BD59B9"/>
    <w:rsid w:val="00BD59EE"/>
    <w:rsid w:val="00BD5AD4"/>
    <w:rsid w:val="00BD5F8E"/>
    <w:rsid w:val="00BD5FCA"/>
    <w:rsid w:val="00BD64F1"/>
    <w:rsid w:val="00BD6855"/>
    <w:rsid w:val="00BD6D85"/>
    <w:rsid w:val="00BD6DEA"/>
    <w:rsid w:val="00BD7C73"/>
    <w:rsid w:val="00BE01AD"/>
    <w:rsid w:val="00BE04A5"/>
    <w:rsid w:val="00BE08E4"/>
    <w:rsid w:val="00BE0A86"/>
    <w:rsid w:val="00BE0BE3"/>
    <w:rsid w:val="00BE0BEA"/>
    <w:rsid w:val="00BE0D18"/>
    <w:rsid w:val="00BE1950"/>
    <w:rsid w:val="00BE2571"/>
    <w:rsid w:val="00BE2751"/>
    <w:rsid w:val="00BE2793"/>
    <w:rsid w:val="00BE27D3"/>
    <w:rsid w:val="00BE28E7"/>
    <w:rsid w:val="00BE2E5C"/>
    <w:rsid w:val="00BE36CC"/>
    <w:rsid w:val="00BE3813"/>
    <w:rsid w:val="00BE393E"/>
    <w:rsid w:val="00BE3C93"/>
    <w:rsid w:val="00BE3CA6"/>
    <w:rsid w:val="00BE3CD3"/>
    <w:rsid w:val="00BE426A"/>
    <w:rsid w:val="00BE4301"/>
    <w:rsid w:val="00BE520A"/>
    <w:rsid w:val="00BE532A"/>
    <w:rsid w:val="00BE5406"/>
    <w:rsid w:val="00BE5BF2"/>
    <w:rsid w:val="00BE64AA"/>
    <w:rsid w:val="00BE6801"/>
    <w:rsid w:val="00BE69BB"/>
    <w:rsid w:val="00BE6DFC"/>
    <w:rsid w:val="00BE7094"/>
    <w:rsid w:val="00BE7160"/>
    <w:rsid w:val="00BE72D7"/>
    <w:rsid w:val="00BE7455"/>
    <w:rsid w:val="00BE780B"/>
    <w:rsid w:val="00BF01F9"/>
    <w:rsid w:val="00BF05D7"/>
    <w:rsid w:val="00BF0A04"/>
    <w:rsid w:val="00BF0A20"/>
    <w:rsid w:val="00BF0C82"/>
    <w:rsid w:val="00BF0D9D"/>
    <w:rsid w:val="00BF14A6"/>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5B1"/>
    <w:rsid w:val="00BF3903"/>
    <w:rsid w:val="00BF3A0B"/>
    <w:rsid w:val="00BF3BC0"/>
    <w:rsid w:val="00BF44D4"/>
    <w:rsid w:val="00BF4D9D"/>
    <w:rsid w:val="00BF4DA4"/>
    <w:rsid w:val="00BF5778"/>
    <w:rsid w:val="00BF57DE"/>
    <w:rsid w:val="00BF5D87"/>
    <w:rsid w:val="00BF5E1E"/>
    <w:rsid w:val="00BF5ECF"/>
    <w:rsid w:val="00BF5FEE"/>
    <w:rsid w:val="00BF6294"/>
    <w:rsid w:val="00BF65CD"/>
    <w:rsid w:val="00BF730C"/>
    <w:rsid w:val="00BF759E"/>
    <w:rsid w:val="00BF7E75"/>
    <w:rsid w:val="00BF7F62"/>
    <w:rsid w:val="00C00A4F"/>
    <w:rsid w:val="00C01033"/>
    <w:rsid w:val="00C012F5"/>
    <w:rsid w:val="00C014C4"/>
    <w:rsid w:val="00C02798"/>
    <w:rsid w:val="00C0287D"/>
    <w:rsid w:val="00C03D86"/>
    <w:rsid w:val="00C04246"/>
    <w:rsid w:val="00C047B0"/>
    <w:rsid w:val="00C0483E"/>
    <w:rsid w:val="00C04C50"/>
    <w:rsid w:val="00C04DEA"/>
    <w:rsid w:val="00C0597C"/>
    <w:rsid w:val="00C05B57"/>
    <w:rsid w:val="00C05B94"/>
    <w:rsid w:val="00C05C59"/>
    <w:rsid w:val="00C060E3"/>
    <w:rsid w:val="00C06105"/>
    <w:rsid w:val="00C0649A"/>
    <w:rsid w:val="00C06879"/>
    <w:rsid w:val="00C06B28"/>
    <w:rsid w:val="00C06BC8"/>
    <w:rsid w:val="00C06E73"/>
    <w:rsid w:val="00C070BF"/>
    <w:rsid w:val="00C07364"/>
    <w:rsid w:val="00C07BA7"/>
    <w:rsid w:val="00C07EB0"/>
    <w:rsid w:val="00C07EFB"/>
    <w:rsid w:val="00C101EC"/>
    <w:rsid w:val="00C1043D"/>
    <w:rsid w:val="00C1090A"/>
    <w:rsid w:val="00C109A6"/>
    <w:rsid w:val="00C11023"/>
    <w:rsid w:val="00C11036"/>
    <w:rsid w:val="00C111ED"/>
    <w:rsid w:val="00C11813"/>
    <w:rsid w:val="00C12492"/>
    <w:rsid w:val="00C12DE9"/>
    <w:rsid w:val="00C1322C"/>
    <w:rsid w:val="00C132C8"/>
    <w:rsid w:val="00C1346B"/>
    <w:rsid w:val="00C13476"/>
    <w:rsid w:val="00C134BA"/>
    <w:rsid w:val="00C13973"/>
    <w:rsid w:val="00C140F7"/>
    <w:rsid w:val="00C14361"/>
    <w:rsid w:val="00C14669"/>
    <w:rsid w:val="00C146B2"/>
    <w:rsid w:val="00C14778"/>
    <w:rsid w:val="00C14DD9"/>
    <w:rsid w:val="00C150EB"/>
    <w:rsid w:val="00C15A13"/>
    <w:rsid w:val="00C15D91"/>
    <w:rsid w:val="00C15DF5"/>
    <w:rsid w:val="00C162AA"/>
    <w:rsid w:val="00C162BC"/>
    <w:rsid w:val="00C163A7"/>
    <w:rsid w:val="00C16533"/>
    <w:rsid w:val="00C165B7"/>
    <w:rsid w:val="00C1677A"/>
    <w:rsid w:val="00C167F8"/>
    <w:rsid w:val="00C169E8"/>
    <w:rsid w:val="00C170C0"/>
    <w:rsid w:val="00C1777E"/>
    <w:rsid w:val="00C179DE"/>
    <w:rsid w:val="00C17BE6"/>
    <w:rsid w:val="00C17E34"/>
    <w:rsid w:val="00C17E5A"/>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095"/>
    <w:rsid w:val="00C2413D"/>
    <w:rsid w:val="00C2419D"/>
    <w:rsid w:val="00C2477D"/>
    <w:rsid w:val="00C24DC9"/>
    <w:rsid w:val="00C24E74"/>
    <w:rsid w:val="00C2505C"/>
    <w:rsid w:val="00C251D9"/>
    <w:rsid w:val="00C25432"/>
    <w:rsid w:val="00C25749"/>
    <w:rsid w:val="00C25915"/>
    <w:rsid w:val="00C25B9A"/>
    <w:rsid w:val="00C25C9E"/>
    <w:rsid w:val="00C25FC0"/>
    <w:rsid w:val="00C26C8E"/>
    <w:rsid w:val="00C270CC"/>
    <w:rsid w:val="00C2728B"/>
    <w:rsid w:val="00C272C4"/>
    <w:rsid w:val="00C27473"/>
    <w:rsid w:val="00C30987"/>
    <w:rsid w:val="00C30AFA"/>
    <w:rsid w:val="00C30B58"/>
    <w:rsid w:val="00C30D8E"/>
    <w:rsid w:val="00C30DEB"/>
    <w:rsid w:val="00C30E89"/>
    <w:rsid w:val="00C31358"/>
    <w:rsid w:val="00C31439"/>
    <w:rsid w:val="00C31C12"/>
    <w:rsid w:val="00C31E6E"/>
    <w:rsid w:val="00C32054"/>
    <w:rsid w:val="00C32292"/>
    <w:rsid w:val="00C324FF"/>
    <w:rsid w:val="00C32704"/>
    <w:rsid w:val="00C32A12"/>
    <w:rsid w:val="00C32AF1"/>
    <w:rsid w:val="00C3322C"/>
    <w:rsid w:val="00C3344C"/>
    <w:rsid w:val="00C3414C"/>
    <w:rsid w:val="00C345D5"/>
    <w:rsid w:val="00C34A5D"/>
    <w:rsid w:val="00C34D97"/>
    <w:rsid w:val="00C34EAD"/>
    <w:rsid w:val="00C3507E"/>
    <w:rsid w:val="00C35370"/>
    <w:rsid w:val="00C359E1"/>
    <w:rsid w:val="00C35AC0"/>
    <w:rsid w:val="00C35BCB"/>
    <w:rsid w:val="00C35FAE"/>
    <w:rsid w:val="00C362EF"/>
    <w:rsid w:val="00C36605"/>
    <w:rsid w:val="00C36B01"/>
    <w:rsid w:val="00C36BCF"/>
    <w:rsid w:val="00C36C82"/>
    <w:rsid w:val="00C37BB6"/>
    <w:rsid w:val="00C37D0B"/>
    <w:rsid w:val="00C37DBE"/>
    <w:rsid w:val="00C4027A"/>
    <w:rsid w:val="00C4097C"/>
    <w:rsid w:val="00C40A00"/>
    <w:rsid w:val="00C40BD7"/>
    <w:rsid w:val="00C40EFB"/>
    <w:rsid w:val="00C40FD6"/>
    <w:rsid w:val="00C41864"/>
    <w:rsid w:val="00C41CD3"/>
    <w:rsid w:val="00C4238C"/>
    <w:rsid w:val="00C42B7C"/>
    <w:rsid w:val="00C42CCE"/>
    <w:rsid w:val="00C42D07"/>
    <w:rsid w:val="00C434B3"/>
    <w:rsid w:val="00C434DE"/>
    <w:rsid w:val="00C4364B"/>
    <w:rsid w:val="00C438D3"/>
    <w:rsid w:val="00C43C5C"/>
    <w:rsid w:val="00C43E12"/>
    <w:rsid w:val="00C443F2"/>
    <w:rsid w:val="00C44680"/>
    <w:rsid w:val="00C448BB"/>
    <w:rsid w:val="00C44E9F"/>
    <w:rsid w:val="00C450A2"/>
    <w:rsid w:val="00C4516D"/>
    <w:rsid w:val="00C455E7"/>
    <w:rsid w:val="00C4577D"/>
    <w:rsid w:val="00C45EDF"/>
    <w:rsid w:val="00C46590"/>
    <w:rsid w:val="00C46B4F"/>
    <w:rsid w:val="00C46BF3"/>
    <w:rsid w:val="00C46DE1"/>
    <w:rsid w:val="00C46F79"/>
    <w:rsid w:val="00C46FC9"/>
    <w:rsid w:val="00C474A3"/>
    <w:rsid w:val="00C50858"/>
    <w:rsid w:val="00C509E0"/>
    <w:rsid w:val="00C51011"/>
    <w:rsid w:val="00C51174"/>
    <w:rsid w:val="00C515D3"/>
    <w:rsid w:val="00C51B84"/>
    <w:rsid w:val="00C52067"/>
    <w:rsid w:val="00C52634"/>
    <w:rsid w:val="00C52B31"/>
    <w:rsid w:val="00C5304D"/>
    <w:rsid w:val="00C532A1"/>
    <w:rsid w:val="00C537ED"/>
    <w:rsid w:val="00C53AA8"/>
    <w:rsid w:val="00C53F7E"/>
    <w:rsid w:val="00C5431F"/>
    <w:rsid w:val="00C5445F"/>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33FE"/>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FF3"/>
    <w:rsid w:val="00C715E0"/>
    <w:rsid w:val="00C726F1"/>
    <w:rsid w:val="00C72E75"/>
    <w:rsid w:val="00C7328F"/>
    <w:rsid w:val="00C734A5"/>
    <w:rsid w:val="00C7372F"/>
    <w:rsid w:val="00C7376F"/>
    <w:rsid w:val="00C73B96"/>
    <w:rsid w:val="00C73C80"/>
    <w:rsid w:val="00C73FD7"/>
    <w:rsid w:val="00C73FD8"/>
    <w:rsid w:val="00C74A5B"/>
    <w:rsid w:val="00C74B5E"/>
    <w:rsid w:val="00C74D6F"/>
    <w:rsid w:val="00C74F1F"/>
    <w:rsid w:val="00C75A98"/>
    <w:rsid w:val="00C75E0F"/>
    <w:rsid w:val="00C76228"/>
    <w:rsid w:val="00C762BE"/>
    <w:rsid w:val="00C763B6"/>
    <w:rsid w:val="00C7658F"/>
    <w:rsid w:val="00C765D7"/>
    <w:rsid w:val="00C766E2"/>
    <w:rsid w:val="00C76C4C"/>
    <w:rsid w:val="00C77B9A"/>
    <w:rsid w:val="00C80C33"/>
    <w:rsid w:val="00C80F2F"/>
    <w:rsid w:val="00C82F73"/>
    <w:rsid w:val="00C83190"/>
    <w:rsid w:val="00C83316"/>
    <w:rsid w:val="00C83B22"/>
    <w:rsid w:val="00C845B7"/>
    <w:rsid w:val="00C85828"/>
    <w:rsid w:val="00C85843"/>
    <w:rsid w:val="00C858A1"/>
    <w:rsid w:val="00C8600E"/>
    <w:rsid w:val="00C86505"/>
    <w:rsid w:val="00C8671B"/>
    <w:rsid w:val="00C8699E"/>
    <w:rsid w:val="00C86F92"/>
    <w:rsid w:val="00C8742E"/>
    <w:rsid w:val="00C87484"/>
    <w:rsid w:val="00C874D1"/>
    <w:rsid w:val="00C876B5"/>
    <w:rsid w:val="00C902AA"/>
    <w:rsid w:val="00C904DF"/>
    <w:rsid w:val="00C9058E"/>
    <w:rsid w:val="00C909AB"/>
    <w:rsid w:val="00C91540"/>
    <w:rsid w:val="00C9158B"/>
    <w:rsid w:val="00C91703"/>
    <w:rsid w:val="00C91B1E"/>
    <w:rsid w:val="00C91B52"/>
    <w:rsid w:val="00C91BC5"/>
    <w:rsid w:val="00C91C4E"/>
    <w:rsid w:val="00C91CF5"/>
    <w:rsid w:val="00C920F6"/>
    <w:rsid w:val="00C923FF"/>
    <w:rsid w:val="00C924C8"/>
    <w:rsid w:val="00C92C19"/>
    <w:rsid w:val="00C9345A"/>
    <w:rsid w:val="00C93AA0"/>
    <w:rsid w:val="00C94090"/>
    <w:rsid w:val="00C94110"/>
    <w:rsid w:val="00C949F5"/>
    <w:rsid w:val="00C94FBE"/>
    <w:rsid w:val="00C95433"/>
    <w:rsid w:val="00C955D1"/>
    <w:rsid w:val="00C95AB8"/>
    <w:rsid w:val="00C95F0C"/>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A66"/>
    <w:rsid w:val="00CA2AD6"/>
    <w:rsid w:val="00CA2F58"/>
    <w:rsid w:val="00CA2FBC"/>
    <w:rsid w:val="00CA3229"/>
    <w:rsid w:val="00CA34F9"/>
    <w:rsid w:val="00CA4545"/>
    <w:rsid w:val="00CA4884"/>
    <w:rsid w:val="00CA59B8"/>
    <w:rsid w:val="00CA5F57"/>
    <w:rsid w:val="00CA6653"/>
    <w:rsid w:val="00CA6EE9"/>
    <w:rsid w:val="00CA77E7"/>
    <w:rsid w:val="00CA7FBB"/>
    <w:rsid w:val="00CB0597"/>
    <w:rsid w:val="00CB0687"/>
    <w:rsid w:val="00CB08DC"/>
    <w:rsid w:val="00CB137C"/>
    <w:rsid w:val="00CB1480"/>
    <w:rsid w:val="00CB1509"/>
    <w:rsid w:val="00CB1C0C"/>
    <w:rsid w:val="00CB1C2D"/>
    <w:rsid w:val="00CB1CA5"/>
    <w:rsid w:val="00CB1CC6"/>
    <w:rsid w:val="00CB1FB7"/>
    <w:rsid w:val="00CB204A"/>
    <w:rsid w:val="00CB2443"/>
    <w:rsid w:val="00CB2579"/>
    <w:rsid w:val="00CB2D0D"/>
    <w:rsid w:val="00CB33B9"/>
    <w:rsid w:val="00CB395E"/>
    <w:rsid w:val="00CB3A8F"/>
    <w:rsid w:val="00CB4229"/>
    <w:rsid w:val="00CB43FE"/>
    <w:rsid w:val="00CB45F8"/>
    <w:rsid w:val="00CB4A05"/>
    <w:rsid w:val="00CB5131"/>
    <w:rsid w:val="00CB5179"/>
    <w:rsid w:val="00CB568D"/>
    <w:rsid w:val="00CB5968"/>
    <w:rsid w:val="00CB6664"/>
    <w:rsid w:val="00CB6AFC"/>
    <w:rsid w:val="00CB7247"/>
    <w:rsid w:val="00CB77DC"/>
    <w:rsid w:val="00CB7E6A"/>
    <w:rsid w:val="00CB7ECA"/>
    <w:rsid w:val="00CB7F5E"/>
    <w:rsid w:val="00CC0119"/>
    <w:rsid w:val="00CC091C"/>
    <w:rsid w:val="00CC0B00"/>
    <w:rsid w:val="00CC1076"/>
    <w:rsid w:val="00CC10BA"/>
    <w:rsid w:val="00CC11E1"/>
    <w:rsid w:val="00CC1266"/>
    <w:rsid w:val="00CC18C6"/>
    <w:rsid w:val="00CC1AFD"/>
    <w:rsid w:val="00CC29B3"/>
    <w:rsid w:val="00CC2BDE"/>
    <w:rsid w:val="00CC2F9B"/>
    <w:rsid w:val="00CC31EC"/>
    <w:rsid w:val="00CC3648"/>
    <w:rsid w:val="00CC3C64"/>
    <w:rsid w:val="00CC43B2"/>
    <w:rsid w:val="00CC46A7"/>
    <w:rsid w:val="00CC532B"/>
    <w:rsid w:val="00CC54F6"/>
    <w:rsid w:val="00CC57F5"/>
    <w:rsid w:val="00CC5A45"/>
    <w:rsid w:val="00CC5BE8"/>
    <w:rsid w:val="00CC5EF6"/>
    <w:rsid w:val="00CC65DB"/>
    <w:rsid w:val="00CC673D"/>
    <w:rsid w:val="00CC67D4"/>
    <w:rsid w:val="00CC6E76"/>
    <w:rsid w:val="00CC731B"/>
    <w:rsid w:val="00CC75E6"/>
    <w:rsid w:val="00CC7676"/>
    <w:rsid w:val="00CC7832"/>
    <w:rsid w:val="00CC7B75"/>
    <w:rsid w:val="00CC7BC7"/>
    <w:rsid w:val="00CC7E21"/>
    <w:rsid w:val="00CC7F8D"/>
    <w:rsid w:val="00CC7FEC"/>
    <w:rsid w:val="00CD02E6"/>
    <w:rsid w:val="00CD03A1"/>
    <w:rsid w:val="00CD06AF"/>
    <w:rsid w:val="00CD102F"/>
    <w:rsid w:val="00CD1112"/>
    <w:rsid w:val="00CD118A"/>
    <w:rsid w:val="00CD1452"/>
    <w:rsid w:val="00CD1A91"/>
    <w:rsid w:val="00CD1F29"/>
    <w:rsid w:val="00CD1FB8"/>
    <w:rsid w:val="00CD24DA"/>
    <w:rsid w:val="00CD2779"/>
    <w:rsid w:val="00CD2E4B"/>
    <w:rsid w:val="00CD3CE5"/>
    <w:rsid w:val="00CD3CEB"/>
    <w:rsid w:val="00CD420A"/>
    <w:rsid w:val="00CD42BB"/>
    <w:rsid w:val="00CD42D7"/>
    <w:rsid w:val="00CD490E"/>
    <w:rsid w:val="00CD5284"/>
    <w:rsid w:val="00CD5946"/>
    <w:rsid w:val="00CD5BD2"/>
    <w:rsid w:val="00CD6176"/>
    <w:rsid w:val="00CD6279"/>
    <w:rsid w:val="00CD63DA"/>
    <w:rsid w:val="00CD6423"/>
    <w:rsid w:val="00CD6A39"/>
    <w:rsid w:val="00CD6B96"/>
    <w:rsid w:val="00CD6CA0"/>
    <w:rsid w:val="00CD7156"/>
    <w:rsid w:val="00CD71C6"/>
    <w:rsid w:val="00CD71D7"/>
    <w:rsid w:val="00CD7745"/>
    <w:rsid w:val="00CE035E"/>
    <w:rsid w:val="00CE0C01"/>
    <w:rsid w:val="00CE0F1A"/>
    <w:rsid w:val="00CE1328"/>
    <w:rsid w:val="00CE14B6"/>
    <w:rsid w:val="00CE1BBC"/>
    <w:rsid w:val="00CE1CBE"/>
    <w:rsid w:val="00CE1D3C"/>
    <w:rsid w:val="00CE1F5A"/>
    <w:rsid w:val="00CE209D"/>
    <w:rsid w:val="00CE272F"/>
    <w:rsid w:val="00CE277A"/>
    <w:rsid w:val="00CE2D7F"/>
    <w:rsid w:val="00CE3400"/>
    <w:rsid w:val="00CE3C63"/>
    <w:rsid w:val="00CE4184"/>
    <w:rsid w:val="00CE44DC"/>
    <w:rsid w:val="00CE4509"/>
    <w:rsid w:val="00CE453E"/>
    <w:rsid w:val="00CE4A76"/>
    <w:rsid w:val="00CE4A97"/>
    <w:rsid w:val="00CE5F7A"/>
    <w:rsid w:val="00CE61A8"/>
    <w:rsid w:val="00CE6E54"/>
    <w:rsid w:val="00CE6F2A"/>
    <w:rsid w:val="00CE713D"/>
    <w:rsid w:val="00CE7BD0"/>
    <w:rsid w:val="00CE7E48"/>
    <w:rsid w:val="00CF0247"/>
    <w:rsid w:val="00CF036F"/>
    <w:rsid w:val="00CF063E"/>
    <w:rsid w:val="00CF065E"/>
    <w:rsid w:val="00CF0ACA"/>
    <w:rsid w:val="00CF12E0"/>
    <w:rsid w:val="00CF1F26"/>
    <w:rsid w:val="00CF1F40"/>
    <w:rsid w:val="00CF26A1"/>
    <w:rsid w:val="00CF2886"/>
    <w:rsid w:val="00CF2ABF"/>
    <w:rsid w:val="00CF2EBB"/>
    <w:rsid w:val="00CF3444"/>
    <w:rsid w:val="00CF3659"/>
    <w:rsid w:val="00CF39E9"/>
    <w:rsid w:val="00CF3F6E"/>
    <w:rsid w:val="00CF4C20"/>
    <w:rsid w:val="00CF5159"/>
    <w:rsid w:val="00CF57B2"/>
    <w:rsid w:val="00CF5C7A"/>
    <w:rsid w:val="00CF603F"/>
    <w:rsid w:val="00CF67DF"/>
    <w:rsid w:val="00CF68B1"/>
    <w:rsid w:val="00CF6922"/>
    <w:rsid w:val="00CF6C84"/>
    <w:rsid w:val="00CF6D76"/>
    <w:rsid w:val="00CF73A4"/>
    <w:rsid w:val="00CF7747"/>
    <w:rsid w:val="00CF7A36"/>
    <w:rsid w:val="00CF7FD6"/>
    <w:rsid w:val="00D00689"/>
    <w:rsid w:val="00D00C59"/>
    <w:rsid w:val="00D0103D"/>
    <w:rsid w:val="00D010CD"/>
    <w:rsid w:val="00D0138C"/>
    <w:rsid w:val="00D01545"/>
    <w:rsid w:val="00D01806"/>
    <w:rsid w:val="00D018FD"/>
    <w:rsid w:val="00D01B4F"/>
    <w:rsid w:val="00D02183"/>
    <w:rsid w:val="00D02410"/>
    <w:rsid w:val="00D026E7"/>
    <w:rsid w:val="00D0293F"/>
    <w:rsid w:val="00D02A71"/>
    <w:rsid w:val="00D02F06"/>
    <w:rsid w:val="00D03051"/>
    <w:rsid w:val="00D030D5"/>
    <w:rsid w:val="00D033CA"/>
    <w:rsid w:val="00D039FC"/>
    <w:rsid w:val="00D03D23"/>
    <w:rsid w:val="00D0452E"/>
    <w:rsid w:val="00D05416"/>
    <w:rsid w:val="00D05502"/>
    <w:rsid w:val="00D056C0"/>
    <w:rsid w:val="00D05892"/>
    <w:rsid w:val="00D058A3"/>
    <w:rsid w:val="00D05C75"/>
    <w:rsid w:val="00D05F26"/>
    <w:rsid w:val="00D06063"/>
    <w:rsid w:val="00D06084"/>
    <w:rsid w:val="00D06131"/>
    <w:rsid w:val="00D06608"/>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4"/>
    <w:rsid w:val="00D11A2C"/>
    <w:rsid w:val="00D11B5D"/>
    <w:rsid w:val="00D11BDF"/>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715D"/>
    <w:rsid w:val="00D175A9"/>
    <w:rsid w:val="00D17F9A"/>
    <w:rsid w:val="00D2011A"/>
    <w:rsid w:val="00D20BB8"/>
    <w:rsid w:val="00D20CFA"/>
    <w:rsid w:val="00D214E7"/>
    <w:rsid w:val="00D21CA0"/>
    <w:rsid w:val="00D21CD3"/>
    <w:rsid w:val="00D21E8A"/>
    <w:rsid w:val="00D220FB"/>
    <w:rsid w:val="00D2267C"/>
    <w:rsid w:val="00D22895"/>
    <w:rsid w:val="00D23005"/>
    <w:rsid w:val="00D2333E"/>
    <w:rsid w:val="00D23D0E"/>
    <w:rsid w:val="00D2481D"/>
    <w:rsid w:val="00D24D9F"/>
    <w:rsid w:val="00D25604"/>
    <w:rsid w:val="00D25B8C"/>
    <w:rsid w:val="00D26FC2"/>
    <w:rsid w:val="00D270B3"/>
    <w:rsid w:val="00D27135"/>
    <w:rsid w:val="00D2725B"/>
    <w:rsid w:val="00D27FDE"/>
    <w:rsid w:val="00D30DFC"/>
    <w:rsid w:val="00D31D2C"/>
    <w:rsid w:val="00D32367"/>
    <w:rsid w:val="00D3264A"/>
    <w:rsid w:val="00D32661"/>
    <w:rsid w:val="00D32A6E"/>
    <w:rsid w:val="00D32B02"/>
    <w:rsid w:val="00D32E8E"/>
    <w:rsid w:val="00D33354"/>
    <w:rsid w:val="00D33742"/>
    <w:rsid w:val="00D33F14"/>
    <w:rsid w:val="00D34079"/>
    <w:rsid w:val="00D34502"/>
    <w:rsid w:val="00D34734"/>
    <w:rsid w:val="00D34820"/>
    <w:rsid w:val="00D3542A"/>
    <w:rsid w:val="00D35677"/>
    <w:rsid w:val="00D35F5A"/>
    <w:rsid w:val="00D3614C"/>
    <w:rsid w:val="00D36242"/>
    <w:rsid w:val="00D3659C"/>
    <w:rsid w:val="00D3697A"/>
    <w:rsid w:val="00D370E5"/>
    <w:rsid w:val="00D37164"/>
    <w:rsid w:val="00D37659"/>
    <w:rsid w:val="00D37D22"/>
    <w:rsid w:val="00D37D9C"/>
    <w:rsid w:val="00D40641"/>
    <w:rsid w:val="00D40820"/>
    <w:rsid w:val="00D40DF5"/>
    <w:rsid w:val="00D41273"/>
    <w:rsid w:val="00D41403"/>
    <w:rsid w:val="00D415E7"/>
    <w:rsid w:val="00D41678"/>
    <w:rsid w:val="00D41FB8"/>
    <w:rsid w:val="00D42003"/>
    <w:rsid w:val="00D42E52"/>
    <w:rsid w:val="00D430B2"/>
    <w:rsid w:val="00D43AC8"/>
    <w:rsid w:val="00D43C10"/>
    <w:rsid w:val="00D43D05"/>
    <w:rsid w:val="00D44334"/>
    <w:rsid w:val="00D4447C"/>
    <w:rsid w:val="00D44859"/>
    <w:rsid w:val="00D44C91"/>
    <w:rsid w:val="00D456E2"/>
    <w:rsid w:val="00D45A41"/>
    <w:rsid w:val="00D45ADC"/>
    <w:rsid w:val="00D460F1"/>
    <w:rsid w:val="00D46251"/>
    <w:rsid w:val="00D468F2"/>
    <w:rsid w:val="00D472AF"/>
    <w:rsid w:val="00D4761C"/>
    <w:rsid w:val="00D47C8E"/>
    <w:rsid w:val="00D47FF7"/>
    <w:rsid w:val="00D500BD"/>
    <w:rsid w:val="00D503C0"/>
    <w:rsid w:val="00D50917"/>
    <w:rsid w:val="00D51001"/>
    <w:rsid w:val="00D519BB"/>
    <w:rsid w:val="00D51DD0"/>
    <w:rsid w:val="00D5273C"/>
    <w:rsid w:val="00D53191"/>
    <w:rsid w:val="00D53636"/>
    <w:rsid w:val="00D536EF"/>
    <w:rsid w:val="00D538D4"/>
    <w:rsid w:val="00D538D8"/>
    <w:rsid w:val="00D53C4E"/>
    <w:rsid w:val="00D54DBF"/>
    <w:rsid w:val="00D5556B"/>
    <w:rsid w:val="00D55628"/>
    <w:rsid w:val="00D55663"/>
    <w:rsid w:val="00D5594A"/>
    <w:rsid w:val="00D55A39"/>
    <w:rsid w:val="00D56808"/>
    <w:rsid w:val="00D57193"/>
    <w:rsid w:val="00D573B4"/>
    <w:rsid w:val="00D5745E"/>
    <w:rsid w:val="00D57B31"/>
    <w:rsid w:val="00D60692"/>
    <w:rsid w:val="00D6071B"/>
    <w:rsid w:val="00D607FB"/>
    <w:rsid w:val="00D60FA5"/>
    <w:rsid w:val="00D610F3"/>
    <w:rsid w:val="00D6110B"/>
    <w:rsid w:val="00D61148"/>
    <w:rsid w:val="00D6125C"/>
    <w:rsid w:val="00D615BC"/>
    <w:rsid w:val="00D6183E"/>
    <w:rsid w:val="00D619CF"/>
    <w:rsid w:val="00D61ABC"/>
    <w:rsid w:val="00D61BDD"/>
    <w:rsid w:val="00D61CA4"/>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291"/>
    <w:rsid w:val="00D70537"/>
    <w:rsid w:val="00D7066E"/>
    <w:rsid w:val="00D70792"/>
    <w:rsid w:val="00D70C58"/>
    <w:rsid w:val="00D710A9"/>
    <w:rsid w:val="00D71424"/>
    <w:rsid w:val="00D7153E"/>
    <w:rsid w:val="00D71A15"/>
    <w:rsid w:val="00D7218F"/>
    <w:rsid w:val="00D72A3E"/>
    <w:rsid w:val="00D72BC8"/>
    <w:rsid w:val="00D72D57"/>
    <w:rsid w:val="00D734C9"/>
    <w:rsid w:val="00D7356A"/>
    <w:rsid w:val="00D73B6C"/>
    <w:rsid w:val="00D73C62"/>
    <w:rsid w:val="00D73E90"/>
    <w:rsid w:val="00D747A7"/>
    <w:rsid w:val="00D74D16"/>
    <w:rsid w:val="00D7546F"/>
    <w:rsid w:val="00D7587C"/>
    <w:rsid w:val="00D7591E"/>
    <w:rsid w:val="00D75FF5"/>
    <w:rsid w:val="00D7634A"/>
    <w:rsid w:val="00D764E7"/>
    <w:rsid w:val="00D765B1"/>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8B4"/>
    <w:rsid w:val="00D83BD4"/>
    <w:rsid w:val="00D83BFB"/>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DE3"/>
    <w:rsid w:val="00D87E3C"/>
    <w:rsid w:val="00D9006A"/>
    <w:rsid w:val="00D901A5"/>
    <w:rsid w:val="00D901FD"/>
    <w:rsid w:val="00D902A0"/>
    <w:rsid w:val="00D902DD"/>
    <w:rsid w:val="00D9044A"/>
    <w:rsid w:val="00D904EC"/>
    <w:rsid w:val="00D907D7"/>
    <w:rsid w:val="00D90BFB"/>
    <w:rsid w:val="00D90FC3"/>
    <w:rsid w:val="00D910FE"/>
    <w:rsid w:val="00D91213"/>
    <w:rsid w:val="00D9150D"/>
    <w:rsid w:val="00D91CEB"/>
    <w:rsid w:val="00D91F7E"/>
    <w:rsid w:val="00D9209C"/>
    <w:rsid w:val="00D924C6"/>
    <w:rsid w:val="00D92719"/>
    <w:rsid w:val="00D92B1C"/>
    <w:rsid w:val="00D92D1C"/>
    <w:rsid w:val="00D931C3"/>
    <w:rsid w:val="00D93E1C"/>
    <w:rsid w:val="00D943AD"/>
    <w:rsid w:val="00D94F7E"/>
    <w:rsid w:val="00D9517F"/>
    <w:rsid w:val="00D95B90"/>
    <w:rsid w:val="00D9724D"/>
    <w:rsid w:val="00D972DF"/>
    <w:rsid w:val="00D9746A"/>
    <w:rsid w:val="00D976EA"/>
    <w:rsid w:val="00D97B01"/>
    <w:rsid w:val="00D97C41"/>
    <w:rsid w:val="00DA0680"/>
    <w:rsid w:val="00DA09FE"/>
    <w:rsid w:val="00DA0D82"/>
    <w:rsid w:val="00DA0F0A"/>
    <w:rsid w:val="00DA1542"/>
    <w:rsid w:val="00DA172A"/>
    <w:rsid w:val="00DA1753"/>
    <w:rsid w:val="00DA1F6B"/>
    <w:rsid w:val="00DA1F8E"/>
    <w:rsid w:val="00DA2779"/>
    <w:rsid w:val="00DA2A2F"/>
    <w:rsid w:val="00DA2BA1"/>
    <w:rsid w:val="00DA2F1B"/>
    <w:rsid w:val="00DA3F49"/>
    <w:rsid w:val="00DA41DF"/>
    <w:rsid w:val="00DA42A8"/>
    <w:rsid w:val="00DA44A9"/>
    <w:rsid w:val="00DA49C5"/>
    <w:rsid w:val="00DA4A20"/>
    <w:rsid w:val="00DA4F0F"/>
    <w:rsid w:val="00DA5902"/>
    <w:rsid w:val="00DA6459"/>
    <w:rsid w:val="00DA64FC"/>
    <w:rsid w:val="00DA6961"/>
    <w:rsid w:val="00DA6A1D"/>
    <w:rsid w:val="00DA6F2A"/>
    <w:rsid w:val="00DA70A2"/>
    <w:rsid w:val="00DA75D8"/>
    <w:rsid w:val="00DA7A4B"/>
    <w:rsid w:val="00DA7ACC"/>
    <w:rsid w:val="00DB0F93"/>
    <w:rsid w:val="00DB17F5"/>
    <w:rsid w:val="00DB19B1"/>
    <w:rsid w:val="00DB230F"/>
    <w:rsid w:val="00DB278D"/>
    <w:rsid w:val="00DB2A8D"/>
    <w:rsid w:val="00DB2AD1"/>
    <w:rsid w:val="00DB2F5C"/>
    <w:rsid w:val="00DB38A0"/>
    <w:rsid w:val="00DB3C59"/>
    <w:rsid w:val="00DB3CBC"/>
    <w:rsid w:val="00DB3D6A"/>
    <w:rsid w:val="00DB4162"/>
    <w:rsid w:val="00DB49DE"/>
    <w:rsid w:val="00DB4BD2"/>
    <w:rsid w:val="00DB4EA5"/>
    <w:rsid w:val="00DB571D"/>
    <w:rsid w:val="00DB59FD"/>
    <w:rsid w:val="00DB5A9B"/>
    <w:rsid w:val="00DB60EF"/>
    <w:rsid w:val="00DB62AD"/>
    <w:rsid w:val="00DB6631"/>
    <w:rsid w:val="00DB67A2"/>
    <w:rsid w:val="00DB690A"/>
    <w:rsid w:val="00DB6985"/>
    <w:rsid w:val="00DB6E34"/>
    <w:rsid w:val="00DB713E"/>
    <w:rsid w:val="00DB768E"/>
    <w:rsid w:val="00DB79E5"/>
    <w:rsid w:val="00DB7B81"/>
    <w:rsid w:val="00DB7BC4"/>
    <w:rsid w:val="00DC02B2"/>
    <w:rsid w:val="00DC04E1"/>
    <w:rsid w:val="00DC1629"/>
    <w:rsid w:val="00DC1A8B"/>
    <w:rsid w:val="00DC1D59"/>
    <w:rsid w:val="00DC206C"/>
    <w:rsid w:val="00DC228D"/>
    <w:rsid w:val="00DC2D4A"/>
    <w:rsid w:val="00DC2D5C"/>
    <w:rsid w:val="00DC2F5F"/>
    <w:rsid w:val="00DC2F74"/>
    <w:rsid w:val="00DC3078"/>
    <w:rsid w:val="00DC3086"/>
    <w:rsid w:val="00DC34EA"/>
    <w:rsid w:val="00DC37BD"/>
    <w:rsid w:val="00DC3889"/>
    <w:rsid w:val="00DC3AEA"/>
    <w:rsid w:val="00DC3C99"/>
    <w:rsid w:val="00DC3F02"/>
    <w:rsid w:val="00DC4118"/>
    <w:rsid w:val="00DC42AF"/>
    <w:rsid w:val="00DC4361"/>
    <w:rsid w:val="00DC455B"/>
    <w:rsid w:val="00DC4B81"/>
    <w:rsid w:val="00DC4B93"/>
    <w:rsid w:val="00DC53B5"/>
    <w:rsid w:val="00DC56A5"/>
    <w:rsid w:val="00DC5F11"/>
    <w:rsid w:val="00DC5FAE"/>
    <w:rsid w:val="00DC62BC"/>
    <w:rsid w:val="00DC6901"/>
    <w:rsid w:val="00DC6BA4"/>
    <w:rsid w:val="00DC6BD0"/>
    <w:rsid w:val="00DC6C10"/>
    <w:rsid w:val="00DC71F7"/>
    <w:rsid w:val="00DC7231"/>
    <w:rsid w:val="00DC787B"/>
    <w:rsid w:val="00DC78B2"/>
    <w:rsid w:val="00DD0986"/>
    <w:rsid w:val="00DD09DC"/>
    <w:rsid w:val="00DD12E2"/>
    <w:rsid w:val="00DD16E7"/>
    <w:rsid w:val="00DD177B"/>
    <w:rsid w:val="00DD1991"/>
    <w:rsid w:val="00DD1CBF"/>
    <w:rsid w:val="00DD2AD3"/>
    <w:rsid w:val="00DD2D60"/>
    <w:rsid w:val="00DD3022"/>
    <w:rsid w:val="00DD30F6"/>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148"/>
    <w:rsid w:val="00DD7238"/>
    <w:rsid w:val="00DD735B"/>
    <w:rsid w:val="00DD75D1"/>
    <w:rsid w:val="00DD75DF"/>
    <w:rsid w:val="00DD7833"/>
    <w:rsid w:val="00DE03C3"/>
    <w:rsid w:val="00DE07DE"/>
    <w:rsid w:val="00DE0987"/>
    <w:rsid w:val="00DE09EA"/>
    <w:rsid w:val="00DE0E1F"/>
    <w:rsid w:val="00DE14DB"/>
    <w:rsid w:val="00DE1BB0"/>
    <w:rsid w:val="00DE20CE"/>
    <w:rsid w:val="00DE27B9"/>
    <w:rsid w:val="00DE291C"/>
    <w:rsid w:val="00DE3281"/>
    <w:rsid w:val="00DE32BD"/>
    <w:rsid w:val="00DE32FF"/>
    <w:rsid w:val="00DE4A54"/>
    <w:rsid w:val="00DE4C6A"/>
    <w:rsid w:val="00DE4F04"/>
    <w:rsid w:val="00DE522B"/>
    <w:rsid w:val="00DE5C5D"/>
    <w:rsid w:val="00DE6971"/>
    <w:rsid w:val="00DE710A"/>
    <w:rsid w:val="00DE74E3"/>
    <w:rsid w:val="00DE79CA"/>
    <w:rsid w:val="00DE7F6D"/>
    <w:rsid w:val="00DF04F9"/>
    <w:rsid w:val="00DF0B12"/>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E00725"/>
    <w:rsid w:val="00E008B2"/>
    <w:rsid w:val="00E00B08"/>
    <w:rsid w:val="00E00D33"/>
    <w:rsid w:val="00E011D4"/>
    <w:rsid w:val="00E02965"/>
    <w:rsid w:val="00E03055"/>
    <w:rsid w:val="00E03063"/>
    <w:rsid w:val="00E03599"/>
    <w:rsid w:val="00E03B69"/>
    <w:rsid w:val="00E0438E"/>
    <w:rsid w:val="00E04631"/>
    <w:rsid w:val="00E04FDF"/>
    <w:rsid w:val="00E05466"/>
    <w:rsid w:val="00E05618"/>
    <w:rsid w:val="00E05786"/>
    <w:rsid w:val="00E05BF6"/>
    <w:rsid w:val="00E05EB7"/>
    <w:rsid w:val="00E0650D"/>
    <w:rsid w:val="00E06B90"/>
    <w:rsid w:val="00E06C46"/>
    <w:rsid w:val="00E06CA0"/>
    <w:rsid w:val="00E06E11"/>
    <w:rsid w:val="00E0707C"/>
    <w:rsid w:val="00E07792"/>
    <w:rsid w:val="00E0783E"/>
    <w:rsid w:val="00E07915"/>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410"/>
    <w:rsid w:val="00E1547E"/>
    <w:rsid w:val="00E15996"/>
    <w:rsid w:val="00E15B7C"/>
    <w:rsid w:val="00E15CE9"/>
    <w:rsid w:val="00E16144"/>
    <w:rsid w:val="00E162F9"/>
    <w:rsid w:val="00E16B94"/>
    <w:rsid w:val="00E16D5B"/>
    <w:rsid w:val="00E171BA"/>
    <w:rsid w:val="00E175F1"/>
    <w:rsid w:val="00E1798C"/>
    <w:rsid w:val="00E17C6D"/>
    <w:rsid w:val="00E17F95"/>
    <w:rsid w:val="00E202D0"/>
    <w:rsid w:val="00E203D3"/>
    <w:rsid w:val="00E2047C"/>
    <w:rsid w:val="00E20680"/>
    <w:rsid w:val="00E208B4"/>
    <w:rsid w:val="00E20C81"/>
    <w:rsid w:val="00E21688"/>
    <w:rsid w:val="00E22111"/>
    <w:rsid w:val="00E222FC"/>
    <w:rsid w:val="00E223D9"/>
    <w:rsid w:val="00E22CB9"/>
    <w:rsid w:val="00E22F11"/>
    <w:rsid w:val="00E23BEA"/>
    <w:rsid w:val="00E24147"/>
    <w:rsid w:val="00E247B4"/>
    <w:rsid w:val="00E248CA"/>
    <w:rsid w:val="00E2492F"/>
    <w:rsid w:val="00E24F33"/>
    <w:rsid w:val="00E251A2"/>
    <w:rsid w:val="00E25286"/>
    <w:rsid w:val="00E254E5"/>
    <w:rsid w:val="00E254F5"/>
    <w:rsid w:val="00E25896"/>
    <w:rsid w:val="00E25BCE"/>
    <w:rsid w:val="00E269D3"/>
    <w:rsid w:val="00E26A34"/>
    <w:rsid w:val="00E26E66"/>
    <w:rsid w:val="00E27A00"/>
    <w:rsid w:val="00E27A19"/>
    <w:rsid w:val="00E27B82"/>
    <w:rsid w:val="00E27CF0"/>
    <w:rsid w:val="00E27F2C"/>
    <w:rsid w:val="00E301D1"/>
    <w:rsid w:val="00E30EAD"/>
    <w:rsid w:val="00E30EE0"/>
    <w:rsid w:val="00E30F72"/>
    <w:rsid w:val="00E31B8A"/>
    <w:rsid w:val="00E3206C"/>
    <w:rsid w:val="00E3215F"/>
    <w:rsid w:val="00E32425"/>
    <w:rsid w:val="00E32A05"/>
    <w:rsid w:val="00E32BE3"/>
    <w:rsid w:val="00E32E70"/>
    <w:rsid w:val="00E3326F"/>
    <w:rsid w:val="00E3371C"/>
    <w:rsid w:val="00E34122"/>
    <w:rsid w:val="00E34147"/>
    <w:rsid w:val="00E34CB6"/>
    <w:rsid w:val="00E34D35"/>
    <w:rsid w:val="00E3515A"/>
    <w:rsid w:val="00E35182"/>
    <w:rsid w:val="00E3585C"/>
    <w:rsid w:val="00E35F9D"/>
    <w:rsid w:val="00E3606E"/>
    <w:rsid w:val="00E368B6"/>
    <w:rsid w:val="00E36E2C"/>
    <w:rsid w:val="00E36ECB"/>
    <w:rsid w:val="00E36F1D"/>
    <w:rsid w:val="00E3707E"/>
    <w:rsid w:val="00E37291"/>
    <w:rsid w:val="00E37602"/>
    <w:rsid w:val="00E37C0C"/>
    <w:rsid w:val="00E4061B"/>
    <w:rsid w:val="00E40C05"/>
    <w:rsid w:val="00E40C6C"/>
    <w:rsid w:val="00E41006"/>
    <w:rsid w:val="00E410D6"/>
    <w:rsid w:val="00E417BC"/>
    <w:rsid w:val="00E4188E"/>
    <w:rsid w:val="00E41A79"/>
    <w:rsid w:val="00E426DA"/>
    <w:rsid w:val="00E4281C"/>
    <w:rsid w:val="00E42B3B"/>
    <w:rsid w:val="00E42C94"/>
    <w:rsid w:val="00E43398"/>
    <w:rsid w:val="00E433BE"/>
    <w:rsid w:val="00E436CF"/>
    <w:rsid w:val="00E437BC"/>
    <w:rsid w:val="00E43977"/>
    <w:rsid w:val="00E43CD5"/>
    <w:rsid w:val="00E4522B"/>
    <w:rsid w:val="00E4591C"/>
    <w:rsid w:val="00E4630A"/>
    <w:rsid w:val="00E46901"/>
    <w:rsid w:val="00E469DD"/>
    <w:rsid w:val="00E46C23"/>
    <w:rsid w:val="00E473E7"/>
    <w:rsid w:val="00E47A98"/>
    <w:rsid w:val="00E47D1E"/>
    <w:rsid w:val="00E50111"/>
    <w:rsid w:val="00E50517"/>
    <w:rsid w:val="00E50CB1"/>
    <w:rsid w:val="00E513DD"/>
    <w:rsid w:val="00E5145C"/>
    <w:rsid w:val="00E514AA"/>
    <w:rsid w:val="00E5164B"/>
    <w:rsid w:val="00E516F2"/>
    <w:rsid w:val="00E51954"/>
    <w:rsid w:val="00E51CD5"/>
    <w:rsid w:val="00E52159"/>
    <w:rsid w:val="00E52360"/>
    <w:rsid w:val="00E5237C"/>
    <w:rsid w:val="00E52857"/>
    <w:rsid w:val="00E5396F"/>
    <w:rsid w:val="00E53C6F"/>
    <w:rsid w:val="00E542B6"/>
    <w:rsid w:val="00E546FD"/>
    <w:rsid w:val="00E54744"/>
    <w:rsid w:val="00E54971"/>
    <w:rsid w:val="00E549B0"/>
    <w:rsid w:val="00E54CA9"/>
    <w:rsid w:val="00E550C7"/>
    <w:rsid w:val="00E55516"/>
    <w:rsid w:val="00E55F48"/>
    <w:rsid w:val="00E562E6"/>
    <w:rsid w:val="00E56586"/>
    <w:rsid w:val="00E5662B"/>
    <w:rsid w:val="00E5721E"/>
    <w:rsid w:val="00E5734B"/>
    <w:rsid w:val="00E57739"/>
    <w:rsid w:val="00E57BBE"/>
    <w:rsid w:val="00E57DCD"/>
    <w:rsid w:val="00E605ED"/>
    <w:rsid w:val="00E60957"/>
    <w:rsid w:val="00E60BE7"/>
    <w:rsid w:val="00E60DE1"/>
    <w:rsid w:val="00E60DF1"/>
    <w:rsid w:val="00E61262"/>
    <w:rsid w:val="00E6130D"/>
    <w:rsid w:val="00E61452"/>
    <w:rsid w:val="00E614CE"/>
    <w:rsid w:val="00E6185A"/>
    <w:rsid w:val="00E620C5"/>
    <w:rsid w:val="00E62139"/>
    <w:rsid w:val="00E6239D"/>
    <w:rsid w:val="00E626BE"/>
    <w:rsid w:val="00E62825"/>
    <w:rsid w:val="00E62D73"/>
    <w:rsid w:val="00E62E78"/>
    <w:rsid w:val="00E63879"/>
    <w:rsid w:val="00E63EF1"/>
    <w:rsid w:val="00E63F97"/>
    <w:rsid w:val="00E6422A"/>
    <w:rsid w:val="00E644BF"/>
    <w:rsid w:val="00E6468D"/>
    <w:rsid w:val="00E64788"/>
    <w:rsid w:val="00E64B70"/>
    <w:rsid w:val="00E6537D"/>
    <w:rsid w:val="00E65528"/>
    <w:rsid w:val="00E6553D"/>
    <w:rsid w:val="00E6563B"/>
    <w:rsid w:val="00E657D7"/>
    <w:rsid w:val="00E65E5B"/>
    <w:rsid w:val="00E65FE0"/>
    <w:rsid w:val="00E66042"/>
    <w:rsid w:val="00E66F04"/>
    <w:rsid w:val="00E66F17"/>
    <w:rsid w:val="00E672F0"/>
    <w:rsid w:val="00E67381"/>
    <w:rsid w:val="00E67751"/>
    <w:rsid w:val="00E67BA4"/>
    <w:rsid w:val="00E70A71"/>
    <w:rsid w:val="00E70F61"/>
    <w:rsid w:val="00E712F5"/>
    <w:rsid w:val="00E71D0B"/>
    <w:rsid w:val="00E72054"/>
    <w:rsid w:val="00E7246B"/>
    <w:rsid w:val="00E72FBA"/>
    <w:rsid w:val="00E73199"/>
    <w:rsid w:val="00E73266"/>
    <w:rsid w:val="00E7351C"/>
    <w:rsid w:val="00E7362F"/>
    <w:rsid w:val="00E739B0"/>
    <w:rsid w:val="00E74013"/>
    <w:rsid w:val="00E741AB"/>
    <w:rsid w:val="00E743A9"/>
    <w:rsid w:val="00E74A3E"/>
    <w:rsid w:val="00E74C3F"/>
    <w:rsid w:val="00E74CBF"/>
    <w:rsid w:val="00E74FC7"/>
    <w:rsid w:val="00E754CA"/>
    <w:rsid w:val="00E75D66"/>
    <w:rsid w:val="00E75FFA"/>
    <w:rsid w:val="00E76018"/>
    <w:rsid w:val="00E764C6"/>
    <w:rsid w:val="00E776DD"/>
    <w:rsid w:val="00E77CAE"/>
    <w:rsid w:val="00E77DDD"/>
    <w:rsid w:val="00E8018B"/>
    <w:rsid w:val="00E80430"/>
    <w:rsid w:val="00E807E2"/>
    <w:rsid w:val="00E8159F"/>
    <w:rsid w:val="00E816AF"/>
    <w:rsid w:val="00E81C5F"/>
    <w:rsid w:val="00E81D89"/>
    <w:rsid w:val="00E81E6A"/>
    <w:rsid w:val="00E825EC"/>
    <w:rsid w:val="00E829ED"/>
    <w:rsid w:val="00E82B4E"/>
    <w:rsid w:val="00E82E8B"/>
    <w:rsid w:val="00E83286"/>
    <w:rsid w:val="00E8372C"/>
    <w:rsid w:val="00E83796"/>
    <w:rsid w:val="00E83A82"/>
    <w:rsid w:val="00E83CF0"/>
    <w:rsid w:val="00E84126"/>
    <w:rsid w:val="00E84532"/>
    <w:rsid w:val="00E84542"/>
    <w:rsid w:val="00E84621"/>
    <w:rsid w:val="00E846AF"/>
    <w:rsid w:val="00E8553B"/>
    <w:rsid w:val="00E856DD"/>
    <w:rsid w:val="00E85A14"/>
    <w:rsid w:val="00E85BAE"/>
    <w:rsid w:val="00E85D3D"/>
    <w:rsid w:val="00E863AE"/>
    <w:rsid w:val="00E864BC"/>
    <w:rsid w:val="00E86D91"/>
    <w:rsid w:val="00E86F02"/>
    <w:rsid w:val="00E87202"/>
    <w:rsid w:val="00E87347"/>
    <w:rsid w:val="00E87814"/>
    <w:rsid w:val="00E87B3F"/>
    <w:rsid w:val="00E90082"/>
    <w:rsid w:val="00E90337"/>
    <w:rsid w:val="00E904D3"/>
    <w:rsid w:val="00E90569"/>
    <w:rsid w:val="00E9072E"/>
    <w:rsid w:val="00E908B6"/>
    <w:rsid w:val="00E90AE5"/>
    <w:rsid w:val="00E910FD"/>
    <w:rsid w:val="00E915BF"/>
    <w:rsid w:val="00E9176C"/>
    <w:rsid w:val="00E92BD6"/>
    <w:rsid w:val="00E92DEA"/>
    <w:rsid w:val="00E93029"/>
    <w:rsid w:val="00E9381A"/>
    <w:rsid w:val="00E93C02"/>
    <w:rsid w:val="00E93D98"/>
    <w:rsid w:val="00E9404C"/>
    <w:rsid w:val="00E95021"/>
    <w:rsid w:val="00E95025"/>
    <w:rsid w:val="00E95227"/>
    <w:rsid w:val="00E95576"/>
    <w:rsid w:val="00E9636B"/>
    <w:rsid w:val="00E96576"/>
    <w:rsid w:val="00E96D09"/>
    <w:rsid w:val="00E96FED"/>
    <w:rsid w:val="00E97776"/>
    <w:rsid w:val="00E979FE"/>
    <w:rsid w:val="00EA08B3"/>
    <w:rsid w:val="00EA09C8"/>
    <w:rsid w:val="00EA0AC5"/>
    <w:rsid w:val="00EA0F13"/>
    <w:rsid w:val="00EA114B"/>
    <w:rsid w:val="00EA1178"/>
    <w:rsid w:val="00EA1449"/>
    <w:rsid w:val="00EA1461"/>
    <w:rsid w:val="00EA1515"/>
    <w:rsid w:val="00EA1822"/>
    <w:rsid w:val="00EA182F"/>
    <w:rsid w:val="00EA19E3"/>
    <w:rsid w:val="00EA1BEA"/>
    <w:rsid w:val="00EA1D08"/>
    <w:rsid w:val="00EA2415"/>
    <w:rsid w:val="00EA28ED"/>
    <w:rsid w:val="00EA29DF"/>
    <w:rsid w:val="00EA3073"/>
    <w:rsid w:val="00EA3163"/>
    <w:rsid w:val="00EA3433"/>
    <w:rsid w:val="00EA3498"/>
    <w:rsid w:val="00EA397A"/>
    <w:rsid w:val="00EA3F3C"/>
    <w:rsid w:val="00EA3F5A"/>
    <w:rsid w:val="00EA4C44"/>
    <w:rsid w:val="00EA4D19"/>
    <w:rsid w:val="00EA4F8A"/>
    <w:rsid w:val="00EA57A3"/>
    <w:rsid w:val="00EA5A7F"/>
    <w:rsid w:val="00EA5C9A"/>
    <w:rsid w:val="00EA660E"/>
    <w:rsid w:val="00EA697F"/>
    <w:rsid w:val="00EA6C70"/>
    <w:rsid w:val="00EA7530"/>
    <w:rsid w:val="00EA7BF6"/>
    <w:rsid w:val="00EA7C61"/>
    <w:rsid w:val="00EB0092"/>
    <w:rsid w:val="00EB042B"/>
    <w:rsid w:val="00EB0F12"/>
    <w:rsid w:val="00EB1712"/>
    <w:rsid w:val="00EB1E86"/>
    <w:rsid w:val="00EB2307"/>
    <w:rsid w:val="00EB3226"/>
    <w:rsid w:val="00EB3564"/>
    <w:rsid w:val="00EB38F4"/>
    <w:rsid w:val="00EB3C72"/>
    <w:rsid w:val="00EB3C9C"/>
    <w:rsid w:val="00EB3DBF"/>
    <w:rsid w:val="00EB3EB1"/>
    <w:rsid w:val="00EB3F8C"/>
    <w:rsid w:val="00EB4036"/>
    <w:rsid w:val="00EB4B1A"/>
    <w:rsid w:val="00EB4CBC"/>
    <w:rsid w:val="00EB52AF"/>
    <w:rsid w:val="00EB5537"/>
    <w:rsid w:val="00EB5940"/>
    <w:rsid w:val="00EB5F11"/>
    <w:rsid w:val="00EB61ED"/>
    <w:rsid w:val="00EB65AC"/>
    <w:rsid w:val="00EB6BC8"/>
    <w:rsid w:val="00EB74D6"/>
    <w:rsid w:val="00EB7608"/>
    <w:rsid w:val="00EB760C"/>
    <w:rsid w:val="00EC07D1"/>
    <w:rsid w:val="00EC08F4"/>
    <w:rsid w:val="00EC08FF"/>
    <w:rsid w:val="00EC0A69"/>
    <w:rsid w:val="00EC0D4A"/>
    <w:rsid w:val="00EC0E22"/>
    <w:rsid w:val="00EC1A00"/>
    <w:rsid w:val="00EC1C96"/>
    <w:rsid w:val="00EC3971"/>
    <w:rsid w:val="00EC39A2"/>
    <w:rsid w:val="00EC4250"/>
    <w:rsid w:val="00EC446D"/>
    <w:rsid w:val="00EC483B"/>
    <w:rsid w:val="00EC4911"/>
    <w:rsid w:val="00EC50C9"/>
    <w:rsid w:val="00EC51B4"/>
    <w:rsid w:val="00EC5523"/>
    <w:rsid w:val="00EC563C"/>
    <w:rsid w:val="00EC58AF"/>
    <w:rsid w:val="00EC5C13"/>
    <w:rsid w:val="00EC5C28"/>
    <w:rsid w:val="00EC5EE0"/>
    <w:rsid w:val="00EC621C"/>
    <w:rsid w:val="00EC6270"/>
    <w:rsid w:val="00EC6615"/>
    <w:rsid w:val="00EC686D"/>
    <w:rsid w:val="00EC6AA7"/>
    <w:rsid w:val="00EC6B9F"/>
    <w:rsid w:val="00EC77BC"/>
    <w:rsid w:val="00EC7833"/>
    <w:rsid w:val="00EC7A43"/>
    <w:rsid w:val="00EC7AAB"/>
    <w:rsid w:val="00ED00CE"/>
    <w:rsid w:val="00ED09D9"/>
    <w:rsid w:val="00ED0AC9"/>
    <w:rsid w:val="00ED0C6B"/>
    <w:rsid w:val="00ED0EAD"/>
    <w:rsid w:val="00ED0EAE"/>
    <w:rsid w:val="00ED0F86"/>
    <w:rsid w:val="00ED1197"/>
    <w:rsid w:val="00ED12C1"/>
    <w:rsid w:val="00ED1FE7"/>
    <w:rsid w:val="00ED23BA"/>
    <w:rsid w:val="00ED2657"/>
    <w:rsid w:val="00ED2A41"/>
    <w:rsid w:val="00ED2EB8"/>
    <w:rsid w:val="00ED34F6"/>
    <w:rsid w:val="00ED35C0"/>
    <w:rsid w:val="00ED3911"/>
    <w:rsid w:val="00ED3DA0"/>
    <w:rsid w:val="00ED4103"/>
    <w:rsid w:val="00ED42F0"/>
    <w:rsid w:val="00ED477D"/>
    <w:rsid w:val="00ED47B6"/>
    <w:rsid w:val="00ED4CFF"/>
    <w:rsid w:val="00ED4E4B"/>
    <w:rsid w:val="00ED5115"/>
    <w:rsid w:val="00ED5179"/>
    <w:rsid w:val="00ED5589"/>
    <w:rsid w:val="00ED55F3"/>
    <w:rsid w:val="00ED57CE"/>
    <w:rsid w:val="00ED5887"/>
    <w:rsid w:val="00ED5C19"/>
    <w:rsid w:val="00ED5F50"/>
    <w:rsid w:val="00ED607E"/>
    <w:rsid w:val="00ED6202"/>
    <w:rsid w:val="00ED635F"/>
    <w:rsid w:val="00ED644A"/>
    <w:rsid w:val="00ED657F"/>
    <w:rsid w:val="00ED6A0C"/>
    <w:rsid w:val="00ED6D45"/>
    <w:rsid w:val="00ED744E"/>
    <w:rsid w:val="00ED750B"/>
    <w:rsid w:val="00ED75E3"/>
    <w:rsid w:val="00ED7CF4"/>
    <w:rsid w:val="00ED7D94"/>
    <w:rsid w:val="00EE081C"/>
    <w:rsid w:val="00EE0BDC"/>
    <w:rsid w:val="00EE0CC9"/>
    <w:rsid w:val="00EE10E5"/>
    <w:rsid w:val="00EE1603"/>
    <w:rsid w:val="00EE1A55"/>
    <w:rsid w:val="00EE2153"/>
    <w:rsid w:val="00EE36B2"/>
    <w:rsid w:val="00EE3875"/>
    <w:rsid w:val="00EE3A69"/>
    <w:rsid w:val="00EE3D13"/>
    <w:rsid w:val="00EE3D35"/>
    <w:rsid w:val="00EE3EBB"/>
    <w:rsid w:val="00EE4997"/>
    <w:rsid w:val="00EE4AFC"/>
    <w:rsid w:val="00EE5161"/>
    <w:rsid w:val="00EE61AD"/>
    <w:rsid w:val="00EE66E7"/>
    <w:rsid w:val="00EE6A67"/>
    <w:rsid w:val="00EE6E5F"/>
    <w:rsid w:val="00EE6EF4"/>
    <w:rsid w:val="00EE7542"/>
    <w:rsid w:val="00EE782E"/>
    <w:rsid w:val="00EE78DF"/>
    <w:rsid w:val="00EE7946"/>
    <w:rsid w:val="00EE7CAB"/>
    <w:rsid w:val="00EF00BE"/>
    <w:rsid w:val="00EF0C8E"/>
    <w:rsid w:val="00EF0D1B"/>
    <w:rsid w:val="00EF0D5E"/>
    <w:rsid w:val="00EF0F35"/>
    <w:rsid w:val="00EF110A"/>
    <w:rsid w:val="00EF123C"/>
    <w:rsid w:val="00EF14F8"/>
    <w:rsid w:val="00EF1BF6"/>
    <w:rsid w:val="00EF2008"/>
    <w:rsid w:val="00EF202A"/>
    <w:rsid w:val="00EF3458"/>
    <w:rsid w:val="00EF373E"/>
    <w:rsid w:val="00EF3D3F"/>
    <w:rsid w:val="00EF3F56"/>
    <w:rsid w:val="00EF430B"/>
    <w:rsid w:val="00EF460B"/>
    <w:rsid w:val="00EF563F"/>
    <w:rsid w:val="00EF5823"/>
    <w:rsid w:val="00EF6115"/>
    <w:rsid w:val="00EF62E8"/>
    <w:rsid w:val="00EF6341"/>
    <w:rsid w:val="00EF6562"/>
    <w:rsid w:val="00EF682B"/>
    <w:rsid w:val="00EF692B"/>
    <w:rsid w:val="00EF7726"/>
    <w:rsid w:val="00EF7A5F"/>
    <w:rsid w:val="00F004EB"/>
    <w:rsid w:val="00F00518"/>
    <w:rsid w:val="00F006C1"/>
    <w:rsid w:val="00F0072E"/>
    <w:rsid w:val="00F009B0"/>
    <w:rsid w:val="00F01211"/>
    <w:rsid w:val="00F018EC"/>
    <w:rsid w:val="00F01E57"/>
    <w:rsid w:val="00F01F96"/>
    <w:rsid w:val="00F02253"/>
    <w:rsid w:val="00F028E1"/>
    <w:rsid w:val="00F02C33"/>
    <w:rsid w:val="00F02D86"/>
    <w:rsid w:val="00F03856"/>
    <w:rsid w:val="00F038E2"/>
    <w:rsid w:val="00F038F7"/>
    <w:rsid w:val="00F04127"/>
    <w:rsid w:val="00F04172"/>
    <w:rsid w:val="00F041AE"/>
    <w:rsid w:val="00F041BD"/>
    <w:rsid w:val="00F04535"/>
    <w:rsid w:val="00F048BD"/>
    <w:rsid w:val="00F04D17"/>
    <w:rsid w:val="00F055EA"/>
    <w:rsid w:val="00F056C8"/>
    <w:rsid w:val="00F05A31"/>
    <w:rsid w:val="00F05C62"/>
    <w:rsid w:val="00F05EE8"/>
    <w:rsid w:val="00F06508"/>
    <w:rsid w:val="00F0669A"/>
    <w:rsid w:val="00F068E6"/>
    <w:rsid w:val="00F07261"/>
    <w:rsid w:val="00F07639"/>
    <w:rsid w:val="00F076EE"/>
    <w:rsid w:val="00F078A2"/>
    <w:rsid w:val="00F078CD"/>
    <w:rsid w:val="00F07A4A"/>
    <w:rsid w:val="00F07ADB"/>
    <w:rsid w:val="00F10954"/>
    <w:rsid w:val="00F11097"/>
    <w:rsid w:val="00F11189"/>
    <w:rsid w:val="00F11349"/>
    <w:rsid w:val="00F11682"/>
    <w:rsid w:val="00F11738"/>
    <w:rsid w:val="00F11892"/>
    <w:rsid w:val="00F11CCD"/>
    <w:rsid w:val="00F122F4"/>
    <w:rsid w:val="00F124C4"/>
    <w:rsid w:val="00F128E3"/>
    <w:rsid w:val="00F12FE6"/>
    <w:rsid w:val="00F1306F"/>
    <w:rsid w:val="00F13416"/>
    <w:rsid w:val="00F13590"/>
    <w:rsid w:val="00F1398E"/>
    <w:rsid w:val="00F13B6C"/>
    <w:rsid w:val="00F13EF6"/>
    <w:rsid w:val="00F13F1F"/>
    <w:rsid w:val="00F14412"/>
    <w:rsid w:val="00F14445"/>
    <w:rsid w:val="00F1473E"/>
    <w:rsid w:val="00F15553"/>
    <w:rsid w:val="00F15559"/>
    <w:rsid w:val="00F159B8"/>
    <w:rsid w:val="00F16146"/>
    <w:rsid w:val="00F16698"/>
    <w:rsid w:val="00F169D7"/>
    <w:rsid w:val="00F1756F"/>
    <w:rsid w:val="00F204AA"/>
    <w:rsid w:val="00F20CE7"/>
    <w:rsid w:val="00F20DF0"/>
    <w:rsid w:val="00F210A1"/>
    <w:rsid w:val="00F21378"/>
    <w:rsid w:val="00F21940"/>
    <w:rsid w:val="00F21A36"/>
    <w:rsid w:val="00F21B23"/>
    <w:rsid w:val="00F21E4C"/>
    <w:rsid w:val="00F21F1B"/>
    <w:rsid w:val="00F22138"/>
    <w:rsid w:val="00F2284B"/>
    <w:rsid w:val="00F22851"/>
    <w:rsid w:val="00F229EB"/>
    <w:rsid w:val="00F233FC"/>
    <w:rsid w:val="00F23E78"/>
    <w:rsid w:val="00F23EA0"/>
    <w:rsid w:val="00F24333"/>
    <w:rsid w:val="00F247C5"/>
    <w:rsid w:val="00F248B9"/>
    <w:rsid w:val="00F24944"/>
    <w:rsid w:val="00F24C06"/>
    <w:rsid w:val="00F24DDE"/>
    <w:rsid w:val="00F25298"/>
    <w:rsid w:val="00F2530F"/>
    <w:rsid w:val="00F25616"/>
    <w:rsid w:val="00F25B71"/>
    <w:rsid w:val="00F26191"/>
    <w:rsid w:val="00F26603"/>
    <w:rsid w:val="00F267DB"/>
    <w:rsid w:val="00F269A3"/>
    <w:rsid w:val="00F271BB"/>
    <w:rsid w:val="00F272C0"/>
    <w:rsid w:val="00F27780"/>
    <w:rsid w:val="00F277A6"/>
    <w:rsid w:val="00F27A37"/>
    <w:rsid w:val="00F27A3F"/>
    <w:rsid w:val="00F27AB5"/>
    <w:rsid w:val="00F301CC"/>
    <w:rsid w:val="00F303A1"/>
    <w:rsid w:val="00F304DF"/>
    <w:rsid w:val="00F30D59"/>
    <w:rsid w:val="00F30D90"/>
    <w:rsid w:val="00F30F65"/>
    <w:rsid w:val="00F31A5B"/>
    <w:rsid w:val="00F31C91"/>
    <w:rsid w:val="00F31D19"/>
    <w:rsid w:val="00F3204F"/>
    <w:rsid w:val="00F322B8"/>
    <w:rsid w:val="00F327AA"/>
    <w:rsid w:val="00F3304D"/>
    <w:rsid w:val="00F331B8"/>
    <w:rsid w:val="00F331DA"/>
    <w:rsid w:val="00F33227"/>
    <w:rsid w:val="00F333F7"/>
    <w:rsid w:val="00F33D77"/>
    <w:rsid w:val="00F33DEA"/>
    <w:rsid w:val="00F33E93"/>
    <w:rsid w:val="00F34270"/>
    <w:rsid w:val="00F3465B"/>
    <w:rsid w:val="00F34A54"/>
    <w:rsid w:val="00F34EAC"/>
    <w:rsid w:val="00F3523F"/>
    <w:rsid w:val="00F35840"/>
    <w:rsid w:val="00F3585E"/>
    <w:rsid w:val="00F35AC9"/>
    <w:rsid w:val="00F35D9B"/>
    <w:rsid w:val="00F35FDF"/>
    <w:rsid w:val="00F360B0"/>
    <w:rsid w:val="00F368D7"/>
    <w:rsid w:val="00F36BA3"/>
    <w:rsid w:val="00F36C78"/>
    <w:rsid w:val="00F375AE"/>
    <w:rsid w:val="00F40403"/>
    <w:rsid w:val="00F40AB4"/>
    <w:rsid w:val="00F41112"/>
    <w:rsid w:val="00F411B4"/>
    <w:rsid w:val="00F41594"/>
    <w:rsid w:val="00F4185B"/>
    <w:rsid w:val="00F418D3"/>
    <w:rsid w:val="00F41DD6"/>
    <w:rsid w:val="00F42107"/>
    <w:rsid w:val="00F42A49"/>
    <w:rsid w:val="00F42A7A"/>
    <w:rsid w:val="00F42EFD"/>
    <w:rsid w:val="00F43039"/>
    <w:rsid w:val="00F440C9"/>
    <w:rsid w:val="00F440EE"/>
    <w:rsid w:val="00F446AE"/>
    <w:rsid w:val="00F44818"/>
    <w:rsid w:val="00F451F3"/>
    <w:rsid w:val="00F4541A"/>
    <w:rsid w:val="00F45C9E"/>
    <w:rsid w:val="00F45CA1"/>
    <w:rsid w:val="00F46526"/>
    <w:rsid w:val="00F46F63"/>
    <w:rsid w:val="00F47012"/>
    <w:rsid w:val="00F47307"/>
    <w:rsid w:val="00F4763B"/>
    <w:rsid w:val="00F47BB9"/>
    <w:rsid w:val="00F47E7E"/>
    <w:rsid w:val="00F501F3"/>
    <w:rsid w:val="00F5023D"/>
    <w:rsid w:val="00F50AA2"/>
    <w:rsid w:val="00F50C6C"/>
    <w:rsid w:val="00F50F92"/>
    <w:rsid w:val="00F51056"/>
    <w:rsid w:val="00F51676"/>
    <w:rsid w:val="00F52A74"/>
    <w:rsid w:val="00F52E42"/>
    <w:rsid w:val="00F531E0"/>
    <w:rsid w:val="00F534CD"/>
    <w:rsid w:val="00F534E4"/>
    <w:rsid w:val="00F536DF"/>
    <w:rsid w:val="00F53818"/>
    <w:rsid w:val="00F538E5"/>
    <w:rsid w:val="00F53D55"/>
    <w:rsid w:val="00F53F43"/>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57C69"/>
    <w:rsid w:val="00F60202"/>
    <w:rsid w:val="00F60818"/>
    <w:rsid w:val="00F6092F"/>
    <w:rsid w:val="00F60AB8"/>
    <w:rsid w:val="00F60BCE"/>
    <w:rsid w:val="00F6141B"/>
    <w:rsid w:val="00F6158A"/>
    <w:rsid w:val="00F619F6"/>
    <w:rsid w:val="00F61ADE"/>
    <w:rsid w:val="00F62154"/>
    <w:rsid w:val="00F628A7"/>
    <w:rsid w:val="00F62FAC"/>
    <w:rsid w:val="00F630AA"/>
    <w:rsid w:val="00F6366E"/>
    <w:rsid w:val="00F63E68"/>
    <w:rsid w:val="00F63EC8"/>
    <w:rsid w:val="00F6440A"/>
    <w:rsid w:val="00F64D45"/>
    <w:rsid w:val="00F64D52"/>
    <w:rsid w:val="00F64F51"/>
    <w:rsid w:val="00F652DA"/>
    <w:rsid w:val="00F65303"/>
    <w:rsid w:val="00F65345"/>
    <w:rsid w:val="00F655CD"/>
    <w:rsid w:val="00F658E4"/>
    <w:rsid w:val="00F65936"/>
    <w:rsid w:val="00F65C86"/>
    <w:rsid w:val="00F65CB2"/>
    <w:rsid w:val="00F66384"/>
    <w:rsid w:val="00F663C4"/>
    <w:rsid w:val="00F6666A"/>
    <w:rsid w:val="00F667EF"/>
    <w:rsid w:val="00F67155"/>
    <w:rsid w:val="00F672D7"/>
    <w:rsid w:val="00F674E3"/>
    <w:rsid w:val="00F67C84"/>
    <w:rsid w:val="00F700B6"/>
    <w:rsid w:val="00F7012D"/>
    <w:rsid w:val="00F70492"/>
    <w:rsid w:val="00F7061C"/>
    <w:rsid w:val="00F70890"/>
    <w:rsid w:val="00F717BE"/>
    <w:rsid w:val="00F7215C"/>
    <w:rsid w:val="00F72873"/>
    <w:rsid w:val="00F72A89"/>
    <w:rsid w:val="00F72CD7"/>
    <w:rsid w:val="00F72DC1"/>
    <w:rsid w:val="00F731FF"/>
    <w:rsid w:val="00F733F4"/>
    <w:rsid w:val="00F73B13"/>
    <w:rsid w:val="00F73E79"/>
    <w:rsid w:val="00F73F66"/>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681"/>
    <w:rsid w:val="00F80770"/>
    <w:rsid w:val="00F8097E"/>
    <w:rsid w:val="00F8149A"/>
    <w:rsid w:val="00F816B7"/>
    <w:rsid w:val="00F8178C"/>
    <w:rsid w:val="00F81C1E"/>
    <w:rsid w:val="00F81E14"/>
    <w:rsid w:val="00F82514"/>
    <w:rsid w:val="00F8291D"/>
    <w:rsid w:val="00F83203"/>
    <w:rsid w:val="00F836D5"/>
    <w:rsid w:val="00F83F67"/>
    <w:rsid w:val="00F84461"/>
    <w:rsid w:val="00F84BB7"/>
    <w:rsid w:val="00F85101"/>
    <w:rsid w:val="00F851C4"/>
    <w:rsid w:val="00F85475"/>
    <w:rsid w:val="00F858E0"/>
    <w:rsid w:val="00F864E7"/>
    <w:rsid w:val="00F8670F"/>
    <w:rsid w:val="00F86963"/>
    <w:rsid w:val="00F87086"/>
    <w:rsid w:val="00F87CBA"/>
    <w:rsid w:val="00F90134"/>
    <w:rsid w:val="00F907C7"/>
    <w:rsid w:val="00F9198D"/>
    <w:rsid w:val="00F91B15"/>
    <w:rsid w:val="00F91B7E"/>
    <w:rsid w:val="00F92016"/>
    <w:rsid w:val="00F925B4"/>
    <w:rsid w:val="00F925F6"/>
    <w:rsid w:val="00F93AA3"/>
    <w:rsid w:val="00F94191"/>
    <w:rsid w:val="00F9443B"/>
    <w:rsid w:val="00F94472"/>
    <w:rsid w:val="00F94CA5"/>
    <w:rsid w:val="00F94E89"/>
    <w:rsid w:val="00F95039"/>
    <w:rsid w:val="00F952C5"/>
    <w:rsid w:val="00F953FE"/>
    <w:rsid w:val="00F95CE4"/>
    <w:rsid w:val="00F9700F"/>
    <w:rsid w:val="00F97540"/>
    <w:rsid w:val="00F9777B"/>
    <w:rsid w:val="00F979B0"/>
    <w:rsid w:val="00F97FB0"/>
    <w:rsid w:val="00FA0BCC"/>
    <w:rsid w:val="00FA1070"/>
    <w:rsid w:val="00FA164F"/>
    <w:rsid w:val="00FA165E"/>
    <w:rsid w:val="00FA1ACB"/>
    <w:rsid w:val="00FA1BB5"/>
    <w:rsid w:val="00FA1FDF"/>
    <w:rsid w:val="00FA21F4"/>
    <w:rsid w:val="00FA2F3A"/>
    <w:rsid w:val="00FA304B"/>
    <w:rsid w:val="00FA3140"/>
    <w:rsid w:val="00FA3214"/>
    <w:rsid w:val="00FA397C"/>
    <w:rsid w:val="00FA3D5B"/>
    <w:rsid w:val="00FA4A12"/>
    <w:rsid w:val="00FA4C7D"/>
    <w:rsid w:val="00FA4E97"/>
    <w:rsid w:val="00FA4ED6"/>
    <w:rsid w:val="00FA4FD7"/>
    <w:rsid w:val="00FA5750"/>
    <w:rsid w:val="00FA5874"/>
    <w:rsid w:val="00FA6476"/>
    <w:rsid w:val="00FA6A95"/>
    <w:rsid w:val="00FA6E13"/>
    <w:rsid w:val="00FA70CC"/>
    <w:rsid w:val="00FA7316"/>
    <w:rsid w:val="00FA77D4"/>
    <w:rsid w:val="00FA798A"/>
    <w:rsid w:val="00FA7E20"/>
    <w:rsid w:val="00FB0FF2"/>
    <w:rsid w:val="00FB1429"/>
    <w:rsid w:val="00FB18B5"/>
    <w:rsid w:val="00FB197F"/>
    <w:rsid w:val="00FB23DD"/>
    <w:rsid w:val="00FB2830"/>
    <w:rsid w:val="00FB310D"/>
    <w:rsid w:val="00FB312F"/>
    <w:rsid w:val="00FB35C3"/>
    <w:rsid w:val="00FB409D"/>
    <w:rsid w:val="00FB4272"/>
    <w:rsid w:val="00FB4D4B"/>
    <w:rsid w:val="00FB546C"/>
    <w:rsid w:val="00FB580C"/>
    <w:rsid w:val="00FB5841"/>
    <w:rsid w:val="00FB584F"/>
    <w:rsid w:val="00FB5D61"/>
    <w:rsid w:val="00FB6343"/>
    <w:rsid w:val="00FB6A75"/>
    <w:rsid w:val="00FB6BF7"/>
    <w:rsid w:val="00FB746B"/>
    <w:rsid w:val="00FB74A0"/>
    <w:rsid w:val="00FB7D96"/>
    <w:rsid w:val="00FC0142"/>
    <w:rsid w:val="00FC0352"/>
    <w:rsid w:val="00FC03A1"/>
    <w:rsid w:val="00FC0623"/>
    <w:rsid w:val="00FC1D06"/>
    <w:rsid w:val="00FC1F16"/>
    <w:rsid w:val="00FC1FB3"/>
    <w:rsid w:val="00FC2736"/>
    <w:rsid w:val="00FC2855"/>
    <w:rsid w:val="00FC292D"/>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D0F4C"/>
    <w:rsid w:val="00FD0F80"/>
    <w:rsid w:val="00FD1149"/>
    <w:rsid w:val="00FD19A1"/>
    <w:rsid w:val="00FD2043"/>
    <w:rsid w:val="00FD20F4"/>
    <w:rsid w:val="00FD245D"/>
    <w:rsid w:val="00FD296C"/>
    <w:rsid w:val="00FD315A"/>
    <w:rsid w:val="00FD31A5"/>
    <w:rsid w:val="00FD31DE"/>
    <w:rsid w:val="00FD3406"/>
    <w:rsid w:val="00FD3499"/>
    <w:rsid w:val="00FD370A"/>
    <w:rsid w:val="00FD376D"/>
    <w:rsid w:val="00FD3BEE"/>
    <w:rsid w:val="00FD3D3D"/>
    <w:rsid w:val="00FD455A"/>
    <w:rsid w:val="00FD4795"/>
    <w:rsid w:val="00FD49B4"/>
    <w:rsid w:val="00FD4B84"/>
    <w:rsid w:val="00FD5749"/>
    <w:rsid w:val="00FD5F8B"/>
    <w:rsid w:val="00FD61E3"/>
    <w:rsid w:val="00FD633C"/>
    <w:rsid w:val="00FD6751"/>
    <w:rsid w:val="00FD6D64"/>
    <w:rsid w:val="00FD701C"/>
    <w:rsid w:val="00FD76D9"/>
    <w:rsid w:val="00FD78CB"/>
    <w:rsid w:val="00FD7DCF"/>
    <w:rsid w:val="00FD7F1A"/>
    <w:rsid w:val="00FE00DF"/>
    <w:rsid w:val="00FE01E9"/>
    <w:rsid w:val="00FE06E0"/>
    <w:rsid w:val="00FE0888"/>
    <w:rsid w:val="00FE0AF7"/>
    <w:rsid w:val="00FE1448"/>
    <w:rsid w:val="00FE1B15"/>
    <w:rsid w:val="00FE22B4"/>
    <w:rsid w:val="00FE22B8"/>
    <w:rsid w:val="00FE28D7"/>
    <w:rsid w:val="00FE31A3"/>
    <w:rsid w:val="00FE31B9"/>
    <w:rsid w:val="00FE3716"/>
    <w:rsid w:val="00FE37FF"/>
    <w:rsid w:val="00FE389E"/>
    <w:rsid w:val="00FE449C"/>
    <w:rsid w:val="00FE4949"/>
    <w:rsid w:val="00FE4B78"/>
    <w:rsid w:val="00FE4B9D"/>
    <w:rsid w:val="00FE50A6"/>
    <w:rsid w:val="00FE55DF"/>
    <w:rsid w:val="00FE5641"/>
    <w:rsid w:val="00FE5A58"/>
    <w:rsid w:val="00FE5CAA"/>
    <w:rsid w:val="00FE66EF"/>
    <w:rsid w:val="00FE6915"/>
    <w:rsid w:val="00FE6E29"/>
    <w:rsid w:val="00FE72AE"/>
    <w:rsid w:val="00FE7837"/>
    <w:rsid w:val="00FE7BC4"/>
    <w:rsid w:val="00FF0A09"/>
    <w:rsid w:val="00FF0BE3"/>
    <w:rsid w:val="00FF0BF3"/>
    <w:rsid w:val="00FF11C6"/>
    <w:rsid w:val="00FF1384"/>
    <w:rsid w:val="00FF1400"/>
    <w:rsid w:val="00FF1B34"/>
    <w:rsid w:val="00FF2495"/>
    <w:rsid w:val="00FF2736"/>
    <w:rsid w:val="00FF2AC3"/>
    <w:rsid w:val="00FF2EC4"/>
    <w:rsid w:val="00FF3262"/>
    <w:rsid w:val="00FF35EE"/>
    <w:rsid w:val="00FF3625"/>
    <w:rsid w:val="00FF36AA"/>
    <w:rsid w:val="00FF3D9F"/>
    <w:rsid w:val="00FF4055"/>
    <w:rsid w:val="00FF4712"/>
    <w:rsid w:val="00FF4786"/>
    <w:rsid w:val="00FF4BA5"/>
    <w:rsid w:val="00FF4D59"/>
    <w:rsid w:val="00FF5169"/>
    <w:rsid w:val="00FF5328"/>
    <w:rsid w:val="00FF5399"/>
    <w:rsid w:val="00FF53B8"/>
    <w:rsid w:val="00FF55EF"/>
    <w:rsid w:val="00FF58A7"/>
    <w:rsid w:val="00FF6A50"/>
    <w:rsid w:val="00FF6B3F"/>
    <w:rsid w:val="00FF6D0F"/>
    <w:rsid w:val="00FF74EF"/>
    <w:rsid w:val="00FF75FD"/>
    <w:rsid w:val="00FF77F8"/>
    <w:rsid w:val="00FF78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2" style="mso-position-horizontal-relative:page;mso-position-vertical-relative:page" stroke="f">
      <v:stroke on="f"/>
      <o:colormru v:ext="edit" colors="white"/>
    </o:shapedefaults>
    <o:shapelayout v:ext="edit">
      <o:idmap v:ext="edit" data="1"/>
      <o:rules v:ext="edit">
        <o:r id="V:Rule1" type="connector" idref="#Straight Arrow Connector 49"/>
        <o:r id="V:Rule2" type="connector" idref="#Straight Arrow Connector 42"/>
        <o:r id="V:Rule3" type="connector" idref="#Straight Arrow Connector 44"/>
        <o:r id="V:Rule4" type="connector" idref="#Straight Arrow Connector 41"/>
        <o:r id="V:Rule5" type="connector" idref="#Straight Arrow Connector 205"/>
        <o:r id="V:Rule6" type="connector" idref="#Straight Arrow Connector 223"/>
        <o:r id="V:Rule7" type="connector" idref="#Straight Arrow Connector 45"/>
        <o:r id="V:Rule8" type="connector" idref="#Elbow Connector 217"/>
        <o:r id="V:Rule9" type="connector" idref="#Straight Arrow Connector 48"/>
        <o:r id="V:Rule10" type="connector" idref="#Straight Arrow Connector 218"/>
        <o:r id="V:Rule11" type="connector" idref="#Elbow Connector 215"/>
        <o:r id="V:Rule12" type="connector" idref="#Elbow Connector 221"/>
        <o:r id="V:Rule13" type="connector" idref="#Elbow Connector 214"/>
        <o:r id="V:Rule14" type="connector" idref="#Elbow Connector 216"/>
        <o:r id="V:Rule15" type="connector" idref="#Straight Arrow Connector 219"/>
        <o:r id="V:Rule16" type="connector" idref="#Straight Arrow Connector 46"/>
        <o:r id="V:Rule17" type="connector" idref="#Straight Arrow Connector 222"/>
        <o:r id="V:Rule18" type="connector" idref="#Straight Arrow Connector 220"/>
        <o:r id="V:Rule19" type="connector" idref="#Straight Arrow Connector 20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Arial"/>
        <w:color w:val="363534" w:themeColor="text1"/>
        <w:sz w:val="24"/>
        <w:szCs w:val="24"/>
        <w:lang w:val="en-AU" w:eastAsia="en-AU" w:bidi="ar-SA"/>
      </w:rPr>
    </w:rPrDefault>
    <w:pPrDefault>
      <w:pPr>
        <w:spacing w:line="240" w:lineRule="atLeast"/>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qFormat="1"/>
    <w:lsdException w:name="heading 6"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lsdException w:name="footer" w:uiPriority="99"/>
    <w:lsdException w:name="caption" w:qFormat="1"/>
    <w:lsdException w:name="page number" w:uiPriority="99"/>
    <w:lsdException w:name="List Bullet" w:qFormat="1"/>
    <w:lsdException w:name="List Number" w:semiHidden="0" w:uiPriority="13" w:unhideWhenUsed="0" w:qFormat="1"/>
    <w:lsdException w:name="List 4" w:semiHidden="0" w:unhideWhenUsed="0"/>
    <w:lsdException w:name="List 5" w:semiHidden="0" w:unhideWhenUsed="0"/>
    <w:lsdException w:name="List Bullet 2" w:qFormat="1"/>
    <w:lsdException w:name="List Bullet 3" w:qFormat="1"/>
    <w:lsdException w:name="List Number 2" w:uiPriority="13" w:qFormat="1"/>
    <w:lsdException w:name="List Number 3" w:uiPriority="13" w:qFormat="1"/>
    <w:lsdException w:name="List Number 4" w:uiPriority="13"/>
    <w:lsdException w:name="List Number 5" w:uiPriority="13"/>
    <w:lsdException w:name="Title" w:semiHidden="0" w:unhideWhenUsed="0" w:qFormat="1"/>
    <w:lsdException w:name="Default Paragraph Font" w:uiPriority="1"/>
    <w:lsdException w:name="Body Text" w:uiPriority="1" w:qFormat="1"/>
    <w:lsdException w:name="List Continue" w:qFormat="1"/>
    <w:lsdException w:name="List Continue 2"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lock Text" w:uiPriority="99" w:qFormat="1"/>
    <w:lsdException w:name="Hyperlink" w:uiPriority="99"/>
    <w:lsdException w:name="Strong" w:semiHidden="0" w:unhideWhenUsed="0"/>
    <w:lsdException w:name="Emphasis" w:semiHidden="0" w:uiPriority="20" w:unhideWhenUsed="0" w:qFormat="1"/>
    <w:lsdException w:name="Normal (Web)" w:uiPriority="99"/>
    <w:lsdException w:name="annotation subject" w:uiPriority="99"/>
    <w:lsdException w:name="No List" w:uiPriority="99"/>
    <w:lsdException w:name="Table Professional"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094"/>
    <w:pPr>
      <w:spacing w:after="200"/>
    </w:pPr>
    <w:rPr>
      <w:color w:val="auto"/>
      <w:sz w:val="20"/>
    </w:rPr>
  </w:style>
  <w:style w:type="paragraph" w:styleId="Heading1">
    <w:name w:val="heading 1"/>
    <w:basedOn w:val="Normal"/>
    <w:next w:val="Normal"/>
    <w:link w:val="Heading1Char"/>
    <w:uiPriority w:val="9"/>
    <w:qFormat/>
    <w:rsid w:val="003448D2"/>
    <w:pPr>
      <w:keepNext/>
      <w:keepLines/>
      <w:numPr>
        <w:numId w:val="7"/>
      </w:numPr>
      <w:tabs>
        <w:tab w:val="left" w:pos="1134"/>
      </w:tabs>
      <w:spacing w:after="360" w:line="240" w:lineRule="auto"/>
      <w:ind w:left="1134" w:hanging="1134"/>
      <w:outlineLvl w:val="0"/>
    </w:pPr>
    <w:rPr>
      <w:b/>
      <w:bCs/>
      <w:color w:val="201547" w:themeColor="accent3"/>
      <w:kern w:val="32"/>
      <w:sz w:val="40"/>
      <w:szCs w:val="32"/>
    </w:rPr>
  </w:style>
  <w:style w:type="paragraph" w:styleId="Heading2">
    <w:name w:val="heading 2"/>
    <w:basedOn w:val="Normal"/>
    <w:next w:val="Normal"/>
    <w:link w:val="Heading2Char"/>
    <w:qFormat/>
    <w:rsid w:val="00C14778"/>
    <w:pPr>
      <w:keepNext/>
      <w:keepLines/>
      <w:numPr>
        <w:ilvl w:val="1"/>
        <w:numId w:val="7"/>
      </w:numPr>
      <w:tabs>
        <w:tab w:val="left" w:pos="1134"/>
      </w:tabs>
      <w:spacing w:after="220" w:line="240" w:lineRule="auto"/>
      <w:ind w:left="1134" w:hanging="1134"/>
      <w:outlineLvl w:val="1"/>
    </w:pPr>
    <w:rPr>
      <w:b/>
      <w:bCs/>
      <w:i/>
      <w:iCs/>
      <w:color w:val="00B2A9" w:themeColor="accent1"/>
      <w:kern w:val="20"/>
      <w:sz w:val="32"/>
      <w:szCs w:val="28"/>
    </w:rPr>
  </w:style>
  <w:style w:type="paragraph" w:styleId="Heading3">
    <w:name w:val="heading 3"/>
    <w:basedOn w:val="Normal"/>
    <w:next w:val="Normal"/>
    <w:link w:val="Heading3Char"/>
    <w:uiPriority w:val="9"/>
    <w:qFormat/>
    <w:rsid w:val="00C14778"/>
    <w:pPr>
      <w:keepNext/>
      <w:keepLines/>
      <w:numPr>
        <w:ilvl w:val="2"/>
        <w:numId w:val="7"/>
      </w:numPr>
      <w:tabs>
        <w:tab w:val="left" w:pos="1134"/>
      </w:tabs>
      <w:spacing w:after="220" w:line="240" w:lineRule="auto"/>
      <w:ind w:left="1134" w:hanging="1134"/>
      <w:outlineLvl w:val="2"/>
    </w:pPr>
    <w:rPr>
      <w:b/>
      <w:i/>
      <w:color w:val="00B2A9" w:themeColor="accent1"/>
      <w:sz w:val="28"/>
    </w:rPr>
  </w:style>
  <w:style w:type="paragraph" w:styleId="Heading4">
    <w:name w:val="heading 4"/>
    <w:basedOn w:val="Normal"/>
    <w:next w:val="Normal"/>
    <w:link w:val="Heading4Char"/>
    <w:qFormat/>
    <w:rsid w:val="00D06608"/>
    <w:pPr>
      <w:keepNext/>
      <w:keepLines/>
      <w:tabs>
        <w:tab w:val="left" w:pos="1418"/>
        <w:tab w:val="left" w:pos="1701"/>
        <w:tab w:val="left" w:pos="1985"/>
      </w:tabs>
      <w:outlineLvl w:val="3"/>
    </w:pPr>
    <w:rPr>
      <w:rFonts w:asciiTheme="majorHAnsi" w:eastAsiaTheme="majorEastAsia" w:hAnsiTheme="majorHAnsi" w:cstheme="majorBidi"/>
      <w:b/>
      <w:bCs/>
      <w:i/>
      <w:iCs/>
      <w:color w:val="00B2A9" w:themeColor="accent1"/>
      <w:sz w:val="22"/>
    </w:rPr>
  </w:style>
  <w:style w:type="paragraph" w:styleId="Heading5">
    <w:name w:val="heading 5"/>
    <w:basedOn w:val="Normal"/>
    <w:next w:val="Normal"/>
    <w:link w:val="Heading5Char"/>
    <w:qFormat/>
    <w:rsid w:val="00C94110"/>
    <w:pPr>
      <w:keepNext/>
      <w:keepLines/>
      <w:spacing w:line="240" w:lineRule="auto"/>
      <w:outlineLvl w:val="4"/>
    </w:pPr>
    <w:rPr>
      <w:rFonts w:asciiTheme="majorHAnsi" w:eastAsiaTheme="majorEastAsia" w:hAnsiTheme="majorHAnsi" w:cstheme="majorBidi"/>
      <w:i/>
      <w:color w:val="494847"/>
      <w:u w:val="single"/>
    </w:rPr>
  </w:style>
  <w:style w:type="paragraph" w:styleId="Heading6">
    <w:name w:val="heading 6"/>
    <w:basedOn w:val="Normal"/>
    <w:next w:val="Normal"/>
    <w:link w:val="Heading6Char"/>
    <w:qFormat/>
    <w:rsid w:val="00D14E24"/>
    <w:pPr>
      <w:keepNext/>
      <w:keepLines/>
      <w:spacing w:before="100" w:after="100"/>
      <w:outlineLvl w:val="5"/>
    </w:pPr>
    <w:rPr>
      <w:rFonts w:asciiTheme="majorHAnsi" w:eastAsiaTheme="majorEastAsia" w:hAnsiTheme="majorHAnsi" w:cstheme="majorBidi"/>
      <w:i/>
      <w:iCs/>
      <w:color w:val="642667" w:themeColor="text2"/>
    </w:rPr>
  </w:style>
  <w:style w:type="paragraph" w:styleId="Heading7">
    <w:name w:val="heading 7"/>
    <w:basedOn w:val="Normal"/>
    <w:next w:val="Normal"/>
    <w:link w:val="Heading7Char"/>
    <w:uiPriority w:val="99"/>
    <w:qFormat/>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Normal"/>
    <w:link w:val="Heading8Char"/>
    <w:uiPriority w:val="99"/>
    <w:qFormat/>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642667" w:themeColor="text2"/>
      <w:sz w:val="40"/>
    </w:rPr>
  </w:style>
  <w:style w:type="paragraph" w:styleId="Heading9">
    <w:name w:val="heading 9"/>
    <w:aliases w:val="Appendix Heading 1"/>
    <w:basedOn w:val="Normal"/>
    <w:next w:val="Normal"/>
    <w:link w:val="Heading9Char"/>
    <w:qFormat/>
    <w:rsid w:val="000758E3"/>
    <w:pPr>
      <w:keepNext/>
      <w:keepLines/>
      <w:tabs>
        <w:tab w:val="left" w:pos="1559"/>
        <w:tab w:val="left" w:pos="1843"/>
        <w:tab w:val="left" w:pos="2126"/>
        <w:tab w:val="left" w:pos="2410"/>
      </w:tabs>
      <w:spacing w:before="100" w:after="100" w:line="280" w:lineRule="exact"/>
      <w:outlineLvl w:val="8"/>
    </w:pPr>
    <w:rPr>
      <w:b/>
      <w:color w:val="64266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61E6"/>
    <w:pPr>
      <w:spacing w:line="240" w:lineRule="auto"/>
    </w:pPr>
  </w:style>
  <w:style w:type="paragraph" w:styleId="Footer">
    <w:name w:val="footer"/>
    <w:basedOn w:val="Normal"/>
    <w:link w:val="FooterChar"/>
    <w:uiPriority w:val="99"/>
    <w:rsid w:val="00F83203"/>
    <w:pPr>
      <w:spacing w:line="200" w:lineRule="atLeast"/>
    </w:pPr>
    <w:rPr>
      <w:sz w:val="16"/>
    </w:rPr>
  </w:style>
  <w:style w:type="paragraph" w:customStyle="1" w:styleId="xDisclaimertext3">
    <w:name w:val="xDisclaimer text 3"/>
    <w:basedOn w:val="xDisclaimerText"/>
    <w:rsid w:val="009363B5"/>
    <w:pPr>
      <w:spacing w:before="60" w:after="60"/>
    </w:pPr>
  </w:style>
  <w:style w:type="character" w:styleId="PageNumber">
    <w:name w:val="page number"/>
    <w:basedOn w:val="DefaultParagraphFont"/>
    <w:uiPriority w:val="99"/>
    <w:semiHidden/>
    <w:rsid w:val="003C3BC2"/>
    <w:rPr>
      <w:rFonts w:ascii="Arial" w:hAnsi="Arial"/>
      <w:b/>
      <w:color w:val="auto"/>
      <w:sz w:val="16"/>
    </w:rPr>
  </w:style>
  <w:style w:type="paragraph" w:customStyle="1" w:styleId="FooterOdd">
    <w:name w:val="Footer Odd"/>
    <w:next w:val="Footer"/>
    <w:rsid w:val="00F83203"/>
    <w:pPr>
      <w:spacing w:line="200" w:lineRule="atLeast"/>
      <w:jc w:val="right"/>
    </w:pPr>
    <w:rPr>
      <w:spacing w:val="2"/>
      <w:sz w:val="16"/>
    </w:rPr>
  </w:style>
  <w:style w:type="table" w:styleId="TableGrid">
    <w:name w:val="Table Grid"/>
    <w:basedOn w:val="TableNormal"/>
    <w:uiPriority w:val="59"/>
    <w:rsid w:val="00BB1F66"/>
    <w:pPr>
      <w:spacing w:before="60" w:after="60" w:line="220" w:lineRule="atLeast"/>
      <w:ind w:left="113" w:right="113"/>
    </w:pPr>
    <w:rPr>
      <w:rFonts w:cs="Times New Roman"/>
      <w:sz w:val="18"/>
    </w:rPr>
    <w:tblPr>
      <w:tblStyleColBandSize w:val="1"/>
      <w:tblBorders>
        <w:top w:val="single" w:sz="8" w:space="0" w:color="642667" w:themeColor="text2"/>
        <w:bottom w:val="single" w:sz="8" w:space="0" w:color="642667" w:themeColor="text2"/>
        <w:insideH w:val="single" w:sz="8" w:space="0" w:color="642667" w:themeColor="text2"/>
      </w:tblBorders>
      <w:tblCellMar>
        <w:left w:w="0" w:type="dxa"/>
        <w:right w:w="0" w:type="dxa"/>
      </w:tblCellMar>
    </w:tblPr>
    <w:tblStylePr w:type="firstRow">
      <w:pPr>
        <w:wordWrap/>
        <w:spacing w:beforeLines="0" w:beforeAutospacing="0" w:afterLines="0" w:afterAutospacing="0" w:line="220" w:lineRule="atLeast"/>
        <w:jc w:val="left"/>
      </w:pPr>
      <w:rPr>
        <w:rFonts w:asciiTheme="minorHAnsi" w:hAnsiTheme="minorHAnsi"/>
        <w:b w:val="0"/>
        <w:color w:val="363534" w:themeColor="text1"/>
        <w:sz w:val="18"/>
      </w:rPr>
      <w:tblPr/>
      <w:tcPr>
        <w:shd w:val="clear" w:color="auto" w:fill="642667" w:themeFill="text2"/>
      </w:tcPr>
    </w:tblStylePr>
    <w:tblStylePr w:type="lastRow">
      <w:rPr>
        <w:b w:val="0"/>
      </w:rPr>
    </w:tblStylePr>
    <w:tblStylePr w:type="lastCol">
      <w:pPr>
        <w:jc w:val="left"/>
      </w:pPr>
    </w:tblStylePr>
    <w:tblStylePr w:type="band1Vert">
      <w:tblPr/>
      <w:tcPr>
        <w:shd w:val="clear" w:color="auto" w:fill="EFE9F0" w:themeFill="background2"/>
      </w:tcPr>
    </w:tblStylePr>
    <w:tblStylePr w:type="nwCell">
      <w:pPr>
        <w:jc w:val="left"/>
      </w:pPr>
      <w:tblPr/>
      <w:tcPr>
        <w:vAlign w:val="center"/>
      </w:tcPr>
    </w:tblStylePr>
  </w:style>
  <w:style w:type="paragraph" w:customStyle="1" w:styleId="FooterEven">
    <w:name w:val="Footer Even"/>
    <w:next w:val="Footer"/>
    <w:rsid w:val="00F83203"/>
    <w:pPr>
      <w:spacing w:line="200" w:lineRule="atLeast"/>
    </w:pPr>
    <w:rPr>
      <w:sz w:val="16"/>
    </w:rPr>
  </w:style>
  <w:style w:type="character" w:customStyle="1" w:styleId="FooterChar">
    <w:name w:val="Footer Char"/>
    <w:basedOn w:val="DefaultParagraphFont"/>
    <w:link w:val="Footer"/>
    <w:uiPriority w:val="99"/>
    <w:rsid w:val="00F83203"/>
    <w:rPr>
      <w:sz w:val="16"/>
    </w:rPr>
  </w:style>
  <w:style w:type="paragraph" w:customStyle="1" w:styleId="FooterOddPageNumber">
    <w:name w:val="Footer Odd Page Number"/>
    <w:basedOn w:val="FooterOdd"/>
    <w:rsid w:val="001748A0"/>
    <w:pPr>
      <w:ind w:right="28"/>
    </w:pPr>
    <w:rPr>
      <w:b/>
      <w:color w:val="00B2A9"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uiPriority w:val="13"/>
    <w:qFormat/>
    <w:rsid w:val="00B876CB"/>
    <w:pPr>
      <w:numPr>
        <w:numId w:val="4"/>
      </w:numPr>
      <w:spacing w:before="120" w:after="120"/>
    </w:pPr>
  </w:style>
  <w:style w:type="paragraph" w:styleId="ListNumber2">
    <w:name w:val="List Number 2"/>
    <w:basedOn w:val="Normal"/>
    <w:uiPriority w:val="13"/>
    <w:qFormat/>
    <w:rsid w:val="00781566"/>
    <w:pPr>
      <w:numPr>
        <w:ilvl w:val="1"/>
        <w:numId w:val="4"/>
      </w:numPr>
      <w:spacing w:before="120" w:after="120"/>
    </w:pPr>
  </w:style>
  <w:style w:type="paragraph" w:styleId="ListNumber3">
    <w:name w:val="List Number 3"/>
    <w:basedOn w:val="Normal"/>
    <w:uiPriority w:val="13"/>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link w:val="BalloonTextChar"/>
    <w:uiPriority w:val="99"/>
    <w:semiHidden/>
    <w:unhideWhenUsed/>
    <w:rsid w:val="00606818"/>
    <w:rPr>
      <w:rFonts w:ascii="Tahoma" w:hAnsi="Tahoma" w:cs="Tahoma"/>
      <w:sz w:val="16"/>
      <w:szCs w:val="16"/>
    </w:rPr>
  </w:style>
  <w:style w:type="character" w:customStyle="1" w:styleId="HeaderChar">
    <w:name w:val="Header Char"/>
    <w:basedOn w:val="DefaultParagraphFont"/>
    <w:link w:val="Header"/>
    <w:uiPriority w:val="99"/>
    <w:rsid w:val="004561E6"/>
    <w:rPr>
      <w:color w:val="auto"/>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Normal"/>
    <w:qFormat/>
    <w:rsid w:val="0024336C"/>
    <w:pPr>
      <w:keepNext/>
      <w:spacing w:after="120" w:line="240" w:lineRule="auto"/>
    </w:pPr>
    <w:rPr>
      <w:b/>
      <w:bCs/>
      <w:color w:val="642667"/>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qFormat/>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4D4063"/>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qFormat/>
    <w:rsid w:val="004D4063"/>
    <w:pPr>
      <w:numPr>
        <w:ilvl w:val="2"/>
        <w:numId w:val="8"/>
      </w:numPr>
      <w:spacing w:before="120" w:after="120"/>
    </w:pPr>
  </w:style>
  <w:style w:type="paragraph" w:styleId="Subtitle">
    <w:name w:val="Subtitle"/>
    <w:basedOn w:val="Normal"/>
    <w:next w:val="Normal"/>
    <w:link w:val="SubtitleChar"/>
    <w:uiPriority w:val="11"/>
    <w:qFormat/>
    <w:rsid w:val="001748A0"/>
    <w:pPr>
      <w:numPr>
        <w:ilvl w:val="1"/>
      </w:numPr>
      <w:spacing w:line="360" w:lineRule="exact"/>
      <w:jc w:val="right"/>
    </w:pPr>
    <w:rPr>
      <w:rFonts w:asciiTheme="majorHAnsi" w:eastAsiaTheme="majorEastAsia" w:hAnsiTheme="majorHAnsi" w:cstheme="majorBidi"/>
      <w:iCs/>
      <w:color w:val="FFFFFF"/>
      <w:sz w:val="32"/>
    </w:rPr>
  </w:style>
  <w:style w:type="character" w:customStyle="1" w:styleId="SubtitleChar">
    <w:name w:val="Subtitle Char"/>
    <w:basedOn w:val="DefaultParagraphFont"/>
    <w:link w:val="Subtitle"/>
    <w:uiPriority w:val="11"/>
    <w:rsid w:val="001748A0"/>
    <w:rPr>
      <w:rFonts w:asciiTheme="majorHAnsi" w:eastAsiaTheme="majorEastAsia" w:hAnsiTheme="majorHAnsi" w:cstheme="majorBidi"/>
      <w:iCs/>
      <w:color w:val="FFFFFF"/>
      <w:sz w:val="32"/>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Normal"/>
    <w:qFormat/>
    <w:rsid w:val="00E825EC"/>
    <w:pPr>
      <w:spacing w:before="280" w:after="240"/>
    </w:pPr>
    <w:rPr>
      <w:b/>
    </w:rPr>
  </w:style>
  <w:style w:type="paragraph" w:customStyle="1" w:styleId="xInlineShape">
    <w:name w:val="xInlineShape"/>
    <w:basedOn w:val="Normal"/>
    <w:next w:val="Normal"/>
    <w:uiPriority w:val="3"/>
    <w:semiHidden/>
    <w:rsid w:val="00236737"/>
    <w:pPr>
      <w:keepNext/>
      <w:spacing w:before="120" w:after="20" w:line="240" w:lineRule="auto"/>
    </w:pPr>
  </w:style>
  <w:style w:type="character" w:customStyle="1" w:styleId="Heading4Char">
    <w:name w:val="Heading 4 Char"/>
    <w:basedOn w:val="DefaultParagraphFont"/>
    <w:link w:val="Heading4"/>
    <w:rsid w:val="00D06608"/>
    <w:rPr>
      <w:rFonts w:asciiTheme="majorHAnsi" w:eastAsiaTheme="majorEastAsia" w:hAnsiTheme="majorHAnsi" w:cstheme="majorBidi"/>
      <w:b/>
      <w:bCs/>
      <w:i/>
      <w:iCs/>
      <w:color w:val="00B2A9" w:themeColor="accent1"/>
      <w:sz w:val="22"/>
    </w:rPr>
  </w:style>
  <w:style w:type="paragraph" w:customStyle="1" w:styleId="xDisclaimerHeading">
    <w:name w:val="xDisclaimer Heading"/>
    <w:basedOn w:val="Normal"/>
    <w:rsid w:val="0086233C"/>
    <w:pPr>
      <w:spacing w:before="170" w:after="20" w:line="170" w:lineRule="atLeast"/>
    </w:pPr>
    <w:rPr>
      <w:b/>
      <w:sz w:val="16"/>
    </w:rPr>
  </w:style>
  <w:style w:type="paragraph" w:styleId="Title">
    <w:name w:val="Title"/>
    <w:basedOn w:val="Normal"/>
    <w:next w:val="Normal"/>
    <w:link w:val="TitleChar"/>
    <w:qFormat/>
    <w:rsid w:val="002C2E8E"/>
    <w:pPr>
      <w:spacing w:after="360" w:line="600" w:lineRule="exact"/>
      <w:jc w:val="right"/>
    </w:pPr>
    <w:rPr>
      <w:rFonts w:asciiTheme="majorHAnsi" w:eastAsiaTheme="majorEastAsia" w:hAnsiTheme="majorHAnsi" w:cstheme="majorBidi"/>
      <w:b/>
      <w:color w:val="FFFFFF"/>
      <w:spacing w:val="-2"/>
      <w:sz w:val="54"/>
      <w:szCs w:val="52"/>
    </w:rPr>
  </w:style>
  <w:style w:type="character" w:customStyle="1" w:styleId="TitleChar">
    <w:name w:val="Title Char"/>
    <w:basedOn w:val="DefaultParagraphFont"/>
    <w:link w:val="Title"/>
    <w:uiPriority w:val="99"/>
    <w:rsid w:val="000758E3"/>
    <w:rPr>
      <w:rFonts w:asciiTheme="majorHAnsi" w:eastAsiaTheme="majorEastAsia" w:hAnsiTheme="majorHAnsi" w:cstheme="majorBidi"/>
      <w:b/>
      <w:color w:val="FFFFFF"/>
      <w:spacing w:val="-2"/>
      <w:sz w:val="54"/>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rsid w:val="00A72461"/>
    <w:pPr>
      <w:tabs>
        <w:tab w:val="right" w:leader="dot" w:pos="8222"/>
      </w:tabs>
      <w:spacing w:before="120" w:after="60"/>
      <w:ind w:right="851"/>
    </w:pPr>
    <w:rPr>
      <w:b/>
      <w:noProof/>
      <w:color w:val="642667" w:themeColor="text2"/>
      <w:sz w:val="22"/>
      <w:szCs w:val="22"/>
    </w:rPr>
  </w:style>
  <w:style w:type="paragraph" w:styleId="TOCHeading">
    <w:name w:val="TOC Heading"/>
    <w:basedOn w:val="Normal"/>
    <w:uiPriority w:val="39"/>
    <w:qFormat/>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642667" w:themeColor="text2"/>
      <w:sz w:val="40"/>
      <w:szCs w:val="40"/>
    </w:rPr>
  </w:style>
  <w:style w:type="paragraph" w:styleId="TOC2">
    <w:name w:val="toc 2"/>
    <w:basedOn w:val="Normal"/>
    <w:next w:val="Normal"/>
    <w:autoRedefine/>
    <w:uiPriority w:val="39"/>
    <w:rsid w:val="00872BC8"/>
    <w:pPr>
      <w:tabs>
        <w:tab w:val="right" w:leader="dot" w:pos="8222"/>
      </w:tabs>
      <w:spacing w:before="40" w:after="40" w:line="240" w:lineRule="auto"/>
      <w:ind w:left="284"/>
    </w:pPr>
    <w:rPr>
      <w:b/>
      <w:noProof/>
      <w:szCs w:val="28"/>
    </w:rPr>
  </w:style>
  <w:style w:type="paragraph" w:styleId="TOC3">
    <w:name w:val="toc 3"/>
    <w:basedOn w:val="Normal"/>
    <w:next w:val="Normal"/>
    <w:uiPriority w:val="39"/>
    <w:rsid w:val="00185580"/>
    <w:pPr>
      <w:tabs>
        <w:tab w:val="right" w:leader="dot" w:pos="8222"/>
      </w:tabs>
      <w:spacing w:before="60" w:after="60" w:line="240" w:lineRule="auto"/>
      <w:ind w:left="567"/>
    </w:pPr>
    <w:rPr>
      <w:rFonts w:eastAsiaTheme="minorEastAsia" w:cstheme="minorBidi"/>
      <w:noProof/>
      <w:color w:val="4F4E4E"/>
    </w:rPr>
  </w:style>
  <w:style w:type="paragraph" w:styleId="TOC4">
    <w:name w:val="toc 4"/>
    <w:basedOn w:val="Normal"/>
    <w:autoRedefine/>
    <w:uiPriority w:val="39"/>
    <w:rsid w:val="005F719C"/>
    <w:pPr>
      <w:tabs>
        <w:tab w:val="right" w:leader="dot" w:pos="8222"/>
      </w:tabs>
      <w:spacing w:before="40" w:after="40" w:line="240" w:lineRule="auto"/>
      <w:ind w:left="851"/>
    </w:pPr>
    <w:rPr>
      <w:noProof/>
      <w:color w:val="4F4E4E"/>
      <w:sz w:val="16"/>
      <w:szCs w:val="16"/>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rsid w:val="00096B2D"/>
    <w:pPr>
      <w:keepNext/>
      <w:tabs>
        <w:tab w:val="left" w:pos="2268"/>
      </w:tabs>
      <w:spacing w:before="240" w:after="60"/>
    </w:pPr>
    <w:rPr>
      <w:b/>
      <w:color w:val="642667" w:themeColor="text2"/>
      <w:szCs w:val="32"/>
    </w:rPr>
  </w:style>
  <w:style w:type="paragraph" w:customStyle="1" w:styleId="BodyText12ptBefore">
    <w:name w:val="Body Text 12pt Before"/>
    <w:basedOn w:val="Normal"/>
    <w:qFormat/>
    <w:rsid w:val="00923441"/>
    <w:pPr>
      <w:spacing w:before="240" w:after="120"/>
    </w:pPr>
    <w:rPr>
      <w:rFonts w:cs="Times New Roman"/>
      <w:lang w:eastAsia="en-US"/>
    </w:rPr>
  </w:style>
  <w:style w:type="character" w:customStyle="1" w:styleId="Heading7Char">
    <w:name w:val="Heading 7 Char"/>
    <w:basedOn w:val="DefaultParagraphFont"/>
    <w:link w:val="Heading7"/>
    <w:uiPriority w:val="99"/>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rsid w:val="000758E3"/>
    <w:rPr>
      <w:b/>
      <w:color w:val="642667" w:themeColor="text2"/>
      <w:sz w:val="24"/>
    </w:rPr>
  </w:style>
  <w:style w:type="paragraph" w:customStyle="1" w:styleId="AppendixHeading3">
    <w:name w:val="Appendix Heading 3"/>
    <w:basedOn w:val="Normal"/>
    <w:next w:val="Normal"/>
    <w:uiPriority w:val="2"/>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rsid w:val="001B3094"/>
    <w:pPr>
      <w:tabs>
        <w:tab w:val="right" w:pos="8222"/>
      </w:tabs>
      <w:spacing w:before="40" w:after="40" w:line="240" w:lineRule="auto"/>
    </w:pPr>
    <w:rPr>
      <w:noProof/>
    </w:rPr>
  </w:style>
  <w:style w:type="paragraph" w:styleId="TOC6">
    <w:name w:val="toc 6"/>
    <w:basedOn w:val="Normal"/>
    <w:next w:val="Normal"/>
    <w:autoRedefine/>
    <w:uiPriority w:val="39"/>
    <w:rsid w:val="00DE27B9"/>
    <w:pPr>
      <w:spacing w:after="100"/>
      <w:ind w:left="1000"/>
    </w:pPr>
  </w:style>
  <w:style w:type="paragraph" w:styleId="TOC7">
    <w:name w:val="toc 7"/>
    <w:basedOn w:val="Normal"/>
    <w:next w:val="Normal"/>
    <w:autoRedefine/>
    <w:uiPriority w:val="39"/>
    <w:rsid w:val="00DE27B9"/>
    <w:pPr>
      <w:spacing w:after="100"/>
      <w:ind w:left="1200"/>
    </w:pPr>
  </w:style>
  <w:style w:type="paragraph" w:styleId="TOC8">
    <w:name w:val="toc 8"/>
    <w:basedOn w:val="Normal"/>
    <w:next w:val="Normal"/>
    <w:autoRedefine/>
    <w:uiPriority w:val="39"/>
    <w:rsid w:val="00173F6E"/>
    <w:pPr>
      <w:tabs>
        <w:tab w:val="right" w:leader="dot" w:pos="9582"/>
      </w:tabs>
      <w:spacing w:before="120" w:after="60"/>
      <w:ind w:right="851"/>
    </w:pPr>
    <w:rPr>
      <w:b/>
      <w:color w:val="642667"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rPr>
  </w:style>
  <w:style w:type="paragraph" w:customStyle="1" w:styleId="AppendixHeading2">
    <w:name w:val="Appendix Heading 2"/>
    <w:basedOn w:val="Normal"/>
    <w:next w:val="Normal"/>
    <w:uiPriority w:val="2"/>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99"/>
    <w:rsid w:val="000758E3"/>
    <w:rPr>
      <w:rFonts w:asciiTheme="majorHAnsi" w:eastAsiaTheme="majorEastAsia" w:hAnsiTheme="majorHAnsi" w:cstheme="majorBidi"/>
      <w:b/>
      <w:color w:val="642667" w:themeColor="text2"/>
      <w:sz w:val="40"/>
    </w:rPr>
  </w:style>
  <w:style w:type="paragraph" w:styleId="Quote">
    <w:name w:val="Quote"/>
    <w:basedOn w:val="Normal"/>
    <w:link w:val="QuoteChar"/>
    <w:uiPriority w:val="29"/>
    <w:qFormat/>
    <w:rsid w:val="004D4063"/>
    <w:pPr>
      <w:tabs>
        <w:tab w:val="left" w:pos="1134"/>
      </w:tabs>
      <w:spacing w:before="120" w:after="120"/>
      <w:ind w:left="284"/>
    </w:pPr>
    <w:rPr>
      <w:i/>
      <w:iCs/>
    </w:rPr>
  </w:style>
  <w:style w:type="character" w:customStyle="1" w:styleId="QuoteChar">
    <w:name w:val="Quote Char"/>
    <w:basedOn w:val="DefaultParagraphFont"/>
    <w:link w:val="Quote"/>
    <w:uiPriority w:val="29"/>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rsid w:val="006D10E8"/>
    <w:rPr>
      <w:rFonts w:asciiTheme="majorHAnsi" w:eastAsiaTheme="majorEastAsia" w:hAnsiTheme="majorHAnsi" w:cstheme="majorBidi"/>
      <w:i/>
      <w:iCs/>
      <w:color w:val="642667" w:themeColor="text2"/>
    </w:rPr>
  </w:style>
  <w:style w:type="character" w:customStyle="1" w:styleId="Heading5Char">
    <w:name w:val="Heading 5 Char"/>
    <w:basedOn w:val="DefaultParagraphFont"/>
    <w:link w:val="Heading5"/>
    <w:rsid w:val="00C94110"/>
    <w:rPr>
      <w:rFonts w:asciiTheme="majorHAnsi" w:eastAsiaTheme="majorEastAsia" w:hAnsiTheme="majorHAnsi" w:cstheme="majorBidi"/>
      <w:i/>
      <w:color w:val="494847"/>
      <w:u w:val="single"/>
    </w:rPr>
  </w:style>
  <w:style w:type="paragraph" w:styleId="BlockText">
    <w:name w:val="Block Text"/>
    <w:basedOn w:val="Normal"/>
    <w:uiPriority w:val="99"/>
    <w:unhideWhenUsed/>
    <w:qFormat/>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642667" w:themeColor="text2"/>
    </w:rPr>
  </w:style>
  <w:style w:type="paragraph" w:styleId="IntenseQuote">
    <w:name w:val="Intense Quote"/>
    <w:basedOn w:val="Normal"/>
    <w:next w:val="Normal"/>
    <w:link w:val="IntenseQuoteChar"/>
    <w:semiHidden/>
    <w:rsid w:val="00315585"/>
    <w:pPr>
      <w:pBdr>
        <w:bottom w:val="single" w:sz="4" w:space="4" w:color="00B2A9" w:themeColor="accent1"/>
      </w:pBdr>
      <w:spacing w:before="200" w:after="280"/>
      <w:ind w:left="936" w:right="936"/>
    </w:pPr>
    <w:rPr>
      <w:b/>
      <w:bCs/>
      <w:i/>
      <w:iCs/>
      <w:color w:val="EFE9F0"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EFE9F0"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Normal"/>
    <w:rsid w:val="008E61C7"/>
    <w:pPr>
      <w:spacing w:before="80" w:after="0" w:line="240" w:lineRule="auto"/>
    </w:pPr>
    <w:rPr>
      <w:sz w:val="16"/>
    </w:rPr>
  </w:style>
  <w:style w:type="paragraph" w:customStyle="1" w:styleId="xDisclaimerText">
    <w:name w:val="xDisclaimer Text"/>
    <w:basedOn w:val="xContactDetails"/>
    <w:rsid w:val="009363B5"/>
    <w:pPr>
      <w:spacing w:before="0" w:after="0" w:line="175" w:lineRule="atLeast"/>
      <w:ind w:left="0" w:right="0"/>
      <w:contextualSpacing w:val="0"/>
    </w:pPr>
  </w:style>
  <w:style w:type="paragraph" w:customStyle="1" w:styleId="IntroFeatureText">
    <w:name w:val="Intro/Feature Text"/>
    <w:basedOn w:val="Normal"/>
    <w:next w:val="Normal"/>
    <w:qFormat/>
    <w:rsid w:val="00F124C4"/>
    <w:pPr>
      <w:spacing w:before="60" w:after="180" w:line="360" w:lineRule="exact"/>
    </w:pPr>
    <w:rPr>
      <w:color w:val="642667" w:themeColor="text2"/>
      <w:spacing w:val="-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Normal"/>
    <w:rsid w:val="00923441"/>
    <w:pPr>
      <w:spacing w:before="60" w:after="60" w:line="240" w:lineRule="auto"/>
      <w:ind w:right="227"/>
    </w:pPr>
    <w:rPr>
      <w:rFonts w:cs="Times New Roman"/>
      <w:i/>
      <w:sz w:val="18"/>
      <w:szCs w:val="14"/>
      <w:lang w:eastAsia="en-US"/>
    </w:rPr>
  </w:style>
  <w:style w:type="table" w:customStyle="1" w:styleId="PullOutBoxTable">
    <w:name w:val="Pull Out Box Table"/>
    <w:basedOn w:val="TableNormal"/>
    <w:uiPriority w:val="99"/>
    <w:rsid w:val="00443176"/>
    <w:pPr>
      <w:spacing w:line="240" w:lineRule="auto"/>
    </w:pPr>
    <w:tblPr>
      <w:tblBorders>
        <w:top w:val="single" w:sz="4" w:space="0" w:color="642667" w:themeColor="text2"/>
        <w:left w:val="single" w:sz="4" w:space="0" w:color="642667" w:themeColor="text2"/>
        <w:bottom w:val="single" w:sz="4" w:space="0" w:color="642667" w:themeColor="text2"/>
        <w:right w:val="single" w:sz="4" w:space="0" w:color="642667" w:themeColor="text2"/>
      </w:tblBorders>
      <w:tblCellMar>
        <w:top w:w="85" w:type="dxa"/>
        <w:left w:w="0" w:type="dxa"/>
        <w:bottom w:w="85" w:type="dxa"/>
        <w:right w:w="0" w:type="dxa"/>
      </w:tblCellMar>
    </w:tblPr>
    <w:tcPr>
      <w:shd w:val="clear" w:color="auto" w:fill="auto"/>
    </w:tcPr>
  </w:style>
  <w:style w:type="paragraph" w:styleId="NoSpacing">
    <w:name w:val="No Spacing"/>
    <w:next w:val="Normal"/>
    <w:uiPriority w:val="1"/>
    <w:qForma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rsid w:val="00732B4D"/>
    <w:rPr>
      <w:sz w:val="16"/>
      <w:szCs w:val="16"/>
    </w:rPr>
  </w:style>
  <w:style w:type="paragraph" w:styleId="CommentText">
    <w:name w:val="annotation text"/>
    <w:basedOn w:val="Normal"/>
    <w:link w:val="CommentTextChar"/>
    <w:rsid w:val="00732B4D"/>
    <w:pPr>
      <w:spacing w:line="240" w:lineRule="auto"/>
    </w:pPr>
  </w:style>
  <w:style w:type="character" w:customStyle="1" w:styleId="CommentTextChar">
    <w:name w:val="Comment Text Char"/>
    <w:basedOn w:val="DefaultParagraphFont"/>
    <w:link w:val="CommentText"/>
    <w:rsid w:val="000758E3"/>
  </w:style>
  <w:style w:type="paragraph" w:styleId="CommentSubject">
    <w:name w:val="annotation subject"/>
    <w:basedOn w:val="CommentText"/>
    <w:next w:val="CommentText"/>
    <w:link w:val="CommentSubjectChar"/>
    <w:uiPriority w:val="99"/>
    <w:semiHidden/>
    <w:rsid w:val="00732B4D"/>
    <w:rPr>
      <w:b/>
      <w:bCs/>
    </w:rPr>
  </w:style>
  <w:style w:type="character" w:customStyle="1" w:styleId="CommentSubjectChar">
    <w:name w:val="Comment Subject Char"/>
    <w:basedOn w:val="CommentTextChar"/>
    <w:link w:val="CommentSubject"/>
    <w:uiPriority w:val="99"/>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642667"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rsid w:val="009363B5"/>
    <w:pPr>
      <w:spacing w:before="180" w:after="170"/>
    </w:pPr>
  </w:style>
  <w:style w:type="paragraph" w:customStyle="1" w:styleId="Heading1TopofPage">
    <w:name w:val="Heading 1 Top of Page"/>
    <w:basedOn w:val="Heading1"/>
    <w:next w:val="Normal"/>
    <w:qFormat/>
    <w:rsid w:val="004E2566"/>
    <w:pPr>
      <w:pageBreakBefore/>
      <w:framePr w:w="11907" w:h="1701" w:hSpace="11340" w:wrap="around" w:vAnchor="page" w:hAnchor="page" w:yAlign="top"/>
      <w:spacing w:before="1300"/>
      <w:ind w:right="1134"/>
    </w:pPr>
  </w:style>
  <w:style w:type="paragraph" w:customStyle="1" w:styleId="SectionHeading">
    <w:name w:val="Section Heading"/>
    <w:basedOn w:val="Normal"/>
    <w:next w:val="Normal"/>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642667"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rPr>
  </w:style>
  <w:style w:type="character" w:styleId="FollowedHyperlink">
    <w:name w:val="FollowedHyperlink"/>
    <w:basedOn w:val="DefaultParagraphFont"/>
    <w:rsid w:val="00502E1D"/>
    <w:rPr>
      <w:color w:val="800080" w:themeColor="followedHyperlink"/>
      <w:u w:val="single"/>
    </w:rPr>
  </w:style>
  <w:style w:type="paragraph" w:customStyle="1" w:styleId="TitleBarText">
    <w:name w:val="Title Bar Text"/>
    <w:basedOn w:val="Normal"/>
    <w:uiPriority w:val="99"/>
    <w:qFormat/>
    <w:rsid w:val="001748A0"/>
    <w:pPr>
      <w:spacing w:line="360" w:lineRule="exact"/>
      <w:jc w:val="right"/>
    </w:pPr>
    <w:rPr>
      <w:rFonts w:ascii="Arial Narrow" w:hAnsi="Arial Narrow"/>
      <w:color w:val="FFFFFF"/>
      <w:spacing w:val="-2"/>
      <w:sz w:val="28"/>
      <w:szCs w:val="28"/>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443176"/>
    <w:pPr>
      <w:spacing w:line="240" w:lineRule="auto"/>
    </w:pPr>
    <w:rPr>
      <w:color w:val="FFFFFF"/>
    </w:rPr>
    <w:tblPr>
      <w:tblCellMar>
        <w:top w:w="227" w:type="dxa"/>
        <w:left w:w="0" w:type="dxa"/>
        <w:bottom w:w="227" w:type="dxa"/>
        <w:right w:w="0" w:type="dxa"/>
      </w:tblCellMar>
    </w:tblPr>
    <w:tcPr>
      <w:shd w:val="clear" w:color="auto" w:fill="642667" w:themeFill="text2"/>
    </w:tcPr>
  </w:style>
  <w:style w:type="paragraph" w:customStyle="1" w:styleId="BodyText100ThemeColour">
    <w:name w:val="Body Text 100% Theme Colour"/>
    <w:basedOn w:val="Normal"/>
    <w:qFormat/>
    <w:rsid w:val="00923441"/>
    <w:pPr>
      <w:spacing w:before="60" w:after="120"/>
    </w:pPr>
    <w:rPr>
      <w:rFonts w:cs="Times New Roman"/>
      <w:color w:val="642667" w:themeColor="text2"/>
      <w:lang w:eastAsia="en-US"/>
    </w:rPr>
  </w:style>
  <w:style w:type="paragraph" w:customStyle="1" w:styleId="CaptionImageorFigure">
    <w:name w:val="Caption Image or Figure"/>
    <w:basedOn w:val="Caption"/>
    <w:qFormat/>
    <w:rsid w:val="00F041AE"/>
    <w:pPr>
      <w:spacing w:before="60"/>
    </w:pPr>
  </w:style>
  <w:style w:type="paragraph" w:customStyle="1" w:styleId="PhotoCredit">
    <w:name w:val="Photo Credit"/>
    <w:basedOn w:val="CaptionDescriptive"/>
    <w:next w:val="Normal"/>
    <w:qFormat/>
    <w:rsid w:val="00BC0FB0"/>
    <w:rPr>
      <w:i w:val="0"/>
      <w:sz w:val="16"/>
    </w:rPr>
  </w:style>
  <w:style w:type="paragraph" w:customStyle="1" w:styleId="ListAlpha">
    <w:name w:val="List Alpha"/>
    <w:basedOn w:val="Normal"/>
    <w:qFormat/>
    <w:rsid w:val="00893106"/>
    <w:pPr>
      <w:numPr>
        <w:numId w:val="12"/>
      </w:numPr>
      <w:spacing w:before="120" w:after="120"/>
    </w:pPr>
  </w:style>
  <w:style w:type="paragraph" w:customStyle="1" w:styleId="ListAlpha2">
    <w:name w:val="List Alpha 2"/>
    <w:basedOn w:val="Normal"/>
    <w:qFormat/>
    <w:rsid w:val="00893106"/>
    <w:pPr>
      <w:numPr>
        <w:ilvl w:val="1"/>
        <w:numId w:val="12"/>
      </w:numPr>
      <w:spacing w:before="120" w:after="120"/>
    </w:pPr>
  </w:style>
  <w:style w:type="paragraph" w:customStyle="1" w:styleId="ListAlpha3">
    <w:name w:val="List Alpha 3"/>
    <w:basedOn w:val="Normal"/>
    <w:qFormat/>
    <w:rsid w:val="00893106"/>
    <w:pPr>
      <w:numPr>
        <w:ilvl w:val="2"/>
        <w:numId w:val="12"/>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4"/>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D14E24"/>
    <w:pPr>
      <w:spacing w:before="40" w:after="40" w:line="220" w:lineRule="atLeast"/>
      <w:ind w:right="3119"/>
    </w:pPr>
    <w:rPr>
      <w:sz w:val="18"/>
    </w:rPr>
  </w:style>
  <w:style w:type="paragraph" w:customStyle="1" w:styleId="SmallBullet">
    <w:name w:val="Small Bullet"/>
    <w:basedOn w:val="SmallBodyText"/>
    <w:qFormat/>
    <w:rsid w:val="00D14E24"/>
    <w:pPr>
      <w:numPr>
        <w:numId w:val="13"/>
      </w:numPr>
    </w:pPr>
  </w:style>
  <w:style w:type="paragraph" w:customStyle="1" w:styleId="SmallHeading">
    <w:name w:val="Small Heading"/>
    <w:basedOn w:val="xDisclaimerHeading"/>
    <w:next w:val="SmallBodyText"/>
    <w:qFormat/>
    <w:rsid w:val="00D14E24"/>
    <w:pPr>
      <w:spacing w:after="40" w:line="220" w:lineRule="atLeast"/>
      <w:ind w:right="3119"/>
    </w:pPr>
    <w:rPr>
      <w:sz w:val="18"/>
    </w:rPr>
  </w:style>
  <w:style w:type="paragraph" w:customStyle="1" w:styleId="xWeb">
    <w:name w:val="xWeb"/>
    <w:basedOn w:val="Normal"/>
    <w:semiHidden/>
    <w:qFormat/>
    <w:rsid w:val="009363B5"/>
    <w:pPr>
      <w:spacing w:line="240" w:lineRule="auto"/>
    </w:pPr>
    <w:rPr>
      <w:color w:val="636366"/>
      <w:spacing w:val="-4"/>
      <w:sz w:val="36"/>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86451D"/>
    <w:pPr>
      <w:spacing w:line="300" w:lineRule="exact"/>
    </w:pPr>
  </w:style>
  <w:style w:type="paragraph" w:customStyle="1" w:styleId="xAccessibilityHeading">
    <w:name w:val="xAccessibility Heading"/>
    <w:basedOn w:val="Normal"/>
    <w:semiHidden/>
    <w:qFormat/>
    <w:rsid w:val="0086451D"/>
    <w:pPr>
      <w:spacing w:before="170" w:after="20" w:line="300" w:lineRule="exact"/>
    </w:pPr>
    <w:rPr>
      <w:b/>
    </w:rPr>
  </w:style>
  <w:style w:type="paragraph" w:customStyle="1" w:styleId="FooterEvenPageNumber">
    <w:name w:val="Footer Even Page Number"/>
    <w:basedOn w:val="FooterEven"/>
    <w:rsid w:val="001748A0"/>
    <w:pPr>
      <w:framePr w:wrap="around" w:vAnchor="page" w:hAnchor="margin" w:yAlign="bottom"/>
    </w:pPr>
    <w:rPr>
      <w:b/>
      <w:color w:val="00B2A9" w:themeColor="accent1"/>
    </w:rPr>
  </w:style>
  <w:style w:type="character" w:customStyle="1" w:styleId="Heading2Char">
    <w:name w:val="Heading 2 Char"/>
    <w:basedOn w:val="DefaultParagraphFont"/>
    <w:link w:val="Heading2"/>
    <w:rsid w:val="00C14778"/>
    <w:rPr>
      <w:b/>
      <w:bCs/>
      <w:i/>
      <w:iCs/>
      <w:color w:val="00B2A9" w:themeColor="accent1"/>
      <w:kern w:val="20"/>
      <w:sz w:val="32"/>
      <w:szCs w:val="28"/>
    </w:rPr>
  </w:style>
  <w:style w:type="character" w:customStyle="1" w:styleId="Heading1Char">
    <w:name w:val="Heading 1 Char"/>
    <w:basedOn w:val="DefaultParagraphFont"/>
    <w:link w:val="Heading1"/>
    <w:uiPriority w:val="9"/>
    <w:rsid w:val="003448D2"/>
    <w:rPr>
      <w:b/>
      <w:bCs/>
      <w:color w:val="201547" w:themeColor="accent3"/>
      <w:kern w:val="32"/>
      <w:sz w:val="40"/>
      <w:szCs w:val="32"/>
    </w:rPr>
  </w:style>
  <w:style w:type="character" w:customStyle="1" w:styleId="Heading3Char">
    <w:name w:val="Heading 3 Char"/>
    <w:basedOn w:val="DefaultParagraphFont"/>
    <w:link w:val="Heading3"/>
    <w:uiPriority w:val="9"/>
    <w:rsid w:val="00C14778"/>
    <w:rPr>
      <w:b/>
      <w:i/>
      <w:color w:val="00B2A9" w:themeColor="accent1"/>
      <w:sz w:val="28"/>
    </w:rPr>
  </w:style>
  <w:style w:type="character" w:customStyle="1" w:styleId="HiddenText">
    <w:name w:val="Hidden Text"/>
    <w:basedOn w:val="DefaultParagraphFont"/>
    <w:uiPriority w:val="1"/>
    <w:qFormat/>
    <w:rsid w:val="00321955"/>
    <w:rPr>
      <w:color w:val="FF0000"/>
      <w:sz w:val="20"/>
      <w:u w:val="dotted"/>
    </w:rPr>
  </w:style>
  <w:style w:type="paragraph" w:customStyle="1" w:styleId="TOCtitle">
    <w:name w:val="TOC title"/>
    <w:basedOn w:val="Heading2"/>
    <w:next w:val="PwCNormal"/>
    <w:unhideWhenUsed/>
    <w:rsid w:val="004F7D03"/>
    <w:pPr>
      <w:pageBreakBefore/>
      <w:numPr>
        <w:ilvl w:val="0"/>
        <w:numId w:val="0"/>
      </w:numPr>
      <w:kinsoku w:val="0"/>
      <w:overflowPunct w:val="0"/>
      <w:autoSpaceDE w:val="0"/>
      <w:autoSpaceDN w:val="0"/>
      <w:adjustRightInd w:val="0"/>
      <w:snapToGrid w:val="0"/>
      <w:spacing w:after="600" w:line="600" w:lineRule="atLeast"/>
    </w:pPr>
    <w:rPr>
      <w:rFonts w:asciiTheme="majorHAnsi" w:hAnsiTheme="majorHAnsi"/>
      <w:snapToGrid w:val="0"/>
      <w:color w:val="auto"/>
      <w:kern w:val="0"/>
      <w:sz w:val="56"/>
      <w:szCs w:val="36"/>
      <w:lang w:eastAsia="en-US"/>
    </w:rPr>
  </w:style>
  <w:style w:type="paragraph" w:customStyle="1" w:styleId="Covertitle">
    <w:name w:val="Cover title"/>
    <w:basedOn w:val="KeySentenceInside"/>
    <w:next w:val="Coversubtitle"/>
    <w:rsid w:val="004F7D03"/>
    <w:pPr>
      <w:framePr w:w="2154" w:wrap="notBeside" w:vAnchor="page" w:hAnchor="page" w:x="928" w:y="8427"/>
      <w:spacing w:before="200"/>
      <w:ind w:left="113"/>
    </w:pPr>
    <w:rPr>
      <w:rFonts w:asciiTheme="majorHAnsi" w:hAnsiTheme="majorHAnsi"/>
      <w:color w:val="auto"/>
      <w:sz w:val="19"/>
      <w:lang w:val="en-GB"/>
    </w:rPr>
  </w:style>
  <w:style w:type="paragraph" w:customStyle="1" w:styleId="Coversubtitle">
    <w:name w:val="Cover subtitle"/>
    <w:basedOn w:val="Covertitle"/>
    <w:rsid w:val="004F7D03"/>
    <w:pPr>
      <w:framePr w:wrap="notBeside"/>
      <w:spacing w:before="180"/>
    </w:pPr>
    <w:rPr>
      <w:bCs/>
      <w:szCs w:val="64"/>
    </w:rPr>
  </w:style>
  <w:style w:type="paragraph" w:customStyle="1" w:styleId="AppendixNumberLong">
    <w:name w:val="Appendix Number (Long)"/>
    <w:basedOn w:val="Heading3"/>
    <w:next w:val="Heading3"/>
    <w:uiPriority w:val="99"/>
    <w:rsid w:val="004F7D03"/>
    <w:pPr>
      <w:pageBreakBefore/>
      <w:numPr>
        <w:ilvl w:val="0"/>
        <w:numId w:val="0"/>
      </w:numPr>
      <w:tabs>
        <w:tab w:val="num" w:pos="0"/>
      </w:tabs>
      <w:kinsoku w:val="0"/>
      <w:overflowPunct w:val="0"/>
      <w:autoSpaceDE w:val="0"/>
      <w:autoSpaceDN w:val="0"/>
      <w:adjustRightInd w:val="0"/>
      <w:snapToGrid w:val="0"/>
      <w:spacing w:after="0" w:line="720" w:lineRule="atLeast"/>
    </w:pPr>
    <w:rPr>
      <w:rFonts w:asciiTheme="majorHAnsi" w:hAnsiTheme="majorHAnsi"/>
      <w:snapToGrid w:val="0"/>
      <w:color w:val="363534" w:themeColor="text1"/>
      <w:sz w:val="56"/>
      <w:szCs w:val="72"/>
      <w:lang w:eastAsia="en-US"/>
    </w:rPr>
  </w:style>
  <w:style w:type="paragraph" w:customStyle="1" w:styleId="ChapterNumberLong">
    <w:name w:val="Chapter Number (Long)"/>
    <w:basedOn w:val="Heading1"/>
    <w:next w:val="Heading1"/>
    <w:uiPriority w:val="99"/>
    <w:rsid w:val="004F7D03"/>
    <w:pPr>
      <w:keepNext w:val="0"/>
      <w:keepLines w:val="0"/>
      <w:pageBreakBefore/>
      <w:numPr>
        <w:numId w:val="0"/>
      </w:numPr>
      <w:tabs>
        <w:tab w:val="num" w:pos="0"/>
      </w:tabs>
      <w:kinsoku w:val="0"/>
      <w:overflowPunct w:val="0"/>
      <w:autoSpaceDE w:val="0"/>
      <w:autoSpaceDN w:val="0"/>
      <w:adjustRightInd w:val="0"/>
      <w:snapToGrid w:val="0"/>
      <w:spacing w:after="0" w:line="720" w:lineRule="atLeast"/>
    </w:pPr>
    <w:rPr>
      <w:rFonts w:asciiTheme="majorHAnsi" w:hAnsiTheme="majorHAnsi"/>
      <w:i/>
      <w:snapToGrid w:val="0"/>
      <w:color w:val="auto"/>
      <w:kern w:val="0"/>
      <w:sz w:val="56"/>
      <w:szCs w:val="72"/>
      <w:lang w:eastAsia="en-US"/>
    </w:rPr>
  </w:style>
  <w:style w:type="paragraph" w:customStyle="1" w:styleId="Footer-Even">
    <w:name w:val="Footer - Even"/>
    <w:basedOn w:val="Footer"/>
    <w:rsid w:val="004F7D03"/>
    <w:pPr>
      <w:tabs>
        <w:tab w:val="right" w:pos="8220"/>
      </w:tabs>
      <w:kinsoku w:val="0"/>
      <w:overflowPunct w:val="0"/>
      <w:autoSpaceDE w:val="0"/>
      <w:autoSpaceDN w:val="0"/>
      <w:adjustRightInd w:val="0"/>
      <w:snapToGrid w:val="0"/>
      <w:spacing w:line="0" w:lineRule="atLeast"/>
    </w:pPr>
    <w:rPr>
      <w:rFonts w:ascii="Arial" w:hAnsi="Arial"/>
      <w:snapToGrid w:val="0"/>
      <w:sz w:val="19"/>
      <w:szCs w:val="18"/>
      <w:lang w:eastAsia="en-US"/>
    </w:rPr>
  </w:style>
  <w:style w:type="paragraph" w:customStyle="1" w:styleId="URL">
    <w:name w:val="URL"/>
    <w:basedOn w:val="PwCNormal"/>
    <w:next w:val="PwCNormal"/>
    <w:rsid w:val="004F7D03"/>
    <w:pPr>
      <w:framePr w:wrap="around" w:vAnchor="page" w:hAnchor="page" w:x="1022" w:y="568"/>
      <w:spacing w:after="0"/>
    </w:pPr>
    <w:rPr>
      <w:rFonts w:eastAsia="+mn-ea"/>
      <w:snapToGrid/>
      <w:color w:val="FFFFFF"/>
      <w:sz w:val="36"/>
    </w:rPr>
  </w:style>
  <w:style w:type="paragraph" w:customStyle="1" w:styleId="Indent1">
    <w:name w:val="Indent 1"/>
    <w:basedOn w:val="Normal"/>
    <w:rsid w:val="004F7D03"/>
    <w:pPr>
      <w:numPr>
        <w:ilvl w:val="1"/>
        <w:numId w:val="37"/>
      </w:numPr>
      <w:kinsoku w:val="0"/>
      <w:overflowPunct w:val="0"/>
      <w:autoSpaceDE w:val="0"/>
      <w:autoSpaceDN w:val="0"/>
      <w:adjustRightInd w:val="0"/>
      <w:snapToGrid w:val="0"/>
      <w:spacing w:before="100" w:after="100" w:line="240" w:lineRule="auto"/>
    </w:pPr>
    <w:rPr>
      <w:rFonts w:ascii="Georgia" w:hAnsi="Georgia" w:cs="Times New Roman"/>
      <w:snapToGrid w:val="0"/>
      <w:lang w:eastAsia="en-US"/>
    </w:rPr>
  </w:style>
  <w:style w:type="paragraph" w:customStyle="1" w:styleId="Indent2">
    <w:name w:val="Indent 2"/>
    <w:basedOn w:val="Indent1"/>
    <w:rsid w:val="004F7D03"/>
    <w:pPr>
      <w:numPr>
        <w:ilvl w:val="2"/>
      </w:numPr>
    </w:pPr>
  </w:style>
  <w:style w:type="paragraph" w:customStyle="1" w:styleId="Indent3">
    <w:name w:val="Indent 3"/>
    <w:basedOn w:val="Indent2"/>
    <w:rsid w:val="004F7D03"/>
    <w:pPr>
      <w:numPr>
        <w:ilvl w:val="3"/>
      </w:numPr>
    </w:pPr>
  </w:style>
  <w:style w:type="paragraph" w:customStyle="1" w:styleId="Indent5">
    <w:name w:val="Indent 5"/>
    <w:basedOn w:val="Indent4"/>
    <w:rsid w:val="004F7D03"/>
    <w:pPr>
      <w:numPr>
        <w:ilvl w:val="5"/>
      </w:numPr>
    </w:pPr>
  </w:style>
  <w:style w:type="paragraph" w:customStyle="1" w:styleId="Indent6">
    <w:name w:val="Indent 6"/>
    <w:basedOn w:val="Indent5"/>
    <w:rsid w:val="004F7D03"/>
    <w:pPr>
      <w:numPr>
        <w:ilvl w:val="6"/>
      </w:numPr>
    </w:pPr>
  </w:style>
  <w:style w:type="paragraph" w:customStyle="1" w:styleId="Indent7">
    <w:name w:val="Indent 7"/>
    <w:basedOn w:val="Indent6"/>
    <w:rsid w:val="004F7D03"/>
    <w:pPr>
      <w:numPr>
        <w:ilvl w:val="7"/>
      </w:numPr>
    </w:pPr>
  </w:style>
  <w:style w:type="numbering" w:customStyle="1" w:styleId="Indents">
    <w:name w:val="Indents"/>
    <w:rsid w:val="004F7D03"/>
    <w:pPr>
      <w:numPr>
        <w:numId w:val="16"/>
      </w:numPr>
    </w:pPr>
  </w:style>
  <w:style w:type="paragraph" w:customStyle="1" w:styleId="Copyright">
    <w:name w:val="Copyright"/>
    <w:basedOn w:val="Normal"/>
    <w:rsid w:val="004F7D03"/>
    <w:pPr>
      <w:framePr w:w="7938" w:wrap="around" w:vAnchor="page" w:hAnchor="page" w:x="1022" w:y="15196"/>
      <w:kinsoku w:val="0"/>
      <w:overflowPunct w:val="0"/>
      <w:autoSpaceDE w:val="0"/>
      <w:autoSpaceDN w:val="0"/>
      <w:adjustRightInd w:val="0"/>
      <w:snapToGrid w:val="0"/>
      <w:spacing w:before="150" w:after="150" w:line="150" w:lineRule="atLeast"/>
      <w:ind w:right="816"/>
    </w:pPr>
    <w:rPr>
      <w:rFonts w:ascii="Arial" w:hAnsi="Arial"/>
      <w:snapToGrid w:val="0"/>
      <w:color w:val="FFFFFF"/>
      <w:sz w:val="16"/>
      <w:lang w:val="en-US" w:eastAsia="en-US"/>
    </w:rPr>
  </w:style>
  <w:style w:type="paragraph" w:customStyle="1" w:styleId="Header-Even">
    <w:name w:val="Header - Even"/>
    <w:basedOn w:val="Header"/>
    <w:rsid w:val="004F7D03"/>
    <w:pPr>
      <w:tabs>
        <w:tab w:val="right" w:pos="8220"/>
      </w:tabs>
      <w:kinsoku w:val="0"/>
      <w:overflowPunct w:val="0"/>
      <w:autoSpaceDE w:val="0"/>
      <w:autoSpaceDN w:val="0"/>
      <w:adjustRightInd w:val="0"/>
      <w:snapToGrid w:val="0"/>
    </w:pPr>
    <w:rPr>
      <w:rFonts w:ascii="Arial" w:hAnsi="Arial"/>
      <w:snapToGrid w:val="0"/>
      <w:sz w:val="19"/>
      <w:szCs w:val="18"/>
      <w:lang w:eastAsia="en-US"/>
    </w:rPr>
  </w:style>
  <w:style w:type="paragraph" w:customStyle="1" w:styleId="PleaseNote">
    <w:name w:val="Please Note"/>
    <w:basedOn w:val="PrefaceTitle"/>
    <w:next w:val="PwCNormal"/>
    <w:rsid w:val="004F7D03"/>
    <w:rPr>
      <w:iCs w:val="0"/>
    </w:rPr>
  </w:style>
  <w:style w:type="paragraph" w:customStyle="1" w:styleId="Indent4">
    <w:name w:val="Indent 4"/>
    <w:basedOn w:val="Indent3"/>
    <w:rsid w:val="004F7D03"/>
    <w:pPr>
      <w:numPr>
        <w:ilvl w:val="4"/>
      </w:numPr>
    </w:pPr>
  </w:style>
  <w:style w:type="paragraph" w:customStyle="1" w:styleId="KeySentenceInside">
    <w:name w:val="Key Sentence Inside"/>
    <w:basedOn w:val="KeySentence"/>
    <w:rsid w:val="004F7D03"/>
    <w:pPr>
      <w:framePr w:w="2296" w:wrap="notBeside" w:vAnchor="text" w:hAnchor="margin" w:x="-2521" w:y="1" w:anchorLock="1"/>
    </w:pPr>
  </w:style>
  <w:style w:type="paragraph" w:customStyle="1" w:styleId="ChapterNumberedList1">
    <w:name w:val="Chapter Numbered List 1"/>
    <w:basedOn w:val="PwCNormal"/>
    <w:uiPriority w:val="99"/>
    <w:rsid w:val="004F7D03"/>
    <w:pPr>
      <w:numPr>
        <w:numId w:val="0"/>
      </w:numPr>
      <w:ind w:left="3632" w:hanging="454"/>
    </w:pPr>
  </w:style>
  <w:style w:type="paragraph" w:customStyle="1" w:styleId="ChapterNumberedList2">
    <w:name w:val="Chapter Numbered List 2"/>
    <w:basedOn w:val="ChapterNumberedList1"/>
    <w:uiPriority w:val="99"/>
    <w:rsid w:val="004F7D03"/>
    <w:pPr>
      <w:ind w:left="4086"/>
    </w:pPr>
  </w:style>
  <w:style w:type="paragraph" w:customStyle="1" w:styleId="PwCNormal">
    <w:name w:val="PwC Normal"/>
    <w:basedOn w:val="Normal"/>
    <w:link w:val="PwCNormalChar"/>
    <w:rsid w:val="004F7D03"/>
    <w:pPr>
      <w:numPr>
        <w:numId w:val="37"/>
      </w:numPr>
      <w:kinsoku w:val="0"/>
      <w:overflowPunct w:val="0"/>
      <w:autoSpaceDE w:val="0"/>
      <w:autoSpaceDN w:val="0"/>
      <w:adjustRightInd w:val="0"/>
      <w:snapToGrid w:val="0"/>
      <w:spacing w:before="120" w:after="120" w:line="240" w:lineRule="auto"/>
    </w:pPr>
    <w:rPr>
      <w:rFonts w:ascii="Georgia" w:hAnsi="Georgia"/>
      <w:snapToGrid w:val="0"/>
      <w:lang w:eastAsia="en-US"/>
    </w:rPr>
  </w:style>
  <w:style w:type="paragraph" w:customStyle="1" w:styleId="CoverDate">
    <w:name w:val="Cover Date"/>
    <w:basedOn w:val="Coversubtitle"/>
    <w:rsid w:val="004F7D03"/>
    <w:pPr>
      <w:framePr w:wrap="notBeside"/>
    </w:pPr>
  </w:style>
  <w:style w:type="paragraph" w:customStyle="1" w:styleId="KeySentenceOutside">
    <w:name w:val="Key Sentence Outside"/>
    <w:basedOn w:val="KeySentence"/>
    <w:rsid w:val="004F7D03"/>
    <w:pPr>
      <w:framePr w:w="2410" w:wrap="around" w:vAnchor="text" w:hAnchor="margin" w:x="7909" w:y="1" w:anchorLock="1"/>
    </w:pPr>
  </w:style>
  <w:style w:type="character" w:customStyle="1" w:styleId="PwCNormalChar">
    <w:name w:val="PwC Normal Char"/>
    <w:basedOn w:val="DefaultParagraphFont"/>
    <w:link w:val="PwCNormal"/>
    <w:rsid w:val="004F7D03"/>
    <w:rPr>
      <w:rFonts w:ascii="Georgia" w:hAnsi="Georgia"/>
      <w:snapToGrid w:val="0"/>
      <w:color w:val="auto"/>
      <w:lang w:eastAsia="en-US"/>
    </w:rPr>
  </w:style>
  <w:style w:type="paragraph" w:customStyle="1" w:styleId="CREATISID">
    <w:name w:val="CREATISID"/>
    <w:basedOn w:val="PwCNormal"/>
    <w:unhideWhenUsed/>
    <w:rsid w:val="004F7D03"/>
    <w:pPr>
      <w:framePr w:w="227" w:h="539" w:wrap="notBeside" w:vAnchor="page" w:hAnchor="page" w:x="511" w:y="15594"/>
      <w:numPr>
        <w:numId w:val="0"/>
      </w:numPr>
      <w:spacing w:after="0"/>
      <w:textDirection w:val="btLr"/>
    </w:pPr>
    <w:rPr>
      <w:rFonts w:eastAsia="MS Mincho"/>
      <w:sz w:val="10"/>
      <w:szCs w:val="12"/>
      <w:lang w:eastAsia="ja-JP"/>
    </w:rPr>
  </w:style>
  <w:style w:type="numbering" w:customStyle="1" w:styleId="BulletList">
    <w:name w:val="Bullet List"/>
    <w:rsid w:val="004F7D03"/>
    <w:pPr>
      <w:numPr>
        <w:numId w:val="15"/>
      </w:numPr>
    </w:pPr>
  </w:style>
  <w:style w:type="paragraph" w:customStyle="1" w:styleId="Footer-Landscape">
    <w:name w:val="Footer - Landscape"/>
    <w:basedOn w:val="Footer"/>
    <w:rsid w:val="004F7D03"/>
    <w:pPr>
      <w:tabs>
        <w:tab w:val="right" w:pos="14797"/>
      </w:tabs>
      <w:kinsoku w:val="0"/>
      <w:overflowPunct w:val="0"/>
      <w:autoSpaceDE w:val="0"/>
      <w:autoSpaceDN w:val="0"/>
      <w:adjustRightInd w:val="0"/>
      <w:snapToGrid w:val="0"/>
      <w:spacing w:line="0" w:lineRule="atLeast"/>
    </w:pPr>
    <w:rPr>
      <w:rFonts w:ascii="Arial" w:hAnsi="Arial"/>
      <w:snapToGrid w:val="0"/>
      <w:sz w:val="19"/>
      <w:szCs w:val="18"/>
      <w:lang w:eastAsia="en-US"/>
    </w:rPr>
  </w:style>
  <w:style w:type="paragraph" w:customStyle="1" w:styleId="TableBullet1Normal">
    <w:name w:val="Table Bullet 1 Normal"/>
    <w:basedOn w:val="TableTextNormal"/>
    <w:rsid w:val="004F7D03"/>
    <w:pPr>
      <w:numPr>
        <w:numId w:val="19"/>
      </w:numPr>
      <w:spacing w:before="40" w:after="40"/>
    </w:pPr>
  </w:style>
  <w:style w:type="paragraph" w:customStyle="1" w:styleId="TableTextNormal">
    <w:name w:val="Table Text Normal"/>
    <w:basedOn w:val="Normal"/>
    <w:rsid w:val="004F7D03"/>
    <w:pPr>
      <w:kinsoku w:val="0"/>
      <w:overflowPunct w:val="0"/>
      <w:autoSpaceDE w:val="0"/>
      <w:autoSpaceDN w:val="0"/>
      <w:adjustRightInd w:val="0"/>
      <w:snapToGrid w:val="0"/>
      <w:spacing w:before="80" w:after="80" w:line="240" w:lineRule="auto"/>
    </w:pPr>
    <w:rPr>
      <w:rFonts w:ascii="Georgia" w:hAnsi="Georgia"/>
      <w:snapToGrid w:val="0"/>
      <w:lang w:eastAsia="en-US"/>
    </w:rPr>
  </w:style>
  <w:style w:type="paragraph" w:customStyle="1" w:styleId="TableBullet1Small">
    <w:name w:val="Table Bullet 1 Small"/>
    <w:basedOn w:val="TableTextSmall"/>
    <w:rsid w:val="004F7D03"/>
    <w:pPr>
      <w:numPr>
        <w:numId w:val="20"/>
      </w:numPr>
      <w:spacing w:before="20" w:after="20"/>
    </w:pPr>
  </w:style>
  <w:style w:type="paragraph" w:customStyle="1" w:styleId="TableTextSmall">
    <w:name w:val="Table Text Small"/>
    <w:basedOn w:val="Normal"/>
    <w:rsid w:val="004F7D03"/>
    <w:pPr>
      <w:kinsoku w:val="0"/>
      <w:overflowPunct w:val="0"/>
      <w:autoSpaceDE w:val="0"/>
      <w:autoSpaceDN w:val="0"/>
      <w:adjustRightInd w:val="0"/>
      <w:snapToGrid w:val="0"/>
      <w:spacing w:before="40" w:after="40" w:line="240" w:lineRule="auto"/>
    </w:pPr>
    <w:rPr>
      <w:rFonts w:ascii="Arial" w:hAnsi="Arial"/>
      <w:snapToGrid w:val="0"/>
      <w:sz w:val="16"/>
      <w:szCs w:val="18"/>
      <w:lang w:eastAsia="en-US"/>
    </w:rPr>
  </w:style>
  <w:style w:type="paragraph" w:customStyle="1" w:styleId="TableBullet3Normal">
    <w:name w:val="Table Bullet 3 Normal"/>
    <w:basedOn w:val="TableBullet2Normal"/>
    <w:rsid w:val="004F7D03"/>
    <w:pPr>
      <w:numPr>
        <w:ilvl w:val="2"/>
      </w:numPr>
      <w:tabs>
        <w:tab w:val="clear" w:pos="851"/>
        <w:tab w:val="num" w:pos="567"/>
      </w:tabs>
      <w:ind w:left="567" w:hanging="283"/>
    </w:pPr>
  </w:style>
  <w:style w:type="paragraph" w:customStyle="1" w:styleId="TableBullet3Small">
    <w:name w:val="Table Bullet 3 Small"/>
    <w:basedOn w:val="TableBullet2Small"/>
    <w:rsid w:val="004F7D03"/>
    <w:pPr>
      <w:numPr>
        <w:ilvl w:val="2"/>
      </w:numPr>
    </w:pPr>
    <w:rPr>
      <w:szCs w:val="16"/>
    </w:rPr>
  </w:style>
  <w:style w:type="paragraph" w:customStyle="1" w:styleId="Appendix">
    <w:name w:val="Appendix"/>
    <w:basedOn w:val="Heading1"/>
    <w:next w:val="Normal"/>
    <w:uiPriority w:val="99"/>
    <w:qFormat/>
    <w:rsid w:val="004F7D03"/>
    <w:pPr>
      <w:numPr>
        <w:numId w:val="24"/>
      </w:numPr>
      <w:spacing w:after="480" w:line="600" w:lineRule="atLeast"/>
    </w:pPr>
    <w:rPr>
      <w:rFonts w:asciiTheme="majorHAnsi" w:eastAsiaTheme="majorEastAsia" w:hAnsiTheme="majorHAnsi" w:cstheme="majorBidi"/>
      <w:i/>
      <w:color w:val="auto"/>
      <w:kern w:val="0"/>
      <w:sz w:val="56"/>
      <w:szCs w:val="28"/>
      <w:lang w:val="en-GB" w:eastAsia="en-US"/>
    </w:rPr>
  </w:style>
  <w:style w:type="numbering" w:customStyle="1" w:styleId="PwCAppendixList1">
    <w:name w:val="PwC Appendix List 1"/>
    <w:uiPriority w:val="99"/>
    <w:rsid w:val="004F7D03"/>
    <w:pPr>
      <w:numPr>
        <w:numId w:val="23"/>
      </w:numPr>
    </w:pPr>
  </w:style>
  <w:style w:type="paragraph" w:customStyle="1" w:styleId="Majorheading">
    <w:name w:val="Major heading"/>
    <w:basedOn w:val="Normal"/>
    <w:next w:val="PwCNormal"/>
    <w:rsid w:val="004F7D03"/>
    <w:pPr>
      <w:keepNext/>
      <w:keepLines/>
      <w:kinsoku w:val="0"/>
      <w:overflowPunct w:val="0"/>
      <w:autoSpaceDE w:val="0"/>
      <w:autoSpaceDN w:val="0"/>
      <w:adjustRightInd w:val="0"/>
      <w:snapToGrid w:val="0"/>
      <w:spacing w:before="240" w:after="40" w:line="240" w:lineRule="auto"/>
    </w:pPr>
    <w:rPr>
      <w:rFonts w:asciiTheme="majorHAnsi" w:hAnsiTheme="majorHAnsi"/>
      <w:b/>
      <w:i/>
      <w:snapToGrid w:val="0"/>
      <w:color w:val="642667" w:themeColor="text2"/>
      <w:sz w:val="28"/>
      <w:lang w:eastAsia="en-US"/>
    </w:rPr>
  </w:style>
  <w:style w:type="numbering" w:customStyle="1" w:styleId="TableBulletNormalList">
    <w:name w:val="Table Bullet Normal List"/>
    <w:rsid w:val="004F7D03"/>
    <w:pPr>
      <w:numPr>
        <w:numId w:val="18"/>
      </w:numPr>
    </w:pPr>
  </w:style>
  <w:style w:type="paragraph" w:customStyle="1" w:styleId="Disclaimer">
    <w:name w:val="Disclaimer"/>
    <w:basedOn w:val="Normal"/>
    <w:unhideWhenUsed/>
    <w:rsid w:val="004F7D03"/>
    <w:pPr>
      <w:kinsoku w:val="0"/>
      <w:overflowPunct w:val="0"/>
      <w:autoSpaceDE w:val="0"/>
      <w:autoSpaceDN w:val="0"/>
      <w:adjustRightInd w:val="0"/>
      <w:snapToGrid w:val="0"/>
      <w:spacing w:after="140" w:line="240" w:lineRule="auto"/>
    </w:pPr>
    <w:rPr>
      <w:rFonts w:ascii="Arial" w:hAnsi="Arial"/>
      <w:snapToGrid w:val="0"/>
      <w:sz w:val="15"/>
      <w:lang w:eastAsia="en-US"/>
    </w:rPr>
  </w:style>
  <w:style w:type="paragraph" w:customStyle="1" w:styleId="Footer-LandscapeEven">
    <w:name w:val="Footer - Landscape Even"/>
    <w:basedOn w:val="Footer-Landscape"/>
    <w:rsid w:val="004F7D03"/>
  </w:style>
  <w:style w:type="paragraph" w:customStyle="1" w:styleId="PwCNormal-Single">
    <w:name w:val="PwC Normal - Single"/>
    <w:basedOn w:val="PwCNormal"/>
    <w:rsid w:val="004F7D03"/>
    <w:pPr>
      <w:numPr>
        <w:numId w:val="0"/>
      </w:numPr>
      <w:spacing w:after="0"/>
    </w:pPr>
  </w:style>
  <w:style w:type="numbering" w:customStyle="1" w:styleId="TableNumberdListNormal">
    <w:name w:val="Table Numberd List Normal"/>
    <w:uiPriority w:val="99"/>
    <w:rsid w:val="004F7D03"/>
    <w:pPr>
      <w:numPr>
        <w:numId w:val="26"/>
      </w:numPr>
    </w:pPr>
  </w:style>
  <w:style w:type="numbering" w:customStyle="1" w:styleId="TableNumberedListSmall">
    <w:name w:val="Table Numbered List Small"/>
    <w:uiPriority w:val="99"/>
    <w:rsid w:val="004F7D03"/>
    <w:pPr>
      <w:numPr>
        <w:numId w:val="28"/>
      </w:numPr>
    </w:pPr>
  </w:style>
  <w:style w:type="paragraph" w:customStyle="1" w:styleId="TableIndent2Normal">
    <w:name w:val="Table Indent 2 Normal"/>
    <w:basedOn w:val="TableIndent1Normal"/>
    <w:rsid w:val="004F7D03"/>
    <w:pPr>
      <w:ind w:left="567"/>
    </w:pPr>
  </w:style>
  <w:style w:type="paragraph" w:customStyle="1" w:styleId="TableIndent2Small">
    <w:name w:val="Table Indent 2 Small"/>
    <w:basedOn w:val="TableIndent1Small"/>
    <w:rsid w:val="004F7D03"/>
    <w:pPr>
      <w:ind w:left="567"/>
    </w:pPr>
    <w:rPr>
      <w:szCs w:val="16"/>
    </w:rPr>
  </w:style>
  <w:style w:type="paragraph" w:customStyle="1" w:styleId="KeySentence">
    <w:name w:val="Key Sentence"/>
    <w:basedOn w:val="Normal"/>
    <w:rsid w:val="004F7D03"/>
    <w:pPr>
      <w:kinsoku w:val="0"/>
      <w:overflowPunct w:val="0"/>
      <w:autoSpaceDE w:val="0"/>
      <w:autoSpaceDN w:val="0"/>
      <w:adjustRightInd w:val="0"/>
      <w:snapToGrid w:val="0"/>
      <w:spacing w:after="160" w:line="260" w:lineRule="atLeast"/>
    </w:pPr>
    <w:rPr>
      <w:rFonts w:ascii="Georgia" w:hAnsi="Georgia"/>
      <w:i/>
      <w:snapToGrid w:val="0"/>
      <w:color w:val="642667" w:themeColor="text2"/>
      <w:sz w:val="16"/>
      <w:szCs w:val="18"/>
      <w:lang w:eastAsia="en-US"/>
    </w:rPr>
  </w:style>
  <w:style w:type="numbering" w:customStyle="1" w:styleId="TableNumberedListS">
    <w:name w:val="Table Numbered List S"/>
    <w:rsid w:val="004F7D03"/>
  </w:style>
  <w:style w:type="paragraph" w:customStyle="1" w:styleId="PrefaceTitle">
    <w:name w:val="Preface Title"/>
    <w:basedOn w:val="Heading2"/>
    <w:next w:val="PwCNormal"/>
    <w:rsid w:val="004F7D03"/>
    <w:pPr>
      <w:pageBreakBefore/>
      <w:numPr>
        <w:ilvl w:val="0"/>
        <w:numId w:val="0"/>
      </w:numPr>
      <w:kinsoku w:val="0"/>
      <w:overflowPunct w:val="0"/>
      <w:autoSpaceDE w:val="0"/>
      <w:autoSpaceDN w:val="0"/>
      <w:adjustRightInd w:val="0"/>
      <w:snapToGrid w:val="0"/>
      <w:spacing w:after="480" w:line="600" w:lineRule="atLeast"/>
    </w:pPr>
    <w:rPr>
      <w:rFonts w:asciiTheme="majorHAnsi" w:hAnsiTheme="majorHAnsi"/>
      <w:snapToGrid w:val="0"/>
      <w:color w:val="363534" w:themeColor="text1"/>
      <w:kern w:val="0"/>
      <w:sz w:val="56"/>
      <w:szCs w:val="36"/>
      <w:lang w:eastAsia="en-US"/>
    </w:rPr>
  </w:style>
  <w:style w:type="paragraph" w:customStyle="1" w:styleId="Sources">
    <w:name w:val="Sources"/>
    <w:basedOn w:val="Normal"/>
    <w:next w:val="PwCNormal"/>
    <w:rsid w:val="004F7D03"/>
    <w:pPr>
      <w:kinsoku w:val="0"/>
      <w:overflowPunct w:val="0"/>
      <w:autoSpaceDE w:val="0"/>
      <w:autoSpaceDN w:val="0"/>
      <w:adjustRightInd w:val="0"/>
      <w:snapToGrid w:val="0"/>
      <w:spacing w:before="80" w:after="240" w:line="180" w:lineRule="atLeast"/>
    </w:pPr>
    <w:rPr>
      <w:rFonts w:ascii="Georgia" w:hAnsi="Georgia"/>
      <w:snapToGrid w:val="0"/>
      <w:color w:val="642667" w:themeColor="text2"/>
      <w:sz w:val="16"/>
      <w:lang w:eastAsia="en-US"/>
    </w:rPr>
  </w:style>
  <w:style w:type="paragraph" w:customStyle="1" w:styleId="Minorheading">
    <w:name w:val="Minor heading"/>
    <w:basedOn w:val="Majorheading"/>
    <w:next w:val="PwCNormal"/>
    <w:rsid w:val="004F7D03"/>
    <w:pPr>
      <w:spacing w:line="180" w:lineRule="atLeast"/>
    </w:pPr>
    <w:rPr>
      <w:b w:val="0"/>
      <w:sz w:val="26"/>
    </w:rPr>
  </w:style>
  <w:style w:type="paragraph" w:customStyle="1" w:styleId="Minorheading2">
    <w:name w:val="Minor heading 2"/>
    <w:basedOn w:val="Minorheading"/>
    <w:next w:val="PwCNormal"/>
    <w:rsid w:val="004F7D03"/>
    <w:pPr>
      <w:spacing w:after="120" w:line="240" w:lineRule="auto"/>
    </w:pPr>
    <w:rPr>
      <w:b/>
      <w:i w:val="0"/>
      <w:sz w:val="20"/>
    </w:rPr>
  </w:style>
  <w:style w:type="numbering" w:customStyle="1" w:styleId="PwCListNumbers1">
    <w:name w:val="PwC List Numbers 1"/>
    <w:uiPriority w:val="99"/>
    <w:rsid w:val="004F7D03"/>
    <w:pPr>
      <w:numPr>
        <w:numId w:val="25"/>
      </w:numPr>
    </w:pPr>
  </w:style>
  <w:style w:type="paragraph" w:customStyle="1" w:styleId="BlockText3">
    <w:name w:val="Block Text 3"/>
    <w:basedOn w:val="BlockText"/>
    <w:qFormat/>
    <w:rsid w:val="004F7D03"/>
    <w:pPr>
      <w:pBdr>
        <w:top w:val="single" w:sz="8" w:space="10" w:color="E4DAE6" w:themeColor="background2" w:themeShade="F2"/>
        <w:left w:val="single" w:sz="8" w:space="10" w:color="E4DAE6" w:themeColor="background2" w:themeShade="F2"/>
        <w:bottom w:val="single" w:sz="8" w:space="10" w:color="E4DAE6" w:themeColor="background2" w:themeShade="F2"/>
        <w:right w:val="single" w:sz="8" w:space="10" w:color="E4DAE6" w:themeColor="background2" w:themeShade="F2"/>
      </w:pBdr>
      <w:shd w:val="clear" w:color="auto" w:fill="E4DAE6" w:themeFill="background2" w:themeFillShade="F2"/>
      <w:spacing w:after="240" w:line="240" w:lineRule="auto"/>
      <w:ind w:left="227" w:right="227"/>
    </w:pPr>
    <w:rPr>
      <w:rFonts w:ascii="Georgia" w:hAnsi="Georgia"/>
      <w:b/>
      <w:color w:val="00B2A9" w:themeColor="accent1"/>
      <w:sz w:val="96"/>
      <w:lang w:val="en-GB" w:eastAsia="en-US"/>
    </w:rPr>
  </w:style>
  <w:style w:type="paragraph" w:customStyle="1" w:styleId="TableBullet2Normal">
    <w:name w:val="Table Bullet 2 Normal"/>
    <w:basedOn w:val="TableBullet1Normal"/>
    <w:rsid w:val="004F7D03"/>
    <w:pPr>
      <w:numPr>
        <w:ilvl w:val="1"/>
      </w:numPr>
    </w:pPr>
  </w:style>
  <w:style w:type="paragraph" w:customStyle="1" w:styleId="TableBullet2Small">
    <w:name w:val="Table Bullet 2 Small"/>
    <w:basedOn w:val="TableBullet1Small"/>
    <w:rsid w:val="004F7D03"/>
    <w:pPr>
      <w:numPr>
        <w:ilvl w:val="1"/>
      </w:numPr>
    </w:pPr>
  </w:style>
  <w:style w:type="paragraph" w:customStyle="1" w:styleId="TableIndent1Normal">
    <w:name w:val="Table Indent 1 Normal"/>
    <w:basedOn w:val="TableBullet1Normal"/>
    <w:rsid w:val="004F7D03"/>
    <w:pPr>
      <w:numPr>
        <w:numId w:val="0"/>
      </w:numPr>
      <w:ind w:left="284"/>
    </w:pPr>
  </w:style>
  <w:style w:type="paragraph" w:customStyle="1" w:styleId="TableIndent1Small">
    <w:name w:val="Table Indent 1 Small"/>
    <w:basedOn w:val="TableBullet1Small"/>
    <w:rsid w:val="004F7D03"/>
    <w:pPr>
      <w:numPr>
        <w:numId w:val="0"/>
      </w:numPr>
      <w:ind w:left="284"/>
    </w:pPr>
  </w:style>
  <w:style w:type="paragraph" w:customStyle="1" w:styleId="SubHeading">
    <w:name w:val="Sub Heading"/>
    <w:basedOn w:val="PwCNormal"/>
    <w:rsid w:val="004F7D03"/>
    <w:pPr>
      <w:spacing w:after="480" w:line="600" w:lineRule="atLeast"/>
    </w:pPr>
    <w:rPr>
      <w:sz w:val="56"/>
    </w:rPr>
  </w:style>
  <w:style w:type="character" w:styleId="EndnoteReference">
    <w:name w:val="endnote reference"/>
    <w:basedOn w:val="DefaultParagraphFont"/>
    <w:semiHidden/>
    <w:unhideWhenUsed/>
    <w:rsid w:val="004F7D03"/>
    <w:rPr>
      <w:rFonts w:ascii="Arial" w:hAnsi="Arial" w:cs="Arial"/>
      <w:sz w:val="21"/>
      <w:vertAlign w:val="superscript"/>
    </w:rPr>
  </w:style>
  <w:style w:type="paragraph" w:styleId="EndnoteText">
    <w:name w:val="endnote text"/>
    <w:basedOn w:val="FootnoteText"/>
    <w:link w:val="EndnoteTextChar"/>
    <w:semiHidden/>
    <w:unhideWhenUsed/>
    <w:rsid w:val="004F7D03"/>
    <w:pPr>
      <w:kinsoku w:val="0"/>
      <w:overflowPunct w:val="0"/>
      <w:autoSpaceDE w:val="0"/>
      <w:autoSpaceDN w:val="0"/>
      <w:adjustRightInd w:val="0"/>
      <w:snapToGrid w:val="0"/>
      <w:spacing w:before="80" w:after="80" w:line="240" w:lineRule="auto"/>
      <w:ind w:left="227" w:hanging="227"/>
    </w:pPr>
    <w:rPr>
      <w:rFonts w:ascii="Georgia" w:hAnsi="Georgia"/>
      <w:snapToGrid w:val="0"/>
      <w:kern w:val="0"/>
      <w:lang w:eastAsia="en-US"/>
    </w:rPr>
  </w:style>
  <w:style w:type="character" w:customStyle="1" w:styleId="EndnoteTextChar">
    <w:name w:val="Endnote Text Char"/>
    <w:basedOn w:val="DefaultParagraphFont"/>
    <w:link w:val="EndnoteText"/>
    <w:semiHidden/>
    <w:rsid w:val="004F7D03"/>
    <w:rPr>
      <w:rFonts w:ascii="Georgia" w:hAnsi="Georgia"/>
      <w:snapToGrid w:val="0"/>
      <w:color w:val="auto"/>
      <w:sz w:val="14"/>
      <w:lang w:eastAsia="en-US"/>
    </w:rPr>
  </w:style>
  <w:style w:type="paragraph" w:customStyle="1" w:styleId="Address">
    <w:name w:val="Address"/>
    <w:basedOn w:val="Normal"/>
    <w:qFormat/>
    <w:rsid w:val="004F7D03"/>
    <w:pPr>
      <w:spacing w:line="200" w:lineRule="atLeast"/>
    </w:pPr>
    <w:rPr>
      <w:rFonts w:ascii="Georgia" w:eastAsiaTheme="minorHAnsi" w:hAnsi="Georgia" w:cstheme="minorBidi"/>
      <w:i/>
      <w:noProof/>
      <w:sz w:val="18"/>
      <w:szCs w:val="22"/>
      <w:lang w:val="en-GB" w:eastAsia="en-GB"/>
    </w:rPr>
  </w:style>
  <w:style w:type="paragraph" w:styleId="TOC9">
    <w:name w:val="toc 9"/>
    <w:basedOn w:val="TOC8"/>
    <w:next w:val="PwCNormal"/>
    <w:uiPriority w:val="39"/>
    <w:rsid w:val="004F7D03"/>
    <w:pPr>
      <w:tabs>
        <w:tab w:val="clear" w:pos="9582"/>
        <w:tab w:val="left" w:pos="4253"/>
        <w:tab w:val="right" w:pos="8220"/>
      </w:tabs>
      <w:kinsoku w:val="0"/>
      <w:overflowPunct w:val="0"/>
      <w:autoSpaceDE w:val="0"/>
      <w:autoSpaceDN w:val="0"/>
      <w:adjustRightInd w:val="0"/>
      <w:snapToGrid w:val="0"/>
      <w:spacing w:before="240" w:after="240"/>
      <w:ind w:left="4253" w:hanging="851"/>
    </w:pPr>
    <w:rPr>
      <w:rFonts w:ascii="Georgia" w:hAnsi="Georgia"/>
      <w:b w:val="0"/>
      <w:snapToGrid w:val="0"/>
      <w:color w:val="auto"/>
      <w:lang w:eastAsia="en-US"/>
    </w:rPr>
  </w:style>
  <w:style w:type="paragraph" w:customStyle="1" w:styleId="Separator">
    <w:name w:val="Separator"/>
    <w:basedOn w:val="Normal"/>
    <w:semiHidden/>
    <w:rsid w:val="004F7D03"/>
    <w:pPr>
      <w:kinsoku w:val="0"/>
      <w:overflowPunct w:val="0"/>
      <w:autoSpaceDE w:val="0"/>
      <w:autoSpaceDN w:val="0"/>
      <w:adjustRightInd w:val="0"/>
      <w:snapToGrid w:val="0"/>
      <w:spacing w:before="240" w:after="120" w:line="240" w:lineRule="auto"/>
    </w:pPr>
    <w:rPr>
      <w:rFonts w:ascii="Georgia" w:hAnsi="Georgia"/>
      <w:snapToGrid w:val="0"/>
      <w:sz w:val="16"/>
      <w:lang w:eastAsia="en-US"/>
    </w:rPr>
  </w:style>
  <w:style w:type="numbering" w:customStyle="1" w:styleId="TableNumberedListN">
    <w:name w:val="Table Numbered List N"/>
    <w:rsid w:val="004F7D03"/>
  </w:style>
  <w:style w:type="paragraph" w:customStyle="1" w:styleId="TableColumnHeadingNormal">
    <w:name w:val="Table Column Heading Normal"/>
    <w:basedOn w:val="TableTextNormal"/>
    <w:rsid w:val="004F7D03"/>
    <w:pPr>
      <w:keepNext/>
      <w:keepLines/>
    </w:pPr>
    <w:rPr>
      <w:b/>
      <w:color w:val="642667" w:themeColor="text2"/>
    </w:rPr>
  </w:style>
  <w:style w:type="paragraph" w:customStyle="1" w:styleId="TableColumnHeadingSmall">
    <w:name w:val="Table Column Heading Small"/>
    <w:basedOn w:val="TableTextSmall"/>
    <w:next w:val="TableTextSmall"/>
    <w:rsid w:val="004F7D03"/>
    <w:pPr>
      <w:keepNext/>
      <w:keepLines/>
    </w:pPr>
    <w:rPr>
      <w:b/>
      <w:color w:val="642667" w:themeColor="text2"/>
      <w:szCs w:val="16"/>
    </w:rPr>
  </w:style>
  <w:style w:type="numbering" w:customStyle="1" w:styleId="TableBulletSmallList">
    <w:name w:val="Table Bullet Small List"/>
    <w:rsid w:val="004F7D03"/>
    <w:pPr>
      <w:numPr>
        <w:numId w:val="17"/>
      </w:numPr>
    </w:pPr>
  </w:style>
  <w:style w:type="paragraph" w:customStyle="1" w:styleId="Header-Landscape">
    <w:name w:val="Header - Landscape"/>
    <w:basedOn w:val="Header"/>
    <w:rsid w:val="004F7D03"/>
    <w:pPr>
      <w:tabs>
        <w:tab w:val="right" w:pos="8220"/>
      </w:tabs>
      <w:kinsoku w:val="0"/>
      <w:overflowPunct w:val="0"/>
      <w:autoSpaceDE w:val="0"/>
      <w:autoSpaceDN w:val="0"/>
      <w:adjustRightInd w:val="0"/>
      <w:snapToGrid w:val="0"/>
    </w:pPr>
    <w:rPr>
      <w:rFonts w:ascii="Arial" w:hAnsi="Arial"/>
      <w:snapToGrid w:val="0"/>
      <w:sz w:val="19"/>
      <w:szCs w:val="18"/>
      <w:lang w:eastAsia="en-US"/>
    </w:rPr>
  </w:style>
  <w:style w:type="paragraph" w:customStyle="1" w:styleId="Indent8">
    <w:name w:val="Indent 8"/>
    <w:basedOn w:val="Indent7"/>
    <w:rsid w:val="004F7D03"/>
    <w:pPr>
      <w:numPr>
        <w:ilvl w:val="8"/>
      </w:numPr>
    </w:pPr>
  </w:style>
  <w:style w:type="paragraph" w:customStyle="1" w:styleId="Header-LandscapeEven">
    <w:name w:val="Header - Landscape Even"/>
    <w:basedOn w:val="Header-Landscape"/>
    <w:rsid w:val="004F7D03"/>
    <w:pPr>
      <w:tabs>
        <w:tab w:val="right" w:pos="14661"/>
      </w:tabs>
    </w:pPr>
  </w:style>
  <w:style w:type="paragraph" w:customStyle="1" w:styleId="Footer-ToC">
    <w:name w:val="Footer - ToC"/>
    <w:basedOn w:val="Footer"/>
    <w:rsid w:val="004F7D03"/>
    <w:pPr>
      <w:tabs>
        <w:tab w:val="right" w:pos="8220"/>
      </w:tabs>
      <w:kinsoku w:val="0"/>
      <w:overflowPunct w:val="0"/>
      <w:autoSpaceDE w:val="0"/>
      <w:autoSpaceDN w:val="0"/>
      <w:adjustRightInd w:val="0"/>
      <w:snapToGrid w:val="0"/>
      <w:spacing w:line="0" w:lineRule="atLeast"/>
    </w:pPr>
    <w:rPr>
      <w:rFonts w:ascii="Arial" w:hAnsi="Arial"/>
      <w:snapToGrid w:val="0"/>
      <w:sz w:val="19"/>
      <w:szCs w:val="18"/>
      <w:lang w:eastAsia="en-US"/>
    </w:rPr>
  </w:style>
  <w:style w:type="paragraph" w:customStyle="1" w:styleId="Footer-ToCEven">
    <w:name w:val="Footer - ToC Even"/>
    <w:basedOn w:val="Footer-ToC"/>
    <w:rsid w:val="004F7D03"/>
  </w:style>
  <w:style w:type="table" w:customStyle="1" w:styleId="Tables-APBase">
    <w:name w:val="Tables - AP Base"/>
    <w:basedOn w:val="TableNormal"/>
    <w:rsid w:val="004F7D03"/>
    <w:pPr>
      <w:spacing w:line="240" w:lineRule="auto"/>
    </w:pPr>
    <w:rPr>
      <w:rFonts w:ascii="Georgia" w:hAnsi="Georgia" w:cs="Times New Roman"/>
      <w:color w:val="auto"/>
    </w:rPr>
    <w:tblPr>
      <w:tblStyleRowBandSize w:val="1"/>
      <w:tblStyleColBandSize w:val="1"/>
      <w:tblBorders>
        <w:top w:val="single" w:sz="4" w:space="0" w:color="FFFFFF"/>
        <w:left w:val="single" w:sz="4" w:space="0" w:color="FFFFFF"/>
        <w:bottom w:val="single" w:sz="6" w:space="0" w:color="642667" w:themeColor="text2"/>
        <w:right w:val="single" w:sz="4" w:space="0" w:color="FFFFFF"/>
        <w:insideH w:val="dotted" w:sz="8" w:space="0" w:color="642667" w:themeColor="text2"/>
        <w:insideV w:val="single" w:sz="4" w:space="0" w:color="FFFFFF"/>
      </w:tblBorders>
    </w:tblPr>
    <w:tcPr>
      <w:shd w:val="clear" w:color="auto" w:fill="auto"/>
      <w:tcMar>
        <w:top w:w="0" w:type="dxa"/>
        <w:left w:w="108" w:type="dxa"/>
        <w:bottom w:w="0" w:type="dxa"/>
        <w:right w:w="108" w:type="dxa"/>
      </w:tcMar>
    </w:tcPr>
    <w:tblStylePr w:type="firstRow">
      <w:pPr>
        <w:jc w:val="center"/>
      </w:pPr>
      <w:rPr>
        <w:rFonts w:ascii="Georgia" w:hAnsi="Georgia"/>
        <w:b w:val="0"/>
        <w:color w:val="auto"/>
      </w:rPr>
      <w:tblPr/>
      <w:trPr>
        <w:tblHeader/>
      </w:trPr>
      <w:tcPr>
        <w:tcBorders>
          <w:top w:val="single" w:sz="4" w:space="0" w:color="642667" w:themeColor="text2"/>
          <w:bottom w:val="single" w:sz="4" w:space="0" w:color="642667" w:themeColor="text2"/>
        </w:tcBorders>
      </w:tcPr>
    </w:tblStylePr>
    <w:tblStylePr w:type="lastRow">
      <w:rPr>
        <w:color w:val="auto"/>
      </w:rPr>
      <w:tblPr/>
      <w:tcPr>
        <w:tcBorders>
          <w:top w:val="single" w:sz="4" w:space="0" w:color="642667" w:themeColor="text2"/>
        </w:tcBorders>
        <w:shd w:val="clear" w:color="auto" w:fill="auto"/>
      </w:tcPr>
    </w:tblStylePr>
    <w:tblStylePr w:type="nwCell">
      <w:pPr>
        <w:jc w:val="left"/>
      </w:pPr>
      <w:tblPr/>
      <w:tcPr>
        <w:vAlign w:val="bottom"/>
      </w:tcPr>
    </w:tblStylePr>
  </w:style>
  <w:style w:type="paragraph" w:customStyle="1" w:styleId="CVRoleTitle">
    <w:name w:val="CV Role Title"/>
    <w:basedOn w:val="CVText"/>
    <w:rsid w:val="004F7D03"/>
  </w:style>
  <w:style w:type="paragraph" w:customStyle="1" w:styleId="ListBullet1">
    <w:name w:val="List Bullet 1"/>
    <w:basedOn w:val="Normal"/>
    <w:semiHidden/>
    <w:locked/>
    <w:rsid w:val="004F7D03"/>
    <w:pPr>
      <w:tabs>
        <w:tab w:val="num" w:pos="720"/>
      </w:tabs>
      <w:kinsoku w:val="0"/>
      <w:overflowPunct w:val="0"/>
      <w:autoSpaceDE w:val="0"/>
      <w:autoSpaceDN w:val="0"/>
      <w:adjustRightInd w:val="0"/>
      <w:snapToGrid w:val="0"/>
      <w:spacing w:before="100" w:after="100" w:line="240" w:lineRule="auto"/>
      <w:ind w:left="720" w:hanging="720"/>
    </w:pPr>
    <w:rPr>
      <w:rFonts w:ascii="Georgia" w:hAnsi="Georgia"/>
      <w:snapToGrid w:val="0"/>
      <w:lang w:eastAsia="en-US"/>
    </w:rPr>
  </w:style>
  <w:style w:type="paragraph" w:styleId="ListBullet4">
    <w:name w:val="List Bullet 4"/>
    <w:basedOn w:val="ListBullet3"/>
    <w:unhideWhenUsed/>
    <w:rsid w:val="004F7D03"/>
    <w:pPr>
      <w:numPr>
        <w:ilvl w:val="0"/>
        <w:numId w:val="0"/>
      </w:numPr>
      <w:tabs>
        <w:tab w:val="num" w:pos="1134"/>
      </w:tabs>
      <w:kinsoku w:val="0"/>
      <w:overflowPunct w:val="0"/>
      <w:autoSpaceDE w:val="0"/>
      <w:autoSpaceDN w:val="0"/>
      <w:adjustRightInd w:val="0"/>
      <w:snapToGrid w:val="0"/>
      <w:spacing w:line="240" w:lineRule="auto"/>
      <w:ind w:left="1136" w:hanging="284"/>
    </w:pPr>
    <w:rPr>
      <w:rFonts w:ascii="Georgia" w:hAnsi="Georgia"/>
      <w:snapToGrid w:val="0"/>
      <w:lang w:eastAsia="en-US"/>
    </w:rPr>
  </w:style>
  <w:style w:type="paragraph" w:customStyle="1" w:styleId="CVBullet1">
    <w:name w:val="CV Bullet 1"/>
    <w:basedOn w:val="CVText"/>
    <w:rsid w:val="004F7D03"/>
    <w:pPr>
      <w:numPr>
        <w:numId w:val="22"/>
      </w:numPr>
      <w:ind w:left="0" w:firstLine="0"/>
    </w:pPr>
  </w:style>
  <w:style w:type="paragraph" w:customStyle="1" w:styleId="CVDetails">
    <w:name w:val="CV Details"/>
    <w:basedOn w:val="CVRoleTitle"/>
    <w:rsid w:val="004F7D03"/>
    <w:pPr>
      <w:pBdr>
        <w:bottom w:val="none" w:sz="0" w:space="0" w:color="00457C"/>
      </w:pBdr>
      <w:spacing w:before="120" w:after="40"/>
    </w:pPr>
    <w:rPr>
      <w:i/>
      <w:color w:val="642667" w:themeColor="text2"/>
      <w:sz w:val="14"/>
    </w:rPr>
  </w:style>
  <w:style w:type="paragraph" w:customStyle="1" w:styleId="CVHeading2">
    <w:name w:val="CV Heading 2"/>
    <w:basedOn w:val="CVHeading1"/>
    <w:next w:val="CVText"/>
    <w:rsid w:val="004F7D03"/>
    <w:pPr>
      <w:keepNext/>
      <w:keepLines/>
      <w:pBdr>
        <w:bottom w:val="none" w:sz="0" w:space="0" w:color="00457C"/>
      </w:pBdr>
      <w:spacing w:before="120"/>
    </w:pPr>
    <w:rPr>
      <w:i/>
      <w:color w:val="642667" w:themeColor="text2"/>
      <w:sz w:val="18"/>
    </w:rPr>
  </w:style>
  <w:style w:type="paragraph" w:customStyle="1" w:styleId="CVHeading1">
    <w:name w:val="CV Heading 1"/>
    <w:basedOn w:val="CVText"/>
    <w:next w:val="CVText"/>
    <w:rsid w:val="004F7D03"/>
  </w:style>
  <w:style w:type="paragraph" w:customStyle="1" w:styleId="CVPhoto">
    <w:name w:val="CV Photo"/>
    <w:basedOn w:val="CVHeading2"/>
    <w:rsid w:val="004F7D03"/>
    <w:rPr>
      <w:sz w:val="21"/>
    </w:rPr>
  </w:style>
  <w:style w:type="paragraph" w:customStyle="1" w:styleId="CVText">
    <w:name w:val="CV Text"/>
    <w:basedOn w:val="PwCNormal"/>
    <w:rsid w:val="004F7D03"/>
    <w:pPr>
      <w:numPr>
        <w:numId w:val="0"/>
      </w:numPr>
      <w:spacing w:before="80" w:after="80"/>
    </w:pPr>
  </w:style>
  <w:style w:type="paragraph" w:customStyle="1" w:styleId="CVNamelarge">
    <w:name w:val="CV Name large"/>
    <w:basedOn w:val="CVText"/>
    <w:next w:val="CVRoleTitle"/>
    <w:rsid w:val="004F7D03"/>
  </w:style>
  <w:style w:type="paragraph" w:customStyle="1" w:styleId="CVBullet2">
    <w:name w:val="CV Bullet 2"/>
    <w:basedOn w:val="CVBullet1"/>
    <w:rsid w:val="004F7D03"/>
    <w:pPr>
      <w:numPr>
        <w:ilvl w:val="1"/>
      </w:numPr>
      <w:tabs>
        <w:tab w:val="num" w:pos="567"/>
      </w:tabs>
      <w:ind w:left="0" w:firstLine="0"/>
    </w:pPr>
  </w:style>
  <w:style w:type="numbering" w:customStyle="1" w:styleId="Style1">
    <w:name w:val="Style1"/>
    <w:uiPriority w:val="99"/>
    <w:rsid w:val="004F7D03"/>
    <w:pPr>
      <w:numPr>
        <w:numId w:val="34"/>
      </w:numPr>
    </w:pPr>
  </w:style>
  <w:style w:type="numbering" w:customStyle="1" w:styleId="IndentList">
    <w:name w:val="IndentList"/>
    <w:basedOn w:val="NoList"/>
    <w:rsid w:val="004F7D03"/>
    <w:pPr>
      <w:numPr>
        <w:numId w:val="38"/>
      </w:numPr>
    </w:pPr>
  </w:style>
  <w:style w:type="paragraph" w:customStyle="1" w:styleId="VersionControl">
    <w:name w:val="Version Control"/>
    <w:basedOn w:val="TOCtitle"/>
    <w:unhideWhenUsed/>
    <w:rsid w:val="004F7D03"/>
    <w:pPr>
      <w:pageBreakBefore w:val="0"/>
      <w:framePr w:w="9923" w:wrap="around" w:vAnchor="text" w:hAnchor="page" w:x="1498" w:y="1"/>
      <w:spacing w:before="360" w:after="240"/>
    </w:pPr>
    <w:rPr>
      <w:sz w:val="28"/>
    </w:rPr>
  </w:style>
  <w:style w:type="paragraph" w:customStyle="1" w:styleId="VersionTableHeading">
    <w:name w:val="Version Table Heading"/>
    <w:basedOn w:val="VersionTableText"/>
    <w:unhideWhenUsed/>
    <w:rsid w:val="004F7D03"/>
    <w:pPr>
      <w:framePr w:wrap="around"/>
    </w:pPr>
  </w:style>
  <w:style w:type="paragraph" w:customStyle="1" w:styleId="VersionTableText">
    <w:name w:val="Version Table Text"/>
    <w:basedOn w:val="VersionControl"/>
    <w:unhideWhenUsed/>
    <w:rsid w:val="004F7D03"/>
    <w:pPr>
      <w:framePr w:wrap="around"/>
      <w:spacing w:before="80" w:after="80" w:line="240" w:lineRule="auto"/>
      <w:outlineLvl w:val="9"/>
    </w:pPr>
    <w:rPr>
      <w:rFonts w:ascii="Georgia" w:hAnsi="Georgia"/>
      <w:sz w:val="21"/>
      <w:szCs w:val="20"/>
    </w:rPr>
  </w:style>
  <w:style w:type="table" w:customStyle="1" w:styleId="Tables-APBase2">
    <w:name w:val="Tables - AP Base 2"/>
    <w:basedOn w:val="Tables-APBase"/>
    <w:uiPriority w:val="99"/>
    <w:qFormat/>
    <w:rsid w:val="004F7D03"/>
    <w:tblPr/>
    <w:tcPr>
      <w:shd w:val="clear" w:color="auto" w:fill="auto"/>
    </w:tcPr>
    <w:tblStylePr w:type="firstRow">
      <w:pPr>
        <w:jc w:val="center"/>
      </w:pPr>
      <w:rPr>
        <w:rFonts w:asciiTheme="minorHAnsi" w:hAnsiTheme="minorHAnsi"/>
        <w:b/>
        <w:color w:val="EFE9F0" w:themeColor="background2"/>
      </w:rPr>
      <w:tblPr/>
      <w:trPr>
        <w:tblHeader/>
      </w:trPr>
      <w:tcPr>
        <w:tcBorders>
          <w:top w:val="single" w:sz="4" w:space="0" w:color="642667" w:themeColor="text2"/>
          <w:bottom w:val="single" w:sz="4" w:space="0" w:color="642667" w:themeColor="text2"/>
        </w:tcBorders>
        <w:shd w:val="clear" w:color="auto" w:fill="642667" w:themeFill="text2"/>
        <w:vAlign w:val="bottom"/>
      </w:tcPr>
    </w:tblStylePr>
    <w:tblStylePr w:type="lastRow">
      <w:rPr>
        <w:color w:val="FFFFFF" w:themeColor="background1"/>
      </w:rPr>
      <w:tblPr/>
      <w:tcPr>
        <w:tcBorders>
          <w:top w:val="single" w:sz="4" w:space="0" w:color="642667" w:themeColor="text2"/>
        </w:tcBorders>
        <w:shd w:val="clear" w:color="auto" w:fill="642667" w:themeFill="text2"/>
      </w:tcPr>
    </w:tblStylePr>
    <w:tblStylePr w:type="firstCol">
      <w:tblPr/>
      <w:tcPr>
        <w:shd w:val="clear" w:color="auto" w:fill="EFE9F0" w:themeFill="background2"/>
      </w:tcPr>
    </w:tblStylePr>
    <w:tblStylePr w:type="lastCol">
      <w:tblPr/>
      <w:tcPr>
        <w:shd w:val="clear" w:color="auto" w:fill="EFE9F0" w:themeFill="background2"/>
      </w:tcPr>
    </w:tblStylePr>
    <w:tblStylePr w:type="band2Vert">
      <w:tblPr/>
      <w:tcPr>
        <w:shd w:val="clear" w:color="auto" w:fill="E9C8EB" w:themeFill="text2" w:themeFillTint="33"/>
      </w:tcPr>
    </w:tblStylePr>
    <w:tblStylePr w:type="band2Horz">
      <w:tblPr/>
      <w:tcPr>
        <w:shd w:val="clear" w:color="auto" w:fill="E9C8EB" w:themeFill="text2" w:themeFillTint="33"/>
      </w:tcPr>
    </w:tblStylePr>
    <w:tblStylePr w:type="nwCell">
      <w:pPr>
        <w:jc w:val="left"/>
      </w:pPr>
      <w:tblPr/>
      <w:tcPr>
        <w:shd w:val="clear" w:color="auto" w:fill="FFFFFF" w:themeFill="background1"/>
        <w:vAlign w:val="bottom"/>
      </w:tcPr>
    </w:tblStylePr>
  </w:style>
  <w:style w:type="paragraph" w:customStyle="1" w:styleId="Header-FirstPage">
    <w:name w:val="Header - First Page"/>
    <w:basedOn w:val="Header"/>
    <w:rsid w:val="004F7D03"/>
    <w:pPr>
      <w:tabs>
        <w:tab w:val="right" w:pos="8220"/>
      </w:tabs>
      <w:kinsoku w:val="0"/>
      <w:overflowPunct w:val="0"/>
      <w:autoSpaceDE w:val="0"/>
      <w:autoSpaceDN w:val="0"/>
      <w:adjustRightInd w:val="0"/>
      <w:snapToGrid w:val="0"/>
    </w:pPr>
    <w:rPr>
      <w:rFonts w:ascii="Arial" w:hAnsi="Arial"/>
      <w:snapToGrid w:val="0"/>
      <w:sz w:val="19"/>
      <w:szCs w:val="18"/>
      <w:lang w:eastAsia="en-US"/>
    </w:rPr>
  </w:style>
  <w:style w:type="paragraph" w:customStyle="1" w:styleId="Appendicestitle">
    <w:name w:val="Appendices title"/>
    <w:basedOn w:val="TOCtitle"/>
    <w:qFormat/>
    <w:rsid w:val="004F7D03"/>
    <w:pPr>
      <w:pageBreakBefore w:val="0"/>
    </w:pPr>
  </w:style>
  <w:style w:type="numbering" w:customStyle="1" w:styleId="CVBullets">
    <w:name w:val="CV Bullets"/>
    <w:uiPriority w:val="99"/>
    <w:rsid w:val="004F7D03"/>
    <w:pPr>
      <w:numPr>
        <w:numId w:val="21"/>
      </w:numPr>
    </w:pPr>
  </w:style>
  <w:style w:type="paragraph" w:styleId="DocumentMap">
    <w:name w:val="Document Map"/>
    <w:basedOn w:val="Normal"/>
    <w:link w:val="DocumentMapChar"/>
    <w:semiHidden/>
    <w:rsid w:val="004F7D03"/>
    <w:pPr>
      <w:kinsoku w:val="0"/>
      <w:overflowPunct w:val="0"/>
      <w:autoSpaceDE w:val="0"/>
      <w:autoSpaceDN w:val="0"/>
      <w:adjustRightInd w:val="0"/>
      <w:snapToGrid w:val="0"/>
      <w:spacing w:line="240" w:lineRule="auto"/>
    </w:pPr>
    <w:rPr>
      <w:rFonts w:ascii="Tahoma" w:hAnsi="Tahoma" w:cs="Tahoma"/>
      <w:snapToGrid w:val="0"/>
      <w:sz w:val="16"/>
      <w:szCs w:val="16"/>
      <w:lang w:eastAsia="en-US"/>
    </w:rPr>
  </w:style>
  <w:style w:type="character" w:customStyle="1" w:styleId="DocumentMapChar">
    <w:name w:val="Document Map Char"/>
    <w:basedOn w:val="DefaultParagraphFont"/>
    <w:link w:val="DocumentMap"/>
    <w:semiHidden/>
    <w:rsid w:val="004F7D03"/>
    <w:rPr>
      <w:rFonts w:ascii="Tahoma" w:hAnsi="Tahoma" w:cs="Tahoma"/>
      <w:snapToGrid w:val="0"/>
      <w:color w:val="auto"/>
      <w:sz w:val="16"/>
      <w:szCs w:val="16"/>
      <w:lang w:eastAsia="en-US"/>
    </w:rPr>
  </w:style>
  <w:style w:type="table" w:styleId="TableGrid2">
    <w:name w:val="Table Grid 2"/>
    <w:basedOn w:val="TableNormal"/>
    <w:semiHidden/>
    <w:rsid w:val="004F7D03"/>
    <w:pPr>
      <w:kinsoku w:val="0"/>
      <w:overflowPunct w:val="0"/>
      <w:autoSpaceDE w:val="0"/>
      <w:autoSpaceDN w:val="0"/>
      <w:adjustRightInd w:val="0"/>
      <w:snapToGrid w:val="0"/>
      <w:spacing w:line="240" w:lineRule="auto"/>
    </w:pPr>
    <w:rPr>
      <w:rFonts w:ascii="Georgia" w:hAnsi="Georgia" w:cs="Times New Roman"/>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F7D03"/>
    <w:pPr>
      <w:kinsoku w:val="0"/>
      <w:overflowPunct w:val="0"/>
      <w:autoSpaceDE w:val="0"/>
      <w:autoSpaceDN w:val="0"/>
      <w:adjustRightInd w:val="0"/>
      <w:snapToGrid w:val="0"/>
      <w:spacing w:line="240" w:lineRule="auto"/>
    </w:pPr>
    <w:rPr>
      <w:rFonts w:ascii="Georgia" w:hAnsi="Georgia" w:cs="Times New Roman"/>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F7D03"/>
    <w:pPr>
      <w:kinsoku w:val="0"/>
      <w:overflowPunct w:val="0"/>
      <w:autoSpaceDE w:val="0"/>
      <w:autoSpaceDN w:val="0"/>
      <w:adjustRightInd w:val="0"/>
      <w:snapToGrid w:val="0"/>
      <w:spacing w:line="240" w:lineRule="auto"/>
    </w:pPr>
    <w:rPr>
      <w:rFonts w:ascii="Georgia" w:hAnsi="Georgia" w:cs="Times New Roman"/>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F7D03"/>
    <w:pPr>
      <w:kinsoku w:val="0"/>
      <w:overflowPunct w:val="0"/>
      <w:autoSpaceDE w:val="0"/>
      <w:autoSpaceDN w:val="0"/>
      <w:adjustRightInd w:val="0"/>
      <w:snapToGrid w:val="0"/>
      <w:spacing w:line="240" w:lineRule="auto"/>
    </w:pPr>
    <w:rPr>
      <w:rFonts w:ascii="Georgia" w:hAnsi="Georgia" w:cs="Times New Roman"/>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F7D03"/>
    <w:pPr>
      <w:kinsoku w:val="0"/>
      <w:overflowPunct w:val="0"/>
      <w:autoSpaceDE w:val="0"/>
      <w:autoSpaceDN w:val="0"/>
      <w:adjustRightInd w:val="0"/>
      <w:snapToGrid w:val="0"/>
      <w:spacing w:line="240" w:lineRule="auto"/>
    </w:pPr>
    <w:rPr>
      <w:rFonts w:ascii="Georgia" w:hAnsi="Georgia" w:cs="Times New Roman"/>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F7D03"/>
    <w:pPr>
      <w:kinsoku w:val="0"/>
      <w:overflowPunct w:val="0"/>
      <w:autoSpaceDE w:val="0"/>
      <w:autoSpaceDN w:val="0"/>
      <w:adjustRightInd w:val="0"/>
      <w:snapToGrid w:val="0"/>
      <w:spacing w:line="240" w:lineRule="auto"/>
    </w:pPr>
    <w:rPr>
      <w:rFonts w:ascii="Georgia" w:hAnsi="Georgia" w:cs="Times New Roman"/>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F7D03"/>
    <w:pPr>
      <w:kinsoku w:val="0"/>
      <w:overflowPunct w:val="0"/>
      <w:autoSpaceDE w:val="0"/>
      <w:autoSpaceDN w:val="0"/>
      <w:adjustRightInd w:val="0"/>
      <w:snapToGrid w:val="0"/>
      <w:spacing w:line="240" w:lineRule="auto"/>
    </w:pPr>
    <w:rPr>
      <w:rFonts w:ascii="Georgia" w:hAnsi="Georgia" w:cs="Times New Roman"/>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3Deffects1">
    <w:name w:val="Table 3D effects 1"/>
    <w:basedOn w:val="TableNormal"/>
    <w:rsid w:val="004F7D03"/>
    <w:pPr>
      <w:kinsoku w:val="0"/>
      <w:overflowPunct w:val="0"/>
      <w:autoSpaceDE w:val="0"/>
      <w:autoSpaceDN w:val="0"/>
      <w:adjustRightInd w:val="0"/>
      <w:snapToGrid w:val="0"/>
      <w:spacing w:line="240" w:lineRule="auto"/>
    </w:pPr>
    <w:rPr>
      <w:rFonts w:ascii="Georgia" w:hAnsi="Georgia" w:cs="Times New Roman"/>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Theme">
    <w:name w:val="Table Theme"/>
    <w:basedOn w:val="TableNormal"/>
    <w:semiHidden/>
    <w:rsid w:val="004F7D03"/>
    <w:pPr>
      <w:kinsoku w:val="0"/>
      <w:overflowPunct w:val="0"/>
      <w:autoSpaceDE w:val="0"/>
      <w:autoSpaceDN w:val="0"/>
      <w:adjustRightInd w:val="0"/>
      <w:snapToGrid w:val="0"/>
      <w:spacing w:line="240" w:lineRule="auto"/>
    </w:pPr>
    <w:rPr>
      <w:rFonts w:ascii="Georgia" w:hAnsi="Georgia"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link w:val="MacroTextChar"/>
    <w:unhideWhenUsed/>
    <w:rsid w:val="004F7D03"/>
    <w:pPr>
      <w:tabs>
        <w:tab w:val="left" w:pos="567"/>
        <w:tab w:val="left" w:pos="1134"/>
        <w:tab w:val="left" w:pos="1701"/>
        <w:tab w:val="left" w:pos="2268"/>
        <w:tab w:val="left" w:pos="2835"/>
        <w:tab w:val="left" w:pos="3402"/>
        <w:tab w:val="left" w:pos="3969"/>
      </w:tabs>
      <w:kinsoku w:val="0"/>
      <w:overflowPunct w:val="0"/>
      <w:autoSpaceDE w:val="0"/>
      <w:autoSpaceDN w:val="0"/>
      <w:adjustRightInd w:val="0"/>
      <w:snapToGrid w:val="0"/>
      <w:spacing w:line="240" w:lineRule="auto"/>
    </w:pPr>
    <w:rPr>
      <w:rFonts w:ascii="Consolas" w:hAnsi="Consolas"/>
      <w:snapToGrid w:val="0"/>
      <w:color w:val="auto"/>
      <w:lang w:eastAsia="en-US"/>
    </w:rPr>
  </w:style>
  <w:style w:type="character" w:customStyle="1" w:styleId="MacroTextChar">
    <w:name w:val="Macro Text Char"/>
    <w:basedOn w:val="DefaultParagraphFont"/>
    <w:link w:val="MacroText"/>
    <w:rsid w:val="004F7D03"/>
    <w:rPr>
      <w:rFonts w:ascii="Consolas" w:hAnsi="Consolas"/>
      <w:snapToGrid w:val="0"/>
      <w:color w:val="auto"/>
      <w:lang w:eastAsia="en-US"/>
    </w:rPr>
  </w:style>
  <w:style w:type="paragraph" w:styleId="Bibliography">
    <w:name w:val="Bibliography"/>
    <w:basedOn w:val="Normal"/>
    <w:next w:val="Normal"/>
    <w:uiPriority w:val="37"/>
    <w:semiHidden/>
    <w:rsid w:val="004F7D03"/>
    <w:pPr>
      <w:kinsoku w:val="0"/>
      <w:overflowPunct w:val="0"/>
      <w:autoSpaceDE w:val="0"/>
      <w:autoSpaceDN w:val="0"/>
      <w:adjustRightInd w:val="0"/>
      <w:snapToGrid w:val="0"/>
      <w:spacing w:line="240" w:lineRule="auto"/>
    </w:pPr>
    <w:rPr>
      <w:rFonts w:ascii="Georgia" w:hAnsi="Georgia"/>
      <w:snapToGrid w:val="0"/>
      <w:lang w:eastAsia="en-US"/>
    </w:rPr>
  </w:style>
  <w:style w:type="paragraph" w:styleId="BodyText2">
    <w:name w:val="Body Text 2"/>
    <w:basedOn w:val="Normal"/>
    <w:link w:val="BodyText2Char"/>
    <w:semiHidden/>
    <w:rsid w:val="004F7D03"/>
    <w:pPr>
      <w:kinsoku w:val="0"/>
      <w:overflowPunct w:val="0"/>
      <w:autoSpaceDE w:val="0"/>
      <w:autoSpaceDN w:val="0"/>
      <w:adjustRightInd w:val="0"/>
      <w:snapToGrid w:val="0"/>
      <w:spacing w:after="120" w:line="480" w:lineRule="auto"/>
    </w:pPr>
    <w:rPr>
      <w:rFonts w:ascii="Georgia" w:hAnsi="Georgia"/>
      <w:snapToGrid w:val="0"/>
      <w:lang w:eastAsia="en-US"/>
    </w:rPr>
  </w:style>
  <w:style w:type="character" w:customStyle="1" w:styleId="BodyText2Char">
    <w:name w:val="Body Text 2 Char"/>
    <w:basedOn w:val="DefaultParagraphFont"/>
    <w:link w:val="BodyText2"/>
    <w:semiHidden/>
    <w:rsid w:val="004F7D03"/>
    <w:rPr>
      <w:rFonts w:ascii="Georgia" w:hAnsi="Georgia"/>
      <w:snapToGrid w:val="0"/>
      <w:color w:val="auto"/>
      <w:lang w:eastAsia="en-US"/>
    </w:rPr>
  </w:style>
  <w:style w:type="paragraph" w:styleId="BodyText3">
    <w:name w:val="Body Text 3"/>
    <w:basedOn w:val="Normal"/>
    <w:link w:val="BodyText3Char"/>
    <w:semiHidden/>
    <w:rsid w:val="004F7D03"/>
    <w:pPr>
      <w:kinsoku w:val="0"/>
      <w:overflowPunct w:val="0"/>
      <w:autoSpaceDE w:val="0"/>
      <w:autoSpaceDN w:val="0"/>
      <w:adjustRightInd w:val="0"/>
      <w:snapToGrid w:val="0"/>
      <w:spacing w:after="120" w:line="240" w:lineRule="auto"/>
    </w:pPr>
    <w:rPr>
      <w:rFonts w:ascii="Georgia" w:hAnsi="Georgia"/>
      <w:snapToGrid w:val="0"/>
      <w:sz w:val="16"/>
      <w:szCs w:val="16"/>
      <w:lang w:eastAsia="en-US"/>
    </w:rPr>
  </w:style>
  <w:style w:type="character" w:customStyle="1" w:styleId="BodyText3Char">
    <w:name w:val="Body Text 3 Char"/>
    <w:basedOn w:val="DefaultParagraphFont"/>
    <w:link w:val="BodyText3"/>
    <w:semiHidden/>
    <w:rsid w:val="004F7D03"/>
    <w:rPr>
      <w:rFonts w:ascii="Georgia" w:hAnsi="Georgia"/>
      <w:snapToGrid w:val="0"/>
      <w:color w:val="auto"/>
      <w:sz w:val="16"/>
      <w:szCs w:val="16"/>
      <w:lang w:eastAsia="en-US"/>
    </w:rPr>
  </w:style>
  <w:style w:type="paragraph" w:styleId="BodyTextFirstIndent">
    <w:name w:val="Body Text First Indent"/>
    <w:basedOn w:val="Normal"/>
    <w:link w:val="BodyTextFirstIndentChar"/>
    <w:rsid w:val="00923441"/>
    <w:pPr>
      <w:kinsoku w:val="0"/>
      <w:overflowPunct w:val="0"/>
      <w:autoSpaceDE w:val="0"/>
      <w:autoSpaceDN w:val="0"/>
      <w:adjustRightInd w:val="0"/>
      <w:snapToGrid w:val="0"/>
      <w:spacing w:after="0" w:line="240" w:lineRule="auto"/>
      <w:ind w:firstLine="360"/>
    </w:pPr>
    <w:rPr>
      <w:rFonts w:ascii="Georgia" w:hAnsi="Georgia"/>
      <w:snapToGrid w:val="0"/>
      <w:lang w:eastAsia="en-US"/>
    </w:rPr>
  </w:style>
  <w:style w:type="character" w:customStyle="1" w:styleId="BodyTextFirstIndentChar">
    <w:name w:val="Body Text First Indent Char"/>
    <w:basedOn w:val="DefaultParagraphFont"/>
    <w:link w:val="BodyTextFirstIndent"/>
    <w:rsid w:val="00923441"/>
    <w:rPr>
      <w:rFonts w:ascii="Georgia" w:hAnsi="Georgia" w:cs="Times New Roman"/>
      <w:snapToGrid w:val="0"/>
      <w:color w:val="auto"/>
      <w:lang w:eastAsia="en-US"/>
    </w:rPr>
  </w:style>
  <w:style w:type="paragraph" w:styleId="BodyTextIndent">
    <w:name w:val="Body Text Indent"/>
    <w:basedOn w:val="Normal"/>
    <w:link w:val="BodyTextIndentChar"/>
    <w:semiHidden/>
    <w:rsid w:val="004F7D03"/>
    <w:pPr>
      <w:kinsoku w:val="0"/>
      <w:overflowPunct w:val="0"/>
      <w:autoSpaceDE w:val="0"/>
      <w:autoSpaceDN w:val="0"/>
      <w:adjustRightInd w:val="0"/>
      <w:snapToGrid w:val="0"/>
      <w:spacing w:after="120" w:line="240" w:lineRule="auto"/>
      <w:ind w:left="283"/>
    </w:pPr>
    <w:rPr>
      <w:rFonts w:ascii="Georgia" w:hAnsi="Georgia"/>
      <w:snapToGrid w:val="0"/>
      <w:lang w:eastAsia="en-US"/>
    </w:rPr>
  </w:style>
  <w:style w:type="character" w:customStyle="1" w:styleId="BodyTextIndentChar">
    <w:name w:val="Body Text Indent Char"/>
    <w:basedOn w:val="DefaultParagraphFont"/>
    <w:link w:val="BodyTextIndent"/>
    <w:semiHidden/>
    <w:rsid w:val="004F7D03"/>
    <w:rPr>
      <w:rFonts w:ascii="Georgia" w:hAnsi="Georgia"/>
      <w:snapToGrid w:val="0"/>
      <w:color w:val="auto"/>
      <w:lang w:eastAsia="en-US"/>
    </w:rPr>
  </w:style>
  <w:style w:type="paragraph" w:styleId="BodyTextFirstIndent2">
    <w:name w:val="Body Text First Indent 2"/>
    <w:basedOn w:val="BodyTextIndent"/>
    <w:link w:val="BodyTextFirstIndent2Char"/>
    <w:semiHidden/>
    <w:rsid w:val="004F7D03"/>
    <w:pPr>
      <w:spacing w:after="0"/>
      <w:ind w:left="360" w:firstLine="360"/>
    </w:pPr>
  </w:style>
  <w:style w:type="character" w:customStyle="1" w:styleId="BodyTextFirstIndent2Char">
    <w:name w:val="Body Text First Indent 2 Char"/>
    <w:basedOn w:val="BodyTextIndentChar"/>
    <w:link w:val="BodyTextFirstIndent2"/>
    <w:semiHidden/>
    <w:rsid w:val="004F7D03"/>
    <w:rPr>
      <w:rFonts w:ascii="Georgia" w:hAnsi="Georgia"/>
      <w:snapToGrid w:val="0"/>
      <w:color w:val="auto"/>
      <w:lang w:eastAsia="en-US"/>
    </w:rPr>
  </w:style>
  <w:style w:type="paragraph" w:styleId="BodyTextIndent2">
    <w:name w:val="Body Text Indent 2"/>
    <w:basedOn w:val="Normal"/>
    <w:link w:val="BodyTextIndent2Char"/>
    <w:semiHidden/>
    <w:rsid w:val="004F7D03"/>
    <w:pPr>
      <w:kinsoku w:val="0"/>
      <w:overflowPunct w:val="0"/>
      <w:autoSpaceDE w:val="0"/>
      <w:autoSpaceDN w:val="0"/>
      <w:adjustRightInd w:val="0"/>
      <w:snapToGrid w:val="0"/>
      <w:spacing w:after="120" w:line="480" w:lineRule="auto"/>
      <w:ind w:left="283"/>
    </w:pPr>
    <w:rPr>
      <w:rFonts w:ascii="Georgia" w:hAnsi="Georgia"/>
      <w:snapToGrid w:val="0"/>
      <w:lang w:eastAsia="en-US"/>
    </w:rPr>
  </w:style>
  <w:style w:type="character" w:customStyle="1" w:styleId="BodyTextIndent2Char">
    <w:name w:val="Body Text Indent 2 Char"/>
    <w:basedOn w:val="DefaultParagraphFont"/>
    <w:link w:val="BodyTextIndent2"/>
    <w:semiHidden/>
    <w:rsid w:val="004F7D03"/>
    <w:rPr>
      <w:rFonts w:ascii="Georgia" w:hAnsi="Georgia"/>
      <w:snapToGrid w:val="0"/>
      <w:color w:val="auto"/>
      <w:lang w:eastAsia="en-US"/>
    </w:rPr>
  </w:style>
  <w:style w:type="paragraph" w:styleId="BodyTextIndent3">
    <w:name w:val="Body Text Indent 3"/>
    <w:basedOn w:val="Normal"/>
    <w:link w:val="BodyTextIndent3Char"/>
    <w:semiHidden/>
    <w:rsid w:val="004F7D03"/>
    <w:pPr>
      <w:kinsoku w:val="0"/>
      <w:overflowPunct w:val="0"/>
      <w:autoSpaceDE w:val="0"/>
      <w:autoSpaceDN w:val="0"/>
      <w:adjustRightInd w:val="0"/>
      <w:snapToGrid w:val="0"/>
      <w:spacing w:after="120" w:line="240" w:lineRule="auto"/>
      <w:ind w:left="283"/>
    </w:pPr>
    <w:rPr>
      <w:rFonts w:ascii="Georgia" w:hAnsi="Georgia"/>
      <w:snapToGrid w:val="0"/>
      <w:sz w:val="16"/>
      <w:szCs w:val="16"/>
      <w:lang w:eastAsia="en-US"/>
    </w:rPr>
  </w:style>
  <w:style w:type="character" w:customStyle="1" w:styleId="BodyTextIndent3Char">
    <w:name w:val="Body Text Indent 3 Char"/>
    <w:basedOn w:val="DefaultParagraphFont"/>
    <w:link w:val="BodyTextIndent3"/>
    <w:semiHidden/>
    <w:rsid w:val="004F7D03"/>
    <w:rPr>
      <w:rFonts w:ascii="Georgia" w:hAnsi="Georgia"/>
      <w:snapToGrid w:val="0"/>
      <w:color w:val="auto"/>
      <w:sz w:val="16"/>
      <w:szCs w:val="16"/>
      <w:lang w:eastAsia="en-US"/>
    </w:rPr>
  </w:style>
  <w:style w:type="character" w:styleId="BookTitle">
    <w:name w:val="Book Title"/>
    <w:basedOn w:val="DefaultParagraphFont"/>
    <w:uiPriority w:val="33"/>
    <w:qFormat/>
    <w:rsid w:val="004F7D03"/>
    <w:rPr>
      <w:rFonts w:ascii="Georgia" w:hAnsi="Georgia"/>
      <w:b/>
      <w:bCs/>
      <w:smallCaps/>
      <w:spacing w:val="5"/>
    </w:rPr>
  </w:style>
  <w:style w:type="paragraph" w:styleId="Closing">
    <w:name w:val="Closing"/>
    <w:basedOn w:val="Normal"/>
    <w:link w:val="ClosingChar"/>
    <w:semiHidden/>
    <w:unhideWhenUsed/>
    <w:rsid w:val="004F7D03"/>
    <w:pPr>
      <w:kinsoku w:val="0"/>
      <w:overflowPunct w:val="0"/>
      <w:autoSpaceDE w:val="0"/>
      <w:autoSpaceDN w:val="0"/>
      <w:adjustRightInd w:val="0"/>
      <w:snapToGrid w:val="0"/>
      <w:spacing w:line="240" w:lineRule="auto"/>
      <w:ind w:left="4252"/>
    </w:pPr>
    <w:rPr>
      <w:rFonts w:ascii="Georgia" w:hAnsi="Georgia"/>
      <w:snapToGrid w:val="0"/>
      <w:lang w:eastAsia="en-US"/>
    </w:rPr>
  </w:style>
  <w:style w:type="character" w:customStyle="1" w:styleId="ClosingChar">
    <w:name w:val="Closing Char"/>
    <w:basedOn w:val="DefaultParagraphFont"/>
    <w:link w:val="Closing"/>
    <w:semiHidden/>
    <w:rsid w:val="004F7D03"/>
    <w:rPr>
      <w:rFonts w:ascii="Georgia" w:hAnsi="Georgia"/>
      <w:snapToGrid w:val="0"/>
      <w:color w:val="auto"/>
      <w:lang w:eastAsia="en-US"/>
    </w:rPr>
  </w:style>
  <w:style w:type="paragraph" w:styleId="EnvelopeAddress">
    <w:name w:val="envelope address"/>
    <w:basedOn w:val="Normal"/>
    <w:semiHidden/>
    <w:unhideWhenUsed/>
    <w:rsid w:val="004F7D03"/>
    <w:pPr>
      <w:framePr w:w="7920" w:h="1980" w:hRule="exact" w:hSpace="180" w:wrap="auto" w:hAnchor="page" w:xAlign="center" w:yAlign="bottom"/>
      <w:kinsoku w:val="0"/>
      <w:overflowPunct w:val="0"/>
      <w:autoSpaceDE w:val="0"/>
      <w:autoSpaceDN w:val="0"/>
      <w:adjustRightInd w:val="0"/>
      <w:snapToGrid w:val="0"/>
      <w:spacing w:line="240" w:lineRule="auto"/>
      <w:ind w:left="2880"/>
    </w:pPr>
    <w:rPr>
      <w:rFonts w:asciiTheme="majorHAnsi" w:eastAsiaTheme="majorEastAsia" w:hAnsiTheme="majorHAnsi" w:cstheme="majorBidi"/>
      <w:snapToGrid w:val="0"/>
      <w:lang w:eastAsia="en-US"/>
    </w:rPr>
  </w:style>
  <w:style w:type="paragraph" w:styleId="EnvelopeReturn">
    <w:name w:val="envelope return"/>
    <w:basedOn w:val="Normal"/>
    <w:semiHidden/>
    <w:rsid w:val="004F7D03"/>
    <w:pPr>
      <w:kinsoku w:val="0"/>
      <w:overflowPunct w:val="0"/>
      <w:autoSpaceDE w:val="0"/>
      <w:autoSpaceDN w:val="0"/>
      <w:adjustRightInd w:val="0"/>
      <w:snapToGrid w:val="0"/>
      <w:spacing w:line="240" w:lineRule="auto"/>
    </w:pPr>
    <w:rPr>
      <w:rFonts w:asciiTheme="majorHAnsi" w:eastAsiaTheme="majorEastAsia" w:hAnsiTheme="majorHAnsi" w:cstheme="majorBidi"/>
      <w:snapToGrid w:val="0"/>
      <w:lang w:eastAsia="en-US"/>
    </w:rPr>
  </w:style>
  <w:style w:type="paragraph" w:styleId="Index1">
    <w:name w:val="index 1"/>
    <w:basedOn w:val="Normal"/>
    <w:next w:val="Normal"/>
    <w:autoRedefine/>
    <w:semiHidden/>
    <w:unhideWhenUsed/>
    <w:rsid w:val="004F7D03"/>
    <w:pPr>
      <w:spacing w:line="240" w:lineRule="auto"/>
      <w:ind w:left="200" w:hanging="200"/>
    </w:pPr>
  </w:style>
  <w:style w:type="paragraph" w:styleId="IndexHeading">
    <w:name w:val="index heading"/>
    <w:basedOn w:val="Normal"/>
    <w:next w:val="Normal"/>
    <w:semiHidden/>
    <w:rsid w:val="004F7D03"/>
    <w:pPr>
      <w:kinsoku w:val="0"/>
      <w:overflowPunct w:val="0"/>
      <w:autoSpaceDE w:val="0"/>
      <w:autoSpaceDN w:val="0"/>
      <w:adjustRightInd w:val="0"/>
      <w:snapToGrid w:val="0"/>
      <w:spacing w:line="240" w:lineRule="auto"/>
    </w:pPr>
    <w:rPr>
      <w:rFonts w:asciiTheme="majorHAnsi" w:eastAsiaTheme="majorEastAsia" w:hAnsiTheme="majorHAnsi" w:cstheme="majorBidi"/>
      <w:b/>
      <w:bCs/>
      <w:snapToGrid w:val="0"/>
      <w:lang w:eastAsia="en-US"/>
    </w:rPr>
  </w:style>
  <w:style w:type="paragraph" w:customStyle="1" w:styleId="BlockTextClient">
    <w:name w:val="Block Text Client"/>
    <w:basedOn w:val="BlockText"/>
    <w:rsid w:val="004F7D03"/>
    <w:pPr>
      <w:pBdr>
        <w:top w:val="none" w:sz="0" w:space="0" w:color="auto"/>
        <w:left w:val="none" w:sz="0" w:space="0" w:color="auto"/>
        <w:bottom w:val="none" w:sz="0" w:space="0" w:color="auto"/>
        <w:right w:val="none" w:sz="0" w:space="0" w:color="auto"/>
      </w:pBdr>
      <w:kinsoku w:val="0"/>
      <w:overflowPunct w:val="0"/>
      <w:autoSpaceDE w:val="0"/>
      <w:autoSpaceDN w:val="0"/>
      <w:adjustRightInd w:val="0"/>
      <w:snapToGrid w:val="0"/>
      <w:spacing w:line="240" w:lineRule="auto"/>
      <w:ind w:left="0" w:right="0"/>
    </w:pPr>
    <w:rPr>
      <w:rFonts w:ascii="Georgia" w:hAnsi="Georgia"/>
      <w:snapToGrid w:val="0"/>
      <w:color w:val="00B2A9" w:themeColor="accent1"/>
      <w:lang w:eastAsia="en-US"/>
    </w:rPr>
  </w:style>
  <w:style w:type="paragraph" w:customStyle="1" w:styleId="BlockTextPosition">
    <w:name w:val="Block Text Position"/>
    <w:basedOn w:val="BlockText"/>
    <w:rsid w:val="004F7D03"/>
    <w:pPr>
      <w:pBdr>
        <w:top w:val="none" w:sz="0" w:space="0" w:color="auto"/>
        <w:left w:val="none" w:sz="0" w:space="0" w:color="auto"/>
        <w:bottom w:val="none" w:sz="0" w:space="0" w:color="auto"/>
        <w:right w:val="none" w:sz="0" w:space="0" w:color="auto"/>
      </w:pBdr>
      <w:kinsoku w:val="0"/>
      <w:overflowPunct w:val="0"/>
      <w:autoSpaceDE w:val="0"/>
      <w:autoSpaceDN w:val="0"/>
      <w:adjustRightInd w:val="0"/>
      <w:snapToGrid w:val="0"/>
      <w:spacing w:after="240" w:line="240" w:lineRule="auto"/>
      <w:ind w:left="0" w:right="0"/>
    </w:pPr>
    <w:rPr>
      <w:rFonts w:ascii="Georgia" w:hAnsi="Georgia"/>
      <w:i w:val="0"/>
      <w:snapToGrid w:val="0"/>
      <w:color w:val="00B2A9" w:themeColor="accent1"/>
      <w:lang w:eastAsia="en-US"/>
    </w:rPr>
  </w:style>
  <w:style w:type="paragraph" w:customStyle="1" w:styleId="BlockText2Client">
    <w:name w:val="Block Text 2 Client"/>
    <w:basedOn w:val="Normal"/>
    <w:rsid w:val="00D06608"/>
    <w:pPr>
      <w:pBdr>
        <w:top w:val="single" w:sz="2" w:space="10" w:color="642667" w:themeColor="text2"/>
        <w:left w:val="single" w:sz="2" w:space="10" w:color="642667" w:themeColor="text2"/>
        <w:bottom w:val="single" w:sz="2" w:space="10" w:color="642667" w:themeColor="text2"/>
        <w:right w:val="single" w:sz="2" w:space="10" w:color="642667" w:themeColor="text2"/>
      </w:pBdr>
      <w:shd w:val="clear" w:color="auto" w:fill="642667" w:themeFill="text2"/>
      <w:spacing w:after="0" w:line="240" w:lineRule="auto"/>
      <w:ind w:left="227" w:right="227"/>
    </w:pPr>
    <w:rPr>
      <w:rFonts w:ascii="Georgia" w:eastAsiaTheme="minorHAnsi" w:hAnsi="Georgia" w:cstheme="minorBidi"/>
      <w:i/>
      <w:color w:val="EFE9F0" w:themeColor="background2"/>
      <w:lang w:val="en-GB" w:eastAsia="en-US"/>
    </w:rPr>
  </w:style>
  <w:style w:type="paragraph" w:customStyle="1" w:styleId="BlockText2Position">
    <w:name w:val="Block Text 2 Position"/>
    <w:basedOn w:val="Normal"/>
    <w:rsid w:val="00D06608"/>
    <w:pPr>
      <w:pBdr>
        <w:top w:val="single" w:sz="2" w:space="10" w:color="642667" w:themeColor="text2"/>
        <w:left w:val="single" w:sz="2" w:space="10" w:color="642667" w:themeColor="text2"/>
        <w:bottom w:val="single" w:sz="2" w:space="10" w:color="642667" w:themeColor="text2"/>
        <w:right w:val="single" w:sz="2" w:space="10" w:color="642667" w:themeColor="text2"/>
      </w:pBdr>
      <w:shd w:val="clear" w:color="auto" w:fill="642667" w:themeFill="text2"/>
      <w:spacing w:after="240" w:line="240" w:lineRule="auto"/>
      <w:ind w:left="227" w:right="227"/>
    </w:pPr>
    <w:rPr>
      <w:rFonts w:ascii="Georgia" w:eastAsiaTheme="minorHAnsi" w:hAnsi="Georgia" w:cstheme="minorBidi"/>
      <w:color w:val="EFE9F0" w:themeColor="background2"/>
      <w:lang w:val="en-GB" w:eastAsia="en-US"/>
    </w:rPr>
  </w:style>
  <w:style w:type="character" w:styleId="LineNumber">
    <w:name w:val="line number"/>
    <w:basedOn w:val="DefaultParagraphFont"/>
    <w:semiHidden/>
    <w:rsid w:val="004F7D03"/>
  </w:style>
  <w:style w:type="paragraph" w:styleId="ListBullet5">
    <w:name w:val="List Bullet 5"/>
    <w:basedOn w:val="ListBullet4"/>
    <w:unhideWhenUsed/>
    <w:rsid w:val="004F7D03"/>
    <w:pPr>
      <w:tabs>
        <w:tab w:val="clear" w:pos="1134"/>
        <w:tab w:val="num" w:pos="1418"/>
      </w:tabs>
      <w:ind w:left="1420"/>
      <w:contextualSpacing/>
    </w:pPr>
  </w:style>
  <w:style w:type="paragraph" w:styleId="ListNumber4">
    <w:name w:val="List Number 4"/>
    <w:basedOn w:val="ListNumber3"/>
    <w:uiPriority w:val="13"/>
    <w:unhideWhenUsed/>
    <w:rsid w:val="004F7D03"/>
    <w:pPr>
      <w:numPr>
        <w:ilvl w:val="0"/>
        <w:numId w:val="0"/>
      </w:numPr>
      <w:tabs>
        <w:tab w:val="num" w:pos="2268"/>
      </w:tabs>
      <w:kinsoku w:val="0"/>
      <w:overflowPunct w:val="0"/>
      <w:autoSpaceDE w:val="0"/>
      <w:autoSpaceDN w:val="0"/>
      <w:adjustRightInd w:val="0"/>
      <w:snapToGrid w:val="0"/>
      <w:spacing w:before="0" w:after="0" w:line="240" w:lineRule="auto"/>
      <w:ind w:left="2268" w:hanging="567"/>
      <w:contextualSpacing/>
    </w:pPr>
    <w:rPr>
      <w:rFonts w:ascii="Georgia" w:hAnsi="Georgia"/>
      <w:snapToGrid w:val="0"/>
      <w:lang w:eastAsia="en-US"/>
    </w:rPr>
  </w:style>
  <w:style w:type="paragraph" w:styleId="ListNumber5">
    <w:name w:val="List Number 5"/>
    <w:basedOn w:val="ListNumber4"/>
    <w:uiPriority w:val="13"/>
    <w:unhideWhenUsed/>
    <w:rsid w:val="004F7D03"/>
    <w:pPr>
      <w:tabs>
        <w:tab w:val="clear" w:pos="2268"/>
        <w:tab w:val="num" w:pos="2835"/>
      </w:tabs>
      <w:ind w:left="2835"/>
    </w:pPr>
  </w:style>
  <w:style w:type="paragraph" w:styleId="MessageHeader">
    <w:name w:val="Message Header"/>
    <w:basedOn w:val="Normal"/>
    <w:link w:val="MessageHeaderChar"/>
    <w:semiHidden/>
    <w:rsid w:val="004F7D03"/>
    <w:pPr>
      <w:pBdr>
        <w:top w:val="single" w:sz="6" w:space="1" w:color="auto"/>
        <w:left w:val="single" w:sz="6" w:space="1" w:color="auto"/>
        <w:bottom w:val="single" w:sz="6" w:space="1" w:color="auto"/>
        <w:right w:val="single" w:sz="6" w:space="1" w:color="auto"/>
      </w:pBdr>
      <w:shd w:val="pct20" w:color="auto" w:fill="auto"/>
      <w:kinsoku w:val="0"/>
      <w:overflowPunct w:val="0"/>
      <w:autoSpaceDE w:val="0"/>
      <w:autoSpaceDN w:val="0"/>
      <w:adjustRightInd w:val="0"/>
      <w:snapToGrid w:val="0"/>
      <w:spacing w:line="240" w:lineRule="auto"/>
      <w:ind w:left="1134" w:hanging="1134"/>
    </w:pPr>
    <w:rPr>
      <w:rFonts w:asciiTheme="majorHAnsi" w:eastAsiaTheme="majorEastAsia" w:hAnsiTheme="majorHAnsi" w:cstheme="majorBidi"/>
      <w:snapToGrid w:val="0"/>
      <w:lang w:eastAsia="en-US"/>
    </w:rPr>
  </w:style>
  <w:style w:type="character" w:customStyle="1" w:styleId="MessageHeaderChar">
    <w:name w:val="Message Header Char"/>
    <w:basedOn w:val="DefaultParagraphFont"/>
    <w:link w:val="MessageHeader"/>
    <w:semiHidden/>
    <w:rsid w:val="004F7D03"/>
    <w:rPr>
      <w:rFonts w:asciiTheme="majorHAnsi" w:eastAsiaTheme="majorEastAsia" w:hAnsiTheme="majorHAnsi" w:cstheme="majorBidi"/>
      <w:snapToGrid w:val="0"/>
      <w:color w:val="auto"/>
      <w:sz w:val="24"/>
      <w:szCs w:val="24"/>
      <w:shd w:val="pct20" w:color="auto" w:fill="auto"/>
      <w:lang w:eastAsia="en-US"/>
    </w:rPr>
  </w:style>
  <w:style w:type="paragraph" w:styleId="NormalIndent">
    <w:name w:val="Normal Indent"/>
    <w:basedOn w:val="Normal"/>
    <w:semiHidden/>
    <w:rsid w:val="004F7D03"/>
    <w:pPr>
      <w:kinsoku w:val="0"/>
      <w:overflowPunct w:val="0"/>
      <w:autoSpaceDE w:val="0"/>
      <w:autoSpaceDN w:val="0"/>
      <w:adjustRightInd w:val="0"/>
      <w:snapToGrid w:val="0"/>
      <w:spacing w:line="240" w:lineRule="auto"/>
      <w:ind w:left="720"/>
    </w:pPr>
    <w:rPr>
      <w:rFonts w:ascii="Georgia" w:hAnsi="Georgia"/>
      <w:snapToGrid w:val="0"/>
      <w:lang w:eastAsia="en-US"/>
    </w:rPr>
  </w:style>
  <w:style w:type="paragraph" w:styleId="NoteHeading">
    <w:name w:val="Note Heading"/>
    <w:basedOn w:val="Normal"/>
    <w:next w:val="Normal"/>
    <w:link w:val="NoteHeadingChar"/>
    <w:semiHidden/>
    <w:unhideWhenUsed/>
    <w:rsid w:val="004F7D03"/>
    <w:pPr>
      <w:kinsoku w:val="0"/>
      <w:overflowPunct w:val="0"/>
      <w:autoSpaceDE w:val="0"/>
      <w:autoSpaceDN w:val="0"/>
      <w:adjustRightInd w:val="0"/>
      <w:snapToGrid w:val="0"/>
      <w:spacing w:line="240" w:lineRule="auto"/>
    </w:pPr>
    <w:rPr>
      <w:rFonts w:ascii="Georgia" w:hAnsi="Georgia"/>
      <w:snapToGrid w:val="0"/>
      <w:lang w:eastAsia="en-US"/>
    </w:rPr>
  </w:style>
  <w:style w:type="character" w:customStyle="1" w:styleId="NoteHeadingChar">
    <w:name w:val="Note Heading Char"/>
    <w:basedOn w:val="DefaultParagraphFont"/>
    <w:link w:val="NoteHeading"/>
    <w:semiHidden/>
    <w:rsid w:val="004F7D03"/>
    <w:rPr>
      <w:rFonts w:ascii="Georgia" w:hAnsi="Georgia"/>
      <w:snapToGrid w:val="0"/>
      <w:color w:val="auto"/>
      <w:lang w:eastAsia="en-US"/>
    </w:rPr>
  </w:style>
  <w:style w:type="paragraph" w:styleId="PlainText">
    <w:name w:val="Plain Text"/>
    <w:basedOn w:val="Normal"/>
    <w:link w:val="PlainTextChar"/>
    <w:semiHidden/>
    <w:rsid w:val="004F7D03"/>
    <w:pPr>
      <w:kinsoku w:val="0"/>
      <w:overflowPunct w:val="0"/>
      <w:autoSpaceDE w:val="0"/>
      <w:autoSpaceDN w:val="0"/>
      <w:adjustRightInd w:val="0"/>
      <w:snapToGrid w:val="0"/>
      <w:spacing w:line="240" w:lineRule="auto"/>
    </w:pPr>
    <w:rPr>
      <w:rFonts w:ascii="Consolas" w:hAnsi="Consolas"/>
      <w:snapToGrid w:val="0"/>
      <w:lang w:eastAsia="en-US"/>
    </w:rPr>
  </w:style>
  <w:style w:type="character" w:customStyle="1" w:styleId="PlainTextChar">
    <w:name w:val="Plain Text Char"/>
    <w:basedOn w:val="DefaultParagraphFont"/>
    <w:link w:val="PlainText"/>
    <w:semiHidden/>
    <w:rsid w:val="004F7D03"/>
    <w:rPr>
      <w:rFonts w:ascii="Consolas" w:hAnsi="Consolas"/>
      <w:snapToGrid w:val="0"/>
      <w:color w:val="auto"/>
      <w:lang w:eastAsia="en-US"/>
    </w:rPr>
  </w:style>
  <w:style w:type="paragraph" w:styleId="Salutation">
    <w:name w:val="Salutation"/>
    <w:basedOn w:val="Normal"/>
    <w:next w:val="Normal"/>
    <w:link w:val="SalutationChar"/>
    <w:unhideWhenUsed/>
    <w:rsid w:val="004F7D03"/>
    <w:pPr>
      <w:kinsoku w:val="0"/>
      <w:overflowPunct w:val="0"/>
      <w:autoSpaceDE w:val="0"/>
      <w:autoSpaceDN w:val="0"/>
      <w:adjustRightInd w:val="0"/>
      <w:snapToGrid w:val="0"/>
      <w:spacing w:line="240" w:lineRule="auto"/>
    </w:pPr>
    <w:rPr>
      <w:rFonts w:ascii="Georgia" w:hAnsi="Georgia"/>
      <w:snapToGrid w:val="0"/>
      <w:lang w:eastAsia="en-US"/>
    </w:rPr>
  </w:style>
  <w:style w:type="character" w:customStyle="1" w:styleId="SalutationChar">
    <w:name w:val="Salutation Char"/>
    <w:basedOn w:val="DefaultParagraphFont"/>
    <w:link w:val="Salutation"/>
    <w:rsid w:val="004F7D03"/>
    <w:rPr>
      <w:rFonts w:ascii="Georgia" w:hAnsi="Georgia"/>
      <w:snapToGrid w:val="0"/>
      <w:color w:val="auto"/>
      <w:lang w:eastAsia="en-US"/>
    </w:rPr>
  </w:style>
  <w:style w:type="paragraph" w:styleId="Signature">
    <w:name w:val="Signature"/>
    <w:basedOn w:val="Normal"/>
    <w:link w:val="SignatureChar"/>
    <w:semiHidden/>
    <w:rsid w:val="004F7D03"/>
    <w:pPr>
      <w:kinsoku w:val="0"/>
      <w:overflowPunct w:val="0"/>
      <w:autoSpaceDE w:val="0"/>
      <w:autoSpaceDN w:val="0"/>
      <w:adjustRightInd w:val="0"/>
      <w:snapToGrid w:val="0"/>
      <w:spacing w:line="240" w:lineRule="auto"/>
      <w:ind w:left="4252"/>
    </w:pPr>
    <w:rPr>
      <w:rFonts w:ascii="Georgia" w:hAnsi="Georgia"/>
      <w:snapToGrid w:val="0"/>
      <w:lang w:eastAsia="en-US"/>
    </w:rPr>
  </w:style>
  <w:style w:type="character" w:customStyle="1" w:styleId="SignatureChar">
    <w:name w:val="Signature Char"/>
    <w:basedOn w:val="DefaultParagraphFont"/>
    <w:link w:val="Signature"/>
    <w:semiHidden/>
    <w:rsid w:val="004F7D03"/>
    <w:rPr>
      <w:rFonts w:ascii="Georgia" w:hAnsi="Georgia"/>
      <w:snapToGrid w:val="0"/>
      <w:color w:val="auto"/>
      <w:lang w:eastAsia="en-US"/>
    </w:rPr>
  </w:style>
  <w:style w:type="paragraph" w:styleId="TableofAuthorities">
    <w:name w:val="table of authorities"/>
    <w:basedOn w:val="Normal"/>
    <w:next w:val="Normal"/>
    <w:semiHidden/>
    <w:unhideWhenUsed/>
    <w:rsid w:val="004F7D03"/>
    <w:pPr>
      <w:kinsoku w:val="0"/>
      <w:overflowPunct w:val="0"/>
      <w:autoSpaceDE w:val="0"/>
      <w:autoSpaceDN w:val="0"/>
      <w:adjustRightInd w:val="0"/>
      <w:snapToGrid w:val="0"/>
      <w:spacing w:line="240" w:lineRule="auto"/>
      <w:ind w:left="210" w:hanging="210"/>
    </w:pPr>
    <w:rPr>
      <w:rFonts w:ascii="Georgia" w:hAnsi="Georgia"/>
      <w:snapToGrid w:val="0"/>
      <w:lang w:eastAsia="en-US"/>
    </w:rPr>
  </w:style>
  <w:style w:type="paragraph" w:styleId="TOAHeading">
    <w:name w:val="toa heading"/>
    <w:basedOn w:val="Normal"/>
    <w:next w:val="Normal"/>
    <w:semiHidden/>
    <w:unhideWhenUsed/>
    <w:rsid w:val="004F7D03"/>
    <w:pPr>
      <w:kinsoku w:val="0"/>
      <w:overflowPunct w:val="0"/>
      <w:autoSpaceDE w:val="0"/>
      <w:autoSpaceDN w:val="0"/>
      <w:adjustRightInd w:val="0"/>
      <w:snapToGrid w:val="0"/>
      <w:spacing w:before="120" w:line="240" w:lineRule="auto"/>
    </w:pPr>
    <w:rPr>
      <w:rFonts w:asciiTheme="majorHAnsi" w:eastAsiaTheme="majorEastAsia" w:hAnsiTheme="majorHAnsi" w:cstheme="majorBidi"/>
      <w:b/>
      <w:bCs/>
      <w:snapToGrid w:val="0"/>
      <w:lang w:eastAsia="en-US"/>
    </w:rPr>
  </w:style>
  <w:style w:type="paragraph" w:customStyle="1" w:styleId="CoverPanelFrame">
    <w:name w:val="Cover Panel Frame"/>
    <w:basedOn w:val="Coverpulloutframe"/>
    <w:rsid w:val="004F7D03"/>
    <w:pPr>
      <w:framePr w:w="7441" w:wrap="notBeside" w:vAnchor="margin" w:hAnchor="text" w:x="-112" w:y="1"/>
      <w:pBdr>
        <w:top w:val="single" w:sz="4" w:space="1" w:color="auto"/>
        <w:left w:val="single" w:sz="4" w:space="4" w:color="auto"/>
      </w:pBdr>
    </w:pPr>
    <w:rPr>
      <w:rFonts w:eastAsia="+mn-ea"/>
    </w:rPr>
  </w:style>
  <w:style w:type="paragraph" w:customStyle="1" w:styleId="LogoActivated">
    <w:name w:val="Logo Activated"/>
    <w:basedOn w:val="Normal"/>
    <w:rsid w:val="004F7D03"/>
    <w:pPr>
      <w:framePr w:w="3119" w:h="1412" w:hRule="exact" w:wrap="around" w:vAnchor="page" w:hAnchor="page" w:x="1543" w:y="15299"/>
      <w:tabs>
        <w:tab w:val="center" w:pos="2551"/>
        <w:tab w:val="right" w:pos="7682"/>
      </w:tabs>
      <w:kinsoku w:val="0"/>
      <w:overflowPunct w:val="0"/>
      <w:autoSpaceDE w:val="0"/>
      <w:autoSpaceDN w:val="0"/>
      <w:adjustRightInd w:val="0"/>
      <w:snapToGrid w:val="0"/>
      <w:spacing w:line="0" w:lineRule="atLeast"/>
    </w:pPr>
    <w:rPr>
      <w:rFonts w:asciiTheme="majorHAnsi" w:hAnsiTheme="majorHAnsi"/>
      <w:noProof/>
      <w:sz w:val="18"/>
      <w:szCs w:val="32"/>
    </w:rPr>
  </w:style>
  <w:style w:type="paragraph" w:customStyle="1" w:styleId="FirstPagePanelFrame">
    <w:name w:val="First Page Panel Frame"/>
    <w:basedOn w:val="CoverPanelFrame"/>
    <w:rsid w:val="004F7D03"/>
    <w:pPr>
      <w:framePr w:w="8334" w:h="227" w:hRule="exact" w:wrap="notBeside" w:y="-169"/>
      <w:pBdr>
        <w:top w:val="single" w:sz="6" w:space="1" w:color="642667" w:themeColor="text2"/>
        <w:left w:val="single" w:sz="6" w:space="4" w:color="642667" w:themeColor="text2"/>
      </w:pBdr>
    </w:pPr>
  </w:style>
  <w:style w:type="paragraph" w:customStyle="1" w:styleId="URLCover">
    <w:name w:val="URL Cover"/>
    <w:basedOn w:val="Normal"/>
    <w:rsid w:val="004F7D03"/>
    <w:pPr>
      <w:kinsoku w:val="0"/>
      <w:overflowPunct w:val="0"/>
      <w:autoSpaceDE w:val="0"/>
      <w:autoSpaceDN w:val="0"/>
      <w:adjustRightInd w:val="0"/>
      <w:snapToGrid w:val="0"/>
      <w:spacing w:line="240" w:lineRule="auto"/>
    </w:pPr>
    <w:rPr>
      <w:rFonts w:ascii="Georgia" w:hAnsi="Georgia"/>
      <w:snapToGrid w:val="0"/>
      <w:sz w:val="19"/>
      <w:lang w:eastAsia="en-US"/>
    </w:rPr>
  </w:style>
  <w:style w:type="paragraph" w:customStyle="1" w:styleId="Coverpulloutframe">
    <w:name w:val="Cover pull out frame"/>
    <w:basedOn w:val="KeySentenceInside"/>
    <w:rsid w:val="004F7D03"/>
    <w:pPr>
      <w:framePr w:w="2189" w:h="227" w:wrap="notBeside" w:vAnchor="page" w:hAnchor="page" w:x="908" w:y="8415"/>
      <w:pBdr>
        <w:top w:val="dotted" w:sz="8" w:space="1" w:color="642667" w:themeColor="text2"/>
        <w:left w:val="dotted" w:sz="8" w:space="4" w:color="642667" w:themeColor="text2"/>
      </w:pBdr>
      <w:spacing w:after="0" w:line="0" w:lineRule="atLeast"/>
    </w:pPr>
    <w:rPr>
      <w:color w:val="auto"/>
      <w:sz w:val="8"/>
      <w:lang w:val="en-GB"/>
    </w:rPr>
  </w:style>
  <w:style w:type="paragraph" w:customStyle="1" w:styleId="CoverOutcomeHeadline">
    <w:name w:val="Cover Outcome Headline"/>
    <w:basedOn w:val="PwCNormal"/>
    <w:rsid w:val="004F7D03"/>
    <w:pPr>
      <w:spacing w:after="0" w:line="960" w:lineRule="atLeast"/>
      <w:ind w:right="1701"/>
    </w:pPr>
    <w:rPr>
      <w:b/>
      <w:i/>
      <w:color w:val="FFFFFF" w:themeColor="background1"/>
      <w:sz w:val="88"/>
      <w:szCs w:val="88"/>
      <w:lang w:val="en-GB"/>
    </w:rPr>
  </w:style>
  <w:style w:type="paragraph" w:customStyle="1" w:styleId="CoverOutcomeSubtitle">
    <w:name w:val="Cover Outcome Subtitle"/>
    <w:basedOn w:val="CoverOutcomeHeadline"/>
    <w:rsid w:val="004F7D03"/>
    <w:rPr>
      <w:b w:val="0"/>
      <w:i w:val="0"/>
    </w:rPr>
  </w:style>
  <w:style w:type="paragraph" w:customStyle="1" w:styleId="LogoFixed">
    <w:name w:val="Logo Fixed"/>
    <w:basedOn w:val="LogoActivated"/>
    <w:rsid w:val="004F7D03"/>
    <w:pPr>
      <w:framePr w:h="2733" w:hRule="exact" w:wrap="around" w:x="1322" w:y="14125"/>
    </w:pPr>
  </w:style>
  <w:style w:type="paragraph" w:customStyle="1" w:styleId="NumericCaption">
    <w:name w:val="Numeric Caption"/>
    <w:basedOn w:val="Caption"/>
    <w:rsid w:val="004F7D03"/>
    <w:pPr>
      <w:keepLines/>
      <w:tabs>
        <w:tab w:val="left" w:pos="992"/>
      </w:tabs>
      <w:kinsoku w:val="0"/>
      <w:overflowPunct w:val="0"/>
      <w:autoSpaceDE w:val="0"/>
      <w:autoSpaceDN w:val="0"/>
      <w:adjustRightInd w:val="0"/>
      <w:snapToGrid w:val="0"/>
      <w:spacing w:before="240"/>
      <w:ind w:left="992" w:hanging="992"/>
    </w:pPr>
    <w:rPr>
      <w:rFonts w:ascii="Arial" w:hAnsi="Arial"/>
      <w:snapToGrid w:val="0"/>
      <w:color w:val="642667" w:themeColor="text2"/>
      <w:szCs w:val="18"/>
      <w:lang w:eastAsia="en-US"/>
    </w:rPr>
  </w:style>
  <w:style w:type="paragraph" w:customStyle="1" w:styleId="NumericTableColumnHeadingNormal">
    <w:name w:val="Numeric Table Column Heading Normal"/>
    <w:basedOn w:val="TableColumnHeadingNormal"/>
    <w:rsid w:val="004F7D03"/>
    <w:rPr>
      <w:rFonts w:ascii="Arial" w:hAnsi="Arial"/>
    </w:rPr>
  </w:style>
  <w:style w:type="paragraph" w:customStyle="1" w:styleId="NumericTableTextNormal">
    <w:name w:val="Numeric Table Text Normal"/>
    <w:basedOn w:val="TableTextNormal"/>
    <w:rsid w:val="004F7D03"/>
    <w:rPr>
      <w:rFonts w:ascii="Arial" w:hAnsi="Arial"/>
    </w:rPr>
  </w:style>
  <w:style w:type="paragraph" w:customStyle="1" w:styleId="NumericSources">
    <w:name w:val="Numeric Sources"/>
    <w:basedOn w:val="Sources"/>
    <w:rsid w:val="004F7D03"/>
    <w:rPr>
      <w:rFonts w:ascii="Arial" w:hAnsi="Arial"/>
    </w:rPr>
  </w:style>
  <w:style w:type="paragraph" w:customStyle="1" w:styleId="NumericTableColumnHeadingSmall">
    <w:name w:val="Numeric Table Column Heading Small"/>
    <w:basedOn w:val="NumericTableColumnHeadingNormal"/>
    <w:rsid w:val="004F7D03"/>
    <w:rPr>
      <w:sz w:val="16"/>
      <w:szCs w:val="16"/>
    </w:rPr>
  </w:style>
  <w:style w:type="paragraph" w:customStyle="1" w:styleId="NumericTableTextSmall">
    <w:name w:val="Numeric Table Text Small"/>
    <w:basedOn w:val="NumericTableTextNormal"/>
    <w:rsid w:val="004F7D03"/>
    <w:rPr>
      <w:sz w:val="16"/>
      <w:szCs w:val="16"/>
    </w:rPr>
  </w:style>
  <w:style w:type="paragraph" w:customStyle="1" w:styleId="NumericTableTextDecimalNormal">
    <w:name w:val="Numeric Table Text Decimal Normal"/>
    <w:basedOn w:val="NumericTableTextNormal"/>
    <w:rsid w:val="004F7D03"/>
    <w:pPr>
      <w:tabs>
        <w:tab w:val="decimal" w:pos="1004"/>
      </w:tabs>
    </w:pPr>
  </w:style>
  <w:style w:type="paragraph" w:customStyle="1" w:styleId="NumericTableTextDecimalSmall">
    <w:name w:val="Numeric Table Text Decimal Small"/>
    <w:basedOn w:val="NumericTableTextDecimalNormal"/>
    <w:rsid w:val="004F7D03"/>
    <w:rPr>
      <w:sz w:val="16"/>
      <w:szCs w:val="16"/>
    </w:rPr>
  </w:style>
  <w:style w:type="paragraph" w:customStyle="1" w:styleId="Heading2Nospacing">
    <w:name w:val="Heading 2 No spacing"/>
    <w:basedOn w:val="Heading2"/>
    <w:rsid w:val="004F7D03"/>
    <w:pPr>
      <w:pageBreakBefore/>
      <w:tabs>
        <w:tab w:val="num" w:pos="850"/>
      </w:tabs>
      <w:kinsoku w:val="0"/>
      <w:overflowPunct w:val="0"/>
      <w:autoSpaceDE w:val="0"/>
      <w:autoSpaceDN w:val="0"/>
      <w:adjustRightInd w:val="0"/>
      <w:snapToGrid w:val="0"/>
      <w:spacing w:after="0" w:line="0" w:lineRule="atLeast"/>
      <w:ind w:left="851" w:hanging="851"/>
    </w:pPr>
    <w:rPr>
      <w:rFonts w:asciiTheme="majorHAnsi" w:hAnsiTheme="majorHAnsi"/>
      <w:snapToGrid w:val="0"/>
      <w:color w:val="363534" w:themeColor="text1"/>
      <w:kern w:val="0"/>
      <w:sz w:val="56"/>
      <w:szCs w:val="36"/>
      <w:lang w:eastAsia="en-US"/>
    </w:rPr>
  </w:style>
  <w:style w:type="paragraph" w:customStyle="1" w:styleId="TableNumberedList1">
    <w:name w:val="Table Numbered List 1"/>
    <w:basedOn w:val="TableTextNormal"/>
    <w:rsid w:val="004F7D03"/>
    <w:pPr>
      <w:numPr>
        <w:numId w:val="27"/>
      </w:numPr>
    </w:pPr>
  </w:style>
  <w:style w:type="paragraph" w:customStyle="1" w:styleId="TableNumberedList2">
    <w:name w:val="Table Numbered List 2"/>
    <w:basedOn w:val="TableNumberedList1"/>
    <w:rsid w:val="004F7D03"/>
    <w:pPr>
      <w:numPr>
        <w:ilvl w:val="1"/>
      </w:numPr>
      <w:spacing w:before="40" w:after="40"/>
    </w:pPr>
  </w:style>
  <w:style w:type="paragraph" w:customStyle="1" w:styleId="TableNumberedList3">
    <w:name w:val="Table Numbered List 3"/>
    <w:basedOn w:val="TableNumberedList2"/>
    <w:rsid w:val="004F7D03"/>
    <w:pPr>
      <w:numPr>
        <w:ilvl w:val="2"/>
      </w:numPr>
    </w:pPr>
  </w:style>
  <w:style w:type="paragraph" w:customStyle="1" w:styleId="TableNumberedListSmall1">
    <w:name w:val="Table Numbered List Small 1"/>
    <w:basedOn w:val="TableTextSmall"/>
    <w:rsid w:val="004F7D03"/>
    <w:pPr>
      <w:numPr>
        <w:numId w:val="29"/>
      </w:numPr>
    </w:pPr>
  </w:style>
  <w:style w:type="paragraph" w:customStyle="1" w:styleId="TableNumberedListSmall2">
    <w:name w:val="Table Numbered List Small 2"/>
    <w:basedOn w:val="TableNumberedListSmall1"/>
    <w:rsid w:val="004F7D03"/>
    <w:pPr>
      <w:numPr>
        <w:ilvl w:val="1"/>
      </w:numPr>
    </w:pPr>
    <w:rPr>
      <w:szCs w:val="21"/>
    </w:rPr>
  </w:style>
  <w:style w:type="paragraph" w:customStyle="1" w:styleId="TableNumberedListSmall3">
    <w:name w:val="Table Numbered List Small 3"/>
    <w:basedOn w:val="TableNumberedListSmall2"/>
    <w:rsid w:val="004F7D03"/>
    <w:pPr>
      <w:numPr>
        <w:ilvl w:val="2"/>
      </w:numPr>
    </w:pPr>
  </w:style>
  <w:style w:type="numbering" w:customStyle="1" w:styleId="ListNumberList">
    <w:name w:val="List Number List"/>
    <w:uiPriority w:val="99"/>
    <w:rsid w:val="004F7D03"/>
    <w:pPr>
      <w:numPr>
        <w:numId w:val="30"/>
      </w:numPr>
    </w:pPr>
  </w:style>
  <w:style w:type="numbering" w:styleId="111111">
    <w:name w:val="Outline List 2"/>
    <w:basedOn w:val="NoList"/>
    <w:rsid w:val="004F7D03"/>
    <w:pPr>
      <w:numPr>
        <w:numId w:val="31"/>
      </w:numPr>
    </w:pPr>
  </w:style>
  <w:style w:type="numbering" w:styleId="ArticleSection">
    <w:name w:val="Outline List 3"/>
    <w:basedOn w:val="NoList"/>
    <w:rsid w:val="004F7D03"/>
    <w:pPr>
      <w:numPr>
        <w:numId w:val="32"/>
      </w:numPr>
    </w:pPr>
  </w:style>
  <w:style w:type="paragraph" w:customStyle="1" w:styleId="Minorheading3">
    <w:name w:val="Minor heading 3"/>
    <w:basedOn w:val="Minorheading2"/>
    <w:rsid w:val="004F7D03"/>
    <w:pPr>
      <w:spacing w:before="120"/>
    </w:pPr>
    <w:rPr>
      <w:b w:val="0"/>
      <w:i/>
    </w:rPr>
  </w:style>
  <w:style w:type="table" w:customStyle="1" w:styleId="Tables-APLines">
    <w:name w:val="Tables - AP Lines"/>
    <w:basedOn w:val="TableNormal"/>
    <w:rsid w:val="004F7D03"/>
    <w:pPr>
      <w:spacing w:line="240" w:lineRule="auto"/>
    </w:pPr>
    <w:rPr>
      <w:rFonts w:ascii="Georgia" w:hAnsi="Georgia" w:cs="Times New Roman"/>
      <w:color w:val="auto"/>
    </w:rPr>
    <w:tblPr>
      <w:tblStyleRowBandSize w:val="1"/>
      <w:tblStyleColBandSize w:val="1"/>
      <w:tblBorders>
        <w:insideH w:val="single" w:sz="4" w:space="0" w:color="642667" w:themeColor="text2"/>
        <w:insideV w:val="single" w:sz="4" w:space="0" w:color="642667" w:themeColor="text2"/>
      </w:tblBorders>
    </w:tblPr>
    <w:tcPr>
      <w:shd w:val="clear" w:color="auto" w:fill="auto"/>
    </w:tcPr>
    <w:tblStylePr w:type="firstRow">
      <w:pPr>
        <w:jc w:val="center"/>
      </w:pPr>
      <w:rPr>
        <w:rFonts w:asciiTheme="minorHAnsi" w:hAnsiTheme="minorHAnsi"/>
        <w:color w:val="auto"/>
      </w:rPr>
      <w:tblPr/>
      <w:tcPr>
        <w:vAlign w:val="bottom"/>
      </w:tcPr>
    </w:tblStylePr>
    <w:tblStylePr w:type="lastRow">
      <w:rPr>
        <w:color w:val="FFFFFF" w:themeColor="background1"/>
      </w:rPr>
    </w:tblStylePr>
    <w:tblStylePr w:type="nwCell">
      <w:pPr>
        <w:jc w:val="left"/>
      </w:pPr>
      <w:tblPr/>
      <w:tcPr>
        <w:vAlign w:val="bottom"/>
      </w:tcPr>
    </w:tblStylePr>
  </w:style>
  <w:style w:type="table" w:customStyle="1" w:styleId="PwCPanelframe">
    <w:name w:val="PwC Panel frame"/>
    <w:basedOn w:val="TableNormal"/>
    <w:uiPriority w:val="99"/>
    <w:qFormat/>
    <w:rsid w:val="004F7D03"/>
    <w:pPr>
      <w:spacing w:line="227" w:lineRule="exact"/>
    </w:pPr>
    <w:rPr>
      <w:rFonts w:ascii="Georgia" w:hAnsi="Georgia" w:cs="Times New Roman"/>
      <w:color w:val="auto"/>
      <w:sz w:val="8"/>
    </w:rPr>
    <w:tblPr>
      <w:tblBorders>
        <w:top w:val="single" w:sz="8" w:space="0" w:color="642667" w:themeColor="text2"/>
        <w:left w:val="single" w:sz="8" w:space="0" w:color="642667" w:themeColor="text2"/>
      </w:tblBorders>
      <w:tblCellMar>
        <w:left w:w="227" w:type="dxa"/>
        <w:right w:w="0" w:type="dxa"/>
      </w:tblCellMar>
    </w:tblPr>
    <w:tcPr>
      <w:shd w:val="clear" w:color="auto" w:fill="auto"/>
    </w:tcPr>
  </w:style>
  <w:style w:type="table" w:customStyle="1" w:styleId="PwCpull-outframe">
    <w:name w:val="PwC pull-out frame"/>
    <w:basedOn w:val="PwCPanelframe"/>
    <w:uiPriority w:val="99"/>
    <w:rsid w:val="004F7D03"/>
    <w:tblPr>
      <w:tblBorders>
        <w:top w:val="dotted" w:sz="8" w:space="0" w:color="642667" w:themeColor="text2"/>
        <w:left w:val="dotted" w:sz="8" w:space="0" w:color="642667" w:themeColor="text2"/>
      </w:tblBorders>
    </w:tblPr>
    <w:tcPr>
      <w:shd w:val="clear" w:color="auto" w:fill="auto"/>
    </w:tcPr>
  </w:style>
  <w:style w:type="paragraph" w:customStyle="1" w:styleId="Bullet1">
    <w:name w:val="Bullet 1"/>
    <w:aliases w:val="FACS,MA Bullet 1,Alt.,b1,Bullet for no #'s,Bullet for no #'s Char,MA Bullet 1 Char,Alt. Char,Bullet,body,Bullet ...,body Char Char,body Char Char Char5,body Char Char Char Char,body Char Char Char Char Char Char Char Char,Bullet 1 Char1"/>
    <w:basedOn w:val="PwCNormal"/>
    <w:link w:val="Bullet1CharChar"/>
    <w:rsid w:val="004F7D03"/>
    <w:pPr>
      <w:numPr>
        <w:numId w:val="36"/>
      </w:numPr>
      <w:spacing w:after="80"/>
    </w:pPr>
  </w:style>
  <w:style w:type="paragraph" w:customStyle="1" w:styleId="Bullet2">
    <w:name w:val="Bullet 2"/>
    <w:basedOn w:val="Bullet1"/>
    <w:uiPriority w:val="99"/>
    <w:rsid w:val="004F7D03"/>
    <w:pPr>
      <w:numPr>
        <w:ilvl w:val="1"/>
      </w:numPr>
      <w:tabs>
        <w:tab w:val="clear" w:pos="567"/>
        <w:tab w:val="num" w:pos="926"/>
      </w:tabs>
      <w:ind w:left="567" w:hanging="283"/>
    </w:pPr>
  </w:style>
  <w:style w:type="paragraph" w:customStyle="1" w:styleId="Bullet3">
    <w:name w:val="Bullet 3"/>
    <w:basedOn w:val="Bullet2"/>
    <w:uiPriority w:val="99"/>
    <w:rsid w:val="004F7D03"/>
    <w:pPr>
      <w:numPr>
        <w:ilvl w:val="2"/>
      </w:numPr>
      <w:tabs>
        <w:tab w:val="clear" w:pos="851"/>
        <w:tab w:val="num" w:pos="0"/>
        <w:tab w:val="num" w:pos="926"/>
      </w:tabs>
      <w:ind w:left="0" w:firstLine="0"/>
    </w:pPr>
  </w:style>
  <w:style w:type="paragraph" w:customStyle="1" w:styleId="Bullet4">
    <w:name w:val="Bullet 4"/>
    <w:basedOn w:val="Bullet3"/>
    <w:uiPriority w:val="99"/>
    <w:rsid w:val="004F7D03"/>
    <w:pPr>
      <w:numPr>
        <w:ilvl w:val="3"/>
      </w:numPr>
      <w:tabs>
        <w:tab w:val="clear" w:pos="1134"/>
        <w:tab w:val="num" w:pos="0"/>
        <w:tab w:val="num" w:pos="926"/>
      </w:tabs>
      <w:ind w:left="0" w:hanging="5670"/>
    </w:pPr>
  </w:style>
  <w:style w:type="numbering" w:customStyle="1" w:styleId="Bullets">
    <w:name w:val="Bullets"/>
    <w:uiPriority w:val="99"/>
    <w:rsid w:val="004F7D03"/>
    <w:pPr>
      <w:numPr>
        <w:numId w:val="33"/>
      </w:numPr>
    </w:pPr>
  </w:style>
  <w:style w:type="paragraph" w:customStyle="1" w:styleId="FirstPagePanelFrame-Contents">
    <w:name w:val="First Page Panel Frame - Contents"/>
    <w:basedOn w:val="FirstPagePanelFrame"/>
    <w:rsid w:val="004F7D03"/>
    <w:pPr>
      <w:framePr w:wrap="notBeside"/>
    </w:pPr>
  </w:style>
  <w:style w:type="numbering" w:customStyle="1" w:styleId="ChapterNumberingList">
    <w:name w:val="Chapter Numbering List"/>
    <w:uiPriority w:val="99"/>
    <w:rsid w:val="004F7D03"/>
    <w:pPr>
      <w:numPr>
        <w:numId w:val="35"/>
      </w:numPr>
    </w:pPr>
  </w:style>
  <w:style w:type="table" w:customStyle="1" w:styleId="LightList-Accent11">
    <w:name w:val="Light List - Accent 11"/>
    <w:basedOn w:val="TableNormal"/>
    <w:uiPriority w:val="61"/>
    <w:rsid w:val="004F7D03"/>
    <w:pPr>
      <w:spacing w:line="240" w:lineRule="auto"/>
    </w:pPr>
    <w:rPr>
      <w:rFonts w:ascii="Georgia" w:hAnsi="Georgia" w:cs="Times New Roman"/>
      <w:color w:val="auto"/>
    </w:rPr>
    <w:tblPr>
      <w:tblStyleRowBandSize w:val="1"/>
      <w:tblStyleColBandSize w:val="1"/>
      <w:tblBorders>
        <w:top w:val="single" w:sz="8" w:space="0" w:color="00B2A9" w:themeColor="accent1"/>
        <w:left w:val="single" w:sz="8" w:space="0" w:color="00B2A9" w:themeColor="accent1"/>
        <w:bottom w:val="single" w:sz="8" w:space="0" w:color="00B2A9" w:themeColor="accent1"/>
        <w:right w:val="single" w:sz="8" w:space="0" w:color="00B2A9" w:themeColor="accent1"/>
      </w:tblBorders>
    </w:tblPr>
    <w:tblStylePr w:type="firstRow">
      <w:pPr>
        <w:spacing w:before="0" w:after="0" w:line="240" w:lineRule="auto"/>
      </w:pPr>
      <w:rPr>
        <w:b/>
        <w:bCs/>
        <w:color w:val="FFFFFF" w:themeColor="background1"/>
      </w:rPr>
      <w:tblPr/>
      <w:tcPr>
        <w:shd w:val="clear" w:color="auto" w:fill="00B2A9" w:themeFill="accent1"/>
      </w:tcPr>
    </w:tblStylePr>
    <w:tblStylePr w:type="lastRow">
      <w:pPr>
        <w:spacing w:before="0" w:after="0" w:line="240" w:lineRule="auto"/>
      </w:pPr>
      <w:rPr>
        <w:b/>
        <w:bCs/>
      </w:rPr>
      <w:tblPr/>
      <w:tcPr>
        <w:tcBorders>
          <w:top w:val="double" w:sz="6" w:space="0" w:color="00B2A9" w:themeColor="accent1"/>
          <w:left w:val="single" w:sz="8" w:space="0" w:color="00B2A9" w:themeColor="accent1"/>
          <w:bottom w:val="single" w:sz="8" w:space="0" w:color="00B2A9" w:themeColor="accent1"/>
          <w:right w:val="single" w:sz="8" w:space="0" w:color="00B2A9" w:themeColor="accent1"/>
        </w:tcBorders>
      </w:tcPr>
    </w:tblStylePr>
    <w:tblStylePr w:type="firstCol">
      <w:rPr>
        <w:b/>
        <w:bCs/>
      </w:rPr>
    </w:tblStylePr>
    <w:tblStylePr w:type="lastCol">
      <w:rPr>
        <w:b/>
        <w:bCs/>
      </w:rPr>
    </w:tblStylePr>
    <w:tblStylePr w:type="band1Vert">
      <w:tblPr/>
      <w:tcPr>
        <w:tcBorders>
          <w:top w:val="single" w:sz="8" w:space="0" w:color="00B2A9" w:themeColor="accent1"/>
          <w:left w:val="single" w:sz="8" w:space="0" w:color="00B2A9" w:themeColor="accent1"/>
          <w:bottom w:val="single" w:sz="8" w:space="0" w:color="00B2A9" w:themeColor="accent1"/>
          <w:right w:val="single" w:sz="8" w:space="0" w:color="00B2A9" w:themeColor="accent1"/>
        </w:tcBorders>
      </w:tcPr>
    </w:tblStylePr>
    <w:tblStylePr w:type="band1Horz">
      <w:tblPr/>
      <w:tcPr>
        <w:tcBorders>
          <w:top w:val="single" w:sz="8" w:space="0" w:color="00B2A9" w:themeColor="accent1"/>
          <w:left w:val="single" w:sz="8" w:space="0" w:color="00B2A9" w:themeColor="accent1"/>
          <w:bottom w:val="single" w:sz="8" w:space="0" w:color="00B2A9" w:themeColor="accent1"/>
          <w:right w:val="single" w:sz="8" w:space="0" w:color="00B2A9" w:themeColor="accent1"/>
        </w:tcBorders>
      </w:tcPr>
    </w:tblStylePr>
  </w:style>
  <w:style w:type="character" w:customStyle="1" w:styleId="apple-converted-space">
    <w:name w:val="apple-converted-space"/>
    <w:basedOn w:val="DefaultParagraphFont"/>
    <w:rsid w:val="004F7D03"/>
  </w:style>
  <w:style w:type="paragraph" w:styleId="Revision">
    <w:name w:val="Revision"/>
    <w:hidden/>
    <w:uiPriority w:val="99"/>
    <w:semiHidden/>
    <w:rsid w:val="004F7D03"/>
    <w:pPr>
      <w:spacing w:line="240" w:lineRule="auto"/>
    </w:pPr>
    <w:rPr>
      <w:rFonts w:ascii="Georgia" w:hAnsi="Georgia"/>
      <w:snapToGrid w:val="0"/>
      <w:color w:val="auto"/>
      <w:lang w:eastAsia="en-US"/>
    </w:rPr>
  </w:style>
  <w:style w:type="character" w:customStyle="1" w:styleId="Bullet1CharChar">
    <w:name w:val="Bullet 1 Char Char"/>
    <w:basedOn w:val="DefaultParagraphFont"/>
    <w:link w:val="Bullet1"/>
    <w:locked/>
    <w:rsid w:val="004F7D03"/>
    <w:rPr>
      <w:rFonts w:ascii="Georgia" w:hAnsi="Georgia"/>
      <w:snapToGrid w:val="0"/>
      <w:color w:val="auto"/>
      <w:lang w:eastAsia="en-US"/>
    </w:rPr>
  </w:style>
  <w:style w:type="character" w:styleId="Emphasis">
    <w:name w:val="Emphasis"/>
    <w:basedOn w:val="DefaultParagraphFont"/>
    <w:uiPriority w:val="20"/>
    <w:qFormat/>
    <w:rsid w:val="004F7D03"/>
    <w:rPr>
      <w:i/>
      <w:iCs/>
    </w:rPr>
  </w:style>
  <w:style w:type="paragraph" w:customStyle="1" w:styleId="TableParagraph">
    <w:name w:val="Table Paragraph"/>
    <w:basedOn w:val="Normal"/>
    <w:uiPriority w:val="1"/>
    <w:qFormat/>
    <w:rsid w:val="004F7D03"/>
    <w:pPr>
      <w:widowControl w:val="0"/>
      <w:spacing w:line="240" w:lineRule="auto"/>
    </w:pPr>
    <w:rPr>
      <w:rFonts w:eastAsiaTheme="minorHAnsi" w:cstheme="minorBidi"/>
      <w:sz w:val="22"/>
      <w:szCs w:val="22"/>
      <w:lang w:val="en-US" w:eastAsia="en-US"/>
    </w:rPr>
  </w:style>
  <w:style w:type="paragraph" w:customStyle="1" w:styleId="StyleListBulletBefore12ptAfter12pt">
    <w:name w:val="Style List Bullet + Before:  12 pt After:  12 pt"/>
    <w:basedOn w:val="ListBullet"/>
    <w:rsid w:val="004F7D03"/>
    <w:pPr>
      <w:tabs>
        <w:tab w:val="clear" w:pos="170"/>
        <w:tab w:val="num" w:pos="284"/>
      </w:tabs>
      <w:kinsoku w:val="0"/>
      <w:overflowPunct w:val="0"/>
      <w:autoSpaceDE w:val="0"/>
      <w:autoSpaceDN w:val="0"/>
      <w:adjustRightInd w:val="0"/>
      <w:snapToGrid w:val="0"/>
      <w:spacing w:before="60" w:line="240" w:lineRule="auto"/>
      <w:ind w:left="284" w:hanging="284"/>
    </w:pPr>
    <w:rPr>
      <w:rFonts w:ascii="Georgia" w:hAnsi="Georgia" w:cs="Times New Roman"/>
      <w:snapToGrid w:val="0"/>
      <w:lang w:eastAsia="en-US"/>
    </w:rPr>
  </w:style>
  <w:style w:type="paragraph" w:customStyle="1" w:styleId="StylePwCNormalCustomColorRGB222222">
    <w:name w:val="Style PwC Normal + Custom Color(RGB(222222))"/>
    <w:basedOn w:val="PwCNormal"/>
    <w:rsid w:val="004F7D03"/>
    <w:rPr>
      <w:color w:val="161616"/>
    </w:rPr>
  </w:style>
  <w:style w:type="paragraph" w:customStyle="1" w:styleId="Pullout">
    <w:name w:val="_Pullout"/>
    <w:qFormat/>
    <w:rsid w:val="004F7D03"/>
    <w:pPr>
      <w:spacing w:before="85" w:after="170" w:line="300" w:lineRule="atLeast"/>
    </w:pPr>
    <w:rPr>
      <w:rFonts w:ascii="Calibri" w:hAnsi="Calibri"/>
      <w:color w:val="228591"/>
      <w:lang w:eastAsia="en-US"/>
    </w:rPr>
  </w:style>
  <w:style w:type="paragraph" w:customStyle="1" w:styleId="Tabletext">
    <w:name w:val="Table text"/>
    <w:basedOn w:val="Normal"/>
    <w:link w:val="TabletextChar"/>
    <w:rsid w:val="001B3094"/>
    <w:pPr>
      <w:autoSpaceDE w:val="0"/>
      <w:autoSpaceDN w:val="0"/>
      <w:adjustRightInd w:val="0"/>
      <w:spacing w:before="60" w:after="60" w:line="240" w:lineRule="auto"/>
    </w:pPr>
    <w:rPr>
      <w:rFonts w:ascii="Arial" w:hAnsi="Arial"/>
      <w:lang w:val="en-GB"/>
    </w:rPr>
  </w:style>
  <w:style w:type="character" w:customStyle="1" w:styleId="TabletextChar">
    <w:name w:val="Table text Char"/>
    <w:link w:val="Tabletext"/>
    <w:rsid w:val="001B3094"/>
    <w:rPr>
      <w:rFonts w:ascii="Arial" w:hAnsi="Arial"/>
      <w:color w:val="auto"/>
      <w:sz w:val="20"/>
      <w:lang w:val="en-GB"/>
    </w:rPr>
  </w:style>
  <w:style w:type="paragraph" w:customStyle="1" w:styleId="TableCellHeading">
    <w:name w:val="Table Cell Heading"/>
    <w:basedOn w:val="Tabletext"/>
    <w:uiPriority w:val="99"/>
    <w:qFormat/>
    <w:rsid w:val="004F7D03"/>
    <w:pPr>
      <w:autoSpaceDE/>
      <w:autoSpaceDN/>
      <w:adjustRightInd/>
      <w:spacing w:after="120"/>
    </w:pPr>
    <w:rPr>
      <w:rFonts w:cs="Times New Roman"/>
      <w:b/>
      <w:bCs/>
      <w:szCs w:val="18"/>
    </w:rPr>
  </w:style>
  <w:style w:type="table" w:customStyle="1" w:styleId="Standard">
    <w:name w:val="Standard"/>
    <w:basedOn w:val="TableProfessional"/>
    <w:uiPriority w:val="99"/>
    <w:rsid w:val="004F7D03"/>
    <w:rPr>
      <w:rFonts w:ascii="Arial" w:hAnsi="Arial"/>
      <w:sz w:val="20"/>
      <w:szCs w:val="20"/>
      <w:lang w:val="en-US" w:eastAsia="ja-JP"/>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cPr>
    <w:tblStylePr w:type="firstRow">
      <w:rPr>
        <w:b/>
        <w:bCs/>
        <w:color w:val="auto"/>
      </w:rPr>
      <w:tblPr/>
      <w:tcPr>
        <w:tcBorders>
          <w:top w:val="nil"/>
          <w:left w:val="nil"/>
          <w:bottom w:val="nil"/>
          <w:right w:val="nil"/>
          <w:insideH w:val="nil"/>
          <w:insideV w:val="nil"/>
          <w:tl2br w:val="nil"/>
          <w:tr2bl w:val="nil"/>
        </w:tcBorders>
        <w:shd w:val="clear" w:color="auto" w:fill="000080"/>
      </w:tcPr>
    </w:tblStylePr>
  </w:style>
  <w:style w:type="table" w:styleId="TableProfessional">
    <w:name w:val="Table Professional"/>
    <w:basedOn w:val="TableNormal"/>
    <w:uiPriority w:val="99"/>
    <w:semiHidden/>
    <w:unhideWhenUsed/>
    <w:rsid w:val="004F7D03"/>
    <w:pPr>
      <w:spacing w:line="240" w:lineRule="auto"/>
    </w:pPr>
    <w:rPr>
      <w:rFonts w:ascii="Times New Roman" w:eastAsiaTheme="minorEastAsia" w:hAnsi="Times New Roman" w:cstheme="minorBidi"/>
      <w:color w:val="auto"/>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customStyle="1" w:styleId="arial">
    <w:name w:val="arial"/>
    <w:basedOn w:val="Normal"/>
    <w:rsid w:val="004F7D03"/>
    <w:pPr>
      <w:spacing w:line="240" w:lineRule="auto"/>
    </w:pPr>
    <w:rPr>
      <w:rFonts w:ascii="Times New Roman" w:eastAsiaTheme="minorEastAsia" w:hAnsi="Times New Roman" w:cstheme="minorBidi"/>
      <w:sz w:val="22"/>
      <w:lang w:eastAsia="en-US"/>
    </w:rPr>
  </w:style>
  <w:style w:type="character" w:customStyle="1" w:styleId="BalloonTextChar">
    <w:name w:val="Balloon Text Char"/>
    <w:basedOn w:val="DefaultParagraphFont"/>
    <w:link w:val="BalloonText"/>
    <w:uiPriority w:val="99"/>
    <w:semiHidden/>
    <w:rsid w:val="004F7D03"/>
    <w:rPr>
      <w:rFonts w:ascii="Tahoma" w:hAnsi="Tahoma" w:cs="Tahoma"/>
      <w:sz w:val="16"/>
      <w:szCs w:val="16"/>
    </w:rPr>
  </w:style>
  <w:style w:type="paragraph" w:customStyle="1" w:styleId="Default">
    <w:name w:val="Default"/>
    <w:rsid w:val="004F7D03"/>
    <w:pPr>
      <w:autoSpaceDE w:val="0"/>
      <w:autoSpaceDN w:val="0"/>
      <w:adjustRightInd w:val="0"/>
      <w:spacing w:line="240" w:lineRule="auto"/>
    </w:pPr>
    <w:rPr>
      <w:rFonts w:ascii="HelveticaNeueLT Std Lt" w:hAnsi="HelveticaNeueLT Std Lt" w:cs="HelveticaNeueLT Std Lt"/>
      <w:color w:val="000000"/>
    </w:rPr>
  </w:style>
  <w:style w:type="character" w:customStyle="1" w:styleId="A3">
    <w:name w:val="A3"/>
    <w:uiPriority w:val="99"/>
    <w:rsid w:val="004F7D03"/>
    <w:rPr>
      <w:rFonts w:cs="HelveticaNeueLT Std Lt"/>
      <w:color w:val="000000"/>
      <w:sz w:val="36"/>
      <w:szCs w:val="36"/>
    </w:rPr>
  </w:style>
  <w:style w:type="table" w:customStyle="1" w:styleId="TableGrid10">
    <w:name w:val="Table Grid1"/>
    <w:basedOn w:val="TableNormal"/>
    <w:next w:val="TableGrid"/>
    <w:uiPriority w:val="59"/>
    <w:rsid w:val="004F7D03"/>
    <w:pPr>
      <w:kinsoku w:val="0"/>
      <w:overflowPunct w:val="0"/>
      <w:autoSpaceDE w:val="0"/>
      <w:autoSpaceDN w:val="0"/>
      <w:adjustRightInd w:val="0"/>
      <w:snapToGrid w:val="0"/>
      <w:spacing w:line="240" w:lineRule="auto"/>
    </w:pPr>
    <w:rPr>
      <w:rFonts w:ascii="Georgia" w:hAnsi="Georgia"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rsid w:val="004F7D03"/>
    <w:rPr>
      <w:color w:val="A32020"/>
      <w:u w:val="single"/>
    </w:rPr>
  </w:style>
  <w:style w:type="table" w:customStyle="1" w:styleId="Tables-APBase1">
    <w:name w:val="Tables - AP Base1"/>
    <w:basedOn w:val="TableNormal"/>
    <w:rsid w:val="004F7D03"/>
    <w:pPr>
      <w:spacing w:line="240" w:lineRule="auto"/>
    </w:pPr>
    <w:rPr>
      <w:rFonts w:ascii="Georgia" w:hAnsi="Georgia" w:cs="Times New Roman"/>
      <w:color w:val="auto"/>
    </w:rPr>
    <w:tblPr>
      <w:tblStyleRowBandSize w:val="1"/>
      <w:tblStyleColBandSize w:val="1"/>
      <w:tblBorders>
        <w:top w:val="single" w:sz="4" w:space="0" w:color="FFFFFF"/>
        <w:left w:val="single" w:sz="4" w:space="0" w:color="FFFFFF"/>
        <w:bottom w:val="single" w:sz="6" w:space="0" w:color="A32020"/>
        <w:right w:val="single" w:sz="4" w:space="0" w:color="FFFFFF"/>
        <w:insideH w:val="dotted" w:sz="8" w:space="0" w:color="A32020"/>
        <w:insideV w:val="single" w:sz="4" w:space="0" w:color="FFFFFF"/>
      </w:tblBorders>
    </w:tblPr>
    <w:tcPr>
      <w:shd w:val="clear" w:color="auto" w:fill="auto"/>
      <w:tcMar>
        <w:top w:w="0" w:type="dxa"/>
        <w:left w:w="108" w:type="dxa"/>
        <w:bottom w:w="0" w:type="dxa"/>
        <w:right w:w="108" w:type="dxa"/>
      </w:tcMar>
    </w:tcPr>
    <w:tblStylePr w:type="firstRow">
      <w:pPr>
        <w:jc w:val="center"/>
      </w:pPr>
      <w:rPr>
        <w:rFonts w:ascii="Georgia" w:hAnsi="Georgia"/>
        <w:b w:val="0"/>
        <w:color w:val="auto"/>
      </w:rPr>
      <w:tblPr/>
      <w:trPr>
        <w:tblHeader/>
      </w:trPr>
      <w:tcPr>
        <w:tcBorders>
          <w:top w:val="single" w:sz="4" w:space="0" w:color="A32020"/>
          <w:bottom w:val="single" w:sz="4" w:space="0" w:color="A32020"/>
        </w:tcBorders>
      </w:tcPr>
    </w:tblStylePr>
    <w:tblStylePr w:type="lastRow">
      <w:rPr>
        <w:color w:val="auto"/>
      </w:rPr>
      <w:tblPr/>
      <w:tcPr>
        <w:tcBorders>
          <w:top w:val="single" w:sz="4" w:space="0" w:color="A32020"/>
        </w:tcBorders>
        <w:shd w:val="clear" w:color="auto" w:fill="auto"/>
      </w:tcPr>
    </w:tblStylePr>
    <w:tblStylePr w:type="nwCell">
      <w:pPr>
        <w:jc w:val="left"/>
      </w:pPr>
      <w:tblPr/>
      <w:tcPr>
        <w:vAlign w:val="bottom"/>
      </w:tcPr>
    </w:tblStylePr>
  </w:style>
  <w:style w:type="character" w:styleId="SubtleEmphasis">
    <w:name w:val="Subtle Emphasis"/>
    <w:basedOn w:val="DefaultParagraphFont"/>
    <w:uiPriority w:val="19"/>
    <w:qFormat/>
    <w:rsid w:val="004F7D03"/>
    <w:rPr>
      <w:i/>
      <w:iCs/>
      <w:color w:val="9C9A98" w:themeColor="text1" w:themeTint="7F"/>
    </w:rPr>
  </w:style>
  <w:style w:type="paragraph" w:customStyle="1" w:styleId="Bulleted">
    <w:name w:val="Bulleted"/>
    <w:basedOn w:val="Normal"/>
    <w:uiPriority w:val="99"/>
    <w:rsid w:val="004F7D03"/>
    <w:pPr>
      <w:keepLines/>
      <w:numPr>
        <w:numId w:val="54"/>
      </w:numPr>
      <w:spacing w:before="120" w:after="120" w:line="264" w:lineRule="auto"/>
    </w:pPr>
    <w:rPr>
      <w:rFonts w:ascii="Arial" w:hAnsi="Arial" w:cs="Times New Roman"/>
      <w:sz w:val="22"/>
      <w:lang w:eastAsia="en-US"/>
    </w:rPr>
  </w:style>
  <w:style w:type="paragraph" w:customStyle="1" w:styleId="BodyTextManual">
    <w:name w:val="Body Text Manual"/>
    <w:basedOn w:val="Normal"/>
    <w:link w:val="BodyTextManualChar"/>
    <w:rsid w:val="004F7D03"/>
    <w:pPr>
      <w:spacing w:line="240" w:lineRule="auto"/>
    </w:pPr>
    <w:rPr>
      <w:rFonts w:ascii="Tahoma" w:hAnsi="Tahoma" w:cs="Calibri"/>
      <w:sz w:val="22"/>
    </w:rPr>
  </w:style>
  <w:style w:type="character" w:customStyle="1" w:styleId="BodyTextManualChar">
    <w:name w:val="Body Text Manual Char"/>
    <w:link w:val="BodyTextManual"/>
    <w:rsid w:val="004F7D03"/>
    <w:rPr>
      <w:rFonts w:ascii="Tahoma" w:hAnsi="Tahoma" w:cs="Calibri"/>
      <w:color w:val="auto"/>
      <w:sz w:val="22"/>
    </w:rPr>
  </w:style>
  <w:style w:type="table" w:styleId="MediumGrid3-Accent1">
    <w:name w:val="Medium Grid 3 Accent 1"/>
    <w:basedOn w:val="TableNormal"/>
    <w:uiPriority w:val="69"/>
    <w:rsid w:val="00EF772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1" w:themeFillTint="7F"/>
      </w:tcPr>
    </w:tblStylePr>
  </w:style>
  <w:style w:type="character" w:customStyle="1" w:styleId="st1">
    <w:name w:val="st1"/>
    <w:basedOn w:val="DefaultParagraphFont"/>
    <w:rsid w:val="00D7634A"/>
  </w:style>
  <w:style w:type="character" w:customStyle="1" w:styleId="tgc">
    <w:name w:val="_tgc"/>
    <w:basedOn w:val="DefaultParagraphFont"/>
    <w:rsid w:val="00B751DE"/>
  </w:style>
  <w:style w:type="table" w:styleId="MediumGrid3-Accent4">
    <w:name w:val="Medium Grid 3 Accent 4"/>
    <w:basedOn w:val="TableNormal"/>
    <w:uiPriority w:val="69"/>
    <w:rsid w:val="0093291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7F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E0D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E0D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E0D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E0D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EFE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EFEE" w:themeFill="accent4" w:themeFillTint="7F"/>
      </w:tcPr>
    </w:tblStylePr>
  </w:style>
  <w:style w:type="paragraph" w:customStyle="1" w:styleId="Normalpre-dotpoint">
    <w:name w:val="Normal pre-dot point"/>
    <w:basedOn w:val="Normal"/>
    <w:qFormat/>
    <w:rsid w:val="00353E2A"/>
    <w:pPr>
      <w:spacing w:after="80"/>
    </w:pPr>
  </w:style>
  <w:style w:type="paragraph" w:customStyle="1" w:styleId="Dotpoint">
    <w:name w:val="Dot point"/>
    <w:basedOn w:val="Normal"/>
    <w:qFormat/>
    <w:rsid w:val="00353E2A"/>
    <w:pPr>
      <w:numPr>
        <w:numId w:val="39"/>
      </w:numPr>
      <w:kinsoku w:val="0"/>
      <w:overflowPunct w:val="0"/>
      <w:autoSpaceDE w:val="0"/>
      <w:autoSpaceDN w:val="0"/>
      <w:adjustRightInd w:val="0"/>
      <w:snapToGrid w:val="0"/>
      <w:spacing w:after="80"/>
    </w:pPr>
    <w:rPr>
      <w:rFonts w:cstheme="minorHAnsi"/>
    </w:rPr>
  </w:style>
  <w:style w:type="paragraph" w:customStyle="1" w:styleId="Dotpointlast">
    <w:name w:val="Dot point last"/>
    <w:basedOn w:val="Dotpoint"/>
    <w:next w:val="Normal"/>
    <w:qFormat/>
    <w:rsid w:val="00353E2A"/>
    <w:pPr>
      <w:spacing w:after="200"/>
    </w:pPr>
  </w:style>
  <w:style w:type="paragraph" w:customStyle="1" w:styleId="Tablecolumnhead">
    <w:name w:val="Table column head"/>
    <w:basedOn w:val="TableTextSmall"/>
    <w:next w:val="TableTextSmall"/>
    <w:rsid w:val="004E4C36"/>
    <w:pPr>
      <w:keepNext/>
      <w:keepLines/>
    </w:pPr>
    <w:rPr>
      <w:b/>
      <w:color w:val="FFFFFF" w:themeColor="background1"/>
      <w:sz w:val="20"/>
      <w:szCs w:val="16"/>
    </w:rPr>
  </w:style>
  <w:style w:type="paragraph" w:customStyle="1" w:styleId="Tabletextdotpoint">
    <w:name w:val="Table text dot point"/>
    <w:basedOn w:val="Tabletext"/>
    <w:qFormat/>
    <w:rsid w:val="0080262C"/>
    <w:pPr>
      <w:numPr>
        <w:numId w:val="143"/>
      </w:numPr>
      <w:ind w:left="269" w:hanging="26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
    <w:name w:val="BulletList"/>
    <w:pPr>
      <w:numPr>
        <w:numId w:val="15"/>
      </w:numPr>
    </w:pPr>
  </w:style>
  <w:style w:type="numbering" w:customStyle="1" w:styleId="Footer">
    <w:name w:val="Bullets"/>
    <w:pPr>
      <w:numPr>
        <w:numId w:val="33"/>
      </w:numPr>
    </w:pPr>
  </w:style>
  <w:style w:type="numbering" w:customStyle="1" w:styleId="xDisclaimertext3">
    <w:name w:val="PwCListNumbers1"/>
    <w:pPr>
      <w:numPr>
        <w:numId w:val="25"/>
      </w:numPr>
    </w:pPr>
  </w:style>
  <w:style w:type="numbering" w:customStyle="1" w:styleId="PageNumber">
    <w:name w:val="Indents"/>
    <w:pPr>
      <w:numPr>
        <w:numId w:val="16"/>
      </w:numPr>
    </w:pPr>
  </w:style>
  <w:style w:type="numbering" w:customStyle="1" w:styleId="FooterOdd">
    <w:name w:val="TableNumberedListSmall"/>
    <w:pPr>
      <w:numPr>
        <w:numId w:val="28"/>
      </w:numPr>
    </w:pPr>
  </w:style>
  <w:style w:type="numbering" w:customStyle="1" w:styleId="TableGrid">
    <w:name w:val="ListNumberList"/>
    <w:pPr>
      <w:numPr>
        <w:numId w:val="30"/>
      </w:numPr>
    </w:pPr>
  </w:style>
  <w:style w:type="numbering" w:customStyle="1" w:styleId="FooterEven">
    <w:name w:val="111111"/>
    <w:pPr>
      <w:numPr>
        <w:numId w:val="31"/>
      </w:numPr>
    </w:pPr>
  </w:style>
  <w:style w:type="numbering" w:customStyle="1" w:styleId="FooterChar">
    <w:name w:val="TableNumberdListNormal"/>
    <w:pPr>
      <w:numPr>
        <w:numId w:val="26"/>
      </w:numPr>
    </w:pPr>
  </w:style>
  <w:style w:type="numbering" w:customStyle="1" w:styleId="FooterOddPageNumber">
    <w:name w:val="ArticleSection"/>
    <w:pPr>
      <w:numPr>
        <w:numId w:val="32"/>
      </w:numPr>
    </w:pPr>
  </w:style>
  <w:style w:type="numbering" w:customStyle="1" w:styleId="FootnoteSeparator">
    <w:name w:val="CVBullets"/>
    <w:pPr>
      <w:numPr>
        <w:numId w:val="21"/>
      </w:numPr>
    </w:pPr>
  </w:style>
  <w:style w:type="numbering" w:customStyle="1" w:styleId="Emailaddress">
    <w:name w:val="1ai"/>
    <w:pPr>
      <w:numPr>
        <w:numId w:val="1"/>
      </w:numPr>
    </w:pPr>
  </w:style>
  <w:style w:type="numbering" w:customStyle="1" w:styleId="Italics">
    <w:name w:val="ChapterNumberingList"/>
    <w:pPr>
      <w:numPr>
        <w:numId w:val="35"/>
      </w:numPr>
    </w:pPr>
  </w:style>
  <w:style w:type="numbering" w:customStyle="1" w:styleId="ListContinue">
    <w:name w:val="PwCAppendixList1"/>
    <w:pPr>
      <w:numPr>
        <w:numId w:val="23"/>
      </w:numPr>
    </w:pPr>
  </w:style>
  <w:style w:type="numbering" w:customStyle="1" w:styleId="ListContinue2">
    <w:name w:val="TableBulletSmallList"/>
    <w:pPr>
      <w:numPr>
        <w:numId w:val="17"/>
      </w:numPr>
    </w:pPr>
  </w:style>
  <w:style w:type="numbering" w:customStyle="1" w:styleId="ListNumber">
    <w:name w:val="Style1"/>
    <w:pPr>
      <w:numPr>
        <w:numId w:val="34"/>
      </w:numPr>
    </w:pPr>
  </w:style>
  <w:style w:type="numbering" w:customStyle="1" w:styleId="ListNumber2">
    <w:name w:val="TableBulletNormalList"/>
    <w:pPr>
      <w:numPr>
        <w:numId w:val="18"/>
      </w:numPr>
    </w:pPr>
  </w:style>
  <w:style w:type="numbering" w:customStyle="1" w:styleId="ListNumber3">
    <w:name w:val="IndentList"/>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779284">
      <w:bodyDiv w:val="1"/>
      <w:marLeft w:val="0"/>
      <w:marRight w:val="0"/>
      <w:marTop w:val="0"/>
      <w:marBottom w:val="0"/>
      <w:divBdr>
        <w:top w:val="none" w:sz="0" w:space="0" w:color="auto"/>
        <w:left w:val="none" w:sz="0" w:space="0" w:color="auto"/>
        <w:bottom w:val="none" w:sz="0" w:space="0" w:color="auto"/>
        <w:right w:val="none" w:sz="0" w:space="0" w:color="auto"/>
      </w:divBdr>
    </w:div>
    <w:div w:id="282810279">
      <w:bodyDiv w:val="1"/>
      <w:marLeft w:val="0"/>
      <w:marRight w:val="0"/>
      <w:marTop w:val="0"/>
      <w:marBottom w:val="0"/>
      <w:divBdr>
        <w:top w:val="none" w:sz="0" w:space="0" w:color="auto"/>
        <w:left w:val="none" w:sz="0" w:space="0" w:color="auto"/>
        <w:bottom w:val="none" w:sz="0" w:space="0" w:color="auto"/>
        <w:right w:val="none" w:sz="0" w:space="0" w:color="auto"/>
      </w:divBdr>
      <w:divsChild>
        <w:div w:id="367223552">
          <w:marLeft w:val="0"/>
          <w:marRight w:val="0"/>
          <w:marTop w:val="0"/>
          <w:marBottom w:val="0"/>
          <w:divBdr>
            <w:top w:val="none" w:sz="0" w:space="0" w:color="auto"/>
            <w:left w:val="none" w:sz="0" w:space="0" w:color="auto"/>
            <w:bottom w:val="none" w:sz="0" w:space="0" w:color="auto"/>
            <w:right w:val="none" w:sz="0" w:space="0" w:color="auto"/>
          </w:divBdr>
        </w:div>
        <w:div w:id="1903638551">
          <w:marLeft w:val="0"/>
          <w:marRight w:val="0"/>
          <w:marTop w:val="0"/>
          <w:marBottom w:val="0"/>
          <w:divBdr>
            <w:top w:val="none" w:sz="0" w:space="0" w:color="auto"/>
            <w:left w:val="none" w:sz="0" w:space="0" w:color="auto"/>
            <w:bottom w:val="none" w:sz="0" w:space="0" w:color="auto"/>
            <w:right w:val="none" w:sz="0" w:space="0" w:color="auto"/>
          </w:divBdr>
        </w:div>
        <w:div w:id="1978415235">
          <w:marLeft w:val="0"/>
          <w:marRight w:val="0"/>
          <w:marTop w:val="0"/>
          <w:marBottom w:val="0"/>
          <w:divBdr>
            <w:top w:val="none" w:sz="0" w:space="0" w:color="auto"/>
            <w:left w:val="none" w:sz="0" w:space="0" w:color="auto"/>
            <w:bottom w:val="none" w:sz="0" w:space="0" w:color="auto"/>
            <w:right w:val="none" w:sz="0" w:space="0" w:color="auto"/>
          </w:divBdr>
        </w:div>
      </w:divsChild>
    </w:div>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483282411">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63433430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18039500">
      <w:bodyDiv w:val="1"/>
      <w:marLeft w:val="0"/>
      <w:marRight w:val="0"/>
      <w:marTop w:val="0"/>
      <w:marBottom w:val="0"/>
      <w:divBdr>
        <w:top w:val="none" w:sz="0" w:space="0" w:color="auto"/>
        <w:left w:val="none" w:sz="0" w:space="0" w:color="auto"/>
        <w:bottom w:val="none" w:sz="0" w:space="0" w:color="auto"/>
        <w:right w:val="none" w:sz="0" w:space="0" w:color="auto"/>
      </w:divBdr>
      <w:divsChild>
        <w:div w:id="48119363">
          <w:marLeft w:val="0"/>
          <w:marRight w:val="0"/>
          <w:marTop w:val="0"/>
          <w:marBottom w:val="0"/>
          <w:divBdr>
            <w:top w:val="none" w:sz="0" w:space="0" w:color="auto"/>
            <w:left w:val="none" w:sz="0" w:space="0" w:color="auto"/>
            <w:bottom w:val="none" w:sz="0" w:space="0" w:color="auto"/>
            <w:right w:val="none" w:sz="0" w:space="0" w:color="auto"/>
          </w:divBdr>
        </w:div>
        <w:div w:id="1540124089">
          <w:marLeft w:val="0"/>
          <w:marRight w:val="0"/>
          <w:marTop w:val="0"/>
          <w:marBottom w:val="0"/>
          <w:divBdr>
            <w:top w:val="none" w:sz="0" w:space="0" w:color="auto"/>
            <w:left w:val="none" w:sz="0" w:space="0" w:color="auto"/>
            <w:bottom w:val="none" w:sz="0" w:space="0" w:color="auto"/>
            <w:right w:val="none" w:sz="0" w:space="0" w:color="auto"/>
          </w:divBdr>
        </w:div>
        <w:div w:id="1884096202">
          <w:marLeft w:val="0"/>
          <w:marRight w:val="0"/>
          <w:marTop w:val="0"/>
          <w:marBottom w:val="0"/>
          <w:divBdr>
            <w:top w:val="none" w:sz="0" w:space="0" w:color="auto"/>
            <w:left w:val="none" w:sz="0" w:space="0" w:color="auto"/>
            <w:bottom w:val="none" w:sz="0" w:space="0" w:color="auto"/>
            <w:right w:val="none" w:sz="0" w:space="0" w:color="auto"/>
          </w:divBdr>
        </w:div>
      </w:divsChild>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83485316">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relayservice.com.au" TargetMode="External"/><Relationship Id="rId26" Type="http://schemas.openxmlformats.org/officeDocument/2006/relationships/image" Target="media/image7.png"/><Relationship Id="rId39"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yperlink" Target="http://www.austlii.edu.au/au/legis/vic/consol_act/ba199391/s3.html" TargetMode="External"/><Relationship Id="rId42" Type="http://schemas.openxmlformats.org/officeDocument/2006/relationships/header" Target="header6.xml"/><Relationship Id="rId47" Type="http://schemas.openxmlformats.org/officeDocument/2006/relationships/header" Target="header9.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ustomer.service@delwp.vic.gov.au" TargetMode="External"/><Relationship Id="rId25" Type="http://schemas.openxmlformats.org/officeDocument/2006/relationships/image" Target="media/image6.png"/><Relationship Id="rId33" Type="http://schemas.openxmlformats.org/officeDocument/2006/relationships/hyperlink" Target="http://www.austlii.edu.au/au/legis/vic/consol_act/ba199391/s3.html" TargetMode="External"/><Relationship Id="rId38" Type="http://schemas.openxmlformats.org/officeDocument/2006/relationships/diagramQuickStyle" Target="diagrams/quickStyle1.xml"/><Relationship Id="rId46"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creativecommons.org/licenses/by/4.0/" TargetMode="External"/><Relationship Id="rId20" Type="http://schemas.openxmlformats.org/officeDocument/2006/relationships/header" Target="header2.xml"/><Relationship Id="rId29" Type="http://schemas.openxmlformats.org/officeDocument/2006/relationships/hyperlink" Target="http://www.austlii.edu.au/au/legis/vic/consol_act/ba199391/s3.html"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hyperlink" Target="http://www.austlii.edu.au/au/legis/vic/consol_act/ba199391/s3.html" TargetMode="External"/><Relationship Id="rId37" Type="http://schemas.openxmlformats.org/officeDocument/2006/relationships/diagramLayout" Target="diagrams/layout1.xml"/><Relationship Id="rId40" Type="http://schemas.microsoft.com/office/2007/relationships/diagramDrawing" Target="diagrams/drawing1.xml"/><Relationship Id="rId45"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footer" Target="footer5.xml"/><Relationship Id="rId28" Type="http://schemas.openxmlformats.org/officeDocument/2006/relationships/hyperlink" Target="http://www.austlii.edu.au/au/legis/vic/consol_act/ba199391/s3.html" TargetMode="External"/><Relationship Id="rId36" Type="http://schemas.openxmlformats.org/officeDocument/2006/relationships/diagramData" Target="diagrams/data1.xml"/><Relationship Id="rId49" Type="http://schemas.openxmlformats.org/officeDocument/2006/relationships/footer" Target="footer10.xml"/><Relationship Id="rId10" Type="http://schemas.openxmlformats.org/officeDocument/2006/relationships/image" Target="media/image2.jpeg"/><Relationship Id="rId19" Type="http://schemas.openxmlformats.org/officeDocument/2006/relationships/hyperlink" Target="http://www.delwp.vic.gov.au" TargetMode="External"/><Relationship Id="rId31" Type="http://schemas.openxmlformats.org/officeDocument/2006/relationships/hyperlink" Target="http://www.austlii.edu.au/au/legis/vic/consol_act/ba199391/s3.html" TargetMode="External"/><Relationship Id="rId44"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yperlink" Target="http://www.austlii.edu.au/au/legis/vic/consol_act/ba199391/s3.html" TargetMode="External"/><Relationship Id="rId35" Type="http://schemas.openxmlformats.org/officeDocument/2006/relationships/hyperlink" Target="http://www.austlii.edu.au/au/legis/vic/consol_act/ba199391/s3.html" TargetMode="External"/><Relationship Id="rId43" Type="http://schemas.openxmlformats.org/officeDocument/2006/relationships/footer" Target="footer7.xml"/><Relationship Id="rId48" Type="http://schemas.openxmlformats.org/officeDocument/2006/relationships/footer" Target="footer9.xml"/><Relationship Id="rId8" Type="http://schemas.openxmlformats.org/officeDocument/2006/relationships/endnotes" Target="endnotes.xml"/><Relationship Id="rId51"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footnotes.xml.rels><?xml version="1.0" encoding="UTF-8" standalone="yes"?>
<Relationships xmlns="http://schemas.openxmlformats.org/package/2006/relationships"><Relationship Id="rId3" Type="http://schemas.openxmlformats.org/officeDocument/2006/relationships/hyperlink" Target="http://consumerlaw.gov.au/australian-consumer-survey" TargetMode="External"/><Relationship Id="rId2" Type="http://schemas.openxmlformats.org/officeDocument/2006/relationships/hyperlink" Target="http://www.dbi.vmia.vic.gov.au/" TargetMode="External"/><Relationship Id="rId1" Type="http://schemas.openxmlformats.org/officeDocument/2006/relationships/hyperlink" Target="http://planningschemes.dpcd.vic.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z2md\AppData\Roaming\Microsoft\Templates\DELWP%20Report%20template.dotm"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F51E8F1-6C1B-45E0-AAFB-4C6420CD46DF}" type="doc">
      <dgm:prSet loTypeId="urn:microsoft.com/office/officeart/2005/8/layout/matrix1" loCatId="matrix" qsTypeId="urn:microsoft.com/office/officeart/2005/8/quickstyle/simple1" qsCatId="simple" csTypeId="urn:microsoft.com/office/officeart/2005/8/colors/accent0_3" csCatId="mainScheme" phldr="1"/>
      <dgm:spPr/>
      <dgm:t>
        <a:bodyPr/>
        <a:lstStyle/>
        <a:p>
          <a:endParaRPr lang="en-AU"/>
        </a:p>
      </dgm:t>
    </dgm:pt>
    <dgm:pt modelId="{8F6B7FE0-3E22-4B58-A33A-CFA870899FD8}">
      <dgm:prSet phldrT="[Text]"/>
      <dgm:spPr>
        <a:solidFill>
          <a:schemeClr val="accent1">
            <a:lumMod val="20000"/>
            <a:lumOff val="80000"/>
          </a:schemeClr>
        </a:solidFill>
      </dgm:spPr>
      <dgm:t>
        <a:bodyPr/>
        <a:lstStyle/>
        <a:p>
          <a:pPr algn="ctr"/>
          <a:r>
            <a:rPr lang="en-AU" b="1" i="1">
              <a:solidFill>
                <a:schemeClr val="accent1"/>
              </a:solidFill>
              <a:latin typeface="+mj-lt"/>
            </a:rPr>
            <a:t>Areas of Focus</a:t>
          </a:r>
        </a:p>
      </dgm:t>
    </dgm:pt>
    <dgm:pt modelId="{C370760B-D333-4397-93DC-AF211D989D2A}" type="parTrans" cxnId="{80DE4AEB-47FB-44CF-A3C8-DDF8D59B5EA8}">
      <dgm:prSet/>
      <dgm:spPr/>
      <dgm:t>
        <a:bodyPr/>
        <a:lstStyle/>
        <a:p>
          <a:pPr algn="ctr"/>
          <a:endParaRPr lang="en-AU"/>
        </a:p>
      </dgm:t>
    </dgm:pt>
    <dgm:pt modelId="{29F42887-08C3-4C26-A87B-14AAC182A60D}" type="sibTrans" cxnId="{80DE4AEB-47FB-44CF-A3C8-DDF8D59B5EA8}">
      <dgm:prSet/>
      <dgm:spPr/>
      <dgm:t>
        <a:bodyPr/>
        <a:lstStyle/>
        <a:p>
          <a:pPr algn="ctr"/>
          <a:endParaRPr lang="en-AU"/>
        </a:p>
      </dgm:t>
    </dgm:pt>
    <dgm:pt modelId="{F616C604-0035-4AE7-AE3B-86A3B84C653D}">
      <dgm:prSet phldrT="[Text]" custT="1"/>
      <dgm:spPr>
        <a:solidFill>
          <a:schemeClr val="accent1"/>
        </a:solidFill>
      </dgm:spPr>
      <dgm:t>
        <a:bodyPr/>
        <a:lstStyle/>
        <a:p>
          <a:pPr algn="ctr"/>
          <a:r>
            <a:rPr lang="en-AU" sz="1400" b="0" i="1">
              <a:latin typeface="+mj-lt"/>
            </a:rPr>
            <a:t>Stakeholder input </a:t>
          </a:r>
        </a:p>
        <a:p>
          <a:pPr algn="ctr"/>
          <a:r>
            <a:rPr lang="en-AU" sz="1100">
              <a:latin typeface="+mj-lt"/>
            </a:rPr>
            <a:t>Ministerial correspondence and early submissions</a:t>
          </a:r>
        </a:p>
      </dgm:t>
    </dgm:pt>
    <dgm:pt modelId="{49F0E03D-928F-43B0-8145-511E02456DC3}" type="parTrans" cxnId="{020C35B7-A9C7-4CDB-902A-C4056A0133B8}">
      <dgm:prSet/>
      <dgm:spPr/>
      <dgm:t>
        <a:bodyPr/>
        <a:lstStyle/>
        <a:p>
          <a:pPr algn="ctr"/>
          <a:endParaRPr lang="en-AU"/>
        </a:p>
      </dgm:t>
    </dgm:pt>
    <dgm:pt modelId="{A07E3754-98A9-48A9-A0A6-D6F76B972BD0}" type="sibTrans" cxnId="{020C35B7-A9C7-4CDB-902A-C4056A0133B8}">
      <dgm:prSet/>
      <dgm:spPr/>
      <dgm:t>
        <a:bodyPr/>
        <a:lstStyle/>
        <a:p>
          <a:pPr algn="ctr"/>
          <a:endParaRPr lang="en-AU"/>
        </a:p>
      </dgm:t>
    </dgm:pt>
    <dgm:pt modelId="{7BCA3A1C-E9A2-41ED-B4C4-D1DA7BCDF103}">
      <dgm:prSet phldrT="[Text]" custT="1"/>
      <dgm:spPr>
        <a:solidFill>
          <a:schemeClr val="accent1"/>
        </a:solidFill>
      </dgm:spPr>
      <dgm:t>
        <a:bodyPr/>
        <a:lstStyle/>
        <a:p>
          <a:pPr algn="ctr"/>
          <a:r>
            <a:rPr lang="en-AU" sz="1400" i="1">
              <a:latin typeface="+mj-lt"/>
            </a:rPr>
            <a:t>Risk and impact </a:t>
          </a:r>
        </a:p>
        <a:p>
          <a:pPr algn="ctr"/>
          <a:r>
            <a:rPr lang="en-AU" sz="1100">
              <a:latin typeface="+mj-lt"/>
            </a:rPr>
            <a:t>Preliminary policy assessment</a:t>
          </a:r>
        </a:p>
      </dgm:t>
    </dgm:pt>
    <dgm:pt modelId="{7C428DDC-EADF-4375-AA0C-EE814E990078}" type="parTrans" cxnId="{5C1810DB-E619-4FF8-B215-6ABE64D176BB}">
      <dgm:prSet/>
      <dgm:spPr/>
      <dgm:t>
        <a:bodyPr/>
        <a:lstStyle/>
        <a:p>
          <a:pPr algn="ctr"/>
          <a:endParaRPr lang="en-AU"/>
        </a:p>
      </dgm:t>
    </dgm:pt>
    <dgm:pt modelId="{50A8129A-BAD7-409A-8102-53B6D03E72D7}" type="sibTrans" cxnId="{5C1810DB-E619-4FF8-B215-6ABE64D176BB}">
      <dgm:prSet/>
      <dgm:spPr/>
      <dgm:t>
        <a:bodyPr/>
        <a:lstStyle/>
        <a:p>
          <a:pPr algn="ctr"/>
          <a:endParaRPr lang="en-AU"/>
        </a:p>
      </dgm:t>
    </dgm:pt>
    <dgm:pt modelId="{7B4D899D-104C-4FB5-889F-3A6A166541C7}">
      <dgm:prSet phldrT="[Text]" custT="1"/>
      <dgm:spPr>
        <a:solidFill>
          <a:schemeClr val="accent1"/>
        </a:solidFill>
      </dgm:spPr>
      <dgm:t>
        <a:bodyPr/>
        <a:lstStyle/>
        <a:p>
          <a:pPr algn="ctr"/>
          <a:r>
            <a:rPr lang="en-AU" sz="1400" i="1">
              <a:latin typeface="+mj-lt"/>
            </a:rPr>
            <a:t>Data collection</a:t>
          </a:r>
        </a:p>
        <a:p>
          <a:pPr algn="ctr"/>
          <a:r>
            <a:rPr lang="en-AU" sz="1200">
              <a:latin typeface="+mj-lt"/>
            </a:rPr>
            <a:t>Evidence base and expert group assessment</a:t>
          </a:r>
        </a:p>
      </dgm:t>
    </dgm:pt>
    <dgm:pt modelId="{6A2B1519-4590-475B-B754-C7EF047DE743}" type="parTrans" cxnId="{BFF38B75-07A0-4616-9752-A4B016CE912F}">
      <dgm:prSet/>
      <dgm:spPr/>
      <dgm:t>
        <a:bodyPr/>
        <a:lstStyle/>
        <a:p>
          <a:pPr algn="ctr"/>
          <a:endParaRPr lang="en-AU"/>
        </a:p>
      </dgm:t>
    </dgm:pt>
    <dgm:pt modelId="{FC138D2F-FBC4-4439-B175-6494C47B0076}" type="sibTrans" cxnId="{BFF38B75-07A0-4616-9752-A4B016CE912F}">
      <dgm:prSet/>
      <dgm:spPr/>
      <dgm:t>
        <a:bodyPr/>
        <a:lstStyle/>
        <a:p>
          <a:pPr algn="ctr"/>
          <a:endParaRPr lang="en-AU"/>
        </a:p>
      </dgm:t>
    </dgm:pt>
    <dgm:pt modelId="{C473BDD4-C588-4180-BA39-3A53FABC1E08}">
      <dgm:prSet phldrT="[Text]" custT="1"/>
      <dgm:spPr>
        <a:solidFill>
          <a:schemeClr val="accent1"/>
        </a:solidFill>
      </dgm:spPr>
      <dgm:t>
        <a:bodyPr/>
        <a:lstStyle/>
        <a:p>
          <a:pPr algn="ctr"/>
          <a:r>
            <a:rPr lang="en-AU" sz="1400" i="1">
              <a:latin typeface="+mj-lt"/>
            </a:rPr>
            <a:t>Government policy priorities</a:t>
          </a:r>
        </a:p>
        <a:p>
          <a:pPr algn="ctr"/>
          <a:r>
            <a:rPr lang="en-AU" sz="1100">
              <a:latin typeface="+mj-lt"/>
            </a:rPr>
            <a:t>Building Reform program</a:t>
          </a:r>
        </a:p>
      </dgm:t>
    </dgm:pt>
    <dgm:pt modelId="{EF81556B-5173-4BEA-9481-3338804C2AA0}" type="parTrans" cxnId="{3FE15E01-E802-44DD-B9C2-BA2BCA4CE886}">
      <dgm:prSet/>
      <dgm:spPr/>
      <dgm:t>
        <a:bodyPr/>
        <a:lstStyle/>
        <a:p>
          <a:pPr algn="ctr"/>
          <a:endParaRPr lang="en-AU"/>
        </a:p>
      </dgm:t>
    </dgm:pt>
    <dgm:pt modelId="{BD72A7B9-7454-47BA-B944-EB24B866E145}" type="sibTrans" cxnId="{3FE15E01-E802-44DD-B9C2-BA2BCA4CE886}">
      <dgm:prSet/>
      <dgm:spPr/>
      <dgm:t>
        <a:bodyPr/>
        <a:lstStyle/>
        <a:p>
          <a:pPr algn="ctr"/>
          <a:endParaRPr lang="en-AU"/>
        </a:p>
      </dgm:t>
    </dgm:pt>
    <dgm:pt modelId="{AC3BBCDD-31FA-41D2-8CEE-8F53732CF2C4}" type="pres">
      <dgm:prSet presAssocID="{9F51E8F1-6C1B-45E0-AAFB-4C6420CD46DF}" presName="diagram" presStyleCnt="0">
        <dgm:presLayoutVars>
          <dgm:chMax val="1"/>
          <dgm:dir/>
          <dgm:animLvl val="ctr"/>
          <dgm:resizeHandles val="exact"/>
        </dgm:presLayoutVars>
      </dgm:prSet>
      <dgm:spPr/>
      <dgm:t>
        <a:bodyPr/>
        <a:lstStyle/>
        <a:p>
          <a:endParaRPr lang="en-AU"/>
        </a:p>
      </dgm:t>
    </dgm:pt>
    <dgm:pt modelId="{896C4E78-BBAD-4736-8ACF-329F0BB6AE7B}" type="pres">
      <dgm:prSet presAssocID="{9F51E8F1-6C1B-45E0-AAFB-4C6420CD46DF}" presName="matrix" presStyleCnt="0"/>
      <dgm:spPr/>
      <dgm:t>
        <a:bodyPr/>
        <a:lstStyle/>
        <a:p>
          <a:endParaRPr lang="en-AU"/>
        </a:p>
      </dgm:t>
    </dgm:pt>
    <dgm:pt modelId="{BEDF85DF-B424-4E57-B1C1-D436A20FBAD0}" type="pres">
      <dgm:prSet presAssocID="{9F51E8F1-6C1B-45E0-AAFB-4C6420CD46DF}" presName="tile1" presStyleLbl="node1" presStyleIdx="0" presStyleCnt="4"/>
      <dgm:spPr/>
      <dgm:t>
        <a:bodyPr/>
        <a:lstStyle/>
        <a:p>
          <a:endParaRPr lang="en-AU"/>
        </a:p>
      </dgm:t>
    </dgm:pt>
    <dgm:pt modelId="{6BF48AB3-2AF1-4357-9029-59F552179B25}" type="pres">
      <dgm:prSet presAssocID="{9F51E8F1-6C1B-45E0-AAFB-4C6420CD46DF}" presName="tile1text" presStyleLbl="node1" presStyleIdx="0" presStyleCnt="4">
        <dgm:presLayoutVars>
          <dgm:chMax val="0"/>
          <dgm:chPref val="0"/>
          <dgm:bulletEnabled val="1"/>
        </dgm:presLayoutVars>
      </dgm:prSet>
      <dgm:spPr/>
      <dgm:t>
        <a:bodyPr/>
        <a:lstStyle/>
        <a:p>
          <a:endParaRPr lang="en-AU"/>
        </a:p>
      </dgm:t>
    </dgm:pt>
    <dgm:pt modelId="{4656FAED-C863-4D01-B3E4-75D6B23F891B}" type="pres">
      <dgm:prSet presAssocID="{9F51E8F1-6C1B-45E0-AAFB-4C6420CD46DF}" presName="tile2" presStyleLbl="node1" presStyleIdx="1" presStyleCnt="4" custLinFactNeighborX="168"/>
      <dgm:spPr/>
      <dgm:t>
        <a:bodyPr/>
        <a:lstStyle/>
        <a:p>
          <a:endParaRPr lang="en-AU"/>
        </a:p>
      </dgm:t>
    </dgm:pt>
    <dgm:pt modelId="{5D9D8D2D-357F-43D3-BCB1-CE1E5160C873}" type="pres">
      <dgm:prSet presAssocID="{9F51E8F1-6C1B-45E0-AAFB-4C6420CD46DF}" presName="tile2text" presStyleLbl="node1" presStyleIdx="1" presStyleCnt="4">
        <dgm:presLayoutVars>
          <dgm:chMax val="0"/>
          <dgm:chPref val="0"/>
          <dgm:bulletEnabled val="1"/>
        </dgm:presLayoutVars>
      </dgm:prSet>
      <dgm:spPr/>
      <dgm:t>
        <a:bodyPr/>
        <a:lstStyle/>
        <a:p>
          <a:endParaRPr lang="en-AU"/>
        </a:p>
      </dgm:t>
    </dgm:pt>
    <dgm:pt modelId="{867AE17D-C650-49B1-AE3F-13415A15A4A6}" type="pres">
      <dgm:prSet presAssocID="{9F51E8F1-6C1B-45E0-AAFB-4C6420CD46DF}" presName="tile3" presStyleLbl="node1" presStyleIdx="2" presStyleCnt="4"/>
      <dgm:spPr/>
      <dgm:t>
        <a:bodyPr/>
        <a:lstStyle/>
        <a:p>
          <a:endParaRPr lang="en-AU"/>
        </a:p>
      </dgm:t>
    </dgm:pt>
    <dgm:pt modelId="{601CA3B2-2745-4BBF-9839-F176AF125FFB}" type="pres">
      <dgm:prSet presAssocID="{9F51E8F1-6C1B-45E0-AAFB-4C6420CD46DF}" presName="tile3text" presStyleLbl="node1" presStyleIdx="2" presStyleCnt="4">
        <dgm:presLayoutVars>
          <dgm:chMax val="0"/>
          <dgm:chPref val="0"/>
          <dgm:bulletEnabled val="1"/>
        </dgm:presLayoutVars>
      </dgm:prSet>
      <dgm:spPr/>
      <dgm:t>
        <a:bodyPr/>
        <a:lstStyle/>
        <a:p>
          <a:endParaRPr lang="en-AU"/>
        </a:p>
      </dgm:t>
    </dgm:pt>
    <dgm:pt modelId="{7A74420C-872B-4137-A3B6-C4F91750760C}" type="pres">
      <dgm:prSet presAssocID="{9F51E8F1-6C1B-45E0-AAFB-4C6420CD46DF}" presName="tile4" presStyleLbl="node1" presStyleIdx="3" presStyleCnt="4"/>
      <dgm:spPr/>
      <dgm:t>
        <a:bodyPr/>
        <a:lstStyle/>
        <a:p>
          <a:endParaRPr lang="en-AU"/>
        </a:p>
      </dgm:t>
    </dgm:pt>
    <dgm:pt modelId="{08148D49-766D-4717-84D5-F53D05518451}" type="pres">
      <dgm:prSet presAssocID="{9F51E8F1-6C1B-45E0-AAFB-4C6420CD46DF}" presName="tile4text" presStyleLbl="node1" presStyleIdx="3" presStyleCnt="4">
        <dgm:presLayoutVars>
          <dgm:chMax val="0"/>
          <dgm:chPref val="0"/>
          <dgm:bulletEnabled val="1"/>
        </dgm:presLayoutVars>
      </dgm:prSet>
      <dgm:spPr/>
      <dgm:t>
        <a:bodyPr/>
        <a:lstStyle/>
        <a:p>
          <a:endParaRPr lang="en-AU"/>
        </a:p>
      </dgm:t>
    </dgm:pt>
    <dgm:pt modelId="{339C5DE8-87AD-4B1F-B372-7F25B0E6CE82}" type="pres">
      <dgm:prSet presAssocID="{9F51E8F1-6C1B-45E0-AAFB-4C6420CD46DF}" presName="centerTile" presStyleLbl="fgShp" presStyleIdx="0" presStyleCnt="1">
        <dgm:presLayoutVars>
          <dgm:chMax val="0"/>
          <dgm:chPref val="0"/>
        </dgm:presLayoutVars>
      </dgm:prSet>
      <dgm:spPr/>
      <dgm:t>
        <a:bodyPr/>
        <a:lstStyle/>
        <a:p>
          <a:endParaRPr lang="en-AU"/>
        </a:p>
      </dgm:t>
    </dgm:pt>
  </dgm:ptLst>
  <dgm:cxnLst>
    <dgm:cxn modelId="{27F8A987-C2A5-4A00-88FE-2FCF18BDD4E7}" type="presOf" srcId="{7BCA3A1C-E9A2-41ED-B4C4-D1DA7BCDF103}" destId="{5D9D8D2D-357F-43D3-BCB1-CE1E5160C873}" srcOrd="1" destOrd="0" presId="urn:microsoft.com/office/officeart/2005/8/layout/matrix1"/>
    <dgm:cxn modelId="{93DBF8C8-5E48-4C52-A68D-305151596F48}" type="presOf" srcId="{7B4D899D-104C-4FB5-889F-3A6A166541C7}" destId="{601CA3B2-2745-4BBF-9839-F176AF125FFB}" srcOrd="1" destOrd="0" presId="urn:microsoft.com/office/officeart/2005/8/layout/matrix1"/>
    <dgm:cxn modelId="{BDC44AC4-80C8-48A6-8315-B06FF21FCBDC}" type="presOf" srcId="{F616C604-0035-4AE7-AE3B-86A3B84C653D}" destId="{6BF48AB3-2AF1-4357-9029-59F552179B25}" srcOrd="1" destOrd="0" presId="urn:microsoft.com/office/officeart/2005/8/layout/matrix1"/>
    <dgm:cxn modelId="{739A0ACB-27B4-4BA0-9948-F83AB7C65CFB}" type="presOf" srcId="{8F6B7FE0-3E22-4B58-A33A-CFA870899FD8}" destId="{339C5DE8-87AD-4B1F-B372-7F25B0E6CE82}" srcOrd="0" destOrd="0" presId="urn:microsoft.com/office/officeart/2005/8/layout/matrix1"/>
    <dgm:cxn modelId="{64B70403-88F6-4C16-A6BE-AD1553AD0357}" type="presOf" srcId="{F616C604-0035-4AE7-AE3B-86A3B84C653D}" destId="{BEDF85DF-B424-4E57-B1C1-D436A20FBAD0}" srcOrd="0" destOrd="0" presId="urn:microsoft.com/office/officeart/2005/8/layout/matrix1"/>
    <dgm:cxn modelId="{3080DC43-0DA5-4B38-8EF0-14513114840B}" type="presOf" srcId="{C473BDD4-C588-4180-BA39-3A53FABC1E08}" destId="{7A74420C-872B-4137-A3B6-C4F91750760C}" srcOrd="0" destOrd="0" presId="urn:microsoft.com/office/officeart/2005/8/layout/matrix1"/>
    <dgm:cxn modelId="{BFF38B75-07A0-4616-9752-A4B016CE912F}" srcId="{8F6B7FE0-3E22-4B58-A33A-CFA870899FD8}" destId="{7B4D899D-104C-4FB5-889F-3A6A166541C7}" srcOrd="2" destOrd="0" parTransId="{6A2B1519-4590-475B-B754-C7EF047DE743}" sibTransId="{FC138D2F-FBC4-4439-B175-6494C47B0076}"/>
    <dgm:cxn modelId="{5C1810DB-E619-4FF8-B215-6ABE64D176BB}" srcId="{8F6B7FE0-3E22-4B58-A33A-CFA870899FD8}" destId="{7BCA3A1C-E9A2-41ED-B4C4-D1DA7BCDF103}" srcOrd="1" destOrd="0" parTransId="{7C428DDC-EADF-4375-AA0C-EE814E990078}" sibTransId="{50A8129A-BAD7-409A-8102-53B6D03E72D7}"/>
    <dgm:cxn modelId="{020C35B7-A9C7-4CDB-902A-C4056A0133B8}" srcId="{8F6B7FE0-3E22-4B58-A33A-CFA870899FD8}" destId="{F616C604-0035-4AE7-AE3B-86A3B84C653D}" srcOrd="0" destOrd="0" parTransId="{49F0E03D-928F-43B0-8145-511E02456DC3}" sibTransId="{A07E3754-98A9-48A9-A0A6-D6F76B972BD0}"/>
    <dgm:cxn modelId="{09125EAB-0F8F-43C4-BF32-ECEDA3C04A70}" type="presOf" srcId="{7BCA3A1C-E9A2-41ED-B4C4-D1DA7BCDF103}" destId="{4656FAED-C863-4D01-B3E4-75D6B23F891B}" srcOrd="0" destOrd="0" presId="urn:microsoft.com/office/officeart/2005/8/layout/matrix1"/>
    <dgm:cxn modelId="{8DC95C93-7BB9-4C92-88B9-451CF349EE94}" type="presOf" srcId="{9F51E8F1-6C1B-45E0-AAFB-4C6420CD46DF}" destId="{AC3BBCDD-31FA-41D2-8CEE-8F53732CF2C4}" srcOrd="0" destOrd="0" presId="urn:microsoft.com/office/officeart/2005/8/layout/matrix1"/>
    <dgm:cxn modelId="{9E07803B-400C-4CBA-A0FD-D1BDD0178455}" type="presOf" srcId="{C473BDD4-C588-4180-BA39-3A53FABC1E08}" destId="{08148D49-766D-4717-84D5-F53D05518451}" srcOrd="1" destOrd="0" presId="urn:microsoft.com/office/officeart/2005/8/layout/matrix1"/>
    <dgm:cxn modelId="{A2123928-3F27-44C7-AA63-13EF51603D2A}" type="presOf" srcId="{7B4D899D-104C-4FB5-889F-3A6A166541C7}" destId="{867AE17D-C650-49B1-AE3F-13415A15A4A6}" srcOrd="0" destOrd="0" presId="urn:microsoft.com/office/officeart/2005/8/layout/matrix1"/>
    <dgm:cxn modelId="{80DE4AEB-47FB-44CF-A3C8-DDF8D59B5EA8}" srcId="{9F51E8F1-6C1B-45E0-AAFB-4C6420CD46DF}" destId="{8F6B7FE0-3E22-4B58-A33A-CFA870899FD8}" srcOrd="0" destOrd="0" parTransId="{C370760B-D333-4397-93DC-AF211D989D2A}" sibTransId="{29F42887-08C3-4C26-A87B-14AAC182A60D}"/>
    <dgm:cxn modelId="{3FE15E01-E802-44DD-B9C2-BA2BCA4CE886}" srcId="{8F6B7FE0-3E22-4B58-A33A-CFA870899FD8}" destId="{C473BDD4-C588-4180-BA39-3A53FABC1E08}" srcOrd="3" destOrd="0" parTransId="{EF81556B-5173-4BEA-9481-3338804C2AA0}" sibTransId="{BD72A7B9-7454-47BA-B944-EB24B866E145}"/>
    <dgm:cxn modelId="{13C2AAAB-E115-419B-AF81-BE3198D40B4A}" type="presParOf" srcId="{AC3BBCDD-31FA-41D2-8CEE-8F53732CF2C4}" destId="{896C4E78-BBAD-4736-8ACF-329F0BB6AE7B}" srcOrd="0" destOrd="0" presId="urn:microsoft.com/office/officeart/2005/8/layout/matrix1"/>
    <dgm:cxn modelId="{05FB9E55-A7FF-46FE-AD02-C8365FF97C44}" type="presParOf" srcId="{896C4E78-BBAD-4736-8ACF-329F0BB6AE7B}" destId="{BEDF85DF-B424-4E57-B1C1-D436A20FBAD0}" srcOrd="0" destOrd="0" presId="urn:microsoft.com/office/officeart/2005/8/layout/matrix1"/>
    <dgm:cxn modelId="{9450D3E4-ACE9-47C6-AF7F-F0EC19D6D9BF}" type="presParOf" srcId="{896C4E78-BBAD-4736-8ACF-329F0BB6AE7B}" destId="{6BF48AB3-2AF1-4357-9029-59F552179B25}" srcOrd="1" destOrd="0" presId="urn:microsoft.com/office/officeart/2005/8/layout/matrix1"/>
    <dgm:cxn modelId="{EAB5DEC3-0FD9-40E5-9772-C718E81D0BCE}" type="presParOf" srcId="{896C4E78-BBAD-4736-8ACF-329F0BB6AE7B}" destId="{4656FAED-C863-4D01-B3E4-75D6B23F891B}" srcOrd="2" destOrd="0" presId="urn:microsoft.com/office/officeart/2005/8/layout/matrix1"/>
    <dgm:cxn modelId="{63A07E3D-0292-497E-8A05-0CF426A06BC3}" type="presParOf" srcId="{896C4E78-BBAD-4736-8ACF-329F0BB6AE7B}" destId="{5D9D8D2D-357F-43D3-BCB1-CE1E5160C873}" srcOrd="3" destOrd="0" presId="urn:microsoft.com/office/officeart/2005/8/layout/matrix1"/>
    <dgm:cxn modelId="{44815E75-B14F-4470-9727-948475956A78}" type="presParOf" srcId="{896C4E78-BBAD-4736-8ACF-329F0BB6AE7B}" destId="{867AE17D-C650-49B1-AE3F-13415A15A4A6}" srcOrd="4" destOrd="0" presId="urn:microsoft.com/office/officeart/2005/8/layout/matrix1"/>
    <dgm:cxn modelId="{697D8A97-4EC0-4E48-A1CD-6BD4637CA807}" type="presParOf" srcId="{896C4E78-BBAD-4736-8ACF-329F0BB6AE7B}" destId="{601CA3B2-2745-4BBF-9839-F176AF125FFB}" srcOrd="5" destOrd="0" presId="urn:microsoft.com/office/officeart/2005/8/layout/matrix1"/>
    <dgm:cxn modelId="{86CEA6BB-58F0-420A-AB83-FE6D9F97D3D6}" type="presParOf" srcId="{896C4E78-BBAD-4736-8ACF-329F0BB6AE7B}" destId="{7A74420C-872B-4137-A3B6-C4F91750760C}" srcOrd="6" destOrd="0" presId="urn:microsoft.com/office/officeart/2005/8/layout/matrix1"/>
    <dgm:cxn modelId="{769C2360-7539-4A97-B71F-2A5F3D58FAB4}" type="presParOf" srcId="{896C4E78-BBAD-4736-8ACF-329F0BB6AE7B}" destId="{08148D49-766D-4717-84D5-F53D05518451}" srcOrd="7" destOrd="0" presId="urn:microsoft.com/office/officeart/2005/8/layout/matrix1"/>
    <dgm:cxn modelId="{A7E9B94F-8A7B-4957-981F-F6F1B8E097EF}" type="presParOf" srcId="{AC3BBCDD-31FA-41D2-8CEE-8F53732CF2C4}" destId="{339C5DE8-87AD-4B1F-B372-7F25B0E6CE82}" srcOrd="1" destOrd="0" presId="urn:microsoft.com/office/officeart/2005/8/layout/matrix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DF85DF-B424-4E57-B1C1-D436A20FBAD0}">
      <dsp:nvSpPr>
        <dsp:cNvPr id="0" name=""/>
        <dsp:cNvSpPr/>
      </dsp:nvSpPr>
      <dsp:spPr>
        <a:xfrm rot="16200000">
          <a:off x="390746" y="-390746"/>
          <a:ext cx="1153632" cy="1935126"/>
        </a:xfrm>
        <a:prstGeom prst="round1Rect">
          <a:avLst/>
        </a:prstGeom>
        <a:solidFill>
          <a:schemeClr val="accent1"/>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AU" sz="1400" b="0" i="1" kern="1200">
              <a:latin typeface="+mj-lt"/>
            </a:rPr>
            <a:t>Stakeholder input </a:t>
          </a:r>
        </a:p>
        <a:p>
          <a:pPr lvl="0" algn="ctr" defTabSz="622300">
            <a:lnSpc>
              <a:spcPct val="90000"/>
            </a:lnSpc>
            <a:spcBef>
              <a:spcPct val="0"/>
            </a:spcBef>
            <a:spcAft>
              <a:spcPct val="35000"/>
            </a:spcAft>
          </a:pPr>
          <a:r>
            <a:rPr lang="en-AU" sz="1100" kern="1200">
              <a:latin typeface="+mj-lt"/>
            </a:rPr>
            <a:t>Ministerial correspondence and early submissions</a:t>
          </a:r>
        </a:p>
      </dsp:txBody>
      <dsp:txXfrm rot="5400000">
        <a:off x="-1" y="1"/>
        <a:ext cx="1935126" cy="865224"/>
      </dsp:txXfrm>
    </dsp:sp>
    <dsp:sp modelId="{4656FAED-C863-4D01-B3E4-75D6B23F891B}">
      <dsp:nvSpPr>
        <dsp:cNvPr id="0" name=""/>
        <dsp:cNvSpPr/>
      </dsp:nvSpPr>
      <dsp:spPr>
        <a:xfrm>
          <a:off x="1935126" y="0"/>
          <a:ext cx="1935126" cy="1153632"/>
        </a:xfrm>
        <a:prstGeom prst="round1Rect">
          <a:avLst/>
        </a:prstGeom>
        <a:solidFill>
          <a:schemeClr val="accent1"/>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AU" sz="1400" i="1" kern="1200">
              <a:latin typeface="+mj-lt"/>
            </a:rPr>
            <a:t>Risk and impact </a:t>
          </a:r>
        </a:p>
        <a:p>
          <a:pPr lvl="0" algn="ctr" defTabSz="622300">
            <a:lnSpc>
              <a:spcPct val="90000"/>
            </a:lnSpc>
            <a:spcBef>
              <a:spcPct val="0"/>
            </a:spcBef>
            <a:spcAft>
              <a:spcPct val="35000"/>
            </a:spcAft>
          </a:pPr>
          <a:r>
            <a:rPr lang="en-AU" sz="1100" kern="1200">
              <a:latin typeface="+mj-lt"/>
            </a:rPr>
            <a:t>Preliminary policy assessment</a:t>
          </a:r>
        </a:p>
      </dsp:txBody>
      <dsp:txXfrm>
        <a:off x="1935126" y="0"/>
        <a:ext cx="1935126" cy="865224"/>
      </dsp:txXfrm>
    </dsp:sp>
    <dsp:sp modelId="{867AE17D-C650-49B1-AE3F-13415A15A4A6}">
      <dsp:nvSpPr>
        <dsp:cNvPr id="0" name=""/>
        <dsp:cNvSpPr/>
      </dsp:nvSpPr>
      <dsp:spPr>
        <a:xfrm rot="10800000">
          <a:off x="0" y="1153632"/>
          <a:ext cx="1935126" cy="1153632"/>
        </a:xfrm>
        <a:prstGeom prst="round1Rect">
          <a:avLst/>
        </a:prstGeom>
        <a:solidFill>
          <a:schemeClr val="accent1"/>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AU" sz="1400" i="1" kern="1200">
              <a:latin typeface="+mj-lt"/>
            </a:rPr>
            <a:t>Data collection</a:t>
          </a:r>
        </a:p>
        <a:p>
          <a:pPr lvl="0" algn="ctr" defTabSz="622300">
            <a:lnSpc>
              <a:spcPct val="90000"/>
            </a:lnSpc>
            <a:spcBef>
              <a:spcPct val="0"/>
            </a:spcBef>
            <a:spcAft>
              <a:spcPct val="35000"/>
            </a:spcAft>
          </a:pPr>
          <a:r>
            <a:rPr lang="en-AU" sz="1200" kern="1200">
              <a:latin typeface="+mj-lt"/>
            </a:rPr>
            <a:t>Evidence base and expert group assessment</a:t>
          </a:r>
        </a:p>
      </dsp:txBody>
      <dsp:txXfrm rot="10800000">
        <a:off x="0" y="1442040"/>
        <a:ext cx="1935126" cy="865224"/>
      </dsp:txXfrm>
    </dsp:sp>
    <dsp:sp modelId="{7A74420C-872B-4137-A3B6-C4F91750760C}">
      <dsp:nvSpPr>
        <dsp:cNvPr id="0" name=""/>
        <dsp:cNvSpPr/>
      </dsp:nvSpPr>
      <dsp:spPr>
        <a:xfrm rot="5400000">
          <a:off x="2325872" y="762885"/>
          <a:ext cx="1153632" cy="1935126"/>
        </a:xfrm>
        <a:prstGeom prst="round1Rect">
          <a:avLst/>
        </a:prstGeom>
        <a:solidFill>
          <a:schemeClr val="accent1"/>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AU" sz="1400" i="1" kern="1200">
              <a:latin typeface="+mj-lt"/>
            </a:rPr>
            <a:t>Government policy priorities</a:t>
          </a:r>
        </a:p>
        <a:p>
          <a:pPr lvl="0" algn="ctr" defTabSz="622300">
            <a:lnSpc>
              <a:spcPct val="90000"/>
            </a:lnSpc>
            <a:spcBef>
              <a:spcPct val="0"/>
            </a:spcBef>
            <a:spcAft>
              <a:spcPct val="35000"/>
            </a:spcAft>
          </a:pPr>
          <a:r>
            <a:rPr lang="en-AU" sz="1100" kern="1200">
              <a:latin typeface="+mj-lt"/>
            </a:rPr>
            <a:t>Building Reform program</a:t>
          </a:r>
        </a:p>
      </dsp:txBody>
      <dsp:txXfrm rot="-5400000">
        <a:off x="1935125" y="1442040"/>
        <a:ext cx="1935126" cy="865224"/>
      </dsp:txXfrm>
    </dsp:sp>
    <dsp:sp modelId="{339C5DE8-87AD-4B1F-B372-7F25B0E6CE82}">
      <dsp:nvSpPr>
        <dsp:cNvPr id="0" name=""/>
        <dsp:cNvSpPr/>
      </dsp:nvSpPr>
      <dsp:spPr>
        <a:xfrm>
          <a:off x="1354588" y="865224"/>
          <a:ext cx="1161075" cy="576816"/>
        </a:xfrm>
        <a:prstGeom prst="roundRect">
          <a:avLst/>
        </a:prstGeom>
        <a:solidFill>
          <a:schemeClr val="accent1">
            <a:lumMod val="20000"/>
            <a:lumOff val="8000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AU" sz="1500" b="1" i="1" kern="1200">
              <a:solidFill>
                <a:schemeClr val="accent1"/>
              </a:solidFill>
              <a:latin typeface="+mj-lt"/>
            </a:rPr>
            <a:t>Areas of Focus</a:t>
          </a:r>
        </a:p>
      </dsp:txBody>
      <dsp:txXfrm>
        <a:off x="1382746" y="893382"/>
        <a:ext cx="1104759" cy="520500"/>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BOP">
  <a:themeElements>
    <a:clrScheme name="DELWP Sub-Brand Offical">
      <a:dk1>
        <a:srgbClr val="363534"/>
      </a:dk1>
      <a:lt1>
        <a:sysClr val="window" lastClr="FFFFFF"/>
      </a:lt1>
      <a:dk2>
        <a:srgbClr val="642667"/>
      </a:dk2>
      <a:lt2>
        <a:srgbClr val="EFE9F0"/>
      </a:lt2>
      <a:accent1>
        <a:srgbClr val="00B2A9"/>
      </a:accent1>
      <a:accent2>
        <a:srgbClr val="642667"/>
      </a:accent2>
      <a:accent3>
        <a:srgbClr val="201547"/>
      </a:accent3>
      <a:accent4>
        <a:srgbClr val="99E0DD"/>
      </a:accent4>
      <a:accent5>
        <a:srgbClr val="C1A8C2"/>
      </a:accent5>
      <a:accent6>
        <a:srgbClr val="A6A1B5"/>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6872A-2590-4A84-A1FE-224250CF6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DELWP Report template.dotm</Template>
  <TotalTime>433</TotalTime>
  <Pages>129</Pages>
  <Words>39601</Words>
  <Characters>225726</Characters>
  <Application>Microsoft Office Word</Application>
  <DocSecurity>0</DocSecurity>
  <Lines>1881</Lines>
  <Paragraphs>529</Paragraphs>
  <ScaleCrop>false</ScaleCrop>
  <HeadingPairs>
    <vt:vector size="2" baseType="variant">
      <vt:variant>
        <vt:lpstr>Title</vt:lpstr>
      </vt:variant>
      <vt:variant>
        <vt:i4>1</vt:i4>
      </vt:variant>
    </vt:vector>
  </HeadingPairs>
  <TitlesOfParts>
    <vt:vector size="1" baseType="lpstr">
      <vt:lpstr>Title</vt:lpstr>
    </vt:vector>
  </TitlesOfParts>
  <Company>Victorian Government</Company>
  <LinksUpToDate>false</LinksUpToDate>
  <CharactersWithSpaces>264798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lm76</dc:creator>
  <cp:lastModifiedBy>KZ04</cp:lastModifiedBy>
  <cp:revision>50</cp:revision>
  <cp:lastPrinted>2017-05-12T02:35:00Z</cp:lastPrinted>
  <dcterms:created xsi:type="dcterms:W3CDTF">2017-05-01T22:14:00Z</dcterms:created>
  <dcterms:modified xsi:type="dcterms:W3CDTF">2017-05-17T05:00:00Z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TitusGUID">
    <vt:lpwstr>e9dc3f62-260a-4936-9481-6495e884ee45</vt:lpwstr>
  </property>
  <property fmtid="{D5CDD505-2E9C-101B-9397-08002B2CF9AE}" pid="19" name="PSPFClassification">
    <vt:lpwstr>Do Not Mark</vt:lpwstr>
  </property>
</Properties>
</file>