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AF5" w:rsidRPr="00370AF5" w:rsidRDefault="00370AF5" w:rsidP="00370AF5">
      <w:pPr>
        <w:keepNext/>
        <w:keepLines/>
        <w:spacing w:before="520" w:after="440" w:line="440" w:lineRule="atLeast"/>
        <w:outlineLvl w:val="0"/>
        <w:rPr>
          <w:rFonts w:ascii="Arial" w:eastAsia="Times New Roman" w:hAnsi="Arial" w:cs="Times New Roman"/>
          <w:bCs/>
          <w:color w:val="C5511A"/>
          <w:sz w:val="44"/>
          <w:szCs w:val="44"/>
        </w:rPr>
      </w:pPr>
      <w:bookmarkStart w:id="0" w:name="_Appendix_B:_Information"/>
      <w:bookmarkStart w:id="1" w:name="_Toc499042855"/>
      <w:bookmarkStart w:id="2" w:name="_Toc501109205"/>
      <w:bookmarkStart w:id="3" w:name="_Toc523757225"/>
      <w:bookmarkStart w:id="4" w:name="_Toc488425318"/>
      <w:bookmarkEnd w:id="0"/>
      <w:r w:rsidRPr="00370AF5">
        <w:rPr>
          <w:rFonts w:ascii="Arial" w:eastAsia="Times New Roman" w:hAnsi="Arial" w:cs="Times New Roman"/>
          <w:bCs/>
          <w:color w:val="C5511A"/>
          <w:sz w:val="44"/>
          <w:szCs w:val="44"/>
        </w:rPr>
        <w:t>Information sharing process checklist when responding to a request</w:t>
      </w:r>
      <w:bookmarkEnd w:id="1"/>
      <w:bookmarkEnd w:id="2"/>
      <w:bookmarkEnd w:id="3"/>
      <w:bookmarkEnd w:id="4"/>
    </w:p>
    <w:p w:rsidR="00370AF5" w:rsidRPr="00370AF5" w:rsidRDefault="00370AF5" w:rsidP="00370AF5">
      <w:pPr>
        <w:keepNext/>
        <w:keepLines/>
        <w:spacing w:before="240" w:after="90" w:line="320" w:lineRule="atLeast"/>
        <w:outlineLvl w:val="1"/>
        <w:rPr>
          <w:rFonts w:ascii="Arial" w:eastAsia="Times New Roman" w:hAnsi="Arial" w:cs="Times New Roman"/>
          <w:b/>
          <w:bCs/>
          <w:color w:val="53565A"/>
          <w:sz w:val="28"/>
          <w:szCs w:val="28"/>
        </w:rPr>
      </w:pPr>
      <w:r w:rsidRPr="00370AF5">
        <w:rPr>
          <w:rFonts w:ascii="Arial" w:eastAsia="Times New Roman" w:hAnsi="Arial" w:cs="Times New Roman"/>
          <w:b/>
          <w:bCs/>
          <w:color w:val="53565A"/>
          <w:sz w:val="28"/>
          <w:szCs w:val="28"/>
        </w:rPr>
        <w:t>When responding to an information request, you should:</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Make sure the person requesting information is from a prescribed ISE.</w:t>
      </w:r>
    </w:p>
    <w:p w:rsidR="00370AF5" w:rsidRPr="003204C3" w:rsidRDefault="00370AF5" w:rsidP="003204C3">
      <w:pPr>
        <w:pStyle w:val="ListParagraph"/>
        <w:numPr>
          <w:ilvl w:val="0"/>
          <w:numId w:val="14"/>
        </w:numPr>
        <w:spacing w:after="40" w:line="270" w:lineRule="atLeast"/>
        <w:rPr>
          <w:rFonts w:ascii="Arial" w:eastAsia="Times" w:hAnsi="Arial" w:cs="Times New Roman"/>
          <w:sz w:val="20"/>
          <w:szCs w:val="20"/>
        </w:rPr>
      </w:pPr>
      <w:r w:rsidRPr="003204C3">
        <w:rPr>
          <w:rFonts w:ascii="Arial" w:eastAsia="Times" w:hAnsi="Arial" w:cs="Times New Roman"/>
          <w:sz w:val="20"/>
          <w:szCs w:val="20"/>
        </w:rPr>
        <w:t>Check the regulations and make sure they are prescribed as an ISE</w:t>
      </w:r>
    </w:p>
    <w:p w:rsidR="00370AF5" w:rsidRPr="003204C3" w:rsidRDefault="00370AF5" w:rsidP="003204C3">
      <w:pPr>
        <w:pStyle w:val="ListParagraph"/>
        <w:numPr>
          <w:ilvl w:val="0"/>
          <w:numId w:val="14"/>
        </w:numPr>
        <w:spacing w:after="40" w:line="270" w:lineRule="atLeast"/>
        <w:rPr>
          <w:rFonts w:ascii="Arial" w:eastAsia="Times" w:hAnsi="Arial" w:cs="Times New Roman"/>
          <w:sz w:val="20"/>
          <w:szCs w:val="20"/>
        </w:rPr>
      </w:pPr>
      <w:r w:rsidRPr="003204C3">
        <w:rPr>
          <w:rFonts w:ascii="Arial" w:eastAsia="Times" w:hAnsi="Arial" w:cs="Times New Roman"/>
          <w:sz w:val="20"/>
          <w:szCs w:val="20"/>
        </w:rPr>
        <w:t>If you don’t have an existing relationship with the person requesting the information, you should verify that they are who they say (e.g. by asking them to send you an email from their official work account).</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Make sure their request for information is for a permitted purpose under Part 5A of the </w:t>
      </w:r>
      <w:r w:rsidRPr="00370AF5">
        <w:rPr>
          <w:rFonts w:ascii="Arial" w:eastAsia="Times" w:hAnsi="Arial" w:cs="Times New Roman"/>
          <w:i/>
          <w:sz w:val="20"/>
          <w:szCs w:val="20"/>
        </w:rPr>
        <w:t>Family Violence Protection Act 2008</w:t>
      </w:r>
      <w:r w:rsidRPr="00370AF5">
        <w:rPr>
          <w:rFonts w:ascii="Arial" w:eastAsia="Times" w:hAnsi="Arial" w:cs="Times New Roman"/>
          <w:sz w:val="20"/>
          <w:szCs w:val="20"/>
        </w:rPr>
        <w:t xml:space="preserve"> (FVPA) — namely:</w:t>
      </w:r>
    </w:p>
    <w:p w:rsidR="00370AF5" w:rsidRPr="00370AF5" w:rsidRDefault="00370AF5" w:rsidP="00AE5082">
      <w:pPr>
        <w:numPr>
          <w:ilvl w:val="1"/>
          <w:numId w:val="3"/>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If the information is being requested for a family violence assessment purpose</w:t>
      </w:r>
    </w:p>
    <w:p w:rsidR="00AE5082" w:rsidRDefault="00370AF5" w:rsidP="00AE5082">
      <w:pPr>
        <w:pStyle w:val="ListParagraph"/>
        <w:numPr>
          <w:ilvl w:val="0"/>
          <w:numId w:val="13"/>
        </w:numPr>
        <w:spacing w:after="120" w:line="270" w:lineRule="atLeast"/>
        <w:rPr>
          <w:rFonts w:ascii="Arial" w:eastAsia="Times" w:hAnsi="Arial" w:cs="Times New Roman"/>
          <w:sz w:val="20"/>
          <w:szCs w:val="20"/>
        </w:rPr>
      </w:pPr>
      <w:r w:rsidRPr="00AE5082">
        <w:rPr>
          <w:rFonts w:ascii="Arial" w:eastAsia="Times" w:hAnsi="Arial" w:cs="Times New Roman"/>
          <w:sz w:val="20"/>
          <w:szCs w:val="20"/>
        </w:rPr>
        <w:t>Only specifically prescribed risk assessment entities can request and receive information for a family violence assessment purpose. Therefore, confirm that the person requesting information is specifically prescribed as a risk assessment entity</w:t>
      </w:r>
    </w:p>
    <w:p w:rsidR="00AE5082" w:rsidRDefault="00370AF5" w:rsidP="00AE5082">
      <w:pPr>
        <w:pStyle w:val="ListParagraph"/>
        <w:numPr>
          <w:ilvl w:val="0"/>
          <w:numId w:val="13"/>
        </w:numPr>
        <w:spacing w:after="120" w:line="270" w:lineRule="atLeast"/>
        <w:rPr>
          <w:rFonts w:ascii="Arial" w:eastAsia="Times" w:hAnsi="Arial" w:cs="Times New Roman"/>
          <w:sz w:val="20"/>
          <w:szCs w:val="20"/>
        </w:rPr>
      </w:pPr>
      <w:r w:rsidRPr="00AE5082">
        <w:rPr>
          <w:rFonts w:ascii="Arial" w:eastAsia="Times" w:hAnsi="Arial" w:cs="Times New Roman"/>
          <w:sz w:val="20"/>
          <w:szCs w:val="20"/>
        </w:rPr>
        <w:t>Refer to the MARAM Framework to assess what information is relevant and share in line with your professional judgement</w:t>
      </w:r>
    </w:p>
    <w:p w:rsidR="00370AF5" w:rsidRPr="00AE5082" w:rsidRDefault="00370AF5" w:rsidP="00AE5082">
      <w:pPr>
        <w:pStyle w:val="ListParagraph"/>
        <w:numPr>
          <w:ilvl w:val="0"/>
          <w:numId w:val="13"/>
        </w:numPr>
        <w:spacing w:after="120" w:line="270" w:lineRule="atLeast"/>
        <w:rPr>
          <w:rFonts w:ascii="Arial" w:eastAsia="Times" w:hAnsi="Arial" w:cs="Times New Roman"/>
          <w:sz w:val="20"/>
          <w:szCs w:val="20"/>
        </w:rPr>
      </w:pPr>
      <w:r w:rsidRPr="00AE5082">
        <w:rPr>
          <w:rFonts w:ascii="Arial" w:eastAsia="Times" w:hAnsi="Arial" w:cs="Times New Roman"/>
          <w:sz w:val="20"/>
          <w:szCs w:val="20"/>
        </w:rPr>
        <w:t>Ensure that you share information in a way that does not place victim survivor at further risk of harm.</w:t>
      </w:r>
    </w:p>
    <w:p w:rsidR="00370AF5" w:rsidRPr="00370AF5" w:rsidRDefault="00370AF5" w:rsidP="00370AF5">
      <w:pPr>
        <w:spacing w:after="120" w:line="270" w:lineRule="atLeast"/>
        <w:ind w:left="794"/>
        <w:rPr>
          <w:rFonts w:ascii="Arial" w:eastAsia="Times" w:hAnsi="Arial" w:cs="Times New Roman"/>
          <w:sz w:val="20"/>
          <w:szCs w:val="20"/>
        </w:rPr>
      </w:pPr>
      <w:r w:rsidRPr="00370AF5">
        <w:rPr>
          <w:rFonts w:ascii="Arial" w:eastAsia="Times" w:hAnsi="Arial" w:cs="Times New Roman"/>
          <w:sz w:val="20"/>
          <w:szCs w:val="20"/>
        </w:rPr>
        <w:t>OR</w:t>
      </w:r>
    </w:p>
    <w:p w:rsidR="00370AF5" w:rsidRPr="00AE5082" w:rsidRDefault="00370AF5" w:rsidP="00AE5082">
      <w:pPr>
        <w:pStyle w:val="WOVGnumberloweralpha"/>
        <w:numPr>
          <w:ilvl w:val="0"/>
          <w:numId w:val="3"/>
        </w:numPr>
        <w:tabs>
          <w:tab w:val="clear" w:pos="397"/>
          <w:tab w:val="num" w:pos="794"/>
        </w:tabs>
        <w:ind w:firstLine="29"/>
      </w:pPr>
      <w:r w:rsidRPr="00AE5082">
        <w:t>If the information is being requested for a family violence protection purpose</w:t>
      </w:r>
    </w:p>
    <w:p w:rsidR="00AE5082" w:rsidRDefault="00370AF5" w:rsidP="00AE5082">
      <w:pPr>
        <w:pStyle w:val="ListParagraph"/>
        <w:numPr>
          <w:ilvl w:val="0"/>
          <w:numId w:val="13"/>
        </w:numPr>
        <w:spacing w:after="120" w:line="270" w:lineRule="atLeast"/>
        <w:rPr>
          <w:rFonts w:ascii="Arial" w:eastAsia="Times" w:hAnsi="Arial" w:cs="Times New Roman"/>
          <w:sz w:val="20"/>
          <w:szCs w:val="20"/>
        </w:rPr>
      </w:pPr>
      <w:r w:rsidRPr="00AE5082">
        <w:rPr>
          <w:rFonts w:ascii="Arial" w:eastAsia="Times" w:hAnsi="Arial" w:cs="Times New Roman"/>
          <w:sz w:val="20"/>
          <w:szCs w:val="20"/>
        </w:rPr>
        <w:t>Any prescribed ISE is permitted to request and receive information for a family violence protection purpose</w:t>
      </w:r>
    </w:p>
    <w:p w:rsidR="00AE5082" w:rsidRDefault="00370AF5" w:rsidP="00AE5082">
      <w:pPr>
        <w:pStyle w:val="ListParagraph"/>
        <w:numPr>
          <w:ilvl w:val="0"/>
          <w:numId w:val="13"/>
        </w:numPr>
        <w:spacing w:after="120" w:line="270" w:lineRule="atLeast"/>
        <w:rPr>
          <w:rFonts w:ascii="Arial" w:eastAsia="Times" w:hAnsi="Arial" w:cs="Times New Roman"/>
          <w:sz w:val="20"/>
          <w:szCs w:val="20"/>
        </w:rPr>
      </w:pPr>
      <w:r w:rsidRPr="00AE5082">
        <w:rPr>
          <w:rFonts w:ascii="Arial" w:eastAsia="Times" w:hAnsi="Arial" w:cs="Times New Roman"/>
          <w:sz w:val="20"/>
          <w:szCs w:val="20"/>
        </w:rPr>
        <w:t>You must reasonably believe that the disclosure of the relevant information is necessary for a family violence protection purpose. Refer to the MARAM Framework to assess what information is relevant and share in line with your professional judgement</w:t>
      </w:r>
    </w:p>
    <w:p w:rsidR="00370AF5" w:rsidRPr="00AE5082" w:rsidRDefault="00370AF5" w:rsidP="00AE5082">
      <w:pPr>
        <w:pStyle w:val="ListParagraph"/>
        <w:numPr>
          <w:ilvl w:val="0"/>
          <w:numId w:val="13"/>
        </w:numPr>
        <w:spacing w:after="120" w:line="270" w:lineRule="atLeast"/>
        <w:rPr>
          <w:rFonts w:ascii="Arial" w:eastAsia="Times" w:hAnsi="Arial" w:cs="Times New Roman"/>
          <w:sz w:val="20"/>
          <w:szCs w:val="20"/>
        </w:rPr>
      </w:pPr>
      <w:r w:rsidRPr="00AE5082">
        <w:rPr>
          <w:rFonts w:ascii="Arial" w:eastAsia="Times" w:hAnsi="Arial" w:cs="Times New Roman"/>
          <w:sz w:val="20"/>
          <w:szCs w:val="20"/>
        </w:rPr>
        <w:t>Ensure that you share information in a way that does not place the victim survivor/s at further risk of harm.</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Prior to sharing the relevant information, make sure the information is not excluded information or that sharing it would not contravene another law:</w:t>
      </w:r>
    </w:p>
    <w:p w:rsidR="00370AF5" w:rsidRPr="003204C3" w:rsidRDefault="00370AF5" w:rsidP="003204C3">
      <w:pPr>
        <w:pStyle w:val="ListParagraph"/>
        <w:numPr>
          <w:ilvl w:val="0"/>
          <w:numId w:val="13"/>
        </w:numPr>
        <w:spacing w:after="40" w:line="270" w:lineRule="atLeast"/>
        <w:ind w:left="709"/>
        <w:rPr>
          <w:rFonts w:ascii="Arial" w:eastAsia="Times" w:hAnsi="Arial" w:cs="Times New Roman"/>
          <w:sz w:val="20"/>
          <w:szCs w:val="20"/>
        </w:rPr>
      </w:pPr>
      <w:r w:rsidRPr="003204C3">
        <w:rPr>
          <w:rFonts w:ascii="Arial" w:eastAsia="Times" w:hAnsi="Arial" w:cs="Times New Roman"/>
          <w:sz w:val="20"/>
          <w:szCs w:val="20"/>
        </w:rPr>
        <w:t>Refer to the legislation and Family Violence Information Sharing Guidelines</w:t>
      </w:r>
    </w:p>
    <w:p w:rsidR="00370AF5" w:rsidRPr="003204C3" w:rsidRDefault="00370AF5" w:rsidP="003204C3">
      <w:pPr>
        <w:pStyle w:val="ListParagraph"/>
        <w:numPr>
          <w:ilvl w:val="0"/>
          <w:numId w:val="13"/>
        </w:numPr>
        <w:spacing w:after="40" w:line="270" w:lineRule="atLeast"/>
        <w:ind w:left="709"/>
        <w:rPr>
          <w:rFonts w:ascii="Arial" w:eastAsia="Times" w:hAnsi="Arial" w:cs="Times New Roman"/>
          <w:sz w:val="20"/>
          <w:szCs w:val="20"/>
        </w:rPr>
      </w:pPr>
      <w:r w:rsidRPr="003204C3">
        <w:rPr>
          <w:rFonts w:ascii="Arial" w:eastAsia="Times" w:hAnsi="Arial" w:cs="Times New Roman"/>
          <w:sz w:val="20"/>
          <w:szCs w:val="20"/>
        </w:rPr>
        <w:t>Speak to your manager if you are unsure or you want to verify what information should not be shared.</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Prior to sharing the relevant information, make sure you have obtained consent from the relevant person (if required by Part 5A of the FVPA):</w:t>
      </w:r>
    </w:p>
    <w:p w:rsidR="00370AF5" w:rsidRPr="00370AF5" w:rsidRDefault="00370AF5" w:rsidP="00370AF5">
      <w:pPr>
        <w:numPr>
          <w:ilvl w:val="1"/>
          <w:numId w:val="4"/>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When sharing information to assess or manage risk for an adult victim survivor of family violence, the following consent requirements apply</w:t>
      </w:r>
    </w:p>
    <w:p w:rsidR="003204C3" w:rsidRDefault="00370AF5" w:rsidP="003204C3">
      <w:pPr>
        <w:pStyle w:val="ListParagraph"/>
        <w:numPr>
          <w:ilvl w:val="0"/>
          <w:numId w:val="13"/>
        </w:numPr>
        <w:spacing w:after="120" w:line="270" w:lineRule="atLeast"/>
        <w:rPr>
          <w:rFonts w:ascii="Arial" w:eastAsia="Times" w:hAnsi="Arial" w:cs="Times New Roman"/>
          <w:sz w:val="20"/>
          <w:szCs w:val="20"/>
        </w:rPr>
      </w:pPr>
      <w:r w:rsidRPr="003204C3">
        <w:rPr>
          <w:rFonts w:ascii="Arial" w:eastAsia="Times" w:hAnsi="Arial" w:cs="Times New Roman"/>
          <w:sz w:val="20"/>
          <w:szCs w:val="20"/>
        </w:rPr>
        <w:t>Perpetrator consent is not required</w:t>
      </w:r>
    </w:p>
    <w:p w:rsidR="003204C3" w:rsidRDefault="00370AF5" w:rsidP="003204C3">
      <w:pPr>
        <w:pStyle w:val="ListParagraph"/>
        <w:numPr>
          <w:ilvl w:val="0"/>
          <w:numId w:val="13"/>
        </w:numPr>
        <w:spacing w:after="120" w:line="270" w:lineRule="atLeast"/>
        <w:rPr>
          <w:rFonts w:ascii="Arial" w:eastAsia="Times" w:hAnsi="Arial" w:cs="Times New Roman"/>
          <w:sz w:val="20"/>
          <w:szCs w:val="20"/>
        </w:rPr>
      </w:pPr>
      <w:r w:rsidRPr="003204C3">
        <w:rPr>
          <w:rFonts w:ascii="Arial" w:eastAsia="Times" w:hAnsi="Arial" w:cs="Times New Roman"/>
          <w:sz w:val="20"/>
          <w:szCs w:val="20"/>
        </w:rPr>
        <w:t xml:space="preserve">Consent from an adult victim survivor or third party is required unless you believe sharing the information is necessary to lessen or prevent a serious threat to an individual’s life, health, safety or welfare. Refer to the MARAM Framework to inform your assessment of </w:t>
      </w:r>
      <w:r w:rsidRPr="003204C3">
        <w:rPr>
          <w:rFonts w:ascii="Arial" w:eastAsia="Times" w:hAnsi="Arial" w:cs="Times New Roman"/>
          <w:sz w:val="20"/>
          <w:szCs w:val="20"/>
        </w:rPr>
        <w:lastRenderedPageBreak/>
        <w:t>threat or risk level and exercise your professional judgement. Speak to your manager if you are unsure or you want to verify what information should not be shared</w:t>
      </w:r>
    </w:p>
    <w:p w:rsidR="003204C3" w:rsidRDefault="00370AF5" w:rsidP="003204C3">
      <w:pPr>
        <w:pStyle w:val="ListParagraph"/>
        <w:numPr>
          <w:ilvl w:val="0"/>
          <w:numId w:val="13"/>
        </w:numPr>
        <w:spacing w:after="120" w:line="270" w:lineRule="atLeast"/>
        <w:rPr>
          <w:rFonts w:ascii="Arial" w:eastAsia="Times" w:hAnsi="Arial" w:cs="Times New Roman"/>
          <w:sz w:val="20"/>
          <w:szCs w:val="20"/>
        </w:rPr>
      </w:pPr>
      <w:r w:rsidRPr="003204C3">
        <w:rPr>
          <w:rFonts w:ascii="Arial" w:eastAsia="Times" w:hAnsi="Arial" w:cs="Times New Roman"/>
          <w:sz w:val="20"/>
          <w:szCs w:val="20"/>
        </w:rPr>
        <w:t>Consent from a child victim survivor is not required but their views or the view of their parent that is not a perpetrator should generally be sought. This is crucial for building open and transparent relationships between service providers and victim survivors</w:t>
      </w:r>
    </w:p>
    <w:p w:rsidR="00370AF5" w:rsidRPr="003204C3" w:rsidRDefault="00370AF5" w:rsidP="003204C3">
      <w:pPr>
        <w:pStyle w:val="ListParagraph"/>
        <w:numPr>
          <w:ilvl w:val="0"/>
          <w:numId w:val="13"/>
        </w:numPr>
        <w:spacing w:after="120" w:line="270" w:lineRule="atLeast"/>
        <w:rPr>
          <w:rFonts w:ascii="Arial" w:eastAsia="Times" w:hAnsi="Arial" w:cs="Times New Roman"/>
          <w:sz w:val="20"/>
          <w:szCs w:val="20"/>
        </w:rPr>
      </w:pPr>
      <w:r w:rsidRPr="003204C3">
        <w:rPr>
          <w:rFonts w:ascii="Arial" w:eastAsia="Times" w:hAnsi="Arial" w:cs="Times New Roman"/>
          <w:sz w:val="20"/>
          <w:szCs w:val="20"/>
        </w:rPr>
        <w:t>It is important that you have an upfront conversation with all clients at the point they engage with services about how their information might be shared under Part 5A of the FVPA, irrespective of consent.</w:t>
      </w:r>
    </w:p>
    <w:p w:rsidR="00370AF5" w:rsidRPr="003204C3" w:rsidRDefault="003204C3" w:rsidP="003204C3">
      <w:pPr>
        <w:pStyle w:val="WOVGnumberloweralpha"/>
        <w:numPr>
          <w:ilvl w:val="0"/>
          <w:numId w:val="0"/>
        </w:numPr>
        <w:tabs>
          <w:tab w:val="num" w:pos="794"/>
        </w:tabs>
        <w:ind w:left="794" w:hanging="397"/>
      </w:pPr>
      <w:r w:rsidRPr="003204C3">
        <w:t>(b</w:t>
      </w:r>
      <w:r>
        <w:t xml:space="preserve">) </w:t>
      </w:r>
      <w:r w:rsidR="00370AF5" w:rsidRPr="003204C3">
        <w:t>When sharing information to assess or manage risk for a child victim survivor of family violence, consent is not required from any person</w:t>
      </w:r>
    </w:p>
    <w:p w:rsidR="00370AF5" w:rsidRPr="00370AF5" w:rsidRDefault="003204C3" w:rsidP="003204C3">
      <w:pPr>
        <w:numPr>
          <w:ilvl w:val="3"/>
          <w:numId w:val="0"/>
        </w:numPr>
        <w:spacing w:after="120" w:line="270" w:lineRule="atLeast"/>
        <w:ind w:left="1191" w:hanging="397"/>
        <w:rPr>
          <w:rFonts w:ascii="Arial" w:eastAsia="Times" w:hAnsi="Arial" w:cs="Times New Roman"/>
          <w:sz w:val="20"/>
          <w:szCs w:val="20"/>
        </w:rPr>
      </w:pPr>
      <w:r>
        <w:rPr>
          <w:rFonts w:ascii="Arial" w:eastAsia="Times" w:hAnsi="Arial" w:cs="Times New Roman"/>
          <w:sz w:val="20"/>
          <w:szCs w:val="20"/>
        </w:rPr>
        <w:t>-</w:t>
      </w:r>
      <w:r>
        <w:rPr>
          <w:rFonts w:ascii="Arial" w:eastAsia="Times" w:hAnsi="Arial" w:cs="Times New Roman"/>
          <w:sz w:val="20"/>
          <w:szCs w:val="20"/>
        </w:rPr>
        <w:tab/>
      </w:r>
      <w:r w:rsidR="00370AF5" w:rsidRPr="00370AF5">
        <w:rPr>
          <w:rFonts w:ascii="Arial" w:eastAsia="Times" w:hAnsi="Arial" w:cs="Times New Roman"/>
          <w:sz w:val="20"/>
          <w:szCs w:val="20"/>
        </w:rPr>
        <w:t>It is important that you have an upfront conversation with all clients at the point they engage with services about how their information might be shared under Part 5A of the FVPA, irrespective of consent</w:t>
      </w:r>
    </w:p>
    <w:p w:rsidR="003204C3" w:rsidRDefault="003204C3" w:rsidP="003204C3">
      <w:pPr>
        <w:numPr>
          <w:ilvl w:val="3"/>
          <w:numId w:val="0"/>
        </w:numPr>
        <w:spacing w:after="120" w:line="270" w:lineRule="atLeast"/>
        <w:ind w:left="1191" w:hanging="397"/>
        <w:rPr>
          <w:rFonts w:ascii="Arial" w:eastAsia="Times" w:hAnsi="Arial" w:cs="Times New Roman"/>
          <w:sz w:val="20"/>
          <w:szCs w:val="20"/>
        </w:rPr>
      </w:pPr>
      <w:r>
        <w:rPr>
          <w:rFonts w:ascii="Arial" w:eastAsia="Times" w:hAnsi="Arial" w:cs="Times New Roman"/>
          <w:sz w:val="20"/>
          <w:szCs w:val="20"/>
        </w:rPr>
        <w:t xml:space="preserve">- </w:t>
      </w:r>
      <w:r>
        <w:rPr>
          <w:rFonts w:ascii="Arial" w:eastAsia="Times" w:hAnsi="Arial" w:cs="Times New Roman"/>
          <w:sz w:val="20"/>
          <w:szCs w:val="20"/>
        </w:rPr>
        <w:tab/>
      </w:r>
      <w:r w:rsidR="00370AF5" w:rsidRPr="00370AF5">
        <w:rPr>
          <w:rFonts w:ascii="Arial" w:eastAsia="Times" w:hAnsi="Arial" w:cs="Times New Roman"/>
          <w:sz w:val="20"/>
          <w:szCs w:val="20"/>
        </w:rPr>
        <w:t xml:space="preserve">Seek to promote the agency of the child and other family members at risk of family violence by </w:t>
      </w:r>
      <w:proofErr w:type="gramStart"/>
      <w:r w:rsidR="00370AF5" w:rsidRPr="00370AF5">
        <w:rPr>
          <w:rFonts w:ascii="Arial" w:eastAsia="Times" w:hAnsi="Arial" w:cs="Times New Roman"/>
          <w:sz w:val="20"/>
          <w:szCs w:val="20"/>
        </w:rPr>
        <w:t>taking into account</w:t>
      </w:r>
      <w:proofErr w:type="gramEnd"/>
      <w:r w:rsidR="00370AF5" w:rsidRPr="00370AF5">
        <w:rPr>
          <w:rFonts w:ascii="Arial" w:eastAsia="Times" w:hAnsi="Arial" w:cs="Times New Roman"/>
          <w:sz w:val="20"/>
          <w:szCs w:val="20"/>
        </w:rPr>
        <w:t xml:space="preserve"> their wishes where appropriate and plan for the safety of all family members at risk of family violence</w:t>
      </w:r>
    </w:p>
    <w:p w:rsidR="00370AF5" w:rsidRPr="00370AF5" w:rsidRDefault="003204C3" w:rsidP="003204C3">
      <w:pPr>
        <w:numPr>
          <w:ilvl w:val="3"/>
          <w:numId w:val="0"/>
        </w:numPr>
        <w:spacing w:after="120" w:line="270" w:lineRule="atLeast"/>
        <w:ind w:left="1191" w:hanging="397"/>
        <w:rPr>
          <w:rFonts w:ascii="Arial" w:eastAsia="Times" w:hAnsi="Arial" w:cs="Times New Roman"/>
          <w:sz w:val="20"/>
          <w:szCs w:val="20"/>
        </w:rPr>
      </w:pPr>
      <w:r>
        <w:rPr>
          <w:rFonts w:ascii="Arial" w:eastAsia="Times" w:hAnsi="Arial" w:cs="Times New Roman"/>
          <w:sz w:val="20"/>
          <w:szCs w:val="20"/>
        </w:rPr>
        <w:t>-</w:t>
      </w:r>
      <w:r>
        <w:rPr>
          <w:rFonts w:ascii="Arial" w:eastAsia="Times" w:hAnsi="Arial" w:cs="Times New Roman"/>
          <w:sz w:val="20"/>
          <w:szCs w:val="20"/>
        </w:rPr>
        <w:tab/>
      </w:r>
      <w:r w:rsidR="00370AF5" w:rsidRPr="00370AF5">
        <w:rPr>
          <w:rFonts w:ascii="Arial" w:eastAsia="Times" w:hAnsi="Arial" w:cs="Times New Roman"/>
          <w:sz w:val="20"/>
          <w:szCs w:val="20"/>
        </w:rPr>
        <w:t>If safe to do so, notify the child and other family members at risk of family violence that their information has been shared under Part 5A of the FVPA.</w:t>
      </w:r>
    </w:p>
    <w:p w:rsidR="00370AF5" w:rsidRPr="00370AF5" w:rsidRDefault="00370AF5" w:rsidP="00370AF5">
      <w:pPr>
        <w:spacing w:after="0" w:line="240" w:lineRule="auto"/>
        <w:rPr>
          <w:rFonts w:ascii="Arial" w:eastAsia="Times" w:hAnsi="Arial" w:cs="Times New Roman"/>
          <w:sz w:val="11"/>
          <w:szCs w:val="20"/>
        </w:rPr>
      </w:pPr>
    </w:p>
    <w:tbl>
      <w:tblPr>
        <w:tblStyle w:val="Rememberbox"/>
        <w:tblW w:w="9299" w:type="dxa"/>
        <w:tblLook w:val="04A0" w:firstRow="1" w:lastRow="0" w:firstColumn="1" w:lastColumn="0" w:noHBand="0" w:noVBand="1"/>
        <w:tblDescription w:val="Remember box with information about how to proceed when sharing information where a perpetrator or victim survivor has been misidentified."/>
      </w:tblPr>
      <w:tblGrid>
        <w:gridCol w:w="9299"/>
      </w:tblGrid>
      <w:tr w:rsidR="00370AF5" w:rsidRPr="00370AF5" w:rsidTr="00D355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9" w:type="dxa"/>
          </w:tcPr>
          <w:p w:rsidR="00370AF5" w:rsidRPr="00370AF5" w:rsidRDefault="00370AF5" w:rsidP="00370AF5">
            <w:pPr>
              <w:spacing w:before="80" w:after="60"/>
              <w:rPr>
                <w:b/>
              </w:rPr>
            </w:pPr>
            <w:r w:rsidRPr="00370AF5">
              <w:rPr>
                <w:b/>
              </w:rPr>
              <w:t>Remember</w:t>
            </w:r>
          </w:p>
        </w:tc>
      </w:tr>
      <w:tr w:rsidR="00370AF5" w:rsidRPr="00370AF5" w:rsidTr="00370AF5">
        <w:tc>
          <w:tcPr>
            <w:cnfStyle w:val="001000000000" w:firstRow="0" w:lastRow="0" w:firstColumn="1" w:lastColumn="0" w:oddVBand="0" w:evenVBand="0" w:oddHBand="0" w:evenHBand="0" w:firstRowFirstColumn="0" w:firstRowLastColumn="0" w:lastRowFirstColumn="0" w:lastRowLastColumn="0"/>
            <w:tcW w:w="9299" w:type="dxa"/>
          </w:tcPr>
          <w:p w:rsidR="00370AF5" w:rsidRPr="00370AF5" w:rsidRDefault="00370AF5" w:rsidP="00370AF5">
            <w:pPr>
              <w:spacing w:before="80" w:after="120"/>
            </w:pPr>
            <w:r w:rsidRPr="00370AF5">
              <w:t>If you think that a perpetrator or victim survivor has been misidentified, you should only share information consistent with Part 5A of the FVPA and the applicable consent thresholds. If you believe someone is a victim survivor (and not a perpetrator), you must seek their consent first unless there is serious threat or information is relevant to assessing or managing risk to a child victim survivor.</w:t>
            </w:r>
          </w:p>
        </w:tc>
      </w:tr>
    </w:tbl>
    <w:p w:rsidR="00370AF5" w:rsidRPr="00370AF5" w:rsidRDefault="00370AF5" w:rsidP="00370AF5">
      <w:pPr>
        <w:spacing w:after="0" w:line="240" w:lineRule="auto"/>
        <w:rPr>
          <w:rFonts w:ascii="Arial" w:eastAsia="Times" w:hAnsi="Arial" w:cs="Times New Roman"/>
          <w:sz w:val="11"/>
          <w:szCs w:val="20"/>
        </w:rPr>
      </w:pP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Document the entity that requested the information and the worker you spoke with.</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Document the information that was </w:t>
      </w:r>
      <w:proofErr w:type="gramStart"/>
      <w:r w:rsidRPr="00370AF5">
        <w:rPr>
          <w:rFonts w:ascii="Arial" w:eastAsia="Times" w:hAnsi="Arial" w:cs="Times New Roman"/>
          <w:sz w:val="20"/>
          <w:szCs w:val="20"/>
        </w:rPr>
        <w:t>shared</w:t>
      </w:r>
      <w:proofErr w:type="gramEnd"/>
      <w:r w:rsidRPr="00370AF5">
        <w:rPr>
          <w:rFonts w:ascii="Arial" w:eastAsia="Times" w:hAnsi="Arial" w:cs="Times New Roman"/>
          <w:sz w:val="20"/>
          <w:szCs w:val="20"/>
        </w:rPr>
        <w:t xml:space="preserve"> and any consent obtained, or the reason for sharing without consent.</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If you refuse to share the information because it was exempt or applicable consent thresholds were not met, set out reasons for refusal in writing and provide this to the requesting ISE.</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Document the method of sharing, and if sent through email, whether encryption was used.</w:t>
      </w:r>
    </w:p>
    <w:p w:rsidR="00370AF5" w:rsidRPr="00370AF5" w:rsidRDefault="00370AF5" w:rsidP="00370AF5">
      <w:pPr>
        <w:spacing w:after="0" w:line="240" w:lineRule="auto"/>
        <w:rPr>
          <w:rFonts w:ascii="Arial" w:eastAsia="Times" w:hAnsi="Arial" w:cs="Times New Roman"/>
          <w:sz w:val="11"/>
          <w:szCs w:val="20"/>
        </w:rPr>
      </w:pPr>
    </w:p>
    <w:tbl>
      <w:tblPr>
        <w:tblStyle w:val="Rememberbox"/>
        <w:tblW w:w="9299" w:type="dxa"/>
        <w:tblLook w:val="04A0" w:firstRow="1" w:lastRow="0" w:firstColumn="1" w:lastColumn="0" w:noHBand="0" w:noVBand="1"/>
        <w:tblDescription w:val="Remember box with information about how to proceed when unsure about the information sharing process."/>
      </w:tblPr>
      <w:tblGrid>
        <w:gridCol w:w="9299"/>
      </w:tblGrid>
      <w:tr w:rsidR="00370AF5" w:rsidRPr="00370AF5" w:rsidTr="00D355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9" w:type="dxa"/>
          </w:tcPr>
          <w:p w:rsidR="00370AF5" w:rsidRPr="00370AF5" w:rsidRDefault="00370AF5" w:rsidP="00370AF5">
            <w:pPr>
              <w:spacing w:before="80" w:after="60"/>
              <w:rPr>
                <w:b/>
              </w:rPr>
            </w:pPr>
            <w:r w:rsidRPr="00370AF5">
              <w:rPr>
                <w:b/>
              </w:rPr>
              <w:t>Remember</w:t>
            </w:r>
          </w:p>
        </w:tc>
      </w:tr>
      <w:tr w:rsidR="00370AF5" w:rsidRPr="00370AF5" w:rsidTr="00370AF5">
        <w:tc>
          <w:tcPr>
            <w:cnfStyle w:val="001000000000" w:firstRow="0" w:lastRow="0" w:firstColumn="1" w:lastColumn="0" w:oddVBand="0" w:evenVBand="0" w:oddHBand="0" w:evenHBand="0" w:firstRowFirstColumn="0" w:firstRowLastColumn="0" w:lastRowFirstColumn="0" w:lastRowLastColumn="0"/>
            <w:tcW w:w="9299" w:type="dxa"/>
          </w:tcPr>
          <w:p w:rsidR="00370AF5" w:rsidRPr="00370AF5" w:rsidRDefault="00370AF5" w:rsidP="00370AF5">
            <w:pPr>
              <w:spacing w:before="80" w:after="120"/>
            </w:pPr>
            <w:r w:rsidRPr="00370AF5">
              <w:t>At any stage, if you are concerned or uncertain about the information sharing process, speak to your manager for guidance prior to making any decisions.</w:t>
            </w:r>
          </w:p>
        </w:tc>
      </w:tr>
    </w:tbl>
    <w:p w:rsidR="00370AF5" w:rsidRPr="00370AF5" w:rsidRDefault="00370AF5" w:rsidP="00370AF5">
      <w:pPr>
        <w:spacing w:after="0" w:line="240" w:lineRule="auto"/>
        <w:rPr>
          <w:rFonts w:ascii="Arial" w:eastAsia="Times" w:hAnsi="Arial" w:cs="Times New Roman"/>
          <w:sz w:val="20"/>
          <w:szCs w:val="20"/>
        </w:rPr>
      </w:pPr>
    </w:p>
    <w:sectPr w:rsidR="00370AF5" w:rsidRPr="00370AF5" w:rsidSect="00BA0DB2">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AF5" w:rsidRDefault="00370AF5" w:rsidP="00370AF5">
      <w:pPr>
        <w:spacing w:after="0" w:line="240" w:lineRule="auto"/>
      </w:pPr>
      <w:r>
        <w:separator/>
      </w:r>
    </w:p>
  </w:endnote>
  <w:endnote w:type="continuationSeparator" w:id="0">
    <w:p w:rsidR="00370AF5" w:rsidRDefault="00370AF5" w:rsidP="0037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8114D1" w:rsidRDefault="00370AF5" w:rsidP="00E969B1">
    <w:pPr>
      <w:pStyle w:val="WOVGfooter"/>
    </w:pPr>
    <w:r>
      <w:t xml:space="preserve">Page </w:t>
    </w:r>
    <w:r w:rsidRPr="005A39EC">
      <w:fldChar w:fldCharType="begin"/>
    </w:r>
    <w:r w:rsidRPr="005A39EC">
      <w:instrText xml:space="preserve"> PAGE </w:instrText>
    </w:r>
    <w:r w:rsidRPr="005A39EC">
      <w:fldChar w:fldCharType="separate"/>
    </w:r>
    <w:r>
      <w:rPr>
        <w:noProof/>
      </w:rPr>
      <w:t>28</w:t>
    </w:r>
    <w:r w:rsidRPr="005A39EC">
      <w:fldChar w:fldCharType="end"/>
    </w:r>
    <w:r>
      <w:ptab w:relativeTo="margin" w:alignment="right" w:leader="none"/>
    </w:r>
    <w:r>
      <w:t>Family Violence Information Sharing Guidelines</w:t>
    </w:r>
  </w:p>
  <w:p w:rsidR="00370AF5" w:rsidRDefault="00370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E4F" w:rsidRDefault="00821E4F" w:rsidP="00821E4F">
    <w:pPr>
      <w:pStyle w:val="Footer"/>
      <w:rPr>
        <w:rFonts w:ascii="Arial" w:hAnsi="Arial" w:cs="Arial"/>
        <w:sz w:val="16"/>
        <w:szCs w:val="16"/>
      </w:rPr>
    </w:pPr>
    <w:r w:rsidRPr="00370AF5">
      <w:rPr>
        <w:rFonts w:ascii="Arial" w:hAnsi="Arial" w:cs="Arial"/>
        <w:sz w:val="16"/>
        <w:szCs w:val="16"/>
      </w:rPr>
      <w:t>ISEs should reference the Ministerial Guidelines for the Family Violence Information Sharing Scheme when using this resource</w:t>
    </w:r>
  </w:p>
  <w:p w:rsidR="00821E4F" w:rsidRPr="00D0673F" w:rsidRDefault="00821E4F" w:rsidP="00821E4F">
    <w:pPr>
      <w:pStyle w:val="Footer"/>
      <w:rPr>
        <w:rFonts w:ascii="Arial" w:hAnsi="Arial" w:cs="Arial"/>
        <w:sz w:val="16"/>
        <w:szCs w:val="16"/>
      </w:rPr>
    </w:pPr>
    <w:r>
      <w:rPr>
        <w:rFonts w:ascii="Arial" w:hAnsi="Arial" w:cs="Arial"/>
        <w:sz w:val="16"/>
        <w:szCs w:val="16"/>
      </w:rPr>
      <w:t xml:space="preserve">The Guidelines can be downloaded from: </w:t>
    </w:r>
    <w:hyperlink r:id="rId1" w:history="1">
      <w:r w:rsidRPr="00572A0A">
        <w:rPr>
          <w:rStyle w:val="Hyperlink"/>
          <w:rFonts w:ascii="Arial" w:hAnsi="Arial" w:cs="Arial"/>
          <w:sz w:val="16"/>
          <w:szCs w:val="16"/>
        </w:rPr>
        <w:t>https://www.vic.gov.au/maram-practice-guidance-and-tools</w:t>
      </w:r>
    </w:hyperlink>
    <w:r>
      <w:rPr>
        <w:rStyle w:val="Hyperlink"/>
        <w:rFonts w:ascii="Arial" w:hAnsi="Arial" w:cs="Arial"/>
        <w:sz w:val="16"/>
        <w:szCs w:val="16"/>
      </w:rPr>
      <w:t xml:space="preserve"> </w:t>
    </w:r>
    <w:bookmarkStart w:id="5" w:name="_GoBack"/>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E4F" w:rsidRDefault="00821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AF5" w:rsidRDefault="00370AF5" w:rsidP="00370AF5">
      <w:pPr>
        <w:spacing w:after="0" w:line="240" w:lineRule="auto"/>
      </w:pPr>
      <w:r>
        <w:separator/>
      </w:r>
    </w:p>
  </w:footnote>
  <w:footnote w:type="continuationSeparator" w:id="0">
    <w:p w:rsidR="00370AF5" w:rsidRDefault="00370AF5" w:rsidP="0037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69374A" w:rsidRDefault="00370AF5" w:rsidP="00E969B1">
    <w:pPr>
      <w:pStyle w:val="WOVGheader"/>
    </w:pPr>
  </w:p>
  <w:p w:rsidR="00370AF5" w:rsidRDefault="00370A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E4F" w:rsidRDefault="00821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E4F" w:rsidRDefault="00821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6A5561"/>
    <w:multiLevelType w:val="hybridMultilevel"/>
    <w:tmpl w:val="C32C1A46"/>
    <w:lvl w:ilvl="0" w:tplc="5EC420D4">
      <w:numFmt w:val="bullet"/>
      <w:lvlText w:val="-"/>
      <w:lvlJc w:val="left"/>
      <w:pPr>
        <w:ind w:left="1154" w:hanging="360"/>
      </w:pPr>
      <w:rPr>
        <w:rFonts w:ascii="Arial" w:eastAsia="Times" w:hAnsi="Arial" w:cs="Aria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 w15:restartNumberingAfterBreak="0">
    <w:nsid w:val="1BF5363F"/>
    <w:multiLevelType w:val="hybridMultilevel"/>
    <w:tmpl w:val="975E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052D0"/>
    <w:multiLevelType w:val="hybridMultilevel"/>
    <w:tmpl w:val="8E52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F07DA"/>
    <w:multiLevelType w:val="hybridMultilevel"/>
    <w:tmpl w:val="DA5479F2"/>
    <w:lvl w:ilvl="0" w:tplc="F5405F3C">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35D259A"/>
    <w:multiLevelType w:val="hybridMultilevel"/>
    <w:tmpl w:val="6CBE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D10C4"/>
    <w:multiLevelType w:val="hybridMultilevel"/>
    <w:tmpl w:val="A8F2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D783A"/>
    <w:multiLevelType w:val="hybridMultilevel"/>
    <w:tmpl w:val="5C58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879FF"/>
    <w:multiLevelType w:val="hybridMultilevel"/>
    <w:tmpl w:val="E6AA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31820"/>
    <w:multiLevelType w:val="hybridMultilevel"/>
    <w:tmpl w:val="2806E0F2"/>
    <w:lvl w:ilvl="0" w:tplc="8AF2E6CE">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425491F"/>
    <w:multiLevelType w:val="hybridMultilevel"/>
    <w:tmpl w:val="CFEC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B3572"/>
    <w:multiLevelType w:val="hybridMultilevel"/>
    <w:tmpl w:val="7372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93597F"/>
    <w:multiLevelType w:val="hybridMultilevel"/>
    <w:tmpl w:val="524C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6070E6"/>
    <w:multiLevelType w:val="hybridMultilevel"/>
    <w:tmpl w:val="FA6A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7B2E1D"/>
    <w:multiLevelType w:val="hybridMultilevel"/>
    <w:tmpl w:val="7CA08308"/>
    <w:lvl w:ilvl="0" w:tplc="3A90FA80">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0"/>
    <w:lvlOverride w:ilvl="0">
      <w:startOverride w:val="1"/>
      <w:lvl w:ilvl="0">
        <w:start w:val="1"/>
        <w:numFmt w:val="lowerLetter"/>
        <w:pStyle w:val="WOVGnumberloweralpha"/>
        <w:lvlText w:val="(%1)"/>
        <w:lvlJc w:val="left"/>
        <w:pPr>
          <w:tabs>
            <w:tab w:val="num" w:pos="397"/>
          </w:tabs>
          <w:ind w:left="397" w:hanging="397"/>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1"/>
  </w:num>
  <w:num w:numId="8">
    <w:abstractNumId w:val="7"/>
  </w:num>
  <w:num w:numId="9">
    <w:abstractNumId w:val="2"/>
  </w:num>
  <w:num w:numId="10">
    <w:abstractNumId w:val="3"/>
  </w:num>
  <w:num w:numId="11">
    <w:abstractNumId w:val="13"/>
  </w:num>
  <w:num w:numId="12">
    <w:abstractNumId w:val="5"/>
  </w:num>
  <w:num w:numId="13">
    <w:abstractNumId w:val="1"/>
  </w:num>
  <w:num w:numId="14">
    <w:abstractNumId w:val="9"/>
  </w:num>
  <w:num w:numId="15">
    <w:abstractNumId w:val="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F5"/>
    <w:rsid w:val="003204C3"/>
    <w:rsid w:val="00370AF5"/>
    <w:rsid w:val="003848EB"/>
    <w:rsid w:val="00456D7B"/>
    <w:rsid w:val="007E6705"/>
    <w:rsid w:val="00821E4F"/>
    <w:rsid w:val="00A518F2"/>
    <w:rsid w:val="00AE5082"/>
    <w:rsid w:val="00BA0DB2"/>
    <w:rsid w:val="00C87F2C"/>
    <w:rsid w:val="00CA171A"/>
    <w:rsid w:val="00EB7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BB616B6-58CC-4676-BED0-CA4CEBD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F5"/>
  </w:style>
  <w:style w:type="paragraph" w:customStyle="1" w:styleId="WOVGbody">
    <w:name w:val="WOVG body"/>
    <w:qFormat/>
    <w:rsid w:val="00370AF5"/>
    <w:pPr>
      <w:spacing w:after="120" w:line="270" w:lineRule="atLeast"/>
    </w:pPr>
    <w:rPr>
      <w:rFonts w:ascii="Arial" w:eastAsia="Times" w:hAnsi="Arial" w:cs="Times New Roman"/>
      <w:sz w:val="20"/>
      <w:szCs w:val="20"/>
    </w:rPr>
  </w:style>
  <w:style w:type="paragraph" w:customStyle="1" w:styleId="WOVGnumberloweralpha">
    <w:name w:val="WOVG number lower alpha"/>
    <w:basedOn w:val="WOVGbody"/>
    <w:uiPriority w:val="3"/>
    <w:rsid w:val="00370AF5"/>
    <w:pPr>
      <w:numPr>
        <w:numId w:val="1"/>
      </w:numPr>
    </w:pPr>
  </w:style>
  <w:style w:type="paragraph" w:customStyle="1" w:styleId="WOVGnumberloweralphaindent">
    <w:name w:val="WOVG number lower alpha indent"/>
    <w:basedOn w:val="WOVGbody"/>
    <w:uiPriority w:val="3"/>
    <w:rsid w:val="00370AF5"/>
    <w:pPr>
      <w:numPr>
        <w:ilvl w:val="1"/>
        <w:numId w:val="1"/>
      </w:numPr>
    </w:pPr>
  </w:style>
  <w:style w:type="paragraph" w:customStyle="1" w:styleId="WOVGfooter">
    <w:name w:val="WOVG footer"/>
    <w:uiPriority w:val="11"/>
    <w:rsid w:val="00370AF5"/>
    <w:pPr>
      <w:tabs>
        <w:tab w:val="right" w:pos="9299"/>
      </w:tabs>
      <w:spacing w:after="0" w:line="240" w:lineRule="auto"/>
    </w:pPr>
    <w:rPr>
      <w:rFonts w:ascii="Arial" w:eastAsia="Times New Roman" w:hAnsi="Arial" w:cs="Arial"/>
      <w:sz w:val="18"/>
      <w:szCs w:val="18"/>
    </w:rPr>
  </w:style>
  <w:style w:type="paragraph" w:customStyle="1" w:styleId="WOVGheader">
    <w:name w:val="WOVG header"/>
    <w:basedOn w:val="WOVGfooter"/>
    <w:uiPriority w:val="11"/>
    <w:rsid w:val="00370AF5"/>
  </w:style>
  <w:style w:type="numbering" w:customStyle="1" w:styleId="ZZNumbersloweralpha">
    <w:name w:val="ZZ Numbers lower alpha"/>
    <w:basedOn w:val="NoList"/>
    <w:rsid w:val="00370AF5"/>
    <w:pPr>
      <w:numPr>
        <w:numId w:val="1"/>
      </w:numPr>
    </w:pPr>
  </w:style>
  <w:style w:type="table" w:customStyle="1" w:styleId="Rememberbox">
    <w:name w:val="Remember box"/>
    <w:basedOn w:val="TableGrid"/>
    <w:uiPriority w:val="99"/>
    <w:rsid w:val="00370AF5"/>
    <w:rPr>
      <w:rFonts w:ascii="Arial" w:eastAsia="Times New Roman" w:hAnsi="Arial" w:cs="Times New Roman"/>
      <w:sz w:val="20"/>
      <w:szCs w:val="20"/>
      <w:lang w:eastAsia="en-AU"/>
    </w:rPr>
    <w:tblPr>
      <w:tblInd w:w="108" w:type="dxa"/>
      <w:tblBorders>
        <w:top w:val="single" w:sz="4" w:space="0" w:color="88DBDF"/>
        <w:left w:val="single" w:sz="4" w:space="0" w:color="88DBDF"/>
        <w:bottom w:val="single" w:sz="4" w:space="0" w:color="88DBDF"/>
        <w:right w:val="single" w:sz="4" w:space="0" w:color="88DBDF"/>
        <w:insideH w:val="none" w:sz="0" w:space="0" w:color="auto"/>
        <w:insideV w:val="none" w:sz="0" w:space="0" w:color="auto"/>
      </w:tblBorders>
    </w:tblPr>
    <w:tcPr>
      <w:shd w:val="clear" w:color="auto" w:fill="FFFFFF"/>
    </w:tcPr>
    <w:tblStylePr w:type="firstRow">
      <w:rPr>
        <w:color w:val="000000"/>
      </w:rPr>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88DBDF"/>
      </w:tcPr>
    </w:tblStylePr>
    <w:tblStylePr w:type="lastRow">
      <w:tblPr/>
      <w:tcPr>
        <w:tcBorders>
          <w:top w:val="nil"/>
          <w:left w:val="single" w:sz="4" w:space="0" w:color="88DBDF"/>
          <w:bottom w:val="single" w:sz="4" w:space="0" w:color="88DBDF"/>
          <w:right w:val="single" w:sz="4" w:space="0" w:color="88DBDF"/>
          <w:insideH w:val="nil"/>
          <w:insideV w:val="nil"/>
          <w:tl2br w:val="nil"/>
          <w:tr2bl w:val="nil"/>
        </w:tcBorders>
        <w:shd w:val="clear" w:color="auto" w:fill="FFFFFF"/>
      </w:tcPr>
    </w:tblStylePr>
    <w:tblStylePr w:type="firstCol">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FFFFFF"/>
      </w:tcPr>
    </w:tblStylePr>
  </w:style>
  <w:style w:type="table" w:customStyle="1" w:styleId="Casestudybox">
    <w:name w:val="Case study box"/>
    <w:basedOn w:val="Rememberbox"/>
    <w:uiPriority w:val="99"/>
    <w:rsid w:val="00370AF5"/>
    <w:tblPr>
      <w:tblBorders>
        <w:top w:val="single" w:sz="4" w:space="0" w:color="E57200"/>
        <w:left w:val="single" w:sz="4" w:space="0" w:color="E57200"/>
        <w:bottom w:val="single" w:sz="4" w:space="0" w:color="E57200"/>
        <w:right w:val="single" w:sz="4" w:space="0" w:color="E57200"/>
      </w:tblBorders>
    </w:tblPr>
    <w:tcPr>
      <w:shd w:val="clear" w:color="auto" w:fill="FFFFFF"/>
    </w:tcPr>
    <w:tblStylePr w:type="firstRow">
      <w:rPr>
        <w:color w:val="000000"/>
      </w:rPr>
      <w:tblPr/>
      <w:tcPr>
        <w:tcBorders>
          <w:top w:val="single" w:sz="4" w:space="0" w:color="E57200"/>
          <w:left w:val="single" w:sz="4" w:space="0" w:color="E57200"/>
          <w:bottom w:val="single" w:sz="4" w:space="0" w:color="E57200"/>
          <w:right w:val="single" w:sz="4" w:space="0" w:color="E57200"/>
          <w:insideH w:val="single" w:sz="4" w:space="0" w:color="88DBDF"/>
          <w:insideV w:val="single" w:sz="4" w:space="0" w:color="88DBDF"/>
        </w:tcBorders>
        <w:shd w:val="clear" w:color="auto" w:fill="E57200"/>
      </w:tcPr>
    </w:tblStylePr>
    <w:tblStylePr w:type="lastRow">
      <w:tblPr/>
      <w:tcPr>
        <w:tcBorders>
          <w:top w:val="single" w:sz="4" w:space="0" w:color="E57200"/>
          <w:left w:val="single" w:sz="4" w:space="0" w:color="E57200"/>
          <w:bottom w:val="single" w:sz="4" w:space="0" w:color="E57200"/>
          <w:right w:val="single" w:sz="4" w:space="0" w:color="E57200"/>
          <w:insideH w:val="nil"/>
          <w:insideV w:val="nil"/>
          <w:tl2br w:val="nil"/>
          <w:tr2bl w:val="nil"/>
        </w:tcBorders>
        <w:shd w:val="clear" w:color="auto" w:fill="FFFFFF"/>
      </w:tcPr>
    </w:tblStylePr>
    <w:tblStylePr w:type="firstCol">
      <w:tblPr/>
      <w:tcPr>
        <w:tcBorders>
          <w:top w:val="single" w:sz="4" w:space="0" w:color="E57200"/>
          <w:left w:val="single" w:sz="4" w:space="0" w:color="E57200"/>
          <w:bottom w:val="single" w:sz="4" w:space="0" w:color="E57200"/>
          <w:right w:val="single" w:sz="4" w:space="0" w:color="E57200"/>
          <w:insideH w:val="single" w:sz="4" w:space="0" w:color="E57200"/>
          <w:insideV w:val="single" w:sz="4" w:space="0" w:color="E57200"/>
        </w:tcBorders>
        <w:shd w:val="clear" w:color="auto" w:fill="FFFFFF"/>
      </w:tcPr>
    </w:tblStylePr>
  </w:style>
  <w:style w:type="table" w:customStyle="1" w:styleId="Examplebox">
    <w:name w:val="Example box"/>
    <w:basedOn w:val="TableNormal"/>
    <w:uiPriority w:val="99"/>
    <w:rsid w:val="00370AF5"/>
    <w:pPr>
      <w:spacing w:after="0" w:line="240" w:lineRule="auto"/>
    </w:pPr>
    <w:rPr>
      <w:rFonts w:ascii="Arial" w:eastAsia="Times New Roman" w:hAnsi="Arial" w:cs="Times New Roman"/>
      <w:sz w:val="20"/>
      <w:szCs w:val="20"/>
      <w:lang w:eastAsia="en-AU"/>
    </w:rPr>
    <w:tblPr>
      <w:tblInd w:w="108" w:type="dxa"/>
      <w:tblBorders>
        <w:top w:val="single" w:sz="4" w:space="0" w:color="BFBFBF"/>
        <w:left w:val="single" w:sz="4" w:space="0" w:color="BFBFBF"/>
        <w:bottom w:val="single" w:sz="4" w:space="0" w:color="BFBFBF"/>
        <w:right w:val="single" w:sz="4" w:space="0" w:color="BFBFBF"/>
      </w:tblBorders>
    </w:tblPr>
    <w:tblStylePr w:type="firstRow">
      <w:tblPr/>
      <w:tcPr>
        <w:shd w:val="clear" w:color="auto" w:fill="BFBFBF"/>
      </w:tcPr>
    </w:tblStylePr>
  </w:style>
  <w:style w:type="table" w:styleId="TableGrid">
    <w:name w:val="Table Grid"/>
    <w:basedOn w:val="TableNormal"/>
    <w:uiPriority w:val="59"/>
    <w:semiHidden/>
    <w:unhideWhenUsed/>
    <w:rsid w:val="0037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F5"/>
  </w:style>
  <w:style w:type="paragraph" w:styleId="ListParagraph">
    <w:name w:val="List Paragraph"/>
    <w:basedOn w:val="Normal"/>
    <w:uiPriority w:val="34"/>
    <w:qFormat/>
    <w:rsid w:val="00AE5082"/>
    <w:pPr>
      <w:ind w:left="720"/>
      <w:contextualSpacing/>
    </w:pPr>
  </w:style>
  <w:style w:type="character" w:styleId="Hyperlink">
    <w:name w:val="Hyperlink"/>
    <w:basedOn w:val="DefaultParagraphFont"/>
    <w:uiPriority w:val="99"/>
    <w:unhideWhenUsed/>
    <w:rsid w:val="007E6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vic.gov.au/maram-practice-guidance-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805C2B391CC374C916C5EEE07041226" ma:contentTypeVersion="19" ma:contentTypeDescription="DET Document" ma:contentTypeScope="" ma:versionID="d8a79b7ec4f5e32f00ab8cb46d0be1e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2.14.2 Marketing Material</TermName>
          <TermId xmlns="http://schemas.microsoft.com/office/infopath/2007/PartnerControls">a1d7cb19-5dc5-48b6-a9ed-5724710e1165</TermId>
        </TermInfo>
      </Terms>
    </DET_EDRMS_RCSTaxHTField0>
    <DET_EDRMS_BusUnitTaxHTField0 xmlns="http://schemas.microsoft.com/Sharepoint/v3">
      <Terms xmlns="http://schemas.microsoft.com/office/infopath/2007/PartnerControls"/>
    </DET_EDRMS_BusUnitTaxHTField0>
    <TaxCatchAll xmlns="1966e606-8b69-4075-9ef8-a409e80aaa70">
      <Value>53</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233E243D-3E5A-4DD6-976D-60DFE1A96123}"/>
</file>

<file path=customXml/itemProps2.xml><?xml version="1.0" encoding="utf-8"?>
<ds:datastoreItem xmlns:ds="http://schemas.openxmlformats.org/officeDocument/2006/customXml" ds:itemID="{7A3E24BA-CBDB-4F6F-B10F-22610788B005}"/>
</file>

<file path=customXml/itemProps3.xml><?xml version="1.0" encoding="utf-8"?>
<ds:datastoreItem xmlns:ds="http://schemas.openxmlformats.org/officeDocument/2006/customXml" ds:itemID="{7E483C87-0F3D-492E-9B2E-4F9EC6E4C03D}"/>
</file>

<file path=customXml/itemProps4.xml><?xml version="1.0" encoding="utf-8"?>
<ds:datastoreItem xmlns:ds="http://schemas.openxmlformats.org/officeDocument/2006/customXml" ds:itemID="{00215241-33FF-419D-8861-75DF8ED6DC88}"/>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Rapson (DHHS)</dc:creator>
  <cp:keywords/>
  <dc:description/>
  <cp:lastModifiedBy>Priya Rapson (DHHS)</cp:lastModifiedBy>
  <cp:revision>5</cp:revision>
  <dcterms:created xsi:type="dcterms:W3CDTF">2019-04-11T07:06:00Z</dcterms:created>
  <dcterms:modified xsi:type="dcterms:W3CDTF">2019-05-09T00:59:00Z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53;#2.14.2 Marketing Material|a1d7cb19-5dc5-48b6-a9ed-5724710e1165</vt:lpwstr>
  </property>
  <property fmtid="{D5CDD505-2E9C-101B-9397-08002B2CF9AE}" pid="3" name="ContentTypeId">
    <vt:lpwstr>0x010100C1A95F885C0B4A62AE4D0515D220750C003805C2B391CC374C916C5EEE07041226</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{a3451d19-9b1c-4400-8d5b-34a929613846}</vt:lpwstr>
  </property>
  <property fmtid="{D5CDD505-2E9C-101B-9397-08002B2CF9AE}" pid="8" name="RecordPoint_ActiveItemUniqueId">
    <vt:lpwstr>{f5387ad8-205b-4d92-8c87-442b9f13979b}</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ies>
</file>