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AF5" w:rsidRPr="00370AF5" w:rsidRDefault="00370AF5" w:rsidP="00370AF5">
      <w:pPr>
        <w:keepNext/>
        <w:keepLines/>
        <w:spacing w:before="520" w:after="440" w:line="440" w:lineRule="atLeast"/>
        <w:outlineLvl w:val="0"/>
        <w:rPr>
          <w:rFonts w:ascii="Arial" w:eastAsia="Times New Roman" w:hAnsi="Arial" w:cs="Times New Roman"/>
          <w:bCs/>
          <w:color w:val="C5511A"/>
          <w:sz w:val="44"/>
          <w:szCs w:val="44"/>
        </w:rPr>
      </w:pPr>
      <w:bookmarkStart w:id="0" w:name="_Toc499042857"/>
      <w:bookmarkStart w:id="1" w:name="_Toc501109209"/>
      <w:bookmarkStart w:id="2" w:name="_Toc523757229"/>
      <w:bookmarkStart w:id="3" w:name="_Toc488425322"/>
      <w:r w:rsidRPr="00370AF5">
        <w:rPr>
          <w:rFonts w:ascii="Arial" w:eastAsia="Times New Roman" w:hAnsi="Arial" w:cs="Times New Roman"/>
          <w:bCs/>
          <w:color w:val="C5511A"/>
          <w:sz w:val="44"/>
          <w:szCs w:val="44"/>
        </w:rPr>
        <w:t>Your Information and Your Safety Fact Sheet</w:t>
      </w:r>
      <w:bookmarkEnd w:id="0"/>
      <w:bookmarkEnd w:id="1"/>
      <w:bookmarkEnd w:id="2"/>
      <w:bookmarkEnd w:id="3"/>
    </w:p>
    <w:tbl>
      <w:tblPr>
        <w:tblStyle w:val="Casestudybox"/>
        <w:tblW w:w="9299" w:type="dxa"/>
        <w:tblLook w:val="04A0" w:firstRow="1" w:lastRow="0" w:firstColumn="1" w:lastColumn="0" w:noHBand="0" w:noVBand="1"/>
        <w:tblDescription w:val="Information about why a person’s information would be shared, and with what types of organisations. Included information about privacy rights and complaints avenues."/>
      </w:tblPr>
      <w:tblGrid>
        <w:gridCol w:w="9299"/>
      </w:tblGrid>
      <w:tr w:rsidR="00370AF5" w:rsidRPr="00370AF5" w:rsidTr="00D355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9" w:type="dxa"/>
          </w:tcPr>
          <w:p w:rsidR="00370AF5" w:rsidRPr="00370AF5" w:rsidRDefault="00370AF5" w:rsidP="00370AF5">
            <w:pPr>
              <w:spacing w:before="80" w:after="60"/>
              <w:rPr>
                <w:b/>
                <w:color w:val="FFFFFF"/>
              </w:rPr>
            </w:pPr>
            <w:r w:rsidRPr="00370AF5">
              <w:rPr>
                <w:b/>
                <w:color w:val="FFFFFF"/>
              </w:rPr>
              <w:t>YOUR INFORMATION</w:t>
            </w:r>
          </w:p>
        </w:tc>
      </w:tr>
      <w:tr w:rsidR="00370AF5" w:rsidRPr="00370AF5" w:rsidTr="00370AF5">
        <w:tc>
          <w:tcPr>
            <w:cnfStyle w:val="001000000000" w:firstRow="0" w:lastRow="0" w:firstColumn="1" w:lastColumn="0" w:oddVBand="0" w:evenVBand="0" w:oddHBand="0" w:evenHBand="0" w:firstRowFirstColumn="0" w:firstRowLastColumn="0" w:lastRowFirstColumn="0" w:lastRowLastColumn="0"/>
            <w:tcW w:w="9299" w:type="dxa"/>
          </w:tcPr>
          <w:p w:rsidR="00370AF5" w:rsidRPr="00456D7B" w:rsidRDefault="00370AF5" w:rsidP="00456D7B">
            <w:pPr>
              <w:pStyle w:val="ListParagraph"/>
              <w:numPr>
                <w:ilvl w:val="0"/>
                <w:numId w:val="16"/>
              </w:numPr>
              <w:spacing w:before="80" w:after="60"/>
              <w:ind w:left="484"/>
            </w:pPr>
            <w:r w:rsidRPr="00456D7B">
              <w:t>Sharing relevant information can be critical to managing your safety</w:t>
            </w:r>
          </w:p>
          <w:p w:rsidR="00370AF5" w:rsidRPr="00456D7B" w:rsidRDefault="00370AF5" w:rsidP="00456D7B">
            <w:pPr>
              <w:pStyle w:val="ListParagraph"/>
              <w:numPr>
                <w:ilvl w:val="0"/>
                <w:numId w:val="16"/>
              </w:numPr>
              <w:spacing w:before="80" w:after="60"/>
              <w:ind w:left="484"/>
            </w:pPr>
            <w:r w:rsidRPr="00456D7B">
              <w:t>Information sharing procedures will be explained to you and your consent will be sought when engaging with relevant services</w:t>
            </w:r>
          </w:p>
          <w:p w:rsidR="00370AF5" w:rsidRPr="00456D7B" w:rsidRDefault="00370AF5" w:rsidP="00456D7B">
            <w:pPr>
              <w:pStyle w:val="ListParagraph"/>
              <w:numPr>
                <w:ilvl w:val="0"/>
                <w:numId w:val="16"/>
              </w:numPr>
              <w:spacing w:before="80" w:after="60"/>
              <w:ind w:left="484"/>
            </w:pPr>
            <w:r w:rsidRPr="00456D7B">
              <w:t>Generally, your information will not be shared without your consent. But if there is a serious threat to an individual’s life, health safety or welfare, your information may be shared without your consent to lessen or prevent this serious threat</w:t>
            </w:r>
          </w:p>
          <w:p w:rsidR="00370AF5" w:rsidRPr="00456D7B" w:rsidRDefault="00370AF5" w:rsidP="00456D7B">
            <w:pPr>
              <w:pStyle w:val="ListParagraph"/>
              <w:numPr>
                <w:ilvl w:val="0"/>
                <w:numId w:val="16"/>
              </w:numPr>
              <w:spacing w:before="80" w:after="60"/>
              <w:ind w:left="484"/>
            </w:pPr>
            <w:r w:rsidRPr="00456D7B">
              <w:t>Your information may also be shared without consent if this information is linked to a child victim survivor of family violence and it is necessary to assess or mange family violence risk to that child</w:t>
            </w:r>
          </w:p>
          <w:p w:rsidR="00370AF5" w:rsidRPr="00456D7B" w:rsidRDefault="00370AF5" w:rsidP="00456D7B">
            <w:pPr>
              <w:pStyle w:val="ListParagraph"/>
              <w:numPr>
                <w:ilvl w:val="0"/>
                <w:numId w:val="16"/>
              </w:numPr>
              <w:spacing w:before="80" w:after="60"/>
              <w:ind w:left="484"/>
            </w:pPr>
            <w:r w:rsidRPr="00456D7B">
              <w:t xml:space="preserve">If your information is shared without your consent, it will be done so in a manner that promotes your safety and </w:t>
            </w:r>
            <w:proofErr w:type="gramStart"/>
            <w:r w:rsidRPr="00456D7B">
              <w:t>takes into account</w:t>
            </w:r>
            <w:proofErr w:type="gramEnd"/>
            <w:r w:rsidRPr="00456D7B">
              <w:t xml:space="preserve"> your views, where appropriate, safe and reasonable</w:t>
            </w:r>
          </w:p>
          <w:p w:rsidR="00370AF5" w:rsidRPr="00456D7B" w:rsidRDefault="00370AF5" w:rsidP="00456D7B">
            <w:pPr>
              <w:pStyle w:val="ListParagraph"/>
              <w:numPr>
                <w:ilvl w:val="0"/>
                <w:numId w:val="16"/>
              </w:numPr>
              <w:spacing w:before="80" w:after="60"/>
              <w:ind w:left="484"/>
            </w:pPr>
            <w:r w:rsidRPr="00456D7B">
              <w:t>When appropriate, safe and reasonable you will be notified about your information being shared.</w:t>
            </w:r>
          </w:p>
          <w:p w:rsidR="00370AF5" w:rsidRPr="00456D7B" w:rsidRDefault="00370AF5" w:rsidP="00456D7B">
            <w:pPr>
              <w:pStyle w:val="ListParagraph"/>
              <w:numPr>
                <w:ilvl w:val="0"/>
                <w:numId w:val="16"/>
              </w:numPr>
              <w:spacing w:before="80" w:after="60"/>
              <w:ind w:left="484"/>
            </w:pPr>
            <w:r w:rsidRPr="00456D7B">
              <w:t>You maintain the right to access any information held about you. If you think any information held about you is incorrect, you can ask to look at your file and ask for your information to be corrected</w:t>
            </w:r>
          </w:p>
          <w:p w:rsidR="00370AF5" w:rsidRPr="00456D7B" w:rsidRDefault="00370AF5" w:rsidP="00456D7B">
            <w:pPr>
              <w:pStyle w:val="ListParagraph"/>
              <w:numPr>
                <w:ilvl w:val="0"/>
                <w:numId w:val="16"/>
              </w:numPr>
              <w:spacing w:before="80" w:after="60"/>
              <w:ind w:left="484"/>
            </w:pPr>
            <w:r w:rsidRPr="00456D7B">
              <w:t xml:space="preserve">If you believe your privacy has been unlawfully interfered with </w:t>
            </w:r>
            <w:proofErr w:type="gramStart"/>
            <w:r w:rsidRPr="00456D7B">
              <w:t>as a result of</w:t>
            </w:r>
            <w:proofErr w:type="gramEnd"/>
            <w:r w:rsidRPr="00456D7B">
              <w:t xml:space="preserve"> information sharing, you may make a complaint to the Office of the Victorian Information Commissioner, the Health Complaints Commissioner or the Australian Information Commissioner, as applicable</w:t>
            </w:r>
          </w:p>
          <w:p w:rsidR="00370AF5" w:rsidRPr="00456D7B" w:rsidRDefault="00370AF5" w:rsidP="00456D7B">
            <w:pPr>
              <w:pStyle w:val="ListParagraph"/>
              <w:numPr>
                <w:ilvl w:val="0"/>
                <w:numId w:val="16"/>
              </w:numPr>
              <w:spacing w:before="80" w:after="60"/>
              <w:ind w:left="484"/>
            </w:pPr>
            <w:r w:rsidRPr="00456D7B">
              <w:t>Your information is strictly confidential and will only be shared with prescribed services that are bound by law to keep it secure</w:t>
            </w:r>
          </w:p>
          <w:p w:rsidR="00370AF5" w:rsidRPr="00456D7B" w:rsidRDefault="00370AF5" w:rsidP="00456D7B">
            <w:pPr>
              <w:pStyle w:val="ListParagraph"/>
              <w:numPr>
                <w:ilvl w:val="0"/>
                <w:numId w:val="16"/>
              </w:numPr>
              <w:spacing w:before="80" w:after="120"/>
              <w:ind w:left="484"/>
            </w:pPr>
            <w:r w:rsidRPr="00456D7B">
              <w:t xml:space="preserve">Your information will </w:t>
            </w:r>
            <w:r w:rsidRPr="00456D7B">
              <w:rPr>
                <w:b/>
              </w:rPr>
              <w:t xml:space="preserve">NEVER </w:t>
            </w:r>
            <w:r w:rsidRPr="00456D7B">
              <w:t xml:space="preserve">be shared with the perpetrator of family violence under the Family Violence Information Sharing Scheme established under Part 5A of the </w:t>
            </w:r>
            <w:r w:rsidRPr="00456D7B">
              <w:rPr>
                <w:i/>
              </w:rPr>
              <w:t>Family Violence Protection Act 2008</w:t>
            </w:r>
            <w:r w:rsidRPr="00456D7B">
              <w:t>.</w:t>
            </w:r>
          </w:p>
        </w:tc>
      </w:tr>
    </w:tbl>
    <w:p w:rsidR="00370AF5" w:rsidRPr="00370AF5" w:rsidRDefault="00370AF5" w:rsidP="00370AF5">
      <w:pPr>
        <w:spacing w:after="0" w:line="270" w:lineRule="atLeast"/>
        <w:rPr>
          <w:rFonts w:ascii="Arial" w:eastAsia="Times" w:hAnsi="Arial" w:cs="Times New Roman"/>
          <w:sz w:val="20"/>
          <w:szCs w:val="20"/>
        </w:rPr>
      </w:pPr>
    </w:p>
    <w:tbl>
      <w:tblPr>
        <w:tblStyle w:val="Casestudybox"/>
        <w:tblW w:w="9299" w:type="dxa"/>
        <w:tblLook w:val="04A0" w:firstRow="1" w:lastRow="0" w:firstColumn="1" w:lastColumn="0" w:noHBand="0" w:noVBand="1"/>
        <w:tblDescription w:val="Information about how information that is shared with a victim survivor can be used."/>
      </w:tblPr>
      <w:tblGrid>
        <w:gridCol w:w="9299"/>
      </w:tblGrid>
      <w:tr w:rsidR="00370AF5" w:rsidRPr="00370AF5" w:rsidTr="00D355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9" w:type="dxa"/>
          </w:tcPr>
          <w:p w:rsidR="00370AF5" w:rsidRPr="00370AF5" w:rsidRDefault="00370AF5" w:rsidP="00370AF5">
            <w:pPr>
              <w:spacing w:before="80" w:after="60"/>
              <w:rPr>
                <w:b/>
                <w:color w:val="FFFFFF"/>
              </w:rPr>
            </w:pPr>
            <w:r w:rsidRPr="00370AF5">
              <w:rPr>
                <w:b/>
                <w:color w:val="FFFFFF"/>
              </w:rPr>
              <w:t>INFORMATION SHARED WITH YOU</w:t>
            </w:r>
          </w:p>
        </w:tc>
      </w:tr>
      <w:tr w:rsidR="00370AF5" w:rsidRPr="00370AF5" w:rsidTr="00370AF5">
        <w:tc>
          <w:tcPr>
            <w:cnfStyle w:val="001000000000" w:firstRow="0" w:lastRow="0" w:firstColumn="1" w:lastColumn="0" w:oddVBand="0" w:evenVBand="0" w:oddHBand="0" w:evenHBand="0" w:firstRowFirstColumn="0" w:firstRowLastColumn="0" w:lastRowFirstColumn="0" w:lastRowLastColumn="0"/>
            <w:tcW w:w="9299" w:type="dxa"/>
          </w:tcPr>
          <w:p w:rsidR="00370AF5" w:rsidRPr="00456D7B" w:rsidRDefault="00370AF5" w:rsidP="00456D7B">
            <w:pPr>
              <w:pStyle w:val="ListParagraph"/>
              <w:numPr>
                <w:ilvl w:val="0"/>
                <w:numId w:val="17"/>
              </w:numPr>
              <w:spacing w:before="80" w:after="60"/>
              <w:ind w:left="484"/>
            </w:pPr>
            <w:r w:rsidRPr="00456D7B">
              <w:t>An organisation may share information with you about the perpetrator of family violence to assist you manage your own safety or that of your children</w:t>
            </w:r>
          </w:p>
          <w:p w:rsidR="00370AF5" w:rsidRPr="00456D7B" w:rsidRDefault="00370AF5" w:rsidP="00456D7B">
            <w:pPr>
              <w:pStyle w:val="ListParagraph"/>
              <w:numPr>
                <w:ilvl w:val="0"/>
                <w:numId w:val="17"/>
              </w:numPr>
              <w:spacing w:before="80" w:after="60"/>
              <w:ind w:left="484"/>
            </w:pPr>
            <w:r w:rsidRPr="00456D7B">
              <w:t xml:space="preserve">You are </w:t>
            </w:r>
            <w:r w:rsidRPr="00456D7B">
              <w:rPr>
                <w:b/>
              </w:rPr>
              <w:t>NOT</w:t>
            </w:r>
            <w:r w:rsidRPr="00456D7B">
              <w:t xml:space="preserve"> permitted to use the information provided to you for any purpose other than managing your safety</w:t>
            </w:r>
          </w:p>
          <w:p w:rsidR="00370AF5" w:rsidRPr="00456D7B" w:rsidRDefault="00370AF5" w:rsidP="00456D7B">
            <w:pPr>
              <w:pStyle w:val="ListParagraph"/>
              <w:numPr>
                <w:ilvl w:val="0"/>
                <w:numId w:val="17"/>
              </w:numPr>
              <w:spacing w:before="80" w:after="60"/>
              <w:ind w:left="484"/>
            </w:pPr>
            <w:r w:rsidRPr="00456D7B">
              <w:t>You should not share the information you receive in ways that are unrelated to managing your safety (e.g. sharing on social media). Sharing your information with the wrong person could affect your or others safety</w:t>
            </w:r>
          </w:p>
          <w:p w:rsidR="00370AF5" w:rsidRPr="00456D7B" w:rsidRDefault="00370AF5" w:rsidP="00456D7B">
            <w:pPr>
              <w:pStyle w:val="ListParagraph"/>
              <w:numPr>
                <w:ilvl w:val="0"/>
                <w:numId w:val="17"/>
              </w:numPr>
              <w:spacing w:before="80" w:after="120"/>
              <w:ind w:left="484"/>
            </w:pPr>
            <w:r w:rsidRPr="00456D7B">
              <w:t>Information can be shared with members of your safety management network as required, but only as it relates to implementing your relevant safety plans. If information is provided to a third party, you must inform the third party that the information can only be used to manage your safety or that of your children.</w:t>
            </w:r>
          </w:p>
        </w:tc>
      </w:tr>
    </w:tbl>
    <w:p w:rsidR="00370AF5" w:rsidRPr="00370AF5" w:rsidRDefault="00370AF5" w:rsidP="00370AF5">
      <w:pPr>
        <w:spacing w:after="120" w:line="270" w:lineRule="atLeast"/>
        <w:rPr>
          <w:rFonts w:ascii="Arial" w:eastAsia="Times" w:hAnsi="Arial" w:cs="Times New Roman"/>
          <w:sz w:val="20"/>
          <w:szCs w:val="20"/>
        </w:rPr>
      </w:pPr>
    </w:p>
    <w:sectPr w:rsidR="00370AF5" w:rsidRPr="00370AF5" w:rsidSect="008450FE">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AF5" w:rsidRDefault="00370AF5" w:rsidP="00370AF5">
      <w:pPr>
        <w:spacing w:after="0" w:line="240" w:lineRule="auto"/>
      </w:pPr>
      <w:r>
        <w:separator/>
      </w:r>
    </w:p>
  </w:endnote>
  <w:endnote w:type="continuationSeparator" w:id="0">
    <w:p w:rsidR="00370AF5" w:rsidRDefault="00370AF5" w:rsidP="003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8114D1" w:rsidRDefault="00370AF5" w:rsidP="00E969B1">
    <w:pPr>
      <w:pStyle w:val="WOVGfooter"/>
    </w:pPr>
    <w:r>
      <w:t xml:space="preserve">Page </w:t>
    </w:r>
    <w:r w:rsidRPr="005A39EC">
      <w:fldChar w:fldCharType="begin"/>
    </w:r>
    <w:r w:rsidRPr="005A39EC">
      <w:instrText xml:space="preserve"> PAGE </w:instrText>
    </w:r>
    <w:r w:rsidRPr="005A39EC">
      <w:fldChar w:fldCharType="separate"/>
    </w:r>
    <w:r>
      <w:rPr>
        <w:noProof/>
      </w:rPr>
      <w:t>28</w:t>
    </w:r>
    <w:r w:rsidRPr="005A39EC">
      <w:fldChar w:fldCharType="end"/>
    </w:r>
    <w:r>
      <w:ptab w:relativeTo="margin" w:alignment="right" w:leader="none"/>
    </w:r>
    <w:r>
      <w:t>Family Violence Information Sharing Guidelines</w:t>
    </w:r>
  </w:p>
  <w:p w:rsidR="00370AF5" w:rsidRDefault="00370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110" w:rsidRDefault="002E1110" w:rsidP="002E1110">
    <w:pPr>
      <w:pStyle w:val="Footer"/>
      <w:rPr>
        <w:rFonts w:ascii="Arial" w:hAnsi="Arial" w:cs="Arial"/>
        <w:sz w:val="16"/>
        <w:szCs w:val="16"/>
      </w:rPr>
    </w:pPr>
    <w:r w:rsidRPr="00370AF5">
      <w:rPr>
        <w:rFonts w:ascii="Arial" w:hAnsi="Arial" w:cs="Arial"/>
        <w:sz w:val="16"/>
        <w:szCs w:val="16"/>
      </w:rPr>
      <w:t>ISEs should reference the Ministerial Guidelines for the Family Violence Information Sharing Scheme when using this resource</w:t>
    </w:r>
  </w:p>
  <w:p w:rsidR="002E1110" w:rsidRPr="00FA10FE" w:rsidRDefault="002E1110" w:rsidP="002E1110">
    <w:pPr>
      <w:pStyle w:val="Footer"/>
      <w:rPr>
        <w:rFonts w:ascii="Arial" w:hAnsi="Arial" w:cs="Arial"/>
        <w:sz w:val="16"/>
        <w:szCs w:val="16"/>
      </w:rPr>
    </w:pPr>
    <w:r>
      <w:rPr>
        <w:rFonts w:ascii="Arial" w:hAnsi="Arial" w:cs="Arial"/>
        <w:sz w:val="16"/>
        <w:szCs w:val="16"/>
      </w:rPr>
      <w:t xml:space="preserve">The Guidelines can be downloaded from: </w:t>
    </w:r>
    <w:hyperlink r:id="rId1" w:history="1">
      <w:r w:rsidRPr="00572A0A">
        <w:rPr>
          <w:rStyle w:val="Hyperlink"/>
          <w:rFonts w:ascii="Arial" w:hAnsi="Arial" w:cs="Arial"/>
          <w:sz w:val="16"/>
          <w:szCs w:val="16"/>
        </w:rPr>
        <w:t>https://www.vic.gov.au/maram-practice-guidance-and-tools</w:t>
      </w:r>
    </w:hyperlink>
    <w:r>
      <w:rPr>
        <w:rStyle w:val="Hyperlink"/>
        <w:rFonts w:ascii="Arial" w:hAnsi="Arial" w:cs="Arial"/>
        <w:sz w:val="16"/>
        <w:szCs w:val="16"/>
      </w:rPr>
      <w:t xml:space="preserve"> </w:t>
    </w:r>
    <w:bookmarkStart w:id="4" w:name="_GoBack"/>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0E" w:rsidRDefault="006B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AF5" w:rsidRDefault="00370AF5" w:rsidP="00370AF5">
      <w:pPr>
        <w:spacing w:after="0" w:line="240" w:lineRule="auto"/>
      </w:pPr>
      <w:r>
        <w:separator/>
      </w:r>
    </w:p>
  </w:footnote>
  <w:footnote w:type="continuationSeparator" w:id="0">
    <w:p w:rsidR="00370AF5" w:rsidRDefault="00370AF5" w:rsidP="003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69374A" w:rsidRDefault="00370AF5" w:rsidP="00E969B1">
    <w:pPr>
      <w:pStyle w:val="WOVGheader"/>
    </w:pPr>
  </w:p>
  <w:p w:rsidR="00370AF5" w:rsidRDefault="00370A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0E" w:rsidRDefault="006B4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0E" w:rsidRDefault="006B4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6A5561"/>
    <w:multiLevelType w:val="hybridMultilevel"/>
    <w:tmpl w:val="C32C1A46"/>
    <w:lvl w:ilvl="0" w:tplc="5EC420D4">
      <w:numFmt w:val="bullet"/>
      <w:lvlText w:val="-"/>
      <w:lvlJc w:val="left"/>
      <w:pPr>
        <w:ind w:left="1154" w:hanging="360"/>
      </w:pPr>
      <w:rPr>
        <w:rFonts w:ascii="Arial" w:eastAsia="Times" w:hAnsi="Arial" w:cs="Aria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 w15:restartNumberingAfterBreak="0">
    <w:nsid w:val="1BF5363F"/>
    <w:multiLevelType w:val="hybridMultilevel"/>
    <w:tmpl w:val="975E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052D0"/>
    <w:multiLevelType w:val="hybridMultilevel"/>
    <w:tmpl w:val="8E5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07DA"/>
    <w:multiLevelType w:val="hybridMultilevel"/>
    <w:tmpl w:val="DA5479F2"/>
    <w:lvl w:ilvl="0" w:tplc="F5405F3C">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5D259A"/>
    <w:multiLevelType w:val="hybridMultilevel"/>
    <w:tmpl w:val="6CBE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D10C4"/>
    <w:multiLevelType w:val="hybridMultilevel"/>
    <w:tmpl w:val="A8F2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D783A"/>
    <w:multiLevelType w:val="hybridMultilevel"/>
    <w:tmpl w:val="5C58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879FF"/>
    <w:multiLevelType w:val="hybridMultilevel"/>
    <w:tmpl w:val="E6A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31820"/>
    <w:multiLevelType w:val="hybridMultilevel"/>
    <w:tmpl w:val="2806E0F2"/>
    <w:lvl w:ilvl="0" w:tplc="8AF2E6CE">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25491F"/>
    <w:multiLevelType w:val="hybridMultilevel"/>
    <w:tmpl w:val="CFEC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B3572"/>
    <w:multiLevelType w:val="hybridMultilevel"/>
    <w:tmpl w:val="737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3597F"/>
    <w:multiLevelType w:val="hybridMultilevel"/>
    <w:tmpl w:val="524C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070E6"/>
    <w:multiLevelType w:val="hybridMultilevel"/>
    <w:tmpl w:val="FA6A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7B2E1D"/>
    <w:multiLevelType w:val="hybridMultilevel"/>
    <w:tmpl w:val="7CA08308"/>
    <w:lvl w:ilvl="0" w:tplc="3A90FA80">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0"/>
    <w:lvlOverride w:ilvl="0">
      <w:startOverride w:val="1"/>
      <w:lvl w:ilvl="0">
        <w:start w:val="1"/>
        <w:numFmt w:val="lowerLetter"/>
        <w:pStyle w:val="WOVGnumberloweralpha"/>
        <w:lvlText w:val="(%1)"/>
        <w:lvlJc w:val="left"/>
        <w:pPr>
          <w:tabs>
            <w:tab w:val="num" w:pos="397"/>
          </w:tabs>
          <w:ind w:left="397" w:hanging="397"/>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1"/>
  </w:num>
  <w:num w:numId="8">
    <w:abstractNumId w:val="7"/>
  </w:num>
  <w:num w:numId="9">
    <w:abstractNumId w:val="2"/>
  </w:num>
  <w:num w:numId="10">
    <w:abstractNumId w:val="3"/>
  </w:num>
  <w:num w:numId="11">
    <w:abstractNumId w:val="13"/>
  </w:num>
  <w:num w:numId="12">
    <w:abstractNumId w:val="5"/>
  </w:num>
  <w:num w:numId="13">
    <w:abstractNumId w:val="1"/>
  </w:num>
  <w:num w:numId="14">
    <w:abstractNumId w:val="9"/>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5"/>
    <w:rsid w:val="002E1110"/>
    <w:rsid w:val="003204C3"/>
    <w:rsid w:val="00370AF5"/>
    <w:rsid w:val="003848EB"/>
    <w:rsid w:val="00456D7B"/>
    <w:rsid w:val="006B4C0E"/>
    <w:rsid w:val="00714E1D"/>
    <w:rsid w:val="008450FE"/>
    <w:rsid w:val="008753BC"/>
    <w:rsid w:val="00945D78"/>
    <w:rsid w:val="00A518F2"/>
    <w:rsid w:val="00AE5082"/>
    <w:rsid w:val="00C87F2C"/>
    <w:rsid w:val="00CA171A"/>
    <w:rsid w:val="00EB4013"/>
    <w:rsid w:val="00EB7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BB616B6-58CC-4676-BED0-CA4CEB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F5"/>
  </w:style>
  <w:style w:type="paragraph" w:customStyle="1" w:styleId="WOVGbody">
    <w:name w:val="WOVG body"/>
    <w:qFormat/>
    <w:rsid w:val="00370AF5"/>
    <w:pPr>
      <w:spacing w:after="120" w:line="270" w:lineRule="atLeast"/>
    </w:pPr>
    <w:rPr>
      <w:rFonts w:ascii="Arial" w:eastAsia="Times" w:hAnsi="Arial" w:cs="Times New Roman"/>
      <w:sz w:val="20"/>
      <w:szCs w:val="20"/>
    </w:rPr>
  </w:style>
  <w:style w:type="paragraph" w:customStyle="1" w:styleId="WOVGnumberloweralpha">
    <w:name w:val="WOVG number lower alpha"/>
    <w:basedOn w:val="WOVGbody"/>
    <w:uiPriority w:val="3"/>
    <w:rsid w:val="00370AF5"/>
    <w:pPr>
      <w:numPr>
        <w:numId w:val="1"/>
      </w:numPr>
    </w:pPr>
  </w:style>
  <w:style w:type="paragraph" w:customStyle="1" w:styleId="WOVGnumberloweralphaindent">
    <w:name w:val="WOVG number lower alpha indent"/>
    <w:basedOn w:val="WOVGbody"/>
    <w:uiPriority w:val="3"/>
    <w:rsid w:val="00370AF5"/>
    <w:pPr>
      <w:numPr>
        <w:ilvl w:val="1"/>
        <w:numId w:val="1"/>
      </w:numPr>
    </w:pPr>
  </w:style>
  <w:style w:type="paragraph" w:customStyle="1" w:styleId="WOVGfooter">
    <w:name w:val="WOVG footer"/>
    <w:uiPriority w:val="11"/>
    <w:rsid w:val="00370AF5"/>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370AF5"/>
  </w:style>
  <w:style w:type="numbering" w:customStyle="1" w:styleId="ZZNumbersloweralpha">
    <w:name w:val="ZZ Numbers lower alpha"/>
    <w:basedOn w:val="NoList"/>
    <w:rsid w:val="00370AF5"/>
    <w:pPr>
      <w:numPr>
        <w:numId w:val="1"/>
      </w:numPr>
    </w:pPr>
  </w:style>
  <w:style w:type="table" w:customStyle="1" w:styleId="Rememberbox">
    <w:name w:val="Remember box"/>
    <w:basedOn w:val="TableGrid"/>
    <w:uiPriority w:val="99"/>
    <w:rsid w:val="00370AF5"/>
    <w:rPr>
      <w:rFonts w:ascii="Arial" w:eastAsia="Times New Roman" w:hAnsi="Arial" w:cs="Times New Roman"/>
      <w:sz w:val="20"/>
      <w:szCs w:val="20"/>
      <w:lang w:eastAsia="en-AU"/>
    </w:rPr>
    <w:tblPr>
      <w:tblInd w:w="108" w:type="dxa"/>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cPr>
    <w:tblStylePr w:type="firstRow">
      <w:rPr>
        <w:color w:val="000000"/>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cPr>
    </w:tblStylePr>
  </w:style>
  <w:style w:type="table" w:customStyle="1" w:styleId="Casestudybox">
    <w:name w:val="Case study box"/>
    <w:basedOn w:val="Rememberbox"/>
    <w:uiPriority w:val="99"/>
    <w:rsid w:val="00370AF5"/>
    <w:tblPr>
      <w:tblBorders>
        <w:top w:val="single" w:sz="4" w:space="0" w:color="E57200"/>
        <w:left w:val="single" w:sz="4" w:space="0" w:color="E57200"/>
        <w:bottom w:val="single" w:sz="4" w:space="0" w:color="E57200"/>
        <w:right w:val="single" w:sz="4" w:space="0" w:color="E57200"/>
      </w:tblBorders>
    </w:tblPr>
    <w:tcPr>
      <w:shd w:val="clear" w:color="auto" w:fill="FFFFFF"/>
    </w:tcPr>
    <w:tblStylePr w:type="firstRow">
      <w:rPr>
        <w:color w:val="000000"/>
      </w:rPr>
      <w:tblPr/>
      <w:tcPr>
        <w:tcBorders>
          <w:top w:val="single" w:sz="4" w:space="0" w:color="E57200"/>
          <w:left w:val="single" w:sz="4" w:space="0" w:color="E57200"/>
          <w:bottom w:val="single" w:sz="4" w:space="0" w:color="E57200"/>
          <w:right w:val="single" w:sz="4" w:space="0" w:color="E57200"/>
          <w:insideH w:val="single" w:sz="4" w:space="0" w:color="88DBDF"/>
          <w:insideV w:val="single" w:sz="4" w:space="0" w:color="88DBDF"/>
        </w:tcBorders>
        <w:shd w:val="clear" w:color="auto" w:fill="E57200"/>
      </w:tcPr>
    </w:tblStylePr>
    <w:tblStylePr w:type="lastRow">
      <w:tblPr/>
      <w:tcPr>
        <w:tcBorders>
          <w:top w:val="single" w:sz="4" w:space="0" w:color="E57200"/>
          <w:left w:val="single" w:sz="4" w:space="0" w:color="E57200"/>
          <w:bottom w:val="single" w:sz="4" w:space="0" w:color="E57200"/>
          <w:right w:val="single" w:sz="4" w:space="0" w:color="E57200"/>
          <w:insideH w:val="nil"/>
          <w:insideV w:val="nil"/>
          <w:tl2br w:val="nil"/>
          <w:tr2bl w:val="nil"/>
        </w:tcBorders>
        <w:shd w:val="clear" w:color="auto" w:fill="FFFFFF"/>
      </w:tcPr>
    </w:tblStylePr>
    <w:tblStylePr w:type="firstCol">
      <w:tblPr/>
      <w:tcPr>
        <w:tcBorders>
          <w:top w:val="single" w:sz="4" w:space="0" w:color="E57200"/>
          <w:left w:val="single" w:sz="4" w:space="0" w:color="E57200"/>
          <w:bottom w:val="single" w:sz="4" w:space="0" w:color="E57200"/>
          <w:right w:val="single" w:sz="4" w:space="0" w:color="E57200"/>
          <w:insideH w:val="single" w:sz="4" w:space="0" w:color="E57200"/>
          <w:insideV w:val="single" w:sz="4" w:space="0" w:color="E57200"/>
        </w:tcBorders>
        <w:shd w:val="clear" w:color="auto" w:fill="FFFFFF"/>
      </w:tcPr>
    </w:tblStylePr>
  </w:style>
  <w:style w:type="table" w:customStyle="1" w:styleId="Examplebox">
    <w:name w:val="Example box"/>
    <w:basedOn w:val="TableNormal"/>
    <w:uiPriority w:val="99"/>
    <w:rsid w:val="00370AF5"/>
    <w:pPr>
      <w:spacing w:after="0" w:line="240" w:lineRule="auto"/>
    </w:pPr>
    <w:rPr>
      <w:rFonts w:ascii="Arial" w:eastAsia="Times New Roman" w:hAnsi="Arial" w:cs="Times New Roman"/>
      <w:sz w:val="20"/>
      <w:szCs w:val="20"/>
      <w:lang w:eastAsia="en-AU"/>
    </w:rPr>
    <w:tblPr>
      <w:tblInd w:w="108" w:type="dxa"/>
      <w:tblBorders>
        <w:top w:val="single" w:sz="4" w:space="0" w:color="BFBFBF"/>
        <w:left w:val="single" w:sz="4" w:space="0" w:color="BFBFBF"/>
        <w:bottom w:val="single" w:sz="4" w:space="0" w:color="BFBFBF"/>
        <w:right w:val="single" w:sz="4" w:space="0" w:color="BFBFBF"/>
      </w:tblBorders>
    </w:tblPr>
    <w:tblStylePr w:type="firstRow">
      <w:tblPr/>
      <w:tcPr>
        <w:shd w:val="clear" w:color="auto" w:fill="BFBFBF"/>
      </w:tcPr>
    </w:tblStylePr>
  </w:style>
  <w:style w:type="table" w:styleId="TableGrid">
    <w:name w:val="Table Grid"/>
    <w:basedOn w:val="TableNormal"/>
    <w:uiPriority w:val="59"/>
    <w:semiHidden/>
    <w:unhideWhenUsed/>
    <w:rsid w:val="0037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F5"/>
  </w:style>
  <w:style w:type="paragraph" w:styleId="ListParagraph">
    <w:name w:val="List Paragraph"/>
    <w:basedOn w:val="Normal"/>
    <w:uiPriority w:val="34"/>
    <w:qFormat/>
    <w:rsid w:val="00AE5082"/>
    <w:pPr>
      <w:ind w:left="720"/>
      <w:contextualSpacing/>
    </w:pPr>
  </w:style>
  <w:style w:type="character" w:styleId="Hyperlink">
    <w:name w:val="Hyperlink"/>
    <w:basedOn w:val="DefaultParagraphFont"/>
    <w:uiPriority w:val="99"/>
    <w:unhideWhenUsed/>
    <w:rsid w:val="006B4C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vic.gov.au/maram-practice-guidance-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ET_EDRMS_BusUnitTaxHTField0 xmlns="http://schemas.microsoft.com/Sharepoint/v3">
      <Terms xmlns="http://schemas.microsoft.com/office/infopath/2007/PartnerControls"/>
    </DET_EDRMS_BusUnitTaxHTField0>
    <TaxCatchAll xmlns="1966e606-8b69-4075-9ef8-a409e80aaa70">
      <Value>53</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B848F242-7AE9-4BC3-BB0F-387838C500C0}"/>
</file>

<file path=customXml/itemProps2.xml><?xml version="1.0" encoding="utf-8"?>
<ds:datastoreItem xmlns:ds="http://schemas.openxmlformats.org/officeDocument/2006/customXml" ds:itemID="{72394A2B-1CD8-457B-99F8-1711667E7181}"/>
</file>

<file path=customXml/itemProps3.xml><?xml version="1.0" encoding="utf-8"?>
<ds:datastoreItem xmlns:ds="http://schemas.openxmlformats.org/officeDocument/2006/customXml" ds:itemID="{A4730918-E521-4046-8AF8-B238CD1128CD}"/>
</file>

<file path=customXml/itemProps4.xml><?xml version="1.0" encoding="utf-8"?>
<ds:datastoreItem xmlns:ds="http://schemas.openxmlformats.org/officeDocument/2006/customXml" ds:itemID="{0FAD7558-5E05-46AB-896C-91B45E577DF7}"/>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Rapson (DHHS)</dc:creator>
  <cp:keywords/>
  <dc:description/>
  <cp:lastModifiedBy>Priya Rapson (DHHS)</cp:lastModifiedBy>
  <cp:revision>5</cp:revision>
  <dcterms:created xsi:type="dcterms:W3CDTF">2019-04-11T07:09:00Z</dcterms:created>
  <dcterms:modified xsi:type="dcterms:W3CDTF">2019-05-09T00:57:00Z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53;#2.14.2 Marketing Material|a1d7cb19-5dc5-48b6-a9ed-5724710e1165</vt:lpwstr>
  </property>
  <property fmtid="{D5CDD505-2E9C-101B-9397-08002B2CF9AE}" pid="3" name="ContentTypeId">
    <vt:lpwstr>0x010100C1A95F885C0B4A62AE4D0515D220750C003805C2B391CC374C916C5EEE07041226</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{a3451d19-9b1c-4400-8d5b-34a929613846}</vt:lpwstr>
  </property>
  <property fmtid="{D5CDD505-2E9C-101B-9397-08002B2CF9AE}" pid="8" name="RecordPoint_ActiveItemUniqueId">
    <vt:lpwstr>{c75d4444-ce6a-48a5-9f40-8c0594569cd8}</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ies>
</file>