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2CD4E" w14:textId="77777777" w:rsidR="001D51D6" w:rsidRPr="00503F5B" w:rsidRDefault="001D51D6" w:rsidP="00517C6D"/>
    <w:p w14:paraId="61DB28F0" w14:textId="77777777" w:rsidR="001D51D6" w:rsidRPr="00503F5B" w:rsidRDefault="001D51D6" w:rsidP="00517C6D"/>
    <w:p w14:paraId="2FBE65EA" w14:textId="77777777" w:rsidR="001D51D6" w:rsidRPr="00503F5B" w:rsidRDefault="001D51D6" w:rsidP="00517C6D"/>
    <w:p w14:paraId="36589CF9" w14:textId="77777777" w:rsidR="001D51D6" w:rsidRPr="00503F5B" w:rsidRDefault="001D51D6" w:rsidP="001D51D6">
      <w:pPr>
        <w:spacing w:before="120" w:after="120"/>
        <w:jc w:val="center"/>
        <w:rPr>
          <w:b/>
          <w:color w:val="BE2A18"/>
          <w:sz w:val="32"/>
          <w:szCs w:val="32"/>
        </w:rPr>
      </w:pPr>
      <w:r w:rsidRPr="00503F5B">
        <w:rPr>
          <w:b/>
          <w:color w:val="BE2A18"/>
          <w:sz w:val="32"/>
          <w:szCs w:val="32"/>
        </w:rPr>
        <w:t xml:space="preserve">Regulatory Impact Statement </w:t>
      </w:r>
    </w:p>
    <w:p w14:paraId="008AC391" w14:textId="37E9AB4F" w:rsidR="001D51D6" w:rsidRPr="00503F5B" w:rsidRDefault="001D51D6" w:rsidP="001D51D6">
      <w:pPr>
        <w:spacing w:before="120" w:after="120"/>
        <w:jc w:val="center"/>
        <w:rPr>
          <w:b/>
          <w:color w:val="BE2A18"/>
          <w:sz w:val="32"/>
          <w:szCs w:val="32"/>
        </w:rPr>
      </w:pPr>
      <w:r w:rsidRPr="00503F5B">
        <w:rPr>
          <w:b/>
          <w:color w:val="BE2A18"/>
          <w:sz w:val="32"/>
          <w:szCs w:val="32"/>
        </w:rPr>
        <w:t xml:space="preserve">Proposed </w:t>
      </w:r>
      <w:r w:rsidR="002B4EF7" w:rsidRPr="00503F5B">
        <w:rPr>
          <w:b/>
          <w:color w:val="BE2A18"/>
          <w:sz w:val="32"/>
          <w:szCs w:val="32"/>
        </w:rPr>
        <w:t xml:space="preserve">Fire Rescue Victoria (General) </w:t>
      </w:r>
      <w:r w:rsidRPr="00503F5B">
        <w:rPr>
          <w:b/>
          <w:color w:val="BE2A18"/>
          <w:sz w:val="32"/>
          <w:szCs w:val="32"/>
        </w:rPr>
        <w:t>Regulations 20</w:t>
      </w:r>
      <w:r w:rsidR="002B4EF7" w:rsidRPr="00503F5B">
        <w:rPr>
          <w:b/>
          <w:color w:val="BE2A18"/>
          <w:sz w:val="32"/>
          <w:szCs w:val="32"/>
        </w:rPr>
        <w:t>20</w:t>
      </w:r>
    </w:p>
    <w:p w14:paraId="667D539C" w14:textId="77777777" w:rsidR="001D51D6" w:rsidRPr="00503F5B" w:rsidRDefault="001D51D6" w:rsidP="00517C6D"/>
    <w:p w14:paraId="480F9619" w14:textId="7A2BFED9" w:rsidR="00C152DA" w:rsidRPr="00503F5B" w:rsidRDefault="007C32FC" w:rsidP="00185B2F">
      <w:pPr>
        <w:spacing w:before="120" w:after="120"/>
        <w:jc w:val="center"/>
        <w:rPr>
          <w:b/>
          <w:color w:val="BE2A18"/>
          <w:sz w:val="32"/>
          <w:szCs w:val="32"/>
        </w:rPr>
      </w:pPr>
      <w:r>
        <w:rPr>
          <w:b/>
          <w:color w:val="BE2A18"/>
          <w:sz w:val="32"/>
          <w:szCs w:val="32"/>
        </w:rPr>
        <w:t>Final Version</w:t>
      </w:r>
    </w:p>
    <w:p w14:paraId="060B50CA" w14:textId="48350865" w:rsidR="001D51D6" w:rsidRPr="00503F5B" w:rsidRDefault="007C32FC" w:rsidP="00185B2F">
      <w:pPr>
        <w:spacing w:before="120" w:after="120"/>
        <w:jc w:val="center"/>
        <w:rPr>
          <w:b/>
          <w:color w:val="BE2A18"/>
          <w:sz w:val="32"/>
          <w:szCs w:val="32"/>
        </w:rPr>
      </w:pPr>
      <w:r>
        <w:rPr>
          <w:b/>
          <w:color w:val="BE2A18"/>
          <w:sz w:val="32"/>
          <w:szCs w:val="32"/>
        </w:rPr>
        <w:t>22</w:t>
      </w:r>
      <w:r w:rsidR="001D51D6" w:rsidRPr="00503F5B">
        <w:rPr>
          <w:b/>
          <w:color w:val="BE2A18"/>
          <w:sz w:val="32"/>
          <w:szCs w:val="32"/>
        </w:rPr>
        <w:t>-</w:t>
      </w:r>
      <w:r w:rsidR="00894798" w:rsidRPr="00503F5B">
        <w:rPr>
          <w:b/>
          <w:color w:val="BE2A18"/>
          <w:sz w:val="32"/>
          <w:szCs w:val="32"/>
        </w:rPr>
        <w:t>0</w:t>
      </w:r>
      <w:r w:rsidR="00BB6E48">
        <w:rPr>
          <w:b/>
          <w:color w:val="BE2A18"/>
          <w:sz w:val="32"/>
          <w:szCs w:val="32"/>
        </w:rPr>
        <w:t>5</w:t>
      </w:r>
      <w:r w:rsidR="001D51D6" w:rsidRPr="00503F5B">
        <w:rPr>
          <w:b/>
          <w:color w:val="BE2A18"/>
          <w:sz w:val="32"/>
          <w:szCs w:val="32"/>
        </w:rPr>
        <w:t>-20</w:t>
      </w:r>
      <w:r w:rsidR="002B4EF7" w:rsidRPr="00503F5B">
        <w:rPr>
          <w:b/>
          <w:color w:val="BE2A18"/>
          <w:sz w:val="32"/>
          <w:szCs w:val="32"/>
        </w:rPr>
        <w:t>20</w:t>
      </w:r>
    </w:p>
    <w:p w14:paraId="7B26FBE5" w14:textId="77777777" w:rsidR="001D51D6" w:rsidRPr="00503F5B" w:rsidRDefault="001D51D6" w:rsidP="00FB338A"/>
    <w:p w14:paraId="219A67F8" w14:textId="77777777" w:rsidR="001D51D6" w:rsidRPr="00503F5B" w:rsidRDefault="001D51D6" w:rsidP="001D51D6"/>
    <w:p w14:paraId="3B935E99" w14:textId="77777777" w:rsidR="001D51D6" w:rsidRPr="00503F5B" w:rsidRDefault="001D51D6" w:rsidP="001D51D6"/>
    <w:p w14:paraId="1FA0F4B1" w14:textId="77777777" w:rsidR="001D51D6" w:rsidRPr="00503F5B" w:rsidRDefault="001D51D6" w:rsidP="001D51D6"/>
    <w:p w14:paraId="7CD7ED5C" w14:textId="77777777" w:rsidR="001D51D6" w:rsidRPr="00503F5B" w:rsidRDefault="001D51D6" w:rsidP="001D51D6">
      <w:r w:rsidRPr="00503F5B">
        <w:rPr>
          <w:noProof/>
          <w:lang w:eastAsia="en-AU"/>
        </w:rPr>
        <w:drawing>
          <wp:anchor distT="0" distB="0" distL="114300" distR="114300" simplePos="0" relativeHeight="251659264" behindDoc="0" locked="0" layoutInCell="1" allowOverlap="1" wp14:anchorId="209643F0" wp14:editId="3FB90137">
            <wp:simplePos x="0" y="0"/>
            <wp:positionH relativeFrom="column">
              <wp:posOffset>1631950</wp:posOffset>
            </wp:positionH>
            <wp:positionV relativeFrom="paragraph">
              <wp:posOffset>54610</wp:posOffset>
            </wp:positionV>
            <wp:extent cx="2105025" cy="804545"/>
            <wp:effectExtent l="0" t="0" r="3175" b="825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804545"/>
                    </a:xfrm>
                    <a:prstGeom prst="rect">
                      <a:avLst/>
                    </a:prstGeom>
                    <a:noFill/>
                  </pic:spPr>
                </pic:pic>
              </a:graphicData>
            </a:graphic>
            <wp14:sizeRelH relativeFrom="page">
              <wp14:pctWidth>0</wp14:pctWidth>
            </wp14:sizeRelH>
            <wp14:sizeRelV relativeFrom="page">
              <wp14:pctHeight>0</wp14:pctHeight>
            </wp14:sizeRelV>
          </wp:anchor>
        </w:drawing>
      </w:r>
    </w:p>
    <w:p w14:paraId="02B9D212" w14:textId="77777777" w:rsidR="001D51D6" w:rsidRPr="00503F5B" w:rsidRDefault="001D51D6" w:rsidP="001D51D6"/>
    <w:p w14:paraId="2DBCA287" w14:textId="77777777" w:rsidR="001D51D6" w:rsidRPr="00503F5B" w:rsidRDefault="001D51D6" w:rsidP="001D51D6"/>
    <w:p w14:paraId="38B3F268" w14:textId="77777777" w:rsidR="001D51D6" w:rsidRPr="00503F5B" w:rsidRDefault="001D51D6" w:rsidP="001D51D6"/>
    <w:p w14:paraId="6A6756B2" w14:textId="77777777" w:rsidR="001D51D6" w:rsidRPr="00503F5B" w:rsidRDefault="001D51D6" w:rsidP="001D51D6"/>
    <w:p w14:paraId="1975DF7B" w14:textId="77777777" w:rsidR="001D51D6" w:rsidRPr="00503F5B" w:rsidRDefault="001D51D6" w:rsidP="001D51D6"/>
    <w:p w14:paraId="5A0B2BFA" w14:textId="77777777" w:rsidR="001D51D6" w:rsidRPr="00503F5B" w:rsidRDefault="001D51D6" w:rsidP="001D51D6"/>
    <w:p w14:paraId="79A2FBCB" w14:textId="77777777" w:rsidR="001D51D6" w:rsidRPr="00503F5B" w:rsidRDefault="001D51D6" w:rsidP="001D51D6"/>
    <w:p w14:paraId="7CA2A31D" w14:textId="77777777" w:rsidR="001D51D6" w:rsidRPr="00503F5B" w:rsidRDefault="001D51D6" w:rsidP="001D51D6"/>
    <w:p w14:paraId="158B164A" w14:textId="77777777" w:rsidR="005D5B21" w:rsidRPr="00503F5B" w:rsidRDefault="005D5B21">
      <w:pPr>
        <w:spacing w:after="160" w:line="259" w:lineRule="auto"/>
      </w:pPr>
      <w:bookmarkStart w:id="0" w:name="_Toc457772511"/>
      <w:r w:rsidRPr="00503F5B">
        <w:br w:type="page"/>
      </w:r>
    </w:p>
    <w:p w14:paraId="13E2CBF5" w14:textId="6142EFCA" w:rsidR="005D5B21" w:rsidRPr="00503F5B" w:rsidRDefault="005D5B21" w:rsidP="005D5B21">
      <w:pPr>
        <w:spacing w:after="120"/>
        <w:jc w:val="both"/>
        <w:rPr>
          <w:rFonts w:cs="Arial"/>
          <w:sz w:val="20"/>
          <w:szCs w:val="20"/>
        </w:rPr>
      </w:pPr>
      <w:r w:rsidRPr="00503F5B">
        <w:rPr>
          <w:rFonts w:cs="Arial"/>
          <w:sz w:val="20"/>
          <w:szCs w:val="20"/>
        </w:rPr>
        <w:lastRenderedPageBreak/>
        <w:t xml:space="preserve">This Regulatory Impact Statement (RIS) has been prepared with the assistance of Rivers Economic Consulting to </w:t>
      </w:r>
      <w:proofErr w:type="spellStart"/>
      <w:r w:rsidRPr="00503F5B">
        <w:rPr>
          <w:rFonts w:cs="Arial"/>
          <w:sz w:val="20"/>
          <w:szCs w:val="20"/>
        </w:rPr>
        <w:t>fulfill</w:t>
      </w:r>
      <w:proofErr w:type="spellEnd"/>
      <w:r w:rsidRPr="00503F5B">
        <w:rPr>
          <w:rFonts w:cs="Arial"/>
          <w:sz w:val="20"/>
          <w:szCs w:val="20"/>
        </w:rPr>
        <w:t xml:space="preserve"> the requirements of the </w:t>
      </w:r>
      <w:r w:rsidRPr="00503F5B">
        <w:rPr>
          <w:rFonts w:cs="Arial"/>
          <w:i/>
          <w:sz w:val="20"/>
          <w:szCs w:val="20"/>
        </w:rPr>
        <w:t>Subordinate Legislation Act 1994</w:t>
      </w:r>
      <w:r w:rsidRPr="00503F5B">
        <w:rPr>
          <w:rFonts w:cs="Arial"/>
          <w:sz w:val="20"/>
          <w:szCs w:val="20"/>
        </w:rPr>
        <w:t xml:space="preserve"> and to facilitate public consultation on the making of the Fire Rescue Victoria (General) Regulations 2020 (the regulations). </w:t>
      </w:r>
    </w:p>
    <w:p w14:paraId="7EB73CE2" w14:textId="77777777" w:rsidR="005D5B21" w:rsidRPr="00503F5B" w:rsidRDefault="005D5B21" w:rsidP="005D5B21">
      <w:pPr>
        <w:pStyle w:val="BodyText"/>
        <w:jc w:val="both"/>
        <w:rPr>
          <w:rFonts w:cs="Arial"/>
          <w:sz w:val="20"/>
          <w:szCs w:val="20"/>
        </w:rPr>
      </w:pPr>
      <w:r w:rsidRPr="00503F5B">
        <w:rPr>
          <w:rFonts w:cs="Arial"/>
          <w:sz w:val="20"/>
          <w:szCs w:val="20"/>
        </w:rPr>
        <w:t xml:space="preserve">In accordance with the Victorian Guide to Regulation, the Victorian Government seeks to ensure that proposed regulations are well-targeted, effective and appropriate, and impose the lowest possible burden on Victorian businesses, individuals and the community. </w:t>
      </w:r>
    </w:p>
    <w:p w14:paraId="56A7A3DC" w14:textId="77777777" w:rsidR="005D5B21" w:rsidRPr="00503F5B" w:rsidRDefault="005D5B21" w:rsidP="005D5B21">
      <w:pPr>
        <w:pStyle w:val="BodyText"/>
        <w:jc w:val="both"/>
        <w:rPr>
          <w:rFonts w:cs="Arial"/>
          <w:sz w:val="20"/>
          <w:szCs w:val="20"/>
        </w:rPr>
      </w:pPr>
      <w:r w:rsidRPr="00503F5B">
        <w:rPr>
          <w:rFonts w:cs="Arial"/>
          <w:sz w:val="20"/>
          <w:szCs w:val="20"/>
        </w:rPr>
        <w:t xml:space="preserve">A key function of the RIS process is to provide members of the public with the opportunity to comment on proposed statutory rules before they are finalised. Such public input can provide valuable information and perspectives, and thus improve the overall quality of the regulations. A copy of the proposed regulations is provided as an attachment to this RIS. </w:t>
      </w:r>
    </w:p>
    <w:p w14:paraId="78460F34" w14:textId="23E565E2" w:rsidR="005D5B21" w:rsidRPr="00503F5B" w:rsidRDefault="005D5B21" w:rsidP="005D5B21">
      <w:pPr>
        <w:pStyle w:val="BodyText"/>
        <w:jc w:val="both"/>
        <w:rPr>
          <w:rFonts w:cs="Arial"/>
          <w:sz w:val="20"/>
          <w:szCs w:val="20"/>
        </w:rPr>
      </w:pPr>
      <w:r w:rsidRPr="00503F5B">
        <w:rPr>
          <w:rFonts w:cs="Arial"/>
          <w:sz w:val="20"/>
          <w:szCs w:val="20"/>
        </w:rPr>
        <w:t>Public comments and submissions are invited on the proposed regulations and in response to information provided in this RIS. All submissions will be treated as public documents. Written comments and submissions should be forwarded by no later than 5.00pm,</w:t>
      </w:r>
      <w:r w:rsidR="008B1398">
        <w:rPr>
          <w:rFonts w:cs="Arial"/>
          <w:sz w:val="20"/>
          <w:szCs w:val="20"/>
        </w:rPr>
        <w:t xml:space="preserve"> </w:t>
      </w:r>
      <w:r w:rsidR="007C32FC">
        <w:rPr>
          <w:rFonts w:cs="Arial"/>
          <w:sz w:val="20"/>
          <w:szCs w:val="20"/>
        </w:rPr>
        <w:t>19</w:t>
      </w:r>
      <w:r w:rsidR="0082188B">
        <w:rPr>
          <w:rFonts w:cs="Arial"/>
          <w:sz w:val="20"/>
          <w:szCs w:val="20"/>
        </w:rPr>
        <w:t xml:space="preserve"> June 2020 </w:t>
      </w:r>
      <w:r w:rsidRPr="00503F5B">
        <w:rPr>
          <w:rFonts w:cs="Arial"/>
          <w:sz w:val="20"/>
          <w:szCs w:val="20"/>
        </w:rPr>
        <w:t xml:space="preserve">to: </w:t>
      </w:r>
    </w:p>
    <w:p w14:paraId="32C22764" w14:textId="055DE880" w:rsidR="005D5B21" w:rsidRPr="00503F5B" w:rsidRDefault="008C7E6D" w:rsidP="005D5B21">
      <w:pPr>
        <w:pStyle w:val="BodyText"/>
        <w:rPr>
          <w:rFonts w:cs="Arial"/>
          <w:sz w:val="20"/>
          <w:szCs w:val="20"/>
        </w:rPr>
      </w:pPr>
      <w:r>
        <w:rPr>
          <w:rFonts w:cs="Arial"/>
          <w:sz w:val="20"/>
          <w:szCs w:val="20"/>
        </w:rPr>
        <w:t>Attention Fire Services Reform</w:t>
      </w:r>
    </w:p>
    <w:p w14:paraId="5D6DF793" w14:textId="1BB9C76D" w:rsidR="005D5B21" w:rsidRPr="00503F5B" w:rsidRDefault="00481EC1" w:rsidP="005D5B21">
      <w:pPr>
        <w:pStyle w:val="BodyText"/>
        <w:rPr>
          <w:rFonts w:cs="Arial"/>
          <w:sz w:val="20"/>
          <w:szCs w:val="20"/>
        </w:rPr>
      </w:pPr>
      <w:r>
        <w:rPr>
          <w:rFonts w:cs="Arial"/>
          <w:sz w:val="20"/>
          <w:szCs w:val="20"/>
        </w:rPr>
        <w:t>Department of Justice and Community Safety</w:t>
      </w:r>
    </w:p>
    <w:p w14:paraId="5EBFB0D8" w14:textId="77777777" w:rsidR="005D5B21" w:rsidRPr="00503F5B" w:rsidRDefault="005D5B21" w:rsidP="005D5B21">
      <w:pPr>
        <w:pStyle w:val="BodyText"/>
        <w:rPr>
          <w:rFonts w:cs="Arial"/>
          <w:sz w:val="20"/>
          <w:szCs w:val="20"/>
        </w:rPr>
      </w:pPr>
      <w:r w:rsidRPr="00503F5B">
        <w:rPr>
          <w:rFonts w:cs="Arial"/>
          <w:sz w:val="20"/>
          <w:szCs w:val="20"/>
        </w:rPr>
        <w:t>Emergency Management Victoria</w:t>
      </w:r>
    </w:p>
    <w:p w14:paraId="7AF044A1" w14:textId="4236F4DD" w:rsidR="005D5B21" w:rsidRPr="00503F5B" w:rsidRDefault="005D5B21" w:rsidP="005D5B21">
      <w:pPr>
        <w:pStyle w:val="BodyText"/>
        <w:rPr>
          <w:rFonts w:cs="Arial"/>
          <w:sz w:val="20"/>
          <w:szCs w:val="20"/>
        </w:rPr>
      </w:pPr>
      <w:r w:rsidRPr="00503F5B">
        <w:rPr>
          <w:rFonts w:cs="Arial"/>
          <w:sz w:val="20"/>
          <w:szCs w:val="20"/>
        </w:rPr>
        <w:t>GPO Box 4</w:t>
      </w:r>
      <w:r w:rsidR="00116471">
        <w:rPr>
          <w:rFonts w:cs="Arial"/>
          <w:sz w:val="20"/>
          <w:szCs w:val="20"/>
        </w:rPr>
        <w:t>356</w:t>
      </w:r>
    </w:p>
    <w:p w14:paraId="6E85BF7C" w14:textId="77777777" w:rsidR="005D5B21" w:rsidRPr="00503F5B" w:rsidRDefault="005D5B21" w:rsidP="005D5B21">
      <w:pPr>
        <w:pStyle w:val="BodyText"/>
        <w:rPr>
          <w:rFonts w:cs="Arial"/>
          <w:sz w:val="20"/>
          <w:szCs w:val="20"/>
        </w:rPr>
      </w:pPr>
      <w:r w:rsidRPr="00503F5B">
        <w:rPr>
          <w:rFonts w:cs="Arial"/>
          <w:sz w:val="20"/>
          <w:szCs w:val="20"/>
        </w:rPr>
        <w:t xml:space="preserve">MELBOURNE VIC 3001 </w:t>
      </w:r>
    </w:p>
    <w:p w14:paraId="1C0FE093" w14:textId="3392D95C" w:rsidR="005D5B21" w:rsidRPr="00503F5B" w:rsidRDefault="005D5B21" w:rsidP="005D5B21">
      <w:pPr>
        <w:pStyle w:val="BodyText"/>
        <w:rPr>
          <w:rFonts w:cs="Arial"/>
          <w:sz w:val="20"/>
          <w:szCs w:val="20"/>
        </w:rPr>
      </w:pPr>
      <w:r w:rsidRPr="00503F5B">
        <w:rPr>
          <w:rFonts w:cs="Arial"/>
          <w:sz w:val="20"/>
          <w:szCs w:val="20"/>
        </w:rPr>
        <w:t xml:space="preserve">or emailed to: </w:t>
      </w:r>
      <w:hyperlink r:id="rId13" w:history="1">
        <w:r w:rsidR="009C5D4D">
          <w:rPr>
            <w:rStyle w:val="Hyperlink"/>
            <w:rFonts w:cs="Arial"/>
            <w:color w:val="auto"/>
            <w:sz w:val="20"/>
            <w:szCs w:val="20"/>
          </w:rPr>
          <w:t>fireservicesreform</w:t>
        </w:r>
      </w:hyperlink>
      <w:r w:rsidR="002E693C">
        <w:rPr>
          <w:rStyle w:val="Hyperlink"/>
          <w:rFonts w:cs="Arial"/>
          <w:color w:val="auto"/>
          <w:sz w:val="20"/>
          <w:szCs w:val="20"/>
        </w:rPr>
        <w:t>@justice.vic.gov.au</w:t>
      </w:r>
    </w:p>
    <w:p w14:paraId="282729DE" w14:textId="77777777" w:rsidR="005D5B21" w:rsidRPr="00503F5B" w:rsidRDefault="005D5B21" w:rsidP="005D5B21">
      <w:pPr>
        <w:pStyle w:val="BodyText"/>
        <w:jc w:val="both"/>
        <w:rPr>
          <w:rFonts w:cs="Arial"/>
          <w:sz w:val="20"/>
          <w:szCs w:val="20"/>
        </w:rPr>
      </w:pPr>
    </w:p>
    <w:p w14:paraId="017DE18D" w14:textId="3B238E90" w:rsidR="005D5B21" w:rsidRPr="00503F5B" w:rsidRDefault="005D5B21" w:rsidP="005D5B21">
      <w:pPr>
        <w:pStyle w:val="BodyText"/>
        <w:jc w:val="both"/>
        <w:rPr>
          <w:rFonts w:cs="Arial"/>
          <w:i/>
          <w:sz w:val="20"/>
          <w:szCs w:val="20"/>
        </w:rPr>
      </w:pPr>
      <w:r w:rsidRPr="00503F5B">
        <w:rPr>
          <w:rFonts w:cs="Arial"/>
          <w:sz w:val="20"/>
          <w:szCs w:val="20"/>
        </w:rPr>
        <w:t>Please clearly identify that your comments or submission relates to the RIS by placing ‘</w:t>
      </w:r>
      <w:r w:rsidRPr="00503F5B">
        <w:rPr>
          <w:rFonts w:cs="Arial"/>
          <w:i/>
          <w:sz w:val="20"/>
          <w:szCs w:val="20"/>
        </w:rPr>
        <w:t>Fire Rescue Victoria (General) Regulations 2020</w:t>
      </w:r>
      <w:r w:rsidRPr="00503F5B">
        <w:rPr>
          <w:rFonts w:cs="Arial"/>
          <w:sz w:val="20"/>
          <w:szCs w:val="20"/>
        </w:rPr>
        <w:t xml:space="preserve">’ in the email subject line. </w:t>
      </w:r>
    </w:p>
    <w:p w14:paraId="55427EAA" w14:textId="77777777" w:rsidR="005D5B21" w:rsidRPr="00503F5B" w:rsidRDefault="005D5B21" w:rsidP="005D5B21">
      <w:pPr>
        <w:pStyle w:val="BodyText"/>
        <w:jc w:val="both"/>
        <w:rPr>
          <w:rFonts w:cs="Arial"/>
          <w:sz w:val="20"/>
          <w:szCs w:val="20"/>
        </w:rPr>
      </w:pPr>
      <w:r w:rsidRPr="00503F5B">
        <w:rPr>
          <w:rFonts w:cs="Arial"/>
          <w:sz w:val="20"/>
          <w:szCs w:val="20"/>
        </w:rPr>
        <w:t xml:space="preserve">All comments and submissions will be considered prior to the Regulations being made. </w:t>
      </w:r>
    </w:p>
    <w:p w14:paraId="7302328C" w14:textId="77777777" w:rsidR="005D5B21" w:rsidRPr="00503F5B" w:rsidRDefault="005D5B21" w:rsidP="005D5B21">
      <w:pPr>
        <w:pStyle w:val="BodyText"/>
        <w:jc w:val="both"/>
        <w:rPr>
          <w:rFonts w:cs="Arial"/>
          <w:sz w:val="20"/>
          <w:szCs w:val="20"/>
        </w:rPr>
      </w:pPr>
    </w:p>
    <w:p w14:paraId="365A14A7" w14:textId="77777777" w:rsidR="005D5B21" w:rsidRPr="00503F5B" w:rsidRDefault="005D5B21" w:rsidP="005D5B21">
      <w:pPr>
        <w:pStyle w:val="BodyText"/>
        <w:jc w:val="both"/>
        <w:rPr>
          <w:rFonts w:cs="Arial"/>
          <w:i/>
          <w:sz w:val="20"/>
          <w:szCs w:val="20"/>
        </w:rPr>
      </w:pPr>
      <w:r w:rsidRPr="00503F5B">
        <w:rPr>
          <w:rFonts w:cs="Arial"/>
          <w:i/>
          <w:sz w:val="20"/>
          <w:szCs w:val="20"/>
        </w:rPr>
        <w:t>Disclaimer: This publication may be of assistance to you, but the State of Victoria and its employees do not guarantee that the publication is without flaw or is wholly appropriate for your particular purposes and therefore disclaims all liability for an error, loss or other consequence that may arise from you relying on any information in this publication.</w:t>
      </w:r>
    </w:p>
    <w:p w14:paraId="06587FDB" w14:textId="5BE905A9" w:rsidR="001D51D6" w:rsidRPr="00503F5B" w:rsidRDefault="001D51D6" w:rsidP="00FB338A">
      <w:r w:rsidRPr="00503F5B">
        <w:br w:type="page"/>
      </w:r>
    </w:p>
    <w:p w14:paraId="0C2DB2D4" w14:textId="5CA5E557" w:rsidR="001D51D6" w:rsidRPr="00503F5B" w:rsidRDefault="001D51D6" w:rsidP="0080683B">
      <w:pPr>
        <w:pStyle w:val="Heading1"/>
      </w:pPr>
      <w:bookmarkStart w:id="1" w:name="_Toc35804111"/>
      <w:bookmarkStart w:id="2" w:name="_Toc35804605"/>
      <w:bookmarkStart w:id="3" w:name="_Toc35812649"/>
      <w:r w:rsidRPr="00503F5B">
        <w:lastRenderedPageBreak/>
        <w:t>Executive Summary</w:t>
      </w:r>
      <w:bookmarkEnd w:id="0"/>
      <w:bookmarkEnd w:id="1"/>
      <w:bookmarkEnd w:id="2"/>
      <w:bookmarkEnd w:id="3"/>
    </w:p>
    <w:p w14:paraId="6CA3A822" w14:textId="212E8E76" w:rsidR="0030563A" w:rsidRPr="00503F5B" w:rsidRDefault="0030563A" w:rsidP="0030563A">
      <w:pPr>
        <w:jc w:val="both"/>
      </w:pPr>
      <w:r w:rsidRPr="00503F5B">
        <w:t xml:space="preserve">This Regulatory Impact Statement (RIS) assesses proposed regulations contained in the Fire Rescue Victoria (General) Regulations 2020 (‘the regulations’) that will be introduced on 1 July 2020 under section </w:t>
      </w:r>
      <w:r w:rsidR="00FA2B98" w:rsidRPr="00503F5B">
        <w:t>34</w:t>
      </w:r>
      <w:r w:rsidRPr="00503F5B">
        <w:t xml:space="preserve"> of the</w:t>
      </w:r>
      <w:r w:rsidR="00FA2B98" w:rsidRPr="00503F5B">
        <w:t xml:space="preserve"> </w:t>
      </w:r>
      <w:r w:rsidR="00FA2B98" w:rsidRPr="00503F5B">
        <w:rPr>
          <w:i/>
          <w:iCs/>
        </w:rPr>
        <w:t>Fire Rescue Victoria Act 1958</w:t>
      </w:r>
      <w:r w:rsidRPr="00503F5B">
        <w:rPr>
          <w:i/>
          <w:iCs/>
        </w:rPr>
        <w:t xml:space="preserve"> (‘the</w:t>
      </w:r>
      <w:r w:rsidR="005A3CA5" w:rsidRPr="00503F5B">
        <w:rPr>
          <w:i/>
          <w:iCs/>
        </w:rPr>
        <w:t xml:space="preserve"> Principal</w:t>
      </w:r>
      <w:r w:rsidRPr="00503F5B">
        <w:rPr>
          <w:i/>
          <w:iCs/>
        </w:rPr>
        <w:t xml:space="preserve"> Act’)</w:t>
      </w:r>
      <w:r w:rsidRPr="00503F5B">
        <w:t xml:space="preserve">. </w:t>
      </w:r>
      <w:r w:rsidR="00FC2CA0" w:rsidRPr="00503F5B">
        <w:t xml:space="preserve">The </w:t>
      </w:r>
      <w:r w:rsidR="005A3CA5" w:rsidRPr="00503F5B">
        <w:t xml:space="preserve">Principal </w:t>
      </w:r>
      <w:r w:rsidR="00FC2CA0" w:rsidRPr="00503F5B">
        <w:t xml:space="preserve">Act was established by the </w:t>
      </w:r>
      <w:r w:rsidR="00FC2CA0" w:rsidRPr="00503F5B">
        <w:rPr>
          <w:i/>
          <w:iCs/>
        </w:rPr>
        <w:t>Firefighters’ Presumptive Rights Compensation and Fire Services Legislation (Amendment) Reform Act 2019</w:t>
      </w:r>
      <w:r w:rsidR="002145FD" w:rsidRPr="00503F5B">
        <w:rPr>
          <w:i/>
          <w:iCs/>
        </w:rPr>
        <w:t xml:space="preserve"> </w:t>
      </w:r>
      <w:r w:rsidR="002145FD" w:rsidRPr="00503F5B">
        <w:t>(</w:t>
      </w:r>
      <w:r w:rsidR="005A3CA5" w:rsidRPr="00503F5B">
        <w:t xml:space="preserve">Reform </w:t>
      </w:r>
      <w:r w:rsidR="002145FD" w:rsidRPr="00503F5B">
        <w:t>Act)</w:t>
      </w:r>
      <w:r w:rsidR="004D0F10" w:rsidRPr="00503F5B">
        <w:t xml:space="preserve">, and will replace the </w:t>
      </w:r>
      <w:r w:rsidR="004D0F10" w:rsidRPr="00503F5B">
        <w:rPr>
          <w:i/>
          <w:iCs/>
        </w:rPr>
        <w:t>Metropolitan Fire Brigades Act 1958</w:t>
      </w:r>
      <w:r w:rsidR="00FC2CA0" w:rsidRPr="00503F5B">
        <w:t xml:space="preserve">. </w:t>
      </w:r>
      <w:r w:rsidRPr="00503F5B">
        <w:t xml:space="preserve">The </w:t>
      </w:r>
      <w:r w:rsidR="005A3CA5" w:rsidRPr="00503F5B">
        <w:t xml:space="preserve">Reform </w:t>
      </w:r>
      <w:r w:rsidRPr="00503F5B">
        <w:t xml:space="preserve">Act establishes Fire Rescue Victoria (FRV) as a new organisation, replacing the Metropolitan Fire and Emergency Services Board (MFB) and bringing together MFB and the Country Fire Authority (CFA) career firefighters under one organisation. Provisions in the </w:t>
      </w:r>
      <w:r w:rsidR="005A3CA5" w:rsidRPr="00503F5B">
        <w:t xml:space="preserve">Reform </w:t>
      </w:r>
      <w:r w:rsidRPr="00503F5B">
        <w:t xml:space="preserve">Act also allow for the Minister to direct the transfer of </w:t>
      </w:r>
      <w:r w:rsidR="001956BD">
        <w:t xml:space="preserve">specified </w:t>
      </w:r>
      <w:r w:rsidRPr="00503F5B">
        <w:t xml:space="preserve">CFA corporate and administrative staff to FRV.   </w:t>
      </w:r>
    </w:p>
    <w:p w14:paraId="34CD1C1D" w14:textId="77777777" w:rsidR="0030563A" w:rsidRPr="00503F5B" w:rsidRDefault="0030563A" w:rsidP="0030563A">
      <w:pPr>
        <w:jc w:val="both"/>
      </w:pPr>
    </w:p>
    <w:p w14:paraId="15D931AD" w14:textId="18189E7C" w:rsidR="0030563A" w:rsidRPr="00503F5B" w:rsidRDefault="0030563A" w:rsidP="0030563A">
      <w:pPr>
        <w:jc w:val="both"/>
      </w:pPr>
      <w:r w:rsidRPr="00503F5B">
        <w:t xml:space="preserve">The regulations will revoke the current Metropolitan Fire Brigade (General) Interim Regulations 2019 which were to expire on 18 October 2020.  The regulations will cover the same scope as the existing interim regulations and will be made to support the objectives of the new </w:t>
      </w:r>
      <w:r w:rsidR="005A3CA5" w:rsidRPr="00503F5B">
        <w:t xml:space="preserve">Principal </w:t>
      </w:r>
      <w:r w:rsidRPr="00503F5B">
        <w:t>Act</w:t>
      </w:r>
      <w:r w:rsidR="001956BD">
        <w:t xml:space="preserve">; that is, </w:t>
      </w:r>
      <w:r w:rsidRPr="00503F5B">
        <w:t xml:space="preserve">to provide for fire safety, fire suppression and fire prevention services and emergency response services in </w:t>
      </w:r>
      <w:r w:rsidR="001956BD">
        <w:t xml:space="preserve">the </w:t>
      </w:r>
      <w:r w:rsidRPr="00503F5B">
        <w:t>FRV fire district</w:t>
      </w:r>
      <w:r w:rsidR="00FA2B98" w:rsidRPr="00503F5B">
        <w:t xml:space="preserve"> (which will cover the existing metropolitan fire </w:t>
      </w:r>
      <w:r w:rsidR="001956BD">
        <w:t xml:space="preserve">district </w:t>
      </w:r>
      <w:r w:rsidR="00FA2B98" w:rsidRPr="00503F5B">
        <w:t xml:space="preserve">and include some outer urban and larger regional centres currently serviced by CFA integrated </w:t>
      </w:r>
      <w:r w:rsidR="008372BE" w:rsidRPr="00503F5B">
        <w:t xml:space="preserve">and career </w:t>
      </w:r>
      <w:r w:rsidR="00FA2B98" w:rsidRPr="00503F5B">
        <w:t>stations)</w:t>
      </w:r>
      <w:r w:rsidRPr="00503F5B">
        <w:t>; and to establish FRV and the role of Fire Rescue Commissioner.</w:t>
      </w:r>
    </w:p>
    <w:p w14:paraId="48537B2F" w14:textId="77777777" w:rsidR="0030563A" w:rsidRPr="00503F5B" w:rsidRDefault="0030563A" w:rsidP="0030563A">
      <w:pPr>
        <w:jc w:val="both"/>
      </w:pPr>
    </w:p>
    <w:p w14:paraId="45A9A2E6" w14:textId="0384C24F" w:rsidR="0030563A" w:rsidRPr="00503F5B" w:rsidRDefault="0030563A" w:rsidP="0030563A">
      <w:pPr>
        <w:jc w:val="both"/>
      </w:pPr>
      <w:r w:rsidRPr="00503F5B">
        <w:t>Minor changes for the proposed regulations include changes to terminology or replacement of the term ‘the Board’ with ‘Fire Rescue Victoria’, as well as alignment with the Country Fire Authority Regulations 2014 in relation to costs for attending hazardous materials incidents.  The</w:t>
      </w:r>
      <w:r w:rsidRPr="00503F5B">
        <w:rPr>
          <w:iCs/>
        </w:rPr>
        <w:t xml:space="preserve"> main</w:t>
      </w:r>
      <w:r w:rsidRPr="00503F5B">
        <w:t xml:space="preserve"> difference between the proposed and existing interim regulations relate to the incorporation of a new provision to set fees for fire protection services by Fire Rescue Victoria (i.e. administratively) to align with the Country Fire Authority Regulations 2014.  The purpose of setting fire protection charges administratively is to provide FRV discretion as to how and when fees will be charged and for which services.</w:t>
      </w:r>
    </w:p>
    <w:p w14:paraId="17DB2FD1" w14:textId="77777777" w:rsidR="0030563A" w:rsidRPr="00503F5B" w:rsidRDefault="0030563A" w:rsidP="0030563A">
      <w:pPr>
        <w:jc w:val="both"/>
      </w:pPr>
    </w:p>
    <w:p w14:paraId="66DDB583" w14:textId="4ECEFECA" w:rsidR="00491000" w:rsidRPr="00503F5B" w:rsidRDefault="00491000" w:rsidP="00491000">
      <w:pPr>
        <w:jc w:val="both"/>
        <w:rPr>
          <w:rFonts w:cs="Arial"/>
        </w:rPr>
      </w:pPr>
      <w:r w:rsidRPr="00503F5B">
        <w:rPr>
          <w:rFonts w:cs="Arial"/>
        </w:rPr>
        <w:t xml:space="preserve">This RIS provides an overview of emergency attendances and explains the services by the MFB </w:t>
      </w:r>
      <w:r w:rsidR="001956BD">
        <w:rPr>
          <w:rFonts w:cs="Arial"/>
        </w:rPr>
        <w:t xml:space="preserve">and CFA integrated and career stations </w:t>
      </w:r>
      <w:r w:rsidRPr="00503F5B">
        <w:rPr>
          <w:rFonts w:cs="Arial"/>
        </w:rPr>
        <w:t>for which the emergency attendance fee is set. The RIS does not examine the effects of alternatives to emergency attendance processes, as that is outside the scope of these regulations. The focus of this RIS is the fee-setting aspect of emergency attendances</w:t>
      </w:r>
      <w:r w:rsidR="0030563A" w:rsidRPr="00503F5B">
        <w:rPr>
          <w:rFonts w:cs="Arial"/>
        </w:rPr>
        <w:t xml:space="preserve"> for false alarms</w:t>
      </w:r>
      <w:r w:rsidR="004D0F10" w:rsidRPr="00503F5B">
        <w:rPr>
          <w:rFonts w:cs="Arial"/>
        </w:rPr>
        <w:t>.</w:t>
      </w:r>
    </w:p>
    <w:p w14:paraId="62895C1F" w14:textId="77777777" w:rsidR="00491000" w:rsidRPr="00503F5B" w:rsidRDefault="00491000" w:rsidP="00491000">
      <w:pPr>
        <w:jc w:val="both"/>
        <w:rPr>
          <w:rFonts w:cs="Arial"/>
        </w:rPr>
      </w:pPr>
    </w:p>
    <w:p w14:paraId="4AA002ED" w14:textId="7009237D" w:rsidR="00491000" w:rsidRPr="00503F5B" w:rsidRDefault="00491000" w:rsidP="00491000">
      <w:pPr>
        <w:jc w:val="both"/>
      </w:pPr>
      <w:r w:rsidRPr="00503F5B">
        <w:t>The fee prescribed in proposed regulation</w:t>
      </w:r>
      <w:r w:rsidR="0030563A" w:rsidRPr="00503F5B">
        <w:t xml:space="preserve"> 1</w:t>
      </w:r>
      <w:r w:rsidR="00EA38F8" w:rsidRPr="00503F5B">
        <w:t>7</w:t>
      </w:r>
      <w:r w:rsidR="0030563A" w:rsidRPr="00503F5B">
        <w:t>(1)(a)</w:t>
      </w:r>
      <w:r w:rsidRPr="00503F5B">
        <w:t xml:space="preserve"> </w:t>
      </w:r>
      <w:r w:rsidR="00401869" w:rsidRPr="00503F5B">
        <w:t>will apply</w:t>
      </w:r>
      <w:r w:rsidRPr="00503F5B">
        <w:t xml:space="preserve"> to false alarms where ‘no reasonable excuse’</w:t>
      </w:r>
      <w:r w:rsidR="0046365D" w:rsidRPr="00503F5B">
        <w:t xml:space="preserve"> </w:t>
      </w:r>
      <w:r w:rsidRPr="00503F5B">
        <w:t xml:space="preserve">has been determined by </w:t>
      </w:r>
      <w:r w:rsidR="0030563A" w:rsidRPr="00503F5B">
        <w:t>FRV</w:t>
      </w:r>
      <w:r w:rsidRPr="00503F5B">
        <w:t>.  The prescribed fee will raise approximately $</w:t>
      </w:r>
      <w:r w:rsidR="00EA746E" w:rsidRPr="00503F5B">
        <w:t>13</w:t>
      </w:r>
      <w:r w:rsidRPr="00503F5B">
        <w:t>.</w:t>
      </w:r>
      <w:r w:rsidR="00EA746E" w:rsidRPr="00503F5B">
        <w:t xml:space="preserve">29 </w:t>
      </w:r>
      <w:r w:rsidRPr="00503F5B">
        <w:t>million each year. The scale of this revenue means that, in remaking these regulations, the Department</w:t>
      </w:r>
      <w:r w:rsidR="0030563A" w:rsidRPr="00503F5B">
        <w:t xml:space="preserve"> of Justice and Community Safety</w:t>
      </w:r>
      <w:r w:rsidRPr="00503F5B">
        <w:t xml:space="preserve"> is required to prepare a RIS that considers a range of options for setting this emergency attendance fee. </w:t>
      </w:r>
    </w:p>
    <w:p w14:paraId="779D2CFD" w14:textId="72969AC0" w:rsidR="00491000" w:rsidRPr="00503F5B" w:rsidRDefault="00491000" w:rsidP="00491000">
      <w:pPr>
        <w:jc w:val="both"/>
      </w:pPr>
    </w:p>
    <w:p w14:paraId="79C3A368" w14:textId="7F063C0E" w:rsidR="002E14A7" w:rsidRPr="00503F5B" w:rsidRDefault="00491000" w:rsidP="00611186">
      <w:pPr>
        <w:jc w:val="both"/>
      </w:pPr>
      <w:r w:rsidRPr="00503F5B">
        <w:t>Other minor matters covered in these regulations are noted in the RIS.</w:t>
      </w:r>
      <w:r w:rsidRPr="00503F5B">
        <w:rPr>
          <w:rFonts w:cs="Arial"/>
        </w:rPr>
        <w:t xml:space="preserve"> The proposed non-fee regulations are deemed to be immaterial in terms of any burden and are therefore not analysed in detail in this RIS.  Other fee regulations determine that </w:t>
      </w:r>
      <w:r w:rsidR="0030563A" w:rsidRPr="00503F5B">
        <w:rPr>
          <w:rFonts w:cs="Arial"/>
        </w:rPr>
        <w:t xml:space="preserve">FRV </w:t>
      </w:r>
      <w:r w:rsidRPr="00503F5B">
        <w:rPr>
          <w:rFonts w:cs="Arial"/>
        </w:rPr>
        <w:t xml:space="preserve">has the discretion to set a fee themselves (rather than having the regulations prescribe a specific fee). Granting </w:t>
      </w:r>
      <w:r w:rsidR="00E86066" w:rsidRPr="00503F5B">
        <w:rPr>
          <w:rFonts w:cs="Arial"/>
        </w:rPr>
        <w:t>FRV</w:t>
      </w:r>
      <w:r w:rsidRPr="00503F5B">
        <w:rPr>
          <w:rFonts w:cs="Arial"/>
        </w:rPr>
        <w:t xml:space="preserve"> this discretionary power is preferable to prescribing a fee as it allows the </w:t>
      </w:r>
      <w:r w:rsidR="00E86066" w:rsidRPr="00503F5B">
        <w:rPr>
          <w:rFonts w:cs="Arial"/>
        </w:rPr>
        <w:t xml:space="preserve">FRV </w:t>
      </w:r>
      <w:r w:rsidRPr="00503F5B">
        <w:rPr>
          <w:rFonts w:cs="Arial"/>
        </w:rPr>
        <w:t xml:space="preserve">to determine the appropriate fee level depending on the nature of the service provided. </w:t>
      </w:r>
      <w:r w:rsidRPr="00503F5B">
        <w:rPr>
          <w:rFonts w:cs="Helvetica"/>
        </w:rPr>
        <w:t xml:space="preserve">There may be substantial variation in case-by-case costs for a particular service which make it </w:t>
      </w:r>
      <w:r w:rsidRPr="00503F5B">
        <w:rPr>
          <w:rFonts w:cs="Helvetica"/>
        </w:rPr>
        <w:lastRenderedPageBreak/>
        <w:t xml:space="preserve">unsuitable for a specific prescribed fee, and that in some cases (such as hazardous or toxic fire incidents) the regulations provide certain parameters for </w:t>
      </w:r>
      <w:r w:rsidR="00E86066" w:rsidRPr="00503F5B">
        <w:rPr>
          <w:rFonts w:cs="Helvetica"/>
        </w:rPr>
        <w:t xml:space="preserve">FRV </w:t>
      </w:r>
      <w:r w:rsidRPr="00503F5B">
        <w:rPr>
          <w:rFonts w:cs="Helvetica"/>
        </w:rPr>
        <w:t xml:space="preserve">to take account of in setting these fees.  </w:t>
      </w:r>
    </w:p>
    <w:p w14:paraId="7E3D08A7" w14:textId="77777777" w:rsidR="002E14A7" w:rsidRPr="00503F5B" w:rsidRDefault="002E14A7" w:rsidP="0022379C">
      <w:pPr>
        <w:jc w:val="both"/>
      </w:pPr>
    </w:p>
    <w:p w14:paraId="00891C24" w14:textId="5DE4EE5C" w:rsidR="00491000" w:rsidRPr="00503F5B" w:rsidRDefault="00A90E77" w:rsidP="00491000">
      <w:pPr>
        <w:jc w:val="both"/>
      </w:pPr>
      <w:r w:rsidRPr="00503F5B">
        <w:t>T</w:t>
      </w:r>
      <w:r w:rsidR="00491000" w:rsidRPr="00503F5B">
        <w:t xml:space="preserve">his RIS formally assesses the regulatory proposal against the requirements of the </w:t>
      </w:r>
      <w:r w:rsidR="00491000" w:rsidRPr="00503F5B">
        <w:rPr>
          <w:i/>
        </w:rPr>
        <w:t>Subordinate Legislation Act 1994</w:t>
      </w:r>
      <w:r w:rsidR="00491000" w:rsidRPr="00503F5B">
        <w:t xml:space="preserve"> and the Victorian Guide to Regulation by</w:t>
      </w:r>
      <w:r w:rsidR="00E86066" w:rsidRPr="00503F5B">
        <w:t xml:space="preserve"> addressing the following questions</w:t>
      </w:r>
      <w:r w:rsidR="00537923">
        <w:t>:</w:t>
      </w:r>
    </w:p>
    <w:p w14:paraId="27093A37" w14:textId="77777777" w:rsidR="00491000" w:rsidRPr="00503F5B" w:rsidRDefault="00491000" w:rsidP="00491000"/>
    <w:p w14:paraId="72AABCD4" w14:textId="77777777" w:rsidR="00E86066" w:rsidRPr="00503F5B" w:rsidRDefault="00E86066" w:rsidP="00E86066">
      <w:pPr>
        <w:numPr>
          <w:ilvl w:val="1"/>
          <w:numId w:val="23"/>
        </w:numPr>
        <w:ind w:left="709" w:hanging="425"/>
        <w:contextualSpacing/>
        <w:jc w:val="both"/>
      </w:pPr>
      <w:bookmarkStart w:id="4" w:name="_Hlk39036406"/>
      <w:r w:rsidRPr="00503F5B">
        <w:t>Why is the Government considering action? (problem analysis)</w:t>
      </w:r>
    </w:p>
    <w:p w14:paraId="1B1B0B3A" w14:textId="77777777" w:rsidR="00E86066" w:rsidRPr="00503F5B" w:rsidRDefault="00E86066" w:rsidP="00E86066">
      <w:pPr>
        <w:numPr>
          <w:ilvl w:val="1"/>
          <w:numId w:val="23"/>
        </w:numPr>
        <w:ind w:left="709" w:hanging="425"/>
        <w:contextualSpacing/>
        <w:jc w:val="both"/>
      </w:pPr>
      <w:r w:rsidRPr="00503F5B">
        <w:t>What outcomes is the Government aiming to achieve? (objectives of action)</w:t>
      </w:r>
    </w:p>
    <w:p w14:paraId="778A6D6F" w14:textId="77777777" w:rsidR="00E86066" w:rsidRPr="00503F5B" w:rsidRDefault="00E86066" w:rsidP="00E86066">
      <w:pPr>
        <w:numPr>
          <w:ilvl w:val="1"/>
          <w:numId w:val="23"/>
        </w:numPr>
        <w:ind w:left="709" w:hanging="425"/>
        <w:contextualSpacing/>
        <w:jc w:val="both"/>
      </w:pPr>
      <w:r w:rsidRPr="00503F5B">
        <w:t>What are the possible different courses of action that could be taken? (identify feasible options)</w:t>
      </w:r>
    </w:p>
    <w:p w14:paraId="14953277" w14:textId="77777777" w:rsidR="00E86066" w:rsidRPr="00503F5B" w:rsidRDefault="00E86066" w:rsidP="00E86066">
      <w:pPr>
        <w:numPr>
          <w:ilvl w:val="1"/>
          <w:numId w:val="23"/>
        </w:numPr>
        <w:ind w:left="709" w:hanging="425"/>
        <w:contextualSpacing/>
        <w:jc w:val="both"/>
      </w:pPr>
      <w:r w:rsidRPr="00503F5B">
        <w:t>What are the expected impacts (benefits and costs) of feasible options and what is the preferred option? (impact analysis)</w:t>
      </w:r>
    </w:p>
    <w:p w14:paraId="3ABDAB84" w14:textId="77777777" w:rsidR="00E86066" w:rsidRPr="00503F5B" w:rsidRDefault="00E86066" w:rsidP="00E86066">
      <w:pPr>
        <w:numPr>
          <w:ilvl w:val="1"/>
          <w:numId w:val="23"/>
        </w:numPr>
        <w:ind w:left="709" w:hanging="425"/>
        <w:contextualSpacing/>
        <w:jc w:val="both"/>
      </w:pPr>
      <w:r w:rsidRPr="00503F5B">
        <w:t>What are the characteristics of the preferred option, including small business and competition impacts? (summarise the preferred option)</w:t>
      </w:r>
    </w:p>
    <w:p w14:paraId="1969A7D8" w14:textId="77777777" w:rsidR="00E86066" w:rsidRPr="00503F5B" w:rsidRDefault="00E86066" w:rsidP="00E86066">
      <w:pPr>
        <w:numPr>
          <w:ilvl w:val="1"/>
          <w:numId w:val="23"/>
        </w:numPr>
        <w:ind w:left="709" w:hanging="425"/>
        <w:contextualSpacing/>
        <w:jc w:val="both"/>
      </w:pPr>
      <w:r w:rsidRPr="00503F5B">
        <w:t>How will the preferred option be put into place? (implementation plan)</w:t>
      </w:r>
    </w:p>
    <w:p w14:paraId="0558C87D" w14:textId="77777777" w:rsidR="00E86066" w:rsidRPr="00503F5B" w:rsidRDefault="00E86066" w:rsidP="00E86066">
      <w:pPr>
        <w:numPr>
          <w:ilvl w:val="1"/>
          <w:numId w:val="23"/>
        </w:numPr>
        <w:ind w:left="709" w:hanging="425"/>
        <w:contextualSpacing/>
        <w:jc w:val="both"/>
      </w:pPr>
      <w:r w:rsidRPr="00503F5B">
        <w:t>When (and how) will the Government evaluate the effectiveness of the preferred option in meeting the objectives? (evaluation strategy).</w:t>
      </w:r>
    </w:p>
    <w:bookmarkEnd w:id="4"/>
    <w:p w14:paraId="3017590D" w14:textId="77777777" w:rsidR="00E86066" w:rsidRPr="00503F5B" w:rsidRDefault="00E86066" w:rsidP="00491000">
      <w:pPr>
        <w:jc w:val="both"/>
        <w:rPr>
          <w:rFonts w:cs="Arial"/>
          <w:b/>
          <w:color w:val="BE2A18"/>
        </w:rPr>
      </w:pPr>
    </w:p>
    <w:p w14:paraId="69E8078B" w14:textId="77777777" w:rsidR="00491000" w:rsidRPr="00503F5B" w:rsidRDefault="00491000" w:rsidP="00491000">
      <w:pPr>
        <w:jc w:val="both"/>
        <w:rPr>
          <w:rFonts w:cs="Arial"/>
          <w:color w:val="BE2A18"/>
        </w:rPr>
      </w:pPr>
      <w:r w:rsidRPr="00503F5B">
        <w:rPr>
          <w:rFonts w:cs="Arial"/>
          <w:b/>
          <w:color w:val="BE2A18"/>
        </w:rPr>
        <w:t>Objectives</w:t>
      </w:r>
    </w:p>
    <w:p w14:paraId="057642DB" w14:textId="77777777" w:rsidR="00491000" w:rsidRPr="00503F5B" w:rsidRDefault="00491000" w:rsidP="00491000">
      <w:pPr>
        <w:jc w:val="both"/>
        <w:rPr>
          <w:rFonts w:cs="Arial"/>
        </w:rPr>
      </w:pPr>
    </w:p>
    <w:p w14:paraId="24EF797E" w14:textId="2905D243" w:rsidR="00491000" w:rsidRPr="00503F5B" w:rsidRDefault="00491000" w:rsidP="00491000">
      <w:pPr>
        <w:jc w:val="both"/>
        <w:rPr>
          <w:rFonts w:cs="Arial"/>
        </w:rPr>
      </w:pPr>
      <w:r w:rsidRPr="00503F5B">
        <w:rPr>
          <w:rFonts w:cs="Arial"/>
        </w:rPr>
        <w:t xml:space="preserve">In making these regulations, </w:t>
      </w:r>
      <w:r w:rsidR="00007F32" w:rsidRPr="00503F5B">
        <w:rPr>
          <w:rFonts w:cs="Arial"/>
        </w:rPr>
        <w:t>the government’s</w:t>
      </w:r>
      <w:r w:rsidR="00401869" w:rsidRPr="00503F5B">
        <w:rPr>
          <w:rFonts w:cs="Arial"/>
        </w:rPr>
        <w:t xml:space="preserve"> </w:t>
      </w:r>
      <w:r w:rsidRPr="00503F5B">
        <w:rPr>
          <w:rFonts w:cs="Arial"/>
        </w:rPr>
        <w:t>objectives are:</w:t>
      </w:r>
    </w:p>
    <w:p w14:paraId="12149784" w14:textId="77777777" w:rsidR="00491000" w:rsidRPr="00503F5B" w:rsidRDefault="00491000" w:rsidP="00491000">
      <w:pPr>
        <w:jc w:val="both"/>
        <w:rPr>
          <w:rFonts w:cs="Arial"/>
        </w:rPr>
      </w:pPr>
    </w:p>
    <w:p w14:paraId="3B055408" w14:textId="77777777" w:rsidR="00491000" w:rsidRPr="00503F5B" w:rsidRDefault="00491000" w:rsidP="00491000">
      <w:pPr>
        <w:pStyle w:val="ListParagraph"/>
        <w:numPr>
          <w:ilvl w:val="0"/>
          <w:numId w:val="3"/>
        </w:numPr>
        <w:ind w:left="426" w:hanging="426"/>
        <w:rPr>
          <w:rFonts w:cs="Arial"/>
        </w:rPr>
      </w:pPr>
      <w:r w:rsidRPr="00503F5B">
        <w:rPr>
          <w:rFonts w:cs="Arial"/>
        </w:rPr>
        <w:t>to fund emergency attendance activities in a way that encourages property owners to proactively manage and maintain their alarm systems; and</w:t>
      </w:r>
    </w:p>
    <w:p w14:paraId="56758FC5" w14:textId="4B263ADF" w:rsidR="00491000" w:rsidRPr="00503F5B" w:rsidRDefault="00491000" w:rsidP="00491000">
      <w:pPr>
        <w:pStyle w:val="ListParagraph"/>
        <w:numPr>
          <w:ilvl w:val="0"/>
          <w:numId w:val="3"/>
        </w:numPr>
        <w:ind w:left="426" w:hanging="426"/>
        <w:rPr>
          <w:rFonts w:cs="Arial"/>
        </w:rPr>
      </w:pPr>
      <w:r w:rsidRPr="00503F5B">
        <w:rPr>
          <w:rFonts w:cs="Arial"/>
        </w:rPr>
        <w:t>to equitably and efficiently recover the costs of false alarms from relevant property owners</w:t>
      </w:r>
      <w:r w:rsidR="00D60FCB">
        <w:rPr>
          <w:rFonts w:cs="Arial"/>
        </w:rPr>
        <w:t>.</w:t>
      </w:r>
    </w:p>
    <w:p w14:paraId="771962BD" w14:textId="77777777" w:rsidR="00491000" w:rsidRPr="00503F5B" w:rsidRDefault="00491000" w:rsidP="00491000">
      <w:pPr>
        <w:pStyle w:val="ListParagraph"/>
        <w:ind w:left="426" w:hanging="426"/>
        <w:jc w:val="both"/>
        <w:rPr>
          <w:rFonts w:cs="Arial"/>
        </w:rPr>
      </w:pPr>
    </w:p>
    <w:p w14:paraId="23EDD543" w14:textId="18A683C2" w:rsidR="00491000" w:rsidRPr="00503F5B" w:rsidRDefault="00491000" w:rsidP="00491000">
      <w:pPr>
        <w:jc w:val="both"/>
      </w:pPr>
      <w:r w:rsidRPr="00503F5B">
        <w:rPr>
          <w:rFonts w:cs="Arial"/>
        </w:rPr>
        <w:t xml:space="preserve">In line with these objectives, </w:t>
      </w:r>
      <w:r w:rsidR="00007F32" w:rsidRPr="00503F5B">
        <w:rPr>
          <w:rFonts w:cs="Arial"/>
        </w:rPr>
        <w:t xml:space="preserve">regard must also be had to ensuring that </w:t>
      </w:r>
      <w:r w:rsidRPr="00503F5B">
        <w:rPr>
          <w:rFonts w:cs="Arial"/>
        </w:rPr>
        <w:t xml:space="preserve">changes </w:t>
      </w:r>
      <w:r w:rsidR="00007F32" w:rsidRPr="00503F5B">
        <w:rPr>
          <w:rFonts w:cs="Arial"/>
        </w:rPr>
        <w:t xml:space="preserve">do not </w:t>
      </w:r>
      <w:r w:rsidRPr="00503F5B">
        <w:rPr>
          <w:rFonts w:cs="Arial"/>
        </w:rPr>
        <w:t>discourage alarm owners from maintaining and managing their alarm systems</w:t>
      </w:r>
      <w:r w:rsidR="00E86066" w:rsidRPr="00503F5B">
        <w:rPr>
          <w:rFonts w:cs="Arial"/>
        </w:rPr>
        <w:t>.</w:t>
      </w:r>
    </w:p>
    <w:p w14:paraId="761B34B1" w14:textId="77777777" w:rsidR="00491000" w:rsidRPr="00503F5B" w:rsidRDefault="00491000" w:rsidP="00491000">
      <w:pPr>
        <w:jc w:val="both"/>
        <w:rPr>
          <w:rFonts w:cs="Arial"/>
        </w:rPr>
      </w:pPr>
    </w:p>
    <w:p w14:paraId="0CC163D7" w14:textId="0D2E0CEC" w:rsidR="00491000" w:rsidRPr="00503F5B" w:rsidRDefault="00491000" w:rsidP="00491000">
      <w:pPr>
        <w:jc w:val="both"/>
        <w:rPr>
          <w:rFonts w:cs="Arial"/>
        </w:rPr>
      </w:pPr>
      <w:r w:rsidRPr="00503F5B">
        <w:rPr>
          <w:rFonts w:cs="Arial"/>
        </w:rPr>
        <w:t xml:space="preserve">Importantly, the price sensitivity of owners of fire alarm systems to emergency attendance fees </w:t>
      </w:r>
      <w:r w:rsidR="00E86066" w:rsidRPr="00503F5B">
        <w:rPr>
          <w:rFonts w:cs="Arial"/>
        </w:rPr>
        <w:t xml:space="preserve">for false alarms </w:t>
      </w:r>
      <w:r w:rsidRPr="00503F5B">
        <w:rPr>
          <w:rFonts w:cs="Arial"/>
        </w:rPr>
        <w:t>remains unknown and a comparison across other relevant jurisdictions which charge per attendance rather than per appliance time, does not provide insight into how the fee level itself may affect the encouragement or discouragement of fire alarm system owners, per se.  Limited data reveals that not charging for false alarms has the impact of increasing demand for false alarm calls by 12</w:t>
      </w:r>
      <w:r w:rsidR="00EA746E" w:rsidRPr="00503F5B">
        <w:rPr>
          <w:rFonts w:cs="Arial"/>
        </w:rPr>
        <w:t xml:space="preserve"> per cent</w:t>
      </w:r>
      <w:r w:rsidRPr="00503F5B">
        <w:rPr>
          <w:rFonts w:cs="Arial"/>
        </w:rPr>
        <w:t xml:space="preserve"> </w:t>
      </w:r>
      <w:proofErr w:type="gramStart"/>
      <w:r w:rsidRPr="00503F5B">
        <w:rPr>
          <w:rFonts w:cs="Arial"/>
        </w:rPr>
        <w:t>in a given year</w:t>
      </w:r>
      <w:proofErr w:type="gramEnd"/>
      <w:r w:rsidRPr="00503F5B">
        <w:rPr>
          <w:rFonts w:cs="Arial"/>
        </w:rPr>
        <w:t xml:space="preserve">.  Consequently, and for the purpose of analysis in this RIS an assumption is made that charging </w:t>
      </w:r>
      <w:r w:rsidRPr="00503F5B">
        <w:rPr>
          <w:rFonts w:cs="Arial"/>
          <w:i/>
        </w:rPr>
        <w:t>a fee</w:t>
      </w:r>
      <w:r w:rsidRPr="00503F5B">
        <w:rPr>
          <w:rFonts w:cs="Arial"/>
        </w:rPr>
        <w:t xml:space="preserve"> leads to a reduction in the demand for false alarm attendance services through better management and maintenance however, charging owners a fee which is greater than the current level may discourage at least </w:t>
      </w:r>
      <w:r w:rsidRPr="00503F5B">
        <w:rPr>
          <w:rFonts w:cs="Arial"/>
          <w:iCs/>
        </w:rPr>
        <w:t>some</w:t>
      </w:r>
      <w:r w:rsidRPr="00503F5B">
        <w:rPr>
          <w:rStyle w:val="FootnoteReference"/>
        </w:rPr>
        <w:footnoteReference w:id="1"/>
      </w:r>
      <w:r w:rsidRPr="00503F5B">
        <w:rPr>
          <w:rFonts w:cs="Arial"/>
        </w:rPr>
        <w:t xml:space="preserve"> from effectively managing or maintaining their fire alarm systems.  </w:t>
      </w:r>
    </w:p>
    <w:p w14:paraId="721FD431" w14:textId="77777777" w:rsidR="00491000" w:rsidRPr="00503F5B" w:rsidRDefault="00491000" w:rsidP="00491000">
      <w:pPr>
        <w:jc w:val="both"/>
        <w:rPr>
          <w:rFonts w:cs="Arial"/>
        </w:rPr>
      </w:pPr>
    </w:p>
    <w:p w14:paraId="4A1C58A2" w14:textId="77777777" w:rsidR="00491000" w:rsidRPr="00503F5B" w:rsidRDefault="00491000" w:rsidP="00491000">
      <w:pPr>
        <w:jc w:val="both"/>
        <w:rPr>
          <w:rFonts w:cs="Arial"/>
        </w:rPr>
      </w:pPr>
      <w:r w:rsidRPr="00503F5B">
        <w:rPr>
          <w:rFonts w:cs="Arial"/>
        </w:rPr>
        <w:t>In identifying the best options for setting new fees, this RIS considers the extent to which each option achieves these objectives, as well as each option’s compliance with the principles outlined in the</w:t>
      </w:r>
      <w:r w:rsidRPr="00503F5B">
        <w:rPr>
          <w:rFonts w:cs="Calibri"/>
        </w:rPr>
        <w:t xml:space="preserve"> Victorian Government’s </w:t>
      </w:r>
      <w:r w:rsidRPr="00503F5B">
        <w:rPr>
          <w:rFonts w:cs="Calibri"/>
          <w:i/>
        </w:rPr>
        <w:t xml:space="preserve">Cost Recovery Guidelines </w:t>
      </w:r>
      <w:r w:rsidRPr="00503F5B">
        <w:rPr>
          <w:rFonts w:cs="Calibri"/>
        </w:rPr>
        <w:t xml:space="preserve">(the Guidelines). The Guidelines highlight that, where possible, regulatory fees should be set to fully recover costs </w:t>
      </w:r>
      <w:r w:rsidRPr="00503F5B">
        <w:rPr>
          <w:rFonts w:cs="Calibri"/>
        </w:rPr>
        <w:lastRenderedPageBreak/>
        <w:t xml:space="preserve">to ensure both efficiency and equity objectives are met, particularly where </w:t>
      </w:r>
      <w:r w:rsidRPr="00503F5B">
        <w:rPr>
          <w:rFonts w:cs="Arial"/>
        </w:rPr>
        <w:t>the fee reflects a service or benefit that is fully captured by the individual paying the fee</w:t>
      </w:r>
      <w:r w:rsidRPr="00503F5B">
        <w:rPr>
          <w:rStyle w:val="FootnoteReference"/>
        </w:rPr>
        <w:footnoteReference w:id="2"/>
      </w:r>
      <w:r w:rsidRPr="00503F5B">
        <w:rPr>
          <w:rFonts w:cs="Calibri"/>
        </w:rPr>
        <w:t xml:space="preserve">. </w:t>
      </w:r>
    </w:p>
    <w:p w14:paraId="3C810A01" w14:textId="77777777" w:rsidR="00491000" w:rsidRPr="00503F5B" w:rsidRDefault="00491000" w:rsidP="00491000">
      <w:pPr>
        <w:rPr>
          <w:rFonts w:cs="Arial"/>
          <w:b/>
        </w:rPr>
      </w:pPr>
    </w:p>
    <w:p w14:paraId="3D69A952" w14:textId="77777777" w:rsidR="00491000" w:rsidRPr="00503F5B" w:rsidRDefault="00491000" w:rsidP="00491000">
      <w:pPr>
        <w:rPr>
          <w:rFonts w:cs="Arial"/>
          <w:b/>
          <w:color w:val="BE2A18"/>
        </w:rPr>
      </w:pPr>
      <w:r w:rsidRPr="00503F5B">
        <w:rPr>
          <w:rFonts w:cs="Arial"/>
          <w:b/>
          <w:color w:val="BE2A18"/>
        </w:rPr>
        <w:t>Problem to be addressed</w:t>
      </w:r>
    </w:p>
    <w:p w14:paraId="19918A47" w14:textId="77777777" w:rsidR="00491000" w:rsidRPr="00503F5B" w:rsidRDefault="00491000" w:rsidP="00491000">
      <w:pPr>
        <w:rPr>
          <w:rFonts w:cs="Arial"/>
        </w:rPr>
      </w:pPr>
    </w:p>
    <w:p w14:paraId="7F729750" w14:textId="47160824" w:rsidR="00491000" w:rsidRPr="00503F5B" w:rsidRDefault="00491000" w:rsidP="00491000">
      <w:pPr>
        <w:jc w:val="both"/>
        <w:rPr>
          <w:rFonts w:cs="Arial"/>
        </w:rPr>
      </w:pPr>
      <w:r w:rsidRPr="00503F5B">
        <w:rPr>
          <w:rFonts w:cs="Arial"/>
        </w:rPr>
        <w:t>The net present value of the cost of false alarm attendances without reasonable excuses over the 10-year life of these regulations is estimated to be around $</w:t>
      </w:r>
      <w:r w:rsidR="00E86066" w:rsidRPr="00503F5B">
        <w:rPr>
          <w:rFonts w:cs="Arial"/>
        </w:rPr>
        <w:t>510</w:t>
      </w:r>
      <w:r w:rsidRPr="00503F5B">
        <w:rPr>
          <w:rFonts w:cs="Arial"/>
        </w:rPr>
        <w:t>.</w:t>
      </w:r>
      <w:r w:rsidR="00E86066" w:rsidRPr="00503F5B">
        <w:rPr>
          <w:rFonts w:cs="Arial"/>
        </w:rPr>
        <w:t>54</w:t>
      </w:r>
      <w:r w:rsidRPr="00503F5B">
        <w:rPr>
          <w:rFonts w:cs="Arial"/>
        </w:rPr>
        <w:t xml:space="preserve"> million.  These costs can be funded entirely by fees or by general tax revenue or by a combination thereof.</w:t>
      </w:r>
    </w:p>
    <w:p w14:paraId="6A23C9E0" w14:textId="77777777" w:rsidR="00491000" w:rsidRPr="00503F5B" w:rsidRDefault="00491000" w:rsidP="00491000">
      <w:pPr>
        <w:jc w:val="both"/>
        <w:rPr>
          <w:rFonts w:cs="Arial"/>
        </w:rPr>
      </w:pPr>
    </w:p>
    <w:p w14:paraId="3C7725BC" w14:textId="471956A9" w:rsidR="00E86066" w:rsidRPr="00503F5B" w:rsidRDefault="00491000" w:rsidP="00491000">
      <w:pPr>
        <w:jc w:val="both"/>
      </w:pPr>
      <w:r w:rsidRPr="00503F5B">
        <w:rPr>
          <w:rFonts w:cs="Arial"/>
        </w:rPr>
        <w:t xml:space="preserve">The attendance of appliances to false alarm calls is expensive and so other key problems to be addressed are how to minimise false alarm calls </w:t>
      </w:r>
      <w:r w:rsidR="00E86066" w:rsidRPr="00503F5B">
        <w:rPr>
          <w:rFonts w:cs="Arial"/>
        </w:rPr>
        <w:t xml:space="preserve">that </w:t>
      </w:r>
      <w:r w:rsidRPr="00503F5B">
        <w:rPr>
          <w:rFonts w:cs="Arial"/>
        </w:rPr>
        <w:t xml:space="preserve">lead to an inefficient use of </w:t>
      </w:r>
      <w:r w:rsidR="00E86066" w:rsidRPr="00503F5B">
        <w:rPr>
          <w:rFonts w:cs="Arial"/>
        </w:rPr>
        <w:t xml:space="preserve">FRV </w:t>
      </w:r>
      <w:r w:rsidRPr="00503F5B">
        <w:rPr>
          <w:rFonts w:cs="Arial"/>
        </w:rPr>
        <w:t>resources; complacency in the event of real emergencies; increased risk of accident and injury to firefighters and the general public as firefighters will attend under sirens and lights; and reduced response times to real emergencies due to diversions to attend false alarms.</w:t>
      </w:r>
      <w:r w:rsidRPr="00503F5B">
        <w:t xml:space="preserve"> </w:t>
      </w:r>
      <w:r w:rsidR="00E86066" w:rsidRPr="00503F5B">
        <w:t xml:space="preserve"> </w:t>
      </w:r>
    </w:p>
    <w:p w14:paraId="01F6BB0E" w14:textId="77777777" w:rsidR="00E86066" w:rsidRPr="00503F5B" w:rsidRDefault="00E86066" w:rsidP="00491000">
      <w:pPr>
        <w:jc w:val="both"/>
      </w:pPr>
    </w:p>
    <w:p w14:paraId="7A049347" w14:textId="747EC1CB" w:rsidR="00491000" w:rsidRPr="006250D0" w:rsidRDefault="00E86066" w:rsidP="006250D0">
      <w:pPr>
        <w:rPr>
          <w:rFonts w:eastAsiaTheme="minorHAnsi" w:cs="Calibri"/>
          <w:color w:val="auto"/>
        </w:rPr>
      </w:pPr>
      <w:bookmarkStart w:id="5" w:name="_Hlk39495889"/>
      <w:r w:rsidRPr="00503F5B">
        <w:t xml:space="preserve">At the same time there is the challenge of mitigating circumvention of alarm </w:t>
      </w:r>
      <w:r w:rsidR="00007F32" w:rsidRPr="00503F5B">
        <w:t>signalling</w:t>
      </w:r>
      <w:r w:rsidRPr="00503F5B">
        <w:t xml:space="preserve"> equipment (ASE)</w:t>
      </w:r>
      <w:r w:rsidR="00EA0189" w:rsidRPr="00503F5B">
        <w:t xml:space="preserve"> to reduce the potential risk of a real fire in terms of delayed responses. </w:t>
      </w:r>
      <w:r w:rsidR="006250D0">
        <w:t xml:space="preserve">Data analysis and audits undertaken by MFB, along with anecdotal feedback from operational staff, demonstrates that there is already a proportion of incorrectly wired ASEs in the community, although this has reduced following increased compliance efforts by MFB in recent times. </w:t>
      </w:r>
    </w:p>
    <w:bookmarkEnd w:id="5"/>
    <w:p w14:paraId="4C109912" w14:textId="77777777" w:rsidR="00491000" w:rsidRPr="00503F5B" w:rsidRDefault="00491000" w:rsidP="00491000">
      <w:pPr>
        <w:rPr>
          <w:rFonts w:cs="Arial"/>
          <w:b/>
        </w:rPr>
      </w:pPr>
    </w:p>
    <w:p w14:paraId="33CD2C8B" w14:textId="77777777" w:rsidR="00491000" w:rsidRPr="00503F5B" w:rsidRDefault="00491000" w:rsidP="00491000">
      <w:pPr>
        <w:rPr>
          <w:rFonts w:cs="Arial"/>
          <w:b/>
          <w:color w:val="BE2A18"/>
        </w:rPr>
      </w:pPr>
      <w:r w:rsidRPr="00503F5B">
        <w:rPr>
          <w:rFonts w:cs="Arial"/>
          <w:b/>
          <w:color w:val="BE2A18"/>
        </w:rPr>
        <w:t>Options considered in this RIS</w:t>
      </w:r>
    </w:p>
    <w:p w14:paraId="6132A4A4" w14:textId="77777777" w:rsidR="00491000" w:rsidRPr="00503F5B" w:rsidRDefault="00491000" w:rsidP="00491000">
      <w:pPr>
        <w:rPr>
          <w:rFonts w:cs="Arial"/>
          <w:b/>
        </w:rPr>
      </w:pPr>
    </w:p>
    <w:p w14:paraId="6EE300BE" w14:textId="36A1EA5E" w:rsidR="00491000" w:rsidRPr="00503F5B" w:rsidRDefault="00491000" w:rsidP="00491000">
      <w:pPr>
        <w:jc w:val="both"/>
        <w:rPr>
          <w:rFonts w:cs="Arial"/>
        </w:rPr>
      </w:pPr>
      <w:r w:rsidRPr="00503F5B">
        <w:t xml:space="preserve">The options presented in this RIS focus on alternative fee structures for emergency attendances </w:t>
      </w:r>
      <w:r w:rsidR="00EA0189" w:rsidRPr="00503F5B">
        <w:t>for false alarms under proposed regulation 1</w:t>
      </w:r>
      <w:r w:rsidR="00EA38F8" w:rsidRPr="00503F5B">
        <w:t>7</w:t>
      </w:r>
      <w:r w:rsidR="00EA0189" w:rsidRPr="00503F5B">
        <w:t xml:space="preserve">(1)(a) </w:t>
      </w:r>
      <w:r w:rsidRPr="00503F5B">
        <w:t xml:space="preserve">and are limited to </w:t>
      </w:r>
      <w:r w:rsidRPr="00503F5B">
        <w:rPr>
          <w:rFonts w:cs="Arial"/>
        </w:rPr>
        <w:t>different levels of cost recovery of fees including full or partial cost recovery</w:t>
      </w:r>
      <w:r w:rsidR="00EA0189" w:rsidRPr="00503F5B">
        <w:rPr>
          <w:rFonts w:cs="Arial"/>
        </w:rPr>
        <w:t>, with and without maximum fees or fixed fees</w:t>
      </w:r>
      <w:r w:rsidRPr="00503F5B">
        <w:rPr>
          <w:rFonts w:cs="Arial"/>
        </w:rPr>
        <w:t>.  Consequently, the options to be considered as part of the cost benefit evaluation in this RIS include the following:</w:t>
      </w:r>
    </w:p>
    <w:p w14:paraId="15A058B6" w14:textId="77777777" w:rsidR="00491000" w:rsidRPr="00503F5B" w:rsidRDefault="00491000" w:rsidP="00491000">
      <w:pPr>
        <w:rPr>
          <w:rFonts w:cs="Arial"/>
        </w:rPr>
      </w:pPr>
    </w:p>
    <w:p w14:paraId="4377EFF2" w14:textId="61EAEEDF" w:rsidR="00491000" w:rsidRPr="00503F5B" w:rsidRDefault="00491000" w:rsidP="00491000">
      <w:pPr>
        <w:numPr>
          <w:ilvl w:val="0"/>
          <w:numId w:val="38"/>
        </w:numPr>
        <w:ind w:left="426" w:hanging="426"/>
        <w:rPr>
          <w:rFonts w:cs="Arial"/>
        </w:rPr>
      </w:pPr>
      <w:r w:rsidRPr="00503F5B">
        <w:rPr>
          <w:b/>
          <w:i/>
        </w:rPr>
        <w:t>Option 1:</w:t>
      </w:r>
      <w:r w:rsidRPr="00503F5B">
        <w:t xml:space="preserve"> Full cost recovery fees set per appliance, </w:t>
      </w:r>
      <w:r w:rsidR="00EA0189" w:rsidRPr="00503F5B">
        <w:t xml:space="preserve">of $2510 </w:t>
      </w:r>
      <w:r w:rsidRPr="00503F5B">
        <w:t>per 15 minutes or part thereof basis for false alarm attendances deemed not to have a ‘reasonable excuse’.</w:t>
      </w:r>
    </w:p>
    <w:p w14:paraId="6B3CE8BC" w14:textId="77777777" w:rsidR="00491000" w:rsidRPr="00503F5B" w:rsidRDefault="00491000" w:rsidP="00491000">
      <w:pPr>
        <w:ind w:left="426" w:hanging="426"/>
        <w:rPr>
          <w:rFonts w:cs="Arial"/>
        </w:rPr>
      </w:pPr>
    </w:p>
    <w:p w14:paraId="1AB95BA0" w14:textId="118E322A" w:rsidR="00491000" w:rsidRPr="00503F5B" w:rsidRDefault="00491000" w:rsidP="00491000">
      <w:pPr>
        <w:pStyle w:val="ListParagraph"/>
        <w:numPr>
          <w:ilvl w:val="0"/>
          <w:numId w:val="38"/>
        </w:numPr>
        <w:ind w:left="426" w:hanging="426"/>
        <w:jc w:val="both"/>
      </w:pPr>
      <w:r w:rsidRPr="00503F5B">
        <w:rPr>
          <w:b/>
          <w:i/>
        </w:rPr>
        <w:t>Option 2:</w:t>
      </w:r>
      <w:r w:rsidRPr="00503F5B">
        <w:t xml:space="preserve"> Partial cost recovery fees set per appliance, </w:t>
      </w:r>
      <w:r w:rsidR="00EA0189" w:rsidRPr="00503F5B">
        <w:t>of $</w:t>
      </w:r>
      <w:r w:rsidR="00EA746E" w:rsidRPr="00503F5B">
        <w:t>578</w:t>
      </w:r>
      <w:r w:rsidR="00EA0189" w:rsidRPr="00503F5B">
        <w:t xml:space="preserve"> </w:t>
      </w:r>
      <w:r w:rsidRPr="00503F5B">
        <w:t>per 15 minutes or part thereof basis for false alarm attendances deemed not to have a ‘reasonable excuse’</w:t>
      </w:r>
      <w:r w:rsidR="00EA0189" w:rsidRPr="00503F5B">
        <w:t xml:space="preserve"> </w:t>
      </w:r>
      <w:r w:rsidRPr="00503F5B">
        <w:t>–</w:t>
      </w:r>
      <w:r w:rsidR="00EA746E" w:rsidRPr="00503F5B">
        <w:rPr>
          <w:b/>
          <w:bCs/>
          <w:i/>
          <w:iCs/>
        </w:rPr>
        <w:t>the proposed regulation</w:t>
      </w:r>
    </w:p>
    <w:p w14:paraId="23ECD7A4" w14:textId="77777777" w:rsidR="00EA0189" w:rsidRPr="00503F5B" w:rsidRDefault="00EA0189" w:rsidP="009917B8">
      <w:pPr>
        <w:pStyle w:val="ListParagraph"/>
        <w:ind w:left="426"/>
        <w:jc w:val="both"/>
      </w:pPr>
    </w:p>
    <w:p w14:paraId="5B00C47B" w14:textId="43F670EB" w:rsidR="00EA0189" w:rsidRPr="00503F5B" w:rsidRDefault="00EA0189" w:rsidP="00EA0189">
      <w:pPr>
        <w:pStyle w:val="ListParagraph"/>
        <w:numPr>
          <w:ilvl w:val="0"/>
          <w:numId w:val="38"/>
        </w:numPr>
        <w:ind w:left="426" w:hanging="426"/>
        <w:jc w:val="both"/>
      </w:pPr>
      <w:r w:rsidRPr="00503F5B">
        <w:rPr>
          <w:b/>
          <w:i/>
        </w:rPr>
        <w:t>Option 3:</w:t>
      </w:r>
      <w:r w:rsidRPr="00503F5B">
        <w:t xml:space="preserve"> Partial cost recovery fees set per appliance, of $311 per 15 minutes or part thereof basis for false alarm attendances deemed not to have a ‘reasonable excuse’ with a maximum attendance fee of $1,600</w:t>
      </w:r>
      <w:r w:rsidR="00EA746E" w:rsidRPr="00503F5B">
        <w:t>.</w:t>
      </w:r>
    </w:p>
    <w:p w14:paraId="0353D3E0" w14:textId="77777777" w:rsidR="00EA0189" w:rsidRPr="00503F5B" w:rsidRDefault="00EA0189" w:rsidP="009917B8">
      <w:pPr>
        <w:jc w:val="both"/>
      </w:pPr>
    </w:p>
    <w:p w14:paraId="24A5118C" w14:textId="352C348A" w:rsidR="00491000" w:rsidRPr="00503F5B" w:rsidRDefault="00491000" w:rsidP="00491000">
      <w:pPr>
        <w:pStyle w:val="ListParagraph"/>
        <w:numPr>
          <w:ilvl w:val="0"/>
          <w:numId w:val="38"/>
        </w:numPr>
        <w:ind w:left="426" w:hanging="426"/>
        <w:jc w:val="both"/>
      </w:pPr>
      <w:r w:rsidRPr="00503F5B">
        <w:rPr>
          <w:b/>
          <w:i/>
        </w:rPr>
        <w:t xml:space="preserve">Option </w:t>
      </w:r>
      <w:r w:rsidR="001443EE" w:rsidRPr="00503F5B">
        <w:rPr>
          <w:b/>
          <w:i/>
        </w:rPr>
        <w:t>4</w:t>
      </w:r>
      <w:r w:rsidRPr="00503F5B">
        <w:rPr>
          <w:b/>
          <w:i/>
        </w:rPr>
        <w:t>:</w:t>
      </w:r>
      <w:r w:rsidRPr="00503F5B">
        <w:t xml:space="preserve"> Partial cost recovery </w:t>
      </w:r>
      <w:r w:rsidRPr="00503F5B">
        <w:rPr>
          <w:i/>
        </w:rPr>
        <w:t>fixed fees</w:t>
      </w:r>
      <w:r w:rsidRPr="00503F5B">
        <w:t xml:space="preserve"> </w:t>
      </w:r>
      <w:r w:rsidR="00EA0189" w:rsidRPr="00503F5B">
        <w:t xml:space="preserve">of $1,600 </w:t>
      </w:r>
      <w:r w:rsidRPr="00503F5B">
        <w:t xml:space="preserve">per attendance for false alarm attendances deemed not to have a ‘reasonable excuse’. </w:t>
      </w:r>
    </w:p>
    <w:p w14:paraId="6B9EE8AC" w14:textId="77777777" w:rsidR="00491000" w:rsidRPr="00503F5B" w:rsidRDefault="00491000" w:rsidP="00491000">
      <w:pPr>
        <w:rPr>
          <w:rFonts w:cs="Arial"/>
          <w:b/>
        </w:rPr>
      </w:pPr>
    </w:p>
    <w:p w14:paraId="2FBB1823" w14:textId="517112E3" w:rsidR="00EA0189" w:rsidRPr="00503F5B" w:rsidRDefault="00491000" w:rsidP="00EA0189">
      <w:pPr>
        <w:jc w:val="both"/>
      </w:pPr>
      <w:r w:rsidRPr="00503F5B">
        <w:rPr>
          <w:rFonts w:cs="Arial"/>
        </w:rPr>
        <w:t xml:space="preserve">Option 1 is the best option in terms of efficiency and equity objectives as set out in the Guidelines and achieves the highest weighted score under various weighting scenarios.  However, </w:t>
      </w:r>
      <w:r w:rsidRPr="00503F5B">
        <w:rPr>
          <w:rFonts w:cs="Arial"/>
          <w:i/>
        </w:rPr>
        <w:t xml:space="preserve">Option </w:t>
      </w:r>
      <w:r w:rsidR="00EA746E" w:rsidRPr="00503F5B">
        <w:rPr>
          <w:rFonts w:cs="Arial"/>
          <w:i/>
        </w:rPr>
        <w:t>2</w:t>
      </w:r>
      <w:r w:rsidRPr="00503F5B">
        <w:rPr>
          <w:rFonts w:cs="Arial"/>
          <w:i/>
        </w:rPr>
        <w:t xml:space="preserve"> is </w:t>
      </w:r>
      <w:r w:rsidR="001443EE" w:rsidRPr="00503F5B">
        <w:rPr>
          <w:rFonts w:cs="Arial"/>
          <w:i/>
        </w:rPr>
        <w:t xml:space="preserve">conservatively selected as </w:t>
      </w:r>
      <w:r w:rsidRPr="00503F5B">
        <w:rPr>
          <w:rFonts w:cs="Arial"/>
          <w:i/>
        </w:rPr>
        <w:t>the preferred option</w:t>
      </w:r>
      <w:r w:rsidRPr="00503F5B">
        <w:rPr>
          <w:rFonts w:cs="Arial"/>
          <w:b/>
        </w:rPr>
        <w:t xml:space="preserve"> </w:t>
      </w:r>
      <w:r w:rsidRPr="00503F5B">
        <w:rPr>
          <w:rFonts w:cs="Arial"/>
        </w:rPr>
        <w:t xml:space="preserve">as it best addresses </w:t>
      </w:r>
      <w:r w:rsidR="008E1F0B" w:rsidRPr="00503F5B">
        <w:rPr>
          <w:rFonts w:cs="Arial"/>
        </w:rPr>
        <w:t xml:space="preserve">the public safety imperative served by balancing incentivisation for the proactive maintenance </w:t>
      </w:r>
      <w:r w:rsidR="008E1F0B" w:rsidRPr="00503F5B">
        <w:rPr>
          <w:rFonts w:cs="Arial"/>
        </w:rPr>
        <w:lastRenderedPageBreak/>
        <w:t xml:space="preserve">of alarm systems with potential concerns that setting fees too high may increase </w:t>
      </w:r>
      <w:r w:rsidR="00401869" w:rsidRPr="00503F5B">
        <w:rPr>
          <w:rFonts w:cs="Arial"/>
        </w:rPr>
        <w:t xml:space="preserve">concerns around effectiveness </w:t>
      </w:r>
      <w:r w:rsidR="00135C36" w:rsidRPr="00503F5B">
        <w:rPr>
          <w:rFonts w:cs="Arial"/>
        </w:rPr>
        <w:t xml:space="preserve">particularly </w:t>
      </w:r>
      <w:r w:rsidR="00401869" w:rsidRPr="00503F5B">
        <w:rPr>
          <w:rFonts w:cs="Arial"/>
        </w:rPr>
        <w:t xml:space="preserve">as they relate to </w:t>
      </w:r>
      <w:r w:rsidRPr="00503F5B">
        <w:t>the risk of circumvention activities</w:t>
      </w:r>
      <w:r w:rsidR="008E1F0B" w:rsidRPr="00503F5B">
        <w:t xml:space="preserve"> (with potentially serious impacts including injury and death, property and productivity loss)</w:t>
      </w:r>
      <w:r w:rsidRPr="00503F5B">
        <w:t xml:space="preserve">.  </w:t>
      </w:r>
      <w:r w:rsidR="001443EE" w:rsidRPr="00503F5B">
        <w:t xml:space="preserve">Specifically, Option </w:t>
      </w:r>
      <w:r w:rsidR="00EA746E" w:rsidRPr="00503F5B">
        <w:t>2</w:t>
      </w:r>
      <w:r w:rsidR="001443EE" w:rsidRPr="00503F5B">
        <w:t xml:space="preserve"> is chosen as the preferred option given</w:t>
      </w:r>
      <w:r w:rsidR="00EA0189" w:rsidRPr="00503F5B">
        <w:t xml:space="preserve">: </w:t>
      </w:r>
    </w:p>
    <w:p w14:paraId="3799BB5A" w14:textId="77777777" w:rsidR="00EA0189" w:rsidRPr="00503F5B" w:rsidRDefault="00EA0189" w:rsidP="00EA0189">
      <w:pPr>
        <w:jc w:val="both"/>
      </w:pPr>
    </w:p>
    <w:p w14:paraId="52800392" w14:textId="79EE69B9" w:rsidR="00391405" w:rsidRPr="00503F5B" w:rsidRDefault="00391405" w:rsidP="00391405">
      <w:pPr>
        <w:pStyle w:val="ListParagraph"/>
        <w:numPr>
          <w:ilvl w:val="0"/>
          <w:numId w:val="39"/>
        </w:numPr>
        <w:jc w:val="both"/>
      </w:pPr>
      <w:r w:rsidRPr="00503F5B">
        <w:t xml:space="preserve">the unknown but potentially serious nature of unintended consequences and lack of data over the threshold fee driving circumvention activities </w:t>
      </w:r>
      <w:r w:rsidR="00135C36" w:rsidRPr="00503F5B">
        <w:t>(</w:t>
      </w:r>
      <w:r w:rsidRPr="00503F5B">
        <w:t>and</w:t>
      </w:r>
      <w:r w:rsidR="00135C36" w:rsidRPr="00503F5B">
        <w:t>, while less serious, the potential for</w:t>
      </w:r>
      <w:r w:rsidRPr="00503F5B">
        <w:t xml:space="preserve"> increased </w:t>
      </w:r>
      <w:r w:rsidR="008E1F0B" w:rsidRPr="00503F5B">
        <w:t xml:space="preserve">unmeritorious </w:t>
      </w:r>
      <w:r w:rsidRPr="00503F5B">
        <w:t>VCAT challenges</w:t>
      </w:r>
      <w:r w:rsidR="00135C36" w:rsidRPr="00503F5B">
        <w:t>)</w:t>
      </w:r>
      <w:r w:rsidRPr="00503F5B">
        <w:t xml:space="preserve">; </w:t>
      </w:r>
    </w:p>
    <w:p w14:paraId="1415DC39" w14:textId="1E9533DA" w:rsidR="00391405" w:rsidRPr="00503F5B" w:rsidRDefault="00391405" w:rsidP="00391405">
      <w:pPr>
        <w:pStyle w:val="ListParagraph"/>
        <w:numPr>
          <w:ilvl w:val="0"/>
          <w:numId w:val="39"/>
        </w:numPr>
        <w:jc w:val="both"/>
      </w:pPr>
      <w:r w:rsidRPr="00503F5B">
        <w:t xml:space="preserve">the uncertainty around the weighting given to unintended consequences (the effectiveness criteria); </w:t>
      </w:r>
    </w:p>
    <w:p w14:paraId="25AE2491" w14:textId="5C0EC43E" w:rsidR="00391405" w:rsidRDefault="00391405" w:rsidP="00391405">
      <w:pPr>
        <w:pStyle w:val="ListParagraph"/>
        <w:numPr>
          <w:ilvl w:val="0"/>
          <w:numId w:val="39"/>
        </w:numPr>
        <w:jc w:val="both"/>
      </w:pPr>
      <w:r w:rsidRPr="00503F5B">
        <w:t xml:space="preserve">the desire to avoid the ‘risk’ of such consequences and consideration of alternative mechanisms for addressing </w:t>
      </w:r>
      <w:r w:rsidR="00135C36" w:rsidRPr="00503F5B">
        <w:t xml:space="preserve">circumvention </w:t>
      </w:r>
      <w:r w:rsidRPr="00503F5B">
        <w:t xml:space="preserve">as there is no real assurance that reducing fees will </w:t>
      </w:r>
      <w:proofErr w:type="gramStart"/>
      <w:r w:rsidRPr="00503F5B">
        <w:t>actually</w:t>
      </w:r>
      <w:r w:rsidR="00135C36" w:rsidRPr="00503F5B">
        <w:t xml:space="preserve"> reduce</w:t>
      </w:r>
      <w:proofErr w:type="gramEnd"/>
      <w:r w:rsidR="00135C36" w:rsidRPr="00503F5B">
        <w:t xml:space="preserve"> this behaviour</w:t>
      </w:r>
      <w:r w:rsidR="00293923">
        <w:t>;</w:t>
      </w:r>
    </w:p>
    <w:p w14:paraId="3D8B6DA4" w14:textId="450CD7C7" w:rsidR="00293923" w:rsidRDefault="00293923" w:rsidP="00391405">
      <w:pPr>
        <w:pStyle w:val="ListParagraph"/>
        <w:numPr>
          <w:ilvl w:val="0"/>
          <w:numId w:val="39"/>
        </w:numPr>
        <w:jc w:val="both"/>
      </w:pPr>
      <w:r>
        <w:t>the proven effect in incentivising proactive steps to maintain and manage alarm systems; and</w:t>
      </w:r>
    </w:p>
    <w:p w14:paraId="18BEC0FE" w14:textId="35FBAA27" w:rsidR="00293923" w:rsidRPr="00503F5B" w:rsidRDefault="00293923" w:rsidP="00391405">
      <w:pPr>
        <w:pStyle w:val="ListParagraph"/>
        <w:numPr>
          <w:ilvl w:val="0"/>
          <w:numId w:val="39"/>
        </w:numPr>
        <w:jc w:val="both"/>
      </w:pPr>
      <w:r>
        <w:t xml:space="preserve">reduction from full cost recovery is defensible from an equity point of view given that property owners already </w:t>
      </w:r>
      <w:proofErr w:type="gramStart"/>
      <w:r>
        <w:t>make a contribution</w:t>
      </w:r>
      <w:proofErr w:type="gramEnd"/>
      <w:r>
        <w:t xml:space="preserve"> to the cost of fire services through the Fire Services Property Levy (FSPL).</w:t>
      </w:r>
    </w:p>
    <w:p w14:paraId="3CC29F34" w14:textId="77777777" w:rsidR="00EA0189" w:rsidRPr="00503F5B" w:rsidRDefault="00EA0189" w:rsidP="00EA0189">
      <w:pPr>
        <w:jc w:val="both"/>
      </w:pPr>
    </w:p>
    <w:p w14:paraId="26947860" w14:textId="7EF5933B" w:rsidR="00491000" w:rsidRPr="00503F5B" w:rsidRDefault="00EA746E" w:rsidP="00491000">
      <w:pPr>
        <w:jc w:val="both"/>
      </w:pPr>
      <w:bookmarkStart w:id="6" w:name="_Hlk39669832"/>
      <w:r w:rsidRPr="00503F5B">
        <w:t xml:space="preserve">Option 2 maintains the current share in the contribution of taxpayer funding </w:t>
      </w:r>
      <w:r w:rsidR="004E2A5F" w:rsidRPr="00503F5B">
        <w:t>(</w:t>
      </w:r>
      <w:r w:rsidR="00451C92">
        <w:t xml:space="preserve">largely </w:t>
      </w:r>
      <w:r w:rsidR="004E2A5F" w:rsidRPr="00503F5B">
        <w:t xml:space="preserve">through the </w:t>
      </w:r>
      <w:r w:rsidR="00293923">
        <w:t>FSPL</w:t>
      </w:r>
      <w:r w:rsidR="004E2A5F" w:rsidRPr="00503F5B">
        <w:t xml:space="preserve">) </w:t>
      </w:r>
      <w:r w:rsidRPr="00503F5B">
        <w:t>with regards to FRV emergency attendances to false alarms where no reasonable excuse has been provided</w:t>
      </w:r>
      <w:r w:rsidR="00391405" w:rsidRPr="00503F5B">
        <w:t>.</w:t>
      </w:r>
      <w:r w:rsidRPr="00503F5B">
        <w:t xml:space="preserve"> </w:t>
      </w:r>
      <w:r w:rsidR="00391405" w:rsidRPr="00503F5B">
        <w:t>I</w:t>
      </w:r>
      <w:r w:rsidR="00491000" w:rsidRPr="00503F5B">
        <w:t>n present value dollars</w:t>
      </w:r>
      <w:r w:rsidR="00391405" w:rsidRPr="00503F5B">
        <w:t>,</w:t>
      </w:r>
      <w:r w:rsidR="00491000" w:rsidRPr="00503F5B">
        <w:t xml:space="preserve"> over the 10-year life of these regulations</w:t>
      </w:r>
      <w:r w:rsidR="00391405" w:rsidRPr="00503F5B">
        <w:t>,</w:t>
      </w:r>
      <w:r w:rsidR="00491000" w:rsidRPr="00503F5B">
        <w:t xml:space="preserve"> the cost of false alarm attendances (without reasonable excuse) </w:t>
      </w:r>
      <w:r w:rsidR="00391405" w:rsidRPr="00503F5B">
        <w:t xml:space="preserve">of </w:t>
      </w:r>
      <w:r w:rsidR="00491000" w:rsidRPr="00503F5B">
        <w:t>around $</w:t>
      </w:r>
      <w:r w:rsidR="001443EE" w:rsidRPr="00503F5B">
        <w:t>510</w:t>
      </w:r>
      <w:r w:rsidR="00491000" w:rsidRPr="00503F5B">
        <w:t>.5</w:t>
      </w:r>
      <w:r w:rsidR="001443EE" w:rsidRPr="00503F5B">
        <w:t>4</w:t>
      </w:r>
      <w:r w:rsidR="00491000" w:rsidRPr="00503F5B">
        <w:t xml:space="preserve"> million will be paid in part by fees paid by owners of alarm systems (who will pay around $</w:t>
      </w:r>
      <w:r w:rsidR="00391405" w:rsidRPr="00503F5B">
        <w:t>1</w:t>
      </w:r>
      <w:r w:rsidR="003F1B2D">
        <w:t>21.4</w:t>
      </w:r>
      <w:r w:rsidR="00491000" w:rsidRPr="00503F5B">
        <w:t xml:space="preserve"> million), and in part by funding from general revenue (around $</w:t>
      </w:r>
      <w:r w:rsidR="00391405" w:rsidRPr="00503F5B">
        <w:t>3</w:t>
      </w:r>
      <w:r w:rsidR="003F1B2D">
        <w:t>89.14</w:t>
      </w:r>
      <w:r w:rsidR="00491000" w:rsidRPr="00503F5B">
        <w:t xml:space="preserve"> million).</w:t>
      </w:r>
    </w:p>
    <w:bookmarkEnd w:id="6"/>
    <w:p w14:paraId="28DAB997" w14:textId="7ABCCF03" w:rsidR="00491000" w:rsidRPr="00503F5B" w:rsidRDefault="00491000" w:rsidP="00491000">
      <w:pPr>
        <w:jc w:val="both"/>
      </w:pPr>
    </w:p>
    <w:p w14:paraId="6A0EB0F7" w14:textId="77777777" w:rsidR="00491000" w:rsidRPr="00503F5B" w:rsidRDefault="00491000" w:rsidP="00491000">
      <w:pPr>
        <w:rPr>
          <w:rFonts w:cs="Arial"/>
          <w:b/>
          <w:color w:val="BE2A18"/>
        </w:rPr>
      </w:pPr>
      <w:r w:rsidRPr="00503F5B">
        <w:rPr>
          <w:rFonts w:cs="Arial"/>
          <w:b/>
          <w:color w:val="BE2A18"/>
        </w:rPr>
        <w:t>Effects on small business and competition</w:t>
      </w:r>
    </w:p>
    <w:p w14:paraId="50A7EF23" w14:textId="77777777" w:rsidR="00491000" w:rsidRPr="00503F5B" w:rsidRDefault="00491000" w:rsidP="00491000">
      <w:pPr>
        <w:rPr>
          <w:rFonts w:cs="Arial"/>
          <w:b/>
        </w:rPr>
      </w:pPr>
    </w:p>
    <w:p w14:paraId="558DF1C6" w14:textId="7E56AEDB" w:rsidR="00491000" w:rsidRPr="00503F5B" w:rsidRDefault="00491000" w:rsidP="00491000">
      <w:pPr>
        <w:pStyle w:val="BodyText2"/>
        <w:rPr>
          <w:rFonts w:ascii="Calibri" w:hAnsi="Calibri"/>
          <w:sz w:val="22"/>
          <w:szCs w:val="22"/>
        </w:rPr>
      </w:pPr>
      <w:r w:rsidRPr="00503F5B">
        <w:rPr>
          <w:rFonts w:ascii="Calibri" w:hAnsi="Calibri"/>
          <w:sz w:val="22"/>
          <w:szCs w:val="22"/>
        </w:rPr>
        <w:t>With respect to smaller businesses, such as neighbo</w:t>
      </w:r>
      <w:r w:rsidR="00293923">
        <w:rPr>
          <w:rFonts w:ascii="Calibri" w:hAnsi="Calibri"/>
          <w:sz w:val="22"/>
          <w:szCs w:val="22"/>
        </w:rPr>
        <w:t>u</w:t>
      </w:r>
      <w:r w:rsidRPr="00503F5B">
        <w:rPr>
          <w:rFonts w:ascii="Calibri" w:hAnsi="Calibri"/>
          <w:sz w:val="22"/>
          <w:szCs w:val="22"/>
        </w:rPr>
        <w:t>rhood shops, the average annual cost of false alarm charges of around $</w:t>
      </w:r>
      <w:r w:rsidR="00EA746E" w:rsidRPr="00503F5B">
        <w:rPr>
          <w:rFonts w:ascii="Calibri" w:hAnsi="Calibri"/>
          <w:sz w:val="22"/>
          <w:szCs w:val="22"/>
        </w:rPr>
        <w:t>4</w:t>
      </w:r>
      <w:r w:rsidRPr="00503F5B">
        <w:rPr>
          <w:rFonts w:ascii="Calibri" w:hAnsi="Calibri"/>
          <w:sz w:val="22"/>
          <w:szCs w:val="22"/>
        </w:rPr>
        <w:t>,</w:t>
      </w:r>
      <w:r w:rsidR="00EA746E" w:rsidRPr="00503F5B">
        <w:rPr>
          <w:rFonts w:ascii="Calibri" w:hAnsi="Calibri"/>
          <w:sz w:val="22"/>
          <w:szCs w:val="22"/>
        </w:rPr>
        <w:t>168</w:t>
      </w:r>
      <w:r w:rsidRPr="00503F5B">
        <w:rPr>
          <w:rFonts w:ascii="Calibri" w:hAnsi="Calibri"/>
          <w:sz w:val="22"/>
          <w:szCs w:val="22"/>
        </w:rPr>
        <w:t xml:space="preserve"> per ASE is unlikely to represent more than </w:t>
      </w:r>
      <w:r w:rsidR="00EA746E" w:rsidRPr="00503F5B">
        <w:rPr>
          <w:rFonts w:ascii="Calibri" w:hAnsi="Calibri"/>
          <w:sz w:val="22"/>
          <w:szCs w:val="22"/>
        </w:rPr>
        <w:t>1</w:t>
      </w:r>
      <w:r w:rsidRPr="00503F5B">
        <w:rPr>
          <w:rFonts w:ascii="Calibri" w:hAnsi="Calibri"/>
          <w:sz w:val="22"/>
          <w:szCs w:val="22"/>
        </w:rPr>
        <w:t>.</w:t>
      </w:r>
      <w:r w:rsidR="00EA746E" w:rsidRPr="00503F5B">
        <w:rPr>
          <w:rFonts w:ascii="Calibri" w:hAnsi="Calibri"/>
          <w:sz w:val="22"/>
          <w:szCs w:val="22"/>
        </w:rPr>
        <w:t>4</w:t>
      </w:r>
      <w:r w:rsidRPr="00503F5B">
        <w:rPr>
          <w:rFonts w:ascii="Calibri" w:hAnsi="Calibri"/>
          <w:sz w:val="22"/>
          <w:szCs w:val="22"/>
        </w:rPr>
        <w:t xml:space="preserve">% of typical revenues of at least $0.3 million per annum. In this context, a one-off false alarm charge is likely to be absorbed by any small business and is unlikely to represent a significant proportion of their annual business costs. In many instances, if the site in question can prove that they will make improvements to their system or put better procedures in place to reduce the likelihood of future false alarms occurring at their premises, </w:t>
      </w:r>
      <w:r w:rsidR="0027073D" w:rsidRPr="00503F5B">
        <w:rPr>
          <w:rFonts w:ascii="Calibri" w:hAnsi="Calibri"/>
          <w:sz w:val="22"/>
          <w:szCs w:val="22"/>
        </w:rPr>
        <w:t xml:space="preserve">FRV </w:t>
      </w:r>
      <w:r w:rsidRPr="00503F5B">
        <w:rPr>
          <w:rFonts w:ascii="Calibri" w:hAnsi="Calibri"/>
          <w:sz w:val="22"/>
          <w:szCs w:val="22"/>
        </w:rPr>
        <w:t xml:space="preserve">will </w:t>
      </w:r>
      <w:r w:rsidR="0027073D" w:rsidRPr="00503F5B">
        <w:rPr>
          <w:rFonts w:ascii="Calibri" w:hAnsi="Calibri"/>
          <w:sz w:val="22"/>
          <w:szCs w:val="22"/>
        </w:rPr>
        <w:t>‘excuse’</w:t>
      </w:r>
      <w:r w:rsidRPr="00503F5B">
        <w:rPr>
          <w:rFonts w:ascii="Calibri" w:hAnsi="Calibri"/>
          <w:sz w:val="22"/>
          <w:szCs w:val="22"/>
        </w:rPr>
        <w:t xml:space="preserve"> the charge and give them the opportunity to use those funds to implement false alarms reduction strategies</w:t>
      </w:r>
      <w:r w:rsidR="004E2A5F" w:rsidRPr="00503F5B">
        <w:rPr>
          <w:rFonts w:ascii="Calibri" w:hAnsi="Calibri"/>
          <w:sz w:val="22"/>
          <w:szCs w:val="22"/>
        </w:rPr>
        <w:t xml:space="preserve"> (see Definition of Terms for Reasonable Excuse)</w:t>
      </w:r>
      <w:r w:rsidRPr="00503F5B">
        <w:rPr>
          <w:rFonts w:ascii="Calibri" w:hAnsi="Calibri"/>
          <w:sz w:val="22"/>
          <w:szCs w:val="22"/>
        </w:rPr>
        <w:t>.</w:t>
      </w:r>
    </w:p>
    <w:p w14:paraId="4276E549" w14:textId="1B57E920" w:rsidR="00CA6EEB" w:rsidRPr="00503F5B" w:rsidRDefault="00CA6EEB" w:rsidP="00491000">
      <w:pPr>
        <w:pStyle w:val="BodyText2"/>
        <w:rPr>
          <w:rFonts w:ascii="Calibri" w:hAnsi="Calibri"/>
          <w:sz w:val="22"/>
          <w:szCs w:val="22"/>
        </w:rPr>
      </w:pPr>
    </w:p>
    <w:p w14:paraId="0EF0AA4B" w14:textId="56895A26" w:rsidR="00491000" w:rsidRPr="00503F5B" w:rsidRDefault="00491000" w:rsidP="00491000">
      <w:pPr>
        <w:jc w:val="both"/>
      </w:pPr>
      <w:r w:rsidRPr="00503F5B">
        <w:t xml:space="preserve">The non-fee regulations are not expected to have any material burden with respect to markets. However, a wide array of markets come under proposed emergency attendance fee in the </w:t>
      </w:r>
      <w:r w:rsidR="00981641" w:rsidRPr="00503F5B">
        <w:t>Fire Rescue Victoria fire</w:t>
      </w:r>
      <w:r w:rsidRPr="00503F5B">
        <w:t xml:space="preserve"> district with businesses that have fire alarm systems.  However, keeping in line with the discussion of impacts on small business, the proposed fee is highly unlikely to have an impact on the number or size of participants in relevant markets, including neighbourhood shops or make it difficult for new firms or individuals to enter the various industries. The proposed emergency attendance</w:t>
      </w:r>
      <w:r w:rsidR="00145BAE" w:rsidRPr="00503F5B">
        <w:t xml:space="preserve"> false alarm</w:t>
      </w:r>
      <w:r w:rsidRPr="00503F5B">
        <w:t xml:space="preserve"> fee is not expected to affect the costs of a business (even small business) sufficiently or in an ongoing way as to create any significant impact on competition including any barriers to entry.  </w:t>
      </w:r>
    </w:p>
    <w:p w14:paraId="41C1C634" w14:textId="77777777" w:rsidR="00491000" w:rsidRPr="00503F5B" w:rsidRDefault="00491000" w:rsidP="00491000">
      <w:pPr>
        <w:jc w:val="both"/>
      </w:pPr>
    </w:p>
    <w:p w14:paraId="514A7F93" w14:textId="21013263" w:rsidR="00CA6EEB" w:rsidRPr="00503F5B" w:rsidRDefault="00CA6EEB" w:rsidP="00CA6EEB">
      <w:pPr>
        <w:jc w:val="both"/>
      </w:pPr>
      <w:r w:rsidRPr="00503F5B">
        <w:t>The proposed regulations are substantively the same as the current requirements.  However, proposed regulation 2</w:t>
      </w:r>
      <w:r w:rsidR="00293923">
        <w:t>1</w:t>
      </w:r>
      <w:r w:rsidRPr="00503F5B">
        <w:t xml:space="preserve"> for fire protection charges</w:t>
      </w:r>
      <w:r w:rsidR="00007F32" w:rsidRPr="00503F5B">
        <w:t xml:space="preserve"> has been incorporated</w:t>
      </w:r>
      <w:r w:rsidRPr="00503F5B">
        <w:t xml:space="preserve"> to align</w:t>
      </w:r>
      <w:r w:rsidR="00007F32" w:rsidRPr="00503F5B">
        <w:t xml:space="preserve"> FRV’s </w:t>
      </w:r>
      <w:r w:rsidR="00007F32" w:rsidRPr="00503F5B">
        <w:lastRenderedPageBreak/>
        <w:t>regulatory framework</w:t>
      </w:r>
      <w:r w:rsidRPr="00503F5B">
        <w:t xml:space="preserve"> with CFA regulation 100 and allow fire protection costs to be set administratively. In keeping with the Residential Tenancies (Caravan Parks and Moveable Dwellings Registration and Standards) Regulations 2010, proposed regulation 2</w:t>
      </w:r>
      <w:r w:rsidR="00293923">
        <w:t>1</w:t>
      </w:r>
      <w:r w:rsidRPr="00503F5B">
        <w:t xml:space="preserve"> will allow for an administrative charge of $148.10</w:t>
      </w:r>
      <w:r w:rsidR="0093326F" w:rsidRPr="00503F5B">
        <w:t xml:space="preserve"> (10 fee units)</w:t>
      </w:r>
      <w:r w:rsidRPr="00503F5B">
        <w:t xml:space="preserve"> for the first hour and $27.03</w:t>
      </w:r>
      <w:r w:rsidR="0093326F" w:rsidRPr="00503F5B">
        <w:t xml:space="preserve"> (2.5 fee units)</w:t>
      </w:r>
      <w:r w:rsidRPr="00503F5B">
        <w:t xml:space="preserve"> for every quarter after thereof (excluding GST) for fire protection services.  The 10-year present value of revenue for fire protection services is estimated to be $8.96 million which is an increase from the 10-year revenue of $4.07 million estimated for the current fee </w:t>
      </w:r>
      <w:r w:rsidR="00451C92">
        <w:t xml:space="preserve">charged by MFB </w:t>
      </w:r>
      <w:r w:rsidRPr="00503F5B">
        <w:t>of $121 plus GST.</w:t>
      </w:r>
    </w:p>
    <w:p w14:paraId="488F5E65" w14:textId="77777777" w:rsidR="00EA746E" w:rsidRPr="00503F5B" w:rsidRDefault="00EA746E" w:rsidP="00CA6EEB">
      <w:pPr>
        <w:jc w:val="both"/>
      </w:pPr>
    </w:p>
    <w:p w14:paraId="7714ACCC" w14:textId="3EE4BF42" w:rsidR="00341B9B" w:rsidRPr="00503F5B" w:rsidRDefault="00341B9B" w:rsidP="00341B9B">
      <w:pPr>
        <w:jc w:val="both"/>
      </w:pPr>
      <w:r w:rsidRPr="00503F5B">
        <w:t>The proposed regulations relating to other emergency attendances including: reg.1</w:t>
      </w:r>
      <w:r w:rsidR="00EA38F8" w:rsidRPr="00503F5B">
        <w:t>7</w:t>
      </w:r>
      <w:r w:rsidRPr="00503F5B">
        <w:t>(1)(b): false reports; reg.1</w:t>
      </w:r>
      <w:r w:rsidR="00EA38F8" w:rsidRPr="00503F5B">
        <w:t>7</w:t>
      </w:r>
      <w:r w:rsidRPr="00503F5B">
        <w:t>(1)(c): fire on a vessel; reg.1</w:t>
      </w:r>
      <w:r w:rsidR="001A6758">
        <w:t>7</w:t>
      </w:r>
      <w:r w:rsidRPr="00503F5B">
        <w:t>(1)(d): hazardous material incident or toxic fire incident; and reg.1</w:t>
      </w:r>
      <w:r w:rsidR="00EA38F8" w:rsidRPr="00503F5B">
        <w:t>7</w:t>
      </w:r>
      <w:r w:rsidRPr="00503F5B">
        <w:t xml:space="preserve">(1)(e): special circumstances, will continue to be prescribed but at existing fee unit levels.  </w:t>
      </w:r>
      <w:r w:rsidR="004E00B0" w:rsidRPr="00503F5B">
        <w:t>A</w:t>
      </w:r>
      <w:r w:rsidRPr="00503F5B">
        <w:t xml:space="preserve">ligning these charges with the </w:t>
      </w:r>
      <w:r w:rsidR="007E6BE1" w:rsidRPr="00503F5B">
        <w:t xml:space="preserve">current </w:t>
      </w:r>
      <w:r w:rsidRPr="00503F5B">
        <w:t>false alarm charges, will send a</w:t>
      </w:r>
      <w:r w:rsidR="007E6BE1" w:rsidRPr="00503F5B">
        <w:t xml:space="preserve">n appropriate </w:t>
      </w:r>
      <w:r w:rsidRPr="00503F5B">
        <w:t>signal to the community with respect to resources committed in response to ‘careless behavio</w:t>
      </w:r>
      <w:r w:rsidR="00EA38F8" w:rsidRPr="00503F5B">
        <w:t>u</w:t>
      </w:r>
      <w:r w:rsidRPr="00503F5B">
        <w:t>r’</w:t>
      </w:r>
      <w:r w:rsidR="00FB338A" w:rsidRPr="00503F5B">
        <w:t xml:space="preserve"> with respect to</w:t>
      </w:r>
      <w:r w:rsidRPr="00503F5B">
        <w:t>:</w:t>
      </w:r>
    </w:p>
    <w:p w14:paraId="0BA9D070" w14:textId="77777777" w:rsidR="00FB338A" w:rsidRPr="00503F5B" w:rsidRDefault="00FB338A" w:rsidP="00341B9B">
      <w:pPr>
        <w:jc w:val="both"/>
      </w:pPr>
    </w:p>
    <w:p w14:paraId="6F35F715" w14:textId="77777777" w:rsidR="00341B9B" w:rsidRPr="00503F5B" w:rsidRDefault="00341B9B" w:rsidP="00341B9B">
      <w:pPr>
        <w:pStyle w:val="ListParagraph"/>
        <w:numPr>
          <w:ilvl w:val="0"/>
          <w:numId w:val="35"/>
        </w:numPr>
        <w:jc w:val="both"/>
      </w:pPr>
      <w:r w:rsidRPr="00503F5B">
        <w:t>giving false reports;</w:t>
      </w:r>
    </w:p>
    <w:p w14:paraId="0454CCE7" w14:textId="77777777" w:rsidR="00341B9B" w:rsidRPr="00503F5B" w:rsidRDefault="00341B9B" w:rsidP="00341B9B">
      <w:pPr>
        <w:pStyle w:val="ListParagraph"/>
        <w:numPr>
          <w:ilvl w:val="0"/>
          <w:numId w:val="35"/>
        </w:numPr>
        <w:jc w:val="both"/>
      </w:pPr>
      <w:r w:rsidRPr="00503F5B">
        <w:t>vessels;</w:t>
      </w:r>
    </w:p>
    <w:p w14:paraId="44457F87" w14:textId="18194C08" w:rsidR="00341B9B" w:rsidRPr="00503F5B" w:rsidRDefault="00341B9B" w:rsidP="00341B9B">
      <w:pPr>
        <w:pStyle w:val="ListParagraph"/>
        <w:numPr>
          <w:ilvl w:val="0"/>
          <w:numId w:val="35"/>
        </w:numPr>
        <w:jc w:val="both"/>
      </w:pPr>
      <w:r w:rsidRPr="00503F5B">
        <w:t>hazardous materials and toxic materials; and</w:t>
      </w:r>
    </w:p>
    <w:p w14:paraId="393A2E11" w14:textId="54D95B31" w:rsidR="00341B9B" w:rsidRPr="00503F5B" w:rsidRDefault="00341B9B" w:rsidP="00341B9B">
      <w:pPr>
        <w:pStyle w:val="ListParagraph"/>
        <w:numPr>
          <w:ilvl w:val="0"/>
          <w:numId w:val="35"/>
        </w:numPr>
        <w:jc w:val="both"/>
      </w:pPr>
      <w:r w:rsidRPr="00503F5B">
        <w:t>special circumstances requiring the protection of life and property.</w:t>
      </w:r>
    </w:p>
    <w:p w14:paraId="1D04F4DC" w14:textId="3C405CD5" w:rsidR="00341B9B" w:rsidRPr="00503F5B" w:rsidRDefault="00341B9B" w:rsidP="00CA6EEB">
      <w:pPr>
        <w:jc w:val="both"/>
      </w:pPr>
    </w:p>
    <w:p w14:paraId="3B5609B1" w14:textId="0DC75E20" w:rsidR="00515656" w:rsidRPr="00503F5B" w:rsidRDefault="00515656" w:rsidP="00515656">
      <w:pPr>
        <w:rPr>
          <w:rFonts w:cs="Arial"/>
          <w:b/>
          <w:color w:val="BE2A18"/>
        </w:rPr>
      </w:pPr>
      <w:r w:rsidRPr="00503F5B">
        <w:rPr>
          <w:rFonts w:cs="Arial"/>
          <w:b/>
          <w:color w:val="BE2A18"/>
        </w:rPr>
        <w:t>Evaluation strategy</w:t>
      </w:r>
    </w:p>
    <w:p w14:paraId="3472BBBB" w14:textId="3098C110" w:rsidR="00515656" w:rsidRPr="00503F5B" w:rsidRDefault="00515656"/>
    <w:p w14:paraId="3630E488" w14:textId="060FD4F5" w:rsidR="00515656" w:rsidRPr="00503F5B" w:rsidRDefault="00515656" w:rsidP="00515656">
      <w:pPr>
        <w:jc w:val="both"/>
      </w:pPr>
      <w:r w:rsidRPr="00503F5B">
        <w:t xml:space="preserve">In order to enhance the efficiency and effectiveness of the regulations in meeting the specified objectives and to ensure that there is </w:t>
      </w:r>
      <w:r w:rsidR="006D5B93" w:rsidRPr="00503F5B">
        <w:t xml:space="preserve">a </w:t>
      </w:r>
      <w:r w:rsidRPr="00503F5B">
        <w:t>robust evidence base for future decision-making</w:t>
      </w:r>
      <w:r w:rsidR="006D5B93" w:rsidRPr="00503F5B">
        <w:t>, the Department of Justice and Community Safety</w:t>
      </w:r>
      <w:r w:rsidRPr="00503F5B">
        <w:t xml:space="preserve"> will undertake a mid-term review to monitor the outcomes of the proposed false alarm charges</w:t>
      </w:r>
      <w:r w:rsidR="00677F3F" w:rsidRPr="00503F5B">
        <w:t xml:space="preserve">. The aim of this mid-term review will be to </w:t>
      </w:r>
      <w:r w:rsidRPr="00503F5B">
        <w:t xml:space="preserve">test whether a </w:t>
      </w:r>
      <w:r w:rsidR="00427196" w:rsidRPr="00503F5B">
        <w:t xml:space="preserve">different </w:t>
      </w:r>
      <w:r w:rsidRPr="00503F5B">
        <w:t>approach is warranted in</w:t>
      </w:r>
      <w:r w:rsidR="00DC0D5C" w:rsidRPr="00503F5B">
        <w:t xml:space="preserve"> the</w:t>
      </w:r>
      <w:r w:rsidRPr="00503F5B">
        <w:t xml:space="preserve"> future</w:t>
      </w:r>
      <w:r w:rsidR="00427196" w:rsidRPr="00503F5B">
        <w:t xml:space="preserve"> to achieve regulatory objectives</w:t>
      </w:r>
      <w:r w:rsidRPr="00503F5B">
        <w:t>.</w:t>
      </w:r>
      <w:r w:rsidRPr="00503F5B">
        <w:rPr>
          <w:rFonts w:cs="Arial"/>
          <w:color w:val="BE2A18"/>
        </w:rPr>
        <w:t xml:space="preserve">  </w:t>
      </w:r>
      <w:r w:rsidRPr="00503F5B">
        <w:t>The focus of the evaluation strategy will be to monitor the number of false alarms and the rate of rewiring/other avoidance measures in relation to a change in the proposed fees to inform a mid-term review of the regulations.</w:t>
      </w:r>
    </w:p>
    <w:p w14:paraId="01EDF4AE" w14:textId="77777777" w:rsidR="00515656" w:rsidRPr="00503F5B" w:rsidRDefault="00515656" w:rsidP="00515656">
      <w:pPr>
        <w:jc w:val="both"/>
      </w:pPr>
    </w:p>
    <w:p w14:paraId="03733C22" w14:textId="24CFD5EB" w:rsidR="00515656" w:rsidRPr="00503F5B" w:rsidRDefault="00515656" w:rsidP="00515656">
      <w:pPr>
        <w:jc w:val="both"/>
      </w:pPr>
      <w:r w:rsidRPr="00503F5B">
        <w:t>Given the substantial cross-subsidisation of alarm owners by the taxpaying community and the fact that the proposed regulation is of high impact, consideration will be given to an appropriate level of primary research that might be undertaken to better understand the relationship between false alarm charges and circumvention and challenge behaviours. Given the scale of the costs of activities undertaken in response to false alarms and the revenue raised from the fees charged for those activities, the Department of Justice and Community Safety will foreshadow a more detailed strategy before commencing this evaluation, and will conclude the evaluation within 3 to 5 years of implementation.</w:t>
      </w:r>
    </w:p>
    <w:p w14:paraId="0E80C718" w14:textId="35A8DCC9" w:rsidR="00611186" w:rsidRPr="00503F5B" w:rsidRDefault="00611186" w:rsidP="00611186">
      <w:pPr>
        <w:jc w:val="both"/>
      </w:pPr>
    </w:p>
    <w:p w14:paraId="41A14B29" w14:textId="77777777" w:rsidR="00391405" w:rsidRPr="00503F5B" w:rsidRDefault="00391405" w:rsidP="00517C6D">
      <w:r w:rsidRPr="00503F5B">
        <w:br w:type="page"/>
      </w:r>
    </w:p>
    <w:p w14:paraId="47DD3D26" w14:textId="793000F2" w:rsidR="00894798" w:rsidRPr="00503F5B" w:rsidRDefault="00894798" w:rsidP="00894798">
      <w:pPr>
        <w:rPr>
          <w:rFonts w:cs="Arial"/>
          <w:b/>
          <w:color w:val="BE2A18"/>
        </w:rPr>
      </w:pPr>
      <w:bookmarkStart w:id="7" w:name="_Hlk39038786"/>
      <w:r w:rsidRPr="00503F5B">
        <w:rPr>
          <w:rFonts w:cs="Arial"/>
          <w:b/>
          <w:color w:val="BE2A18"/>
        </w:rPr>
        <w:lastRenderedPageBreak/>
        <w:t>Estimated total cost of the proposed regulations</w:t>
      </w:r>
    </w:p>
    <w:p w14:paraId="2A2AD294" w14:textId="77777777" w:rsidR="00894798" w:rsidRPr="00503F5B" w:rsidRDefault="00894798" w:rsidP="00611186">
      <w:pPr>
        <w:jc w:val="both"/>
      </w:pPr>
    </w:p>
    <w:p w14:paraId="0AE23000" w14:textId="31EADB2A" w:rsidR="00611186" w:rsidRPr="00503F5B" w:rsidRDefault="00611186" w:rsidP="00611186">
      <w:pPr>
        <w:jc w:val="both"/>
      </w:pPr>
      <w:r w:rsidRPr="00503F5B">
        <w:t>The total cost of the proposed regulations is estimated to be per $1</w:t>
      </w:r>
      <w:r w:rsidR="00391405" w:rsidRPr="00503F5B">
        <w:t>8</w:t>
      </w:r>
      <w:r w:rsidRPr="00503F5B">
        <w:t>.</w:t>
      </w:r>
      <w:r w:rsidR="00391405" w:rsidRPr="00503F5B">
        <w:t>86</w:t>
      </w:r>
      <w:r w:rsidRPr="00503F5B">
        <w:t xml:space="preserve">m per annum or </w:t>
      </w:r>
      <w:r w:rsidRPr="00503F5B">
        <w:rPr>
          <w:i/>
          <w:iCs/>
        </w:rPr>
        <w:t>$1</w:t>
      </w:r>
      <w:r w:rsidR="00391405" w:rsidRPr="00503F5B">
        <w:rPr>
          <w:i/>
          <w:iCs/>
        </w:rPr>
        <w:t>53</w:t>
      </w:r>
      <w:r w:rsidRPr="00503F5B">
        <w:rPr>
          <w:i/>
          <w:iCs/>
        </w:rPr>
        <w:t xml:space="preserve">m </w:t>
      </w:r>
      <w:r w:rsidRPr="00503F5B">
        <w:t>over 10 years in present value dollars.  This includes annual costs of approximately:</w:t>
      </w:r>
    </w:p>
    <w:p w14:paraId="22582A26" w14:textId="77777777" w:rsidR="00611186" w:rsidRPr="00503F5B" w:rsidRDefault="00611186" w:rsidP="00611186">
      <w:pPr>
        <w:jc w:val="both"/>
      </w:pPr>
    </w:p>
    <w:p w14:paraId="2B55A57C" w14:textId="48E6BBAC" w:rsidR="00611186" w:rsidRPr="00503F5B" w:rsidRDefault="00611186" w:rsidP="00611186">
      <w:pPr>
        <w:pStyle w:val="ListParagraph"/>
        <w:numPr>
          <w:ilvl w:val="0"/>
          <w:numId w:val="40"/>
        </w:numPr>
        <w:jc w:val="both"/>
      </w:pPr>
      <w:r w:rsidRPr="00503F5B">
        <w:t xml:space="preserve">$0.15m per annum of non-material </w:t>
      </w:r>
      <w:r w:rsidR="00551975" w:rsidRPr="00503F5B">
        <w:t>administrative</w:t>
      </w:r>
      <w:r w:rsidRPr="00503F5B">
        <w:t xml:space="preserve"> costs under proposed regulations 8, 10 and 11;</w:t>
      </w:r>
    </w:p>
    <w:p w14:paraId="0FBA49EF" w14:textId="45736941" w:rsidR="00611186" w:rsidRPr="00503F5B" w:rsidRDefault="00611186" w:rsidP="00611186">
      <w:pPr>
        <w:pStyle w:val="ListParagraph"/>
        <w:numPr>
          <w:ilvl w:val="0"/>
          <w:numId w:val="40"/>
        </w:numPr>
        <w:jc w:val="both"/>
      </w:pPr>
      <w:r w:rsidRPr="00503F5B">
        <w:t>$</w:t>
      </w:r>
      <w:r w:rsidR="00391405" w:rsidRPr="00503F5B">
        <w:t>13</w:t>
      </w:r>
      <w:r w:rsidRPr="00503F5B">
        <w:t>.9</w:t>
      </w:r>
      <w:r w:rsidR="00391405" w:rsidRPr="00503F5B">
        <w:t>2</w:t>
      </w:r>
      <w:r w:rsidRPr="00503F5B">
        <w:t>m per annum for false alarm charges under proposed regulation 1</w:t>
      </w:r>
      <w:r w:rsidR="00EA38F8" w:rsidRPr="00503F5B">
        <w:t>7</w:t>
      </w:r>
      <w:r w:rsidRPr="00503F5B">
        <w:t>(1)(a);</w:t>
      </w:r>
    </w:p>
    <w:p w14:paraId="78B31F07" w14:textId="5DCE979B" w:rsidR="00611186" w:rsidRPr="00503F5B" w:rsidRDefault="00611186" w:rsidP="00611186">
      <w:pPr>
        <w:pStyle w:val="ListParagraph"/>
        <w:numPr>
          <w:ilvl w:val="0"/>
          <w:numId w:val="40"/>
        </w:numPr>
        <w:jc w:val="both"/>
      </w:pPr>
      <w:r w:rsidRPr="00503F5B">
        <w:t xml:space="preserve">$0.34m per annum for fees </w:t>
      </w:r>
      <w:r w:rsidR="003B29C6" w:rsidRPr="00503F5B">
        <w:t>for</w:t>
      </w:r>
      <w:r w:rsidRPr="00503F5B">
        <w:t xml:space="preserve"> responses involving hazardous and toxic materials under proposed reg.1</w:t>
      </w:r>
      <w:r w:rsidR="00EA38F8" w:rsidRPr="00503F5B">
        <w:t>7</w:t>
      </w:r>
      <w:r w:rsidRPr="00503F5B">
        <w:t>(1)(d);</w:t>
      </w:r>
    </w:p>
    <w:p w14:paraId="0ABA3B25" w14:textId="0CF466E2" w:rsidR="00611186" w:rsidRPr="00503F5B" w:rsidRDefault="00611186" w:rsidP="001A3678">
      <w:pPr>
        <w:pStyle w:val="ListParagraph"/>
        <w:numPr>
          <w:ilvl w:val="0"/>
          <w:numId w:val="40"/>
        </w:numPr>
        <w:jc w:val="both"/>
      </w:pPr>
      <w:r w:rsidRPr="00503F5B">
        <w:t>$0.</w:t>
      </w:r>
      <w:r w:rsidR="005205BA" w:rsidRPr="00503F5B">
        <w:t>06</w:t>
      </w:r>
      <w:r w:rsidRPr="00503F5B">
        <w:t>m</w:t>
      </w:r>
      <w:r w:rsidR="00C618EF" w:rsidRPr="00503F5B">
        <w:rPr>
          <w:rStyle w:val="FootnoteReference"/>
        </w:rPr>
        <w:footnoteReference w:id="3"/>
      </w:r>
      <w:r w:rsidRPr="00503F5B">
        <w:t xml:space="preserve"> per annum of charges (set administratively) for attendances involving hazardous material and toxic fire incidents with additional </w:t>
      </w:r>
      <w:proofErr w:type="gramStart"/>
      <w:r w:rsidRPr="00503F5B">
        <w:t>aforementioned costs</w:t>
      </w:r>
      <w:proofErr w:type="gramEnd"/>
      <w:r w:rsidRPr="00503F5B">
        <w:t xml:space="preserve"> under proposed regulation 1</w:t>
      </w:r>
      <w:r w:rsidR="00BF54CD">
        <w:t>8</w:t>
      </w:r>
      <w:r w:rsidR="003B29C6" w:rsidRPr="00503F5B">
        <w:t>;</w:t>
      </w:r>
    </w:p>
    <w:p w14:paraId="257BA7A0" w14:textId="52F96A08" w:rsidR="00611186" w:rsidRPr="00503F5B" w:rsidRDefault="00611186" w:rsidP="00611186">
      <w:pPr>
        <w:pStyle w:val="ListParagraph"/>
        <w:numPr>
          <w:ilvl w:val="0"/>
          <w:numId w:val="40"/>
        </w:numPr>
        <w:jc w:val="both"/>
      </w:pPr>
      <w:r w:rsidRPr="00503F5B">
        <w:t xml:space="preserve">$0.01m per annum of charges (set administratively) for property protection under proposed regulation </w:t>
      </w:r>
      <w:r w:rsidR="00BF54CD">
        <w:t>19</w:t>
      </w:r>
      <w:r w:rsidRPr="00503F5B">
        <w:t>;</w:t>
      </w:r>
    </w:p>
    <w:p w14:paraId="13DA6CE9" w14:textId="63E889A5" w:rsidR="00611186" w:rsidRPr="00503F5B" w:rsidRDefault="00611186" w:rsidP="00611186">
      <w:pPr>
        <w:pStyle w:val="ListParagraph"/>
        <w:numPr>
          <w:ilvl w:val="0"/>
          <w:numId w:val="40"/>
        </w:numPr>
        <w:jc w:val="both"/>
      </w:pPr>
      <w:r w:rsidRPr="00503F5B">
        <w:t>$3.9m per annum of charges (set administratively and by negotiation with the TAC) for road accident services under proposed regulation 2</w:t>
      </w:r>
      <w:r w:rsidR="00BF54CD">
        <w:t>0</w:t>
      </w:r>
      <w:r w:rsidRPr="00503F5B">
        <w:t>; and</w:t>
      </w:r>
    </w:p>
    <w:p w14:paraId="3D90DA92" w14:textId="6224F946" w:rsidR="00611186" w:rsidRPr="00503F5B" w:rsidRDefault="00611186" w:rsidP="00611186">
      <w:pPr>
        <w:pStyle w:val="ListParagraph"/>
        <w:numPr>
          <w:ilvl w:val="0"/>
          <w:numId w:val="40"/>
        </w:numPr>
        <w:jc w:val="both"/>
      </w:pPr>
      <w:r w:rsidRPr="00503F5B">
        <w:t>$1.1m per annum of charges (set administratively) for fire protection services under proposed regulation 2</w:t>
      </w:r>
      <w:r w:rsidR="00BF54CD">
        <w:t>1</w:t>
      </w:r>
      <w:r w:rsidRPr="00503F5B">
        <w:t>.</w:t>
      </w:r>
    </w:p>
    <w:bookmarkEnd w:id="7"/>
    <w:p w14:paraId="791DE828" w14:textId="77777777" w:rsidR="00611186" w:rsidRPr="00503F5B" w:rsidRDefault="00611186" w:rsidP="00611186">
      <w:pPr>
        <w:jc w:val="both"/>
      </w:pPr>
    </w:p>
    <w:p w14:paraId="0B602D90" w14:textId="063CAAE3" w:rsidR="00611186" w:rsidRPr="00503F5B" w:rsidRDefault="00611186" w:rsidP="00611186">
      <w:pPr>
        <w:jc w:val="both"/>
      </w:pPr>
      <w:r w:rsidRPr="00503F5B">
        <w:t>Costs in relation to proposed fee regulations 1</w:t>
      </w:r>
      <w:r w:rsidR="00EA38F8" w:rsidRPr="00503F5B">
        <w:t>7</w:t>
      </w:r>
      <w:r w:rsidRPr="00503F5B">
        <w:t>(1)(b) for false reports, 1</w:t>
      </w:r>
      <w:r w:rsidR="00EA38F8" w:rsidRPr="00503F5B">
        <w:t>7</w:t>
      </w:r>
      <w:r w:rsidRPr="00503F5B">
        <w:t>(1)(c) vessels, and 1</w:t>
      </w:r>
      <w:r w:rsidR="00EA38F8" w:rsidRPr="00503F5B">
        <w:t>7</w:t>
      </w:r>
      <w:r w:rsidRPr="00503F5B">
        <w:t>(1)(e) special circumstances are not included above, however these fees are infrequently charged and only in ‘rare’ instances.</w:t>
      </w:r>
    </w:p>
    <w:p w14:paraId="204307FD" w14:textId="77777777" w:rsidR="00341B9B" w:rsidRPr="00503F5B" w:rsidRDefault="00341B9B" w:rsidP="00517C6D">
      <w:r w:rsidRPr="00503F5B">
        <w:br w:type="page"/>
      </w:r>
    </w:p>
    <w:p w14:paraId="36EE4D74" w14:textId="2CC51854" w:rsidR="00341B9B" w:rsidRPr="00503F5B" w:rsidRDefault="00341B9B">
      <w:pPr>
        <w:pStyle w:val="TOCHeading"/>
        <w:rPr>
          <w:rStyle w:val="Heading1Char"/>
          <w:lang w:val="en-AU"/>
        </w:rPr>
      </w:pPr>
      <w:r w:rsidRPr="00503F5B">
        <w:rPr>
          <w:rStyle w:val="Heading1Char"/>
          <w:lang w:val="en-AU"/>
        </w:rPr>
        <w:lastRenderedPageBreak/>
        <w:t>Table of Contents</w:t>
      </w:r>
    </w:p>
    <w:p w14:paraId="572934FD" w14:textId="314D26B4" w:rsidR="00341B9B" w:rsidRPr="00503F5B" w:rsidRDefault="00341B9B">
      <w:pPr>
        <w:pStyle w:val="TOC1"/>
        <w:rPr>
          <w:rFonts w:asciiTheme="minorHAnsi" w:hAnsiTheme="minorHAnsi" w:cstheme="minorBidi"/>
          <w:b w:val="0"/>
          <w:bCs w:val="0"/>
          <w:color w:val="auto"/>
          <w:sz w:val="22"/>
          <w:szCs w:val="22"/>
          <w:lang w:eastAsia="en-AU"/>
        </w:rPr>
      </w:pPr>
      <w:r w:rsidRPr="00503F5B">
        <w:rPr>
          <w:noProof w:val="0"/>
        </w:rPr>
        <w:fldChar w:fldCharType="begin"/>
      </w:r>
      <w:r w:rsidRPr="00503F5B">
        <w:rPr>
          <w:noProof w:val="0"/>
        </w:rPr>
        <w:instrText xml:space="preserve"> TOC \o "1-3" \h \z \u </w:instrText>
      </w:r>
      <w:r w:rsidRPr="00503F5B">
        <w:rPr>
          <w:noProof w:val="0"/>
        </w:rPr>
        <w:fldChar w:fldCharType="separate"/>
      </w:r>
      <w:hyperlink w:anchor="_Toc35812649" w:history="1">
        <w:r w:rsidRPr="00503F5B">
          <w:rPr>
            <w:rStyle w:val="Hyperlink"/>
          </w:rPr>
          <w:t>Executive Summary</w:t>
        </w:r>
        <w:r w:rsidRPr="00503F5B">
          <w:rPr>
            <w:webHidden/>
          </w:rPr>
          <w:tab/>
        </w:r>
        <w:r w:rsidRPr="00503F5B">
          <w:rPr>
            <w:webHidden/>
          </w:rPr>
          <w:fldChar w:fldCharType="begin"/>
        </w:r>
        <w:r w:rsidRPr="00503F5B">
          <w:rPr>
            <w:webHidden/>
          </w:rPr>
          <w:instrText xml:space="preserve"> PAGEREF _Toc35812649 \h </w:instrText>
        </w:r>
        <w:r w:rsidRPr="00503F5B">
          <w:rPr>
            <w:webHidden/>
          </w:rPr>
        </w:r>
        <w:r w:rsidRPr="00503F5B">
          <w:rPr>
            <w:webHidden/>
          </w:rPr>
          <w:fldChar w:fldCharType="separate"/>
        </w:r>
        <w:r w:rsidR="001C4DE5">
          <w:rPr>
            <w:webHidden/>
          </w:rPr>
          <w:t>3</w:t>
        </w:r>
        <w:r w:rsidRPr="00503F5B">
          <w:rPr>
            <w:webHidden/>
          </w:rPr>
          <w:fldChar w:fldCharType="end"/>
        </w:r>
      </w:hyperlink>
    </w:p>
    <w:p w14:paraId="62E2AC3E" w14:textId="0483A78C" w:rsidR="00341B9B" w:rsidRPr="00503F5B" w:rsidRDefault="001A6758">
      <w:pPr>
        <w:pStyle w:val="TOC1"/>
        <w:rPr>
          <w:rFonts w:asciiTheme="minorHAnsi" w:hAnsiTheme="minorHAnsi" w:cstheme="minorBidi"/>
          <w:b w:val="0"/>
          <w:bCs w:val="0"/>
          <w:color w:val="auto"/>
          <w:sz w:val="22"/>
          <w:szCs w:val="22"/>
          <w:lang w:eastAsia="en-AU"/>
        </w:rPr>
      </w:pPr>
      <w:hyperlink w:anchor="_Toc35812650" w:history="1">
        <w:r w:rsidR="00341B9B" w:rsidRPr="00503F5B">
          <w:rPr>
            <w:rStyle w:val="Hyperlink"/>
          </w:rPr>
          <w:t>Glossary of terms</w:t>
        </w:r>
        <w:r w:rsidR="00341B9B" w:rsidRPr="00503F5B">
          <w:rPr>
            <w:webHidden/>
          </w:rPr>
          <w:tab/>
        </w:r>
        <w:r w:rsidR="00341B9B" w:rsidRPr="00503F5B">
          <w:rPr>
            <w:webHidden/>
          </w:rPr>
          <w:fldChar w:fldCharType="begin"/>
        </w:r>
        <w:r w:rsidR="00341B9B" w:rsidRPr="00503F5B">
          <w:rPr>
            <w:webHidden/>
          </w:rPr>
          <w:instrText xml:space="preserve"> PAGEREF _Toc35812650 \h </w:instrText>
        </w:r>
        <w:r w:rsidR="00341B9B" w:rsidRPr="00503F5B">
          <w:rPr>
            <w:webHidden/>
          </w:rPr>
        </w:r>
        <w:r w:rsidR="00341B9B" w:rsidRPr="00503F5B">
          <w:rPr>
            <w:webHidden/>
          </w:rPr>
          <w:fldChar w:fldCharType="separate"/>
        </w:r>
        <w:r w:rsidR="001C4DE5">
          <w:rPr>
            <w:webHidden/>
          </w:rPr>
          <w:t>12</w:t>
        </w:r>
        <w:r w:rsidR="00341B9B" w:rsidRPr="00503F5B">
          <w:rPr>
            <w:webHidden/>
          </w:rPr>
          <w:fldChar w:fldCharType="end"/>
        </w:r>
      </w:hyperlink>
    </w:p>
    <w:p w14:paraId="2CF6BAAA" w14:textId="56D2D813" w:rsidR="00341B9B" w:rsidRPr="00503F5B" w:rsidRDefault="001A6758">
      <w:pPr>
        <w:pStyle w:val="TOC1"/>
        <w:rPr>
          <w:rFonts w:asciiTheme="minorHAnsi" w:hAnsiTheme="minorHAnsi" w:cstheme="minorBidi"/>
          <w:b w:val="0"/>
          <w:bCs w:val="0"/>
          <w:color w:val="auto"/>
          <w:sz w:val="22"/>
          <w:szCs w:val="22"/>
          <w:lang w:eastAsia="en-AU"/>
        </w:rPr>
      </w:pPr>
      <w:hyperlink w:anchor="_Toc35812651" w:history="1">
        <w:r w:rsidR="00341B9B" w:rsidRPr="00503F5B">
          <w:rPr>
            <w:rStyle w:val="Hyperlink"/>
          </w:rPr>
          <w:t>Section 1 Background</w:t>
        </w:r>
        <w:r w:rsidR="00341B9B" w:rsidRPr="00503F5B">
          <w:rPr>
            <w:webHidden/>
          </w:rPr>
          <w:tab/>
        </w:r>
        <w:r w:rsidR="00341B9B" w:rsidRPr="00503F5B">
          <w:rPr>
            <w:webHidden/>
          </w:rPr>
          <w:fldChar w:fldCharType="begin"/>
        </w:r>
        <w:r w:rsidR="00341B9B" w:rsidRPr="00503F5B">
          <w:rPr>
            <w:webHidden/>
          </w:rPr>
          <w:instrText xml:space="preserve"> PAGEREF _Toc35812651 \h </w:instrText>
        </w:r>
        <w:r w:rsidR="00341B9B" w:rsidRPr="00503F5B">
          <w:rPr>
            <w:webHidden/>
          </w:rPr>
        </w:r>
        <w:r w:rsidR="00341B9B" w:rsidRPr="00503F5B">
          <w:rPr>
            <w:webHidden/>
          </w:rPr>
          <w:fldChar w:fldCharType="separate"/>
        </w:r>
        <w:r w:rsidR="001C4DE5">
          <w:rPr>
            <w:webHidden/>
          </w:rPr>
          <w:t>14</w:t>
        </w:r>
        <w:r w:rsidR="00341B9B" w:rsidRPr="00503F5B">
          <w:rPr>
            <w:webHidden/>
          </w:rPr>
          <w:fldChar w:fldCharType="end"/>
        </w:r>
      </w:hyperlink>
    </w:p>
    <w:p w14:paraId="1063D411" w14:textId="5D75C887" w:rsidR="00341B9B" w:rsidRPr="00503F5B" w:rsidRDefault="001A6758">
      <w:pPr>
        <w:pStyle w:val="TOC2"/>
        <w:tabs>
          <w:tab w:val="right" w:leader="dot" w:pos="8212"/>
        </w:tabs>
        <w:rPr>
          <w:rFonts w:cstheme="minorBidi"/>
          <w:noProof/>
          <w:color w:val="auto"/>
          <w:lang w:eastAsia="en-AU"/>
        </w:rPr>
      </w:pPr>
      <w:hyperlink w:anchor="_Toc35812652" w:history="1">
        <w:r w:rsidR="00341B9B" w:rsidRPr="00503F5B">
          <w:rPr>
            <w:rStyle w:val="Hyperlink"/>
            <w:noProof/>
          </w:rPr>
          <w:t>1.1 The need for the provision of fire services by government</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_Toc35812652 \h </w:instrText>
        </w:r>
        <w:r w:rsidR="00341B9B" w:rsidRPr="00503F5B">
          <w:rPr>
            <w:noProof/>
            <w:webHidden/>
          </w:rPr>
        </w:r>
        <w:r w:rsidR="00341B9B" w:rsidRPr="00503F5B">
          <w:rPr>
            <w:noProof/>
            <w:webHidden/>
          </w:rPr>
          <w:fldChar w:fldCharType="separate"/>
        </w:r>
        <w:r w:rsidR="001C4DE5">
          <w:rPr>
            <w:noProof/>
            <w:webHidden/>
          </w:rPr>
          <w:t>14</w:t>
        </w:r>
        <w:r w:rsidR="00341B9B" w:rsidRPr="00503F5B">
          <w:rPr>
            <w:noProof/>
            <w:webHidden/>
          </w:rPr>
          <w:fldChar w:fldCharType="end"/>
        </w:r>
      </w:hyperlink>
    </w:p>
    <w:p w14:paraId="60CB4E84" w14:textId="51042E7E" w:rsidR="00341B9B" w:rsidRPr="00503F5B" w:rsidRDefault="001A6758">
      <w:pPr>
        <w:pStyle w:val="TOC2"/>
        <w:tabs>
          <w:tab w:val="right" w:leader="dot" w:pos="8212"/>
        </w:tabs>
        <w:rPr>
          <w:rFonts w:cstheme="minorBidi"/>
          <w:noProof/>
          <w:color w:val="auto"/>
          <w:lang w:eastAsia="en-AU"/>
        </w:rPr>
      </w:pPr>
      <w:hyperlink w:anchor="_Toc35812653" w:history="1">
        <w:r w:rsidR="00341B9B" w:rsidRPr="00503F5B">
          <w:rPr>
            <w:rStyle w:val="Hyperlink"/>
            <w:noProof/>
          </w:rPr>
          <w:t>1.2 Recent legislative context</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_Toc35812653 \h </w:instrText>
        </w:r>
        <w:r w:rsidR="00341B9B" w:rsidRPr="00503F5B">
          <w:rPr>
            <w:noProof/>
            <w:webHidden/>
          </w:rPr>
        </w:r>
        <w:r w:rsidR="00341B9B" w:rsidRPr="00503F5B">
          <w:rPr>
            <w:noProof/>
            <w:webHidden/>
          </w:rPr>
          <w:fldChar w:fldCharType="separate"/>
        </w:r>
        <w:r w:rsidR="001C4DE5">
          <w:rPr>
            <w:noProof/>
            <w:webHidden/>
          </w:rPr>
          <w:t>14</w:t>
        </w:r>
        <w:r w:rsidR="00341B9B" w:rsidRPr="00503F5B">
          <w:rPr>
            <w:noProof/>
            <w:webHidden/>
          </w:rPr>
          <w:fldChar w:fldCharType="end"/>
        </w:r>
      </w:hyperlink>
    </w:p>
    <w:p w14:paraId="728FFC96" w14:textId="7787142B" w:rsidR="00341B9B" w:rsidRPr="00503F5B" w:rsidRDefault="001A6758">
      <w:pPr>
        <w:pStyle w:val="TOC2"/>
        <w:tabs>
          <w:tab w:val="right" w:leader="dot" w:pos="8212"/>
        </w:tabs>
        <w:rPr>
          <w:rFonts w:cstheme="minorBidi"/>
          <w:noProof/>
          <w:color w:val="auto"/>
          <w:lang w:eastAsia="en-AU"/>
        </w:rPr>
      </w:pPr>
      <w:hyperlink w:anchor="_Toc35812654" w:history="1">
        <w:r w:rsidR="00341B9B" w:rsidRPr="00503F5B">
          <w:rPr>
            <w:rStyle w:val="Hyperlink"/>
            <w:noProof/>
          </w:rPr>
          <w:t>1.3 Governance, funding arrangements and activities of FRV</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_Toc35812654 \h </w:instrText>
        </w:r>
        <w:r w:rsidR="00341B9B" w:rsidRPr="00503F5B">
          <w:rPr>
            <w:noProof/>
            <w:webHidden/>
          </w:rPr>
        </w:r>
        <w:r w:rsidR="00341B9B" w:rsidRPr="00503F5B">
          <w:rPr>
            <w:noProof/>
            <w:webHidden/>
          </w:rPr>
          <w:fldChar w:fldCharType="separate"/>
        </w:r>
        <w:r w:rsidR="001C4DE5">
          <w:rPr>
            <w:noProof/>
            <w:webHidden/>
          </w:rPr>
          <w:t>15</w:t>
        </w:r>
        <w:r w:rsidR="00341B9B" w:rsidRPr="00503F5B">
          <w:rPr>
            <w:noProof/>
            <w:webHidden/>
          </w:rPr>
          <w:fldChar w:fldCharType="end"/>
        </w:r>
      </w:hyperlink>
    </w:p>
    <w:p w14:paraId="18D9F025" w14:textId="141DAAD0" w:rsidR="00341B9B" w:rsidRPr="00503F5B" w:rsidRDefault="001A6758">
      <w:pPr>
        <w:pStyle w:val="TOC3"/>
        <w:rPr>
          <w:rFonts w:cstheme="minorBidi"/>
          <w:i w:val="0"/>
          <w:iCs w:val="0"/>
          <w:noProof/>
          <w:color w:val="auto"/>
          <w:lang w:eastAsia="en-AU"/>
        </w:rPr>
      </w:pPr>
      <w:hyperlink w:anchor="_Toc35812655" w:history="1">
        <w:r w:rsidR="00341B9B" w:rsidRPr="00503F5B">
          <w:rPr>
            <w:rStyle w:val="Hyperlink"/>
            <w:noProof/>
          </w:rPr>
          <w:t>1.3.1 Functions of the Fire Rescue Commissioner and FRV</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_Toc35812655 \h </w:instrText>
        </w:r>
        <w:r w:rsidR="00341B9B" w:rsidRPr="00503F5B">
          <w:rPr>
            <w:noProof/>
            <w:webHidden/>
          </w:rPr>
        </w:r>
        <w:r w:rsidR="00341B9B" w:rsidRPr="00503F5B">
          <w:rPr>
            <w:noProof/>
            <w:webHidden/>
          </w:rPr>
          <w:fldChar w:fldCharType="separate"/>
        </w:r>
        <w:r w:rsidR="001C4DE5">
          <w:rPr>
            <w:noProof/>
            <w:webHidden/>
          </w:rPr>
          <w:t>15</w:t>
        </w:r>
        <w:r w:rsidR="00341B9B" w:rsidRPr="00503F5B">
          <w:rPr>
            <w:noProof/>
            <w:webHidden/>
          </w:rPr>
          <w:fldChar w:fldCharType="end"/>
        </w:r>
      </w:hyperlink>
    </w:p>
    <w:p w14:paraId="7BDE7369" w14:textId="3C18938A" w:rsidR="00341B9B" w:rsidRPr="00503F5B" w:rsidRDefault="001A6758">
      <w:pPr>
        <w:pStyle w:val="TOC3"/>
        <w:rPr>
          <w:rFonts w:cstheme="minorBidi"/>
          <w:i w:val="0"/>
          <w:iCs w:val="0"/>
          <w:noProof/>
          <w:color w:val="auto"/>
          <w:lang w:eastAsia="en-AU"/>
        </w:rPr>
      </w:pPr>
      <w:hyperlink w:anchor="_Toc35812656" w:history="1">
        <w:r w:rsidR="00341B9B" w:rsidRPr="00503F5B">
          <w:rPr>
            <w:rStyle w:val="Hyperlink"/>
            <w:noProof/>
          </w:rPr>
          <w:t>1.3.2 Staffing changes upon commencement of FRV</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_Toc35812656 \h </w:instrText>
        </w:r>
        <w:r w:rsidR="00341B9B" w:rsidRPr="00503F5B">
          <w:rPr>
            <w:noProof/>
            <w:webHidden/>
          </w:rPr>
        </w:r>
        <w:r w:rsidR="00341B9B" w:rsidRPr="00503F5B">
          <w:rPr>
            <w:noProof/>
            <w:webHidden/>
          </w:rPr>
          <w:fldChar w:fldCharType="separate"/>
        </w:r>
        <w:r w:rsidR="001C4DE5">
          <w:rPr>
            <w:noProof/>
            <w:webHidden/>
          </w:rPr>
          <w:t>17</w:t>
        </w:r>
        <w:r w:rsidR="00341B9B" w:rsidRPr="00503F5B">
          <w:rPr>
            <w:noProof/>
            <w:webHidden/>
          </w:rPr>
          <w:fldChar w:fldCharType="end"/>
        </w:r>
      </w:hyperlink>
    </w:p>
    <w:p w14:paraId="1FFE7749" w14:textId="54AED736" w:rsidR="00341B9B" w:rsidRPr="00503F5B" w:rsidRDefault="001A6758">
      <w:pPr>
        <w:pStyle w:val="TOC3"/>
        <w:rPr>
          <w:rFonts w:cstheme="minorBidi"/>
          <w:i w:val="0"/>
          <w:iCs w:val="0"/>
          <w:noProof/>
          <w:color w:val="auto"/>
          <w:lang w:eastAsia="en-AU"/>
        </w:rPr>
      </w:pPr>
      <w:hyperlink w:anchor="_Toc35812657" w:history="1">
        <w:r w:rsidR="00341B9B" w:rsidRPr="00503F5B">
          <w:rPr>
            <w:rStyle w:val="Hyperlink"/>
            <w:noProof/>
          </w:rPr>
          <w:t>1.3.3 Boundary changes from MFB to FRV</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_Toc35812657 \h </w:instrText>
        </w:r>
        <w:r w:rsidR="00341B9B" w:rsidRPr="00503F5B">
          <w:rPr>
            <w:noProof/>
            <w:webHidden/>
          </w:rPr>
        </w:r>
        <w:r w:rsidR="00341B9B" w:rsidRPr="00503F5B">
          <w:rPr>
            <w:noProof/>
            <w:webHidden/>
          </w:rPr>
          <w:fldChar w:fldCharType="separate"/>
        </w:r>
        <w:r w:rsidR="001C4DE5">
          <w:rPr>
            <w:noProof/>
            <w:webHidden/>
          </w:rPr>
          <w:t>17</w:t>
        </w:r>
        <w:r w:rsidR="00341B9B" w:rsidRPr="00503F5B">
          <w:rPr>
            <w:noProof/>
            <w:webHidden/>
          </w:rPr>
          <w:fldChar w:fldCharType="end"/>
        </w:r>
      </w:hyperlink>
    </w:p>
    <w:p w14:paraId="0032F3FB" w14:textId="3B877DD0" w:rsidR="00341B9B" w:rsidRPr="00503F5B" w:rsidRDefault="001A6758">
      <w:pPr>
        <w:pStyle w:val="TOC3"/>
        <w:rPr>
          <w:rFonts w:cstheme="minorBidi"/>
          <w:i w:val="0"/>
          <w:iCs w:val="0"/>
          <w:noProof/>
          <w:color w:val="auto"/>
          <w:lang w:eastAsia="en-AU"/>
        </w:rPr>
      </w:pPr>
      <w:hyperlink w:anchor="_Toc35812658" w:history="1">
        <w:r w:rsidR="00341B9B" w:rsidRPr="00503F5B">
          <w:rPr>
            <w:rStyle w:val="Hyperlink"/>
            <w:noProof/>
          </w:rPr>
          <w:t>1.3.4 Current MFB and CFA funding arrangements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_Toc35812658 \h </w:instrText>
        </w:r>
        <w:r w:rsidR="00341B9B" w:rsidRPr="00503F5B">
          <w:rPr>
            <w:noProof/>
            <w:webHidden/>
          </w:rPr>
        </w:r>
        <w:r w:rsidR="00341B9B" w:rsidRPr="00503F5B">
          <w:rPr>
            <w:noProof/>
            <w:webHidden/>
          </w:rPr>
          <w:fldChar w:fldCharType="separate"/>
        </w:r>
        <w:r w:rsidR="001C4DE5">
          <w:rPr>
            <w:noProof/>
            <w:webHidden/>
          </w:rPr>
          <w:t>17</w:t>
        </w:r>
        <w:r w:rsidR="00341B9B" w:rsidRPr="00503F5B">
          <w:rPr>
            <w:noProof/>
            <w:webHidden/>
          </w:rPr>
          <w:fldChar w:fldCharType="end"/>
        </w:r>
      </w:hyperlink>
    </w:p>
    <w:p w14:paraId="3DC68A19" w14:textId="3EFEBA01" w:rsidR="00341B9B" w:rsidRPr="00503F5B" w:rsidRDefault="001A6758">
      <w:pPr>
        <w:pStyle w:val="TOC3"/>
        <w:rPr>
          <w:rFonts w:cstheme="minorBidi"/>
          <w:i w:val="0"/>
          <w:iCs w:val="0"/>
          <w:noProof/>
          <w:color w:val="auto"/>
          <w:lang w:eastAsia="en-AU"/>
        </w:rPr>
      </w:pPr>
      <w:hyperlink w:anchor="_Toc35812659" w:history="1">
        <w:r w:rsidR="00341B9B" w:rsidRPr="00503F5B">
          <w:rPr>
            <w:rStyle w:val="Hyperlink"/>
            <w:noProof/>
          </w:rPr>
          <w:t>1.3.5 Current MFB and CFA call response and attendance activities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_Toc35812659 \h </w:instrText>
        </w:r>
        <w:r w:rsidR="00341B9B" w:rsidRPr="00503F5B">
          <w:rPr>
            <w:noProof/>
            <w:webHidden/>
          </w:rPr>
        </w:r>
        <w:r w:rsidR="00341B9B" w:rsidRPr="00503F5B">
          <w:rPr>
            <w:noProof/>
            <w:webHidden/>
          </w:rPr>
          <w:fldChar w:fldCharType="separate"/>
        </w:r>
        <w:r w:rsidR="001C4DE5">
          <w:rPr>
            <w:noProof/>
            <w:webHidden/>
          </w:rPr>
          <w:t>20</w:t>
        </w:r>
        <w:r w:rsidR="00341B9B" w:rsidRPr="00503F5B">
          <w:rPr>
            <w:noProof/>
            <w:webHidden/>
          </w:rPr>
          <w:fldChar w:fldCharType="end"/>
        </w:r>
      </w:hyperlink>
    </w:p>
    <w:p w14:paraId="04ACB77B" w14:textId="2E9B6EF9" w:rsidR="00341B9B" w:rsidRPr="00503F5B" w:rsidRDefault="001A6758">
      <w:pPr>
        <w:pStyle w:val="TOC3"/>
        <w:rPr>
          <w:rFonts w:cstheme="minorBidi"/>
          <w:i w:val="0"/>
          <w:iCs w:val="0"/>
          <w:noProof/>
          <w:color w:val="auto"/>
          <w:lang w:eastAsia="en-AU"/>
        </w:rPr>
      </w:pPr>
      <w:hyperlink w:anchor="_Toc35812660" w:history="1">
        <w:r w:rsidR="00341B9B" w:rsidRPr="00503F5B">
          <w:rPr>
            <w:rStyle w:val="Hyperlink"/>
            <w:noProof/>
          </w:rPr>
          <w:t>1.3.6 Other MFB and CFA integrated station activities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_Toc35812660 \h </w:instrText>
        </w:r>
        <w:r w:rsidR="00341B9B" w:rsidRPr="00503F5B">
          <w:rPr>
            <w:noProof/>
            <w:webHidden/>
          </w:rPr>
        </w:r>
        <w:r w:rsidR="00341B9B" w:rsidRPr="00503F5B">
          <w:rPr>
            <w:noProof/>
            <w:webHidden/>
          </w:rPr>
          <w:fldChar w:fldCharType="separate"/>
        </w:r>
        <w:r w:rsidR="001C4DE5">
          <w:rPr>
            <w:noProof/>
            <w:webHidden/>
          </w:rPr>
          <w:t>22</w:t>
        </w:r>
        <w:r w:rsidR="00341B9B" w:rsidRPr="00503F5B">
          <w:rPr>
            <w:noProof/>
            <w:webHidden/>
          </w:rPr>
          <w:fldChar w:fldCharType="end"/>
        </w:r>
      </w:hyperlink>
    </w:p>
    <w:p w14:paraId="710795BD" w14:textId="29A4BFE8" w:rsidR="00341B9B" w:rsidRPr="00503F5B" w:rsidRDefault="001A6758">
      <w:pPr>
        <w:pStyle w:val="TOC2"/>
        <w:tabs>
          <w:tab w:val="right" w:leader="dot" w:pos="8212"/>
        </w:tabs>
        <w:rPr>
          <w:rFonts w:cstheme="minorBidi"/>
          <w:noProof/>
          <w:color w:val="auto"/>
          <w:lang w:eastAsia="en-AU"/>
        </w:rPr>
      </w:pPr>
      <w:hyperlink w:anchor="_Toc35812661" w:history="1">
        <w:r w:rsidR="00341B9B" w:rsidRPr="00503F5B">
          <w:rPr>
            <w:rStyle w:val="Hyperlink"/>
            <w:noProof/>
          </w:rPr>
          <w:t>1.4 Legislative framework</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_Toc35812661 \h </w:instrText>
        </w:r>
        <w:r w:rsidR="00341B9B" w:rsidRPr="00503F5B">
          <w:rPr>
            <w:noProof/>
            <w:webHidden/>
          </w:rPr>
        </w:r>
        <w:r w:rsidR="00341B9B" w:rsidRPr="00503F5B">
          <w:rPr>
            <w:noProof/>
            <w:webHidden/>
          </w:rPr>
          <w:fldChar w:fldCharType="separate"/>
        </w:r>
        <w:r w:rsidR="001C4DE5">
          <w:rPr>
            <w:noProof/>
            <w:webHidden/>
          </w:rPr>
          <w:t>22</w:t>
        </w:r>
        <w:r w:rsidR="00341B9B" w:rsidRPr="00503F5B">
          <w:rPr>
            <w:noProof/>
            <w:webHidden/>
          </w:rPr>
          <w:fldChar w:fldCharType="end"/>
        </w:r>
      </w:hyperlink>
    </w:p>
    <w:p w14:paraId="4B086C5F" w14:textId="512EA456" w:rsidR="00341B9B" w:rsidRPr="00503F5B" w:rsidRDefault="001A6758">
      <w:pPr>
        <w:pStyle w:val="TOC2"/>
        <w:tabs>
          <w:tab w:val="right" w:leader="dot" w:pos="8212"/>
        </w:tabs>
        <w:rPr>
          <w:rFonts w:cstheme="minorBidi"/>
          <w:noProof/>
          <w:color w:val="auto"/>
          <w:lang w:eastAsia="en-AU"/>
        </w:rPr>
      </w:pPr>
      <w:hyperlink w:anchor="_Toc35812662" w:history="1">
        <w:r w:rsidR="00341B9B" w:rsidRPr="00503F5B">
          <w:rPr>
            <w:rStyle w:val="Hyperlink"/>
            <w:noProof/>
          </w:rPr>
          <w:t>1.5 Need to undertake a Regulatory Impact Statement and Scope of analysis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_Toc35812662 \h </w:instrText>
        </w:r>
        <w:r w:rsidR="00341B9B" w:rsidRPr="00503F5B">
          <w:rPr>
            <w:noProof/>
            <w:webHidden/>
          </w:rPr>
        </w:r>
        <w:r w:rsidR="00341B9B" w:rsidRPr="00503F5B">
          <w:rPr>
            <w:noProof/>
            <w:webHidden/>
          </w:rPr>
          <w:fldChar w:fldCharType="separate"/>
        </w:r>
        <w:r w:rsidR="001C4DE5">
          <w:rPr>
            <w:noProof/>
            <w:webHidden/>
          </w:rPr>
          <w:t>25</w:t>
        </w:r>
        <w:r w:rsidR="00341B9B" w:rsidRPr="00503F5B">
          <w:rPr>
            <w:noProof/>
            <w:webHidden/>
          </w:rPr>
          <w:fldChar w:fldCharType="end"/>
        </w:r>
      </w:hyperlink>
    </w:p>
    <w:p w14:paraId="1D3243F8" w14:textId="36AB2E69" w:rsidR="00341B9B" w:rsidRPr="00503F5B" w:rsidRDefault="001A6758">
      <w:pPr>
        <w:pStyle w:val="TOC3"/>
        <w:rPr>
          <w:rFonts w:cstheme="minorBidi"/>
          <w:i w:val="0"/>
          <w:iCs w:val="0"/>
          <w:noProof/>
          <w:color w:val="auto"/>
          <w:lang w:eastAsia="en-AU"/>
        </w:rPr>
      </w:pPr>
      <w:hyperlink w:anchor="_Toc35812663" w:history="1">
        <w:r w:rsidR="00341B9B" w:rsidRPr="00503F5B">
          <w:rPr>
            <w:rStyle w:val="Hyperlink"/>
            <w:noProof/>
          </w:rPr>
          <w:t>1.5.1 Fee-regulation subject to detailed RIS analysis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_Toc35812663 \h </w:instrText>
        </w:r>
        <w:r w:rsidR="00341B9B" w:rsidRPr="00503F5B">
          <w:rPr>
            <w:noProof/>
            <w:webHidden/>
          </w:rPr>
        </w:r>
        <w:r w:rsidR="00341B9B" w:rsidRPr="00503F5B">
          <w:rPr>
            <w:noProof/>
            <w:webHidden/>
          </w:rPr>
          <w:fldChar w:fldCharType="separate"/>
        </w:r>
        <w:r w:rsidR="001C4DE5">
          <w:rPr>
            <w:noProof/>
            <w:webHidden/>
          </w:rPr>
          <w:t>26</w:t>
        </w:r>
        <w:r w:rsidR="00341B9B" w:rsidRPr="00503F5B">
          <w:rPr>
            <w:noProof/>
            <w:webHidden/>
          </w:rPr>
          <w:fldChar w:fldCharType="end"/>
        </w:r>
      </w:hyperlink>
    </w:p>
    <w:p w14:paraId="2C663133" w14:textId="1D69A4B6" w:rsidR="00341B9B" w:rsidRPr="00503F5B" w:rsidRDefault="001A6758">
      <w:pPr>
        <w:pStyle w:val="TOC3"/>
        <w:rPr>
          <w:rFonts w:cstheme="minorBidi"/>
          <w:i w:val="0"/>
          <w:iCs w:val="0"/>
          <w:noProof/>
          <w:color w:val="auto"/>
          <w:lang w:eastAsia="en-AU"/>
        </w:rPr>
      </w:pPr>
      <w:hyperlink w:anchor="_Toc35812664" w:history="1">
        <w:r w:rsidR="00341B9B" w:rsidRPr="00503F5B">
          <w:rPr>
            <w:rStyle w:val="Hyperlink"/>
            <w:noProof/>
          </w:rPr>
          <w:t>1.5.2 Other non-fee and fee regulations not subject to detailed RIS analysis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_Toc35812664 \h </w:instrText>
        </w:r>
        <w:r w:rsidR="00341B9B" w:rsidRPr="00503F5B">
          <w:rPr>
            <w:noProof/>
            <w:webHidden/>
          </w:rPr>
        </w:r>
        <w:r w:rsidR="00341B9B" w:rsidRPr="00503F5B">
          <w:rPr>
            <w:noProof/>
            <w:webHidden/>
          </w:rPr>
          <w:fldChar w:fldCharType="separate"/>
        </w:r>
        <w:r w:rsidR="001C4DE5">
          <w:rPr>
            <w:noProof/>
            <w:webHidden/>
          </w:rPr>
          <w:t>30</w:t>
        </w:r>
        <w:r w:rsidR="00341B9B" w:rsidRPr="00503F5B">
          <w:rPr>
            <w:noProof/>
            <w:webHidden/>
          </w:rPr>
          <w:fldChar w:fldCharType="end"/>
        </w:r>
      </w:hyperlink>
    </w:p>
    <w:p w14:paraId="677A3C87" w14:textId="427C1B3F" w:rsidR="00341B9B" w:rsidRPr="00503F5B" w:rsidRDefault="001A6758">
      <w:pPr>
        <w:pStyle w:val="TOC3"/>
        <w:rPr>
          <w:rFonts w:cstheme="minorBidi"/>
          <w:i w:val="0"/>
          <w:iCs w:val="0"/>
          <w:noProof/>
          <w:color w:val="auto"/>
          <w:lang w:eastAsia="en-AU"/>
        </w:rPr>
      </w:pPr>
      <w:hyperlink w:anchor="_Toc35812665" w:history="1">
        <w:r w:rsidR="00341B9B" w:rsidRPr="00503F5B">
          <w:rPr>
            <w:rStyle w:val="Hyperlink"/>
            <w:noProof/>
          </w:rPr>
          <w:t>1.5.3 Questions to be addressed in the Regulatory Impact Statement</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_Toc35812665 \h </w:instrText>
        </w:r>
        <w:r w:rsidR="00341B9B" w:rsidRPr="00503F5B">
          <w:rPr>
            <w:noProof/>
            <w:webHidden/>
          </w:rPr>
        </w:r>
        <w:r w:rsidR="00341B9B" w:rsidRPr="00503F5B">
          <w:rPr>
            <w:noProof/>
            <w:webHidden/>
          </w:rPr>
          <w:fldChar w:fldCharType="separate"/>
        </w:r>
        <w:r w:rsidR="001C4DE5">
          <w:rPr>
            <w:noProof/>
            <w:webHidden/>
          </w:rPr>
          <w:t>35</w:t>
        </w:r>
        <w:r w:rsidR="00341B9B" w:rsidRPr="00503F5B">
          <w:rPr>
            <w:noProof/>
            <w:webHidden/>
          </w:rPr>
          <w:fldChar w:fldCharType="end"/>
        </w:r>
      </w:hyperlink>
    </w:p>
    <w:p w14:paraId="5771006D" w14:textId="5F81EDE3" w:rsidR="00341B9B" w:rsidRPr="00503F5B" w:rsidRDefault="001A6758">
      <w:pPr>
        <w:pStyle w:val="TOC1"/>
        <w:rPr>
          <w:rFonts w:asciiTheme="minorHAnsi" w:hAnsiTheme="minorHAnsi" w:cstheme="minorBidi"/>
          <w:b w:val="0"/>
          <w:bCs w:val="0"/>
          <w:color w:val="auto"/>
          <w:sz w:val="22"/>
          <w:szCs w:val="22"/>
          <w:lang w:eastAsia="en-AU"/>
        </w:rPr>
      </w:pPr>
      <w:hyperlink w:anchor="_Toc35812666" w:history="1">
        <w:r w:rsidR="00341B9B" w:rsidRPr="00503F5B">
          <w:rPr>
            <w:rStyle w:val="Hyperlink"/>
          </w:rPr>
          <w:t>Section 2: Identification of the problem</w:t>
        </w:r>
        <w:r w:rsidR="00341B9B" w:rsidRPr="00503F5B">
          <w:rPr>
            <w:webHidden/>
          </w:rPr>
          <w:tab/>
        </w:r>
        <w:r w:rsidR="00341B9B" w:rsidRPr="00503F5B">
          <w:rPr>
            <w:webHidden/>
          </w:rPr>
          <w:fldChar w:fldCharType="begin"/>
        </w:r>
        <w:r w:rsidR="00341B9B" w:rsidRPr="00503F5B">
          <w:rPr>
            <w:webHidden/>
          </w:rPr>
          <w:instrText xml:space="preserve"> PAGEREF _Toc35812666 \h </w:instrText>
        </w:r>
        <w:r w:rsidR="00341B9B" w:rsidRPr="00503F5B">
          <w:rPr>
            <w:webHidden/>
          </w:rPr>
        </w:r>
        <w:r w:rsidR="00341B9B" w:rsidRPr="00503F5B">
          <w:rPr>
            <w:webHidden/>
          </w:rPr>
          <w:fldChar w:fldCharType="separate"/>
        </w:r>
        <w:r w:rsidR="001C4DE5">
          <w:rPr>
            <w:webHidden/>
          </w:rPr>
          <w:t>37</w:t>
        </w:r>
        <w:r w:rsidR="00341B9B" w:rsidRPr="00503F5B">
          <w:rPr>
            <w:webHidden/>
          </w:rPr>
          <w:fldChar w:fldCharType="end"/>
        </w:r>
      </w:hyperlink>
    </w:p>
    <w:p w14:paraId="252A3954" w14:textId="570FD601" w:rsidR="00341B9B" w:rsidRPr="00503F5B" w:rsidRDefault="001A6758">
      <w:pPr>
        <w:pStyle w:val="TOC2"/>
        <w:tabs>
          <w:tab w:val="right" w:leader="dot" w:pos="8212"/>
        </w:tabs>
        <w:rPr>
          <w:rFonts w:cstheme="minorBidi"/>
          <w:noProof/>
          <w:color w:val="auto"/>
          <w:lang w:eastAsia="en-AU"/>
        </w:rPr>
      </w:pPr>
      <w:hyperlink w:anchor="_Toc35812667" w:history="1">
        <w:r w:rsidR="00341B9B" w:rsidRPr="00503F5B">
          <w:rPr>
            <w:rStyle w:val="Hyperlink"/>
            <w:noProof/>
          </w:rPr>
          <w:t>2.1 Non-fee related problems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_Toc35812667 \h </w:instrText>
        </w:r>
        <w:r w:rsidR="00341B9B" w:rsidRPr="00503F5B">
          <w:rPr>
            <w:noProof/>
            <w:webHidden/>
          </w:rPr>
        </w:r>
        <w:r w:rsidR="00341B9B" w:rsidRPr="00503F5B">
          <w:rPr>
            <w:noProof/>
            <w:webHidden/>
          </w:rPr>
          <w:fldChar w:fldCharType="separate"/>
        </w:r>
        <w:r w:rsidR="001C4DE5">
          <w:rPr>
            <w:noProof/>
            <w:webHidden/>
          </w:rPr>
          <w:t>37</w:t>
        </w:r>
        <w:r w:rsidR="00341B9B" w:rsidRPr="00503F5B">
          <w:rPr>
            <w:noProof/>
            <w:webHidden/>
          </w:rPr>
          <w:fldChar w:fldCharType="end"/>
        </w:r>
      </w:hyperlink>
    </w:p>
    <w:p w14:paraId="5FE61C49" w14:textId="3577750A" w:rsidR="00341B9B" w:rsidRPr="00503F5B" w:rsidRDefault="001A6758">
      <w:pPr>
        <w:pStyle w:val="TOC3"/>
        <w:rPr>
          <w:rFonts w:cstheme="minorBidi"/>
          <w:i w:val="0"/>
          <w:iCs w:val="0"/>
          <w:noProof/>
          <w:color w:val="auto"/>
          <w:lang w:eastAsia="en-AU"/>
        </w:rPr>
      </w:pPr>
      <w:hyperlink w:anchor="_Toc35812668" w:history="1">
        <w:r w:rsidR="00341B9B" w:rsidRPr="00503F5B">
          <w:rPr>
            <w:rStyle w:val="Hyperlink"/>
            <w:noProof/>
          </w:rPr>
          <w:t>2.1.1 Public safety issues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_Toc35812668 \h </w:instrText>
        </w:r>
        <w:r w:rsidR="00341B9B" w:rsidRPr="00503F5B">
          <w:rPr>
            <w:noProof/>
            <w:webHidden/>
          </w:rPr>
        </w:r>
        <w:r w:rsidR="00341B9B" w:rsidRPr="00503F5B">
          <w:rPr>
            <w:noProof/>
            <w:webHidden/>
          </w:rPr>
          <w:fldChar w:fldCharType="separate"/>
        </w:r>
        <w:r w:rsidR="001C4DE5">
          <w:rPr>
            <w:noProof/>
            <w:webHidden/>
          </w:rPr>
          <w:t>37</w:t>
        </w:r>
        <w:r w:rsidR="00341B9B" w:rsidRPr="00503F5B">
          <w:rPr>
            <w:noProof/>
            <w:webHidden/>
          </w:rPr>
          <w:fldChar w:fldCharType="end"/>
        </w:r>
      </w:hyperlink>
    </w:p>
    <w:p w14:paraId="19D81562" w14:textId="4BCEA076" w:rsidR="00341B9B" w:rsidRPr="00503F5B" w:rsidRDefault="001A6758">
      <w:pPr>
        <w:pStyle w:val="TOC3"/>
        <w:rPr>
          <w:rFonts w:cstheme="minorBidi"/>
          <w:i w:val="0"/>
          <w:iCs w:val="0"/>
          <w:noProof/>
          <w:color w:val="auto"/>
          <w:lang w:eastAsia="en-AU"/>
        </w:rPr>
      </w:pPr>
      <w:hyperlink w:anchor="_Toc35812669" w:history="1">
        <w:r w:rsidR="00341B9B" w:rsidRPr="00503F5B">
          <w:rPr>
            <w:rStyle w:val="Hyperlink"/>
            <w:noProof/>
          </w:rPr>
          <w:t>2.1.2 Employment management issues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_Toc35812669 \h </w:instrText>
        </w:r>
        <w:r w:rsidR="00341B9B" w:rsidRPr="00503F5B">
          <w:rPr>
            <w:noProof/>
            <w:webHidden/>
          </w:rPr>
        </w:r>
        <w:r w:rsidR="00341B9B" w:rsidRPr="00503F5B">
          <w:rPr>
            <w:noProof/>
            <w:webHidden/>
          </w:rPr>
          <w:fldChar w:fldCharType="separate"/>
        </w:r>
        <w:r w:rsidR="001C4DE5">
          <w:rPr>
            <w:noProof/>
            <w:webHidden/>
          </w:rPr>
          <w:t>38</w:t>
        </w:r>
        <w:r w:rsidR="00341B9B" w:rsidRPr="00503F5B">
          <w:rPr>
            <w:noProof/>
            <w:webHidden/>
          </w:rPr>
          <w:fldChar w:fldCharType="end"/>
        </w:r>
      </w:hyperlink>
    </w:p>
    <w:p w14:paraId="11B9038E" w14:textId="5FD8EAEA" w:rsidR="00341B9B" w:rsidRPr="00503F5B" w:rsidRDefault="001A6758">
      <w:pPr>
        <w:pStyle w:val="TOC2"/>
        <w:tabs>
          <w:tab w:val="right" w:leader="dot" w:pos="8212"/>
        </w:tabs>
        <w:rPr>
          <w:rFonts w:cstheme="minorBidi"/>
          <w:noProof/>
          <w:color w:val="auto"/>
          <w:lang w:eastAsia="en-AU"/>
        </w:rPr>
      </w:pPr>
      <w:hyperlink w:anchor="_Toc35812670" w:history="1">
        <w:r w:rsidR="00341B9B" w:rsidRPr="00503F5B">
          <w:rPr>
            <w:rStyle w:val="Hyperlink"/>
            <w:noProof/>
          </w:rPr>
          <w:t>2.2 Fee-related problems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_Toc35812670 \h </w:instrText>
        </w:r>
        <w:r w:rsidR="00341B9B" w:rsidRPr="00503F5B">
          <w:rPr>
            <w:noProof/>
            <w:webHidden/>
          </w:rPr>
        </w:r>
        <w:r w:rsidR="00341B9B" w:rsidRPr="00503F5B">
          <w:rPr>
            <w:noProof/>
            <w:webHidden/>
          </w:rPr>
          <w:fldChar w:fldCharType="separate"/>
        </w:r>
        <w:r w:rsidR="001C4DE5">
          <w:rPr>
            <w:noProof/>
            <w:webHidden/>
          </w:rPr>
          <w:t>39</w:t>
        </w:r>
        <w:r w:rsidR="00341B9B" w:rsidRPr="00503F5B">
          <w:rPr>
            <w:noProof/>
            <w:webHidden/>
          </w:rPr>
          <w:fldChar w:fldCharType="end"/>
        </w:r>
      </w:hyperlink>
    </w:p>
    <w:p w14:paraId="01CA25D9" w14:textId="5A8235D4" w:rsidR="00341B9B" w:rsidRPr="00503F5B" w:rsidRDefault="001A6758">
      <w:pPr>
        <w:pStyle w:val="TOC3"/>
        <w:rPr>
          <w:rFonts w:cstheme="minorBidi"/>
          <w:i w:val="0"/>
          <w:iCs w:val="0"/>
          <w:noProof/>
          <w:color w:val="auto"/>
          <w:lang w:eastAsia="en-AU"/>
        </w:rPr>
      </w:pPr>
      <w:hyperlink w:anchor="_Toc35812671" w:history="1">
        <w:r w:rsidR="00341B9B" w:rsidRPr="00503F5B">
          <w:rPr>
            <w:rStyle w:val="Hyperlink"/>
            <w:noProof/>
          </w:rPr>
          <w:t>2.2.1 The need for provision of services that gives rise to costs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_Toc35812671 \h </w:instrText>
        </w:r>
        <w:r w:rsidR="00341B9B" w:rsidRPr="00503F5B">
          <w:rPr>
            <w:noProof/>
            <w:webHidden/>
          </w:rPr>
        </w:r>
        <w:r w:rsidR="00341B9B" w:rsidRPr="00503F5B">
          <w:rPr>
            <w:noProof/>
            <w:webHidden/>
          </w:rPr>
          <w:fldChar w:fldCharType="separate"/>
        </w:r>
        <w:r w:rsidR="001C4DE5">
          <w:rPr>
            <w:noProof/>
            <w:webHidden/>
          </w:rPr>
          <w:t>39</w:t>
        </w:r>
        <w:r w:rsidR="00341B9B" w:rsidRPr="00503F5B">
          <w:rPr>
            <w:noProof/>
            <w:webHidden/>
          </w:rPr>
          <w:fldChar w:fldCharType="end"/>
        </w:r>
      </w:hyperlink>
    </w:p>
    <w:p w14:paraId="431A9F58" w14:textId="58F9FD99" w:rsidR="00341B9B" w:rsidRPr="00503F5B" w:rsidRDefault="001A6758">
      <w:pPr>
        <w:pStyle w:val="TOC3"/>
        <w:rPr>
          <w:rFonts w:cstheme="minorBidi"/>
          <w:i w:val="0"/>
          <w:iCs w:val="0"/>
          <w:noProof/>
          <w:color w:val="auto"/>
          <w:lang w:eastAsia="en-AU"/>
        </w:rPr>
      </w:pPr>
      <w:hyperlink w:anchor="_Toc35812672" w:history="1">
        <w:r w:rsidR="00341B9B" w:rsidRPr="00503F5B">
          <w:rPr>
            <w:rStyle w:val="Hyperlink"/>
            <w:noProof/>
          </w:rPr>
          <w:t>2.2.2 Shortfall in revenue for fire protection services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_Toc35812672 \h </w:instrText>
        </w:r>
        <w:r w:rsidR="00341B9B" w:rsidRPr="00503F5B">
          <w:rPr>
            <w:noProof/>
            <w:webHidden/>
          </w:rPr>
        </w:r>
        <w:r w:rsidR="00341B9B" w:rsidRPr="00503F5B">
          <w:rPr>
            <w:noProof/>
            <w:webHidden/>
          </w:rPr>
          <w:fldChar w:fldCharType="separate"/>
        </w:r>
        <w:r w:rsidR="001C4DE5">
          <w:rPr>
            <w:noProof/>
            <w:webHidden/>
          </w:rPr>
          <w:t>45</w:t>
        </w:r>
        <w:r w:rsidR="00341B9B" w:rsidRPr="00503F5B">
          <w:rPr>
            <w:noProof/>
            <w:webHidden/>
          </w:rPr>
          <w:fldChar w:fldCharType="end"/>
        </w:r>
      </w:hyperlink>
    </w:p>
    <w:p w14:paraId="6F5FBE92" w14:textId="746C1A74" w:rsidR="00341B9B" w:rsidRPr="00503F5B" w:rsidRDefault="001A6758">
      <w:pPr>
        <w:pStyle w:val="TOC3"/>
        <w:rPr>
          <w:rFonts w:cstheme="minorBidi"/>
          <w:i w:val="0"/>
          <w:iCs w:val="0"/>
          <w:noProof/>
          <w:color w:val="auto"/>
          <w:lang w:eastAsia="en-AU"/>
        </w:rPr>
      </w:pPr>
      <w:hyperlink w:anchor="_Toc35812673" w:history="1">
        <w:r w:rsidR="00341B9B" w:rsidRPr="00503F5B">
          <w:rPr>
            <w:rStyle w:val="Hyperlink"/>
            <w:noProof/>
          </w:rPr>
          <w:t>2.2.3 Risk of increase in false alarms calls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_Toc35812673 \h </w:instrText>
        </w:r>
        <w:r w:rsidR="00341B9B" w:rsidRPr="00503F5B">
          <w:rPr>
            <w:noProof/>
            <w:webHidden/>
          </w:rPr>
        </w:r>
        <w:r w:rsidR="00341B9B" w:rsidRPr="00503F5B">
          <w:rPr>
            <w:noProof/>
            <w:webHidden/>
          </w:rPr>
          <w:fldChar w:fldCharType="separate"/>
        </w:r>
        <w:r w:rsidR="001C4DE5">
          <w:rPr>
            <w:noProof/>
            <w:webHidden/>
          </w:rPr>
          <w:t>45</w:t>
        </w:r>
        <w:r w:rsidR="00341B9B" w:rsidRPr="00503F5B">
          <w:rPr>
            <w:noProof/>
            <w:webHidden/>
          </w:rPr>
          <w:fldChar w:fldCharType="end"/>
        </w:r>
      </w:hyperlink>
    </w:p>
    <w:p w14:paraId="471EE272" w14:textId="12F722A7" w:rsidR="00341B9B" w:rsidRPr="00503F5B" w:rsidRDefault="001A6758">
      <w:pPr>
        <w:pStyle w:val="TOC2"/>
        <w:tabs>
          <w:tab w:val="right" w:leader="dot" w:pos="8212"/>
        </w:tabs>
        <w:rPr>
          <w:rFonts w:cstheme="minorBidi"/>
          <w:noProof/>
          <w:color w:val="auto"/>
          <w:lang w:eastAsia="en-AU"/>
        </w:rPr>
      </w:pPr>
      <w:hyperlink w:anchor="_Toc35812674" w:history="1">
        <w:r w:rsidR="00341B9B" w:rsidRPr="00503F5B">
          <w:rPr>
            <w:rStyle w:val="Hyperlink"/>
            <w:noProof/>
          </w:rPr>
          <w:t>2.3 The need for cost recovery and government policy</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_Toc35812674 \h </w:instrText>
        </w:r>
        <w:r w:rsidR="00341B9B" w:rsidRPr="00503F5B">
          <w:rPr>
            <w:noProof/>
            <w:webHidden/>
          </w:rPr>
        </w:r>
        <w:r w:rsidR="00341B9B" w:rsidRPr="00503F5B">
          <w:rPr>
            <w:noProof/>
            <w:webHidden/>
          </w:rPr>
          <w:fldChar w:fldCharType="separate"/>
        </w:r>
        <w:r w:rsidR="001C4DE5">
          <w:rPr>
            <w:noProof/>
            <w:webHidden/>
          </w:rPr>
          <w:t>52</w:t>
        </w:r>
        <w:r w:rsidR="00341B9B" w:rsidRPr="00503F5B">
          <w:rPr>
            <w:noProof/>
            <w:webHidden/>
          </w:rPr>
          <w:fldChar w:fldCharType="end"/>
        </w:r>
      </w:hyperlink>
    </w:p>
    <w:p w14:paraId="06E20F8D" w14:textId="31E9817B" w:rsidR="00341B9B" w:rsidRPr="00503F5B" w:rsidRDefault="001A6758">
      <w:pPr>
        <w:pStyle w:val="TOC3"/>
        <w:rPr>
          <w:rFonts w:cstheme="minorBidi"/>
          <w:i w:val="0"/>
          <w:iCs w:val="0"/>
          <w:noProof/>
          <w:color w:val="auto"/>
          <w:lang w:eastAsia="en-AU"/>
        </w:rPr>
      </w:pPr>
      <w:hyperlink w:anchor="_Toc35812675" w:history="1">
        <w:r w:rsidR="00341B9B" w:rsidRPr="00503F5B">
          <w:rPr>
            <w:rStyle w:val="Hyperlink"/>
            <w:noProof/>
          </w:rPr>
          <w:t>2.3.1 Efficiency objective</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_Toc35812675 \h </w:instrText>
        </w:r>
        <w:r w:rsidR="00341B9B" w:rsidRPr="00503F5B">
          <w:rPr>
            <w:noProof/>
            <w:webHidden/>
          </w:rPr>
        </w:r>
        <w:r w:rsidR="00341B9B" w:rsidRPr="00503F5B">
          <w:rPr>
            <w:noProof/>
            <w:webHidden/>
          </w:rPr>
          <w:fldChar w:fldCharType="separate"/>
        </w:r>
        <w:r w:rsidR="001C4DE5">
          <w:rPr>
            <w:noProof/>
            <w:webHidden/>
          </w:rPr>
          <w:t>52</w:t>
        </w:r>
        <w:r w:rsidR="00341B9B" w:rsidRPr="00503F5B">
          <w:rPr>
            <w:noProof/>
            <w:webHidden/>
          </w:rPr>
          <w:fldChar w:fldCharType="end"/>
        </w:r>
      </w:hyperlink>
    </w:p>
    <w:p w14:paraId="297B496C" w14:textId="6A2860C6" w:rsidR="00341B9B" w:rsidRPr="00503F5B" w:rsidRDefault="001A6758">
      <w:pPr>
        <w:pStyle w:val="TOC3"/>
        <w:rPr>
          <w:rFonts w:cstheme="minorBidi"/>
          <w:i w:val="0"/>
          <w:iCs w:val="0"/>
          <w:noProof/>
          <w:color w:val="auto"/>
          <w:lang w:eastAsia="en-AU"/>
        </w:rPr>
      </w:pPr>
      <w:hyperlink w:anchor="_Toc35812676" w:history="1">
        <w:r w:rsidR="00341B9B" w:rsidRPr="00503F5B">
          <w:rPr>
            <w:rStyle w:val="Hyperlink"/>
            <w:noProof/>
          </w:rPr>
          <w:t>2.3.2 Equity objective</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_Toc35812676 \h </w:instrText>
        </w:r>
        <w:r w:rsidR="00341B9B" w:rsidRPr="00503F5B">
          <w:rPr>
            <w:noProof/>
            <w:webHidden/>
          </w:rPr>
        </w:r>
        <w:r w:rsidR="00341B9B" w:rsidRPr="00503F5B">
          <w:rPr>
            <w:noProof/>
            <w:webHidden/>
          </w:rPr>
          <w:fldChar w:fldCharType="separate"/>
        </w:r>
        <w:r w:rsidR="001C4DE5">
          <w:rPr>
            <w:noProof/>
            <w:webHidden/>
          </w:rPr>
          <w:t>53</w:t>
        </w:r>
        <w:r w:rsidR="00341B9B" w:rsidRPr="00503F5B">
          <w:rPr>
            <w:noProof/>
            <w:webHidden/>
          </w:rPr>
          <w:fldChar w:fldCharType="end"/>
        </w:r>
      </w:hyperlink>
    </w:p>
    <w:p w14:paraId="79BC8CB9" w14:textId="4DE860D7" w:rsidR="00341B9B" w:rsidRPr="00503F5B" w:rsidRDefault="001A6758">
      <w:pPr>
        <w:pStyle w:val="TOC3"/>
        <w:rPr>
          <w:rFonts w:cstheme="minorBidi"/>
          <w:i w:val="0"/>
          <w:iCs w:val="0"/>
          <w:noProof/>
          <w:color w:val="auto"/>
          <w:lang w:eastAsia="en-AU"/>
        </w:rPr>
      </w:pPr>
      <w:hyperlink w:anchor="_Toc35812677" w:history="1">
        <w:r w:rsidR="00341B9B" w:rsidRPr="00503F5B">
          <w:rPr>
            <w:rStyle w:val="Hyperlink"/>
            <w:noProof/>
          </w:rPr>
          <w:t>2.3.3 Effectiveness of fees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_Toc35812677 \h </w:instrText>
        </w:r>
        <w:r w:rsidR="00341B9B" w:rsidRPr="00503F5B">
          <w:rPr>
            <w:noProof/>
            <w:webHidden/>
          </w:rPr>
        </w:r>
        <w:r w:rsidR="00341B9B" w:rsidRPr="00503F5B">
          <w:rPr>
            <w:noProof/>
            <w:webHidden/>
          </w:rPr>
          <w:fldChar w:fldCharType="separate"/>
        </w:r>
        <w:r w:rsidR="001C4DE5">
          <w:rPr>
            <w:noProof/>
            <w:webHidden/>
          </w:rPr>
          <w:t>54</w:t>
        </w:r>
        <w:r w:rsidR="00341B9B" w:rsidRPr="00503F5B">
          <w:rPr>
            <w:noProof/>
            <w:webHidden/>
          </w:rPr>
          <w:fldChar w:fldCharType="end"/>
        </w:r>
      </w:hyperlink>
    </w:p>
    <w:p w14:paraId="516F82E7" w14:textId="0563489E" w:rsidR="00341B9B" w:rsidRPr="00503F5B" w:rsidRDefault="001A6758">
      <w:pPr>
        <w:pStyle w:val="TOC1"/>
        <w:rPr>
          <w:rFonts w:asciiTheme="minorHAnsi" w:hAnsiTheme="minorHAnsi" w:cstheme="minorBidi"/>
          <w:b w:val="0"/>
          <w:bCs w:val="0"/>
          <w:color w:val="auto"/>
          <w:sz w:val="22"/>
          <w:szCs w:val="22"/>
          <w:lang w:eastAsia="en-AU"/>
        </w:rPr>
      </w:pPr>
      <w:hyperlink w:anchor="_Toc35812678" w:history="1">
        <w:r w:rsidR="00341B9B" w:rsidRPr="00503F5B">
          <w:rPr>
            <w:rStyle w:val="Hyperlink"/>
          </w:rPr>
          <w:t>Section 3: Specification of the desired objectives</w:t>
        </w:r>
        <w:r w:rsidR="00341B9B" w:rsidRPr="00503F5B">
          <w:rPr>
            <w:webHidden/>
          </w:rPr>
          <w:tab/>
        </w:r>
        <w:r w:rsidR="00341B9B" w:rsidRPr="00503F5B">
          <w:rPr>
            <w:webHidden/>
          </w:rPr>
          <w:fldChar w:fldCharType="begin"/>
        </w:r>
        <w:r w:rsidR="00341B9B" w:rsidRPr="00503F5B">
          <w:rPr>
            <w:webHidden/>
          </w:rPr>
          <w:instrText xml:space="preserve"> PAGEREF _Toc35812678 \h </w:instrText>
        </w:r>
        <w:r w:rsidR="00341B9B" w:rsidRPr="00503F5B">
          <w:rPr>
            <w:webHidden/>
          </w:rPr>
        </w:r>
        <w:r w:rsidR="00341B9B" w:rsidRPr="00503F5B">
          <w:rPr>
            <w:webHidden/>
          </w:rPr>
          <w:fldChar w:fldCharType="separate"/>
        </w:r>
        <w:r w:rsidR="001C4DE5">
          <w:rPr>
            <w:webHidden/>
          </w:rPr>
          <w:t>59</w:t>
        </w:r>
        <w:r w:rsidR="00341B9B" w:rsidRPr="00503F5B">
          <w:rPr>
            <w:webHidden/>
          </w:rPr>
          <w:fldChar w:fldCharType="end"/>
        </w:r>
      </w:hyperlink>
    </w:p>
    <w:p w14:paraId="3DFDAEC3" w14:textId="1B6FFA31" w:rsidR="00341B9B" w:rsidRPr="00503F5B" w:rsidRDefault="001A6758">
      <w:pPr>
        <w:pStyle w:val="TOC1"/>
        <w:rPr>
          <w:rFonts w:asciiTheme="minorHAnsi" w:hAnsiTheme="minorHAnsi" w:cstheme="minorBidi"/>
          <w:b w:val="0"/>
          <w:bCs w:val="0"/>
          <w:color w:val="auto"/>
          <w:sz w:val="22"/>
          <w:szCs w:val="22"/>
          <w:lang w:eastAsia="en-AU"/>
        </w:rPr>
      </w:pPr>
      <w:hyperlink w:anchor="_Toc35812679" w:history="1">
        <w:r w:rsidR="00341B9B" w:rsidRPr="00503F5B">
          <w:rPr>
            <w:rStyle w:val="Hyperlink"/>
          </w:rPr>
          <w:t>Section 4:  Identification of viable options to achieve objectives</w:t>
        </w:r>
        <w:r w:rsidR="00341B9B" w:rsidRPr="00503F5B">
          <w:rPr>
            <w:webHidden/>
          </w:rPr>
          <w:tab/>
        </w:r>
        <w:r w:rsidR="00341B9B" w:rsidRPr="00503F5B">
          <w:rPr>
            <w:webHidden/>
          </w:rPr>
          <w:fldChar w:fldCharType="begin"/>
        </w:r>
        <w:r w:rsidR="00341B9B" w:rsidRPr="00503F5B">
          <w:rPr>
            <w:webHidden/>
          </w:rPr>
          <w:instrText xml:space="preserve"> PAGEREF _Toc35812679 \h </w:instrText>
        </w:r>
        <w:r w:rsidR="00341B9B" w:rsidRPr="00503F5B">
          <w:rPr>
            <w:webHidden/>
          </w:rPr>
        </w:r>
        <w:r w:rsidR="00341B9B" w:rsidRPr="00503F5B">
          <w:rPr>
            <w:webHidden/>
          </w:rPr>
          <w:fldChar w:fldCharType="separate"/>
        </w:r>
        <w:r w:rsidR="001C4DE5">
          <w:rPr>
            <w:webHidden/>
          </w:rPr>
          <w:t>61</w:t>
        </w:r>
        <w:r w:rsidR="00341B9B" w:rsidRPr="00503F5B">
          <w:rPr>
            <w:webHidden/>
          </w:rPr>
          <w:fldChar w:fldCharType="end"/>
        </w:r>
      </w:hyperlink>
    </w:p>
    <w:p w14:paraId="48263652" w14:textId="4A509B06" w:rsidR="00341B9B" w:rsidRPr="00503F5B" w:rsidRDefault="001A6758">
      <w:pPr>
        <w:pStyle w:val="TOC1"/>
        <w:rPr>
          <w:rFonts w:asciiTheme="minorHAnsi" w:hAnsiTheme="minorHAnsi" w:cstheme="minorBidi"/>
          <w:b w:val="0"/>
          <w:bCs w:val="0"/>
          <w:color w:val="auto"/>
          <w:sz w:val="22"/>
          <w:szCs w:val="22"/>
          <w:lang w:eastAsia="en-AU"/>
        </w:rPr>
      </w:pPr>
      <w:hyperlink w:anchor="_Toc35812680" w:history="1">
        <w:r w:rsidR="00341B9B" w:rsidRPr="00503F5B">
          <w:rPr>
            <w:rStyle w:val="Hyperlink"/>
          </w:rPr>
          <w:t>Section 5: Costs and benefits of the options</w:t>
        </w:r>
        <w:r w:rsidR="00341B9B" w:rsidRPr="00503F5B">
          <w:rPr>
            <w:webHidden/>
          </w:rPr>
          <w:tab/>
        </w:r>
        <w:r w:rsidR="00341B9B" w:rsidRPr="00503F5B">
          <w:rPr>
            <w:webHidden/>
          </w:rPr>
          <w:fldChar w:fldCharType="begin"/>
        </w:r>
        <w:r w:rsidR="00341B9B" w:rsidRPr="00503F5B">
          <w:rPr>
            <w:webHidden/>
          </w:rPr>
          <w:instrText xml:space="preserve"> PAGEREF _Toc35812680 \h </w:instrText>
        </w:r>
        <w:r w:rsidR="00341B9B" w:rsidRPr="00503F5B">
          <w:rPr>
            <w:webHidden/>
          </w:rPr>
        </w:r>
        <w:r w:rsidR="00341B9B" w:rsidRPr="00503F5B">
          <w:rPr>
            <w:webHidden/>
          </w:rPr>
          <w:fldChar w:fldCharType="separate"/>
        </w:r>
        <w:r w:rsidR="001C4DE5">
          <w:rPr>
            <w:webHidden/>
          </w:rPr>
          <w:t>68</w:t>
        </w:r>
        <w:r w:rsidR="00341B9B" w:rsidRPr="00503F5B">
          <w:rPr>
            <w:webHidden/>
          </w:rPr>
          <w:fldChar w:fldCharType="end"/>
        </w:r>
      </w:hyperlink>
    </w:p>
    <w:p w14:paraId="7CFECC90" w14:textId="2ABA33CC" w:rsidR="00341B9B" w:rsidRPr="00503F5B" w:rsidRDefault="001A6758">
      <w:pPr>
        <w:pStyle w:val="TOC2"/>
        <w:tabs>
          <w:tab w:val="right" w:leader="dot" w:pos="8212"/>
        </w:tabs>
        <w:rPr>
          <w:rFonts w:cstheme="minorBidi"/>
          <w:noProof/>
          <w:color w:val="auto"/>
          <w:lang w:eastAsia="en-AU"/>
        </w:rPr>
      </w:pPr>
      <w:hyperlink w:anchor="_Toc35812681" w:history="1">
        <w:r w:rsidR="00341B9B" w:rsidRPr="00503F5B">
          <w:rPr>
            <w:rStyle w:val="Hyperlink"/>
            <w:noProof/>
          </w:rPr>
          <w:t>5.1 The assessment of costs and benefits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_Toc35812681 \h </w:instrText>
        </w:r>
        <w:r w:rsidR="00341B9B" w:rsidRPr="00503F5B">
          <w:rPr>
            <w:noProof/>
            <w:webHidden/>
          </w:rPr>
        </w:r>
        <w:r w:rsidR="00341B9B" w:rsidRPr="00503F5B">
          <w:rPr>
            <w:noProof/>
            <w:webHidden/>
          </w:rPr>
          <w:fldChar w:fldCharType="separate"/>
        </w:r>
        <w:r w:rsidR="001C4DE5">
          <w:rPr>
            <w:noProof/>
            <w:webHidden/>
          </w:rPr>
          <w:t>68</w:t>
        </w:r>
        <w:r w:rsidR="00341B9B" w:rsidRPr="00503F5B">
          <w:rPr>
            <w:noProof/>
            <w:webHidden/>
          </w:rPr>
          <w:fldChar w:fldCharType="end"/>
        </w:r>
      </w:hyperlink>
    </w:p>
    <w:p w14:paraId="55FABC47" w14:textId="6BFA1686" w:rsidR="00341B9B" w:rsidRPr="00503F5B" w:rsidRDefault="001A6758">
      <w:pPr>
        <w:pStyle w:val="TOC3"/>
        <w:rPr>
          <w:rFonts w:cstheme="minorBidi"/>
          <w:i w:val="0"/>
          <w:iCs w:val="0"/>
          <w:noProof/>
          <w:color w:val="auto"/>
          <w:lang w:eastAsia="en-AU"/>
        </w:rPr>
      </w:pPr>
      <w:hyperlink w:anchor="_Toc35812682" w:history="1">
        <w:r w:rsidR="00341B9B" w:rsidRPr="00503F5B">
          <w:rPr>
            <w:rStyle w:val="Hyperlink"/>
            <w:noProof/>
          </w:rPr>
          <w:t>5.2 Efficiency criterion – analysis of options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_Toc35812682 \h </w:instrText>
        </w:r>
        <w:r w:rsidR="00341B9B" w:rsidRPr="00503F5B">
          <w:rPr>
            <w:noProof/>
            <w:webHidden/>
          </w:rPr>
        </w:r>
        <w:r w:rsidR="00341B9B" w:rsidRPr="00503F5B">
          <w:rPr>
            <w:noProof/>
            <w:webHidden/>
          </w:rPr>
          <w:fldChar w:fldCharType="separate"/>
        </w:r>
        <w:r w:rsidR="001C4DE5">
          <w:rPr>
            <w:noProof/>
            <w:webHidden/>
          </w:rPr>
          <w:t>69</w:t>
        </w:r>
        <w:r w:rsidR="00341B9B" w:rsidRPr="00503F5B">
          <w:rPr>
            <w:noProof/>
            <w:webHidden/>
          </w:rPr>
          <w:fldChar w:fldCharType="end"/>
        </w:r>
      </w:hyperlink>
    </w:p>
    <w:p w14:paraId="0F15D553" w14:textId="66C07077" w:rsidR="00341B9B" w:rsidRPr="00503F5B" w:rsidRDefault="001A6758">
      <w:pPr>
        <w:pStyle w:val="TOC2"/>
        <w:tabs>
          <w:tab w:val="right" w:leader="dot" w:pos="8212"/>
        </w:tabs>
        <w:rPr>
          <w:rFonts w:cstheme="minorBidi"/>
          <w:noProof/>
          <w:color w:val="auto"/>
          <w:lang w:eastAsia="en-AU"/>
        </w:rPr>
      </w:pPr>
      <w:hyperlink w:anchor="_Toc35812683" w:history="1">
        <w:r w:rsidR="00341B9B" w:rsidRPr="00503F5B">
          <w:rPr>
            <w:rStyle w:val="Hyperlink"/>
            <w:noProof/>
          </w:rPr>
          <w:t>5.2 Equity criterion – analysis of options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_Toc35812683 \h </w:instrText>
        </w:r>
        <w:r w:rsidR="00341B9B" w:rsidRPr="00503F5B">
          <w:rPr>
            <w:noProof/>
            <w:webHidden/>
          </w:rPr>
        </w:r>
        <w:r w:rsidR="00341B9B" w:rsidRPr="00503F5B">
          <w:rPr>
            <w:noProof/>
            <w:webHidden/>
          </w:rPr>
          <w:fldChar w:fldCharType="separate"/>
        </w:r>
        <w:r w:rsidR="001C4DE5">
          <w:rPr>
            <w:noProof/>
            <w:webHidden/>
          </w:rPr>
          <w:t>71</w:t>
        </w:r>
        <w:r w:rsidR="00341B9B" w:rsidRPr="00503F5B">
          <w:rPr>
            <w:noProof/>
            <w:webHidden/>
          </w:rPr>
          <w:fldChar w:fldCharType="end"/>
        </w:r>
      </w:hyperlink>
    </w:p>
    <w:p w14:paraId="53A58959" w14:textId="64F6ADFD" w:rsidR="00341B9B" w:rsidRPr="00503F5B" w:rsidRDefault="001A6758">
      <w:pPr>
        <w:pStyle w:val="TOC2"/>
        <w:tabs>
          <w:tab w:val="right" w:leader="dot" w:pos="8212"/>
        </w:tabs>
        <w:rPr>
          <w:rFonts w:cstheme="minorBidi"/>
          <w:noProof/>
          <w:color w:val="auto"/>
          <w:lang w:eastAsia="en-AU"/>
        </w:rPr>
      </w:pPr>
      <w:hyperlink w:anchor="_Toc35812684" w:history="1">
        <w:r w:rsidR="00341B9B" w:rsidRPr="00503F5B">
          <w:rPr>
            <w:rStyle w:val="Hyperlink"/>
            <w:noProof/>
          </w:rPr>
          <w:t>5.3 Effectiveness criterion – analysis of options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_Toc35812684 \h </w:instrText>
        </w:r>
        <w:r w:rsidR="00341B9B" w:rsidRPr="00503F5B">
          <w:rPr>
            <w:noProof/>
            <w:webHidden/>
          </w:rPr>
        </w:r>
        <w:r w:rsidR="00341B9B" w:rsidRPr="00503F5B">
          <w:rPr>
            <w:noProof/>
            <w:webHidden/>
          </w:rPr>
          <w:fldChar w:fldCharType="separate"/>
        </w:r>
        <w:r w:rsidR="001C4DE5">
          <w:rPr>
            <w:noProof/>
            <w:webHidden/>
          </w:rPr>
          <w:t>72</w:t>
        </w:r>
        <w:r w:rsidR="00341B9B" w:rsidRPr="00503F5B">
          <w:rPr>
            <w:noProof/>
            <w:webHidden/>
          </w:rPr>
          <w:fldChar w:fldCharType="end"/>
        </w:r>
      </w:hyperlink>
    </w:p>
    <w:p w14:paraId="1092FE04" w14:textId="3D9493E0" w:rsidR="00341B9B" w:rsidRPr="00503F5B" w:rsidRDefault="001A6758">
      <w:pPr>
        <w:pStyle w:val="TOC2"/>
        <w:tabs>
          <w:tab w:val="right" w:leader="dot" w:pos="8212"/>
        </w:tabs>
        <w:rPr>
          <w:rFonts w:cstheme="minorBidi"/>
          <w:noProof/>
          <w:color w:val="auto"/>
          <w:lang w:eastAsia="en-AU"/>
        </w:rPr>
      </w:pPr>
      <w:hyperlink w:anchor="_Toc35812685" w:history="1">
        <w:r w:rsidR="00341B9B" w:rsidRPr="00503F5B">
          <w:rPr>
            <w:rStyle w:val="Hyperlink"/>
            <w:noProof/>
          </w:rPr>
          <w:t>5.4 Sensitivity analysis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_Toc35812685 \h </w:instrText>
        </w:r>
        <w:r w:rsidR="00341B9B" w:rsidRPr="00503F5B">
          <w:rPr>
            <w:noProof/>
            <w:webHidden/>
          </w:rPr>
        </w:r>
        <w:r w:rsidR="00341B9B" w:rsidRPr="00503F5B">
          <w:rPr>
            <w:noProof/>
            <w:webHidden/>
          </w:rPr>
          <w:fldChar w:fldCharType="separate"/>
        </w:r>
        <w:r w:rsidR="001C4DE5">
          <w:rPr>
            <w:noProof/>
            <w:webHidden/>
          </w:rPr>
          <w:t>75</w:t>
        </w:r>
        <w:r w:rsidR="00341B9B" w:rsidRPr="00503F5B">
          <w:rPr>
            <w:noProof/>
            <w:webHidden/>
          </w:rPr>
          <w:fldChar w:fldCharType="end"/>
        </w:r>
      </w:hyperlink>
    </w:p>
    <w:p w14:paraId="72279B65" w14:textId="78BBC965" w:rsidR="00341B9B" w:rsidRPr="00503F5B" w:rsidRDefault="001A6758">
      <w:pPr>
        <w:pStyle w:val="TOC1"/>
        <w:rPr>
          <w:rFonts w:asciiTheme="minorHAnsi" w:hAnsiTheme="minorHAnsi" w:cstheme="minorBidi"/>
          <w:b w:val="0"/>
          <w:bCs w:val="0"/>
          <w:color w:val="auto"/>
          <w:sz w:val="22"/>
          <w:szCs w:val="22"/>
          <w:lang w:eastAsia="en-AU"/>
        </w:rPr>
      </w:pPr>
      <w:hyperlink w:anchor="_Toc35812686" w:history="1">
        <w:r w:rsidR="00341B9B" w:rsidRPr="00503F5B">
          <w:rPr>
            <w:rStyle w:val="Hyperlink"/>
          </w:rPr>
          <w:t>Section 7: Impact on small business</w:t>
        </w:r>
        <w:r w:rsidR="00341B9B" w:rsidRPr="00503F5B">
          <w:rPr>
            <w:webHidden/>
          </w:rPr>
          <w:tab/>
        </w:r>
        <w:r w:rsidR="00341B9B" w:rsidRPr="00503F5B">
          <w:rPr>
            <w:webHidden/>
          </w:rPr>
          <w:fldChar w:fldCharType="begin"/>
        </w:r>
        <w:r w:rsidR="00341B9B" w:rsidRPr="00503F5B">
          <w:rPr>
            <w:webHidden/>
          </w:rPr>
          <w:instrText xml:space="preserve"> PAGEREF _Toc35812686 \h </w:instrText>
        </w:r>
        <w:r w:rsidR="00341B9B" w:rsidRPr="00503F5B">
          <w:rPr>
            <w:webHidden/>
          </w:rPr>
        </w:r>
        <w:r w:rsidR="00341B9B" w:rsidRPr="00503F5B">
          <w:rPr>
            <w:webHidden/>
          </w:rPr>
          <w:fldChar w:fldCharType="separate"/>
        </w:r>
        <w:r w:rsidR="001C4DE5">
          <w:rPr>
            <w:webHidden/>
          </w:rPr>
          <w:t>76</w:t>
        </w:r>
        <w:r w:rsidR="00341B9B" w:rsidRPr="00503F5B">
          <w:rPr>
            <w:webHidden/>
          </w:rPr>
          <w:fldChar w:fldCharType="end"/>
        </w:r>
      </w:hyperlink>
    </w:p>
    <w:p w14:paraId="74815784" w14:textId="614C5E83" w:rsidR="00341B9B" w:rsidRPr="00503F5B" w:rsidRDefault="001A6758">
      <w:pPr>
        <w:pStyle w:val="TOC1"/>
        <w:rPr>
          <w:rFonts w:asciiTheme="minorHAnsi" w:hAnsiTheme="minorHAnsi" w:cstheme="minorBidi"/>
          <w:b w:val="0"/>
          <w:bCs w:val="0"/>
          <w:color w:val="auto"/>
          <w:sz w:val="22"/>
          <w:szCs w:val="22"/>
          <w:lang w:eastAsia="en-AU"/>
        </w:rPr>
      </w:pPr>
      <w:hyperlink w:anchor="_Toc35812687" w:history="1">
        <w:r w:rsidR="00341B9B" w:rsidRPr="00503F5B">
          <w:rPr>
            <w:rStyle w:val="Hyperlink"/>
          </w:rPr>
          <w:t>Section 8: Competition Impact</w:t>
        </w:r>
        <w:r w:rsidR="00341B9B" w:rsidRPr="00503F5B">
          <w:rPr>
            <w:webHidden/>
          </w:rPr>
          <w:tab/>
        </w:r>
        <w:r w:rsidR="00341B9B" w:rsidRPr="00503F5B">
          <w:rPr>
            <w:webHidden/>
          </w:rPr>
          <w:fldChar w:fldCharType="begin"/>
        </w:r>
        <w:r w:rsidR="00341B9B" w:rsidRPr="00503F5B">
          <w:rPr>
            <w:webHidden/>
          </w:rPr>
          <w:instrText xml:space="preserve"> PAGEREF _Toc35812687 \h </w:instrText>
        </w:r>
        <w:r w:rsidR="00341B9B" w:rsidRPr="00503F5B">
          <w:rPr>
            <w:webHidden/>
          </w:rPr>
        </w:r>
        <w:r w:rsidR="00341B9B" w:rsidRPr="00503F5B">
          <w:rPr>
            <w:webHidden/>
          </w:rPr>
          <w:fldChar w:fldCharType="separate"/>
        </w:r>
        <w:r w:rsidR="001C4DE5">
          <w:rPr>
            <w:webHidden/>
          </w:rPr>
          <w:t>77</w:t>
        </w:r>
        <w:r w:rsidR="00341B9B" w:rsidRPr="00503F5B">
          <w:rPr>
            <w:webHidden/>
          </w:rPr>
          <w:fldChar w:fldCharType="end"/>
        </w:r>
      </w:hyperlink>
    </w:p>
    <w:p w14:paraId="21075D77" w14:textId="4CE592EA" w:rsidR="00341B9B" w:rsidRPr="00503F5B" w:rsidRDefault="001A6758">
      <w:pPr>
        <w:pStyle w:val="TOC1"/>
        <w:rPr>
          <w:rFonts w:asciiTheme="minorHAnsi" w:hAnsiTheme="minorHAnsi" w:cstheme="minorBidi"/>
          <w:b w:val="0"/>
          <w:bCs w:val="0"/>
          <w:color w:val="auto"/>
          <w:sz w:val="22"/>
          <w:szCs w:val="22"/>
          <w:lang w:eastAsia="en-AU"/>
        </w:rPr>
      </w:pPr>
      <w:hyperlink w:anchor="_Toc35812688" w:history="1">
        <w:r w:rsidR="00341B9B" w:rsidRPr="00503F5B">
          <w:rPr>
            <w:rStyle w:val="Hyperlink"/>
          </w:rPr>
          <w:t>Section 9: Description of the effect of the preferred option</w:t>
        </w:r>
        <w:r w:rsidR="00341B9B" w:rsidRPr="00503F5B">
          <w:rPr>
            <w:webHidden/>
          </w:rPr>
          <w:tab/>
        </w:r>
        <w:r w:rsidR="00341B9B" w:rsidRPr="00503F5B">
          <w:rPr>
            <w:webHidden/>
          </w:rPr>
          <w:fldChar w:fldCharType="begin"/>
        </w:r>
        <w:r w:rsidR="00341B9B" w:rsidRPr="00503F5B">
          <w:rPr>
            <w:webHidden/>
          </w:rPr>
          <w:instrText xml:space="preserve"> PAGEREF _Toc35812688 \h </w:instrText>
        </w:r>
        <w:r w:rsidR="00341B9B" w:rsidRPr="00503F5B">
          <w:rPr>
            <w:webHidden/>
          </w:rPr>
        </w:r>
        <w:r w:rsidR="00341B9B" w:rsidRPr="00503F5B">
          <w:rPr>
            <w:webHidden/>
          </w:rPr>
          <w:fldChar w:fldCharType="separate"/>
        </w:r>
        <w:r w:rsidR="001C4DE5">
          <w:rPr>
            <w:webHidden/>
          </w:rPr>
          <w:t>78</w:t>
        </w:r>
        <w:r w:rsidR="00341B9B" w:rsidRPr="00503F5B">
          <w:rPr>
            <w:webHidden/>
          </w:rPr>
          <w:fldChar w:fldCharType="end"/>
        </w:r>
      </w:hyperlink>
    </w:p>
    <w:p w14:paraId="3299511C" w14:textId="1E41F9B8" w:rsidR="00341B9B" w:rsidRPr="00503F5B" w:rsidRDefault="001A6758">
      <w:pPr>
        <w:pStyle w:val="TOC2"/>
        <w:tabs>
          <w:tab w:val="right" w:leader="dot" w:pos="8212"/>
        </w:tabs>
        <w:rPr>
          <w:rFonts w:cstheme="minorBidi"/>
          <w:noProof/>
          <w:color w:val="auto"/>
          <w:lang w:eastAsia="en-AU"/>
        </w:rPr>
      </w:pPr>
      <w:hyperlink w:anchor="_Toc35812689" w:history="1">
        <w:r w:rsidR="00341B9B" w:rsidRPr="00503F5B">
          <w:rPr>
            <w:rStyle w:val="Hyperlink"/>
            <w:noProof/>
          </w:rPr>
          <w:t>9.1 Effects of fee regulations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_Toc35812689 \h </w:instrText>
        </w:r>
        <w:r w:rsidR="00341B9B" w:rsidRPr="00503F5B">
          <w:rPr>
            <w:noProof/>
            <w:webHidden/>
          </w:rPr>
        </w:r>
        <w:r w:rsidR="00341B9B" w:rsidRPr="00503F5B">
          <w:rPr>
            <w:noProof/>
            <w:webHidden/>
          </w:rPr>
          <w:fldChar w:fldCharType="separate"/>
        </w:r>
        <w:r w:rsidR="001C4DE5">
          <w:rPr>
            <w:noProof/>
            <w:webHidden/>
          </w:rPr>
          <w:t>78</w:t>
        </w:r>
        <w:r w:rsidR="00341B9B" w:rsidRPr="00503F5B">
          <w:rPr>
            <w:noProof/>
            <w:webHidden/>
          </w:rPr>
          <w:fldChar w:fldCharType="end"/>
        </w:r>
      </w:hyperlink>
    </w:p>
    <w:p w14:paraId="3EC95F76" w14:textId="77E34CBB" w:rsidR="00341B9B" w:rsidRPr="00503F5B" w:rsidRDefault="001A6758">
      <w:pPr>
        <w:pStyle w:val="TOC2"/>
        <w:tabs>
          <w:tab w:val="right" w:leader="dot" w:pos="8212"/>
        </w:tabs>
        <w:rPr>
          <w:rFonts w:cstheme="minorBidi"/>
          <w:noProof/>
          <w:color w:val="auto"/>
          <w:lang w:eastAsia="en-AU"/>
        </w:rPr>
      </w:pPr>
      <w:hyperlink w:anchor="_Toc35812690" w:history="1">
        <w:r w:rsidR="00341B9B" w:rsidRPr="00503F5B">
          <w:rPr>
            <w:rStyle w:val="Hyperlink"/>
            <w:noProof/>
          </w:rPr>
          <w:t>9.2 Effects of non-fee regulations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_Toc35812690 \h </w:instrText>
        </w:r>
        <w:r w:rsidR="00341B9B" w:rsidRPr="00503F5B">
          <w:rPr>
            <w:noProof/>
            <w:webHidden/>
          </w:rPr>
        </w:r>
        <w:r w:rsidR="00341B9B" w:rsidRPr="00503F5B">
          <w:rPr>
            <w:noProof/>
            <w:webHidden/>
          </w:rPr>
          <w:fldChar w:fldCharType="separate"/>
        </w:r>
        <w:r w:rsidR="001C4DE5">
          <w:rPr>
            <w:noProof/>
            <w:webHidden/>
          </w:rPr>
          <w:t>79</w:t>
        </w:r>
        <w:r w:rsidR="00341B9B" w:rsidRPr="00503F5B">
          <w:rPr>
            <w:noProof/>
            <w:webHidden/>
          </w:rPr>
          <w:fldChar w:fldCharType="end"/>
        </w:r>
      </w:hyperlink>
    </w:p>
    <w:p w14:paraId="4E6005DC" w14:textId="6A5915EF" w:rsidR="00341B9B" w:rsidRPr="00503F5B" w:rsidRDefault="001A6758">
      <w:pPr>
        <w:pStyle w:val="TOC2"/>
        <w:tabs>
          <w:tab w:val="right" w:leader="dot" w:pos="8212"/>
        </w:tabs>
        <w:rPr>
          <w:rFonts w:cstheme="minorBidi"/>
          <w:noProof/>
          <w:color w:val="auto"/>
          <w:lang w:eastAsia="en-AU"/>
        </w:rPr>
      </w:pPr>
      <w:hyperlink w:anchor="_Toc35812691" w:history="1">
        <w:r w:rsidR="00341B9B" w:rsidRPr="00503F5B">
          <w:rPr>
            <w:rStyle w:val="Hyperlink"/>
            <w:noProof/>
          </w:rPr>
          <w:t>9.3 Methodology behind fee calculation and basis for cost recovery</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_Toc35812691 \h </w:instrText>
        </w:r>
        <w:r w:rsidR="00341B9B" w:rsidRPr="00503F5B">
          <w:rPr>
            <w:noProof/>
            <w:webHidden/>
          </w:rPr>
        </w:r>
        <w:r w:rsidR="00341B9B" w:rsidRPr="00503F5B">
          <w:rPr>
            <w:noProof/>
            <w:webHidden/>
          </w:rPr>
          <w:fldChar w:fldCharType="separate"/>
        </w:r>
        <w:r w:rsidR="001C4DE5">
          <w:rPr>
            <w:noProof/>
            <w:webHidden/>
          </w:rPr>
          <w:t>80</w:t>
        </w:r>
        <w:r w:rsidR="00341B9B" w:rsidRPr="00503F5B">
          <w:rPr>
            <w:noProof/>
            <w:webHidden/>
          </w:rPr>
          <w:fldChar w:fldCharType="end"/>
        </w:r>
      </w:hyperlink>
    </w:p>
    <w:p w14:paraId="54CDBA83" w14:textId="2CEE8A12" w:rsidR="00341B9B" w:rsidRPr="00503F5B" w:rsidRDefault="001A6758">
      <w:pPr>
        <w:pStyle w:val="TOC1"/>
        <w:rPr>
          <w:rFonts w:asciiTheme="minorHAnsi" w:hAnsiTheme="minorHAnsi" w:cstheme="minorBidi"/>
          <w:b w:val="0"/>
          <w:bCs w:val="0"/>
          <w:color w:val="auto"/>
          <w:sz w:val="22"/>
          <w:szCs w:val="22"/>
          <w:lang w:eastAsia="en-AU"/>
        </w:rPr>
      </w:pPr>
      <w:hyperlink w:anchor="_Toc35812692" w:history="1">
        <w:r w:rsidR="00341B9B" w:rsidRPr="00503F5B">
          <w:rPr>
            <w:rStyle w:val="Hyperlink"/>
          </w:rPr>
          <w:t>Section 10: Implementation plan for the preferred option</w:t>
        </w:r>
        <w:r w:rsidR="00341B9B" w:rsidRPr="00503F5B">
          <w:rPr>
            <w:webHidden/>
          </w:rPr>
          <w:tab/>
        </w:r>
        <w:r w:rsidR="00341B9B" w:rsidRPr="00503F5B">
          <w:rPr>
            <w:webHidden/>
          </w:rPr>
          <w:fldChar w:fldCharType="begin"/>
        </w:r>
        <w:r w:rsidR="00341B9B" w:rsidRPr="00503F5B">
          <w:rPr>
            <w:webHidden/>
          </w:rPr>
          <w:instrText xml:space="preserve"> PAGEREF _Toc35812692 \h </w:instrText>
        </w:r>
        <w:r w:rsidR="00341B9B" w:rsidRPr="00503F5B">
          <w:rPr>
            <w:webHidden/>
          </w:rPr>
        </w:r>
        <w:r w:rsidR="00341B9B" w:rsidRPr="00503F5B">
          <w:rPr>
            <w:webHidden/>
          </w:rPr>
          <w:fldChar w:fldCharType="separate"/>
        </w:r>
        <w:r w:rsidR="001C4DE5">
          <w:rPr>
            <w:webHidden/>
          </w:rPr>
          <w:t>81</w:t>
        </w:r>
        <w:r w:rsidR="00341B9B" w:rsidRPr="00503F5B">
          <w:rPr>
            <w:webHidden/>
          </w:rPr>
          <w:fldChar w:fldCharType="end"/>
        </w:r>
      </w:hyperlink>
    </w:p>
    <w:p w14:paraId="73791B83" w14:textId="11F1B375" w:rsidR="00341B9B" w:rsidRPr="00503F5B" w:rsidRDefault="001A6758">
      <w:pPr>
        <w:pStyle w:val="TOC1"/>
        <w:rPr>
          <w:rFonts w:asciiTheme="minorHAnsi" w:hAnsiTheme="minorHAnsi" w:cstheme="minorBidi"/>
          <w:b w:val="0"/>
          <w:bCs w:val="0"/>
          <w:color w:val="auto"/>
          <w:sz w:val="22"/>
          <w:szCs w:val="22"/>
          <w:lang w:eastAsia="en-AU"/>
        </w:rPr>
      </w:pPr>
      <w:hyperlink w:anchor="_Toc35812693" w:history="1">
        <w:r w:rsidR="00341B9B" w:rsidRPr="00503F5B">
          <w:rPr>
            <w:rStyle w:val="Hyperlink"/>
          </w:rPr>
          <w:t>Section 11: Evaluation strategy</w:t>
        </w:r>
        <w:r w:rsidR="00341B9B" w:rsidRPr="00503F5B">
          <w:rPr>
            <w:webHidden/>
          </w:rPr>
          <w:tab/>
        </w:r>
        <w:r w:rsidR="00341B9B" w:rsidRPr="00503F5B">
          <w:rPr>
            <w:webHidden/>
          </w:rPr>
          <w:fldChar w:fldCharType="begin"/>
        </w:r>
        <w:r w:rsidR="00341B9B" w:rsidRPr="00503F5B">
          <w:rPr>
            <w:webHidden/>
          </w:rPr>
          <w:instrText xml:space="preserve"> PAGEREF _Toc35812693 \h </w:instrText>
        </w:r>
        <w:r w:rsidR="00341B9B" w:rsidRPr="00503F5B">
          <w:rPr>
            <w:webHidden/>
          </w:rPr>
        </w:r>
        <w:r w:rsidR="00341B9B" w:rsidRPr="00503F5B">
          <w:rPr>
            <w:webHidden/>
          </w:rPr>
          <w:fldChar w:fldCharType="separate"/>
        </w:r>
        <w:r w:rsidR="001C4DE5">
          <w:rPr>
            <w:webHidden/>
          </w:rPr>
          <w:t>81</w:t>
        </w:r>
        <w:r w:rsidR="00341B9B" w:rsidRPr="00503F5B">
          <w:rPr>
            <w:webHidden/>
          </w:rPr>
          <w:fldChar w:fldCharType="end"/>
        </w:r>
      </w:hyperlink>
    </w:p>
    <w:p w14:paraId="08216E53" w14:textId="19003B07" w:rsidR="00341B9B" w:rsidRPr="00503F5B" w:rsidRDefault="001A6758">
      <w:pPr>
        <w:pStyle w:val="TOC1"/>
        <w:rPr>
          <w:rFonts w:asciiTheme="minorHAnsi" w:hAnsiTheme="minorHAnsi" w:cstheme="minorBidi"/>
          <w:b w:val="0"/>
          <w:bCs w:val="0"/>
          <w:color w:val="auto"/>
          <w:sz w:val="22"/>
          <w:szCs w:val="22"/>
          <w:lang w:eastAsia="en-AU"/>
        </w:rPr>
      </w:pPr>
      <w:hyperlink w:anchor="_Toc35812694" w:history="1">
        <w:r w:rsidR="00341B9B" w:rsidRPr="00503F5B">
          <w:rPr>
            <w:rStyle w:val="Hyperlink"/>
          </w:rPr>
          <w:t>Section 12: Consultation undertaken</w:t>
        </w:r>
        <w:r w:rsidR="00341B9B" w:rsidRPr="00503F5B">
          <w:rPr>
            <w:webHidden/>
          </w:rPr>
          <w:tab/>
        </w:r>
        <w:r w:rsidR="00341B9B" w:rsidRPr="00503F5B">
          <w:rPr>
            <w:webHidden/>
          </w:rPr>
          <w:fldChar w:fldCharType="begin"/>
        </w:r>
        <w:r w:rsidR="00341B9B" w:rsidRPr="00503F5B">
          <w:rPr>
            <w:webHidden/>
          </w:rPr>
          <w:instrText xml:space="preserve"> PAGEREF _Toc35812694 \h </w:instrText>
        </w:r>
        <w:r w:rsidR="00341B9B" w:rsidRPr="00503F5B">
          <w:rPr>
            <w:webHidden/>
          </w:rPr>
        </w:r>
        <w:r w:rsidR="00341B9B" w:rsidRPr="00503F5B">
          <w:rPr>
            <w:webHidden/>
          </w:rPr>
          <w:fldChar w:fldCharType="separate"/>
        </w:r>
        <w:r w:rsidR="001C4DE5">
          <w:rPr>
            <w:webHidden/>
          </w:rPr>
          <w:t>82</w:t>
        </w:r>
        <w:r w:rsidR="00341B9B" w:rsidRPr="00503F5B">
          <w:rPr>
            <w:webHidden/>
          </w:rPr>
          <w:fldChar w:fldCharType="end"/>
        </w:r>
      </w:hyperlink>
    </w:p>
    <w:p w14:paraId="059211D7" w14:textId="00E71A51" w:rsidR="00341B9B" w:rsidRPr="00503F5B" w:rsidRDefault="001A6758">
      <w:pPr>
        <w:pStyle w:val="TOC1"/>
        <w:rPr>
          <w:rFonts w:asciiTheme="minorHAnsi" w:hAnsiTheme="minorHAnsi" w:cstheme="minorBidi"/>
          <w:b w:val="0"/>
          <w:bCs w:val="0"/>
          <w:color w:val="auto"/>
          <w:sz w:val="22"/>
          <w:szCs w:val="22"/>
          <w:lang w:eastAsia="en-AU"/>
        </w:rPr>
      </w:pPr>
      <w:hyperlink w:anchor="_Toc35812695" w:history="1">
        <w:r w:rsidR="00341B9B" w:rsidRPr="00503F5B">
          <w:rPr>
            <w:rStyle w:val="Hyperlink"/>
          </w:rPr>
          <w:t>Bibliography of references</w:t>
        </w:r>
        <w:r w:rsidR="00341B9B" w:rsidRPr="00503F5B">
          <w:rPr>
            <w:webHidden/>
          </w:rPr>
          <w:tab/>
        </w:r>
        <w:r w:rsidR="00341B9B" w:rsidRPr="00503F5B">
          <w:rPr>
            <w:webHidden/>
          </w:rPr>
          <w:fldChar w:fldCharType="begin"/>
        </w:r>
        <w:r w:rsidR="00341B9B" w:rsidRPr="00503F5B">
          <w:rPr>
            <w:webHidden/>
          </w:rPr>
          <w:instrText xml:space="preserve"> PAGEREF _Toc35812695 \h </w:instrText>
        </w:r>
        <w:r w:rsidR="00341B9B" w:rsidRPr="00503F5B">
          <w:rPr>
            <w:webHidden/>
          </w:rPr>
        </w:r>
        <w:r w:rsidR="00341B9B" w:rsidRPr="00503F5B">
          <w:rPr>
            <w:webHidden/>
          </w:rPr>
          <w:fldChar w:fldCharType="separate"/>
        </w:r>
        <w:r w:rsidR="001C4DE5">
          <w:rPr>
            <w:webHidden/>
          </w:rPr>
          <w:t>83</w:t>
        </w:r>
        <w:r w:rsidR="00341B9B" w:rsidRPr="00503F5B">
          <w:rPr>
            <w:webHidden/>
          </w:rPr>
          <w:fldChar w:fldCharType="end"/>
        </w:r>
      </w:hyperlink>
    </w:p>
    <w:p w14:paraId="4FC3149C" w14:textId="69271AF3" w:rsidR="00341B9B" w:rsidRPr="00503F5B" w:rsidRDefault="001A6758">
      <w:pPr>
        <w:pStyle w:val="TOC1"/>
        <w:rPr>
          <w:rFonts w:asciiTheme="minorHAnsi" w:hAnsiTheme="minorHAnsi" w:cstheme="minorBidi"/>
          <w:b w:val="0"/>
          <w:bCs w:val="0"/>
          <w:color w:val="auto"/>
          <w:sz w:val="22"/>
          <w:szCs w:val="22"/>
          <w:lang w:eastAsia="en-AU"/>
        </w:rPr>
      </w:pPr>
      <w:hyperlink w:anchor="_Toc35812696" w:history="1">
        <w:r w:rsidR="00341B9B" w:rsidRPr="00503F5B">
          <w:rPr>
            <w:rStyle w:val="Hyperlink"/>
          </w:rPr>
          <w:t>Appendix 1 – Cost estimation of false alarm emergency attendances by MFB</w:t>
        </w:r>
        <w:r w:rsidR="00341B9B" w:rsidRPr="00503F5B">
          <w:rPr>
            <w:webHidden/>
          </w:rPr>
          <w:tab/>
        </w:r>
        <w:r w:rsidR="00341B9B" w:rsidRPr="00503F5B">
          <w:rPr>
            <w:webHidden/>
          </w:rPr>
          <w:fldChar w:fldCharType="begin"/>
        </w:r>
        <w:r w:rsidR="00341B9B" w:rsidRPr="00503F5B">
          <w:rPr>
            <w:webHidden/>
          </w:rPr>
          <w:instrText xml:space="preserve"> PAGEREF _Toc35812696 \h </w:instrText>
        </w:r>
        <w:r w:rsidR="00341B9B" w:rsidRPr="00503F5B">
          <w:rPr>
            <w:webHidden/>
          </w:rPr>
        </w:r>
        <w:r w:rsidR="00341B9B" w:rsidRPr="00503F5B">
          <w:rPr>
            <w:webHidden/>
          </w:rPr>
          <w:fldChar w:fldCharType="separate"/>
        </w:r>
        <w:r w:rsidR="001C4DE5">
          <w:rPr>
            <w:webHidden/>
          </w:rPr>
          <w:t>86</w:t>
        </w:r>
        <w:r w:rsidR="00341B9B" w:rsidRPr="00503F5B">
          <w:rPr>
            <w:webHidden/>
          </w:rPr>
          <w:fldChar w:fldCharType="end"/>
        </w:r>
      </w:hyperlink>
    </w:p>
    <w:p w14:paraId="09FA84A9" w14:textId="5F9D4C56" w:rsidR="00341B9B" w:rsidRPr="00503F5B" w:rsidRDefault="001A6758">
      <w:pPr>
        <w:pStyle w:val="TOC2"/>
        <w:tabs>
          <w:tab w:val="right" w:leader="dot" w:pos="8212"/>
        </w:tabs>
        <w:rPr>
          <w:rFonts w:cstheme="minorBidi"/>
          <w:noProof/>
          <w:color w:val="auto"/>
          <w:lang w:eastAsia="en-AU"/>
        </w:rPr>
      </w:pPr>
      <w:hyperlink w:anchor="_Toc35812697" w:history="1">
        <w:r w:rsidR="00341B9B" w:rsidRPr="00503F5B">
          <w:rPr>
            <w:rStyle w:val="Hyperlink"/>
            <w:noProof/>
          </w:rPr>
          <w:t>A1.1 Estimated total costs of total MFB emergency attendances – all incidents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_Toc35812697 \h </w:instrText>
        </w:r>
        <w:r w:rsidR="00341B9B" w:rsidRPr="00503F5B">
          <w:rPr>
            <w:noProof/>
            <w:webHidden/>
          </w:rPr>
        </w:r>
        <w:r w:rsidR="00341B9B" w:rsidRPr="00503F5B">
          <w:rPr>
            <w:noProof/>
            <w:webHidden/>
          </w:rPr>
          <w:fldChar w:fldCharType="separate"/>
        </w:r>
        <w:r w:rsidR="001C4DE5">
          <w:rPr>
            <w:noProof/>
            <w:webHidden/>
          </w:rPr>
          <w:t>86</w:t>
        </w:r>
        <w:r w:rsidR="00341B9B" w:rsidRPr="00503F5B">
          <w:rPr>
            <w:noProof/>
            <w:webHidden/>
          </w:rPr>
          <w:fldChar w:fldCharType="end"/>
        </w:r>
      </w:hyperlink>
    </w:p>
    <w:p w14:paraId="6ABFEEA8" w14:textId="1BE2EDDB" w:rsidR="00341B9B" w:rsidRPr="00503F5B" w:rsidRDefault="001A6758">
      <w:pPr>
        <w:pStyle w:val="TOC3"/>
        <w:rPr>
          <w:rFonts w:cstheme="minorBidi"/>
          <w:i w:val="0"/>
          <w:iCs w:val="0"/>
          <w:noProof/>
          <w:color w:val="auto"/>
          <w:lang w:eastAsia="en-AU"/>
        </w:rPr>
      </w:pPr>
      <w:hyperlink w:anchor="_Toc35812698" w:history="1">
        <w:r w:rsidR="00341B9B" w:rsidRPr="00503F5B">
          <w:rPr>
            <w:rStyle w:val="Hyperlink"/>
            <w:noProof/>
          </w:rPr>
          <w:t>A1.1.1 Total annual direct costs of MFB emergency attendances with and without false alarms – 2018-19</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_Toc35812698 \h </w:instrText>
        </w:r>
        <w:r w:rsidR="00341B9B" w:rsidRPr="00503F5B">
          <w:rPr>
            <w:noProof/>
            <w:webHidden/>
          </w:rPr>
        </w:r>
        <w:r w:rsidR="00341B9B" w:rsidRPr="00503F5B">
          <w:rPr>
            <w:noProof/>
            <w:webHidden/>
          </w:rPr>
          <w:fldChar w:fldCharType="separate"/>
        </w:r>
        <w:r w:rsidR="001C4DE5">
          <w:rPr>
            <w:noProof/>
            <w:webHidden/>
          </w:rPr>
          <w:t>87</w:t>
        </w:r>
        <w:r w:rsidR="00341B9B" w:rsidRPr="00503F5B">
          <w:rPr>
            <w:noProof/>
            <w:webHidden/>
          </w:rPr>
          <w:fldChar w:fldCharType="end"/>
        </w:r>
      </w:hyperlink>
    </w:p>
    <w:p w14:paraId="603383C3" w14:textId="22500A7C" w:rsidR="00341B9B" w:rsidRPr="00503F5B" w:rsidRDefault="001A6758">
      <w:pPr>
        <w:pStyle w:val="TOC3"/>
        <w:rPr>
          <w:rFonts w:cstheme="minorBidi"/>
          <w:i w:val="0"/>
          <w:iCs w:val="0"/>
          <w:noProof/>
          <w:color w:val="auto"/>
          <w:lang w:eastAsia="en-AU"/>
        </w:rPr>
      </w:pPr>
      <w:hyperlink w:anchor="_Toc35812699" w:history="1">
        <w:r w:rsidR="00341B9B" w:rsidRPr="00503F5B">
          <w:rPr>
            <w:rStyle w:val="Hyperlink"/>
            <w:noProof/>
          </w:rPr>
          <w:t>A1.1.2 Total annual direct and indirect costs of MFB emergency attendances – 2018-19</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_Toc35812699 \h </w:instrText>
        </w:r>
        <w:r w:rsidR="00341B9B" w:rsidRPr="00503F5B">
          <w:rPr>
            <w:noProof/>
            <w:webHidden/>
          </w:rPr>
        </w:r>
        <w:r w:rsidR="00341B9B" w:rsidRPr="00503F5B">
          <w:rPr>
            <w:noProof/>
            <w:webHidden/>
          </w:rPr>
          <w:fldChar w:fldCharType="separate"/>
        </w:r>
        <w:r w:rsidR="001C4DE5">
          <w:rPr>
            <w:noProof/>
            <w:webHidden/>
          </w:rPr>
          <w:t>88</w:t>
        </w:r>
        <w:r w:rsidR="00341B9B" w:rsidRPr="00503F5B">
          <w:rPr>
            <w:noProof/>
            <w:webHidden/>
          </w:rPr>
          <w:fldChar w:fldCharType="end"/>
        </w:r>
      </w:hyperlink>
    </w:p>
    <w:p w14:paraId="3352BCC9" w14:textId="510F99DE" w:rsidR="00341B9B" w:rsidRPr="00503F5B" w:rsidRDefault="001A6758">
      <w:pPr>
        <w:pStyle w:val="TOC2"/>
        <w:tabs>
          <w:tab w:val="right" w:leader="dot" w:pos="8212"/>
        </w:tabs>
        <w:rPr>
          <w:rFonts w:cstheme="minorBidi"/>
          <w:noProof/>
          <w:color w:val="auto"/>
          <w:lang w:eastAsia="en-AU"/>
        </w:rPr>
      </w:pPr>
      <w:hyperlink w:anchor="_Toc35812700" w:history="1">
        <w:r w:rsidR="00341B9B" w:rsidRPr="00503F5B">
          <w:rPr>
            <w:rStyle w:val="Hyperlink"/>
            <w:noProof/>
          </w:rPr>
          <w:t>A1.2 Estimated total annual avoidable costs of total MFB emergency attendances in relation to all false alarms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_Toc35812700 \h </w:instrText>
        </w:r>
        <w:r w:rsidR="00341B9B" w:rsidRPr="00503F5B">
          <w:rPr>
            <w:noProof/>
            <w:webHidden/>
          </w:rPr>
        </w:r>
        <w:r w:rsidR="00341B9B" w:rsidRPr="00503F5B">
          <w:rPr>
            <w:noProof/>
            <w:webHidden/>
          </w:rPr>
          <w:fldChar w:fldCharType="separate"/>
        </w:r>
        <w:r w:rsidR="001C4DE5">
          <w:rPr>
            <w:noProof/>
            <w:webHidden/>
          </w:rPr>
          <w:t>89</w:t>
        </w:r>
        <w:r w:rsidR="00341B9B" w:rsidRPr="00503F5B">
          <w:rPr>
            <w:noProof/>
            <w:webHidden/>
          </w:rPr>
          <w:fldChar w:fldCharType="end"/>
        </w:r>
      </w:hyperlink>
    </w:p>
    <w:p w14:paraId="082148E9" w14:textId="4BABC430" w:rsidR="00341B9B" w:rsidRPr="00503F5B" w:rsidRDefault="001A6758">
      <w:pPr>
        <w:pStyle w:val="TOC2"/>
        <w:tabs>
          <w:tab w:val="right" w:leader="dot" w:pos="8212"/>
        </w:tabs>
        <w:rPr>
          <w:rFonts w:cstheme="minorBidi"/>
          <w:noProof/>
          <w:color w:val="auto"/>
          <w:lang w:eastAsia="en-AU"/>
        </w:rPr>
      </w:pPr>
      <w:hyperlink w:anchor="_Toc35812701" w:history="1">
        <w:r w:rsidR="00341B9B" w:rsidRPr="00503F5B">
          <w:rPr>
            <w:rStyle w:val="Hyperlink"/>
            <w:noProof/>
          </w:rPr>
          <w:t>A1.3 Estimated total costs MFB emergency attendances in relation to false alarms per appliance- per quarterly hour</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_Toc35812701 \h </w:instrText>
        </w:r>
        <w:r w:rsidR="00341B9B" w:rsidRPr="00503F5B">
          <w:rPr>
            <w:noProof/>
            <w:webHidden/>
          </w:rPr>
        </w:r>
        <w:r w:rsidR="00341B9B" w:rsidRPr="00503F5B">
          <w:rPr>
            <w:noProof/>
            <w:webHidden/>
          </w:rPr>
          <w:fldChar w:fldCharType="separate"/>
        </w:r>
        <w:r w:rsidR="001C4DE5">
          <w:rPr>
            <w:noProof/>
            <w:webHidden/>
          </w:rPr>
          <w:t>89</w:t>
        </w:r>
        <w:r w:rsidR="00341B9B" w:rsidRPr="00503F5B">
          <w:rPr>
            <w:noProof/>
            <w:webHidden/>
          </w:rPr>
          <w:fldChar w:fldCharType="end"/>
        </w:r>
      </w:hyperlink>
    </w:p>
    <w:p w14:paraId="7FF6B69B" w14:textId="3BA85771" w:rsidR="00341B9B" w:rsidRPr="00503F5B" w:rsidRDefault="001A6758">
      <w:pPr>
        <w:pStyle w:val="TOC2"/>
        <w:tabs>
          <w:tab w:val="right" w:leader="dot" w:pos="8212"/>
        </w:tabs>
        <w:rPr>
          <w:rFonts w:cstheme="minorBidi"/>
          <w:noProof/>
          <w:color w:val="auto"/>
          <w:lang w:eastAsia="en-AU"/>
        </w:rPr>
      </w:pPr>
      <w:hyperlink w:anchor="_Toc35812702" w:history="1">
        <w:r w:rsidR="00341B9B" w:rsidRPr="00503F5B">
          <w:rPr>
            <w:rStyle w:val="Hyperlink"/>
            <w:noProof/>
          </w:rPr>
          <w:t>A1.4 Estimated total costs per false alarm attendance for MFB</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_Toc35812702 \h </w:instrText>
        </w:r>
        <w:r w:rsidR="00341B9B" w:rsidRPr="00503F5B">
          <w:rPr>
            <w:noProof/>
            <w:webHidden/>
          </w:rPr>
        </w:r>
        <w:r w:rsidR="00341B9B" w:rsidRPr="00503F5B">
          <w:rPr>
            <w:noProof/>
            <w:webHidden/>
          </w:rPr>
          <w:fldChar w:fldCharType="separate"/>
        </w:r>
        <w:r w:rsidR="001C4DE5">
          <w:rPr>
            <w:noProof/>
            <w:webHidden/>
          </w:rPr>
          <w:t>91</w:t>
        </w:r>
        <w:r w:rsidR="00341B9B" w:rsidRPr="00503F5B">
          <w:rPr>
            <w:noProof/>
            <w:webHidden/>
          </w:rPr>
          <w:fldChar w:fldCharType="end"/>
        </w:r>
      </w:hyperlink>
    </w:p>
    <w:p w14:paraId="36C85FB4" w14:textId="142A15E7" w:rsidR="00341B9B" w:rsidRPr="00503F5B" w:rsidRDefault="001A6758">
      <w:pPr>
        <w:pStyle w:val="TOC1"/>
        <w:rPr>
          <w:rFonts w:asciiTheme="minorHAnsi" w:hAnsiTheme="minorHAnsi" w:cstheme="minorBidi"/>
          <w:b w:val="0"/>
          <w:bCs w:val="0"/>
          <w:color w:val="auto"/>
          <w:sz w:val="22"/>
          <w:szCs w:val="22"/>
          <w:lang w:eastAsia="en-AU"/>
        </w:rPr>
      </w:pPr>
      <w:hyperlink w:anchor="_Toc35812703" w:history="1">
        <w:r w:rsidR="00341B9B" w:rsidRPr="00503F5B">
          <w:rPr>
            <w:rStyle w:val="Hyperlink"/>
          </w:rPr>
          <w:t>Appendix 2 – Cost estimate of false alarm emergency attendance by CFA integrated stations</w:t>
        </w:r>
        <w:r w:rsidR="00341B9B" w:rsidRPr="00503F5B">
          <w:rPr>
            <w:webHidden/>
          </w:rPr>
          <w:tab/>
        </w:r>
        <w:r w:rsidR="00341B9B" w:rsidRPr="00503F5B">
          <w:rPr>
            <w:webHidden/>
          </w:rPr>
          <w:fldChar w:fldCharType="begin"/>
        </w:r>
        <w:r w:rsidR="00341B9B" w:rsidRPr="00503F5B">
          <w:rPr>
            <w:webHidden/>
          </w:rPr>
          <w:instrText xml:space="preserve"> PAGEREF _Toc35812703 \h </w:instrText>
        </w:r>
        <w:r w:rsidR="00341B9B" w:rsidRPr="00503F5B">
          <w:rPr>
            <w:webHidden/>
          </w:rPr>
        </w:r>
        <w:r w:rsidR="00341B9B" w:rsidRPr="00503F5B">
          <w:rPr>
            <w:webHidden/>
          </w:rPr>
          <w:fldChar w:fldCharType="separate"/>
        </w:r>
        <w:r w:rsidR="001C4DE5">
          <w:rPr>
            <w:webHidden/>
          </w:rPr>
          <w:t>92</w:t>
        </w:r>
        <w:r w:rsidR="00341B9B" w:rsidRPr="00503F5B">
          <w:rPr>
            <w:webHidden/>
          </w:rPr>
          <w:fldChar w:fldCharType="end"/>
        </w:r>
      </w:hyperlink>
    </w:p>
    <w:p w14:paraId="400C5EEC" w14:textId="6C05C537" w:rsidR="00341B9B" w:rsidRPr="00503F5B" w:rsidRDefault="001A6758">
      <w:pPr>
        <w:pStyle w:val="TOC2"/>
        <w:tabs>
          <w:tab w:val="right" w:leader="dot" w:pos="8212"/>
        </w:tabs>
        <w:rPr>
          <w:rFonts w:cstheme="minorBidi"/>
          <w:noProof/>
          <w:color w:val="auto"/>
          <w:lang w:eastAsia="en-AU"/>
        </w:rPr>
      </w:pPr>
      <w:hyperlink w:anchor="_Toc35812704" w:history="1">
        <w:r w:rsidR="00341B9B" w:rsidRPr="00503F5B">
          <w:rPr>
            <w:rStyle w:val="Hyperlink"/>
            <w:noProof/>
          </w:rPr>
          <w:t>A2.1 Total annual direct costs of emergency attendances by CFA integrated stations with and without false alarms – 2018-19</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_Toc35812704 \h </w:instrText>
        </w:r>
        <w:r w:rsidR="00341B9B" w:rsidRPr="00503F5B">
          <w:rPr>
            <w:noProof/>
            <w:webHidden/>
          </w:rPr>
        </w:r>
        <w:r w:rsidR="00341B9B" w:rsidRPr="00503F5B">
          <w:rPr>
            <w:noProof/>
            <w:webHidden/>
          </w:rPr>
          <w:fldChar w:fldCharType="separate"/>
        </w:r>
        <w:r w:rsidR="001C4DE5">
          <w:rPr>
            <w:noProof/>
            <w:webHidden/>
          </w:rPr>
          <w:t>92</w:t>
        </w:r>
        <w:r w:rsidR="00341B9B" w:rsidRPr="00503F5B">
          <w:rPr>
            <w:noProof/>
            <w:webHidden/>
          </w:rPr>
          <w:fldChar w:fldCharType="end"/>
        </w:r>
      </w:hyperlink>
    </w:p>
    <w:p w14:paraId="35A2581B" w14:textId="4F3BE49D" w:rsidR="00341B9B" w:rsidRPr="00503F5B" w:rsidRDefault="001A6758">
      <w:pPr>
        <w:pStyle w:val="TOC3"/>
        <w:rPr>
          <w:rFonts w:cstheme="minorBidi"/>
          <w:i w:val="0"/>
          <w:iCs w:val="0"/>
          <w:noProof/>
          <w:color w:val="auto"/>
          <w:lang w:eastAsia="en-AU"/>
        </w:rPr>
      </w:pPr>
      <w:hyperlink w:anchor="_Toc35812705" w:history="1">
        <w:r w:rsidR="00341B9B" w:rsidRPr="00503F5B">
          <w:rPr>
            <w:rStyle w:val="Hyperlink"/>
            <w:noProof/>
          </w:rPr>
          <w:t>A2.1.1 Total direct appliance costs CFA integrated stations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_Toc35812705 \h </w:instrText>
        </w:r>
        <w:r w:rsidR="00341B9B" w:rsidRPr="00503F5B">
          <w:rPr>
            <w:noProof/>
            <w:webHidden/>
          </w:rPr>
        </w:r>
        <w:r w:rsidR="00341B9B" w:rsidRPr="00503F5B">
          <w:rPr>
            <w:noProof/>
            <w:webHidden/>
          </w:rPr>
          <w:fldChar w:fldCharType="separate"/>
        </w:r>
        <w:r w:rsidR="001C4DE5">
          <w:rPr>
            <w:noProof/>
            <w:webHidden/>
          </w:rPr>
          <w:t>92</w:t>
        </w:r>
        <w:r w:rsidR="00341B9B" w:rsidRPr="00503F5B">
          <w:rPr>
            <w:noProof/>
            <w:webHidden/>
          </w:rPr>
          <w:fldChar w:fldCharType="end"/>
        </w:r>
      </w:hyperlink>
    </w:p>
    <w:p w14:paraId="301ACB84" w14:textId="174B114A" w:rsidR="00341B9B" w:rsidRPr="00503F5B" w:rsidRDefault="001A6758">
      <w:pPr>
        <w:pStyle w:val="TOC3"/>
        <w:rPr>
          <w:rFonts w:cstheme="minorBidi"/>
          <w:i w:val="0"/>
          <w:iCs w:val="0"/>
          <w:noProof/>
          <w:color w:val="auto"/>
          <w:lang w:eastAsia="en-AU"/>
        </w:rPr>
      </w:pPr>
      <w:hyperlink w:anchor="_Toc35812706" w:history="1">
        <w:r w:rsidR="00341B9B" w:rsidRPr="00503F5B">
          <w:rPr>
            <w:rStyle w:val="Hyperlink"/>
            <w:noProof/>
          </w:rPr>
          <w:t>A2.1.2 Total direct staffing costs CFA integrated stations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_Toc35812706 \h </w:instrText>
        </w:r>
        <w:r w:rsidR="00341B9B" w:rsidRPr="00503F5B">
          <w:rPr>
            <w:noProof/>
            <w:webHidden/>
          </w:rPr>
        </w:r>
        <w:r w:rsidR="00341B9B" w:rsidRPr="00503F5B">
          <w:rPr>
            <w:noProof/>
            <w:webHidden/>
          </w:rPr>
          <w:fldChar w:fldCharType="separate"/>
        </w:r>
        <w:r w:rsidR="001C4DE5">
          <w:rPr>
            <w:noProof/>
            <w:webHidden/>
          </w:rPr>
          <w:t>92</w:t>
        </w:r>
        <w:r w:rsidR="00341B9B" w:rsidRPr="00503F5B">
          <w:rPr>
            <w:noProof/>
            <w:webHidden/>
          </w:rPr>
          <w:fldChar w:fldCharType="end"/>
        </w:r>
      </w:hyperlink>
    </w:p>
    <w:p w14:paraId="0EFE5A47" w14:textId="1EA1EDBA" w:rsidR="00341B9B" w:rsidRPr="00503F5B" w:rsidRDefault="001A6758">
      <w:pPr>
        <w:pStyle w:val="TOC3"/>
        <w:rPr>
          <w:rFonts w:cstheme="minorBidi"/>
          <w:i w:val="0"/>
          <w:iCs w:val="0"/>
          <w:noProof/>
          <w:color w:val="auto"/>
          <w:lang w:eastAsia="en-AU"/>
        </w:rPr>
      </w:pPr>
      <w:hyperlink w:anchor="_Toc35812707" w:history="1">
        <w:r w:rsidR="00341B9B" w:rsidRPr="00503F5B">
          <w:rPr>
            <w:rStyle w:val="Hyperlink"/>
            <w:noProof/>
          </w:rPr>
          <w:t>A2.1.3 Total direct station costs CFA integrated stations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_Toc35812707 \h </w:instrText>
        </w:r>
        <w:r w:rsidR="00341B9B" w:rsidRPr="00503F5B">
          <w:rPr>
            <w:noProof/>
            <w:webHidden/>
          </w:rPr>
        </w:r>
        <w:r w:rsidR="00341B9B" w:rsidRPr="00503F5B">
          <w:rPr>
            <w:noProof/>
            <w:webHidden/>
          </w:rPr>
          <w:fldChar w:fldCharType="separate"/>
        </w:r>
        <w:r w:rsidR="001C4DE5">
          <w:rPr>
            <w:noProof/>
            <w:webHidden/>
          </w:rPr>
          <w:t>93</w:t>
        </w:r>
        <w:r w:rsidR="00341B9B" w:rsidRPr="00503F5B">
          <w:rPr>
            <w:noProof/>
            <w:webHidden/>
          </w:rPr>
          <w:fldChar w:fldCharType="end"/>
        </w:r>
      </w:hyperlink>
    </w:p>
    <w:p w14:paraId="4EDA08AB" w14:textId="7BBECD4F" w:rsidR="00341B9B" w:rsidRPr="00503F5B" w:rsidRDefault="001A6758">
      <w:pPr>
        <w:pStyle w:val="TOC2"/>
        <w:tabs>
          <w:tab w:val="right" w:leader="dot" w:pos="8212"/>
        </w:tabs>
        <w:rPr>
          <w:rFonts w:cstheme="minorBidi"/>
          <w:noProof/>
          <w:color w:val="auto"/>
          <w:lang w:eastAsia="en-AU"/>
        </w:rPr>
      </w:pPr>
      <w:hyperlink w:anchor="_Toc35812708" w:history="1">
        <w:r w:rsidR="00341B9B" w:rsidRPr="00503F5B">
          <w:rPr>
            <w:rStyle w:val="Hyperlink"/>
            <w:noProof/>
          </w:rPr>
          <w:t>A2.2 Total annual direct and indirect costs of emergency attendances by CFA integrated stations with and without false alarms – 2018-19</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_Toc35812708 \h </w:instrText>
        </w:r>
        <w:r w:rsidR="00341B9B" w:rsidRPr="00503F5B">
          <w:rPr>
            <w:noProof/>
            <w:webHidden/>
          </w:rPr>
        </w:r>
        <w:r w:rsidR="00341B9B" w:rsidRPr="00503F5B">
          <w:rPr>
            <w:noProof/>
            <w:webHidden/>
          </w:rPr>
          <w:fldChar w:fldCharType="separate"/>
        </w:r>
        <w:r w:rsidR="001C4DE5">
          <w:rPr>
            <w:noProof/>
            <w:webHidden/>
          </w:rPr>
          <w:t>93</w:t>
        </w:r>
        <w:r w:rsidR="00341B9B" w:rsidRPr="00503F5B">
          <w:rPr>
            <w:noProof/>
            <w:webHidden/>
          </w:rPr>
          <w:fldChar w:fldCharType="end"/>
        </w:r>
      </w:hyperlink>
    </w:p>
    <w:p w14:paraId="1D8B6EC6" w14:textId="1CAF6BF7" w:rsidR="00341B9B" w:rsidRPr="00503F5B" w:rsidRDefault="001A6758">
      <w:pPr>
        <w:pStyle w:val="TOC2"/>
        <w:tabs>
          <w:tab w:val="right" w:leader="dot" w:pos="8212"/>
        </w:tabs>
        <w:rPr>
          <w:rFonts w:cstheme="minorBidi"/>
          <w:noProof/>
          <w:color w:val="auto"/>
          <w:lang w:eastAsia="en-AU"/>
        </w:rPr>
      </w:pPr>
      <w:hyperlink w:anchor="_Toc35812709" w:history="1">
        <w:r w:rsidR="00341B9B" w:rsidRPr="00503F5B">
          <w:rPr>
            <w:rStyle w:val="Hyperlink"/>
            <w:noProof/>
          </w:rPr>
          <w:t>A2.3 Estimated total annual avoidable costs of total CFA integrated stations emergency attendances in relation to all false alarms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_Toc35812709 \h </w:instrText>
        </w:r>
        <w:r w:rsidR="00341B9B" w:rsidRPr="00503F5B">
          <w:rPr>
            <w:noProof/>
            <w:webHidden/>
          </w:rPr>
        </w:r>
        <w:r w:rsidR="00341B9B" w:rsidRPr="00503F5B">
          <w:rPr>
            <w:noProof/>
            <w:webHidden/>
          </w:rPr>
          <w:fldChar w:fldCharType="separate"/>
        </w:r>
        <w:r w:rsidR="001C4DE5">
          <w:rPr>
            <w:noProof/>
            <w:webHidden/>
          </w:rPr>
          <w:t>94</w:t>
        </w:r>
        <w:r w:rsidR="00341B9B" w:rsidRPr="00503F5B">
          <w:rPr>
            <w:noProof/>
            <w:webHidden/>
          </w:rPr>
          <w:fldChar w:fldCharType="end"/>
        </w:r>
      </w:hyperlink>
    </w:p>
    <w:p w14:paraId="092575EE" w14:textId="4C2F57AC" w:rsidR="00341B9B" w:rsidRPr="00503F5B" w:rsidRDefault="001A6758">
      <w:pPr>
        <w:pStyle w:val="TOC2"/>
        <w:tabs>
          <w:tab w:val="right" w:leader="dot" w:pos="8212"/>
        </w:tabs>
        <w:rPr>
          <w:rFonts w:cstheme="minorBidi"/>
          <w:noProof/>
          <w:color w:val="auto"/>
          <w:lang w:eastAsia="en-AU"/>
        </w:rPr>
      </w:pPr>
      <w:hyperlink w:anchor="_Toc35812710" w:history="1">
        <w:r w:rsidR="00341B9B" w:rsidRPr="00503F5B">
          <w:rPr>
            <w:rStyle w:val="Hyperlink"/>
            <w:noProof/>
          </w:rPr>
          <w:t>A2.4 Estimated total costs of emergency attendances by CFA integrated stations in relation to false alarms - per quarterly hour</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_Toc35812710 \h </w:instrText>
        </w:r>
        <w:r w:rsidR="00341B9B" w:rsidRPr="00503F5B">
          <w:rPr>
            <w:noProof/>
            <w:webHidden/>
          </w:rPr>
        </w:r>
        <w:r w:rsidR="00341B9B" w:rsidRPr="00503F5B">
          <w:rPr>
            <w:noProof/>
            <w:webHidden/>
          </w:rPr>
          <w:fldChar w:fldCharType="separate"/>
        </w:r>
        <w:r w:rsidR="001C4DE5">
          <w:rPr>
            <w:noProof/>
            <w:webHidden/>
          </w:rPr>
          <w:t>95</w:t>
        </w:r>
        <w:r w:rsidR="00341B9B" w:rsidRPr="00503F5B">
          <w:rPr>
            <w:noProof/>
            <w:webHidden/>
          </w:rPr>
          <w:fldChar w:fldCharType="end"/>
        </w:r>
      </w:hyperlink>
    </w:p>
    <w:p w14:paraId="7D29D052" w14:textId="4B07B5F1" w:rsidR="00341B9B" w:rsidRPr="00503F5B" w:rsidRDefault="001A6758">
      <w:pPr>
        <w:pStyle w:val="TOC2"/>
        <w:tabs>
          <w:tab w:val="right" w:leader="dot" w:pos="8212"/>
        </w:tabs>
        <w:rPr>
          <w:rFonts w:cstheme="minorBidi"/>
          <w:noProof/>
          <w:color w:val="auto"/>
          <w:lang w:eastAsia="en-AU"/>
        </w:rPr>
      </w:pPr>
      <w:hyperlink w:anchor="_Toc35812711" w:history="1">
        <w:r w:rsidR="00341B9B" w:rsidRPr="00503F5B">
          <w:rPr>
            <w:rStyle w:val="Hyperlink"/>
            <w:noProof/>
          </w:rPr>
          <w:t>A2.5 Estimated total costs per false alarm attendance by CFA integrated stations</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_Toc35812711 \h </w:instrText>
        </w:r>
        <w:r w:rsidR="00341B9B" w:rsidRPr="00503F5B">
          <w:rPr>
            <w:noProof/>
            <w:webHidden/>
          </w:rPr>
        </w:r>
        <w:r w:rsidR="00341B9B" w:rsidRPr="00503F5B">
          <w:rPr>
            <w:noProof/>
            <w:webHidden/>
          </w:rPr>
          <w:fldChar w:fldCharType="separate"/>
        </w:r>
        <w:r w:rsidR="001C4DE5">
          <w:rPr>
            <w:noProof/>
            <w:webHidden/>
          </w:rPr>
          <w:t>96</w:t>
        </w:r>
        <w:r w:rsidR="00341B9B" w:rsidRPr="00503F5B">
          <w:rPr>
            <w:noProof/>
            <w:webHidden/>
          </w:rPr>
          <w:fldChar w:fldCharType="end"/>
        </w:r>
      </w:hyperlink>
    </w:p>
    <w:p w14:paraId="4829E814" w14:textId="323DFFCE" w:rsidR="00341B9B" w:rsidRPr="00503F5B" w:rsidRDefault="001A6758">
      <w:pPr>
        <w:pStyle w:val="TOC1"/>
        <w:rPr>
          <w:rFonts w:asciiTheme="minorHAnsi" w:hAnsiTheme="minorHAnsi" w:cstheme="minorBidi"/>
          <w:b w:val="0"/>
          <w:bCs w:val="0"/>
          <w:color w:val="auto"/>
          <w:sz w:val="22"/>
          <w:szCs w:val="22"/>
          <w:lang w:eastAsia="en-AU"/>
        </w:rPr>
      </w:pPr>
      <w:hyperlink w:anchor="_Toc35812712" w:history="1">
        <w:r w:rsidR="00341B9B" w:rsidRPr="00503F5B">
          <w:rPr>
            <w:rStyle w:val="Hyperlink"/>
          </w:rPr>
          <w:t>Appendix 3 – Determination of false alarm emergency attendance fees and revenue for FRV under Options 1 to 4</w:t>
        </w:r>
        <w:r w:rsidR="00341B9B" w:rsidRPr="00503F5B">
          <w:rPr>
            <w:webHidden/>
          </w:rPr>
          <w:tab/>
        </w:r>
        <w:r w:rsidR="00341B9B" w:rsidRPr="00503F5B">
          <w:rPr>
            <w:webHidden/>
          </w:rPr>
          <w:fldChar w:fldCharType="begin"/>
        </w:r>
        <w:r w:rsidR="00341B9B" w:rsidRPr="00503F5B">
          <w:rPr>
            <w:webHidden/>
          </w:rPr>
          <w:instrText xml:space="preserve"> PAGEREF _Toc35812712 \h </w:instrText>
        </w:r>
        <w:r w:rsidR="00341B9B" w:rsidRPr="00503F5B">
          <w:rPr>
            <w:webHidden/>
          </w:rPr>
        </w:r>
        <w:r w:rsidR="00341B9B" w:rsidRPr="00503F5B">
          <w:rPr>
            <w:webHidden/>
          </w:rPr>
          <w:fldChar w:fldCharType="separate"/>
        </w:r>
        <w:r w:rsidR="001C4DE5">
          <w:rPr>
            <w:webHidden/>
          </w:rPr>
          <w:t>97</w:t>
        </w:r>
        <w:r w:rsidR="00341B9B" w:rsidRPr="00503F5B">
          <w:rPr>
            <w:webHidden/>
          </w:rPr>
          <w:fldChar w:fldCharType="end"/>
        </w:r>
      </w:hyperlink>
    </w:p>
    <w:p w14:paraId="0AB91EB6" w14:textId="61EFCA19" w:rsidR="00341B9B" w:rsidRPr="00503F5B" w:rsidRDefault="001A6758">
      <w:pPr>
        <w:pStyle w:val="TOC2"/>
        <w:tabs>
          <w:tab w:val="right" w:leader="dot" w:pos="8212"/>
        </w:tabs>
        <w:rPr>
          <w:rFonts w:cstheme="minorBidi"/>
          <w:noProof/>
          <w:color w:val="auto"/>
          <w:lang w:eastAsia="en-AU"/>
        </w:rPr>
      </w:pPr>
      <w:hyperlink w:anchor="_Toc35812713" w:history="1">
        <w:r w:rsidR="00341B9B" w:rsidRPr="00503F5B">
          <w:rPr>
            <w:rStyle w:val="Hyperlink"/>
            <w:noProof/>
          </w:rPr>
          <w:t>A3.1 Estimation of the weighted quarterly hour cost and volume of quarterly hour transactions for emergency attendances to false alarms by FRV</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_Toc35812713 \h </w:instrText>
        </w:r>
        <w:r w:rsidR="00341B9B" w:rsidRPr="00503F5B">
          <w:rPr>
            <w:noProof/>
            <w:webHidden/>
          </w:rPr>
        </w:r>
        <w:r w:rsidR="00341B9B" w:rsidRPr="00503F5B">
          <w:rPr>
            <w:noProof/>
            <w:webHidden/>
          </w:rPr>
          <w:fldChar w:fldCharType="separate"/>
        </w:r>
        <w:r w:rsidR="001C4DE5">
          <w:rPr>
            <w:noProof/>
            <w:webHidden/>
          </w:rPr>
          <w:t>97</w:t>
        </w:r>
        <w:r w:rsidR="00341B9B" w:rsidRPr="00503F5B">
          <w:rPr>
            <w:noProof/>
            <w:webHidden/>
          </w:rPr>
          <w:fldChar w:fldCharType="end"/>
        </w:r>
      </w:hyperlink>
    </w:p>
    <w:p w14:paraId="7ADBDE9E" w14:textId="0AF1E80E" w:rsidR="00341B9B" w:rsidRPr="00503F5B" w:rsidRDefault="001A6758">
      <w:pPr>
        <w:pStyle w:val="TOC3"/>
        <w:rPr>
          <w:rFonts w:cstheme="minorBidi"/>
          <w:i w:val="0"/>
          <w:iCs w:val="0"/>
          <w:noProof/>
          <w:color w:val="auto"/>
          <w:lang w:eastAsia="en-AU"/>
        </w:rPr>
      </w:pPr>
      <w:hyperlink w:anchor="_Toc35812714" w:history="1">
        <w:r w:rsidR="00341B9B" w:rsidRPr="00503F5B">
          <w:rPr>
            <w:rStyle w:val="Hyperlink"/>
            <w:noProof/>
          </w:rPr>
          <w:t>A3.1.1 Projection of the annual volume of quarterly hour transactions for FRV – 2019-20 to 2029-30</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_Toc35812714 \h </w:instrText>
        </w:r>
        <w:r w:rsidR="00341B9B" w:rsidRPr="00503F5B">
          <w:rPr>
            <w:noProof/>
            <w:webHidden/>
          </w:rPr>
        </w:r>
        <w:r w:rsidR="00341B9B" w:rsidRPr="00503F5B">
          <w:rPr>
            <w:noProof/>
            <w:webHidden/>
          </w:rPr>
          <w:fldChar w:fldCharType="separate"/>
        </w:r>
        <w:r w:rsidR="001C4DE5">
          <w:rPr>
            <w:noProof/>
            <w:webHidden/>
          </w:rPr>
          <w:t>97</w:t>
        </w:r>
        <w:r w:rsidR="00341B9B" w:rsidRPr="00503F5B">
          <w:rPr>
            <w:noProof/>
            <w:webHidden/>
          </w:rPr>
          <w:fldChar w:fldCharType="end"/>
        </w:r>
      </w:hyperlink>
    </w:p>
    <w:p w14:paraId="5FF83D92" w14:textId="5879A859" w:rsidR="00341B9B" w:rsidRPr="00503F5B" w:rsidRDefault="001A6758">
      <w:pPr>
        <w:pStyle w:val="TOC3"/>
        <w:rPr>
          <w:rFonts w:cstheme="minorBidi"/>
          <w:i w:val="0"/>
          <w:iCs w:val="0"/>
          <w:noProof/>
          <w:color w:val="auto"/>
          <w:lang w:eastAsia="en-AU"/>
        </w:rPr>
      </w:pPr>
      <w:hyperlink w:anchor="_Toc35812715" w:history="1">
        <w:r w:rsidR="00341B9B" w:rsidRPr="00503F5B">
          <w:rPr>
            <w:rStyle w:val="Hyperlink"/>
            <w:noProof/>
          </w:rPr>
          <w:t>A3.1.2 Estimation of a weighted full ‘quarterly hour’ cost for FRV</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_Toc35812715 \h </w:instrText>
        </w:r>
        <w:r w:rsidR="00341B9B" w:rsidRPr="00503F5B">
          <w:rPr>
            <w:noProof/>
            <w:webHidden/>
          </w:rPr>
        </w:r>
        <w:r w:rsidR="00341B9B" w:rsidRPr="00503F5B">
          <w:rPr>
            <w:noProof/>
            <w:webHidden/>
          </w:rPr>
          <w:fldChar w:fldCharType="separate"/>
        </w:r>
        <w:r w:rsidR="001C4DE5">
          <w:rPr>
            <w:noProof/>
            <w:webHidden/>
          </w:rPr>
          <w:t>100</w:t>
        </w:r>
        <w:r w:rsidR="00341B9B" w:rsidRPr="00503F5B">
          <w:rPr>
            <w:noProof/>
            <w:webHidden/>
          </w:rPr>
          <w:fldChar w:fldCharType="end"/>
        </w:r>
      </w:hyperlink>
    </w:p>
    <w:p w14:paraId="515EF2B7" w14:textId="06EB97BE" w:rsidR="00341B9B" w:rsidRPr="00503F5B" w:rsidRDefault="001A6758">
      <w:pPr>
        <w:pStyle w:val="TOC2"/>
        <w:tabs>
          <w:tab w:val="right" w:leader="dot" w:pos="8212"/>
        </w:tabs>
        <w:rPr>
          <w:rFonts w:cstheme="minorBidi"/>
          <w:noProof/>
          <w:color w:val="auto"/>
          <w:lang w:eastAsia="en-AU"/>
        </w:rPr>
      </w:pPr>
      <w:hyperlink w:anchor="_Toc35812716" w:history="1">
        <w:r w:rsidR="00341B9B" w:rsidRPr="00503F5B">
          <w:rPr>
            <w:rStyle w:val="Hyperlink"/>
            <w:noProof/>
          </w:rPr>
          <w:t>A3.2</w:t>
        </w:r>
        <w:r w:rsidR="00341B9B" w:rsidRPr="00503F5B">
          <w:rPr>
            <w:rStyle w:val="Hyperlink"/>
            <w:b/>
            <w:bCs/>
            <w:noProof/>
          </w:rPr>
          <w:t xml:space="preserve"> Option 1</w:t>
        </w:r>
        <w:r w:rsidR="00341B9B" w:rsidRPr="00503F5B">
          <w:rPr>
            <w:rStyle w:val="Hyperlink"/>
            <w:noProof/>
          </w:rPr>
          <w:t xml:space="preserve"> – Full cost recovery of emergency attendance of false alarms per quarterly hour by FRV</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_Toc35812716 \h </w:instrText>
        </w:r>
        <w:r w:rsidR="00341B9B" w:rsidRPr="00503F5B">
          <w:rPr>
            <w:noProof/>
            <w:webHidden/>
          </w:rPr>
        </w:r>
        <w:r w:rsidR="00341B9B" w:rsidRPr="00503F5B">
          <w:rPr>
            <w:noProof/>
            <w:webHidden/>
          </w:rPr>
          <w:fldChar w:fldCharType="separate"/>
        </w:r>
        <w:r w:rsidR="001C4DE5">
          <w:rPr>
            <w:noProof/>
            <w:webHidden/>
          </w:rPr>
          <w:t>101</w:t>
        </w:r>
        <w:r w:rsidR="00341B9B" w:rsidRPr="00503F5B">
          <w:rPr>
            <w:noProof/>
            <w:webHidden/>
          </w:rPr>
          <w:fldChar w:fldCharType="end"/>
        </w:r>
      </w:hyperlink>
    </w:p>
    <w:p w14:paraId="429226CE" w14:textId="3471BACA" w:rsidR="00341B9B" w:rsidRPr="00503F5B" w:rsidRDefault="001A6758">
      <w:pPr>
        <w:pStyle w:val="TOC3"/>
        <w:rPr>
          <w:rFonts w:cstheme="minorBidi"/>
          <w:i w:val="0"/>
          <w:iCs w:val="0"/>
          <w:noProof/>
          <w:color w:val="auto"/>
          <w:lang w:eastAsia="en-AU"/>
        </w:rPr>
      </w:pPr>
      <w:hyperlink w:anchor="_Toc35812717" w:history="1">
        <w:r w:rsidR="00341B9B" w:rsidRPr="00503F5B">
          <w:rPr>
            <w:rStyle w:val="Hyperlink"/>
            <w:noProof/>
          </w:rPr>
          <w:t>A3.2.1 Option 1 fee</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_Toc35812717 \h </w:instrText>
        </w:r>
        <w:r w:rsidR="00341B9B" w:rsidRPr="00503F5B">
          <w:rPr>
            <w:noProof/>
            <w:webHidden/>
          </w:rPr>
        </w:r>
        <w:r w:rsidR="00341B9B" w:rsidRPr="00503F5B">
          <w:rPr>
            <w:noProof/>
            <w:webHidden/>
          </w:rPr>
          <w:fldChar w:fldCharType="separate"/>
        </w:r>
        <w:r w:rsidR="001C4DE5">
          <w:rPr>
            <w:noProof/>
            <w:webHidden/>
          </w:rPr>
          <w:t>101</w:t>
        </w:r>
        <w:r w:rsidR="00341B9B" w:rsidRPr="00503F5B">
          <w:rPr>
            <w:noProof/>
            <w:webHidden/>
          </w:rPr>
          <w:fldChar w:fldCharType="end"/>
        </w:r>
      </w:hyperlink>
    </w:p>
    <w:p w14:paraId="7BE77BE2" w14:textId="36530E9D" w:rsidR="00341B9B" w:rsidRPr="00503F5B" w:rsidRDefault="001A6758">
      <w:pPr>
        <w:pStyle w:val="TOC3"/>
        <w:rPr>
          <w:rFonts w:cstheme="minorBidi"/>
          <w:i w:val="0"/>
          <w:iCs w:val="0"/>
          <w:noProof/>
          <w:color w:val="auto"/>
          <w:lang w:eastAsia="en-AU"/>
        </w:rPr>
      </w:pPr>
      <w:hyperlink w:anchor="_Toc35812718" w:history="1">
        <w:r w:rsidR="00341B9B" w:rsidRPr="00503F5B">
          <w:rPr>
            <w:rStyle w:val="Hyperlink"/>
            <w:noProof/>
          </w:rPr>
          <w:t>A3.2.2 Option 1 fee revenue</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_Toc35812718 \h </w:instrText>
        </w:r>
        <w:r w:rsidR="00341B9B" w:rsidRPr="00503F5B">
          <w:rPr>
            <w:noProof/>
            <w:webHidden/>
          </w:rPr>
        </w:r>
        <w:r w:rsidR="00341B9B" w:rsidRPr="00503F5B">
          <w:rPr>
            <w:noProof/>
            <w:webHidden/>
          </w:rPr>
          <w:fldChar w:fldCharType="separate"/>
        </w:r>
        <w:r w:rsidR="001C4DE5">
          <w:rPr>
            <w:noProof/>
            <w:webHidden/>
          </w:rPr>
          <w:t>102</w:t>
        </w:r>
        <w:r w:rsidR="00341B9B" w:rsidRPr="00503F5B">
          <w:rPr>
            <w:noProof/>
            <w:webHidden/>
          </w:rPr>
          <w:fldChar w:fldCharType="end"/>
        </w:r>
      </w:hyperlink>
    </w:p>
    <w:p w14:paraId="7A887F24" w14:textId="7D96889D" w:rsidR="00341B9B" w:rsidRPr="00503F5B" w:rsidRDefault="001A6758">
      <w:pPr>
        <w:pStyle w:val="TOC2"/>
        <w:tabs>
          <w:tab w:val="right" w:leader="dot" w:pos="8212"/>
        </w:tabs>
        <w:rPr>
          <w:rFonts w:cstheme="minorBidi"/>
          <w:noProof/>
          <w:color w:val="auto"/>
          <w:lang w:eastAsia="en-AU"/>
        </w:rPr>
      </w:pPr>
      <w:hyperlink w:anchor="_Toc35812719" w:history="1">
        <w:r w:rsidR="00341B9B" w:rsidRPr="00503F5B">
          <w:rPr>
            <w:rStyle w:val="Hyperlink"/>
            <w:noProof/>
          </w:rPr>
          <w:t xml:space="preserve">A3.3 </w:t>
        </w:r>
        <w:r w:rsidR="00341B9B" w:rsidRPr="00503F5B">
          <w:rPr>
            <w:rStyle w:val="Hyperlink"/>
            <w:b/>
            <w:bCs/>
            <w:noProof/>
          </w:rPr>
          <w:t>Option 2</w:t>
        </w:r>
        <w:r w:rsidR="00341B9B" w:rsidRPr="00503F5B">
          <w:rPr>
            <w:rStyle w:val="Hyperlink"/>
            <w:noProof/>
          </w:rPr>
          <w:t xml:space="preserve"> - Partial cost recovery of emergency attendance of false alarms per quarterly hour by FRV based on current fee</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_Toc35812719 \h </w:instrText>
        </w:r>
        <w:r w:rsidR="00341B9B" w:rsidRPr="00503F5B">
          <w:rPr>
            <w:noProof/>
            <w:webHidden/>
          </w:rPr>
        </w:r>
        <w:r w:rsidR="00341B9B" w:rsidRPr="00503F5B">
          <w:rPr>
            <w:noProof/>
            <w:webHidden/>
          </w:rPr>
          <w:fldChar w:fldCharType="separate"/>
        </w:r>
        <w:r w:rsidR="001C4DE5">
          <w:rPr>
            <w:noProof/>
            <w:webHidden/>
          </w:rPr>
          <w:t>104</w:t>
        </w:r>
        <w:r w:rsidR="00341B9B" w:rsidRPr="00503F5B">
          <w:rPr>
            <w:noProof/>
            <w:webHidden/>
          </w:rPr>
          <w:fldChar w:fldCharType="end"/>
        </w:r>
      </w:hyperlink>
    </w:p>
    <w:p w14:paraId="61827399" w14:textId="6D063D17" w:rsidR="00341B9B" w:rsidRPr="00503F5B" w:rsidRDefault="001A6758">
      <w:pPr>
        <w:pStyle w:val="TOC3"/>
        <w:rPr>
          <w:rFonts w:cstheme="minorBidi"/>
          <w:i w:val="0"/>
          <w:iCs w:val="0"/>
          <w:noProof/>
          <w:color w:val="auto"/>
          <w:lang w:eastAsia="en-AU"/>
        </w:rPr>
      </w:pPr>
      <w:hyperlink w:anchor="_Toc35812720" w:history="1">
        <w:r w:rsidR="00341B9B" w:rsidRPr="00503F5B">
          <w:rPr>
            <w:rStyle w:val="Hyperlink"/>
            <w:noProof/>
          </w:rPr>
          <w:t>A3.3.1 Option 2 fee</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_Toc35812720 \h </w:instrText>
        </w:r>
        <w:r w:rsidR="00341B9B" w:rsidRPr="00503F5B">
          <w:rPr>
            <w:noProof/>
            <w:webHidden/>
          </w:rPr>
        </w:r>
        <w:r w:rsidR="00341B9B" w:rsidRPr="00503F5B">
          <w:rPr>
            <w:noProof/>
            <w:webHidden/>
          </w:rPr>
          <w:fldChar w:fldCharType="separate"/>
        </w:r>
        <w:r w:rsidR="001C4DE5">
          <w:rPr>
            <w:noProof/>
            <w:webHidden/>
          </w:rPr>
          <w:t>104</w:t>
        </w:r>
        <w:r w:rsidR="00341B9B" w:rsidRPr="00503F5B">
          <w:rPr>
            <w:noProof/>
            <w:webHidden/>
          </w:rPr>
          <w:fldChar w:fldCharType="end"/>
        </w:r>
      </w:hyperlink>
    </w:p>
    <w:p w14:paraId="6499A798" w14:textId="67D5DF9A" w:rsidR="00341B9B" w:rsidRPr="00503F5B" w:rsidRDefault="001A6758">
      <w:pPr>
        <w:pStyle w:val="TOC3"/>
        <w:rPr>
          <w:rFonts w:cstheme="minorBidi"/>
          <w:i w:val="0"/>
          <w:iCs w:val="0"/>
          <w:noProof/>
          <w:color w:val="auto"/>
          <w:lang w:eastAsia="en-AU"/>
        </w:rPr>
      </w:pPr>
      <w:hyperlink w:anchor="_Toc35812721" w:history="1">
        <w:r w:rsidR="00341B9B" w:rsidRPr="00503F5B">
          <w:rPr>
            <w:rStyle w:val="Hyperlink"/>
            <w:noProof/>
          </w:rPr>
          <w:t>A3.3.2 Option 2 fee revenue</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_Toc35812721 \h </w:instrText>
        </w:r>
        <w:r w:rsidR="00341B9B" w:rsidRPr="00503F5B">
          <w:rPr>
            <w:noProof/>
            <w:webHidden/>
          </w:rPr>
        </w:r>
        <w:r w:rsidR="00341B9B" w:rsidRPr="00503F5B">
          <w:rPr>
            <w:noProof/>
            <w:webHidden/>
          </w:rPr>
          <w:fldChar w:fldCharType="separate"/>
        </w:r>
        <w:r w:rsidR="001C4DE5">
          <w:rPr>
            <w:noProof/>
            <w:webHidden/>
          </w:rPr>
          <w:t>104</w:t>
        </w:r>
        <w:r w:rsidR="00341B9B" w:rsidRPr="00503F5B">
          <w:rPr>
            <w:noProof/>
            <w:webHidden/>
          </w:rPr>
          <w:fldChar w:fldCharType="end"/>
        </w:r>
      </w:hyperlink>
    </w:p>
    <w:p w14:paraId="75BF6B73" w14:textId="53ABF1A4" w:rsidR="00341B9B" w:rsidRPr="00503F5B" w:rsidRDefault="001A6758">
      <w:pPr>
        <w:pStyle w:val="TOC2"/>
        <w:tabs>
          <w:tab w:val="right" w:leader="dot" w:pos="8212"/>
        </w:tabs>
        <w:rPr>
          <w:rFonts w:cstheme="minorBidi"/>
          <w:noProof/>
          <w:color w:val="auto"/>
          <w:lang w:eastAsia="en-AU"/>
        </w:rPr>
      </w:pPr>
      <w:hyperlink w:anchor="_Toc35812722" w:history="1">
        <w:r w:rsidR="00341B9B" w:rsidRPr="00503F5B">
          <w:rPr>
            <w:rStyle w:val="Hyperlink"/>
            <w:noProof/>
          </w:rPr>
          <w:t xml:space="preserve">A3.4 </w:t>
        </w:r>
        <w:r w:rsidR="00341B9B" w:rsidRPr="00503F5B">
          <w:rPr>
            <w:rStyle w:val="Hyperlink"/>
            <w:b/>
            <w:bCs/>
            <w:noProof/>
          </w:rPr>
          <w:t>Option 3</w:t>
        </w:r>
        <w:r w:rsidR="00341B9B" w:rsidRPr="00503F5B">
          <w:rPr>
            <w:rStyle w:val="Hyperlink"/>
            <w:noProof/>
          </w:rPr>
          <w:t xml:space="preserve"> – Partial cost recovery of emergency attendance of false alarms per quarterly hour with a maximum amount of $1,600 in 2020-21 to be set by FRV based on NSW false alarm attendance fee – </w:t>
        </w:r>
        <w:r w:rsidR="00341B9B" w:rsidRPr="00503F5B">
          <w:rPr>
            <w:rStyle w:val="Hyperlink"/>
            <w:i/>
            <w:iCs/>
            <w:noProof/>
          </w:rPr>
          <w:t>the proposed option</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_Toc35812722 \h </w:instrText>
        </w:r>
        <w:r w:rsidR="00341B9B" w:rsidRPr="00503F5B">
          <w:rPr>
            <w:noProof/>
            <w:webHidden/>
          </w:rPr>
        </w:r>
        <w:r w:rsidR="00341B9B" w:rsidRPr="00503F5B">
          <w:rPr>
            <w:noProof/>
            <w:webHidden/>
          </w:rPr>
          <w:fldChar w:fldCharType="separate"/>
        </w:r>
        <w:r w:rsidR="001C4DE5">
          <w:rPr>
            <w:noProof/>
            <w:webHidden/>
          </w:rPr>
          <w:t>106</w:t>
        </w:r>
        <w:r w:rsidR="00341B9B" w:rsidRPr="00503F5B">
          <w:rPr>
            <w:noProof/>
            <w:webHidden/>
          </w:rPr>
          <w:fldChar w:fldCharType="end"/>
        </w:r>
      </w:hyperlink>
    </w:p>
    <w:p w14:paraId="4B8A16EF" w14:textId="36F26E87" w:rsidR="00341B9B" w:rsidRPr="00503F5B" w:rsidRDefault="001A6758">
      <w:pPr>
        <w:pStyle w:val="TOC3"/>
        <w:rPr>
          <w:rFonts w:cstheme="minorBidi"/>
          <w:i w:val="0"/>
          <w:iCs w:val="0"/>
          <w:noProof/>
          <w:color w:val="auto"/>
          <w:lang w:eastAsia="en-AU"/>
        </w:rPr>
      </w:pPr>
      <w:hyperlink w:anchor="_Toc35812723" w:history="1">
        <w:r w:rsidR="00341B9B" w:rsidRPr="00503F5B">
          <w:rPr>
            <w:rStyle w:val="Hyperlink"/>
            <w:noProof/>
          </w:rPr>
          <w:t>A3.4.1 Option 3 fee</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_Toc35812723 \h </w:instrText>
        </w:r>
        <w:r w:rsidR="00341B9B" w:rsidRPr="00503F5B">
          <w:rPr>
            <w:noProof/>
            <w:webHidden/>
          </w:rPr>
        </w:r>
        <w:r w:rsidR="00341B9B" w:rsidRPr="00503F5B">
          <w:rPr>
            <w:noProof/>
            <w:webHidden/>
          </w:rPr>
          <w:fldChar w:fldCharType="separate"/>
        </w:r>
        <w:r w:rsidR="001C4DE5">
          <w:rPr>
            <w:noProof/>
            <w:webHidden/>
          </w:rPr>
          <w:t>106</w:t>
        </w:r>
        <w:r w:rsidR="00341B9B" w:rsidRPr="00503F5B">
          <w:rPr>
            <w:noProof/>
            <w:webHidden/>
          </w:rPr>
          <w:fldChar w:fldCharType="end"/>
        </w:r>
      </w:hyperlink>
    </w:p>
    <w:p w14:paraId="0B9EA7EB" w14:textId="51D10042" w:rsidR="00341B9B" w:rsidRPr="00503F5B" w:rsidRDefault="001A6758">
      <w:pPr>
        <w:pStyle w:val="TOC3"/>
        <w:rPr>
          <w:rFonts w:cstheme="minorBidi"/>
          <w:i w:val="0"/>
          <w:iCs w:val="0"/>
          <w:noProof/>
          <w:color w:val="auto"/>
          <w:lang w:eastAsia="en-AU"/>
        </w:rPr>
      </w:pPr>
      <w:hyperlink w:anchor="_Toc35812724" w:history="1">
        <w:r w:rsidR="00341B9B" w:rsidRPr="00503F5B">
          <w:rPr>
            <w:rStyle w:val="Hyperlink"/>
            <w:noProof/>
          </w:rPr>
          <w:t>A3.4.2 Option 3 fee revenue</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_Toc35812724 \h </w:instrText>
        </w:r>
        <w:r w:rsidR="00341B9B" w:rsidRPr="00503F5B">
          <w:rPr>
            <w:noProof/>
            <w:webHidden/>
          </w:rPr>
        </w:r>
        <w:r w:rsidR="00341B9B" w:rsidRPr="00503F5B">
          <w:rPr>
            <w:noProof/>
            <w:webHidden/>
          </w:rPr>
          <w:fldChar w:fldCharType="separate"/>
        </w:r>
        <w:r w:rsidR="001C4DE5">
          <w:rPr>
            <w:noProof/>
            <w:webHidden/>
          </w:rPr>
          <w:t>106</w:t>
        </w:r>
        <w:r w:rsidR="00341B9B" w:rsidRPr="00503F5B">
          <w:rPr>
            <w:noProof/>
            <w:webHidden/>
          </w:rPr>
          <w:fldChar w:fldCharType="end"/>
        </w:r>
      </w:hyperlink>
    </w:p>
    <w:p w14:paraId="609C94B9" w14:textId="5BBB0B9F" w:rsidR="00341B9B" w:rsidRPr="00503F5B" w:rsidRDefault="001A6758">
      <w:pPr>
        <w:pStyle w:val="TOC2"/>
        <w:tabs>
          <w:tab w:val="right" w:leader="dot" w:pos="8212"/>
        </w:tabs>
        <w:rPr>
          <w:rFonts w:cstheme="minorBidi"/>
          <w:noProof/>
          <w:color w:val="auto"/>
          <w:lang w:eastAsia="en-AU"/>
        </w:rPr>
      </w:pPr>
      <w:hyperlink w:anchor="_Toc35812725" w:history="1">
        <w:r w:rsidR="00341B9B" w:rsidRPr="00503F5B">
          <w:rPr>
            <w:rStyle w:val="Hyperlink"/>
            <w:noProof/>
          </w:rPr>
          <w:t xml:space="preserve">A3.5 </w:t>
        </w:r>
        <w:r w:rsidR="00341B9B" w:rsidRPr="00503F5B">
          <w:rPr>
            <w:rStyle w:val="Hyperlink"/>
            <w:b/>
            <w:bCs/>
            <w:noProof/>
          </w:rPr>
          <w:t>Option 4</w:t>
        </w:r>
        <w:r w:rsidR="00341B9B" w:rsidRPr="00503F5B">
          <w:rPr>
            <w:rStyle w:val="Hyperlink"/>
            <w:noProof/>
          </w:rPr>
          <w:t xml:space="preserve"> – Partial cost recovery of emergency attendance of false alarms per attendance (fixed fee)</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_Toc35812725 \h </w:instrText>
        </w:r>
        <w:r w:rsidR="00341B9B" w:rsidRPr="00503F5B">
          <w:rPr>
            <w:noProof/>
            <w:webHidden/>
          </w:rPr>
        </w:r>
        <w:r w:rsidR="00341B9B" w:rsidRPr="00503F5B">
          <w:rPr>
            <w:noProof/>
            <w:webHidden/>
          </w:rPr>
          <w:fldChar w:fldCharType="separate"/>
        </w:r>
        <w:r w:rsidR="001C4DE5">
          <w:rPr>
            <w:noProof/>
            <w:webHidden/>
          </w:rPr>
          <w:t>109</w:t>
        </w:r>
        <w:r w:rsidR="00341B9B" w:rsidRPr="00503F5B">
          <w:rPr>
            <w:noProof/>
            <w:webHidden/>
          </w:rPr>
          <w:fldChar w:fldCharType="end"/>
        </w:r>
      </w:hyperlink>
    </w:p>
    <w:p w14:paraId="72025971" w14:textId="491BE1F5" w:rsidR="00341B9B" w:rsidRPr="00503F5B" w:rsidRDefault="001A6758">
      <w:pPr>
        <w:pStyle w:val="TOC3"/>
        <w:rPr>
          <w:rFonts w:cstheme="minorBidi"/>
          <w:i w:val="0"/>
          <w:iCs w:val="0"/>
          <w:noProof/>
          <w:color w:val="auto"/>
          <w:lang w:eastAsia="en-AU"/>
        </w:rPr>
      </w:pPr>
      <w:hyperlink w:anchor="_Toc35812726" w:history="1">
        <w:r w:rsidR="00341B9B" w:rsidRPr="00503F5B">
          <w:rPr>
            <w:rStyle w:val="Hyperlink"/>
            <w:noProof/>
          </w:rPr>
          <w:t>A3.5.1 Option 4 fee</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_Toc35812726 \h </w:instrText>
        </w:r>
        <w:r w:rsidR="00341B9B" w:rsidRPr="00503F5B">
          <w:rPr>
            <w:noProof/>
            <w:webHidden/>
          </w:rPr>
        </w:r>
        <w:r w:rsidR="00341B9B" w:rsidRPr="00503F5B">
          <w:rPr>
            <w:noProof/>
            <w:webHidden/>
          </w:rPr>
          <w:fldChar w:fldCharType="separate"/>
        </w:r>
        <w:r w:rsidR="001C4DE5">
          <w:rPr>
            <w:noProof/>
            <w:webHidden/>
          </w:rPr>
          <w:t>109</w:t>
        </w:r>
        <w:r w:rsidR="00341B9B" w:rsidRPr="00503F5B">
          <w:rPr>
            <w:noProof/>
            <w:webHidden/>
          </w:rPr>
          <w:fldChar w:fldCharType="end"/>
        </w:r>
      </w:hyperlink>
    </w:p>
    <w:p w14:paraId="5F2E34E4" w14:textId="05E44535" w:rsidR="00341B9B" w:rsidRPr="00503F5B" w:rsidRDefault="001A6758">
      <w:pPr>
        <w:pStyle w:val="TOC3"/>
        <w:rPr>
          <w:rFonts w:cstheme="minorBidi"/>
          <w:i w:val="0"/>
          <w:iCs w:val="0"/>
          <w:noProof/>
          <w:color w:val="auto"/>
          <w:lang w:eastAsia="en-AU"/>
        </w:rPr>
      </w:pPr>
      <w:hyperlink w:anchor="_Toc35812727" w:history="1">
        <w:r w:rsidR="00341B9B" w:rsidRPr="00503F5B">
          <w:rPr>
            <w:rStyle w:val="Hyperlink"/>
            <w:noProof/>
          </w:rPr>
          <w:t>A3.5.2 Option 4 fee revenue</w:t>
        </w:r>
        <w:r w:rsidR="00341B9B" w:rsidRPr="00503F5B">
          <w:rPr>
            <w:noProof/>
            <w:webHidden/>
          </w:rPr>
          <w:tab/>
        </w:r>
        <w:r w:rsidR="00341B9B" w:rsidRPr="00503F5B">
          <w:rPr>
            <w:noProof/>
            <w:webHidden/>
          </w:rPr>
          <w:fldChar w:fldCharType="begin"/>
        </w:r>
        <w:r w:rsidR="00341B9B" w:rsidRPr="00503F5B">
          <w:rPr>
            <w:noProof/>
            <w:webHidden/>
          </w:rPr>
          <w:instrText xml:space="preserve"> PAGEREF _Toc35812727 \h </w:instrText>
        </w:r>
        <w:r w:rsidR="00341B9B" w:rsidRPr="00503F5B">
          <w:rPr>
            <w:noProof/>
            <w:webHidden/>
          </w:rPr>
        </w:r>
        <w:r w:rsidR="00341B9B" w:rsidRPr="00503F5B">
          <w:rPr>
            <w:noProof/>
            <w:webHidden/>
          </w:rPr>
          <w:fldChar w:fldCharType="separate"/>
        </w:r>
        <w:r w:rsidR="001C4DE5">
          <w:rPr>
            <w:noProof/>
            <w:webHidden/>
          </w:rPr>
          <w:t>109</w:t>
        </w:r>
        <w:r w:rsidR="00341B9B" w:rsidRPr="00503F5B">
          <w:rPr>
            <w:noProof/>
            <w:webHidden/>
          </w:rPr>
          <w:fldChar w:fldCharType="end"/>
        </w:r>
      </w:hyperlink>
    </w:p>
    <w:p w14:paraId="0AAFFDF3" w14:textId="728AD752" w:rsidR="00341B9B" w:rsidRPr="00503F5B" w:rsidRDefault="001A6758">
      <w:pPr>
        <w:pStyle w:val="TOC1"/>
        <w:rPr>
          <w:rFonts w:asciiTheme="minorHAnsi" w:hAnsiTheme="minorHAnsi" w:cstheme="minorBidi"/>
          <w:b w:val="0"/>
          <w:bCs w:val="0"/>
          <w:color w:val="auto"/>
          <w:sz w:val="22"/>
          <w:szCs w:val="22"/>
          <w:lang w:eastAsia="en-AU"/>
        </w:rPr>
      </w:pPr>
      <w:hyperlink w:anchor="_Toc35812728" w:history="1">
        <w:r w:rsidR="00341B9B" w:rsidRPr="00503F5B">
          <w:rPr>
            <w:rStyle w:val="Hyperlink"/>
          </w:rPr>
          <w:t>Appendix 4 – Nonmaterial impact/burden of proposed non-fee FRV regulations</w:t>
        </w:r>
        <w:r w:rsidR="00341B9B" w:rsidRPr="00503F5B">
          <w:rPr>
            <w:webHidden/>
          </w:rPr>
          <w:tab/>
        </w:r>
        <w:r w:rsidR="00341B9B" w:rsidRPr="00503F5B">
          <w:rPr>
            <w:webHidden/>
          </w:rPr>
          <w:fldChar w:fldCharType="begin"/>
        </w:r>
        <w:r w:rsidR="00341B9B" w:rsidRPr="00503F5B">
          <w:rPr>
            <w:webHidden/>
          </w:rPr>
          <w:instrText xml:space="preserve"> PAGEREF _Toc35812728 \h </w:instrText>
        </w:r>
        <w:r w:rsidR="00341B9B" w:rsidRPr="00503F5B">
          <w:rPr>
            <w:webHidden/>
          </w:rPr>
        </w:r>
        <w:r w:rsidR="00341B9B" w:rsidRPr="00503F5B">
          <w:rPr>
            <w:webHidden/>
          </w:rPr>
          <w:fldChar w:fldCharType="separate"/>
        </w:r>
        <w:r w:rsidR="001C4DE5">
          <w:rPr>
            <w:webHidden/>
          </w:rPr>
          <w:t>110</w:t>
        </w:r>
        <w:r w:rsidR="00341B9B" w:rsidRPr="00503F5B">
          <w:rPr>
            <w:webHidden/>
          </w:rPr>
          <w:fldChar w:fldCharType="end"/>
        </w:r>
      </w:hyperlink>
    </w:p>
    <w:p w14:paraId="1CAE1511" w14:textId="3EE0FB62" w:rsidR="00341B9B" w:rsidRPr="00503F5B" w:rsidRDefault="001A6758">
      <w:pPr>
        <w:pStyle w:val="TOC1"/>
        <w:rPr>
          <w:rFonts w:asciiTheme="minorHAnsi" w:hAnsiTheme="minorHAnsi" w:cstheme="minorBidi"/>
          <w:b w:val="0"/>
          <w:bCs w:val="0"/>
          <w:color w:val="auto"/>
          <w:sz w:val="22"/>
          <w:szCs w:val="22"/>
          <w:lang w:eastAsia="en-AU"/>
        </w:rPr>
      </w:pPr>
      <w:hyperlink w:anchor="_Toc35812729" w:history="1">
        <w:r w:rsidR="00341B9B" w:rsidRPr="00503F5B">
          <w:rPr>
            <w:rStyle w:val="Hyperlink"/>
          </w:rPr>
          <w:t xml:space="preserve">Appendix 5 – Annual cost estimate of </w:t>
        </w:r>
        <w:bookmarkStart w:id="8" w:name="_GoBack"/>
        <w:r w:rsidR="00341B9B" w:rsidRPr="00503F5B">
          <w:rPr>
            <w:rStyle w:val="Hyperlink"/>
          </w:rPr>
          <w:t>fire protection</w:t>
        </w:r>
        <w:bookmarkEnd w:id="8"/>
        <w:r w:rsidR="00341B9B" w:rsidRPr="00503F5B">
          <w:rPr>
            <w:rStyle w:val="Hyperlink"/>
          </w:rPr>
          <w:t xml:space="preserve"> services</w:t>
        </w:r>
        <w:r w:rsidR="00341B9B" w:rsidRPr="00503F5B">
          <w:rPr>
            <w:webHidden/>
          </w:rPr>
          <w:tab/>
        </w:r>
        <w:r w:rsidR="00341B9B" w:rsidRPr="00503F5B">
          <w:rPr>
            <w:webHidden/>
          </w:rPr>
          <w:fldChar w:fldCharType="begin"/>
        </w:r>
        <w:r w:rsidR="00341B9B" w:rsidRPr="00503F5B">
          <w:rPr>
            <w:webHidden/>
          </w:rPr>
          <w:instrText xml:space="preserve"> PAGEREF _Toc35812729 \h </w:instrText>
        </w:r>
        <w:r w:rsidR="00341B9B" w:rsidRPr="00503F5B">
          <w:rPr>
            <w:webHidden/>
          </w:rPr>
        </w:r>
        <w:r w:rsidR="00341B9B" w:rsidRPr="00503F5B">
          <w:rPr>
            <w:webHidden/>
          </w:rPr>
          <w:fldChar w:fldCharType="separate"/>
        </w:r>
        <w:r w:rsidR="001C4DE5">
          <w:rPr>
            <w:webHidden/>
          </w:rPr>
          <w:t>112</w:t>
        </w:r>
        <w:r w:rsidR="00341B9B" w:rsidRPr="00503F5B">
          <w:rPr>
            <w:webHidden/>
          </w:rPr>
          <w:fldChar w:fldCharType="end"/>
        </w:r>
      </w:hyperlink>
    </w:p>
    <w:p w14:paraId="5D6AF315" w14:textId="39F8BEF2" w:rsidR="00341B9B" w:rsidRPr="00503F5B" w:rsidRDefault="001A6758">
      <w:pPr>
        <w:pStyle w:val="TOC1"/>
        <w:rPr>
          <w:rFonts w:asciiTheme="minorHAnsi" w:hAnsiTheme="minorHAnsi" w:cstheme="minorBidi"/>
          <w:b w:val="0"/>
          <w:bCs w:val="0"/>
          <w:color w:val="auto"/>
          <w:sz w:val="22"/>
          <w:szCs w:val="22"/>
          <w:lang w:eastAsia="en-AU"/>
        </w:rPr>
      </w:pPr>
      <w:hyperlink w:anchor="_Toc35812730" w:history="1">
        <w:r w:rsidR="00341B9B" w:rsidRPr="00503F5B">
          <w:rPr>
            <w:rStyle w:val="Hyperlink"/>
          </w:rPr>
          <w:t>Appendix 6 – False alarm call data</w:t>
        </w:r>
        <w:r w:rsidR="00341B9B" w:rsidRPr="00503F5B">
          <w:rPr>
            <w:webHidden/>
          </w:rPr>
          <w:tab/>
        </w:r>
        <w:r w:rsidR="00341B9B" w:rsidRPr="00503F5B">
          <w:rPr>
            <w:webHidden/>
          </w:rPr>
          <w:fldChar w:fldCharType="begin"/>
        </w:r>
        <w:r w:rsidR="00341B9B" w:rsidRPr="00503F5B">
          <w:rPr>
            <w:webHidden/>
          </w:rPr>
          <w:instrText xml:space="preserve"> PAGEREF _Toc35812730 \h </w:instrText>
        </w:r>
        <w:r w:rsidR="00341B9B" w:rsidRPr="00503F5B">
          <w:rPr>
            <w:webHidden/>
          </w:rPr>
        </w:r>
        <w:r w:rsidR="00341B9B" w:rsidRPr="00503F5B">
          <w:rPr>
            <w:webHidden/>
          </w:rPr>
          <w:fldChar w:fldCharType="separate"/>
        </w:r>
        <w:r w:rsidR="001C4DE5">
          <w:rPr>
            <w:webHidden/>
          </w:rPr>
          <w:t>115</w:t>
        </w:r>
        <w:r w:rsidR="00341B9B" w:rsidRPr="00503F5B">
          <w:rPr>
            <w:webHidden/>
          </w:rPr>
          <w:fldChar w:fldCharType="end"/>
        </w:r>
      </w:hyperlink>
    </w:p>
    <w:p w14:paraId="6AFC5886" w14:textId="6D75FD11" w:rsidR="00341B9B" w:rsidRPr="00503F5B" w:rsidRDefault="001A6758">
      <w:pPr>
        <w:pStyle w:val="TOC1"/>
        <w:rPr>
          <w:rFonts w:asciiTheme="minorHAnsi" w:hAnsiTheme="minorHAnsi" w:cstheme="minorBidi"/>
          <w:b w:val="0"/>
          <w:bCs w:val="0"/>
          <w:color w:val="auto"/>
          <w:sz w:val="22"/>
          <w:szCs w:val="22"/>
          <w:lang w:eastAsia="en-AU"/>
        </w:rPr>
      </w:pPr>
      <w:hyperlink w:anchor="_Toc35812731" w:history="1">
        <w:r w:rsidR="00341B9B" w:rsidRPr="00503F5B">
          <w:rPr>
            <w:rStyle w:val="Hyperlink"/>
          </w:rPr>
          <w:t>Appendix 7 – Proposed Fire Rescue Victoria (General) Regulations 2020</w:t>
        </w:r>
        <w:r w:rsidR="00341B9B" w:rsidRPr="00503F5B">
          <w:rPr>
            <w:webHidden/>
          </w:rPr>
          <w:tab/>
        </w:r>
        <w:r w:rsidR="00341B9B" w:rsidRPr="00503F5B">
          <w:rPr>
            <w:webHidden/>
          </w:rPr>
          <w:fldChar w:fldCharType="begin"/>
        </w:r>
        <w:r w:rsidR="00341B9B" w:rsidRPr="00503F5B">
          <w:rPr>
            <w:webHidden/>
          </w:rPr>
          <w:instrText xml:space="preserve"> PAGEREF _Toc35812731 \h </w:instrText>
        </w:r>
        <w:r w:rsidR="00341B9B" w:rsidRPr="00503F5B">
          <w:rPr>
            <w:webHidden/>
          </w:rPr>
        </w:r>
        <w:r w:rsidR="00341B9B" w:rsidRPr="00503F5B">
          <w:rPr>
            <w:webHidden/>
          </w:rPr>
          <w:fldChar w:fldCharType="separate"/>
        </w:r>
        <w:r w:rsidR="001C4DE5">
          <w:rPr>
            <w:webHidden/>
          </w:rPr>
          <w:t>117</w:t>
        </w:r>
        <w:r w:rsidR="00341B9B" w:rsidRPr="00503F5B">
          <w:rPr>
            <w:webHidden/>
          </w:rPr>
          <w:fldChar w:fldCharType="end"/>
        </w:r>
      </w:hyperlink>
    </w:p>
    <w:p w14:paraId="6F1E1BE0" w14:textId="16A7983D" w:rsidR="00341B9B" w:rsidRPr="00503F5B" w:rsidRDefault="00341B9B">
      <w:r w:rsidRPr="00503F5B">
        <w:rPr>
          <w:b/>
          <w:bCs/>
        </w:rPr>
        <w:fldChar w:fldCharType="end"/>
      </w:r>
    </w:p>
    <w:p w14:paraId="1A2F19D0" w14:textId="77777777" w:rsidR="00341B9B" w:rsidRPr="00503F5B" w:rsidRDefault="00341B9B" w:rsidP="00CA6EEB">
      <w:pPr>
        <w:jc w:val="both"/>
      </w:pPr>
    </w:p>
    <w:p w14:paraId="083C828A" w14:textId="77777777" w:rsidR="00341B9B" w:rsidRPr="00503F5B" w:rsidRDefault="00341B9B" w:rsidP="00CA6EEB">
      <w:pPr>
        <w:jc w:val="both"/>
      </w:pPr>
    </w:p>
    <w:p w14:paraId="4D44B241" w14:textId="1CB1AAC5" w:rsidR="00341B9B" w:rsidRPr="00503F5B" w:rsidRDefault="00341B9B" w:rsidP="00517C6D">
      <w:r w:rsidRPr="00503F5B">
        <w:br w:type="page"/>
      </w:r>
    </w:p>
    <w:p w14:paraId="5AB68BE4" w14:textId="7DD6E716" w:rsidR="00DC4B2C" w:rsidRPr="00503F5B" w:rsidRDefault="00DC4B2C" w:rsidP="00DC4B2C">
      <w:pPr>
        <w:pStyle w:val="Heading1"/>
      </w:pPr>
      <w:bookmarkStart w:id="9" w:name="_Toc35804112"/>
      <w:bookmarkStart w:id="10" w:name="_Toc35804606"/>
      <w:bookmarkStart w:id="11" w:name="_Toc35812650"/>
      <w:bookmarkStart w:id="12" w:name="_Toc457772513"/>
      <w:r w:rsidRPr="00503F5B">
        <w:lastRenderedPageBreak/>
        <w:t>Glossary of terms</w:t>
      </w:r>
      <w:bookmarkEnd w:id="9"/>
      <w:bookmarkEnd w:id="10"/>
      <w:bookmarkEnd w:id="11"/>
    </w:p>
    <w:tbl>
      <w:tblPr>
        <w:tblW w:w="8472" w:type="dxa"/>
        <w:tblInd w:w="108" w:type="dxa"/>
        <w:tblLook w:val="04A0" w:firstRow="1" w:lastRow="0" w:firstColumn="1" w:lastColumn="0" w:noHBand="0" w:noVBand="1"/>
      </w:tblPr>
      <w:tblGrid>
        <w:gridCol w:w="1985"/>
        <w:gridCol w:w="6487"/>
      </w:tblGrid>
      <w:tr w:rsidR="00DC4B2C" w:rsidRPr="00503F5B" w14:paraId="39264DA6" w14:textId="77777777" w:rsidTr="00DC2B2D">
        <w:trPr>
          <w:trHeight w:val="59"/>
          <w:tblHeader/>
        </w:trPr>
        <w:tc>
          <w:tcPr>
            <w:tcW w:w="1985" w:type="dxa"/>
            <w:tcBorders>
              <w:top w:val="single" w:sz="4" w:space="0" w:color="ED7C5D"/>
              <w:bottom w:val="double" w:sz="4" w:space="0" w:color="ED7C5D"/>
            </w:tcBorders>
          </w:tcPr>
          <w:p w14:paraId="28219940" w14:textId="77777777" w:rsidR="00DC4B2C" w:rsidRPr="00503F5B" w:rsidRDefault="00DC4B2C" w:rsidP="00DC2B2D">
            <w:pPr>
              <w:rPr>
                <w:b/>
                <w:color w:val="BE2A18"/>
                <w:sz w:val="20"/>
                <w:szCs w:val="20"/>
              </w:rPr>
            </w:pPr>
            <w:r w:rsidRPr="00503F5B">
              <w:rPr>
                <w:b/>
                <w:color w:val="BE2A18"/>
                <w:sz w:val="20"/>
                <w:szCs w:val="20"/>
              </w:rPr>
              <w:t>Term</w:t>
            </w:r>
          </w:p>
        </w:tc>
        <w:tc>
          <w:tcPr>
            <w:tcW w:w="6487" w:type="dxa"/>
            <w:tcBorders>
              <w:top w:val="single" w:sz="4" w:space="0" w:color="ED7C5D"/>
              <w:bottom w:val="double" w:sz="4" w:space="0" w:color="ED7C5D"/>
            </w:tcBorders>
          </w:tcPr>
          <w:p w14:paraId="2C00E38C" w14:textId="77777777" w:rsidR="00DC4B2C" w:rsidRPr="00503F5B" w:rsidRDefault="00DC4B2C" w:rsidP="00DC2B2D">
            <w:pPr>
              <w:rPr>
                <w:b/>
                <w:color w:val="BE2A18"/>
                <w:sz w:val="20"/>
                <w:szCs w:val="20"/>
              </w:rPr>
            </w:pPr>
            <w:r w:rsidRPr="00503F5B">
              <w:rPr>
                <w:b/>
                <w:color w:val="BE2A18"/>
                <w:sz w:val="20"/>
                <w:szCs w:val="20"/>
              </w:rPr>
              <w:t>Definition</w:t>
            </w:r>
          </w:p>
        </w:tc>
      </w:tr>
      <w:tr w:rsidR="00DC4B2C" w:rsidRPr="00503F5B" w14:paraId="7D59B35D" w14:textId="77777777" w:rsidTr="00DC2B2D">
        <w:trPr>
          <w:trHeight w:val="508"/>
        </w:trPr>
        <w:tc>
          <w:tcPr>
            <w:tcW w:w="1985" w:type="dxa"/>
            <w:tcBorders>
              <w:top w:val="double" w:sz="4" w:space="0" w:color="ED7C5D"/>
            </w:tcBorders>
            <w:vAlign w:val="center"/>
          </w:tcPr>
          <w:p w14:paraId="0D7DA057" w14:textId="77777777" w:rsidR="00DC4B2C" w:rsidRPr="00503F5B" w:rsidRDefault="00DC4B2C" w:rsidP="00DC2B2D">
            <w:pPr>
              <w:spacing w:before="120" w:after="120"/>
              <w:rPr>
                <w:sz w:val="20"/>
                <w:szCs w:val="20"/>
              </w:rPr>
            </w:pPr>
            <w:r w:rsidRPr="00503F5B">
              <w:rPr>
                <w:sz w:val="20"/>
                <w:szCs w:val="20"/>
              </w:rPr>
              <w:t>AFA</w:t>
            </w:r>
          </w:p>
        </w:tc>
        <w:tc>
          <w:tcPr>
            <w:tcW w:w="6487" w:type="dxa"/>
            <w:tcBorders>
              <w:top w:val="double" w:sz="4" w:space="0" w:color="ED7C5D"/>
            </w:tcBorders>
            <w:vAlign w:val="center"/>
          </w:tcPr>
          <w:p w14:paraId="277CE493" w14:textId="77777777" w:rsidR="00DC4B2C" w:rsidRPr="00503F5B" w:rsidRDefault="00DC4B2C" w:rsidP="00DC2B2D">
            <w:pPr>
              <w:spacing w:before="120" w:after="120"/>
              <w:rPr>
                <w:sz w:val="20"/>
                <w:szCs w:val="20"/>
              </w:rPr>
            </w:pPr>
            <w:r w:rsidRPr="00503F5B">
              <w:rPr>
                <w:sz w:val="20"/>
                <w:szCs w:val="20"/>
              </w:rPr>
              <w:t>Automatic Fire Alarm</w:t>
            </w:r>
          </w:p>
        </w:tc>
      </w:tr>
      <w:tr w:rsidR="00DC4B2C" w:rsidRPr="00503F5B" w14:paraId="562F40B0" w14:textId="77777777" w:rsidTr="00DC2B2D">
        <w:trPr>
          <w:trHeight w:val="59"/>
        </w:trPr>
        <w:tc>
          <w:tcPr>
            <w:tcW w:w="1985" w:type="dxa"/>
            <w:vAlign w:val="center"/>
          </w:tcPr>
          <w:p w14:paraId="7543006D" w14:textId="77777777" w:rsidR="00DC4B2C" w:rsidRPr="00503F5B" w:rsidRDefault="00DC4B2C" w:rsidP="00DC2B2D">
            <w:pPr>
              <w:spacing w:before="120" w:after="120"/>
              <w:rPr>
                <w:sz w:val="20"/>
                <w:szCs w:val="20"/>
              </w:rPr>
            </w:pPr>
            <w:r w:rsidRPr="00503F5B">
              <w:rPr>
                <w:sz w:val="20"/>
                <w:szCs w:val="20"/>
              </w:rPr>
              <w:t>Appliance</w:t>
            </w:r>
          </w:p>
        </w:tc>
        <w:tc>
          <w:tcPr>
            <w:tcW w:w="6487" w:type="dxa"/>
            <w:vAlign w:val="center"/>
          </w:tcPr>
          <w:p w14:paraId="2674495D" w14:textId="77777777" w:rsidR="00DC4B2C" w:rsidRPr="00503F5B" w:rsidRDefault="00DC4B2C" w:rsidP="00DC2B2D">
            <w:pPr>
              <w:spacing w:before="120" w:after="120"/>
              <w:rPr>
                <w:sz w:val="20"/>
                <w:szCs w:val="20"/>
              </w:rPr>
            </w:pPr>
            <w:r w:rsidRPr="00503F5B">
              <w:rPr>
                <w:sz w:val="20"/>
                <w:szCs w:val="20"/>
              </w:rPr>
              <w:t>Any firefighting or emergency response vehicle that is used by operational staff members</w:t>
            </w:r>
          </w:p>
        </w:tc>
      </w:tr>
      <w:tr w:rsidR="00DC4B2C" w:rsidRPr="00503F5B" w14:paraId="62F47F15" w14:textId="77777777" w:rsidTr="00DC2B2D">
        <w:trPr>
          <w:trHeight w:val="59"/>
        </w:trPr>
        <w:tc>
          <w:tcPr>
            <w:tcW w:w="1985" w:type="dxa"/>
            <w:vAlign w:val="center"/>
          </w:tcPr>
          <w:p w14:paraId="6DD179D9" w14:textId="77777777" w:rsidR="00DC4B2C" w:rsidRPr="00503F5B" w:rsidRDefault="00DC4B2C" w:rsidP="00DC2B2D">
            <w:pPr>
              <w:spacing w:before="120" w:after="120"/>
              <w:rPr>
                <w:sz w:val="20"/>
                <w:szCs w:val="20"/>
              </w:rPr>
            </w:pPr>
            <w:r w:rsidRPr="00503F5B">
              <w:rPr>
                <w:sz w:val="20"/>
                <w:szCs w:val="20"/>
              </w:rPr>
              <w:t>ASE</w:t>
            </w:r>
          </w:p>
        </w:tc>
        <w:tc>
          <w:tcPr>
            <w:tcW w:w="6487" w:type="dxa"/>
            <w:vAlign w:val="center"/>
          </w:tcPr>
          <w:p w14:paraId="183C78D7" w14:textId="77777777" w:rsidR="00DC4B2C" w:rsidRPr="00503F5B" w:rsidRDefault="00DC4B2C" w:rsidP="00DC2B2D">
            <w:pPr>
              <w:spacing w:before="120" w:after="120"/>
              <w:rPr>
                <w:sz w:val="20"/>
                <w:szCs w:val="20"/>
              </w:rPr>
            </w:pPr>
            <w:r w:rsidRPr="00503F5B">
              <w:rPr>
                <w:sz w:val="20"/>
                <w:szCs w:val="20"/>
              </w:rPr>
              <w:t>Alarm Signalling Equipment: Equipment designed to communicate alarm and fault signals together with other information between a fire alarm system and a monitoring service</w:t>
            </w:r>
            <w:r w:rsidRPr="00503F5B">
              <w:rPr>
                <w:rStyle w:val="FootnoteReference"/>
                <w:sz w:val="20"/>
                <w:szCs w:val="20"/>
              </w:rPr>
              <w:footnoteReference w:id="4"/>
            </w:r>
          </w:p>
        </w:tc>
      </w:tr>
      <w:tr w:rsidR="00202FF9" w:rsidRPr="00503F5B" w14:paraId="7C318EB1" w14:textId="77777777" w:rsidTr="00DC2B2D">
        <w:trPr>
          <w:trHeight w:val="59"/>
        </w:trPr>
        <w:tc>
          <w:tcPr>
            <w:tcW w:w="1985" w:type="dxa"/>
            <w:vAlign w:val="center"/>
          </w:tcPr>
          <w:p w14:paraId="7DBE8F2D" w14:textId="7B41A1A0" w:rsidR="00202FF9" w:rsidRPr="00503F5B" w:rsidRDefault="00202FF9" w:rsidP="00DC2B2D">
            <w:pPr>
              <w:spacing w:before="120" w:after="120"/>
              <w:rPr>
                <w:sz w:val="20"/>
                <w:szCs w:val="20"/>
              </w:rPr>
            </w:pPr>
            <w:r w:rsidRPr="00503F5B">
              <w:rPr>
                <w:sz w:val="20"/>
                <w:szCs w:val="20"/>
              </w:rPr>
              <w:t>BCA</w:t>
            </w:r>
          </w:p>
        </w:tc>
        <w:tc>
          <w:tcPr>
            <w:tcW w:w="6487" w:type="dxa"/>
            <w:vAlign w:val="center"/>
          </w:tcPr>
          <w:p w14:paraId="1287BB85" w14:textId="1B68BB30" w:rsidR="00202FF9" w:rsidRPr="00503F5B" w:rsidRDefault="00202FF9" w:rsidP="00DC2B2D">
            <w:pPr>
              <w:spacing w:before="120" w:after="120"/>
              <w:rPr>
                <w:sz w:val="20"/>
                <w:szCs w:val="20"/>
              </w:rPr>
            </w:pPr>
            <w:r w:rsidRPr="00503F5B">
              <w:rPr>
                <w:sz w:val="20"/>
                <w:szCs w:val="20"/>
              </w:rPr>
              <w:t xml:space="preserve">Building Code </w:t>
            </w:r>
            <w:r w:rsidR="009321A0" w:rsidRPr="00503F5B">
              <w:rPr>
                <w:sz w:val="20"/>
                <w:szCs w:val="20"/>
              </w:rPr>
              <w:t>of Australia</w:t>
            </w:r>
          </w:p>
        </w:tc>
      </w:tr>
      <w:tr w:rsidR="00DF6901" w:rsidRPr="00503F5B" w14:paraId="183535B7" w14:textId="77777777" w:rsidTr="00DC2B2D">
        <w:trPr>
          <w:trHeight w:val="59"/>
        </w:trPr>
        <w:tc>
          <w:tcPr>
            <w:tcW w:w="1985" w:type="dxa"/>
            <w:vAlign w:val="center"/>
          </w:tcPr>
          <w:p w14:paraId="4E7315B3" w14:textId="58B0BDBB" w:rsidR="00DF6901" w:rsidRPr="00503F5B" w:rsidRDefault="00DF6901" w:rsidP="00DC2B2D">
            <w:pPr>
              <w:spacing w:before="120" w:after="120"/>
              <w:rPr>
                <w:sz w:val="20"/>
                <w:szCs w:val="20"/>
              </w:rPr>
            </w:pPr>
            <w:r w:rsidRPr="00503F5B">
              <w:rPr>
                <w:sz w:val="20"/>
                <w:szCs w:val="20"/>
              </w:rPr>
              <w:t>BICU</w:t>
            </w:r>
          </w:p>
        </w:tc>
        <w:tc>
          <w:tcPr>
            <w:tcW w:w="6487" w:type="dxa"/>
            <w:vAlign w:val="center"/>
          </w:tcPr>
          <w:p w14:paraId="30145CB4" w14:textId="33DFC4ED" w:rsidR="00DF6901" w:rsidRPr="00503F5B" w:rsidRDefault="00DF6901" w:rsidP="00DC2B2D">
            <w:pPr>
              <w:spacing w:before="120" w:after="120"/>
              <w:rPr>
                <w:sz w:val="20"/>
                <w:szCs w:val="20"/>
              </w:rPr>
            </w:pPr>
            <w:r w:rsidRPr="00503F5B">
              <w:rPr>
                <w:rFonts w:asciiTheme="minorHAnsi" w:hAnsiTheme="minorHAnsi"/>
                <w:sz w:val="20"/>
                <w:szCs w:val="20"/>
              </w:rPr>
              <w:t>Building Inspection and Compliance Unit</w:t>
            </w:r>
          </w:p>
        </w:tc>
      </w:tr>
      <w:tr w:rsidR="00DF6901" w:rsidRPr="00503F5B" w14:paraId="72A9BDEE" w14:textId="77777777" w:rsidTr="00DC2B2D">
        <w:trPr>
          <w:trHeight w:val="59"/>
        </w:trPr>
        <w:tc>
          <w:tcPr>
            <w:tcW w:w="1985" w:type="dxa"/>
            <w:vAlign w:val="center"/>
          </w:tcPr>
          <w:p w14:paraId="5AF5B2DE" w14:textId="7DF8692E" w:rsidR="00DF6901" w:rsidRPr="00503F5B" w:rsidRDefault="00DF6901" w:rsidP="00DC2B2D">
            <w:pPr>
              <w:spacing w:before="120" w:after="120"/>
              <w:rPr>
                <w:sz w:val="20"/>
                <w:szCs w:val="20"/>
              </w:rPr>
            </w:pPr>
            <w:r w:rsidRPr="00503F5B">
              <w:rPr>
                <w:sz w:val="20"/>
                <w:szCs w:val="20"/>
              </w:rPr>
              <w:t>BGA</w:t>
            </w:r>
          </w:p>
        </w:tc>
        <w:tc>
          <w:tcPr>
            <w:tcW w:w="6487" w:type="dxa"/>
            <w:vAlign w:val="center"/>
          </w:tcPr>
          <w:p w14:paraId="1EDBD5E7" w14:textId="12E69CB7" w:rsidR="00DF6901" w:rsidRPr="00503F5B" w:rsidRDefault="00DF6901" w:rsidP="00DC2B2D">
            <w:pPr>
              <w:spacing w:before="120" w:after="120"/>
              <w:rPr>
                <w:sz w:val="20"/>
                <w:szCs w:val="20"/>
              </w:rPr>
            </w:pPr>
            <w:r w:rsidRPr="00503F5B">
              <w:rPr>
                <w:sz w:val="20"/>
                <w:szCs w:val="20"/>
              </w:rPr>
              <w:t>Break Glass Alarm</w:t>
            </w:r>
          </w:p>
        </w:tc>
      </w:tr>
      <w:tr w:rsidR="00DC4B2C" w:rsidRPr="00503F5B" w14:paraId="75AC6957" w14:textId="77777777" w:rsidTr="00DC2B2D">
        <w:trPr>
          <w:trHeight w:val="59"/>
        </w:trPr>
        <w:tc>
          <w:tcPr>
            <w:tcW w:w="1985" w:type="dxa"/>
            <w:vAlign w:val="center"/>
          </w:tcPr>
          <w:p w14:paraId="58BC448F" w14:textId="77777777" w:rsidR="00DC4B2C" w:rsidRPr="00503F5B" w:rsidRDefault="00DC4B2C" w:rsidP="00DC2B2D">
            <w:pPr>
              <w:spacing w:before="120" w:after="120"/>
              <w:rPr>
                <w:sz w:val="20"/>
                <w:szCs w:val="20"/>
              </w:rPr>
            </w:pPr>
            <w:r w:rsidRPr="00503F5B">
              <w:rPr>
                <w:sz w:val="20"/>
                <w:szCs w:val="20"/>
              </w:rPr>
              <w:t>CFA</w:t>
            </w:r>
          </w:p>
        </w:tc>
        <w:tc>
          <w:tcPr>
            <w:tcW w:w="6487" w:type="dxa"/>
            <w:vAlign w:val="center"/>
          </w:tcPr>
          <w:p w14:paraId="499F0C6C" w14:textId="77777777" w:rsidR="00DC4B2C" w:rsidRPr="00503F5B" w:rsidRDefault="00DC4B2C" w:rsidP="00DC2B2D">
            <w:pPr>
              <w:spacing w:before="120" w:after="120"/>
              <w:rPr>
                <w:sz w:val="20"/>
                <w:szCs w:val="20"/>
              </w:rPr>
            </w:pPr>
            <w:r w:rsidRPr="00503F5B">
              <w:rPr>
                <w:sz w:val="20"/>
                <w:szCs w:val="20"/>
              </w:rPr>
              <w:t>Country Fire Authority</w:t>
            </w:r>
          </w:p>
        </w:tc>
      </w:tr>
      <w:tr w:rsidR="00DC4B2C" w:rsidRPr="00503F5B" w14:paraId="402BC87A" w14:textId="77777777" w:rsidTr="00DC2B2D">
        <w:trPr>
          <w:trHeight w:val="59"/>
        </w:trPr>
        <w:tc>
          <w:tcPr>
            <w:tcW w:w="1985" w:type="dxa"/>
            <w:vAlign w:val="center"/>
          </w:tcPr>
          <w:p w14:paraId="72523433" w14:textId="77777777" w:rsidR="00DC4B2C" w:rsidRPr="00503F5B" w:rsidRDefault="00DC4B2C" w:rsidP="00DC2B2D">
            <w:pPr>
              <w:spacing w:before="120" w:after="120"/>
              <w:rPr>
                <w:sz w:val="20"/>
                <w:szCs w:val="20"/>
              </w:rPr>
            </w:pPr>
            <w:r w:rsidRPr="00503F5B">
              <w:rPr>
                <w:sz w:val="20"/>
                <w:szCs w:val="20"/>
              </w:rPr>
              <w:t>CPR</w:t>
            </w:r>
          </w:p>
        </w:tc>
        <w:tc>
          <w:tcPr>
            <w:tcW w:w="6487" w:type="dxa"/>
            <w:vAlign w:val="center"/>
          </w:tcPr>
          <w:p w14:paraId="56A983A2" w14:textId="77777777" w:rsidR="00DC4B2C" w:rsidRPr="00503F5B" w:rsidRDefault="00DC4B2C" w:rsidP="00DC2B2D">
            <w:pPr>
              <w:spacing w:before="120" w:after="120"/>
              <w:rPr>
                <w:sz w:val="20"/>
                <w:szCs w:val="20"/>
              </w:rPr>
            </w:pPr>
            <w:r w:rsidRPr="00503F5B">
              <w:rPr>
                <w:rFonts w:cs="Calibri"/>
                <w:color w:val="auto"/>
                <w:sz w:val="20"/>
                <w:szCs w:val="20"/>
              </w:rPr>
              <w:t>Cardiopulmonary Resuscitation</w:t>
            </w:r>
          </w:p>
        </w:tc>
      </w:tr>
      <w:tr w:rsidR="00DC4B2C" w:rsidRPr="00503F5B" w14:paraId="5433477A" w14:textId="77777777" w:rsidTr="00DC2B2D">
        <w:trPr>
          <w:trHeight w:val="59"/>
        </w:trPr>
        <w:tc>
          <w:tcPr>
            <w:tcW w:w="1985" w:type="dxa"/>
            <w:vAlign w:val="center"/>
          </w:tcPr>
          <w:p w14:paraId="6AB6B600" w14:textId="77777777" w:rsidR="00DC4B2C" w:rsidRPr="00503F5B" w:rsidRDefault="00DC4B2C" w:rsidP="00DC2B2D">
            <w:pPr>
              <w:spacing w:before="120" w:after="120"/>
              <w:rPr>
                <w:sz w:val="20"/>
                <w:szCs w:val="20"/>
              </w:rPr>
            </w:pPr>
            <w:r w:rsidRPr="00503F5B">
              <w:rPr>
                <w:sz w:val="20"/>
                <w:szCs w:val="20"/>
              </w:rPr>
              <w:t>DOJR</w:t>
            </w:r>
          </w:p>
        </w:tc>
        <w:tc>
          <w:tcPr>
            <w:tcW w:w="6487" w:type="dxa"/>
            <w:vAlign w:val="center"/>
          </w:tcPr>
          <w:p w14:paraId="7E711B5A" w14:textId="77777777" w:rsidR="00DC4B2C" w:rsidRPr="00503F5B" w:rsidRDefault="00DC4B2C" w:rsidP="00DC2B2D">
            <w:pPr>
              <w:spacing w:before="120" w:after="120"/>
              <w:rPr>
                <w:rFonts w:cs="Calibri"/>
                <w:color w:val="auto"/>
                <w:sz w:val="20"/>
                <w:szCs w:val="20"/>
              </w:rPr>
            </w:pPr>
            <w:r w:rsidRPr="00503F5B">
              <w:rPr>
                <w:sz w:val="20"/>
                <w:szCs w:val="20"/>
              </w:rPr>
              <w:t>Department of Justice and Regulation</w:t>
            </w:r>
          </w:p>
        </w:tc>
      </w:tr>
      <w:tr w:rsidR="00202FF9" w:rsidRPr="00503F5B" w14:paraId="1B7AE4BF" w14:textId="77777777" w:rsidTr="00DC2B2D">
        <w:trPr>
          <w:trHeight w:val="59"/>
        </w:trPr>
        <w:tc>
          <w:tcPr>
            <w:tcW w:w="1985" w:type="dxa"/>
            <w:vAlign w:val="center"/>
          </w:tcPr>
          <w:p w14:paraId="166395C9" w14:textId="234EF4DB" w:rsidR="00202FF9" w:rsidRPr="00503F5B" w:rsidRDefault="00202FF9" w:rsidP="00DC2B2D">
            <w:pPr>
              <w:spacing w:before="120" w:after="120"/>
              <w:rPr>
                <w:sz w:val="20"/>
                <w:szCs w:val="20"/>
              </w:rPr>
            </w:pPr>
            <w:r w:rsidRPr="00503F5B">
              <w:rPr>
                <w:sz w:val="20"/>
                <w:szCs w:val="20"/>
              </w:rPr>
              <w:t>ESMs</w:t>
            </w:r>
          </w:p>
        </w:tc>
        <w:tc>
          <w:tcPr>
            <w:tcW w:w="6487" w:type="dxa"/>
            <w:vAlign w:val="center"/>
          </w:tcPr>
          <w:p w14:paraId="057603C2" w14:textId="4592B1D7" w:rsidR="00202FF9" w:rsidRPr="00503F5B" w:rsidRDefault="00202FF9" w:rsidP="00DC2B2D">
            <w:pPr>
              <w:spacing w:before="120" w:after="120"/>
              <w:rPr>
                <w:sz w:val="20"/>
                <w:szCs w:val="20"/>
              </w:rPr>
            </w:pPr>
            <w:r w:rsidRPr="00503F5B">
              <w:rPr>
                <w:sz w:val="20"/>
                <w:szCs w:val="20"/>
              </w:rPr>
              <w:t>Essential Safety Measures</w:t>
            </w:r>
          </w:p>
        </w:tc>
      </w:tr>
      <w:tr w:rsidR="00DC4B2C" w:rsidRPr="00503F5B" w14:paraId="2274EB22" w14:textId="77777777" w:rsidTr="00DC2B2D">
        <w:trPr>
          <w:trHeight w:val="59"/>
        </w:trPr>
        <w:tc>
          <w:tcPr>
            <w:tcW w:w="1985" w:type="dxa"/>
            <w:vAlign w:val="center"/>
          </w:tcPr>
          <w:p w14:paraId="4E49EFDB" w14:textId="77777777" w:rsidR="00DC4B2C" w:rsidRPr="00503F5B" w:rsidRDefault="00DC4B2C" w:rsidP="00DC2B2D">
            <w:pPr>
              <w:spacing w:before="120" w:after="120"/>
              <w:rPr>
                <w:sz w:val="20"/>
                <w:szCs w:val="20"/>
              </w:rPr>
            </w:pPr>
            <w:r w:rsidRPr="00503F5B">
              <w:rPr>
                <w:sz w:val="20"/>
                <w:szCs w:val="20"/>
              </w:rPr>
              <w:t>EMR</w:t>
            </w:r>
          </w:p>
        </w:tc>
        <w:tc>
          <w:tcPr>
            <w:tcW w:w="6487" w:type="dxa"/>
            <w:vAlign w:val="center"/>
          </w:tcPr>
          <w:p w14:paraId="05838AEA" w14:textId="77777777" w:rsidR="00DC4B2C" w:rsidRPr="00503F5B" w:rsidRDefault="00DC4B2C" w:rsidP="00DC2B2D">
            <w:pPr>
              <w:spacing w:before="120" w:after="120"/>
              <w:rPr>
                <w:sz w:val="20"/>
                <w:szCs w:val="20"/>
              </w:rPr>
            </w:pPr>
            <w:r w:rsidRPr="00503F5B">
              <w:rPr>
                <w:sz w:val="20"/>
                <w:szCs w:val="20"/>
              </w:rPr>
              <w:t>Emergency Medical Response</w:t>
            </w:r>
          </w:p>
        </w:tc>
      </w:tr>
      <w:tr w:rsidR="00DC4B2C" w:rsidRPr="00503F5B" w14:paraId="6B3608AB" w14:textId="77777777" w:rsidTr="00DC2B2D">
        <w:trPr>
          <w:trHeight w:val="59"/>
        </w:trPr>
        <w:tc>
          <w:tcPr>
            <w:tcW w:w="1985" w:type="dxa"/>
            <w:vAlign w:val="center"/>
          </w:tcPr>
          <w:p w14:paraId="7A6D2CB3" w14:textId="77777777" w:rsidR="00DC4B2C" w:rsidRPr="00503F5B" w:rsidRDefault="00DC4B2C" w:rsidP="00DC2B2D">
            <w:pPr>
              <w:spacing w:before="120" w:after="120"/>
              <w:rPr>
                <w:sz w:val="20"/>
                <w:szCs w:val="20"/>
              </w:rPr>
            </w:pPr>
            <w:r w:rsidRPr="00503F5B">
              <w:rPr>
                <w:sz w:val="20"/>
                <w:szCs w:val="20"/>
              </w:rPr>
              <w:t>EMR allowance</w:t>
            </w:r>
          </w:p>
        </w:tc>
        <w:tc>
          <w:tcPr>
            <w:tcW w:w="6487" w:type="dxa"/>
            <w:vAlign w:val="center"/>
          </w:tcPr>
          <w:p w14:paraId="4958B574" w14:textId="77777777" w:rsidR="00DC4B2C" w:rsidRPr="00503F5B" w:rsidRDefault="00DC4B2C" w:rsidP="00DC2B2D">
            <w:pPr>
              <w:spacing w:before="120" w:after="120"/>
              <w:rPr>
                <w:sz w:val="20"/>
                <w:szCs w:val="20"/>
              </w:rPr>
            </w:pPr>
            <w:r w:rsidRPr="00503F5B">
              <w:rPr>
                <w:rFonts w:cs="Calibri"/>
                <w:color w:val="auto"/>
                <w:sz w:val="20"/>
                <w:szCs w:val="20"/>
              </w:rPr>
              <w:t>Allowance provided to operational staff for EMR services provided including CPR and defibrillation</w:t>
            </w:r>
          </w:p>
        </w:tc>
      </w:tr>
      <w:tr w:rsidR="00DC4B2C" w:rsidRPr="00503F5B" w14:paraId="6546E3E0" w14:textId="77777777" w:rsidTr="00DC2B2D">
        <w:trPr>
          <w:trHeight w:val="59"/>
        </w:trPr>
        <w:tc>
          <w:tcPr>
            <w:tcW w:w="1985" w:type="dxa"/>
            <w:vAlign w:val="center"/>
          </w:tcPr>
          <w:p w14:paraId="12F766AF" w14:textId="77777777" w:rsidR="00DC4B2C" w:rsidRPr="00503F5B" w:rsidRDefault="00DC4B2C" w:rsidP="00DC2B2D">
            <w:pPr>
              <w:spacing w:before="120" w:after="120"/>
              <w:rPr>
                <w:sz w:val="20"/>
                <w:szCs w:val="20"/>
              </w:rPr>
            </w:pPr>
            <w:r w:rsidRPr="00503F5B">
              <w:rPr>
                <w:sz w:val="20"/>
                <w:szCs w:val="20"/>
              </w:rPr>
              <w:t>EMV</w:t>
            </w:r>
          </w:p>
        </w:tc>
        <w:tc>
          <w:tcPr>
            <w:tcW w:w="6487" w:type="dxa"/>
            <w:vAlign w:val="center"/>
          </w:tcPr>
          <w:p w14:paraId="382B040B" w14:textId="77777777" w:rsidR="00DC4B2C" w:rsidRPr="00503F5B" w:rsidRDefault="00DC4B2C" w:rsidP="00DC2B2D">
            <w:pPr>
              <w:spacing w:before="120" w:after="120"/>
              <w:rPr>
                <w:sz w:val="20"/>
                <w:szCs w:val="20"/>
              </w:rPr>
            </w:pPr>
            <w:r w:rsidRPr="00503F5B">
              <w:rPr>
                <w:sz w:val="20"/>
                <w:szCs w:val="20"/>
              </w:rPr>
              <w:t>Emergency Management Victoria</w:t>
            </w:r>
          </w:p>
        </w:tc>
      </w:tr>
      <w:tr w:rsidR="00DC4B2C" w:rsidRPr="00503F5B" w14:paraId="01F27398" w14:textId="77777777" w:rsidTr="00DC2B2D">
        <w:trPr>
          <w:trHeight w:val="59"/>
        </w:trPr>
        <w:tc>
          <w:tcPr>
            <w:tcW w:w="1985" w:type="dxa"/>
            <w:vAlign w:val="center"/>
          </w:tcPr>
          <w:p w14:paraId="6BA0E5F5" w14:textId="77777777" w:rsidR="00DC4B2C" w:rsidRPr="00503F5B" w:rsidRDefault="00DC4B2C" w:rsidP="00DC2B2D">
            <w:pPr>
              <w:spacing w:before="120" w:after="120"/>
              <w:rPr>
                <w:sz w:val="20"/>
                <w:szCs w:val="20"/>
              </w:rPr>
            </w:pPr>
            <w:r w:rsidRPr="00503F5B">
              <w:rPr>
                <w:sz w:val="20"/>
                <w:szCs w:val="20"/>
              </w:rPr>
              <w:t>FRV</w:t>
            </w:r>
          </w:p>
        </w:tc>
        <w:tc>
          <w:tcPr>
            <w:tcW w:w="6487" w:type="dxa"/>
            <w:vAlign w:val="center"/>
          </w:tcPr>
          <w:p w14:paraId="16A2E330" w14:textId="77777777" w:rsidR="00DC4B2C" w:rsidRPr="00503F5B" w:rsidRDefault="00DC4B2C" w:rsidP="00DC2B2D">
            <w:pPr>
              <w:spacing w:before="120" w:after="120"/>
              <w:rPr>
                <w:rFonts w:cs="Calibri"/>
                <w:color w:val="auto"/>
                <w:sz w:val="20"/>
                <w:szCs w:val="20"/>
              </w:rPr>
            </w:pPr>
            <w:r w:rsidRPr="00503F5B">
              <w:rPr>
                <w:rFonts w:cs="Calibri"/>
                <w:color w:val="auto"/>
                <w:sz w:val="20"/>
                <w:szCs w:val="20"/>
              </w:rPr>
              <w:t>Fire Rescue Victoria</w:t>
            </w:r>
          </w:p>
        </w:tc>
      </w:tr>
      <w:tr w:rsidR="00DC4B2C" w:rsidRPr="00503F5B" w14:paraId="03C8EE40" w14:textId="77777777" w:rsidTr="00DC2B2D">
        <w:trPr>
          <w:trHeight w:val="59"/>
        </w:trPr>
        <w:tc>
          <w:tcPr>
            <w:tcW w:w="1985" w:type="dxa"/>
            <w:vAlign w:val="center"/>
          </w:tcPr>
          <w:p w14:paraId="4D4948D0" w14:textId="77777777" w:rsidR="00DC4B2C" w:rsidRPr="00503F5B" w:rsidRDefault="00DC4B2C" w:rsidP="00DC2B2D">
            <w:pPr>
              <w:spacing w:before="120" w:after="120"/>
              <w:rPr>
                <w:sz w:val="20"/>
                <w:szCs w:val="20"/>
              </w:rPr>
            </w:pPr>
            <w:r w:rsidRPr="00503F5B">
              <w:rPr>
                <w:sz w:val="20"/>
                <w:szCs w:val="20"/>
              </w:rPr>
              <w:t>FIP</w:t>
            </w:r>
          </w:p>
        </w:tc>
        <w:tc>
          <w:tcPr>
            <w:tcW w:w="6487" w:type="dxa"/>
            <w:vAlign w:val="center"/>
          </w:tcPr>
          <w:p w14:paraId="0F7B2F0E" w14:textId="77777777" w:rsidR="00DC4B2C" w:rsidRPr="00503F5B" w:rsidRDefault="00DC4B2C" w:rsidP="00DC2B2D">
            <w:pPr>
              <w:spacing w:before="120" w:after="120"/>
              <w:rPr>
                <w:sz w:val="20"/>
                <w:szCs w:val="20"/>
              </w:rPr>
            </w:pPr>
            <w:r w:rsidRPr="00503F5B">
              <w:rPr>
                <w:rFonts w:cs="Calibri"/>
                <w:color w:val="auto"/>
                <w:sz w:val="20"/>
                <w:szCs w:val="20"/>
              </w:rPr>
              <w:t>Fire Indicator Panel</w:t>
            </w:r>
          </w:p>
        </w:tc>
      </w:tr>
      <w:tr w:rsidR="000F080F" w:rsidRPr="00503F5B" w14:paraId="18242E10" w14:textId="77777777" w:rsidTr="00DC2B2D">
        <w:trPr>
          <w:trHeight w:val="59"/>
        </w:trPr>
        <w:tc>
          <w:tcPr>
            <w:tcW w:w="1985" w:type="dxa"/>
            <w:vAlign w:val="center"/>
          </w:tcPr>
          <w:p w14:paraId="3162D5E3" w14:textId="0B6D6C36" w:rsidR="000F080F" w:rsidRPr="00503F5B" w:rsidRDefault="000F080F" w:rsidP="00DC2B2D">
            <w:pPr>
              <w:spacing w:before="120" w:after="120"/>
              <w:rPr>
                <w:sz w:val="20"/>
                <w:szCs w:val="20"/>
              </w:rPr>
            </w:pPr>
            <w:r w:rsidRPr="00503F5B">
              <w:rPr>
                <w:sz w:val="20"/>
                <w:szCs w:val="20"/>
              </w:rPr>
              <w:t>IFEG</w:t>
            </w:r>
          </w:p>
        </w:tc>
        <w:tc>
          <w:tcPr>
            <w:tcW w:w="6487" w:type="dxa"/>
            <w:vAlign w:val="center"/>
          </w:tcPr>
          <w:p w14:paraId="37B43A0F" w14:textId="6994D953" w:rsidR="000F080F" w:rsidRPr="00503F5B" w:rsidRDefault="000F080F" w:rsidP="00DC2B2D">
            <w:pPr>
              <w:spacing w:before="120" w:after="120"/>
              <w:rPr>
                <w:sz w:val="20"/>
                <w:szCs w:val="20"/>
              </w:rPr>
            </w:pPr>
            <w:r w:rsidRPr="00503F5B">
              <w:rPr>
                <w:sz w:val="20"/>
                <w:szCs w:val="20"/>
              </w:rPr>
              <w:t>International Fire Engineering Guidelines</w:t>
            </w:r>
          </w:p>
        </w:tc>
      </w:tr>
      <w:tr w:rsidR="00DC4B2C" w:rsidRPr="00503F5B" w14:paraId="61DF8127" w14:textId="77777777" w:rsidTr="00DC2B2D">
        <w:trPr>
          <w:trHeight w:val="59"/>
        </w:trPr>
        <w:tc>
          <w:tcPr>
            <w:tcW w:w="1985" w:type="dxa"/>
            <w:vAlign w:val="center"/>
          </w:tcPr>
          <w:p w14:paraId="4E68CFA3" w14:textId="77777777" w:rsidR="00DC4B2C" w:rsidRPr="00503F5B" w:rsidRDefault="00DC4B2C" w:rsidP="00DC2B2D">
            <w:pPr>
              <w:spacing w:before="120" w:after="120"/>
              <w:rPr>
                <w:sz w:val="20"/>
                <w:szCs w:val="20"/>
              </w:rPr>
            </w:pPr>
            <w:r w:rsidRPr="00503F5B">
              <w:rPr>
                <w:sz w:val="20"/>
                <w:szCs w:val="20"/>
              </w:rPr>
              <w:t>Integrated Station</w:t>
            </w:r>
          </w:p>
        </w:tc>
        <w:tc>
          <w:tcPr>
            <w:tcW w:w="6487" w:type="dxa"/>
            <w:vAlign w:val="center"/>
          </w:tcPr>
          <w:p w14:paraId="25F27782" w14:textId="77777777" w:rsidR="00DC4B2C" w:rsidRPr="00503F5B" w:rsidRDefault="00DC4B2C" w:rsidP="00DC2B2D">
            <w:pPr>
              <w:spacing w:before="120" w:after="120"/>
              <w:rPr>
                <w:sz w:val="20"/>
                <w:szCs w:val="20"/>
              </w:rPr>
            </w:pPr>
            <w:r w:rsidRPr="00503F5B">
              <w:rPr>
                <w:sz w:val="20"/>
                <w:szCs w:val="20"/>
              </w:rPr>
              <w:t>An integrated station includes both career and volunteer firefighters and is run by CFA. Under the proposed legislation, these stations and assets, and career firefighters, will move to FRV. Volunteer brigades will be supported to co-locate with FRV units</w:t>
            </w:r>
            <w:r w:rsidRPr="00503F5B">
              <w:rPr>
                <w:rStyle w:val="FootnoteReference"/>
                <w:sz w:val="20"/>
                <w:szCs w:val="20"/>
              </w:rPr>
              <w:footnoteReference w:id="5"/>
            </w:r>
            <w:r w:rsidRPr="00503F5B">
              <w:rPr>
                <w:sz w:val="20"/>
                <w:szCs w:val="20"/>
              </w:rPr>
              <w:t>.</w:t>
            </w:r>
          </w:p>
        </w:tc>
      </w:tr>
      <w:tr w:rsidR="00DC4B2C" w:rsidRPr="00503F5B" w14:paraId="61C8FB94" w14:textId="77777777" w:rsidTr="00DC2B2D">
        <w:trPr>
          <w:trHeight w:val="59"/>
        </w:trPr>
        <w:tc>
          <w:tcPr>
            <w:tcW w:w="1985" w:type="dxa"/>
            <w:vAlign w:val="center"/>
          </w:tcPr>
          <w:p w14:paraId="566AA795" w14:textId="77777777" w:rsidR="00DC4B2C" w:rsidRPr="00503F5B" w:rsidRDefault="00DC4B2C" w:rsidP="00DC2B2D">
            <w:pPr>
              <w:spacing w:before="120" w:after="120"/>
              <w:rPr>
                <w:sz w:val="20"/>
                <w:szCs w:val="20"/>
              </w:rPr>
            </w:pPr>
            <w:r w:rsidRPr="00503F5B">
              <w:rPr>
                <w:sz w:val="20"/>
                <w:szCs w:val="20"/>
              </w:rPr>
              <w:t>Management and maintenance of AFA systems</w:t>
            </w:r>
          </w:p>
        </w:tc>
        <w:tc>
          <w:tcPr>
            <w:tcW w:w="6487" w:type="dxa"/>
            <w:vAlign w:val="center"/>
          </w:tcPr>
          <w:p w14:paraId="54ABE6FB" w14:textId="77777777" w:rsidR="00DC4B2C" w:rsidRPr="00503F5B" w:rsidRDefault="00DC4B2C" w:rsidP="00DC2B2D">
            <w:pPr>
              <w:spacing w:before="120" w:after="120"/>
              <w:rPr>
                <w:sz w:val="20"/>
                <w:szCs w:val="20"/>
              </w:rPr>
            </w:pPr>
            <w:r w:rsidRPr="00503F5B">
              <w:rPr>
                <w:sz w:val="20"/>
                <w:szCs w:val="20"/>
              </w:rPr>
              <w:t xml:space="preserve">Designed, installed and maintained in accordance with the requirements of the relevant Australian Standards. AS1670 - Fire detection, warning control and intercom systems – system design installation and commissioning. ASI851.8- Maintenance of fire protection equipment – Automatic fire detection and alarm systems. AS2118- Automatic fire sprinkler systems </w:t>
            </w:r>
            <w:r w:rsidRPr="00503F5B">
              <w:rPr>
                <w:sz w:val="20"/>
                <w:szCs w:val="20"/>
              </w:rPr>
              <w:lastRenderedPageBreak/>
              <w:t>AS1851.3- Maintenance of fire protection equipment – Automatic fire sprinkler systems</w:t>
            </w:r>
            <w:r w:rsidRPr="00503F5B">
              <w:rPr>
                <w:rStyle w:val="FootnoteReference"/>
                <w:sz w:val="20"/>
                <w:szCs w:val="20"/>
              </w:rPr>
              <w:footnoteReference w:id="6"/>
            </w:r>
          </w:p>
        </w:tc>
      </w:tr>
      <w:tr w:rsidR="00DC4B2C" w:rsidRPr="00503F5B" w14:paraId="17698B3F" w14:textId="77777777" w:rsidTr="00DC2B2D">
        <w:trPr>
          <w:trHeight w:val="59"/>
        </w:trPr>
        <w:tc>
          <w:tcPr>
            <w:tcW w:w="1985" w:type="dxa"/>
            <w:vAlign w:val="center"/>
          </w:tcPr>
          <w:p w14:paraId="76685925" w14:textId="77777777" w:rsidR="00DC4B2C" w:rsidRPr="00503F5B" w:rsidRDefault="00DC4B2C" w:rsidP="00DC2B2D">
            <w:pPr>
              <w:spacing w:before="120" w:after="120"/>
              <w:rPr>
                <w:sz w:val="20"/>
                <w:szCs w:val="20"/>
              </w:rPr>
            </w:pPr>
            <w:r w:rsidRPr="00503F5B">
              <w:rPr>
                <w:sz w:val="20"/>
                <w:szCs w:val="20"/>
              </w:rPr>
              <w:lastRenderedPageBreak/>
              <w:t>MFB</w:t>
            </w:r>
          </w:p>
        </w:tc>
        <w:tc>
          <w:tcPr>
            <w:tcW w:w="6487" w:type="dxa"/>
            <w:vAlign w:val="center"/>
          </w:tcPr>
          <w:p w14:paraId="1C30CE5D" w14:textId="77777777" w:rsidR="00DC4B2C" w:rsidRPr="00503F5B" w:rsidRDefault="00DC4B2C" w:rsidP="00DC2B2D">
            <w:pPr>
              <w:spacing w:before="120" w:after="120"/>
              <w:rPr>
                <w:sz w:val="20"/>
                <w:szCs w:val="20"/>
              </w:rPr>
            </w:pPr>
            <w:r w:rsidRPr="00503F5B">
              <w:rPr>
                <w:sz w:val="20"/>
                <w:szCs w:val="20"/>
              </w:rPr>
              <w:t>Metropolitan Fire Brigade</w:t>
            </w:r>
          </w:p>
        </w:tc>
      </w:tr>
      <w:tr w:rsidR="00DC4B2C" w:rsidRPr="00503F5B" w14:paraId="5FBD2292" w14:textId="77777777" w:rsidTr="00DC2B2D">
        <w:trPr>
          <w:trHeight w:val="193"/>
        </w:trPr>
        <w:tc>
          <w:tcPr>
            <w:tcW w:w="1985" w:type="dxa"/>
            <w:vAlign w:val="center"/>
          </w:tcPr>
          <w:p w14:paraId="470FB1F9" w14:textId="77777777" w:rsidR="00DC4B2C" w:rsidRPr="00503F5B" w:rsidRDefault="00DC4B2C" w:rsidP="00DC2B2D">
            <w:pPr>
              <w:spacing w:before="120" w:after="120"/>
              <w:rPr>
                <w:sz w:val="20"/>
                <w:szCs w:val="20"/>
              </w:rPr>
            </w:pPr>
            <w:r w:rsidRPr="00503F5B">
              <w:rPr>
                <w:sz w:val="20"/>
                <w:szCs w:val="20"/>
              </w:rPr>
              <w:t>MFD</w:t>
            </w:r>
          </w:p>
        </w:tc>
        <w:tc>
          <w:tcPr>
            <w:tcW w:w="6487" w:type="dxa"/>
            <w:vAlign w:val="center"/>
          </w:tcPr>
          <w:p w14:paraId="402B7F3D" w14:textId="77777777" w:rsidR="00DC4B2C" w:rsidRPr="00503F5B" w:rsidRDefault="00DC4B2C" w:rsidP="00DC2B2D">
            <w:pPr>
              <w:spacing w:before="120" w:after="120"/>
              <w:rPr>
                <w:sz w:val="20"/>
                <w:szCs w:val="20"/>
              </w:rPr>
            </w:pPr>
            <w:r w:rsidRPr="00503F5B">
              <w:rPr>
                <w:sz w:val="20"/>
                <w:szCs w:val="20"/>
              </w:rPr>
              <w:t>Metropolitan Fire District: Two regions (North West Metro and South East Metro) made up of five-district areas (Northern, Southern, Eastern, Western and Central districts))</w:t>
            </w:r>
          </w:p>
        </w:tc>
      </w:tr>
      <w:tr w:rsidR="000F080F" w:rsidRPr="00503F5B" w14:paraId="5F8A89A4" w14:textId="77777777" w:rsidTr="00DC2B2D">
        <w:trPr>
          <w:trHeight w:val="193"/>
        </w:trPr>
        <w:tc>
          <w:tcPr>
            <w:tcW w:w="1985" w:type="dxa"/>
            <w:vAlign w:val="center"/>
          </w:tcPr>
          <w:p w14:paraId="1637B3DC" w14:textId="68E484B0" w:rsidR="000F080F" w:rsidRPr="00503F5B" w:rsidRDefault="000F080F" w:rsidP="00DC2B2D">
            <w:pPr>
              <w:spacing w:before="120" w:after="120"/>
              <w:rPr>
                <w:sz w:val="20"/>
                <w:szCs w:val="20"/>
              </w:rPr>
            </w:pPr>
            <w:r w:rsidRPr="00503F5B">
              <w:rPr>
                <w:sz w:val="20"/>
                <w:szCs w:val="20"/>
              </w:rPr>
              <w:t>MHFs</w:t>
            </w:r>
          </w:p>
        </w:tc>
        <w:tc>
          <w:tcPr>
            <w:tcW w:w="6487" w:type="dxa"/>
            <w:vAlign w:val="center"/>
          </w:tcPr>
          <w:p w14:paraId="71FBAF8C" w14:textId="3AC01DEA" w:rsidR="000F080F" w:rsidRPr="00503F5B" w:rsidRDefault="000F080F" w:rsidP="00DC2B2D">
            <w:pPr>
              <w:spacing w:before="120" w:after="120"/>
              <w:rPr>
                <w:sz w:val="20"/>
                <w:szCs w:val="20"/>
              </w:rPr>
            </w:pPr>
            <w:r w:rsidRPr="00503F5B">
              <w:rPr>
                <w:sz w:val="20"/>
                <w:szCs w:val="20"/>
              </w:rPr>
              <w:t>Major Hazard Facilities</w:t>
            </w:r>
          </w:p>
        </w:tc>
      </w:tr>
      <w:tr w:rsidR="00DC4B2C" w:rsidRPr="00503F5B" w14:paraId="6EE97501" w14:textId="77777777" w:rsidTr="00DC2B2D">
        <w:trPr>
          <w:trHeight w:val="81"/>
        </w:trPr>
        <w:tc>
          <w:tcPr>
            <w:tcW w:w="1985" w:type="dxa"/>
            <w:vAlign w:val="center"/>
          </w:tcPr>
          <w:p w14:paraId="75E42BF4" w14:textId="77777777" w:rsidR="00DC4B2C" w:rsidRPr="00503F5B" w:rsidRDefault="00DC4B2C" w:rsidP="00DC2B2D">
            <w:pPr>
              <w:spacing w:before="120" w:after="120"/>
              <w:rPr>
                <w:sz w:val="20"/>
                <w:szCs w:val="20"/>
              </w:rPr>
            </w:pPr>
            <w:r w:rsidRPr="00503F5B">
              <w:rPr>
                <w:sz w:val="20"/>
                <w:szCs w:val="20"/>
              </w:rPr>
              <w:t>OBPR</w:t>
            </w:r>
          </w:p>
        </w:tc>
        <w:tc>
          <w:tcPr>
            <w:tcW w:w="6487" w:type="dxa"/>
            <w:vAlign w:val="center"/>
          </w:tcPr>
          <w:p w14:paraId="4D772594" w14:textId="77777777" w:rsidR="00DC4B2C" w:rsidRPr="00503F5B" w:rsidRDefault="00DC4B2C" w:rsidP="00DC2B2D">
            <w:pPr>
              <w:spacing w:before="120" w:after="120"/>
              <w:rPr>
                <w:sz w:val="20"/>
                <w:szCs w:val="20"/>
              </w:rPr>
            </w:pPr>
            <w:r w:rsidRPr="00503F5B">
              <w:rPr>
                <w:sz w:val="20"/>
                <w:szCs w:val="20"/>
              </w:rPr>
              <w:t>Office of Best Practice Regulation</w:t>
            </w:r>
          </w:p>
        </w:tc>
      </w:tr>
      <w:tr w:rsidR="00202FF9" w:rsidRPr="00503F5B" w14:paraId="23B28724" w14:textId="77777777" w:rsidTr="00DC2B2D">
        <w:trPr>
          <w:trHeight w:val="272"/>
        </w:trPr>
        <w:tc>
          <w:tcPr>
            <w:tcW w:w="1985" w:type="dxa"/>
            <w:vAlign w:val="center"/>
          </w:tcPr>
          <w:p w14:paraId="79D2A0A7" w14:textId="508FDE34" w:rsidR="00202FF9" w:rsidRPr="00503F5B" w:rsidRDefault="00202FF9" w:rsidP="00DC2B2D">
            <w:pPr>
              <w:spacing w:before="120" w:after="120"/>
              <w:rPr>
                <w:sz w:val="20"/>
                <w:szCs w:val="20"/>
              </w:rPr>
            </w:pPr>
            <w:r w:rsidRPr="00503F5B">
              <w:rPr>
                <w:sz w:val="20"/>
                <w:szCs w:val="20"/>
              </w:rPr>
              <w:t>POPE</w:t>
            </w:r>
          </w:p>
        </w:tc>
        <w:tc>
          <w:tcPr>
            <w:tcW w:w="6487" w:type="dxa"/>
            <w:vAlign w:val="center"/>
          </w:tcPr>
          <w:p w14:paraId="206A28F8" w14:textId="43887966" w:rsidR="00202FF9" w:rsidRPr="00503F5B" w:rsidRDefault="00202FF9" w:rsidP="00DC2B2D">
            <w:pPr>
              <w:spacing w:before="120" w:after="120"/>
              <w:rPr>
                <w:rFonts w:cs="Calibri"/>
                <w:color w:val="auto"/>
                <w:sz w:val="20"/>
                <w:szCs w:val="20"/>
              </w:rPr>
            </w:pPr>
            <w:r w:rsidRPr="00503F5B">
              <w:rPr>
                <w:rFonts w:cs="Calibri"/>
                <w:color w:val="auto"/>
                <w:sz w:val="20"/>
                <w:szCs w:val="20"/>
              </w:rPr>
              <w:t>Place of Public Entertainment</w:t>
            </w:r>
          </w:p>
        </w:tc>
      </w:tr>
      <w:tr w:rsidR="00DC4B2C" w:rsidRPr="00503F5B" w14:paraId="746D64A2" w14:textId="77777777" w:rsidTr="00DC2B2D">
        <w:trPr>
          <w:trHeight w:val="272"/>
        </w:trPr>
        <w:tc>
          <w:tcPr>
            <w:tcW w:w="1985" w:type="dxa"/>
            <w:vAlign w:val="center"/>
          </w:tcPr>
          <w:p w14:paraId="0D3AAA31" w14:textId="77777777" w:rsidR="00DC4B2C" w:rsidRPr="00503F5B" w:rsidRDefault="00DC4B2C" w:rsidP="00DC2B2D">
            <w:pPr>
              <w:spacing w:before="120" w:after="120"/>
              <w:rPr>
                <w:sz w:val="20"/>
                <w:szCs w:val="20"/>
              </w:rPr>
            </w:pPr>
            <w:r w:rsidRPr="00503F5B">
              <w:rPr>
                <w:sz w:val="20"/>
                <w:szCs w:val="20"/>
              </w:rPr>
              <w:t>PPE</w:t>
            </w:r>
          </w:p>
        </w:tc>
        <w:tc>
          <w:tcPr>
            <w:tcW w:w="6487" w:type="dxa"/>
            <w:vAlign w:val="center"/>
          </w:tcPr>
          <w:p w14:paraId="1E9FD2F9" w14:textId="77777777" w:rsidR="00DC4B2C" w:rsidRPr="00503F5B" w:rsidRDefault="00DC4B2C" w:rsidP="00DC2B2D">
            <w:pPr>
              <w:spacing w:before="120" w:after="120"/>
              <w:rPr>
                <w:rFonts w:cs="Calibri"/>
                <w:color w:val="auto"/>
                <w:sz w:val="20"/>
                <w:szCs w:val="20"/>
              </w:rPr>
            </w:pPr>
            <w:r w:rsidRPr="00503F5B">
              <w:rPr>
                <w:rFonts w:cs="Calibri"/>
                <w:color w:val="auto"/>
                <w:sz w:val="20"/>
                <w:szCs w:val="20"/>
              </w:rPr>
              <w:t>Personal protective equipment</w:t>
            </w:r>
          </w:p>
        </w:tc>
      </w:tr>
      <w:tr w:rsidR="005A3CA5" w:rsidRPr="00503F5B" w14:paraId="60F25AF5" w14:textId="77777777" w:rsidTr="00DC2B2D">
        <w:trPr>
          <w:trHeight w:val="272"/>
        </w:trPr>
        <w:tc>
          <w:tcPr>
            <w:tcW w:w="1985" w:type="dxa"/>
            <w:vAlign w:val="center"/>
          </w:tcPr>
          <w:p w14:paraId="2DFA7F0B" w14:textId="5046EFCF" w:rsidR="005A3CA5" w:rsidRPr="00503F5B" w:rsidRDefault="005A3CA5" w:rsidP="00DC2B2D">
            <w:pPr>
              <w:spacing w:before="120" w:after="120"/>
              <w:rPr>
                <w:sz w:val="20"/>
                <w:szCs w:val="20"/>
              </w:rPr>
            </w:pPr>
            <w:r w:rsidRPr="00503F5B">
              <w:rPr>
                <w:sz w:val="20"/>
                <w:szCs w:val="20"/>
              </w:rPr>
              <w:t>Principal Act</w:t>
            </w:r>
          </w:p>
        </w:tc>
        <w:tc>
          <w:tcPr>
            <w:tcW w:w="6487" w:type="dxa"/>
            <w:vAlign w:val="center"/>
          </w:tcPr>
          <w:p w14:paraId="7DE8A441" w14:textId="138C2CD5" w:rsidR="005A3CA5" w:rsidRPr="00503F5B" w:rsidRDefault="005A3CA5" w:rsidP="00DC2B2D">
            <w:pPr>
              <w:spacing w:before="120" w:after="120"/>
              <w:rPr>
                <w:rFonts w:cs="Calibri"/>
                <w:i/>
                <w:iCs/>
                <w:color w:val="auto"/>
                <w:sz w:val="20"/>
                <w:szCs w:val="20"/>
              </w:rPr>
            </w:pPr>
            <w:r w:rsidRPr="00503F5B">
              <w:rPr>
                <w:rFonts w:cs="Calibri"/>
                <w:i/>
                <w:iCs/>
                <w:color w:val="auto"/>
                <w:sz w:val="20"/>
                <w:szCs w:val="20"/>
              </w:rPr>
              <w:t>Fire Rescue Victoria Act 1958</w:t>
            </w:r>
          </w:p>
        </w:tc>
      </w:tr>
      <w:tr w:rsidR="005A3CA5" w:rsidRPr="00503F5B" w14:paraId="5CEEA19F" w14:textId="77777777" w:rsidTr="00DC2B2D">
        <w:trPr>
          <w:trHeight w:val="272"/>
        </w:trPr>
        <w:tc>
          <w:tcPr>
            <w:tcW w:w="1985" w:type="dxa"/>
            <w:vAlign w:val="center"/>
          </w:tcPr>
          <w:p w14:paraId="6D595818" w14:textId="1FFF499E" w:rsidR="005A3CA5" w:rsidRPr="00503F5B" w:rsidRDefault="005A3CA5" w:rsidP="00DC2B2D">
            <w:pPr>
              <w:spacing w:before="120" w:after="120"/>
              <w:rPr>
                <w:sz w:val="20"/>
                <w:szCs w:val="20"/>
              </w:rPr>
            </w:pPr>
            <w:r w:rsidRPr="00503F5B">
              <w:rPr>
                <w:sz w:val="20"/>
                <w:szCs w:val="20"/>
              </w:rPr>
              <w:t>Reform Act</w:t>
            </w:r>
          </w:p>
        </w:tc>
        <w:tc>
          <w:tcPr>
            <w:tcW w:w="6487" w:type="dxa"/>
            <w:vAlign w:val="center"/>
          </w:tcPr>
          <w:p w14:paraId="17957D25" w14:textId="55E8D37C" w:rsidR="005A3CA5" w:rsidRPr="00503F5B" w:rsidRDefault="005A3CA5" w:rsidP="00DC2B2D">
            <w:pPr>
              <w:spacing w:before="120" w:after="120"/>
              <w:rPr>
                <w:rFonts w:cs="Calibri"/>
                <w:i/>
                <w:iCs/>
                <w:color w:val="auto"/>
                <w:sz w:val="20"/>
                <w:szCs w:val="20"/>
              </w:rPr>
            </w:pPr>
            <w:r w:rsidRPr="00503F5B">
              <w:rPr>
                <w:rFonts w:cs="Calibri"/>
                <w:i/>
                <w:iCs/>
                <w:color w:val="auto"/>
                <w:sz w:val="20"/>
                <w:szCs w:val="20"/>
              </w:rPr>
              <w:t>Firefighters’ Presumptive Rights Compensation and Fire Services Legislation Amendment (Reform) Act 2019</w:t>
            </w:r>
          </w:p>
        </w:tc>
      </w:tr>
      <w:tr w:rsidR="00DC4B2C" w:rsidRPr="00503F5B" w14:paraId="58854693" w14:textId="77777777" w:rsidTr="00DC2B2D">
        <w:trPr>
          <w:trHeight w:val="272"/>
        </w:trPr>
        <w:tc>
          <w:tcPr>
            <w:tcW w:w="1985" w:type="dxa"/>
            <w:vAlign w:val="center"/>
          </w:tcPr>
          <w:p w14:paraId="23BA9450" w14:textId="77777777" w:rsidR="00DC4B2C" w:rsidRPr="00503F5B" w:rsidRDefault="00DC4B2C" w:rsidP="00DC2B2D">
            <w:pPr>
              <w:spacing w:before="120" w:after="120"/>
              <w:rPr>
                <w:sz w:val="20"/>
                <w:szCs w:val="20"/>
              </w:rPr>
            </w:pPr>
            <w:r w:rsidRPr="00503F5B">
              <w:rPr>
                <w:sz w:val="20"/>
                <w:szCs w:val="20"/>
              </w:rPr>
              <w:t>RIS</w:t>
            </w:r>
          </w:p>
        </w:tc>
        <w:tc>
          <w:tcPr>
            <w:tcW w:w="6487" w:type="dxa"/>
            <w:vAlign w:val="center"/>
          </w:tcPr>
          <w:p w14:paraId="47D88579" w14:textId="77777777" w:rsidR="00DC4B2C" w:rsidRPr="00503F5B" w:rsidRDefault="00DC4B2C" w:rsidP="00DC2B2D">
            <w:pPr>
              <w:spacing w:before="120" w:after="120"/>
              <w:rPr>
                <w:rFonts w:cs="Calibri"/>
                <w:color w:val="auto"/>
                <w:sz w:val="20"/>
                <w:szCs w:val="20"/>
              </w:rPr>
            </w:pPr>
            <w:r w:rsidRPr="00503F5B">
              <w:rPr>
                <w:sz w:val="20"/>
                <w:szCs w:val="20"/>
              </w:rPr>
              <w:t>Regulatory Impact Statement</w:t>
            </w:r>
          </w:p>
        </w:tc>
      </w:tr>
      <w:tr w:rsidR="00202FF9" w:rsidRPr="00503F5B" w14:paraId="5C94AB82" w14:textId="77777777" w:rsidTr="00DC2B2D">
        <w:trPr>
          <w:trHeight w:val="81"/>
        </w:trPr>
        <w:tc>
          <w:tcPr>
            <w:tcW w:w="1985" w:type="dxa"/>
            <w:vAlign w:val="center"/>
          </w:tcPr>
          <w:p w14:paraId="5B291DF3" w14:textId="5E6D8AFC" w:rsidR="00202FF9" w:rsidRPr="00503F5B" w:rsidRDefault="00202FF9" w:rsidP="00DC2B2D">
            <w:pPr>
              <w:spacing w:before="120" w:after="120"/>
              <w:rPr>
                <w:sz w:val="20"/>
                <w:szCs w:val="20"/>
              </w:rPr>
            </w:pPr>
            <w:r w:rsidRPr="00503F5B">
              <w:rPr>
                <w:sz w:val="20"/>
                <w:szCs w:val="20"/>
              </w:rPr>
              <w:t>Reasonable Excuse</w:t>
            </w:r>
          </w:p>
        </w:tc>
        <w:tc>
          <w:tcPr>
            <w:tcW w:w="6487" w:type="dxa"/>
            <w:vAlign w:val="center"/>
          </w:tcPr>
          <w:p w14:paraId="536ECBFE" w14:textId="63133F31" w:rsidR="00202FF9" w:rsidRPr="00503F5B" w:rsidRDefault="00202FF9" w:rsidP="00DC2B2D">
            <w:pPr>
              <w:spacing w:before="120" w:after="120"/>
              <w:rPr>
                <w:sz w:val="20"/>
                <w:szCs w:val="20"/>
              </w:rPr>
            </w:pPr>
            <w:r w:rsidRPr="00503F5B">
              <w:rPr>
                <w:sz w:val="20"/>
                <w:szCs w:val="20"/>
              </w:rPr>
              <w:t>This term is not legally amenable to a precise definition. However, for the specific purposes of assessing a fee waiver request where the assessing officer deems that all reasonable precautions have been taken to prevent a false alarm, the excuse should be considered reasonable in that circumstance.</w:t>
            </w:r>
          </w:p>
        </w:tc>
      </w:tr>
      <w:tr w:rsidR="00DC4B2C" w:rsidRPr="00503F5B" w14:paraId="7F2D1AC0" w14:textId="77777777" w:rsidTr="00DC2B2D">
        <w:trPr>
          <w:trHeight w:val="81"/>
        </w:trPr>
        <w:tc>
          <w:tcPr>
            <w:tcW w:w="1985" w:type="dxa"/>
            <w:vAlign w:val="center"/>
          </w:tcPr>
          <w:p w14:paraId="0BF16A85" w14:textId="51B14A7C" w:rsidR="00DC4B2C" w:rsidRPr="00503F5B" w:rsidRDefault="00DC4B2C" w:rsidP="00DC2B2D">
            <w:pPr>
              <w:spacing w:before="120" w:after="120"/>
              <w:rPr>
                <w:sz w:val="20"/>
                <w:szCs w:val="20"/>
              </w:rPr>
            </w:pPr>
            <w:r w:rsidRPr="00503F5B">
              <w:rPr>
                <w:sz w:val="20"/>
                <w:szCs w:val="20"/>
              </w:rPr>
              <w:t xml:space="preserve">the </w:t>
            </w:r>
            <w:r w:rsidR="005A3CA5" w:rsidRPr="00503F5B">
              <w:rPr>
                <w:sz w:val="20"/>
                <w:szCs w:val="20"/>
              </w:rPr>
              <w:t xml:space="preserve">MFB </w:t>
            </w:r>
            <w:r w:rsidRPr="00503F5B">
              <w:rPr>
                <w:sz w:val="20"/>
                <w:szCs w:val="20"/>
              </w:rPr>
              <w:t>Act</w:t>
            </w:r>
          </w:p>
        </w:tc>
        <w:tc>
          <w:tcPr>
            <w:tcW w:w="6487" w:type="dxa"/>
            <w:vAlign w:val="center"/>
          </w:tcPr>
          <w:p w14:paraId="4790201F" w14:textId="77777777" w:rsidR="00DC4B2C" w:rsidRPr="00503F5B" w:rsidRDefault="00DC4B2C" w:rsidP="00DC2B2D">
            <w:pPr>
              <w:spacing w:before="120" w:after="120"/>
              <w:rPr>
                <w:sz w:val="20"/>
                <w:szCs w:val="20"/>
              </w:rPr>
            </w:pPr>
            <w:r w:rsidRPr="00503F5B">
              <w:rPr>
                <w:sz w:val="20"/>
                <w:szCs w:val="20"/>
              </w:rPr>
              <w:t>Metropolitan Fire Brigades Act 1958</w:t>
            </w:r>
          </w:p>
        </w:tc>
      </w:tr>
      <w:tr w:rsidR="00DC4B2C" w:rsidRPr="00503F5B" w14:paraId="2D7EFB5A" w14:textId="77777777" w:rsidTr="00DC2B2D">
        <w:trPr>
          <w:trHeight w:val="59"/>
        </w:trPr>
        <w:tc>
          <w:tcPr>
            <w:tcW w:w="1985" w:type="dxa"/>
            <w:vAlign w:val="center"/>
          </w:tcPr>
          <w:p w14:paraId="0068419F" w14:textId="77777777" w:rsidR="00DC4B2C" w:rsidRPr="00503F5B" w:rsidRDefault="00DC4B2C" w:rsidP="00DC2B2D">
            <w:pPr>
              <w:spacing w:before="120" w:after="120"/>
              <w:rPr>
                <w:sz w:val="20"/>
                <w:szCs w:val="20"/>
              </w:rPr>
            </w:pPr>
            <w:r w:rsidRPr="00503F5B">
              <w:rPr>
                <w:sz w:val="20"/>
                <w:szCs w:val="20"/>
              </w:rPr>
              <w:t>the Board</w:t>
            </w:r>
          </w:p>
        </w:tc>
        <w:tc>
          <w:tcPr>
            <w:tcW w:w="6487" w:type="dxa"/>
            <w:vAlign w:val="center"/>
          </w:tcPr>
          <w:p w14:paraId="3AAA2CA1" w14:textId="77777777" w:rsidR="00DC4B2C" w:rsidRPr="00503F5B" w:rsidRDefault="00DC4B2C" w:rsidP="00DC2B2D">
            <w:pPr>
              <w:spacing w:before="120" w:after="120"/>
              <w:rPr>
                <w:sz w:val="20"/>
                <w:szCs w:val="20"/>
              </w:rPr>
            </w:pPr>
            <w:r w:rsidRPr="00503F5B">
              <w:rPr>
                <w:sz w:val="20"/>
                <w:szCs w:val="20"/>
              </w:rPr>
              <w:t>Metropolitan Fire and Emergency Services Board</w:t>
            </w:r>
          </w:p>
        </w:tc>
      </w:tr>
      <w:tr w:rsidR="00DC4B2C" w:rsidRPr="00503F5B" w14:paraId="731E13D5" w14:textId="77777777" w:rsidTr="00DC2B2D">
        <w:trPr>
          <w:trHeight w:val="59"/>
        </w:trPr>
        <w:tc>
          <w:tcPr>
            <w:tcW w:w="1985" w:type="dxa"/>
            <w:vAlign w:val="center"/>
          </w:tcPr>
          <w:p w14:paraId="7B7D6BE8" w14:textId="77777777" w:rsidR="00DC4B2C" w:rsidRPr="00503F5B" w:rsidRDefault="00DC4B2C" w:rsidP="00DC2B2D">
            <w:pPr>
              <w:spacing w:before="120" w:after="120"/>
              <w:rPr>
                <w:sz w:val="20"/>
                <w:szCs w:val="20"/>
              </w:rPr>
            </w:pPr>
            <w:r w:rsidRPr="00503F5B">
              <w:rPr>
                <w:sz w:val="20"/>
                <w:szCs w:val="20"/>
              </w:rPr>
              <w:t>the Commission</w:t>
            </w:r>
          </w:p>
        </w:tc>
        <w:tc>
          <w:tcPr>
            <w:tcW w:w="6487" w:type="dxa"/>
            <w:vAlign w:val="center"/>
          </w:tcPr>
          <w:p w14:paraId="15A196AC" w14:textId="77777777" w:rsidR="00DC4B2C" w:rsidRPr="00503F5B" w:rsidRDefault="00DC4B2C" w:rsidP="00DC2B2D">
            <w:pPr>
              <w:spacing w:before="120" w:after="120"/>
              <w:rPr>
                <w:sz w:val="20"/>
                <w:szCs w:val="20"/>
              </w:rPr>
            </w:pPr>
            <w:r w:rsidRPr="00503F5B">
              <w:rPr>
                <w:sz w:val="20"/>
                <w:szCs w:val="20"/>
              </w:rPr>
              <w:t>Metropolitan Fire and Emergency Services Appeals Commission</w:t>
            </w:r>
          </w:p>
        </w:tc>
      </w:tr>
      <w:tr w:rsidR="00DC4B2C" w:rsidRPr="00503F5B" w14:paraId="32278E94" w14:textId="77777777" w:rsidTr="00DC2B2D">
        <w:trPr>
          <w:trHeight w:val="80"/>
        </w:trPr>
        <w:tc>
          <w:tcPr>
            <w:tcW w:w="1985" w:type="dxa"/>
            <w:vAlign w:val="center"/>
          </w:tcPr>
          <w:p w14:paraId="63EBB9EE" w14:textId="77777777" w:rsidR="00DC4B2C" w:rsidRPr="00503F5B" w:rsidRDefault="00DC4B2C" w:rsidP="00DC2B2D">
            <w:pPr>
              <w:spacing w:before="120" w:after="120"/>
              <w:rPr>
                <w:sz w:val="20"/>
                <w:szCs w:val="20"/>
              </w:rPr>
            </w:pPr>
            <w:r w:rsidRPr="00503F5B">
              <w:rPr>
                <w:sz w:val="20"/>
                <w:szCs w:val="20"/>
              </w:rPr>
              <w:t>the Regulations</w:t>
            </w:r>
          </w:p>
        </w:tc>
        <w:tc>
          <w:tcPr>
            <w:tcW w:w="6487" w:type="dxa"/>
            <w:vAlign w:val="center"/>
          </w:tcPr>
          <w:p w14:paraId="6548BA7F" w14:textId="77777777" w:rsidR="00DC4B2C" w:rsidRPr="00503F5B" w:rsidRDefault="00DC4B2C" w:rsidP="00DC2B2D">
            <w:pPr>
              <w:spacing w:before="120" w:after="120"/>
              <w:rPr>
                <w:sz w:val="20"/>
                <w:szCs w:val="20"/>
              </w:rPr>
            </w:pPr>
            <w:r w:rsidRPr="00503F5B">
              <w:rPr>
                <w:sz w:val="20"/>
                <w:szCs w:val="20"/>
              </w:rPr>
              <w:t>Metropolitan Fire Brigades (General) Regulations 2005 incorporating amendments as at 13 October 2015</w:t>
            </w:r>
          </w:p>
        </w:tc>
      </w:tr>
      <w:tr w:rsidR="00DC4B2C" w:rsidRPr="00503F5B" w14:paraId="056F0778" w14:textId="77777777" w:rsidTr="00DC2B2D">
        <w:trPr>
          <w:trHeight w:val="263"/>
        </w:trPr>
        <w:tc>
          <w:tcPr>
            <w:tcW w:w="1985" w:type="dxa"/>
            <w:vAlign w:val="center"/>
          </w:tcPr>
          <w:p w14:paraId="32958195" w14:textId="77777777" w:rsidR="00DC4B2C" w:rsidRPr="00503F5B" w:rsidRDefault="00DC4B2C" w:rsidP="00DC2B2D">
            <w:pPr>
              <w:spacing w:before="120" w:after="120"/>
              <w:rPr>
                <w:sz w:val="20"/>
                <w:szCs w:val="20"/>
              </w:rPr>
            </w:pPr>
            <w:r w:rsidRPr="00503F5B">
              <w:rPr>
                <w:sz w:val="20"/>
                <w:szCs w:val="20"/>
              </w:rPr>
              <w:t>Unit</w:t>
            </w:r>
          </w:p>
        </w:tc>
        <w:tc>
          <w:tcPr>
            <w:tcW w:w="6487" w:type="dxa"/>
            <w:vAlign w:val="center"/>
          </w:tcPr>
          <w:p w14:paraId="2C99055A" w14:textId="77777777" w:rsidR="00DC4B2C" w:rsidRPr="00503F5B" w:rsidRDefault="00DC4B2C" w:rsidP="00DC2B2D">
            <w:pPr>
              <w:spacing w:before="120" w:after="120"/>
              <w:rPr>
                <w:sz w:val="20"/>
                <w:szCs w:val="20"/>
              </w:rPr>
            </w:pPr>
            <w:r w:rsidRPr="00503F5B">
              <w:rPr>
                <w:sz w:val="20"/>
                <w:szCs w:val="20"/>
              </w:rPr>
              <w:t>A brigade or other fire or emergency service unit established under the Act</w:t>
            </w:r>
          </w:p>
        </w:tc>
      </w:tr>
      <w:tr w:rsidR="00202FF9" w:rsidRPr="00503F5B" w14:paraId="1479DE84" w14:textId="77777777" w:rsidTr="00DC2B2D">
        <w:trPr>
          <w:trHeight w:val="258"/>
        </w:trPr>
        <w:tc>
          <w:tcPr>
            <w:tcW w:w="1985" w:type="dxa"/>
            <w:vAlign w:val="center"/>
          </w:tcPr>
          <w:p w14:paraId="7F0F7870" w14:textId="6C2DE2CA" w:rsidR="00202FF9" w:rsidRPr="00503F5B" w:rsidRDefault="00202FF9" w:rsidP="00DC2B2D">
            <w:pPr>
              <w:spacing w:before="120" w:after="120"/>
              <w:rPr>
                <w:sz w:val="20"/>
                <w:szCs w:val="20"/>
              </w:rPr>
            </w:pPr>
            <w:r w:rsidRPr="00503F5B">
              <w:rPr>
                <w:sz w:val="20"/>
                <w:szCs w:val="20"/>
              </w:rPr>
              <w:t>VBA</w:t>
            </w:r>
          </w:p>
        </w:tc>
        <w:tc>
          <w:tcPr>
            <w:tcW w:w="6487" w:type="dxa"/>
            <w:vAlign w:val="center"/>
          </w:tcPr>
          <w:p w14:paraId="0F8C4D30" w14:textId="1E4A633D" w:rsidR="00202FF9" w:rsidRPr="00503F5B" w:rsidRDefault="00202FF9" w:rsidP="00DC2B2D">
            <w:pPr>
              <w:spacing w:before="120" w:after="120"/>
              <w:rPr>
                <w:sz w:val="20"/>
                <w:szCs w:val="20"/>
              </w:rPr>
            </w:pPr>
            <w:r w:rsidRPr="00503F5B">
              <w:rPr>
                <w:sz w:val="20"/>
                <w:szCs w:val="20"/>
              </w:rPr>
              <w:t>Victorian Building Authority</w:t>
            </w:r>
          </w:p>
        </w:tc>
      </w:tr>
      <w:tr w:rsidR="00DC4B2C" w:rsidRPr="00503F5B" w14:paraId="4690F27E" w14:textId="77777777" w:rsidTr="00DC2B2D">
        <w:trPr>
          <w:trHeight w:val="258"/>
        </w:trPr>
        <w:tc>
          <w:tcPr>
            <w:tcW w:w="1985" w:type="dxa"/>
            <w:vAlign w:val="center"/>
          </w:tcPr>
          <w:p w14:paraId="0F7E3BCC" w14:textId="77777777" w:rsidR="00DC4B2C" w:rsidRPr="00503F5B" w:rsidRDefault="00DC4B2C" w:rsidP="00DC2B2D">
            <w:pPr>
              <w:spacing w:before="120" w:after="120"/>
              <w:rPr>
                <w:sz w:val="20"/>
                <w:szCs w:val="20"/>
              </w:rPr>
            </w:pPr>
            <w:r w:rsidRPr="00503F5B">
              <w:rPr>
                <w:sz w:val="20"/>
                <w:szCs w:val="20"/>
              </w:rPr>
              <w:t>VCAT</w:t>
            </w:r>
          </w:p>
        </w:tc>
        <w:tc>
          <w:tcPr>
            <w:tcW w:w="6487" w:type="dxa"/>
            <w:vAlign w:val="center"/>
          </w:tcPr>
          <w:p w14:paraId="78C8B33C" w14:textId="77777777" w:rsidR="00DC4B2C" w:rsidRPr="00503F5B" w:rsidRDefault="00DC4B2C" w:rsidP="00DC2B2D">
            <w:pPr>
              <w:spacing w:before="120" w:after="120"/>
              <w:rPr>
                <w:sz w:val="20"/>
                <w:szCs w:val="20"/>
              </w:rPr>
            </w:pPr>
            <w:r w:rsidRPr="00503F5B">
              <w:rPr>
                <w:sz w:val="20"/>
                <w:szCs w:val="20"/>
              </w:rPr>
              <w:t>Victorian Civil and Administrative Tribunal</w:t>
            </w:r>
          </w:p>
        </w:tc>
      </w:tr>
      <w:tr w:rsidR="00DC4B2C" w:rsidRPr="00503F5B" w14:paraId="7348F284" w14:textId="77777777" w:rsidTr="00DC2B2D">
        <w:trPr>
          <w:trHeight w:val="217"/>
        </w:trPr>
        <w:tc>
          <w:tcPr>
            <w:tcW w:w="1985" w:type="dxa"/>
            <w:tcBorders>
              <w:bottom w:val="single" w:sz="4" w:space="0" w:color="ED7C5D"/>
            </w:tcBorders>
            <w:vAlign w:val="center"/>
          </w:tcPr>
          <w:p w14:paraId="41B3A29E" w14:textId="77777777" w:rsidR="00DC4B2C" w:rsidRPr="00503F5B" w:rsidRDefault="00DC4B2C" w:rsidP="00DC2B2D">
            <w:pPr>
              <w:spacing w:before="120" w:after="120"/>
              <w:rPr>
                <w:sz w:val="20"/>
                <w:szCs w:val="20"/>
              </w:rPr>
            </w:pPr>
            <w:r w:rsidRPr="00503F5B">
              <w:rPr>
                <w:sz w:val="20"/>
                <w:szCs w:val="20"/>
              </w:rPr>
              <w:t>VWA</w:t>
            </w:r>
          </w:p>
        </w:tc>
        <w:tc>
          <w:tcPr>
            <w:tcW w:w="6487" w:type="dxa"/>
            <w:tcBorders>
              <w:bottom w:val="single" w:sz="4" w:space="0" w:color="ED7C5D"/>
            </w:tcBorders>
            <w:vAlign w:val="center"/>
          </w:tcPr>
          <w:p w14:paraId="23724EE2" w14:textId="77777777" w:rsidR="00DC4B2C" w:rsidRPr="00503F5B" w:rsidRDefault="00DC4B2C" w:rsidP="00DC2B2D">
            <w:pPr>
              <w:spacing w:before="120" w:after="120"/>
              <w:rPr>
                <w:sz w:val="20"/>
                <w:szCs w:val="20"/>
              </w:rPr>
            </w:pPr>
            <w:r w:rsidRPr="00503F5B">
              <w:rPr>
                <w:sz w:val="20"/>
                <w:szCs w:val="20"/>
              </w:rPr>
              <w:t xml:space="preserve">Victorian WorkCover Authority </w:t>
            </w:r>
          </w:p>
        </w:tc>
      </w:tr>
    </w:tbl>
    <w:p w14:paraId="2894420C" w14:textId="77777777" w:rsidR="00DC4B2C" w:rsidRPr="00503F5B" w:rsidRDefault="00DC4B2C" w:rsidP="00517C6D">
      <w:r w:rsidRPr="00503F5B">
        <w:br w:type="page"/>
      </w:r>
    </w:p>
    <w:p w14:paraId="2E0EB132" w14:textId="5C97047E" w:rsidR="001D51D6" w:rsidRPr="00503F5B" w:rsidRDefault="001D51D6" w:rsidP="0080683B">
      <w:pPr>
        <w:pStyle w:val="Heading1"/>
      </w:pPr>
      <w:bookmarkStart w:id="13" w:name="_Toc35804113"/>
      <w:bookmarkStart w:id="14" w:name="_Toc35804607"/>
      <w:bookmarkStart w:id="15" w:name="_Toc35812651"/>
      <w:r w:rsidRPr="00503F5B">
        <w:lastRenderedPageBreak/>
        <w:t>Section 1 Background</w:t>
      </w:r>
      <w:bookmarkEnd w:id="12"/>
      <w:bookmarkEnd w:id="13"/>
      <w:bookmarkEnd w:id="14"/>
      <w:bookmarkEnd w:id="15"/>
    </w:p>
    <w:p w14:paraId="2F790870" w14:textId="2AA32840" w:rsidR="005D4D54" w:rsidRPr="00503F5B" w:rsidRDefault="005D4D54" w:rsidP="001D51D6">
      <w:pPr>
        <w:pStyle w:val="Heading2"/>
      </w:pPr>
      <w:bookmarkStart w:id="16" w:name="_Toc35804114"/>
      <w:bookmarkStart w:id="17" w:name="_Toc35804608"/>
      <w:bookmarkStart w:id="18" w:name="_Toc35812652"/>
      <w:bookmarkStart w:id="19" w:name="_Toc457772514"/>
      <w:r w:rsidRPr="00503F5B">
        <w:t>1.1 The</w:t>
      </w:r>
      <w:r w:rsidR="00591D09" w:rsidRPr="00503F5B">
        <w:t xml:space="preserve"> need for the</w:t>
      </w:r>
      <w:r w:rsidRPr="00503F5B">
        <w:t xml:space="preserve"> provision of fire services</w:t>
      </w:r>
      <w:r w:rsidR="00591D09" w:rsidRPr="00503F5B">
        <w:t xml:space="preserve"> by government</w:t>
      </w:r>
      <w:bookmarkEnd w:id="16"/>
      <w:bookmarkEnd w:id="17"/>
      <w:bookmarkEnd w:id="18"/>
    </w:p>
    <w:p w14:paraId="477D32B6" w14:textId="7B7350CE" w:rsidR="00EA2123" w:rsidRPr="00503F5B" w:rsidRDefault="005D4D54">
      <w:pPr>
        <w:jc w:val="both"/>
      </w:pPr>
      <w:r w:rsidRPr="00503F5B">
        <w:t>The provision of fire</w:t>
      </w:r>
      <w:r w:rsidR="00EA2123" w:rsidRPr="00503F5B">
        <w:t xml:space="preserve"> </w:t>
      </w:r>
      <w:r w:rsidRPr="00503F5B">
        <w:t>services</w:t>
      </w:r>
      <w:r w:rsidR="00EA2123" w:rsidRPr="00503F5B">
        <w:t>, including fire safety, fire suppression and fire prevention services and emergency response services,</w:t>
      </w:r>
      <w:r w:rsidRPr="00503F5B">
        <w:t xml:space="preserve"> by government is </w:t>
      </w:r>
      <w:r w:rsidR="00EA2123" w:rsidRPr="00503F5B">
        <w:t xml:space="preserve">predicated </w:t>
      </w:r>
      <w:r w:rsidRPr="00503F5B">
        <w:t xml:space="preserve">on the </w:t>
      </w:r>
      <w:r w:rsidR="00EA2123" w:rsidRPr="00503F5B">
        <w:t>idea</w:t>
      </w:r>
      <w:r w:rsidRPr="00503F5B">
        <w:t xml:space="preserve"> that benefits accru</w:t>
      </w:r>
      <w:r w:rsidR="00EA2123" w:rsidRPr="00503F5B">
        <w:t>ing</w:t>
      </w:r>
      <w:r w:rsidRPr="00503F5B">
        <w:t xml:space="preserve"> from</w:t>
      </w:r>
      <w:r w:rsidR="00EA2123" w:rsidRPr="00503F5B">
        <w:t xml:space="preserve"> such services </w:t>
      </w:r>
      <w:r w:rsidRPr="00503F5B">
        <w:t>are a ‘pub</w:t>
      </w:r>
      <w:r w:rsidR="004C7F79">
        <w:t>l</w:t>
      </w:r>
      <w:r w:rsidRPr="00503F5B">
        <w:t xml:space="preserve">ic good’. </w:t>
      </w:r>
      <w:proofErr w:type="gramStart"/>
      <w:r w:rsidRPr="00503F5B">
        <w:t>That is to say the</w:t>
      </w:r>
      <w:proofErr w:type="gramEnd"/>
      <w:r w:rsidRPr="00503F5B">
        <w:t xml:space="preserve"> benefits of fire </w:t>
      </w:r>
      <w:r w:rsidR="00EA2123" w:rsidRPr="00503F5B">
        <w:t xml:space="preserve">services apply to the broader community and not just to those who are directly involved in these activities.  The consequence of this nature of benefits is that </w:t>
      </w:r>
      <w:r w:rsidR="00591D09" w:rsidRPr="00503F5B">
        <w:t xml:space="preserve">fire services </w:t>
      </w:r>
      <w:r w:rsidRPr="00503F5B">
        <w:t>would be both under</w:t>
      </w:r>
      <w:r w:rsidR="00591D09" w:rsidRPr="00503F5B">
        <w:t xml:space="preserve"> produced </w:t>
      </w:r>
      <w:r w:rsidRPr="00503F5B">
        <w:t>and under</w:t>
      </w:r>
      <w:r w:rsidR="00591D09" w:rsidRPr="00503F5B">
        <w:t xml:space="preserve"> consumed</w:t>
      </w:r>
      <w:r w:rsidRPr="00503F5B">
        <w:t xml:space="preserve"> if </w:t>
      </w:r>
      <w:r w:rsidR="00591D09" w:rsidRPr="00503F5B">
        <w:t>left to the private market.</w:t>
      </w:r>
      <w:r w:rsidR="009B7720" w:rsidRPr="00503F5B">
        <w:t xml:space="preserve">  </w:t>
      </w:r>
      <w:r w:rsidR="00EA2123" w:rsidRPr="00503F5B">
        <w:t>Therefore, it is the responsibility of the government to provide fire services in a way which allows the benefits of such services to be more fully realised.</w:t>
      </w:r>
    </w:p>
    <w:p w14:paraId="49D75636" w14:textId="77777777" w:rsidR="00EA2123" w:rsidRPr="00503F5B" w:rsidRDefault="00EA2123">
      <w:pPr>
        <w:jc w:val="both"/>
      </w:pPr>
    </w:p>
    <w:p w14:paraId="3B6B2A31" w14:textId="60054F6C" w:rsidR="005D4D54" w:rsidRPr="00503F5B" w:rsidRDefault="009B7720" w:rsidP="009917B8">
      <w:pPr>
        <w:jc w:val="both"/>
      </w:pPr>
      <w:r w:rsidRPr="00503F5B">
        <w:t xml:space="preserve">Legislation </w:t>
      </w:r>
      <w:r w:rsidR="00EA2123" w:rsidRPr="00503F5B">
        <w:t>is</w:t>
      </w:r>
      <w:r w:rsidRPr="00503F5B">
        <w:t xml:space="preserve"> needed to provide </w:t>
      </w:r>
      <w:r w:rsidR="002400D4" w:rsidRPr="00503F5B">
        <w:t>direction</w:t>
      </w:r>
      <w:r w:rsidRPr="00503F5B">
        <w:t xml:space="preserve"> for the organisation and practices undertaken by government</w:t>
      </w:r>
      <w:r w:rsidR="00DC43A7">
        <w:t>-</w:t>
      </w:r>
      <w:r w:rsidRPr="00503F5B">
        <w:t>provided fire services</w:t>
      </w:r>
      <w:r w:rsidR="00EA2123" w:rsidRPr="00503F5B">
        <w:t xml:space="preserve"> including</w:t>
      </w:r>
      <w:r w:rsidR="002D4FCF" w:rsidRPr="00503F5B">
        <w:t xml:space="preserve"> for example the</w:t>
      </w:r>
      <w:r w:rsidRPr="00503F5B">
        <w:t xml:space="preserve"> funding of activities, responsibilities and rights of staff, governance, </w:t>
      </w:r>
      <w:r w:rsidR="00BF77EA" w:rsidRPr="00503F5B">
        <w:t>and information</w:t>
      </w:r>
      <w:r w:rsidR="002D4FCF" w:rsidRPr="00503F5B">
        <w:t xml:space="preserve"> required from the public in relation to the management of fire alarms.  </w:t>
      </w:r>
      <w:r w:rsidRPr="00503F5B">
        <w:t>Moreover:</w:t>
      </w:r>
    </w:p>
    <w:p w14:paraId="70A1D996" w14:textId="77777777" w:rsidR="005D4D54" w:rsidRPr="00503F5B" w:rsidRDefault="005D4D54" w:rsidP="009917B8"/>
    <w:p w14:paraId="42375736" w14:textId="6699FF38" w:rsidR="001E0B93" w:rsidRPr="00503F5B" w:rsidRDefault="005D4D54" w:rsidP="009917B8">
      <w:pPr>
        <w:ind w:left="567" w:right="567"/>
        <w:jc w:val="both"/>
        <w:rPr>
          <w:sz w:val="20"/>
          <w:szCs w:val="20"/>
        </w:rPr>
      </w:pPr>
      <w:r w:rsidRPr="00503F5B">
        <w:rPr>
          <w:sz w:val="20"/>
          <w:szCs w:val="20"/>
        </w:rPr>
        <w:t>“Victoria’s fire services are being reformed so that they can meet the needs of our rapidly changing state – now and into the future</w:t>
      </w:r>
      <w:r w:rsidR="001E0B93" w:rsidRPr="00503F5B">
        <w:rPr>
          <w:sz w:val="20"/>
          <w:szCs w:val="20"/>
        </w:rPr>
        <w:t>….</w:t>
      </w:r>
      <w:r w:rsidRPr="00503F5B">
        <w:rPr>
          <w:sz w:val="20"/>
          <w:szCs w:val="20"/>
        </w:rPr>
        <w:t>firefighters are let down by outdated management and governance structures that can’t keep up with Victoria’s rapid growth and evolution</w:t>
      </w:r>
      <w:r w:rsidR="001E0B93" w:rsidRPr="00503F5B">
        <w:rPr>
          <w:sz w:val="20"/>
          <w:szCs w:val="20"/>
        </w:rPr>
        <w:t xml:space="preserve"> and…[they]…</w:t>
      </w:r>
      <w:r w:rsidRPr="00503F5B">
        <w:rPr>
          <w:sz w:val="20"/>
          <w:szCs w:val="20"/>
        </w:rPr>
        <w:t>currently operate under systems and structures that have not changed since the 1950s.</w:t>
      </w:r>
      <w:r w:rsidR="001E0B93" w:rsidRPr="00503F5B">
        <w:rPr>
          <w:sz w:val="20"/>
          <w:szCs w:val="20"/>
        </w:rPr>
        <w:t xml:space="preserve">  </w:t>
      </w:r>
      <w:r w:rsidRPr="00503F5B">
        <w:rPr>
          <w:sz w:val="20"/>
          <w:szCs w:val="20"/>
        </w:rPr>
        <w:t xml:space="preserve">As our state grows and changes, the demands on our fire services will only continue to mount. Our cities and suburbs have grown significantly and </w:t>
      </w:r>
      <w:proofErr w:type="gramStart"/>
      <w:r w:rsidRPr="00503F5B">
        <w:rPr>
          <w:sz w:val="20"/>
          <w:szCs w:val="20"/>
        </w:rPr>
        <w:t>it is clear that these</w:t>
      </w:r>
      <w:proofErr w:type="gramEnd"/>
      <w:r w:rsidRPr="00503F5B">
        <w:rPr>
          <w:sz w:val="20"/>
          <w:szCs w:val="20"/>
        </w:rPr>
        <w:t xml:space="preserve"> services are in need of modernisation</w:t>
      </w:r>
      <w:r w:rsidR="001E0B93" w:rsidRPr="00503F5B">
        <w:rPr>
          <w:sz w:val="20"/>
          <w:szCs w:val="20"/>
        </w:rPr>
        <w:t>”</w:t>
      </w:r>
      <w:r w:rsidR="009B7720" w:rsidRPr="00503F5B">
        <w:rPr>
          <w:rStyle w:val="FootnoteReference"/>
          <w:sz w:val="20"/>
          <w:szCs w:val="20"/>
        </w:rPr>
        <w:footnoteReference w:id="7"/>
      </w:r>
    </w:p>
    <w:p w14:paraId="04B0A8FA" w14:textId="0E64D70B" w:rsidR="001D51D6" w:rsidRPr="00503F5B" w:rsidRDefault="001D51D6" w:rsidP="001D51D6">
      <w:pPr>
        <w:pStyle w:val="Heading2"/>
      </w:pPr>
      <w:bookmarkStart w:id="20" w:name="_Toc35804115"/>
      <w:bookmarkStart w:id="21" w:name="_Toc35804609"/>
      <w:bookmarkStart w:id="22" w:name="_Toc35812653"/>
      <w:r w:rsidRPr="00503F5B">
        <w:t>1.</w:t>
      </w:r>
      <w:r w:rsidR="00BB1B7F" w:rsidRPr="00503F5B">
        <w:t>2</w:t>
      </w:r>
      <w:r w:rsidRPr="00503F5B">
        <w:t xml:space="preserve"> </w:t>
      </w:r>
      <w:r w:rsidR="005D4D54" w:rsidRPr="00503F5B">
        <w:t xml:space="preserve">Recent </w:t>
      </w:r>
      <w:r w:rsidR="00BB1B7F" w:rsidRPr="00503F5B">
        <w:t xml:space="preserve">legislative </w:t>
      </w:r>
      <w:r w:rsidRPr="00503F5B">
        <w:t>context</w:t>
      </w:r>
      <w:bookmarkEnd w:id="19"/>
      <w:bookmarkEnd w:id="20"/>
      <w:bookmarkEnd w:id="21"/>
      <w:bookmarkEnd w:id="22"/>
    </w:p>
    <w:p w14:paraId="2DDB7498" w14:textId="263D1202" w:rsidR="00D86F63" w:rsidRPr="00503F5B" w:rsidRDefault="00E169A0" w:rsidP="00380787">
      <w:pPr>
        <w:jc w:val="both"/>
      </w:pPr>
      <w:r w:rsidRPr="00503F5B">
        <w:t>T</w:t>
      </w:r>
      <w:r w:rsidR="00D86F63" w:rsidRPr="00503F5B">
        <w:t xml:space="preserve">he </w:t>
      </w:r>
      <w:r w:rsidRPr="00503F5B">
        <w:rPr>
          <w:i/>
          <w:iCs/>
        </w:rPr>
        <w:t>Firefighters’ Presumptive Rights Compensation and Fire Services Legislation Amendment (Reform) Act 2019 (‘the</w:t>
      </w:r>
      <w:r w:rsidR="005A3CA5" w:rsidRPr="00503F5B">
        <w:rPr>
          <w:i/>
          <w:iCs/>
        </w:rPr>
        <w:t xml:space="preserve"> Reform</w:t>
      </w:r>
      <w:r w:rsidRPr="00503F5B">
        <w:rPr>
          <w:i/>
          <w:iCs/>
        </w:rPr>
        <w:t xml:space="preserve"> Act’)</w:t>
      </w:r>
      <w:r w:rsidR="00D86F63" w:rsidRPr="00503F5B">
        <w:t xml:space="preserve"> received Royal Assent on 2 July 2019. The</w:t>
      </w:r>
      <w:r w:rsidR="005A3CA5" w:rsidRPr="00503F5B">
        <w:t xml:space="preserve"> Reform</w:t>
      </w:r>
      <w:r w:rsidR="00D86F63" w:rsidRPr="00503F5B">
        <w:t xml:space="preserve"> Act establishes Fire Rescue Victoria (FRV) as a new organisation, replacing the Metropolitan Fire and Emergency Services Board (MFB) and bringing together MFB and the Country Fire Authority (CFA) career firefighters under one organisation. Provisions in the </w:t>
      </w:r>
      <w:r w:rsidR="005A3CA5" w:rsidRPr="00503F5B">
        <w:t xml:space="preserve">Reform </w:t>
      </w:r>
      <w:r w:rsidR="00D86F63" w:rsidRPr="00503F5B">
        <w:t xml:space="preserve">Act also allow for the Minister to direct the transfer of </w:t>
      </w:r>
      <w:r w:rsidR="00095404" w:rsidRPr="00503F5B">
        <w:t xml:space="preserve">other </w:t>
      </w:r>
      <w:r w:rsidR="00D86F63" w:rsidRPr="00503F5B">
        <w:t>CFA staff to FRV</w:t>
      </w:r>
      <w:r w:rsidR="00380787" w:rsidRPr="00503F5B">
        <w:t>.</w:t>
      </w:r>
    </w:p>
    <w:p w14:paraId="580AC01E" w14:textId="77777777" w:rsidR="00D86F63" w:rsidRPr="00503F5B" w:rsidRDefault="00D86F63" w:rsidP="00380787">
      <w:pPr>
        <w:rPr>
          <w:rFonts w:asciiTheme="minorHAnsi" w:eastAsiaTheme="minorHAnsi" w:hAnsiTheme="minorHAnsi" w:cstheme="minorBidi"/>
          <w:color w:val="auto"/>
        </w:rPr>
      </w:pPr>
    </w:p>
    <w:p w14:paraId="5714C5CE" w14:textId="2D3D788A" w:rsidR="00D86F63" w:rsidRPr="00503F5B" w:rsidRDefault="00D86F63" w:rsidP="00380787">
      <w:pPr>
        <w:jc w:val="both"/>
      </w:pPr>
      <w:r w:rsidRPr="00503F5B">
        <w:t>FRV will be responsible for fire and emergency response in Melbourne and major regional centres. CFA will be a volunteer firefighter, community-based organisation that supports Victorians during emergencies, meaning CFA will continue to provide primary response to large parts of Victoria outside of</w:t>
      </w:r>
      <w:r w:rsidR="00AC65B8">
        <w:t xml:space="preserve"> the</w:t>
      </w:r>
      <w:r w:rsidRPr="00503F5B">
        <w:t xml:space="preserve"> </w:t>
      </w:r>
      <w:r w:rsidR="00D23B9E" w:rsidRPr="00503F5B">
        <w:t>FRV</w:t>
      </w:r>
      <w:r w:rsidRPr="00503F5B">
        <w:t xml:space="preserve"> fire district. Volunteer firefighters will also continue to play a central role in the day to day provision of fire prevention and suppression activities in </w:t>
      </w:r>
      <w:r w:rsidR="00D23B9E" w:rsidRPr="00503F5B">
        <w:t>FRV</w:t>
      </w:r>
      <w:r w:rsidRPr="00503F5B">
        <w:t xml:space="preserve"> fire district; the Act provides that FRV must, subject to operational requirements, request the assistance from volunteer brigades based in </w:t>
      </w:r>
      <w:r w:rsidR="00D23B9E" w:rsidRPr="00503F5B">
        <w:t>FRV</w:t>
      </w:r>
      <w:r w:rsidRPr="00503F5B">
        <w:t xml:space="preserve"> fire district.</w:t>
      </w:r>
    </w:p>
    <w:p w14:paraId="281279E9" w14:textId="77777777" w:rsidR="00D86F63" w:rsidRPr="00503F5B" w:rsidRDefault="00D86F63" w:rsidP="00380787"/>
    <w:p w14:paraId="52F560D4" w14:textId="2F79221B" w:rsidR="00D86F63" w:rsidRPr="00503F5B" w:rsidRDefault="00D86F63" w:rsidP="00380787">
      <w:pPr>
        <w:jc w:val="both"/>
      </w:pPr>
      <w:r w:rsidRPr="00503F5B">
        <w:t>Implementation of Fire Services Reform will build on the long and proud tradition of firefighting in Victoria and position the fire services sector to meet the challenges of the 21</w:t>
      </w:r>
      <w:r w:rsidRPr="00503F5B">
        <w:rPr>
          <w:vertAlign w:val="superscript"/>
        </w:rPr>
        <w:t>st</w:t>
      </w:r>
      <w:r w:rsidRPr="00503F5B">
        <w:t xml:space="preserve"> century – including climate change, urbanisation, and demographic/societal change – to protect Victoria’s communities, social and economic infrastructure, and natural environment well into the future. FRV and CFA will work together to keep Victoria safe and resilient.</w:t>
      </w:r>
    </w:p>
    <w:p w14:paraId="53542C14" w14:textId="77777777" w:rsidR="00FC2CA0" w:rsidRPr="00503F5B" w:rsidRDefault="00D80567" w:rsidP="00380787">
      <w:pPr>
        <w:pStyle w:val="DJCSbody"/>
        <w:spacing w:after="0"/>
        <w:ind w:left="0" w:right="142"/>
        <w:rPr>
          <w:rFonts w:asciiTheme="minorHAnsi" w:hAnsiTheme="minorHAnsi" w:cstheme="minorHAnsi"/>
        </w:rPr>
      </w:pPr>
      <w:r w:rsidRPr="00503F5B">
        <w:rPr>
          <w:rFonts w:asciiTheme="minorHAnsi" w:hAnsiTheme="minorHAnsi" w:cstheme="minorHAnsi"/>
        </w:rPr>
        <w:lastRenderedPageBreak/>
        <w:t xml:space="preserve">Further information about the Fire Services Reforms can be found at </w:t>
      </w:r>
      <w:hyperlink r:id="rId14" w:history="1">
        <w:r w:rsidR="00FC2CA0" w:rsidRPr="00503F5B">
          <w:rPr>
            <w:rStyle w:val="Hyperlink"/>
            <w:rFonts w:asciiTheme="minorHAnsi" w:hAnsiTheme="minorHAnsi" w:cstheme="minorHAnsi"/>
          </w:rPr>
          <w:t>www.vic.gov.au/fire-services-reform</w:t>
        </w:r>
      </w:hyperlink>
      <w:r w:rsidR="00FC2CA0" w:rsidRPr="00503F5B">
        <w:rPr>
          <w:rFonts w:asciiTheme="minorHAnsi" w:hAnsiTheme="minorHAnsi" w:cstheme="minorHAnsi"/>
        </w:rPr>
        <w:t xml:space="preserve">. </w:t>
      </w:r>
    </w:p>
    <w:p w14:paraId="1C52EFA7" w14:textId="77777777" w:rsidR="00380787" w:rsidRPr="00503F5B" w:rsidRDefault="00380787" w:rsidP="00380787">
      <w:pPr>
        <w:pStyle w:val="DJCSbody"/>
        <w:spacing w:after="0"/>
        <w:ind w:left="0" w:right="142"/>
        <w:rPr>
          <w:rFonts w:asciiTheme="minorHAnsi" w:hAnsiTheme="minorHAnsi" w:cstheme="minorHAnsi"/>
        </w:rPr>
      </w:pPr>
    </w:p>
    <w:p w14:paraId="5D9DCA85" w14:textId="66638F00" w:rsidR="00F30280" w:rsidRPr="00503F5B" w:rsidRDefault="00095404" w:rsidP="00380787">
      <w:pPr>
        <w:jc w:val="both"/>
      </w:pPr>
      <w:r w:rsidRPr="00503F5B">
        <w:t>It is proposed that t</w:t>
      </w:r>
      <w:r w:rsidR="00E169A0" w:rsidRPr="00503F5B">
        <w:t xml:space="preserve">he proposed Fire Rescue Victoria (General) Regulations 2020 (the ‘regulations’) will </w:t>
      </w:r>
      <w:r w:rsidR="003653D2" w:rsidRPr="00503F5B">
        <w:t>commence at the same time as FRV</w:t>
      </w:r>
      <w:r w:rsidRPr="00503F5B">
        <w:t xml:space="preserve">, scheduled for </w:t>
      </w:r>
      <w:r w:rsidR="00E169A0" w:rsidRPr="00503F5B">
        <w:t>1 July 2020</w:t>
      </w:r>
      <w:r w:rsidR="00AC65B8">
        <w:t>, and be made</w:t>
      </w:r>
      <w:r w:rsidR="00E169A0" w:rsidRPr="00503F5B">
        <w:t xml:space="preserve"> under </w:t>
      </w:r>
      <w:r w:rsidR="00FC2CA0" w:rsidRPr="00503F5B">
        <w:t>section 34</w:t>
      </w:r>
      <w:r w:rsidR="00E169A0" w:rsidRPr="00503F5B">
        <w:t xml:space="preserve"> of the Act. </w:t>
      </w:r>
      <w:r w:rsidR="00DD6F5D" w:rsidRPr="00503F5B">
        <w:t xml:space="preserve"> </w:t>
      </w:r>
      <w:r w:rsidR="00F30280" w:rsidRPr="00503F5B">
        <w:t xml:space="preserve">These regulations will cover the same scope as the existing interim regulations and will be made to support the objectives of the new Act </w:t>
      </w:r>
      <w:r w:rsidR="00552D30" w:rsidRPr="00503F5B">
        <w:t>which is t</w:t>
      </w:r>
      <w:r w:rsidR="00BB1B7F" w:rsidRPr="00503F5B">
        <w:t xml:space="preserve">o provide for fire safety, fire suppression and fire prevention services and emergency response services in </w:t>
      </w:r>
      <w:r w:rsidR="00D23B9E" w:rsidRPr="00503F5B">
        <w:t>FRV</w:t>
      </w:r>
      <w:r w:rsidR="00BB1B7F" w:rsidRPr="00503F5B">
        <w:t xml:space="preserve"> fire district (</w:t>
      </w:r>
      <w:r w:rsidR="00BE3117" w:rsidRPr="00503F5B">
        <w:t>defined in section 4 of the Principal Act</w:t>
      </w:r>
      <w:r w:rsidR="00BB1B7F" w:rsidRPr="00503F5B">
        <w:t>); and to establish FRV and the role of Fire Rescue Commissioner.</w:t>
      </w:r>
    </w:p>
    <w:p w14:paraId="60A79E17" w14:textId="43512916" w:rsidR="00DD6F5D" w:rsidRPr="00503F5B" w:rsidRDefault="00DD6F5D" w:rsidP="00380787">
      <w:pPr>
        <w:jc w:val="both"/>
      </w:pPr>
    </w:p>
    <w:p w14:paraId="62122918" w14:textId="45F92AEF" w:rsidR="00073432" w:rsidRPr="00503F5B" w:rsidRDefault="00E169A0" w:rsidP="00380787">
      <w:pPr>
        <w:jc w:val="both"/>
      </w:pPr>
      <w:r w:rsidRPr="00503F5B">
        <w:t>T</w:t>
      </w:r>
      <w:r w:rsidR="007F3E62" w:rsidRPr="00503F5B">
        <w:t xml:space="preserve">he regulations will revoke the current </w:t>
      </w:r>
      <w:r w:rsidR="001D51D6" w:rsidRPr="00503F5B">
        <w:t>Metropolitan Fire Brigade (General) Interim Regulations 201</w:t>
      </w:r>
      <w:r w:rsidR="007F3E62" w:rsidRPr="00503F5B">
        <w:t xml:space="preserve">9 which were to </w:t>
      </w:r>
      <w:r w:rsidR="00FC05BD" w:rsidRPr="00503F5B">
        <w:t>expire on 18</w:t>
      </w:r>
      <w:r w:rsidR="007F3E62" w:rsidRPr="00503F5B">
        <w:t xml:space="preserve"> </w:t>
      </w:r>
      <w:r w:rsidR="00FC05BD" w:rsidRPr="00503F5B">
        <w:t xml:space="preserve">October </w:t>
      </w:r>
      <w:r w:rsidR="007F3E62" w:rsidRPr="00503F5B">
        <w:t>2020</w:t>
      </w:r>
      <w:r w:rsidR="001D51D6" w:rsidRPr="00503F5B">
        <w:t xml:space="preserve">.  </w:t>
      </w:r>
      <w:r w:rsidR="00073432" w:rsidRPr="00503F5B">
        <w:t xml:space="preserve">The scope of the proposed regulations is </w:t>
      </w:r>
      <w:r w:rsidR="00BE3117" w:rsidRPr="00503F5B">
        <w:t xml:space="preserve">largely </w:t>
      </w:r>
      <w:r w:rsidR="00073432" w:rsidRPr="00503F5B">
        <w:t xml:space="preserve">identical to that of the existing interim regulations, as are most specific provisions. Minor changes include changes </w:t>
      </w:r>
      <w:r w:rsidR="00A54530" w:rsidRPr="00503F5B">
        <w:t xml:space="preserve">to </w:t>
      </w:r>
      <w:r w:rsidR="00073432" w:rsidRPr="00503F5B">
        <w:t xml:space="preserve">terminology </w:t>
      </w:r>
      <w:r w:rsidR="00A54530" w:rsidRPr="00503F5B">
        <w:t>or</w:t>
      </w:r>
      <w:r w:rsidR="00073432" w:rsidRPr="00503F5B">
        <w:t xml:space="preserve"> replacement of the</w:t>
      </w:r>
      <w:r w:rsidR="00A54530" w:rsidRPr="00503F5B">
        <w:t xml:space="preserve"> term</w:t>
      </w:r>
      <w:r w:rsidR="00073432" w:rsidRPr="00503F5B">
        <w:t xml:space="preserve"> ‘</w:t>
      </w:r>
      <w:r w:rsidR="00595DFB" w:rsidRPr="00503F5B">
        <w:t>t</w:t>
      </w:r>
      <w:r w:rsidR="00073432" w:rsidRPr="00503F5B">
        <w:t>he Board’ with ‘Fire Rescue Victoria’</w:t>
      </w:r>
      <w:r w:rsidR="00A54530" w:rsidRPr="00503F5B">
        <w:t>, as well as, alignment with the Country Fire Authority Regulations 2014 in relation to costs for attending hazardous materials incidents</w:t>
      </w:r>
      <w:r w:rsidR="00BE3117" w:rsidRPr="00503F5B">
        <w:t xml:space="preserve"> and fire protection services</w:t>
      </w:r>
      <w:r w:rsidR="00A54530" w:rsidRPr="00503F5B">
        <w:t>.</w:t>
      </w:r>
      <w:r w:rsidR="00981641" w:rsidRPr="00503F5B">
        <w:t xml:space="preserve"> </w:t>
      </w:r>
      <w:r w:rsidR="00073432" w:rsidRPr="00503F5B">
        <w:t xml:space="preserve">The </w:t>
      </w:r>
      <w:r w:rsidR="00073432" w:rsidRPr="00503F5B">
        <w:rPr>
          <w:iCs/>
        </w:rPr>
        <w:t xml:space="preserve">main </w:t>
      </w:r>
      <w:r w:rsidR="00073432" w:rsidRPr="00503F5B">
        <w:t xml:space="preserve">difference between the proposed and existing interim regulations relate to the incorporation of a new provision to set </w:t>
      </w:r>
      <w:r w:rsidR="00A54530" w:rsidRPr="00503F5B">
        <w:t xml:space="preserve">fees </w:t>
      </w:r>
      <w:r w:rsidR="00073432" w:rsidRPr="00503F5B">
        <w:t>for fire protection services</w:t>
      </w:r>
      <w:r w:rsidR="00A54530" w:rsidRPr="00503F5B">
        <w:t xml:space="preserve"> by Fire Rescue Victoria</w:t>
      </w:r>
      <w:r w:rsidR="007D4884" w:rsidRPr="00503F5B">
        <w:t xml:space="preserve"> (i.e. administratively) to align with the Country Fire Authority Regulations 2014.</w:t>
      </w:r>
      <w:r w:rsidR="00981641" w:rsidRPr="00503F5B">
        <w:t xml:space="preserve"> </w:t>
      </w:r>
      <w:bookmarkStart w:id="23" w:name="_Hlk39660317"/>
      <w:r w:rsidR="00F92196" w:rsidRPr="00503F5B">
        <w:t>The purpose of setting fire protection charges administratively is to provide FRV discretion as to how and when fees will be charged and for which services.</w:t>
      </w:r>
      <w:bookmarkEnd w:id="23"/>
    </w:p>
    <w:p w14:paraId="68A020AB" w14:textId="77777777" w:rsidR="00073432" w:rsidRPr="00503F5B" w:rsidRDefault="00073432" w:rsidP="00380787">
      <w:pPr>
        <w:jc w:val="both"/>
      </w:pPr>
    </w:p>
    <w:p w14:paraId="7685793B" w14:textId="77777777" w:rsidR="00073432" w:rsidRPr="00503F5B" w:rsidRDefault="00073432" w:rsidP="00380787">
      <w:pPr>
        <w:jc w:val="both"/>
      </w:pPr>
      <w:r w:rsidRPr="00503F5B">
        <w:t xml:space="preserve">This Regulatory Impact Statement (RIS) has been prepared to fulfil the requirements of the </w:t>
      </w:r>
      <w:r w:rsidRPr="00503F5B">
        <w:rPr>
          <w:i/>
        </w:rPr>
        <w:t>Subordinate Legislation Act 1994</w:t>
      </w:r>
      <w:r w:rsidRPr="00503F5B">
        <w:t xml:space="preserve"> and to facilitate public consultation on the proposed regulations.</w:t>
      </w:r>
    </w:p>
    <w:p w14:paraId="63AAC3DD" w14:textId="2FAF95DF" w:rsidR="001D51D6" w:rsidRPr="00503F5B" w:rsidRDefault="001D51D6" w:rsidP="001D51D6">
      <w:pPr>
        <w:pStyle w:val="Heading2"/>
      </w:pPr>
      <w:bookmarkStart w:id="24" w:name="_Toc457772515"/>
      <w:bookmarkStart w:id="25" w:name="_Toc35804116"/>
      <w:bookmarkStart w:id="26" w:name="_Toc35804610"/>
      <w:bookmarkStart w:id="27" w:name="_Toc35812654"/>
      <w:r w:rsidRPr="00503F5B">
        <w:t>1.</w:t>
      </w:r>
      <w:r w:rsidR="00BB1B7F" w:rsidRPr="00503F5B">
        <w:t>3</w:t>
      </w:r>
      <w:r w:rsidRPr="00503F5B">
        <w:t xml:space="preserve"> Governance, funding arrangements and activities of </w:t>
      </w:r>
      <w:bookmarkEnd w:id="24"/>
      <w:r w:rsidR="00C92813" w:rsidRPr="00503F5B">
        <w:t>FRV</w:t>
      </w:r>
      <w:bookmarkEnd w:id="25"/>
      <w:bookmarkEnd w:id="26"/>
      <w:bookmarkEnd w:id="27"/>
    </w:p>
    <w:p w14:paraId="631DC03B" w14:textId="1E3C2D0D" w:rsidR="008360E5" w:rsidRPr="00503F5B" w:rsidRDefault="008360E5" w:rsidP="00F94B17">
      <w:pPr>
        <w:pStyle w:val="Heading3"/>
      </w:pPr>
      <w:bookmarkStart w:id="28" w:name="_Toc457772516"/>
      <w:bookmarkStart w:id="29" w:name="_Toc35804117"/>
      <w:bookmarkStart w:id="30" w:name="_Toc35804611"/>
      <w:bookmarkStart w:id="31" w:name="_Toc35812655"/>
      <w:bookmarkStart w:id="32" w:name="_Toc457772521"/>
      <w:r w:rsidRPr="00503F5B">
        <w:t>1.</w:t>
      </w:r>
      <w:r w:rsidR="00BB1B7F" w:rsidRPr="00503F5B">
        <w:t>3</w:t>
      </w:r>
      <w:r w:rsidRPr="00503F5B">
        <w:t>.1</w:t>
      </w:r>
      <w:bookmarkEnd w:id="28"/>
      <w:r w:rsidR="00C35213" w:rsidRPr="00503F5B">
        <w:t xml:space="preserve"> F</w:t>
      </w:r>
      <w:r w:rsidRPr="00503F5B">
        <w:t>unctions of the Fire Rescue Commissioner and FRV</w:t>
      </w:r>
      <w:bookmarkEnd w:id="29"/>
      <w:bookmarkEnd w:id="30"/>
      <w:bookmarkEnd w:id="31"/>
    </w:p>
    <w:p w14:paraId="773AE460" w14:textId="77777777" w:rsidR="008360E5" w:rsidRPr="00503F5B" w:rsidRDefault="008360E5" w:rsidP="00E169A0">
      <w:pPr>
        <w:jc w:val="both"/>
      </w:pPr>
    </w:p>
    <w:p w14:paraId="4F9CA825" w14:textId="05990B7E" w:rsidR="00E169A0" w:rsidRPr="00503F5B" w:rsidRDefault="00E169A0" w:rsidP="00E169A0">
      <w:pPr>
        <w:jc w:val="both"/>
      </w:pPr>
      <w:r w:rsidRPr="00503F5B">
        <w:t xml:space="preserve">Upon commencement of the Act, </w:t>
      </w:r>
      <w:r w:rsidR="00595DFB" w:rsidRPr="00503F5B">
        <w:t>MFB</w:t>
      </w:r>
      <w:r w:rsidRPr="00503F5B">
        <w:t xml:space="preserve">, including the positions of the Chief Officer and Chief Executive Officer, will be abolished. FRV will be constituted by the new Fire Rescue Commissioner who will have all the functions, duties and powers of FRV. </w:t>
      </w:r>
    </w:p>
    <w:p w14:paraId="52D57FA5" w14:textId="77777777" w:rsidR="00E169A0" w:rsidRPr="00503F5B" w:rsidRDefault="00E169A0" w:rsidP="00E169A0">
      <w:pPr>
        <w:jc w:val="both"/>
        <w:rPr>
          <w:rFonts w:asciiTheme="minorHAnsi" w:eastAsiaTheme="minorHAnsi" w:hAnsiTheme="minorHAnsi" w:cstheme="minorBidi"/>
          <w:color w:val="auto"/>
        </w:rPr>
      </w:pPr>
    </w:p>
    <w:p w14:paraId="47EB6A0F" w14:textId="7679DDBD" w:rsidR="00E169A0" w:rsidRPr="00503F5B" w:rsidRDefault="00E169A0" w:rsidP="00E169A0">
      <w:pPr>
        <w:jc w:val="both"/>
      </w:pPr>
      <w:r w:rsidRPr="00503F5B">
        <w:t xml:space="preserve">The Fire Rescue Commissioner will be supported by one or more Deputy Fire Rescue Commissioners. </w:t>
      </w:r>
      <w:r w:rsidR="00BE3117" w:rsidRPr="00503F5B">
        <w:t xml:space="preserve">A </w:t>
      </w:r>
      <w:r w:rsidRPr="00503F5B">
        <w:t xml:space="preserve">Strategic Advisory Committee will be established </w:t>
      </w:r>
      <w:r w:rsidR="00BE3117" w:rsidRPr="00503F5B">
        <w:t>provide advice to Fire Rescue Victoria</w:t>
      </w:r>
      <w:r w:rsidRPr="00503F5B">
        <w:t xml:space="preserve"> on </w:t>
      </w:r>
      <w:r w:rsidR="00C0237B" w:rsidRPr="00503F5B">
        <w:t xml:space="preserve">a range of </w:t>
      </w:r>
      <w:r w:rsidRPr="00503F5B">
        <w:t>matters</w:t>
      </w:r>
      <w:r w:rsidR="00981641" w:rsidRPr="00503F5B">
        <w:t xml:space="preserve"> </w:t>
      </w:r>
      <w:r w:rsidR="00C0237B" w:rsidRPr="00503F5B">
        <w:t>set out in new section 33F of the Principal Act</w:t>
      </w:r>
      <w:r w:rsidRPr="00503F5B">
        <w:t>.</w:t>
      </w:r>
    </w:p>
    <w:p w14:paraId="752F2684" w14:textId="77777777" w:rsidR="00E169A0" w:rsidRPr="00503F5B" w:rsidRDefault="00E169A0" w:rsidP="00E169A0">
      <w:pPr>
        <w:jc w:val="both"/>
      </w:pPr>
    </w:p>
    <w:p w14:paraId="007C519E" w14:textId="4A63ACBB" w:rsidR="00E169A0" w:rsidRPr="00503F5B" w:rsidRDefault="00C0237B" w:rsidP="005A3CA5">
      <w:pPr>
        <w:jc w:val="both"/>
      </w:pPr>
      <w:r w:rsidRPr="00503F5B">
        <w:t>Under section 9 of the Principal Act (</w:t>
      </w:r>
      <w:r w:rsidR="00B17EE2" w:rsidRPr="00503F5B">
        <w:t xml:space="preserve">as amended by the </w:t>
      </w:r>
      <w:r w:rsidR="005A3CA5" w:rsidRPr="00503F5B">
        <w:t xml:space="preserve">Reform </w:t>
      </w:r>
      <w:r w:rsidR="00B17EE2" w:rsidRPr="00503F5B">
        <w:t>Act</w:t>
      </w:r>
      <w:r w:rsidRPr="00503F5B">
        <w:t xml:space="preserve">) </w:t>
      </w:r>
      <w:r w:rsidR="00981641" w:rsidRPr="00503F5B">
        <w:t>t</w:t>
      </w:r>
      <w:r w:rsidR="00E169A0" w:rsidRPr="00503F5B">
        <w:t xml:space="preserve">he Fire Rescue Commissioner is appointed by the Governor in Council, on the recommendation of the Minister for a period of no more than </w:t>
      </w:r>
      <w:r w:rsidR="00595DFB" w:rsidRPr="00503F5B">
        <w:t>five</w:t>
      </w:r>
      <w:r w:rsidR="00E169A0" w:rsidRPr="00503F5B">
        <w:t xml:space="preserve"> years. </w:t>
      </w:r>
    </w:p>
    <w:p w14:paraId="6CE6539A" w14:textId="77777777" w:rsidR="00981641" w:rsidRPr="00503F5B" w:rsidRDefault="00981641" w:rsidP="005A3CA5">
      <w:pPr>
        <w:jc w:val="both"/>
      </w:pPr>
    </w:p>
    <w:p w14:paraId="3C53C3AF" w14:textId="782E02AD" w:rsidR="00E169A0" w:rsidRPr="00503F5B" w:rsidRDefault="00E169A0" w:rsidP="00E169A0">
      <w:pPr>
        <w:jc w:val="both"/>
      </w:pPr>
      <w:r w:rsidRPr="00503F5B">
        <w:t>The functions of FRV</w:t>
      </w:r>
      <w:r w:rsidR="00B17EE2" w:rsidRPr="00503F5B">
        <w:t xml:space="preserve"> set out in section 7 of the Principal Act (as amended by the </w:t>
      </w:r>
      <w:r w:rsidR="0037229D" w:rsidRPr="00503F5B">
        <w:t xml:space="preserve">Reform </w:t>
      </w:r>
      <w:r w:rsidR="00B17EE2" w:rsidRPr="00503F5B">
        <w:t>Act)</w:t>
      </w:r>
      <w:r w:rsidRPr="00503F5B">
        <w:t xml:space="preserve"> include</w:t>
      </w:r>
      <w:r w:rsidR="008360E5" w:rsidRPr="00503F5B">
        <w:t>,</w:t>
      </w:r>
      <w:r w:rsidRPr="00503F5B">
        <w:t xml:space="preserve"> to:</w:t>
      </w:r>
    </w:p>
    <w:p w14:paraId="7BC7706B" w14:textId="77777777" w:rsidR="00E169A0" w:rsidRPr="00503F5B" w:rsidRDefault="00E169A0" w:rsidP="00E169A0">
      <w:pPr>
        <w:jc w:val="both"/>
      </w:pPr>
    </w:p>
    <w:p w14:paraId="7486EDA2" w14:textId="517670D9" w:rsidR="00E169A0" w:rsidRPr="00503F5B" w:rsidRDefault="00E169A0" w:rsidP="00101EC8">
      <w:pPr>
        <w:pStyle w:val="ListParagraph"/>
        <w:numPr>
          <w:ilvl w:val="0"/>
          <w:numId w:val="14"/>
        </w:numPr>
        <w:spacing w:after="160" w:line="256" w:lineRule="auto"/>
        <w:jc w:val="both"/>
      </w:pPr>
      <w:r w:rsidRPr="00503F5B">
        <w:t xml:space="preserve">provide for fire suppression and fire prevention services in </w:t>
      </w:r>
      <w:r w:rsidR="00D23B9E" w:rsidRPr="00503F5B">
        <w:t>FRV</w:t>
      </w:r>
      <w:r w:rsidRPr="00503F5B">
        <w:t xml:space="preserve"> fire district; </w:t>
      </w:r>
    </w:p>
    <w:p w14:paraId="77575C14" w14:textId="309687E1" w:rsidR="00E169A0" w:rsidRPr="00503F5B" w:rsidRDefault="00E169A0" w:rsidP="00101EC8">
      <w:pPr>
        <w:pStyle w:val="ListParagraph"/>
        <w:numPr>
          <w:ilvl w:val="0"/>
          <w:numId w:val="14"/>
        </w:numPr>
        <w:spacing w:after="160" w:line="256" w:lineRule="auto"/>
        <w:jc w:val="both"/>
      </w:pPr>
      <w:r w:rsidRPr="00503F5B">
        <w:t xml:space="preserve">provide for emergency prevention and response services in </w:t>
      </w:r>
      <w:r w:rsidR="00D23B9E" w:rsidRPr="00503F5B">
        <w:t>FRV</w:t>
      </w:r>
      <w:r w:rsidRPr="00503F5B">
        <w:t xml:space="preserve"> fire district; </w:t>
      </w:r>
    </w:p>
    <w:p w14:paraId="6D7471C2" w14:textId="19E77D8F" w:rsidR="00E169A0" w:rsidRPr="00503F5B" w:rsidRDefault="00E169A0" w:rsidP="00101EC8">
      <w:pPr>
        <w:pStyle w:val="ListParagraph"/>
        <w:numPr>
          <w:ilvl w:val="0"/>
          <w:numId w:val="14"/>
        </w:numPr>
        <w:spacing w:after="160" w:line="256" w:lineRule="auto"/>
        <w:jc w:val="both"/>
      </w:pPr>
      <w:r w:rsidRPr="00503F5B">
        <w:t xml:space="preserve">implement the fire and emergency services priorities of the Government of Victoria; </w:t>
      </w:r>
    </w:p>
    <w:p w14:paraId="273D217B" w14:textId="77777777" w:rsidR="00E169A0" w:rsidRPr="00503F5B" w:rsidRDefault="00E169A0" w:rsidP="00101EC8">
      <w:pPr>
        <w:pStyle w:val="ListParagraph"/>
        <w:numPr>
          <w:ilvl w:val="0"/>
          <w:numId w:val="14"/>
        </w:numPr>
        <w:spacing w:after="160" w:line="256" w:lineRule="auto"/>
        <w:jc w:val="both"/>
      </w:pPr>
      <w:r w:rsidRPr="00503F5B">
        <w:t>provide operational and management support to CFA; and</w:t>
      </w:r>
    </w:p>
    <w:p w14:paraId="46CEB0F7" w14:textId="7351EE46" w:rsidR="00341B9B" w:rsidRPr="00503F5B" w:rsidRDefault="00E169A0" w:rsidP="00DF78DD">
      <w:pPr>
        <w:pStyle w:val="ListParagraph"/>
        <w:numPr>
          <w:ilvl w:val="0"/>
          <w:numId w:val="14"/>
        </w:numPr>
        <w:spacing w:after="160" w:line="256" w:lineRule="auto"/>
        <w:jc w:val="both"/>
      </w:pPr>
      <w:r w:rsidRPr="00503F5B">
        <w:lastRenderedPageBreak/>
        <w:t>carry out any other functions conferred on FRV by or under this Act or any other Act.</w:t>
      </w:r>
      <w:bookmarkStart w:id="33" w:name="_Toc35804118"/>
      <w:bookmarkStart w:id="34" w:name="_Toc35804612"/>
      <w:bookmarkStart w:id="35" w:name="_Toc35812656"/>
      <w:r w:rsidR="00341B9B" w:rsidRPr="00503F5B">
        <w:br w:type="page"/>
      </w:r>
    </w:p>
    <w:p w14:paraId="09600E08" w14:textId="60C8A0FA" w:rsidR="008360E5" w:rsidRPr="00503F5B" w:rsidRDefault="008360E5" w:rsidP="00F94B17">
      <w:pPr>
        <w:pStyle w:val="Heading3"/>
      </w:pPr>
      <w:r w:rsidRPr="00503F5B">
        <w:lastRenderedPageBreak/>
        <w:t>1.</w:t>
      </w:r>
      <w:r w:rsidR="00BB1B7F" w:rsidRPr="00503F5B">
        <w:t>3</w:t>
      </w:r>
      <w:r w:rsidRPr="00503F5B">
        <w:t>.2 Staffing changes upon commencement of FRV</w:t>
      </w:r>
      <w:bookmarkEnd w:id="33"/>
      <w:bookmarkEnd w:id="34"/>
      <w:bookmarkEnd w:id="35"/>
    </w:p>
    <w:p w14:paraId="791603E2" w14:textId="77777777" w:rsidR="00E169A0" w:rsidRPr="00503F5B" w:rsidRDefault="00E169A0" w:rsidP="00E169A0"/>
    <w:p w14:paraId="5CF6B8E7" w14:textId="59240D8A" w:rsidR="00E169A0" w:rsidRPr="00503F5B" w:rsidRDefault="001148D9" w:rsidP="001148D9">
      <w:pPr>
        <w:jc w:val="both"/>
      </w:pPr>
      <w:r w:rsidRPr="00503F5B">
        <w:t>As of June 2019, MFB has 2,347 employees made up of 1,997 paid operational staff and 350 support staff.</w:t>
      </w:r>
      <w:r w:rsidRPr="00503F5B">
        <w:rPr>
          <w:rStyle w:val="FootnoteReference"/>
        </w:rPr>
        <w:footnoteReference w:id="8"/>
      </w:r>
      <w:r w:rsidRPr="00503F5B">
        <w:t xml:space="preserve"> </w:t>
      </w:r>
      <w:r w:rsidR="00E169A0" w:rsidRPr="00503F5B">
        <w:t>At the time of commencement of FRV:</w:t>
      </w:r>
    </w:p>
    <w:p w14:paraId="41E3CD7D" w14:textId="77777777" w:rsidR="008360E5" w:rsidRPr="00503F5B" w:rsidRDefault="008360E5" w:rsidP="00E169A0"/>
    <w:p w14:paraId="00206E8F" w14:textId="5B223AB2" w:rsidR="00E169A0" w:rsidRPr="00503F5B" w:rsidRDefault="00E169A0" w:rsidP="00101EC8">
      <w:pPr>
        <w:pStyle w:val="ListParagraph"/>
        <w:numPr>
          <w:ilvl w:val="0"/>
          <w:numId w:val="15"/>
        </w:numPr>
        <w:spacing w:after="160" w:line="256" w:lineRule="auto"/>
        <w:jc w:val="both"/>
      </w:pPr>
      <w:r w:rsidRPr="00503F5B">
        <w:t xml:space="preserve">All existing MFB staff will transfer to FRV with their existing terms and conditions of employment; </w:t>
      </w:r>
      <w:r w:rsidR="008360E5" w:rsidRPr="00503F5B">
        <w:t>and</w:t>
      </w:r>
    </w:p>
    <w:p w14:paraId="0A4455FE" w14:textId="77777777" w:rsidR="008360E5" w:rsidRPr="00503F5B" w:rsidRDefault="008360E5" w:rsidP="008360E5">
      <w:pPr>
        <w:pStyle w:val="ListParagraph"/>
        <w:spacing w:after="160" w:line="256" w:lineRule="auto"/>
      </w:pPr>
    </w:p>
    <w:p w14:paraId="773E01FE" w14:textId="436617BA" w:rsidR="00E169A0" w:rsidRPr="00503F5B" w:rsidRDefault="00E169A0" w:rsidP="00101EC8">
      <w:pPr>
        <w:pStyle w:val="ListParagraph"/>
        <w:numPr>
          <w:ilvl w:val="0"/>
          <w:numId w:val="15"/>
        </w:numPr>
        <w:spacing w:after="160" w:line="256" w:lineRule="auto"/>
        <w:jc w:val="both"/>
      </w:pPr>
      <w:r w:rsidRPr="00503F5B">
        <w:t xml:space="preserve">CFA staff </w:t>
      </w:r>
      <w:r w:rsidR="00B17EE2" w:rsidRPr="00503F5B">
        <w:t xml:space="preserve">identified in Schedule 3 to the Principal Act (to be inserted by the </w:t>
      </w:r>
      <w:r w:rsidR="00AC65B8">
        <w:t xml:space="preserve">Reform </w:t>
      </w:r>
      <w:r w:rsidR="00B17EE2" w:rsidRPr="00503F5B">
        <w:t xml:space="preserve">Act) </w:t>
      </w:r>
      <w:r w:rsidRPr="00503F5B">
        <w:t>will transfer to FRV with their existing terms and conditions of employment.</w:t>
      </w:r>
    </w:p>
    <w:p w14:paraId="20DF6743" w14:textId="0D8EC4FD" w:rsidR="00E169A0" w:rsidRPr="00503F5B" w:rsidRDefault="00B17EE2" w:rsidP="00E169A0">
      <w:r w:rsidRPr="00503F5B">
        <w:t>The Act also provides for o</w:t>
      </w:r>
      <w:r w:rsidR="00E169A0" w:rsidRPr="00503F5B">
        <w:t xml:space="preserve">ther CFA staff </w:t>
      </w:r>
      <w:r w:rsidRPr="00503F5B">
        <w:t xml:space="preserve">to </w:t>
      </w:r>
      <w:r w:rsidR="00E169A0" w:rsidRPr="00503F5B">
        <w:t>be transferred to FRV by Ministerial direction</w:t>
      </w:r>
      <w:r w:rsidRPr="00503F5B">
        <w:t>. This will be</w:t>
      </w:r>
      <w:r w:rsidR="00E169A0" w:rsidRPr="00503F5B">
        <w:t xml:space="preserve"> based on a collaborative review of future service needs and organisational structures by FRV and CFA, and subject to normal consultation processes.</w:t>
      </w:r>
      <w:r w:rsidR="002F221D" w:rsidRPr="00503F5B">
        <w:t xml:space="preserve"> Further information is available at </w:t>
      </w:r>
      <w:hyperlink r:id="rId15" w:history="1">
        <w:r w:rsidR="002F221D" w:rsidRPr="00503F5B">
          <w:rPr>
            <w:rStyle w:val="Hyperlink"/>
          </w:rPr>
          <w:t>https://www.vic.gov.au/fire-services-reform</w:t>
        </w:r>
      </w:hyperlink>
      <w:r w:rsidR="002F221D" w:rsidRPr="00503F5B">
        <w:t xml:space="preserve">. </w:t>
      </w:r>
    </w:p>
    <w:p w14:paraId="7E4AD1D3" w14:textId="77777777" w:rsidR="00E169A0" w:rsidRPr="00503F5B" w:rsidRDefault="00E169A0" w:rsidP="00E169A0"/>
    <w:p w14:paraId="00051AB6" w14:textId="3927DAD4" w:rsidR="00380787" w:rsidRPr="00503F5B" w:rsidRDefault="00380787" w:rsidP="00F94B17">
      <w:pPr>
        <w:pStyle w:val="Heading3"/>
      </w:pPr>
      <w:bookmarkStart w:id="36" w:name="_Toc35804119"/>
      <w:bookmarkStart w:id="37" w:name="_Toc35804613"/>
      <w:bookmarkStart w:id="38" w:name="_Toc35812657"/>
      <w:bookmarkStart w:id="39" w:name="_Hlk34217390"/>
      <w:r w:rsidRPr="00503F5B">
        <w:t>1.</w:t>
      </w:r>
      <w:r w:rsidR="00BB1B7F" w:rsidRPr="00503F5B">
        <w:t>3</w:t>
      </w:r>
      <w:r w:rsidRPr="00503F5B">
        <w:t xml:space="preserve">.3 </w:t>
      </w:r>
      <w:r w:rsidR="00B17EE2" w:rsidRPr="00503F5B">
        <w:t xml:space="preserve">The FRV fire district </w:t>
      </w:r>
      <w:bookmarkEnd w:id="36"/>
      <w:bookmarkEnd w:id="37"/>
      <w:bookmarkEnd w:id="38"/>
    </w:p>
    <w:bookmarkEnd w:id="39"/>
    <w:p w14:paraId="6A86A8E6" w14:textId="77777777" w:rsidR="00E169A0" w:rsidRPr="00503F5B" w:rsidRDefault="00E169A0" w:rsidP="00E169A0"/>
    <w:p w14:paraId="549E6071" w14:textId="16E6283F" w:rsidR="008360E5" w:rsidRPr="00503F5B" w:rsidRDefault="00DE03FC" w:rsidP="00925EC1">
      <w:pPr>
        <w:jc w:val="both"/>
      </w:pPr>
      <w:r w:rsidRPr="00503F5B">
        <w:t xml:space="preserve">The FRV fire district will be defined by section 4 of the Principal Act (as amended by the </w:t>
      </w:r>
      <w:r w:rsidR="0037229D" w:rsidRPr="00503F5B">
        <w:t xml:space="preserve">Reform </w:t>
      </w:r>
      <w:r w:rsidRPr="00503F5B">
        <w:t xml:space="preserve">Act). </w:t>
      </w:r>
      <w:r w:rsidR="00E169A0" w:rsidRPr="00503F5B">
        <w:t>Upon commencement</w:t>
      </w:r>
      <w:r w:rsidRPr="00503F5B">
        <w:t>, the FRV fire district will include</w:t>
      </w:r>
      <w:r w:rsidR="00E169A0" w:rsidRPr="00503F5B">
        <w:t xml:space="preserve"> the </w:t>
      </w:r>
      <w:r w:rsidRPr="00503F5B">
        <w:t xml:space="preserve">current </w:t>
      </w:r>
      <w:r w:rsidR="00E169A0" w:rsidRPr="00503F5B">
        <w:t xml:space="preserve">metropolitan fire district </w:t>
      </w:r>
      <w:r w:rsidRPr="00503F5B">
        <w:t xml:space="preserve">and </w:t>
      </w:r>
      <w:r w:rsidR="00E169A0" w:rsidRPr="00503F5B">
        <w:t>will include CFA’s career and integrated stations located in urban and larger regional centres</w:t>
      </w:r>
      <w:r w:rsidR="00380787" w:rsidRPr="00503F5B">
        <w:rPr>
          <w:rStyle w:val="FootnoteReference"/>
        </w:rPr>
        <w:footnoteReference w:id="9"/>
      </w:r>
      <w:r w:rsidR="00E169A0" w:rsidRPr="00503F5B">
        <w:t xml:space="preserve">. </w:t>
      </w:r>
      <w:r w:rsidR="00380787" w:rsidRPr="00503F5B">
        <w:t xml:space="preserve"> </w:t>
      </w:r>
    </w:p>
    <w:p w14:paraId="59FC253A" w14:textId="16A2BD13" w:rsidR="00C35213" w:rsidRPr="00503F5B" w:rsidRDefault="00E169A0" w:rsidP="001148D9">
      <w:r w:rsidRPr="00503F5B">
        <w:t xml:space="preserve"> </w:t>
      </w:r>
    </w:p>
    <w:p w14:paraId="262F3DBA" w14:textId="6618BA97" w:rsidR="00C35213" w:rsidRPr="00503F5B" w:rsidRDefault="00C35213" w:rsidP="00F94B17">
      <w:pPr>
        <w:pStyle w:val="Heading3"/>
      </w:pPr>
      <w:bookmarkStart w:id="40" w:name="_Toc35804120"/>
      <w:bookmarkStart w:id="41" w:name="_Toc35804614"/>
      <w:bookmarkStart w:id="42" w:name="_Toc35812658"/>
      <w:r w:rsidRPr="00503F5B">
        <w:t>1.</w:t>
      </w:r>
      <w:r w:rsidR="00BB1B7F" w:rsidRPr="00503F5B">
        <w:t>3</w:t>
      </w:r>
      <w:r w:rsidRPr="00503F5B">
        <w:t>.</w:t>
      </w:r>
      <w:r w:rsidR="00BB1B7F" w:rsidRPr="00503F5B">
        <w:t>4</w:t>
      </w:r>
      <w:r w:rsidRPr="00503F5B">
        <w:t xml:space="preserve"> </w:t>
      </w:r>
      <w:r w:rsidR="00F94B17" w:rsidRPr="00503F5B">
        <w:t>Current MFB and CFA f</w:t>
      </w:r>
      <w:r w:rsidRPr="00503F5B">
        <w:t>unding arrangements</w:t>
      </w:r>
      <w:bookmarkEnd w:id="40"/>
      <w:bookmarkEnd w:id="41"/>
      <w:bookmarkEnd w:id="42"/>
      <w:r w:rsidR="00F94B17" w:rsidRPr="00503F5B">
        <w:t xml:space="preserve"> </w:t>
      </w:r>
    </w:p>
    <w:p w14:paraId="4F86D1F8" w14:textId="02320804" w:rsidR="00C35213" w:rsidRPr="00503F5B" w:rsidRDefault="00C35213" w:rsidP="008360E5">
      <w:pPr>
        <w:jc w:val="both"/>
      </w:pPr>
    </w:p>
    <w:p w14:paraId="72B118D2" w14:textId="70B9C298" w:rsidR="00DC189E" w:rsidRPr="00503F5B" w:rsidRDefault="00F94B17" w:rsidP="00F94B17">
      <w:pPr>
        <w:jc w:val="both"/>
      </w:pPr>
      <w:r w:rsidRPr="00503F5B">
        <w:t xml:space="preserve">Currently in Victoria and with respect to funding arrangements for </w:t>
      </w:r>
      <w:r w:rsidR="00595DFB" w:rsidRPr="00503F5B">
        <w:t>MFB</w:t>
      </w:r>
      <w:r w:rsidRPr="00503F5B">
        <w:t xml:space="preserve"> and CFA, property owners contribute to the operational costs of fire services through a Fire Services Property Levy calculated on the capital improved value of the property and levied through local council rates. These funding arrangements operate on an insurance principle, which means property owners aren’t charged directly for firefighting services they receive. </w:t>
      </w:r>
      <w:r w:rsidR="00DC189E" w:rsidRPr="00503F5B">
        <w:t xml:space="preserve">However, </w:t>
      </w:r>
      <w:r w:rsidR="00595DFB" w:rsidRPr="00503F5B">
        <w:t>MFB</w:t>
      </w:r>
      <w:r w:rsidR="00DC189E" w:rsidRPr="00503F5B">
        <w:t xml:space="preserve"> and CFA can levy user fees and charges for various activities/services </w:t>
      </w:r>
      <w:r w:rsidR="007D4884" w:rsidRPr="00503F5B">
        <w:t xml:space="preserve">under their respective regulations, </w:t>
      </w:r>
      <w:r w:rsidR="00BA50C0" w:rsidRPr="00503F5B">
        <w:t xml:space="preserve">as summarised </w:t>
      </w:r>
      <w:r w:rsidR="00DC189E" w:rsidRPr="00503F5B">
        <w:t>in Table 1</w:t>
      </w:r>
      <w:r w:rsidR="00BA50C0" w:rsidRPr="00503F5B">
        <w:t>.</w:t>
      </w:r>
    </w:p>
    <w:p w14:paraId="18042EE5" w14:textId="77777777" w:rsidR="00DC189E" w:rsidRPr="00503F5B" w:rsidRDefault="00DC189E" w:rsidP="00F94B17">
      <w:pPr>
        <w:jc w:val="both"/>
      </w:pPr>
    </w:p>
    <w:p w14:paraId="485F5D92" w14:textId="7849F74F" w:rsidR="00DC189E" w:rsidRPr="00503F5B" w:rsidRDefault="007D4884" w:rsidP="003959AB">
      <w:pPr>
        <w:jc w:val="center"/>
        <w:rPr>
          <w:b/>
          <w:bCs/>
          <w:sz w:val="20"/>
          <w:szCs w:val="20"/>
        </w:rPr>
      </w:pPr>
      <w:r w:rsidRPr="00503F5B">
        <w:rPr>
          <w:b/>
          <w:bCs/>
          <w:sz w:val="20"/>
          <w:szCs w:val="20"/>
        </w:rPr>
        <w:t xml:space="preserve">Table 1: Current MFB and CFA activities/services covered under </w:t>
      </w:r>
      <w:r w:rsidR="003959AB" w:rsidRPr="00503F5B">
        <w:rPr>
          <w:b/>
          <w:bCs/>
          <w:sz w:val="20"/>
          <w:szCs w:val="20"/>
        </w:rPr>
        <w:t xml:space="preserve">respective </w:t>
      </w:r>
      <w:r w:rsidRPr="00503F5B">
        <w:rPr>
          <w:b/>
          <w:bCs/>
          <w:sz w:val="20"/>
          <w:szCs w:val="20"/>
        </w:rPr>
        <w:t>regulations</w:t>
      </w:r>
    </w:p>
    <w:tbl>
      <w:tblPr>
        <w:tblpPr w:leftFromText="180" w:rightFromText="180" w:vertAnchor="text" w:horzAnchor="margin" w:tblpXSpec="center" w:tblpY="85"/>
        <w:tblW w:w="8363" w:type="dxa"/>
        <w:tblLook w:val="04A0" w:firstRow="1" w:lastRow="0" w:firstColumn="1" w:lastColumn="0" w:noHBand="0" w:noVBand="1"/>
      </w:tblPr>
      <w:tblGrid>
        <w:gridCol w:w="2268"/>
        <w:gridCol w:w="1943"/>
        <w:gridCol w:w="1459"/>
        <w:gridCol w:w="2693"/>
      </w:tblGrid>
      <w:tr w:rsidR="00A25E2C" w:rsidRPr="00503F5B" w14:paraId="14DC3B6F" w14:textId="12C1549D" w:rsidTr="009917B8">
        <w:trPr>
          <w:trHeight w:val="67"/>
          <w:tblHeader/>
        </w:trPr>
        <w:tc>
          <w:tcPr>
            <w:tcW w:w="2268" w:type="dxa"/>
            <w:tcBorders>
              <w:top w:val="single" w:sz="4" w:space="0" w:color="ED7C5D"/>
              <w:left w:val="nil"/>
              <w:bottom w:val="double" w:sz="4" w:space="0" w:color="ED7C5D"/>
              <w:right w:val="nil"/>
            </w:tcBorders>
            <w:shd w:val="clear" w:color="000000" w:fill="FFFFFF"/>
            <w:noWrap/>
            <w:vAlign w:val="center"/>
          </w:tcPr>
          <w:p w14:paraId="04B050FF" w14:textId="77777777" w:rsidR="00A25E2C" w:rsidRPr="00503F5B" w:rsidRDefault="00A25E2C" w:rsidP="00A25E2C">
            <w:pPr>
              <w:rPr>
                <w:rFonts w:eastAsia="Times New Roman" w:cs="Times New Roman"/>
                <w:b/>
                <w:color w:val="BE2A18"/>
                <w:sz w:val="20"/>
                <w:szCs w:val="20"/>
              </w:rPr>
            </w:pPr>
            <w:r w:rsidRPr="00503F5B">
              <w:rPr>
                <w:rFonts w:eastAsia="Times New Roman" w:cs="Times New Roman"/>
                <w:b/>
                <w:color w:val="BE2A18"/>
                <w:sz w:val="20"/>
                <w:szCs w:val="20"/>
              </w:rPr>
              <w:t>Activity/service</w:t>
            </w:r>
          </w:p>
        </w:tc>
        <w:tc>
          <w:tcPr>
            <w:tcW w:w="1943" w:type="dxa"/>
            <w:tcBorders>
              <w:top w:val="single" w:sz="4" w:space="0" w:color="ED7C5D"/>
              <w:left w:val="nil"/>
              <w:bottom w:val="double" w:sz="4" w:space="0" w:color="ED7C5D"/>
              <w:right w:val="nil"/>
            </w:tcBorders>
          </w:tcPr>
          <w:p w14:paraId="076D0E5F" w14:textId="7268A0D7" w:rsidR="00A25E2C" w:rsidRPr="00503F5B" w:rsidRDefault="00A25E2C" w:rsidP="00A25E2C">
            <w:pPr>
              <w:jc w:val="center"/>
              <w:rPr>
                <w:rFonts w:eastAsia="Times New Roman" w:cs="Times New Roman"/>
                <w:b/>
                <w:color w:val="BE2A18"/>
                <w:sz w:val="20"/>
                <w:szCs w:val="20"/>
              </w:rPr>
            </w:pPr>
            <w:r w:rsidRPr="00503F5B">
              <w:rPr>
                <w:rFonts w:eastAsia="Times New Roman" w:cs="Times New Roman"/>
                <w:b/>
                <w:color w:val="BE2A18"/>
                <w:sz w:val="20"/>
                <w:szCs w:val="20"/>
              </w:rPr>
              <w:t>Metropolitan Fire Brigade (General) Interim Regulations 2019 (Reg. No)</w:t>
            </w:r>
          </w:p>
        </w:tc>
        <w:tc>
          <w:tcPr>
            <w:tcW w:w="1459" w:type="dxa"/>
            <w:tcBorders>
              <w:top w:val="single" w:sz="4" w:space="0" w:color="ED7C5D"/>
              <w:left w:val="nil"/>
              <w:bottom w:val="double" w:sz="4" w:space="0" w:color="ED7C5D"/>
              <w:right w:val="nil"/>
            </w:tcBorders>
            <w:shd w:val="clear" w:color="auto" w:fill="auto"/>
            <w:noWrap/>
            <w:vAlign w:val="bottom"/>
          </w:tcPr>
          <w:p w14:paraId="7B1FFA8F" w14:textId="32EF56CF" w:rsidR="00A25E2C" w:rsidRPr="00503F5B" w:rsidRDefault="00A25E2C" w:rsidP="00A25E2C">
            <w:pPr>
              <w:jc w:val="center"/>
              <w:rPr>
                <w:rFonts w:eastAsia="Times New Roman" w:cs="Times New Roman"/>
                <w:b/>
                <w:color w:val="BE2A18"/>
                <w:sz w:val="20"/>
                <w:szCs w:val="20"/>
              </w:rPr>
            </w:pPr>
            <w:r w:rsidRPr="00503F5B">
              <w:rPr>
                <w:rFonts w:eastAsia="Times New Roman" w:cs="Times New Roman"/>
                <w:b/>
                <w:color w:val="BE2A18"/>
                <w:sz w:val="20"/>
                <w:szCs w:val="20"/>
              </w:rPr>
              <w:t>Country Fire Authority Regulations 2014 (Reg. No)</w:t>
            </w:r>
          </w:p>
        </w:tc>
        <w:tc>
          <w:tcPr>
            <w:tcW w:w="2693" w:type="dxa"/>
            <w:tcBorders>
              <w:top w:val="single" w:sz="4" w:space="0" w:color="ED7C5D"/>
              <w:left w:val="nil"/>
              <w:bottom w:val="double" w:sz="4" w:space="0" w:color="ED7C5D"/>
              <w:right w:val="nil"/>
            </w:tcBorders>
          </w:tcPr>
          <w:p w14:paraId="1DD7C422" w14:textId="7694044A" w:rsidR="00A25E2C" w:rsidRPr="00503F5B" w:rsidRDefault="00A25E2C" w:rsidP="00A25E2C">
            <w:pPr>
              <w:jc w:val="center"/>
              <w:rPr>
                <w:rFonts w:eastAsia="Times New Roman" w:cs="Times New Roman"/>
                <w:b/>
                <w:color w:val="BE2A18"/>
                <w:sz w:val="20"/>
                <w:szCs w:val="20"/>
              </w:rPr>
            </w:pPr>
            <w:r w:rsidRPr="00503F5B">
              <w:rPr>
                <w:rFonts w:eastAsia="Times New Roman" w:cs="Times New Roman"/>
                <w:b/>
                <w:color w:val="BE2A18"/>
                <w:sz w:val="20"/>
                <w:szCs w:val="20"/>
              </w:rPr>
              <w:t>Method</w:t>
            </w:r>
          </w:p>
        </w:tc>
      </w:tr>
      <w:tr w:rsidR="00A25E2C" w:rsidRPr="00503F5B" w14:paraId="34F63797" w14:textId="798C0F8F" w:rsidTr="009917B8">
        <w:trPr>
          <w:trHeight w:val="545"/>
        </w:trPr>
        <w:tc>
          <w:tcPr>
            <w:tcW w:w="2268" w:type="dxa"/>
            <w:tcBorders>
              <w:top w:val="double" w:sz="4" w:space="0" w:color="ED7C5D"/>
              <w:left w:val="nil"/>
              <w:bottom w:val="nil"/>
              <w:right w:val="nil"/>
            </w:tcBorders>
            <w:shd w:val="clear" w:color="000000" w:fill="FFFFFF"/>
            <w:noWrap/>
            <w:vAlign w:val="center"/>
          </w:tcPr>
          <w:p w14:paraId="5FE0D1FC" w14:textId="31095426" w:rsidR="00A25E2C" w:rsidRPr="00503F5B" w:rsidRDefault="00A25E2C" w:rsidP="00A25E2C">
            <w:pPr>
              <w:rPr>
                <w:rFonts w:eastAsia="Times New Roman" w:cs="Times New Roman"/>
                <w:i/>
                <w:iCs/>
                <w:sz w:val="20"/>
                <w:szCs w:val="20"/>
              </w:rPr>
            </w:pPr>
            <w:r w:rsidRPr="00503F5B">
              <w:rPr>
                <w:i/>
                <w:iCs/>
                <w:sz w:val="20"/>
                <w:szCs w:val="20"/>
              </w:rPr>
              <w:t>Emergency attendances</w:t>
            </w:r>
          </w:p>
        </w:tc>
        <w:tc>
          <w:tcPr>
            <w:tcW w:w="1943" w:type="dxa"/>
            <w:tcBorders>
              <w:top w:val="double" w:sz="4" w:space="0" w:color="ED7C5D"/>
              <w:left w:val="nil"/>
              <w:bottom w:val="nil"/>
              <w:right w:val="nil"/>
            </w:tcBorders>
            <w:vAlign w:val="center"/>
          </w:tcPr>
          <w:p w14:paraId="3CED1246" w14:textId="76465EF3" w:rsidR="00A25E2C" w:rsidRPr="00503F5B" w:rsidRDefault="00A25E2C" w:rsidP="00BA50C0">
            <w:pPr>
              <w:jc w:val="center"/>
              <w:rPr>
                <w:rFonts w:eastAsia="Times New Roman" w:cs="Times New Roman"/>
                <w:sz w:val="20"/>
                <w:szCs w:val="20"/>
              </w:rPr>
            </w:pPr>
            <w:r w:rsidRPr="00503F5B">
              <w:rPr>
                <w:rFonts w:eastAsia="Times New Roman" w:cs="Times New Roman"/>
                <w:sz w:val="20"/>
                <w:szCs w:val="20"/>
              </w:rPr>
              <w:t>Reg. 1</w:t>
            </w:r>
            <w:r w:rsidR="00EA38F8" w:rsidRPr="00503F5B">
              <w:rPr>
                <w:rFonts w:eastAsia="Times New Roman" w:cs="Times New Roman"/>
                <w:sz w:val="20"/>
                <w:szCs w:val="20"/>
              </w:rPr>
              <w:t>7</w:t>
            </w:r>
          </w:p>
        </w:tc>
        <w:tc>
          <w:tcPr>
            <w:tcW w:w="1459" w:type="dxa"/>
            <w:tcBorders>
              <w:top w:val="double" w:sz="4" w:space="0" w:color="ED7C5D"/>
              <w:left w:val="nil"/>
              <w:bottom w:val="nil"/>
              <w:right w:val="nil"/>
            </w:tcBorders>
            <w:shd w:val="clear" w:color="auto" w:fill="auto"/>
            <w:noWrap/>
            <w:vAlign w:val="center"/>
          </w:tcPr>
          <w:p w14:paraId="4EE4A762" w14:textId="3380D0A8" w:rsidR="00A25E2C" w:rsidRPr="00503F5B" w:rsidRDefault="00A25E2C" w:rsidP="00BA50C0">
            <w:pPr>
              <w:jc w:val="center"/>
              <w:rPr>
                <w:rFonts w:eastAsia="Times New Roman" w:cs="Times New Roman"/>
                <w:sz w:val="20"/>
                <w:szCs w:val="20"/>
              </w:rPr>
            </w:pPr>
            <w:r w:rsidRPr="00503F5B">
              <w:rPr>
                <w:rFonts w:eastAsia="Times New Roman" w:cs="Times New Roman"/>
                <w:sz w:val="20"/>
                <w:szCs w:val="20"/>
              </w:rPr>
              <w:t>Reg. 101</w:t>
            </w:r>
          </w:p>
        </w:tc>
        <w:tc>
          <w:tcPr>
            <w:tcW w:w="2693" w:type="dxa"/>
            <w:tcBorders>
              <w:top w:val="double" w:sz="4" w:space="0" w:color="ED7C5D"/>
              <w:left w:val="nil"/>
              <w:bottom w:val="nil"/>
              <w:right w:val="nil"/>
            </w:tcBorders>
            <w:vAlign w:val="center"/>
          </w:tcPr>
          <w:p w14:paraId="5D048E13" w14:textId="77777777" w:rsidR="007D4884" w:rsidRPr="00503F5B" w:rsidRDefault="00A25E2C" w:rsidP="00A25E2C">
            <w:pPr>
              <w:jc w:val="center"/>
              <w:rPr>
                <w:rFonts w:eastAsia="Times New Roman" w:cs="Times New Roman"/>
                <w:sz w:val="20"/>
                <w:szCs w:val="20"/>
              </w:rPr>
            </w:pPr>
            <w:r w:rsidRPr="00503F5B">
              <w:rPr>
                <w:rFonts w:eastAsia="Times New Roman" w:cs="Times New Roman"/>
                <w:sz w:val="20"/>
                <w:szCs w:val="20"/>
              </w:rPr>
              <w:t>Prescribed fee units</w:t>
            </w:r>
            <w:r w:rsidR="007D4884" w:rsidRPr="00503F5B">
              <w:rPr>
                <w:rFonts w:eastAsia="Times New Roman" w:cs="Times New Roman"/>
                <w:sz w:val="20"/>
                <w:szCs w:val="20"/>
              </w:rPr>
              <w:t xml:space="preserve"> (39.06 fee units (MFB) </w:t>
            </w:r>
          </w:p>
          <w:p w14:paraId="0D3DDE88" w14:textId="1702AF1C" w:rsidR="00A25E2C" w:rsidRPr="00503F5B" w:rsidRDefault="007D4884" w:rsidP="00A25E2C">
            <w:pPr>
              <w:jc w:val="center"/>
              <w:rPr>
                <w:rFonts w:eastAsia="Times New Roman" w:cs="Times New Roman"/>
                <w:sz w:val="20"/>
                <w:szCs w:val="20"/>
              </w:rPr>
            </w:pPr>
            <w:r w:rsidRPr="00503F5B">
              <w:rPr>
                <w:rFonts w:eastAsia="Times New Roman" w:cs="Times New Roman"/>
                <w:sz w:val="20"/>
                <w:szCs w:val="20"/>
              </w:rPr>
              <w:t>and 39.45 fee units (CFA)</w:t>
            </w:r>
          </w:p>
        </w:tc>
      </w:tr>
      <w:tr w:rsidR="00A25E2C" w:rsidRPr="00503F5B" w14:paraId="479CB253" w14:textId="198ECB5E" w:rsidTr="009917B8">
        <w:trPr>
          <w:trHeight w:val="1647"/>
        </w:trPr>
        <w:tc>
          <w:tcPr>
            <w:tcW w:w="2268" w:type="dxa"/>
            <w:tcBorders>
              <w:top w:val="nil"/>
              <w:left w:val="nil"/>
              <w:bottom w:val="nil"/>
              <w:right w:val="nil"/>
            </w:tcBorders>
            <w:shd w:val="clear" w:color="auto" w:fill="FBE4D5" w:themeFill="accent2" w:themeFillTint="33"/>
            <w:noWrap/>
            <w:vAlign w:val="center"/>
          </w:tcPr>
          <w:p w14:paraId="3BF558CE" w14:textId="22972B19" w:rsidR="00A25E2C" w:rsidRPr="00503F5B" w:rsidRDefault="00A25E2C" w:rsidP="00A25E2C">
            <w:pPr>
              <w:rPr>
                <w:i/>
                <w:iCs/>
                <w:sz w:val="20"/>
                <w:szCs w:val="20"/>
              </w:rPr>
            </w:pPr>
            <w:r w:rsidRPr="00503F5B">
              <w:rPr>
                <w:i/>
                <w:iCs/>
                <w:sz w:val="20"/>
                <w:szCs w:val="20"/>
              </w:rPr>
              <w:t xml:space="preserve">Additional costs of hazardous materials and toxic fire incidents </w:t>
            </w:r>
            <w:r w:rsidRPr="00503F5B">
              <w:rPr>
                <w:sz w:val="20"/>
                <w:szCs w:val="20"/>
              </w:rPr>
              <w:t>(MFB)</w:t>
            </w:r>
          </w:p>
          <w:p w14:paraId="401772A6" w14:textId="77777777" w:rsidR="007D4884" w:rsidRPr="00503F5B" w:rsidRDefault="00A25E2C" w:rsidP="00A25E2C">
            <w:pPr>
              <w:rPr>
                <w:sz w:val="20"/>
                <w:szCs w:val="20"/>
              </w:rPr>
            </w:pPr>
            <w:r w:rsidRPr="00503F5B">
              <w:rPr>
                <w:sz w:val="20"/>
                <w:szCs w:val="20"/>
              </w:rPr>
              <w:t xml:space="preserve"> </w:t>
            </w:r>
          </w:p>
          <w:p w14:paraId="64BF5F4A" w14:textId="48F6D35D" w:rsidR="00A25E2C" w:rsidRPr="00503F5B" w:rsidRDefault="00A25E2C" w:rsidP="00A25E2C">
            <w:pPr>
              <w:rPr>
                <w:rFonts w:eastAsia="Times New Roman" w:cs="Times New Roman"/>
                <w:sz w:val="20"/>
                <w:szCs w:val="20"/>
              </w:rPr>
            </w:pPr>
            <w:r w:rsidRPr="00503F5B">
              <w:rPr>
                <w:i/>
                <w:iCs/>
                <w:sz w:val="20"/>
                <w:szCs w:val="20"/>
              </w:rPr>
              <w:t xml:space="preserve">The additional cost of attending a hazardous material incident </w:t>
            </w:r>
            <w:r w:rsidRPr="00503F5B">
              <w:rPr>
                <w:sz w:val="20"/>
                <w:szCs w:val="20"/>
              </w:rPr>
              <w:t>(CFA)</w:t>
            </w:r>
          </w:p>
        </w:tc>
        <w:tc>
          <w:tcPr>
            <w:tcW w:w="1943" w:type="dxa"/>
            <w:tcBorders>
              <w:top w:val="nil"/>
              <w:left w:val="nil"/>
              <w:bottom w:val="nil"/>
              <w:right w:val="nil"/>
            </w:tcBorders>
            <w:shd w:val="clear" w:color="auto" w:fill="FBE4D5" w:themeFill="accent2" w:themeFillTint="33"/>
            <w:vAlign w:val="center"/>
          </w:tcPr>
          <w:p w14:paraId="324AF85D" w14:textId="43F33653" w:rsidR="00A25E2C" w:rsidRPr="00503F5B" w:rsidRDefault="00A25E2C" w:rsidP="00BA50C0">
            <w:pPr>
              <w:jc w:val="center"/>
              <w:rPr>
                <w:rFonts w:eastAsia="Times New Roman" w:cs="Times New Roman"/>
                <w:sz w:val="20"/>
                <w:szCs w:val="20"/>
              </w:rPr>
            </w:pPr>
            <w:r w:rsidRPr="00503F5B">
              <w:rPr>
                <w:rFonts w:eastAsia="Times New Roman" w:cs="Times New Roman"/>
                <w:sz w:val="20"/>
                <w:szCs w:val="20"/>
              </w:rPr>
              <w:t>Reg. 1</w:t>
            </w:r>
            <w:r w:rsidR="00EA38F8" w:rsidRPr="00503F5B">
              <w:rPr>
                <w:rFonts w:eastAsia="Times New Roman" w:cs="Times New Roman"/>
                <w:sz w:val="20"/>
                <w:szCs w:val="20"/>
              </w:rPr>
              <w:t>8</w:t>
            </w:r>
          </w:p>
        </w:tc>
        <w:tc>
          <w:tcPr>
            <w:tcW w:w="1459" w:type="dxa"/>
            <w:tcBorders>
              <w:top w:val="nil"/>
              <w:left w:val="nil"/>
              <w:bottom w:val="nil"/>
              <w:right w:val="nil"/>
            </w:tcBorders>
            <w:shd w:val="clear" w:color="auto" w:fill="FBE4D5" w:themeFill="accent2" w:themeFillTint="33"/>
            <w:noWrap/>
            <w:vAlign w:val="center"/>
          </w:tcPr>
          <w:p w14:paraId="1CB78602" w14:textId="2B6EAFAD" w:rsidR="00A25E2C" w:rsidRPr="00503F5B" w:rsidRDefault="00A25E2C" w:rsidP="00BA50C0">
            <w:pPr>
              <w:jc w:val="center"/>
              <w:rPr>
                <w:rFonts w:eastAsia="Times New Roman" w:cs="Times New Roman"/>
                <w:sz w:val="20"/>
                <w:szCs w:val="20"/>
              </w:rPr>
            </w:pPr>
            <w:r w:rsidRPr="00503F5B">
              <w:rPr>
                <w:rFonts w:eastAsia="Times New Roman" w:cs="Times New Roman"/>
                <w:sz w:val="20"/>
                <w:szCs w:val="20"/>
              </w:rPr>
              <w:t>Reg. 101(5)</w:t>
            </w:r>
          </w:p>
        </w:tc>
        <w:tc>
          <w:tcPr>
            <w:tcW w:w="2693" w:type="dxa"/>
            <w:tcBorders>
              <w:top w:val="nil"/>
              <w:left w:val="nil"/>
              <w:bottom w:val="nil"/>
              <w:right w:val="nil"/>
            </w:tcBorders>
            <w:shd w:val="clear" w:color="auto" w:fill="FBE4D5" w:themeFill="accent2" w:themeFillTint="33"/>
            <w:vAlign w:val="center"/>
          </w:tcPr>
          <w:p w14:paraId="161CA553" w14:textId="56DC600C" w:rsidR="00A25E2C" w:rsidRPr="00503F5B" w:rsidRDefault="00A25E2C" w:rsidP="00A25E2C">
            <w:pPr>
              <w:jc w:val="center"/>
              <w:rPr>
                <w:rFonts w:eastAsia="Times New Roman" w:cs="Times New Roman"/>
                <w:sz w:val="20"/>
                <w:szCs w:val="20"/>
              </w:rPr>
            </w:pPr>
            <w:r w:rsidRPr="00503F5B">
              <w:rPr>
                <w:rFonts w:eastAsia="Times New Roman" w:cs="Times New Roman"/>
                <w:sz w:val="20"/>
                <w:szCs w:val="20"/>
              </w:rPr>
              <w:t>Set</w:t>
            </w:r>
            <w:r w:rsidRPr="00503F5B">
              <w:t xml:space="preserve"> </w:t>
            </w:r>
            <w:r w:rsidRPr="00503F5B">
              <w:rPr>
                <w:rFonts w:eastAsia="Times New Roman" w:cs="Times New Roman"/>
                <w:sz w:val="20"/>
                <w:szCs w:val="20"/>
              </w:rPr>
              <w:t>administratively</w:t>
            </w:r>
            <w:r w:rsidR="00BA50C0" w:rsidRPr="00503F5B">
              <w:rPr>
                <w:rFonts w:eastAsia="Times New Roman" w:cs="Times New Roman"/>
                <w:sz w:val="20"/>
                <w:szCs w:val="20"/>
              </w:rPr>
              <w:t xml:space="preserve"> by the Board</w:t>
            </w:r>
            <w:r w:rsidR="007D4884" w:rsidRPr="00503F5B">
              <w:rPr>
                <w:rFonts w:eastAsia="Times New Roman" w:cs="Times New Roman"/>
                <w:sz w:val="20"/>
                <w:szCs w:val="20"/>
              </w:rPr>
              <w:t xml:space="preserve"> (MFB)</w:t>
            </w:r>
            <w:r w:rsidR="00BA50C0" w:rsidRPr="00503F5B">
              <w:rPr>
                <w:rFonts w:eastAsia="Times New Roman" w:cs="Times New Roman"/>
                <w:sz w:val="20"/>
                <w:szCs w:val="20"/>
              </w:rPr>
              <w:t>/Authority</w:t>
            </w:r>
            <w:r w:rsidR="007D4884" w:rsidRPr="00503F5B">
              <w:rPr>
                <w:rFonts w:eastAsia="Times New Roman" w:cs="Times New Roman"/>
                <w:sz w:val="20"/>
                <w:szCs w:val="20"/>
              </w:rPr>
              <w:t xml:space="preserve"> (CFA)</w:t>
            </w:r>
          </w:p>
        </w:tc>
      </w:tr>
      <w:tr w:rsidR="00A25E2C" w:rsidRPr="00503F5B" w14:paraId="5E967DC4" w14:textId="63FF2243" w:rsidTr="009917B8">
        <w:trPr>
          <w:trHeight w:val="582"/>
        </w:trPr>
        <w:tc>
          <w:tcPr>
            <w:tcW w:w="2268" w:type="dxa"/>
            <w:tcBorders>
              <w:top w:val="nil"/>
              <w:left w:val="nil"/>
              <w:bottom w:val="nil"/>
              <w:right w:val="nil"/>
            </w:tcBorders>
            <w:shd w:val="clear" w:color="000000" w:fill="FFFFFF"/>
            <w:noWrap/>
            <w:vAlign w:val="center"/>
          </w:tcPr>
          <w:p w14:paraId="6171EB73" w14:textId="1DCE926C" w:rsidR="00A25E2C" w:rsidRPr="00503F5B" w:rsidRDefault="00A25E2C" w:rsidP="00A25E2C">
            <w:pPr>
              <w:rPr>
                <w:rFonts w:eastAsia="Times New Roman" w:cs="Times New Roman"/>
                <w:i/>
                <w:iCs/>
                <w:sz w:val="20"/>
                <w:szCs w:val="20"/>
              </w:rPr>
            </w:pPr>
            <w:r w:rsidRPr="00503F5B">
              <w:rPr>
                <w:i/>
                <w:iCs/>
                <w:sz w:val="20"/>
                <w:szCs w:val="20"/>
              </w:rPr>
              <w:lastRenderedPageBreak/>
              <w:t>Property protection and loss mitigation service</w:t>
            </w:r>
            <w:r w:rsidR="00BA50C0" w:rsidRPr="00503F5B">
              <w:rPr>
                <w:i/>
                <w:iCs/>
                <w:sz w:val="20"/>
                <w:szCs w:val="20"/>
              </w:rPr>
              <w:t>s</w:t>
            </w:r>
          </w:p>
        </w:tc>
        <w:tc>
          <w:tcPr>
            <w:tcW w:w="1943" w:type="dxa"/>
            <w:tcBorders>
              <w:top w:val="nil"/>
              <w:left w:val="nil"/>
              <w:bottom w:val="nil"/>
              <w:right w:val="nil"/>
            </w:tcBorders>
            <w:vAlign w:val="center"/>
          </w:tcPr>
          <w:p w14:paraId="48912C7E" w14:textId="79531743" w:rsidR="00A25E2C" w:rsidRPr="00503F5B" w:rsidRDefault="00A25E2C" w:rsidP="00BA50C0">
            <w:pPr>
              <w:jc w:val="center"/>
              <w:rPr>
                <w:rFonts w:eastAsia="Times New Roman" w:cs="Times New Roman"/>
                <w:sz w:val="20"/>
                <w:szCs w:val="20"/>
              </w:rPr>
            </w:pPr>
            <w:r w:rsidRPr="00503F5B">
              <w:rPr>
                <w:rFonts w:eastAsia="Times New Roman" w:cs="Times New Roman"/>
                <w:sz w:val="20"/>
                <w:szCs w:val="20"/>
              </w:rPr>
              <w:t>Reg.</w:t>
            </w:r>
            <w:r w:rsidR="00EA38F8" w:rsidRPr="00503F5B">
              <w:rPr>
                <w:rFonts w:eastAsia="Times New Roman" w:cs="Times New Roman"/>
                <w:sz w:val="20"/>
                <w:szCs w:val="20"/>
              </w:rPr>
              <w:t>19</w:t>
            </w:r>
          </w:p>
        </w:tc>
        <w:tc>
          <w:tcPr>
            <w:tcW w:w="1459" w:type="dxa"/>
            <w:tcBorders>
              <w:top w:val="nil"/>
              <w:left w:val="nil"/>
              <w:bottom w:val="nil"/>
              <w:right w:val="nil"/>
            </w:tcBorders>
            <w:shd w:val="clear" w:color="auto" w:fill="auto"/>
            <w:noWrap/>
            <w:vAlign w:val="center"/>
          </w:tcPr>
          <w:p w14:paraId="6A6277B0" w14:textId="4F091E46" w:rsidR="00A25E2C" w:rsidRPr="00503F5B" w:rsidRDefault="00BA50C0" w:rsidP="00BA50C0">
            <w:pPr>
              <w:jc w:val="center"/>
              <w:rPr>
                <w:rFonts w:eastAsia="Times New Roman" w:cs="Times New Roman"/>
                <w:sz w:val="20"/>
                <w:szCs w:val="20"/>
              </w:rPr>
            </w:pPr>
            <w:r w:rsidRPr="00503F5B">
              <w:rPr>
                <w:rFonts w:eastAsia="Times New Roman" w:cs="Times New Roman"/>
                <w:sz w:val="20"/>
                <w:szCs w:val="20"/>
              </w:rPr>
              <w:t>Reg. 102</w:t>
            </w:r>
          </w:p>
        </w:tc>
        <w:tc>
          <w:tcPr>
            <w:tcW w:w="2693" w:type="dxa"/>
            <w:tcBorders>
              <w:top w:val="nil"/>
              <w:left w:val="nil"/>
              <w:bottom w:val="nil"/>
              <w:right w:val="nil"/>
            </w:tcBorders>
            <w:vAlign w:val="center"/>
          </w:tcPr>
          <w:p w14:paraId="4DD25E9F" w14:textId="234096D7" w:rsidR="00A25E2C" w:rsidRPr="00503F5B" w:rsidRDefault="007D4884" w:rsidP="00A25E2C">
            <w:pPr>
              <w:jc w:val="center"/>
              <w:rPr>
                <w:rFonts w:eastAsia="Times New Roman" w:cs="Times New Roman"/>
                <w:sz w:val="20"/>
                <w:szCs w:val="20"/>
              </w:rPr>
            </w:pPr>
            <w:r w:rsidRPr="00503F5B">
              <w:rPr>
                <w:rFonts w:eastAsia="Times New Roman" w:cs="Times New Roman"/>
                <w:sz w:val="20"/>
                <w:szCs w:val="20"/>
              </w:rPr>
              <w:t>Set administratively by the Board (MFB)/Authority (CFA)</w:t>
            </w:r>
          </w:p>
        </w:tc>
      </w:tr>
      <w:tr w:rsidR="00A25E2C" w:rsidRPr="00503F5B" w14:paraId="6AC05AF7" w14:textId="34E757F3" w:rsidTr="009917B8">
        <w:trPr>
          <w:trHeight w:val="785"/>
        </w:trPr>
        <w:tc>
          <w:tcPr>
            <w:tcW w:w="2268" w:type="dxa"/>
            <w:tcBorders>
              <w:top w:val="nil"/>
              <w:left w:val="nil"/>
              <w:bottom w:val="nil"/>
              <w:right w:val="nil"/>
            </w:tcBorders>
            <w:shd w:val="clear" w:color="auto" w:fill="FBE4D5" w:themeFill="accent2" w:themeFillTint="33"/>
            <w:noWrap/>
            <w:vAlign w:val="center"/>
          </w:tcPr>
          <w:p w14:paraId="16D53852" w14:textId="77777777" w:rsidR="00A25E2C" w:rsidRPr="00503F5B" w:rsidRDefault="00BA50C0" w:rsidP="00BA50C0">
            <w:pPr>
              <w:rPr>
                <w:rFonts w:eastAsia="Times New Roman" w:cs="Times New Roman"/>
                <w:sz w:val="20"/>
                <w:szCs w:val="20"/>
              </w:rPr>
            </w:pPr>
            <w:r w:rsidRPr="00503F5B">
              <w:rPr>
                <w:rFonts w:eastAsia="Times New Roman" w:cs="Times New Roman"/>
                <w:i/>
                <w:iCs/>
                <w:sz w:val="20"/>
                <w:szCs w:val="20"/>
              </w:rPr>
              <w:t>Road accident rescue services</w:t>
            </w:r>
            <w:r w:rsidRPr="00503F5B">
              <w:rPr>
                <w:rFonts w:eastAsia="Times New Roman" w:cs="Times New Roman"/>
                <w:sz w:val="20"/>
                <w:szCs w:val="20"/>
              </w:rPr>
              <w:t xml:space="preserve"> (MFB) </w:t>
            </w:r>
          </w:p>
          <w:p w14:paraId="3F2F458C" w14:textId="77777777" w:rsidR="007D4884" w:rsidRPr="00503F5B" w:rsidRDefault="007D4884" w:rsidP="00BA50C0">
            <w:pPr>
              <w:rPr>
                <w:rFonts w:eastAsia="Times New Roman" w:cs="Times New Roman"/>
                <w:sz w:val="20"/>
                <w:szCs w:val="20"/>
              </w:rPr>
            </w:pPr>
          </w:p>
          <w:p w14:paraId="7C2A3980" w14:textId="5E96184E" w:rsidR="00BA50C0" w:rsidRPr="00503F5B" w:rsidRDefault="00BA50C0" w:rsidP="00BA50C0">
            <w:pPr>
              <w:rPr>
                <w:rFonts w:eastAsia="Times New Roman" w:cs="Times New Roman"/>
                <w:sz w:val="20"/>
                <w:szCs w:val="20"/>
              </w:rPr>
            </w:pPr>
            <w:r w:rsidRPr="00503F5B">
              <w:rPr>
                <w:rFonts w:eastAsia="Times New Roman" w:cs="Times New Roman"/>
                <w:i/>
                <w:iCs/>
                <w:sz w:val="20"/>
                <w:szCs w:val="20"/>
              </w:rPr>
              <w:t>Road accident rescue</w:t>
            </w:r>
            <w:r w:rsidRPr="00503F5B">
              <w:rPr>
                <w:rFonts w:eastAsia="Times New Roman" w:cs="Times New Roman"/>
                <w:sz w:val="20"/>
                <w:szCs w:val="20"/>
              </w:rPr>
              <w:t xml:space="preserve"> (CFA)</w:t>
            </w:r>
          </w:p>
        </w:tc>
        <w:tc>
          <w:tcPr>
            <w:tcW w:w="1943" w:type="dxa"/>
            <w:tcBorders>
              <w:top w:val="nil"/>
              <w:left w:val="nil"/>
              <w:bottom w:val="nil"/>
              <w:right w:val="nil"/>
            </w:tcBorders>
            <w:shd w:val="clear" w:color="auto" w:fill="FBE4D5" w:themeFill="accent2" w:themeFillTint="33"/>
            <w:vAlign w:val="center"/>
          </w:tcPr>
          <w:p w14:paraId="6AFB5835" w14:textId="202EC2F0" w:rsidR="00A25E2C" w:rsidRPr="00503F5B" w:rsidRDefault="00BA50C0" w:rsidP="00BA50C0">
            <w:pPr>
              <w:jc w:val="center"/>
              <w:rPr>
                <w:rFonts w:eastAsia="Times New Roman" w:cs="Times New Roman"/>
                <w:sz w:val="20"/>
                <w:szCs w:val="20"/>
              </w:rPr>
            </w:pPr>
            <w:r w:rsidRPr="00503F5B">
              <w:rPr>
                <w:rFonts w:eastAsia="Times New Roman" w:cs="Times New Roman"/>
                <w:sz w:val="20"/>
                <w:szCs w:val="20"/>
              </w:rPr>
              <w:t>Reg.2</w:t>
            </w:r>
            <w:r w:rsidR="00EA38F8" w:rsidRPr="00503F5B">
              <w:rPr>
                <w:rFonts w:eastAsia="Times New Roman" w:cs="Times New Roman"/>
                <w:sz w:val="20"/>
                <w:szCs w:val="20"/>
              </w:rPr>
              <w:t>0</w:t>
            </w:r>
          </w:p>
        </w:tc>
        <w:tc>
          <w:tcPr>
            <w:tcW w:w="1459" w:type="dxa"/>
            <w:tcBorders>
              <w:top w:val="nil"/>
              <w:left w:val="nil"/>
              <w:bottom w:val="nil"/>
              <w:right w:val="nil"/>
            </w:tcBorders>
            <w:shd w:val="clear" w:color="auto" w:fill="FBE4D5" w:themeFill="accent2" w:themeFillTint="33"/>
            <w:noWrap/>
            <w:vAlign w:val="center"/>
          </w:tcPr>
          <w:p w14:paraId="7AECD550" w14:textId="5C955DF2" w:rsidR="00A25E2C" w:rsidRPr="00503F5B" w:rsidRDefault="00BA50C0" w:rsidP="00BA50C0">
            <w:pPr>
              <w:jc w:val="center"/>
              <w:rPr>
                <w:rFonts w:eastAsia="Times New Roman" w:cs="Times New Roman"/>
                <w:sz w:val="20"/>
                <w:szCs w:val="20"/>
              </w:rPr>
            </w:pPr>
            <w:r w:rsidRPr="00503F5B">
              <w:rPr>
                <w:rFonts w:eastAsia="Times New Roman" w:cs="Times New Roman"/>
                <w:sz w:val="20"/>
                <w:szCs w:val="20"/>
              </w:rPr>
              <w:t>Reg.103</w:t>
            </w:r>
          </w:p>
        </w:tc>
        <w:tc>
          <w:tcPr>
            <w:tcW w:w="2693" w:type="dxa"/>
            <w:tcBorders>
              <w:top w:val="nil"/>
              <w:left w:val="nil"/>
              <w:bottom w:val="nil"/>
              <w:right w:val="nil"/>
            </w:tcBorders>
            <w:shd w:val="clear" w:color="auto" w:fill="FBE4D5" w:themeFill="accent2" w:themeFillTint="33"/>
            <w:vAlign w:val="center"/>
          </w:tcPr>
          <w:p w14:paraId="2A25E783" w14:textId="14B51818" w:rsidR="00A25E2C" w:rsidRPr="00503F5B" w:rsidRDefault="007D4884" w:rsidP="00BA50C0">
            <w:pPr>
              <w:jc w:val="center"/>
              <w:rPr>
                <w:rFonts w:eastAsia="Times New Roman" w:cs="Times New Roman"/>
                <w:sz w:val="20"/>
                <w:szCs w:val="20"/>
              </w:rPr>
            </w:pPr>
            <w:r w:rsidRPr="00503F5B">
              <w:rPr>
                <w:rFonts w:eastAsia="Times New Roman" w:cs="Times New Roman"/>
                <w:sz w:val="20"/>
                <w:szCs w:val="20"/>
              </w:rPr>
              <w:t>Set administratively by the Board (MFB)/Authority (CFA)</w:t>
            </w:r>
          </w:p>
        </w:tc>
      </w:tr>
      <w:tr w:rsidR="00A25E2C" w:rsidRPr="00503F5B" w14:paraId="74C8D40B" w14:textId="0B2F4517" w:rsidTr="009917B8">
        <w:trPr>
          <w:trHeight w:val="69"/>
        </w:trPr>
        <w:tc>
          <w:tcPr>
            <w:tcW w:w="2268" w:type="dxa"/>
            <w:tcBorders>
              <w:top w:val="nil"/>
              <w:left w:val="nil"/>
              <w:bottom w:val="single" w:sz="4" w:space="0" w:color="ED7C5D"/>
              <w:right w:val="nil"/>
            </w:tcBorders>
            <w:shd w:val="clear" w:color="000000" w:fill="FFFFFF"/>
            <w:noWrap/>
            <w:vAlign w:val="center"/>
          </w:tcPr>
          <w:p w14:paraId="706EAE23" w14:textId="3028C2E8" w:rsidR="00EA10E4" w:rsidRPr="00503F5B" w:rsidRDefault="00EA10E4" w:rsidP="00A25E2C">
            <w:pPr>
              <w:rPr>
                <w:rFonts w:eastAsia="Times New Roman" w:cs="Times New Roman"/>
                <w:sz w:val="20"/>
                <w:szCs w:val="20"/>
              </w:rPr>
            </w:pPr>
            <w:r w:rsidRPr="00503F5B">
              <w:rPr>
                <w:rFonts w:eastAsia="Times New Roman" w:cs="Times New Roman"/>
                <w:i/>
                <w:iCs/>
                <w:sz w:val="20"/>
                <w:szCs w:val="20"/>
              </w:rPr>
              <w:t xml:space="preserve">Fire protection charges </w:t>
            </w:r>
            <w:r w:rsidRPr="00503F5B">
              <w:rPr>
                <w:rFonts w:eastAsia="Times New Roman" w:cs="Times New Roman"/>
                <w:sz w:val="20"/>
                <w:szCs w:val="20"/>
              </w:rPr>
              <w:t>(CFA)</w:t>
            </w:r>
          </w:p>
        </w:tc>
        <w:tc>
          <w:tcPr>
            <w:tcW w:w="1943" w:type="dxa"/>
            <w:tcBorders>
              <w:top w:val="nil"/>
              <w:left w:val="nil"/>
              <w:bottom w:val="single" w:sz="4" w:space="0" w:color="ED7C5D"/>
              <w:right w:val="nil"/>
            </w:tcBorders>
            <w:vAlign w:val="center"/>
          </w:tcPr>
          <w:p w14:paraId="445FE438" w14:textId="24167A2B" w:rsidR="00A25E2C" w:rsidRPr="00503F5B" w:rsidRDefault="00EA10E4" w:rsidP="00BA50C0">
            <w:pPr>
              <w:jc w:val="center"/>
              <w:rPr>
                <w:rFonts w:eastAsia="Times New Roman" w:cs="Times New Roman"/>
                <w:sz w:val="20"/>
                <w:szCs w:val="20"/>
              </w:rPr>
            </w:pPr>
            <w:r w:rsidRPr="00503F5B">
              <w:rPr>
                <w:rFonts w:eastAsia="Times New Roman" w:cs="Times New Roman"/>
                <w:sz w:val="20"/>
                <w:szCs w:val="20"/>
              </w:rPr>
              <w:t>N/A</w:t>
            </w:r>
          </w:p>
        </w:tc>
        <w:tc>
          <w:tcPr>
            <w:tcW w:w="1459" w:type="dxa"/>
            <w:tcBorders>
              <w:top w:val="nil"/>
              <w:left w:val="nil"/>
              <w:bottom w:val="single" w:sz="4" w:space="0" w:color="ED7C5D"/>
              <w:right w:val="nil"/>
            </w:tcBorders>
            <w:shd w:val="clear" w:color="auto" w:fill="auto"/>
            <w:noWrap/>
            <w:vAlign w:val="center"/>
          </w:tcPr>
          <w:p w14:paraId="611B70F2" w14:textId="0BED415C" w:rsidR="00A25E2C" w:rsidRPr="00503F5B" w:rsidRDefault="00EA10E4" w:rsidP="00BA50C0">
            <w:pPr>
              <w:jc w:val="center"/>
              <w:rPr>
                <w:rFonts w:eastAsia="Times New Roman" w:cs="Times New Roman"/>
                <w:sz w:val="20"/>
                <w:szCs w:val="20"/>
              </w:rPr>
            </w:pPr>
            <w:r w:rsidRPr="00503F5B">
              <w:rPr>
                <w:rFonts w:eastAsia="Times New Roman" w:cs="Times New Roman"/>
                <w:sz w:val="20"/>
                <w:szCs w:val="20"/>
              </w:rPr>
              <w:t>Reg.100</w:t>
            </w:r>
          </w:p>
        </w:tc>
        <w:tc>
          <w:tcPr>
            <w:tcW w:w="2693" w:type="dxa"/>
            <w:tcBorders>
              <w:top w:val="nil"/>
              <w:left w:val="nil"/>
              <w:bottom w:val="single" w:sz="4" w:space="0" w:color="ED7C5D"/>
              <w:right w:val="nil"/>
            </w:tcBorders>
            <w:vAlign w:val="center"/>
          </w:tcPr>
          <w:p w14:paraId="2F7A352F" w14:textId="63E18859" w:rsidR="00A25E2C" w:rsidRPr="00503F5B" w:rsidRDefault="007D4884" w:rsidP="00A25E2C">
            <w:pPr>
              <w:jc w:val="center"/>
              <w:rPr>
                <w:rFonts w:eastAsia="Times New Roman" w:cs="Times New Roman"/>
                <w:sz w:val="20"/>
                <w:szCs w:val="20"/>
              </w:rPr>
            </w:pPr>
            <w:r w:rsidRPr="00503F5B">
              <w:rPr>
                <w:rFonts w:eastAsia="Times New Roman" w:cs="Times New Roman"/>
                <w:sz w:val="20"/>
                <w:szCs w:val="20"/>
              </w:rPr>
              <w:t>Set administratively by the Board (MFB)/Authority (CFA)</w:t>
            </w:r>
          </w:p>
        </w:tc>
      </w:tr>
    </w:tbl>
    <w:p w14:paraId="20CB1D21" w14:textId="2B294DB6" w:rsidR="00DC189E" w:rsidRPr="00503F5B" w:rsidRDefault="00DC189E" w:rsidP="00F94B17">
      <w:pPr>
        <w:jc w:val="both"/>
      </w:pPr>
    </w:p>
    <w:p w14:paraId="69D37C06" w14:textId="216B3582" w:rsidR="009567E2" w:rsidRPr="00503F5B" w:rsidRDefault="008029C2" w:rsidP="009567E2">
      <w:pPr>
        <w:jc w:val="both"/>
      </w:pPr>
      <w:r w:rsidRPr="00503F5B">
        <w:t xml:space="preserve">As shown in Table 1, the existing regulations enable fees to be set administratively – except for fees for emergency attendances in the case of false alarms, which are prescribed. A false alarm </w:t>
      </w:r>
      <w:r w:rsidR="0024455A" w:rsidRPr="00503F5B">
        <w:t xml:space="preserve">is where </w:t>
      </w:r>
      <w:r w:rsidR="00595DFB" w:rsidRPr="00503F5B">
        <w:t>MFB</w:t>
      </w:r>
      <w:r w:rsidRPr="00503F5B">
        <w:t xml:space="preserve"> attends an incident to find there is no emergency and there is no need for their firefighting skills or other expertise.</w:t>
      </w:r>
      <w:r w:rsidRPr="00503F5B">
        <w:rPr>
          <w:rStyle w:val="FootnoteReference"/>
        </w:rPr>
        <w:footnoteReference w:id="10"/>
      </w:r>
      <w:r w:rsidR="009567E2" w:rsidRPr="00503F5B">
        <w:t xml:space="preserve"> </w:t>
      </w:r>
    </w:p>
    <w:p w14:paraId="3D4626E0" w14:textId="77777777" w:rsidR="009567E2" w:rsidRPr="00503F5B" w:rsidRDefault="009567E2" w:rsidP="009567E2">
      <w:pPr>
        <w:jc w:val="both"/>
      </w:pPr>
    </w:p>
    <w:p w14:paraId="7B4EADBF" w14:textId="1DD41B3E" w:rsidR="009567E2" w:rsidRPr="00503F5B" w:rsidRDefault="009567E2" w:rsidP="009567E2">
      <w:pPr>
        <w:jc w:val="both"/>
      </w:pPr>
      <w:r w:rsidRPr="00503F5B">
        <w:t xml:space="preserve">In addition, MFB can set a fee for </w:t>
      </w:r>
      <w:r w:rsidRPr="00503F5B">
        <w:rPr>
          <w:i/>
          <w:iCs/>
        </w:rPr>
        <w:t>fire protection services</w:t>
      </w:r>
      <w:r w:rsidRPr="00503F5B">
        <w:t xml:space="preserve"> </w:t>
      </w:r>
      <w:r w:rsidR="00595DFB" w:rsidRPr="00503F5B">
        <w:t xml:space="preserve">for </w:t>
      </w:r>
      <w:r w:rsidRPr="00503F5B">
        <w:t xml:space="preserve">matters relating to the Building Code of Australia and this fee was prescribed by Gazettal on 7 May in 2007 and made under </w:t>
      </w:r>
      <w:r w:rsidR="00595DFB" w:rsidRPr="00503F5B">
        <w:t>s</w:t>
      </w:r>
      <w:r w:rsidRPr="00503F5B">
        <w:t xml:space="preserve">ection 18 of the </w:t>
      </w:r>
      <w:r w:rsidRPr="00503F5B">
        <w:rPr>
          <w:i/>
          <w:iCs/>
        </w:rPr>
        <w:t>Building Act 1993</w:t>
      </w:r>
      <w:r w:rsidRPr="00503F5B">
        <w:t>.  However other activities in relation to fire protection services are not currently levied.</w:t>
      </w:r>
    </w:p>
    <w:p w14:paraId="6FCF66D1" w14:textId="1B34F46C" w:rsidR="008029C2" w:rsidRPr="00503F5B" w:rsidRDefault="008029C2" w:rsidP="00F94B17">
      <w:pPr>
        <w:jc w:val="both"/>
      </w:pPr>
    </w:p>
    <w:p w14:paraId="46F512B1" w14:textId="20016936" w:rsidR="009567E2" w:rsidRPr="00503F5B" w:rsidRDefault="009567E2" w:rsidP="00F94B17">
      <w:pPr>
        <w:jc w:val="both"/>
      </w:pPr>
      <w:r w:rsidRPr="00503F5B">
        <w:t xml:space="preserve">Table 2 illustrates the sources and amount of </w:t>
      </w:r>
      <w:proofErr w:type="gramStart"/>
      <w:r w:rsidRPr="00503F5B">
        <w:t>MFB</w:t>
      </w:r>
      <w:proofErr w:type="gramEnd"/>
      <w:r w:rsidRPr="00503F5B">
        <w:t xml:space="preserve"> and Country Fire Authority funding received in 2018-19.</w:t>
      </w:r>
    </w:p>
    <w:p w14:paraId="28B342F9" w14:textId="5EA0A5E3" w:rsidR="00DC189E" w:rsidRPr="00503F5B" w:rsidRDefault="00DC189E" w:rsidP="00F94B17">
      <w:pPr>
        <w:jc w:val="both"/>
      </w:pPr>
    </w:p>
    <w:p w14:paraId="114F3E59" w14:textId="24FBAC77" w:rsidR="009567E2" w:rsidRPr="00503F5B" w:rsidRDefault="009567E2" w:rsidP="009567E2">
      <w:pPr>
        <w:jc w:val="center"/>
        <w:rPr>
          <w:b/>
          <w:sz w:val="20"/>
          <w:szCs w:val="20"/>
        </w:rPr>
      </w:pPr>
      <w:r w:rsidRPr="00503F5B">
        <w:rPr>
          <w:b/>
          <w:sz w:val="20"/>
          <w:szCs w:val="20"/>
        </w:rPr>
        <w:t xml:space="preserve">Table 2: Total funds received by </w:t>
      </w:r>
      <w:r w:rsidR="00595DFB" w:rsidRPr="00503F5B">
        <w:rPr>
          <w:b/>
          <w:sz w:val="20"/>
          <w:szCs w:val="20"/>
        </w:rPr>
        <w:t>MFB</w:t>
      </w:r>
      <w:r w:rsidRPr="00503F5B">
        <w:rPr>
          <w:b/>
          <w:sz w:val="20"/>
          <w:szCs w:val="20"/>
        </w:rPr>
        <w:t xml:space="preserve"> Board and </w:t>
      </w:r>
      <w:r w:rsidR="008B48A4" w:rsidRPr="00503F5B">
        <w:rPr>
          <w:b/>
          <w:sz w:val="20"/>
          <w:szCs w:val="20"/>
        </w:rPr>
        <w:t xml:space="preserve">CFA </w:t>
      </w:r>
      <w:r w:rsidRPr="00503F5B">
        <w:rPr>
          <w:b/>
          <w:sz w:val="20"/>
          <w:szCs w:val="20"/>
        </w:rPr>
        <w:t>– 2018-19</w:t>
      </w:r>
      <w:r w:rsidR="002F221D" w:rsidRPr="00503F5B">
        <w:rPr>
          <w:rStyle w:val="FootnoteReference"/>
          <w:b/>
          <w:sz w:val="20"/>
          <w:szCs w:val="20"/>
        </w:rPr>
        <w:footnoteReference w:id="11"/>
      </w:r>
    </w:p>
    <w:p w14:paraId="78820F3A" w14:textId="308F2194" w:rsidR="00DC189E" w:rsidRPr="00503F5B" w:rsidRDefault="00DC189E" w:rsidP="00F94B17">
      <w:pPr>
        <w:jc w:val="both"/>
      </w:pPr>
    </w:p>
    <w:tbl>
      <w:tblPr>
        <w:tblW w:w="6804" w:type="dxa"/>
        <w:jc w:val="center"/>
        <w:tblLook w:val="04A0" w:firstRow="1" w:lastRow="0" w:firstColumn="1" w:lastColumn="0" w:noHBand="0" w:noVBand="1"/>
      </w:tblPr>
      <w:tblGrid>
        <w:gridCol w:w="4111"/>
        <w:gridCol w:w="1559"/>
        <w:gridCol w:w="1134"/>
      </w:tblGrid>
      <w:tr w:rsidR="009567E2" w:rsidRPr="00503F5B" w14:paraId="58FE9E50" w14:textId="77777777" w:rsidTr="009917B8">
        <w:trPr>
          <w:trHeight w:val="315"/>
          <w:tblHeader/>
          <w:jc w:val="center"/>
        </w:trPr>
        <w:tc>
          <w:tcPr>
            <w:tcW w:w="4111" w:type="dxa"/>
            <w:tcBorders>
              <w:top w:val="single" w:sz="4" w:space="0" w:color="ED7C5D"/>
              <w:bottom w:val="double" w:sz="4" w:space="0" w:color="ED7C5D"/>
            </w:tcBorders>
            <w:shd w:val="clear" w:color="auto" w:fill="auto"/>
            <w:noWrap/>
            <w:vAlign w:val="center"/>
            <w:hideMark/>
          </w:tcPr>
          <w:p w14:paraId="40AFD987" w14:textId="77777777" w:rsidR="009567E2" w:rsidRPr="00503F5B" w:rsidRDefault="009567E2" w:rsidP="009567E2">
            <w:pPr>
              <w:rPr>
                <w:rFonts w:eastAsia="Times New Roman" w:cs="Calibri"/>
                <w:b/>
                <w:bCs/>
                <w:color w:val="BE2A18"/>
                <w:sz w:val="20"/>
                <w:szCs w:val="20"/>
                <w:lang w:eastAsia="en-AU"/>
              </w:rPr>
            </w:pPr>
            <w:r w:rsidRPr="00503F5B">
              <w:rPr>
                <w:rFonts w:eastAsia="Times New Roman" w:cs="Calibri"/>
                <w:b/>
                <w:bCs/>
                <w:color w:val="BE2A18"/>
                <w:sz w:val="20"/>
                <w:szCs w:val="20"/>
                <w:lang w:eastAsia="en-AU"/>
              </w:rPr>
              <w:t>Income from transactions</w:t>
            </w:r>
          </w:p>
        </w:tc>
        <w:tc>
          <w:tcPr>
            <w:tcW w:w="1559" w:type="dxa"/>
            <w:tcBorders>
              <w:top w:val="single" w:sz="4" w:space="0" w:color="ED7C5D"/>
              <w:bottom w:val="double" w:sz="4" w:space="0" w:color="ED7C5D"/>
            </w:tcBorders>
            <w:shd w:val="clear" w:color="auto" w:fill="auto"/>
            <w:noWrap/>
            <w:vAlign w:val="center"/>
            <w:hideMark/>
          </w:tcPr>
          <w:p w14:paraId="3538DB7F" w14:textId="77777777" w:rsidR="009567E2" w:rsidRPr="00503F5B" w:rsidRDefault="009567E2" w:rsidP="009567E2">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$’000</w:t>
            </w:r>
          </w:p>
        </w:tc>
        <w:tc>
          <w:tcPr>
            <w:tcW w:w="1134" w:type="dxa"/>
            <w:tcBorders>
              <w:top w:val="single" w:sz="4" w:space="0" w:color="ED7C5D"/>
              <w:bottom w:val="double" w:sz="4" w:space="0" w:color="ED7C5D"/>
            </w:tcBorders>
            <w:shd w:val="clear" w:color="auto" w:fill="auto"/>
            <w:noWrap/>
            <w:vAlign w:val="center"/>
            <w:hideMark/>
          </w:tcPr>
          <w:p w14:paraId="61496D9A" w14:textId="77777777" w:rsidR="009567E2" w:rsidRPr="00503F5B" w:rsidRDefault="009567E2" w:rsidP="009567E2">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$’000</w:t>
            </w:r>
          </w:p>
        </w:tc>
      </w:tr>
      <w:tr w:rsidR="008B48A4" w:rsidRPr="00503F5B" w14:paraId="0FBF8661" w14:textId="77777777" w:rsidTr="008B48A4">
        <w:trPr>
          <w:trHeight w:val="315"/>
          <w:jc w:val="center"/>
        </w:trPr>
        <w:tc>
          <w:tcPr>
            <w:tcW w:w="4111" w:type="dxa"/>
            <w:tcBorders>
              <w:top w:val="double" w:sz="4" w:space="0" w:color="ED7C5D"/>
            </w:tcBorders>
            <w:shd w:val="clear" w:color="auto" w:fill="auto"/>
            <w:noWrap/>
            <w:vAlign w:val="center"/>
          </w:tcPr>
          <w:p w14:paraId="3420D70F" w14:textId="6FE615C5" w:rsidR="008B48A4" w:rsidRPr="00503F5B" w:rsidRDefault="008B48A4" w:rsidP="008B48A4">
            <w:pPr>
              <w:rPr>
                <w:rFonts w:eastAsia="Times New Roman" w:cs="Calibri"/>
                <w:b/>
                <w:bCs/>
                <w:color w:val="BE2A18"/>
                <w:sz w:val="20"/>
                <w:szCs w:val="20"/>
                <w:lang w:eastAsia="en-AU"/>
              </w:rPr>
            </w:pPr>
            <w:r w:rsidRPr="00503F5B">
              <w:rPr>
                <w:rFonts w:eastAsia="Times New Roman" w:cs="Calibri"/>
                <w:b/>
                <w:bCs/>
                <w:color w:val="auto"/>
                <w:sz w:val="20"/>
                <w:szCs w:val="20"/>
                <w:lang w:eastAsia="en-AU"/>
              </w:rPr>
              <w:t>Organisation</w:t>
            </w:r>
          </w:p>
        </w:tc>
        <w:tc>
          <w:tcPr>
            <w:tcW w:w="1559" w:type="dxa"/>
            <w:tcBorders>
              <w:top w:val="double" w:sz="4" w:space="0" w:color="ED7C5D"/>
            </w:tcBorders>
            <w:shd w:val="clear" w:color="auto" w:fill="auto"/>
            <w:noWrap/>
            <w:vAlign w:val="bottom"/>
          </w:tcPr>
          <w:p w14:paraId="6AE72F44" w14:textId="6680BB84" w:rsidR="008B48A4" w:rsidRPr="00503F5B" w:rsidRDefault="008B48A4" w:rsidP="008B48A4">
            <w:pPr>
              <w:jc w:val="center"/>
              <w:rPr>
                <w:rFonts w:eastAsia="Times New Roman" w:cs="Calibri"/>
                <w:b/>
                <w:bCs/>
                <w:color w:val="BE2A18"/>
                <w:sz w:val="20"/>
                <w:szCs w:val="20"/>
                <w:lang w:eastAsia="en-AU"/>
              </w:rPr>
            </w:pPr>
            <w:r w:rsidRPr="00503F5B">
              <w:rPr>
                <w:rFonts w:eastAsia="Times New Roman" w:cs="Calibri"/>
                <w:b/>
                <w:bCs/>
                <w:sz w:val="20"/>
                <w:szCs w:val="20"/>
                <w:lang w:eastAsia="en-AU"/>
              </w:rPr>
              <w:t>MFB Board</w:t>
            </w:r>
          </w:p>
        </w:tc>
        <w:tc>
          <w:tcPr>
            <w:tcW w:w="1134" w:type="dxa"/>
            <w:tcBorders>
              <w:top w:val="double" w:sz="4" w:space="0" w:color="ED7C5D"/>
            </w:tcBorders>
            <w:shd w:val="clear" w:color="auto" w:fill="auto"/>
            <w:noWrap/>
            <w:vAlign w:val="bottom"/>
          </w:tcPr>
          <w:p w14:paraId="420D3538" w14:textId="28877B03" w:rsidR="008B48A4" w:rsidRPr="00503F5B" w:rsidRDefault="008B48A4" w:rsidP="008B48A4">
            <w:pPr>
              <w:jc w:val="center"/>
              <w:rPr>
                <w:rFonts w:eastAsia="Times New Roman" w:cs="Calibri"/>
                <w:b/>
                <w:bCs/>
                <w:color w:val="BE2A18"/>
                <w:sz w:val="20"/>
                <w:szCs w:val="20"/>
                <w:lang w:eastAsia="en-AU"/>
              </w:rPr>
            </w:pPr>
            <w:r w:rsidRPr="00503F5B">
              <w:rPr>
                <w:rFonts w:eastAsia="Times New Roman" w:cs="Calibri"/>
                <w:b/>
                <w:bCs/>
                <w:sz w:val="20"/>
                <w:szCs w:val="20"/>
                <w:lang w:eastAsia="en-AU"/>
              </w:rPr>
              <w:t>CFA</w:t>
            </w:r>
          </w:p>
        </w:tc>
      </w:tr>
      <w:tr w:rsidR="008B48A4" w:rsidRPr="00503F5B" w14:paraId="674361A8" w14:textId="77777777" w:rsidTr="008B48A4">
        <w:trPr>
          <w:trHeight w:val="300"/>
          <w:jc w:val="center"/>
        </w:trPr>
        <w:tc>
          <w:tcPr>
            <w:tcW w:w="4111" w:type="dxa"/>
            <w:shd w:val="clear" w:color="auto" w:fill="auto"/>
            <w:noWrap/>
            <w:vAlign w:val="center"/>
            <w:hideMark/>
          </w:tcPr>
          <w:p w14:paraId="3B0C3615" w14:textId="77777777" w:rsidR="008B48A4" w:rsidRPr="00503F5B" w:rsidRDefault="008B48A4" w:rsidP="008B48A4">
            <w:pPr>
              <w:rPr>
                <w:rFonts w:eastAsia="Times New Roman" w:cs="Calibri"/>
                <w:sz w:val="20"/>
                <w:szCs w:val="20"/>
                <w:lang w:eastAsia="en-AU"/>
              </w:rPr>
            </w:pPr>
            <w:r w:rsidRPr="00503F5B">
              <w:rPr>
                <w:rFonts w:eastAsia="Times New Roman" w:cs="Calibri"/>
                <w:sz w:val="20"/>
                <w:szCs w:val="20"/>
                <w:lang w:eastAsia="en-AU"/>
              </w:rPr>
              <w:t>Department of Justice and Regulation grants</w:t>
            </w:r>
          </w:p>
        </w:tc>
        <w:tc>
          <w:tcPr>
            <w:tcW w:w="1559" w:type="dxa"/>
            <w:shd w:val="clear" w:color="auto" w:fill="auto"/>
            <w:noWrap/>
            <w:vAlign w:val="center"/>
            <w:hideMark/>
          </w:tcPr>
          <w:p w14:paraId="5E83A75B"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$388,532 </w:t>
            </w:r>
          </w:p>
        </w:tc>
        <w:tc>
          <w:tcPr>
            <w:tcW w:w="1134" w:type="dxa"/>
            <w:shd w:val="clear" w:color="auto" w:fill="auto"/>
            <w:noWrap/>
            <w:vAlign w:val="center"/>
            <w:hideMark/>
          </w:tcPr>
          <w:p w14:paraId="7BB84531"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$609,413 </w:t>
            </w:r>
          </w:p>
        </w:tc>
      </w:tr>
      <w:tr w:rsidR="008B48A4" w:rsidRPr="00503F5B" w14:paraId="3FF64D8E" w14:textId="77777777" w:rsidTr="008B48A4">
        <w:trPr>
          <w:trHeight w:val="300"/>
          <w:jc w:val="center"/>
        </w:trPr>
        <w:tc>
          <w:tcPr>
            <w:tcW w:w="4111" w:type="dxa"/>
            <w:shd w:val="clear" w:color="auto" w:fill="auto"/>
            <w:noWrap/>
            <w:vAlign w:val="center"/>
            <w:hideMark/>
          </w:tcPr>
          <w:p w14:paraId="1F0669C9" w14:textId="77777777" w:rsidR="008B48A4" w:rsidRPr="00503F5B" w:rsidRDefault="008B48A4" w:rsidP="008B48A4">
            <w:pPr>
              <w:rPr>
                <w:rFonts w:eastAsia="Times New Roman" w:cs="Calibri"/>
                <w:sz w:val="20"/>
                <w:szCs w:val="20"/>
                <w:lang w:eastAsia="en-AU"/>
              </w:rPr>
            </w:pPr>
            <w:r w:rsidRPr="00503F5B">
              <w:rPr>
                <w:rFonts w:eastAsia="Times New Roman" w:cs="Calibri"/>
                <w:sz w:val="20"/>
                <w:szCs w:val="20"/>
                <w:lang w:eastAsia="en-AU"/>
              </w:rPr>
              <w:t>Treasurers advance</w:t>
            </w:r>
          </w:p>
        </w:tc>
        <w:tc>
          <w:tcPr>
            <w:tcW w:w="1559" w:type="dxa"/>
            <w:shd w:val="clear" w:color="auto" w:fill="auto"/>
            <w:noWrap/>
            <w:vAlign w:val="center"/>
            <w:hideMark/>
          </w:tcPr>
          <w:p w14:paraId="5415123E"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$29,625 </w:t>
            </w:r>
          </w:p>
        </w:tc>
        <w:tc>
          <w:tcPr>
            <w:tcW w:w="1134" w:type="dxa"/>
            <w:shd w:val="clear" w:color="auto" w:fill="auto"/>
            <w:noWrap/>
            <w:vAlign w:val="center"/>
            <w:hideMark/>
          </w:tcPr>
          <w:p w14:paraId="4769C6A4"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$9,357 </w:t>
            </w:r>
          </w:p>
        </w:tc>
      </w:tr>
      <w:tr w:rsidR="008B48A4" w:rsidRPr="00503F5B" w14:paraId="57E15ACA" w14:textId="77777777" w:rsidTr="008B48A4">
        <w:trPr>
          <w:trHeight w:val="300"/>
          <w:jc w:val="center"/>
        </w:trPr>
        <w:tc>
          <w:tcPr>
            <w:tcW w:w="4111" w:type="dxa"/>
            <w:shd w:val="clear" w:color="auto" w:fill="auto"/>
            <w:noWrap/>
            <w:vAlign w:val="center"/>
            <w:hideMark/>
          </w:tcPr>
          <w:p w14:paraId="670A2177" w14:textId="77777777" w:rsidR="008B48A4" w:rsidRPr="00503F5B" w:rsidRDefault="008B48A4" w:rsidP="008B48A4">
            <w:pPr>
              <w:rPr>
                <w:rFonts w:eastAsia="Times New Roman" w:cs="Calibri"/>
                <w:sz w:val="20"/>
                <w:szCs w:val="20"/>
                <w:lang w:eastAsia="en-AU"/>
              </w:rPr>
            </w:pPr>
            <w:r w:rsidRPr="00503F5B">
              <w:rPr>
                <w:rFonts w:eastAsia="Times New Roman" w:cs="Calibri"/>
                <w:sz w:val="20"/>
                <w:szCs w:val="20"/>
                <w:lang w:eastAsia="en-AU"/>
              </w:rPr>
              <w:t>Other Grants</w:t>
            </w:r>
          </w:p>
        </w:tc>
        <w:tc>
          <w:tcPr>
            <w:tcW w:w="1559" w:type="dxa"/>
            <w:shd w:val="clear" w:color="auto" w:fill="auto"/>
            <w:noWrap/>
            <w:vAlign w:val="center"/>
            <w:hideMark/>
          </w:tcPr>
          <w:p w14:paraId="0AB2CD1E"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w:t>
            </w:r>
          </w:p>
        </w:tc>
        <w:tc>
          <w:tcPr>
            <w:tcW w:w="1134" w:type="dxa"/>
            <w:shd w:val="clear" w:color="auto" w:fill="auto"/>
            <w:noWrap/>
            <w:vAlign w:val="center"/>
            <w:hideMark/>
          </w:tcPr>
          <w:p w14:paraId="0873A72F"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$3,446 </w:t>
            </w:r>
          </w:p>
        </w:tc>
      </w:tr>
      <w:tr w:rsidR="008B48A4" w:rsidRPr="00503F5B" w14:paraId="272D7A1F" w14:textId="77777777" w:rsidTr="008B48A4">
        <w:trPr>
          <w:trHeight w:val="300"/>
          <w:jc w:val="center"/>
        </w:trPr>
        <w:tc>
          <w:tcPr>
            <w:tcW w:w="4111" w:type="dxa"/>
            <w:shd w:val="clear" w:color="auto" w:fill="auto"/>
            <w:vAlign w:val="center"/>
            <w:hideMark/>
          </w:tcPr>
          <w:p w14:paraId="7B64D15E" w14:textId="77777777" w:rsidR="008B48A4" w:rsidRPr="00503F5B" w:rsidRDefault="008B48A4" w:rsidP="008B48A4">
            <w:pPr>
              <w:rPr>
                <w:rFonts w:eastAsia="Times New Roman" w:cs="Calibri"/>
                <w:sz w:val="20"/>
                <w:szCs w:val="20"/>
                <w:lang w:eastAsia="en-AU"/>
              </w:rPr>
            </w:pPr>
            <w:r w:rsidRPr="00503F5B">
              <w:rPr>
                <w:rFonts w:eastAsia="Times New Roman" w:cs="Calibri"/>
                <w:sz w:val="20"/>
                <w:szCs w:val="20"/>
                <w:lang w:eastAsia="en-AU"/>
              </w:rPr>
              <w:t>False alarm charges</w:t>
            </w:r>
          </w:p>
        </w:tc>
        <w:tc>
          <w:tcPr>
            <w:tcW w:w="1559" w:type="dxa"/>
            <w:shd w:val="clear" w:color="auto" w:fill="auto"/>
            <w:noWrap/>
            <w:vAlign w:val="center"/>
            <w:hideMark/>
          </w:tcPr>
          <w:p w14:paraId="65C1091E"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$10,137 </w:t>
            </w:r>
          </w:p>
        </w:tc>
        <w:tc>
          <w:tcPr>
            <w:tcW w:w="1134" w:type="dxa"/>
            <w:shd w:val="clear" w:color="auto" w:fill="auto"/>
            <w:noWrap/>
            <w:vAlign w:val="center"/>
            <w:hideMark/>
          </w:tcPr>
          <w:p w14:paraId="3987BB69"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$4,307 </w:t>
            </w:r>
          </w:p>
        </w:tc>
      </w:tr>
      <w:tr w:rsidR="008B48A4" w:rsidRPr="00503F5B" w14:paraId="696547ED" w14:textId="77777777" w:rsidTr="008B48A4">
        <w:trPr>
          <w:trHeight w:val="300"/>
          <w:jc w:val="center"/>
        </w:trPr>
        <w:tc>
          <w:tcPr>
            <w:tcW w:w="4111" w:type="dxa"/>
            <w:shd w:val="clear" w:color="auto" w:fill="auto"/>
            <w:noWrap/>
            <w:vAlign w:val="center"/>
            <w:hideMark/>
          </w:tcPr>
          <w:p w14:paraId="16B2BBF9" w14:textId="77777777" w:rsidR="008B48A4" w:rsidRPr="00503F5B" w:rsidRDefault="008B48A4" w:rsidP="008B48A4">
            <w:pPr>
              <w:rPr>
                <w:rFonts w:eastAsia="Times New Roman" w:cs="Calibri"/>
                <w:sz w:val="20"/>
                <w:szCs w:val="20"/>
                <w:lang w:eastAsia="en-AU"/>
              </w:rPr>
            </w:pPr>
            <w:r w:rsidRPr="00503F5B">
              <w:rPr>
                <w:rFonts w:eastAsia="Times New Roman" w:cs="Calibri"/>
                <w:sz w:val="20"/>
                <w:szCs w:val="20"/>
                <w:lang w:eastAsia="en-AU"/>
              </w:rPr>
              <w:t>Fire suppression equipment sales and servicing</w:t>
            </w:r>
          </w:p>
        </w:tc>
        <w:tc>
          <w:tcPr>
            <w:tcW w:w="1559" w:type="dxa"/>
            <w:shd w:val="clear" w:color="auto" w:fill="auto"/>
            <w:noWrap/>
            <w:vAlign w:val="center"/>
            <w:hideMark/>
          </w:tcPr>
          <w:p w14:paraId="61E20896"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$23,156 </w:t>
            </w:r>
          </w:p>
        </w:tc>
        <w:tc>
          <w:tcPr>
            <w:tcW w:w="1134" w:type="dxa"/>
            <w:shd w:val="clear" w:color="auto" w:fill="auto"/>
            <w:noWrap/>
            <w:vAlign w:val="center"/>
            <w:hideMark/>
          </w:tcPr>
          <w:p w14:paraId="3770471F"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$7,868 </w:t>
            </w:r>
          </w:p>
        </w:tc>
      </w:tr>
      <w:tr w:rsidR="008B48A4" w:rsidRPr="00503F5B" w14:paraId="6CDDDE39" w14:textId="77777777" w:rsidTr="008B48A4">
        <w:trPr>
          <w:trHeight w:val="300"/>
          <w:jc w:val="center"/>
        </w:trPr>
        <w:tc>
          <w:tcPr>
            <w:tcW w:w="4111" w:type="dxa"/>
            <w:shd w:val="clear" w:color="auto" w:fill="auto"/>
            <w:noWrap/>
            <w:vAlign w:val="center"/>
            <w:hideMark/>
          </w:tcPr>
          <w:p w14:paraId="6D853CDD" w14:textId="77777777" w:rsidR="008B48A4" w:rsidRPr="00503F5B" w:rsidRDefault="008B48A4" w:rsidP="008B48A4">
            <w:pPr>
              <w:rPr>
                <w:rFonts w:eastAsia="Times New Roman" w:cs="Calibri"/>
                <w:sz w:val="20"/>
                <w:szCs w:val="20"/>
                <w:lang w:eastAsia="en-AU"/>
              </w:rPr>
            </w:pPr>
            <w:r w:rsidRPr="00503F5B">
              <w:rPr>
                <w:rFonts w:eastAsia="Times New Roman" w:cs="Calibri"/>
                <w:sz w:val="20"/>
                <w:szCs w:val="20"/>
                <w:lang w:eastAsia="en-AU"/>
              </w:rPr>
              <w:t>Other sales</w:t>
            </w:r>
          </w:p>
        </w:tc>
        <w:tc>
          <w:tcPr>
            <w:tcW w:w="1559" w:type="dxa"/>
            <w:shd w:val="clear" w:color="auto" w:fill="auto"/>
            <w:noWrap/>
            <w:vAlign w:val="center"/>
            <w:hideMark/>
          </w:tcPr>
          <w:p w14:paraId="2B7CEE76"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$8,403 </w:t>
            </w:r>
          </w:p>
        </w:tc>
        <w:tc>
          <w:tcPr>
            <w:tcW w:w="1134" w:type="dxa"/>
            <w:shd w:val="clear" w:color="auto" w:fill="auto"/>
            <w:noWrap/>
            <w:vAlign w:val="center"/>
            <w:hideMark/>
          </w:tcPr>
          <w:p w14:paraId="72D4E83A"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$5,081 </w:t>
            </w:r>
          </w:p>
        </w:tc>
      </w:tr>
      <w:tr w:rsidR="008B48A4" w:rsidRPr="00503F5B" w14:paraId="48A750EF" w14:textId="77777777" w:rsidTr="008B48A4">
        <w:trPr>
          <w:trHeight w:val="300"/>
          <w:jc w:val="center"/>
        </w:trPr>
        <w:tc>
          <w:tcPr>
            <w:tcW w:w="4111" w:type="dxa"/>
            <w:shd w:val="clear" w:color="auto" w:fill="auto"/>
            <w:noWrap/>
            <w:vAlign w:val="center"/>
            <w:hideMark/>
          </w:tcPr>
          <w:p w14:paraId="16A312F1" w14:textId="77777777" w:rsidR="008B48A4" w:rsidRPr="00503F5B" w:rsidRDefault="008B48A4" w:rsidP="008B48A4">
            <w:pPr>
              <w:rPr>
                <w:rFonts w:eastAsia="Times New Roman" w:cs="Calibri"/>
                <w:sz w:val="20"/>
                <w:szCs w:val="20"/>
                <w:lang w:eastAsia="en-AU"/>
              </w:rPr>
            </w:pPr>
            <w:r w:rsidRPr="00503F5B">
              <w:rPr>
                <w:rFonts w:eastAsia="Times New Roman" w:cs="Calibri"/>
                <w:sz w:val="20"/>
                <w:szCs w:val="20"/>
                <w:lang w:eastAsia="en-AU"/>
              </w:rPr>
              <w:t>Interest</w:t>
            </w:r>
          </w:p>
        </w:tc>
        <w:tc>
          <w:tcPr>
            <w:tcW w:w="1559" w:type="dxa"/>
            <w:shd w:val="clear" w:color="auto" w:fill="auto"/>
            <w:noWrap/>
            <w:vAlign w:val="center"/>
            <w:hideMark/>
          </w:tcPr>
          <w:p w14:paraId="091A6020"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$759 </w:t>
            </w:r>
          </w:p>
        </w:tc>
        <w:tc>
          <w:tcPr>
            <w:tcW w:w="1134" w:type="dxa"/>
            <w:shd w:val="clear" w:color="auto" w:fill="auto"/>
            <w:noWrap/>
            <w:vAlign w:val="center"/>
            <w:hideMark/>
          </w:tcPr>
          <w:p w14:paraId="53E6646B"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$6,877 </w:t>
            </w:r>
          </w:p>
        </w:tc>
      </w:tr>
      <w:tr w:rsidR="008B48A4" w:rsidRPr="00503F5B" w14:paraId="0981A696" w14:textId="77777777" w:rsidTr="008B48A4">
        <w:trPr>
          <w:trHeight w:val="300"/>
          <w:jc w:val="center"/>
        </w:trPr>
        <w:tc>
          <w:tcPr>
            <w:tcW w:w="4111" w:type="dxa"/>
            <w:shd w:val="clear" w:color="auto" w:fill="auto"/>
            <w:noWrap/>
            <w:vAlign w:val="center"/>
            <w:hideMark/>
          </w:tcPr>
          <w:p w14:paraId="55D8C886" w14:textId="77777777" w:rsidR="008B48A4" w:rsidRPr="00503F5B" w:rsidRDefault="008B48A4" w:rsidP="008B48A4">
            <w:pPr>
              <w:rPr>
                <w:rFonts w:eastAsia="Times New Roman" w:cs="Calibri"/>
                <w:sz w:val="20"/>
                <w:szCs w:val="20"/>
                <w:lang w:eastAsia="en-AU"/>
              </w:rPr>
            </w:pPr>
            <w:r w:rsidRPr="00503F5B">
              <w:rPr>
                <w:rFonts w:eastAsia="Times New Roman" w:cs="Calibri"/>
                <w:sz w:val="20"/>
                <w:szCs w:val="20"/>
                <w:lang w:eastAsia="en-AU"/>
              </w:rPr>
              <w:t>Dividends</w:t>
            </w:r>
          </w:p>
        </w:tc>
        <w:tc>
          <w:tcPr>
            <w:tcW w:w="1559" w:type="dxa"/>
            <w:shd w:val="clear" w:color="auto" w:fill="auto"/>
            <w:noWrap/>
            <w:vAlign w:val="center"/>
            <w:hideMark/>
          </w:tcPr>
          <w:p w14:paraId="7891A580"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$10,416 </w:t>
            </w:r>
          </w:p>
        </w:tc>
        <w:tc>
          <w:tcPr>
            <w:tcW w:w="1134" w:type="dxa"/>
            <w:shd w:val="clear" w:color="auto" w:fill="auto"/>
            <w:noWrap/>
            <w:vAlign w:val="center"/>
            <w:hideMark/>
          </w:tcPr>
          <w:p w14:paraId="06872420"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w:t>
            </w:r>
          </w:p>
        </w:tc>
      </w:tr>
      <w:tr w:rsidR="008B48A4" w:rsidRPr="00503F5B" w14:paraId="20E798DE" w14:textId="77777777" w:rsidTr="008B48A4">
        <w:trPr>
          <w:trHeight w:val="300"/>
          <w:jc w:val="center"/>
        </w:trPr>
        <w:tc>
          <w:tcPr>
            <w:tcW w:w="4111" w:type="dxa"/>
            <w:shd w:val="clear" w:color="auto" w:fill="auto"/>
            <w:noWrap/>
            <w:vAlign w:val="center"/>
            <w:hideMark/>
          </w:tcPr>
          <w:p w14:paraId="4DE07C7E" w14:textId="77777777" w:rsidR="008B48A4" w:rsidRPr="00503F5B" w:rsidRDefault="008B48A4" w:rsidP="008B48A4">
            <w:pPr>
              <w:rPr>
                <w:rFonts w:eastAsia="Times New Roman" w:cs="Calibri"/>
                <w:sz w:val="20"/>
                <w:szCs w:val="20"/>
                <w:lang w:eastAsia="en-AU"/>
              </w:rPr>
            </w:pPr>
            <w:r w:rsidRPr="00503F5B">
              <w:rPr>
                <w:rFonts w:eastAsia="Times New Roman" w:cs="Calibri"/>
                <w:sz w:val="20"/>
                <w:szCs w:val="20"/>
                <w:lang w:eastAsia="en-AU"/>
              </w:rPr>
              <w:t>Realised gain/(loss) on financial instruments</w:t>
            </w:r>
          </w:p>
        </w:tc>
        <w:tc>
          <w:tcPr>
            <w:tcW w:w="1559" w:type="dxa"/>
            <w:shd w:val="clear" w:color="auto" w:fill="auto"/>
            <w:noWrap/>
            <w:vAlign w:val="center"/>
            <w:hideMark/>
          </w:tcPr>
          <w:p w14:paraId="3814C9DC" w14:textId="48378C08" w:rsidR="008B48A4" w:rsidRPr="00503F5B" w:rsidRDefault="008B48A4" w:rsidP="008B48A4">
            <w:pPr>
              <w:jc w:val="right"/>
              <w:rPr>
                <w:rFonts w:eastAsia="Times New Roman" w:cs="Calibri"/>
                <w:sz w:val="20"/>
                <w:szCs w:val="20"/>
                <w:lang w:eastAsia="en-AU"/>
              </w:rPr>
            </w:pPr>
            <w:r w:rsidRPr="00503F5B">
              <w:rPr>
                <w:rFonts w:eastAsia="Times New Roman" w:cs="Calibri"/>
                <w:color w:val="auto"/>
                <w:sz w:val="20"/>
                <w:szCs w:val="20"/>
                <w:lang w:eastAsia="en-AU"/>
              </w:rPr>
              <w:t>($1,891)</w:t>
            </w:r>
          </w:p>
        </w:tc>
        <w:tc>
          <w:tcPr>
            <w:tcW w:w="1134" w:type="dxa"/>
            <w:shd w:val="clear" w:color="auto" w:fill="auto"/>
            <w:noWrap/>
            <w:vAlign w:val="center"/>
            <w:hideMark/>
          </w:tcPr>
          <w:p w14:paraId="1090DFD5"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w:t>
            </w:r>
          </w:p>
        </w:tc>
      </w:tr>
      <w:tr w:rsidR="008B48A4" w:rsidRPr="00503F5B" w14:paraId="450C7B15" w14:textId="77777777" w:rsidTr="008B48A4">
        <w:trPr>
          <w:trHeight w:val="300"/>
          <w:jc w:val="center"/>
        </w:trPr>
        <w:tc>
          <w:tcPr>
            <w:tcW w:w="4111" w:type="dxa"/>
            <w:shd w:val="clear" w:color="auto" w:fill="auto"/>
            <w:noWrap/>
            <w:vAlign w:val="center"/>
            <w:hideMark/>
          </w:tcPr>
          <w:p w14:paraId="6FE02FBF" w14:textId="77777777" w:rsidR="008B48A4" w:rsidRPr="00503F5B" w:rsidRDefault="008B48A4" w:rsidP="008B48A4">
            <w:pPr>
              <w:rPr>
                <w:rFonts w:eastAsia="Times New Roman" w:cs="Calibri"/>
                <w:sz w:val="20"/>
                <w:szCs w:val="20"/>
                <w:lang w:eastAsia="en-AU"/>
              </w:rPr>
            </w:pPr>
            <w:r w:rsidRPr="00503F5B">
              <w:rPr>
                <w:rFonts w:eastAsia="Times New Roman" w:cs="Calibri"/>
                <w:sz w:val="20"/>
                <w:szCs w:val="20"/>
                <w:lang w:eastAsia="en-AU"/>
              </w:rPr>
              <w:t>Workers’ compensation recovered</w:t>
            </w:r>
          </w:p>
        </w:tc>
        <w:tc>
          <w:tcPr>
            <w:tcW w:w="1559" w:type="dxa"/>
            <w:shd w:val="clear" w:color="auto" w:fill="auto"/>
            <w:noWrap/>
            <w:vAlign w:val="center"/>
            <w:hideMark/>
          </w:tcPr>
          <w:p w14:paraId="0694ADF3"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$4,876 </w:t>
            </w:r>
          </w:p>
        </w:tc>
        <w:tc>
          <w:tcPr>
            <w:tcW w:w="1134" w:type="dxa"/>
            <w:shd w:val="clear" w:color="auto" w:fill="auto"/>
            <w:noWrap/>
            <w:vAlign w:val="center"/>
            <w:hideMark/>
          </w:tcPr>
          <w:p w14:paraId="10E1E4A0"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$2,016 </w:t>
            </w:r>
          </w:p>
        </w:tc>
      </w:tr>
      <w:tr w:rsidR="008B48A4" w:rsidRPr="00503F5B" w14:paraId="3745E253" w14:textId="77777777" w:rsidTr="008B48A4">
        <w:trPr>
          <w:trHeight w:val="300"/>
          <w:jc w:val="center"/>
        </w:trPr>
        <w:tc>
          <w:tcPr>
            <w:tcW w:w="4111" w:type="dxa"/>
            <w:shd w:val="clear" w:color="auto" w:fill="auto"/>
            <w:noWrap/>
            <w:vAlign w:val="center"/>
            <w:hideMark/>
          </w:tcPr>
          <w:p w14:paraId="0ADAADDF" w14:textId="77777777" w:rsidR="008B48A4" w:rsidRPr="00503F5B" w:rsidRDefault="008B48A4" w:rsidP="008B48A4">
            <w:pPr>
              <w:rPr>
                <w:rFonts w:eastAsia="Times New Roman" w:cs="Calibri"/>
                <w:sz w:val="20"/>
                <w:szCs w:val="20"/>
                <w:lang w:eastAsia="en-AU"/>
              </w:rPr>
            </w:pPr>
            <w:r w:rsidRPr="00503F5B">
              <w:rPr>
                <w:rFonts w:eastAsia="Times New Roman" w:cs="Calibri"/>
                <w:sz w:val="20"/>
                <w:szCs w:val="20"/>
                <w:lang w:eastAsia="en-AU"/>
              </w:rPr>
              <w:t>Property rental</w:t>
            </w:r>
          </w:p>
        </w:tc>
        <w:tc>
          <w:tcPr>
            <w:tcW w:w="1559" w:type="dxa"/>
            <w:shd w:val="clear" w:color="auto" w:fill="auto"/>
            <w:noWrap/>
            <w:vAlign w:val="center"/>
            <w:hideMark/>
          </w:tcPr>
          <w:p w14:paraId="024D044E"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$295 </w:t>
            </w:r>
          </w:p>
        </w:tc>
        <w:tc>
          <w:tcPr>
            <w:tcW w:w="1134" w:type="dxa"/>
            <w:shd w:val="clear" w:color="auto" w:fill="auto"/>
            <w:noWrap/>
            <w:vAlign w:val="center"/>
            <w:hideMark/>
          </w:tcPr>
          <w:p w14:paraId="5FAAD1F7"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$143 </w:t>
            </w:r>
          </w:p>
        </w:tc>
      </w:tr>
      <w:tr w:rsidR="008B48A4" w:rsidRPr="00503F5B" w14:paraId="49BE4C1D" w14:textId="77777777" w:rsidTr="008B48A4">
        <w:trPr>
          <w:trHeight w:val="300"/>
          <w:jc w:val="center"/>
        </w:trPr>
        <w:tc>
          <w:tcPr>
            <w:tcW w:w="4111" w:type="dxa"/>
            <w:shd w:val="clear" w:color="auto" w:fill="auto"/>
            <w:noWrap/>
            <w:vAlign w:val="center"/>
            <w:hideMark/>
          </w:tcPr>
          <w:p w14:paraId="0F0862B9" w14:textId="77777777" w:rsidR="008B48A4" w:rsidRPr="00503F5B" w:rsidRDefault="008B48A4" w:rsidP="008B48A4">
            <w:pPr>
              <w:rPr>
                <w:rFonts w:eastAsia="Times New Roman" w:cs="Calibri"/>
                <w:sz w:val="20"/>
                <w:szCs w:val="20"/>
                <w:lang w:eastAsia="en-AU"/>
              </w:rPr>
            </w:pPr>
            <w:r w:rsidRPr="00503F5B">
              <w:rPr>
                <w:rFonts w:eastAsia="Times New Roman" w:cs="Calibri"/>
                <w:sz w:val="20"/>
                <w:szCs w:val="20"/>
                <w:lang w:eastAsia="en-AU"/>
              </w:rPr>
              <w:t>Brigade Donations</w:t>
            </w:r>
          </w:p>
        </w:tc>
        <w:tc>
          <w:tcPr>
            <w:tcW w:w="1559" w:type="dxa"/>
            <w:shd w:val="clear" w:color="auto" w:fill="auto"/>
            <w:noWrap/>
            <w:vAlign w:val="center"/>
            <w:hideMark/>
          </w:tcPr>
          <w:p w14:paraId="4FBFFB25"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w:t>
            </w:r>
          </w:p>
        </w:tc>
        <w:tc>
          <w:tcPr>
            <w:tcW w:w="1134" w:type="dxa"/>
            <w:shd w:val="clear" w:color="auto" w:fill="auto"/>
            <w:noWrap/>
            <w:vAlign w:val="center"/>
            <w:hideMark/>
          </w:tcPr>
          <w:p w14:paraId="13128D2A"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$5,126 </w:t>
            </w:r>
          </w:p>
        </w:tc>
      </w:tr>
      <w:tr w:rsidR="008B48A4" w:rsidRPr="00503F5B" w14:paraId="5D71478C" w14:textId="77777777" w:rsidTr="008B48A4">
        <w:trPr>
          <w:trHeight w:val="315"/>
          <w:jc w:val="center"/>
        </w:trPr>
        <w:tc>
          <w:tcPr>
            <w:tcW w:w="4111" w:type="dxa"/>
            <w:tcBorders>
              <w:bottom w:val="single" w:sz="4" w:space="0" w:color="ED7C5D"/>
            </w:tcBorders>
            <w:shd w:val="clear" w:color="auto" w:fill="auto"/>
            <w:noWrap/>
            <w:vAlign w:val="center"/>
            <w:hideMark/>
          </w:tcPr>
          <w:p w14:paraId="247AD5CB" w14:textId="77777777" w:rsidR="008B48A4" w:rsidRPr="00503F5B" w:rsidRDefault="008B48A4" w:rsidP="008B48A4">
            <w:pPr>
              <w:rPr>
                <w:rFonts w:eastAsia="Times New Roman" w:cs="Calibri"/>
                <w:sz w:val="20"/>
                <w:szCs w:val="20"/>
                <w:lang w:eastAsia="en-AU"/>
              </w:rPr>
            </w:pPr>
            <w:r w:rsidRPr="00503F5B">
              <w:rPr>
                <w:rFonts w:eastAsia="Times New Roman" w:cs="Calibri"/>
                <w:sz w:val="20"/>
                <w:szCs w:val="20"/>
                <w:lang w:eastAsia="en-AU"/>
              </w:rPr>
              <w:t>Other income</w:t>
            </w:r>
          </w:p>
        </w:tc>
        <w:tc>
          <w:tcPr>
            <w:tcW w:w="1559" w:type="dxa"/>
            <w:tcBorders>
              <w:bottom w:val="single" w:sz="4" w:space="0" w:color="ED7C5D"/>
            </w:tcBorders>
            <w:shd w:val="clear" w:color="auto" w:fill="auto"/>
            <w:noWrap/>
            <w:vAlign w:val="center"/>
            <w:hideMark/>
          </w:tcPr>
          <w:p w14:paraId="17689DBF"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$11,082 </w:t>
            </w:r>
          </w:p>
        </w:tc>
        <w:tc>
          <w:tcPr>
            <w:tcW w:w="1134" w:type="dxa"/>
            <w:tcBorders>
              <w:bottom w:val="single" w:sz="4" w:space="0" w:color="ED7C5D"/>
            </w:tcBorders>
            <w:shd w:val="clear" w:color="auto" w:fill="auto"/>
            <w:noWrap/>
            <w:vAlign w:val="center"/>
            <w:hideMark/>
          </w:tcPr>
          <w:p w14:paraId="2378696D" w14:textId="77777777" w:rsidR="008B48A4" w:rsidRPr="00503F5B" w:rsidRDefault="008B48A4" w:rsidP="008B48A4">
            <w:pPr>
              <w:jc w:val="right"/>
              <w:rPr>
                <w:rFonts w:eastAsia="Times New Roman" w:cs="Calibri"/>
                <w:sz w:val="20"/>
                <w:szCs w:val="20"/>
                <w:lang w:eastAsia="en-AU"/>
              </w:rPr>
            </w:pPr>
            <w:r w:rsidRPr="00503F5B">
              <w:rPr>
                <w:rFonts w:eastAsia="Times New Roman" w:cs="Calibri"/>
                <w:sz w:val="20"/>
                <w:szCs w:val="20"/>
                <w:lang w:eastAsia="en-AU"/>
              </w:rPr>
              <w:t xml:space="preserve">$3,094 </w:t>
            </w:r>
          </w:p>
        </w:tc>
      </w:tr>
      <w:tr w:rsidR="008B48A4" w:rsidRPr="00503F5B" w14:paraId="54C29AAB" w14:textId="77777777" w:rsidTr="008B48A4">
        <w:trPr>
          <w:trHeight w:val="315"/>
          <w:jc w:val="center"/>
        </w:trPr>
        <w:tc>
          <w:tcPr>
            <w:tcW w:w="4111" w:type="dxa"/>
            <w:tcBorders>
              <w:top w:val="single" w:sz="4" w:space="0" w:color="ED7C5D"/>
              <w:bottom w:val="single" w:sz="4" w:space="0" w:color="ED7C5D"/>
            </w:tcBorders>
            <w:shd w:val="clear" w:color="auto" w:fill="auto"/>
            <w:noWrap/>
            <w:vAlign w:val="center"/>
            <w:hideMark/>
          </w:tcPr>
          <w:p w14:paraId="5DD2B49A" w14:textId="77777777" w:rsidR="008B48A4" w:rsidRPr="00503F5B" w:rsidRDefault="008B48A4" w:rsidP="008B48A4">
            <w:pPr>
              <w:rPr>
                <w:rFonts w:eastAsia="Times New Roman" w:cs="Calibri"/>
                <w:b/>
                <w:bCs/>
                <w:color w:val="auto"/>
                <w:sz w:val="20"/>
                <w:szCs w:val="20"/>
                <w:lang w:eastAsia="en-AU"/>
              </w:rPr>
            </w:pPr>
            <w:r w:rsidRPr="00503F5B">
              <w:rPr>
                <w:rFonts w:eastAsia="Times New Roman" w:cs="Calibri"/>
                <w:b/>
                <w:bCs/>
                <w:color w:val="auto"/>
                <w:sz w:val="20"/>
                <w:szCs w:val="20"/>
                <w:lang w:eastAsia="en-AU"/>
              </w:rPr>
              <w:t>Total funds received</w:t>
            </w:r>
          </w:p>
        </w:tc>
        <w:tc>
          <w:tcPr>
            <w:tcW w:w="1559" w:type="dxa"/>
            <w:tcBorders>
              <w:top w:val="single" w:sz="4" w:space="0" w:color="ED7C5D"/>
              <w:bottom w:val="single" w:sz="4" w:space="0" w:color="ED7C5D"/>
            </w:tcBorders>
            <w:shd w:val="clear" w:color="auto" w:fill="auto"/>
            <w:noWrap/>
            <w:vAlign w:val="center"/>
            <w:hideMark/>
          </w:tcPr>
          <w:p w14:paraId="7767639D" w14:textId="77777777" w:rsidR="008B48A4" w:rsidRPr="00503F5B" w:rsidRDefault="008B48A4" w:rsidP="008B48A4">
            <w:pPr>
              <w:jc w:val="right"/>
              <w:rPr>
                <w:rFonts w:eastAsia="Times New Roman" w:cs="Calibri"/>
                <w:b/>
                <w:bCs/>
                <w:color w:val="auto"/>
                <w:sz w:val="20"/>
                <w:szCs w:val="20"/>
                <w:lang w:eastAsia="en-AU"/>
              </w:rPr>
            </w:pPr>
            <w:r w:rsidRPr="00503F5B">
              <w:rPr>
                <w:rFonts w:eastAsia="Times New Roman" w:cs="Calibri"/>
                <w:b/>
                <w:bCs/>
                <w:color w:val="auto"/>
                <w:sz w:val="20"/>
                <w:szCs w:val="20"/>
                <w:lang w:eastAsia="en-AU"/>
              </w:rPr>
              <w:t>$485,389</w:t>
            </w:r>
          </w:p>
        </w:tc>
        <w:tc>
          <w:tcPr>
            <w:tcW w:w="1134" w:type="dxa"/>
            <w:tcBorders>
              <w:top w:val="single" w:sz="4" w:space="0" w:color="ED7C5D"/>
              <w:bottom w:val="single" w:sz="4" w:space="0" w:color="ED7C5D"/>
            </w:tcBorders>
            <w:shd w:val="clear" w:color="auto" w:fill="auto"/>
            <w:noWrap/>
            <w:vAlign w:val="center"/>
            <w:hideMark/>
          </w:tcPr>
          <w:p w14:paraId="54657EE9" w14:textId="77777777" w:rsidR="008B48A4" w:rsidRPr="00503F5B" w:rsidRDefault="008B48A4" w:rsidP="008B48A4">
            <w:pPr>
              <w:jc w:val="right"/>
              <w:rPr>
                <w:rFonts w:eastAsia="Times New Roman" w:cs="Calibri"/>
                <w:b/>
                <w:bCs/>
                <w:color w:val="auto"/>
                <w:sz w:val="20"/>
                <w:szCs w:val="20"/>
                <w:lang w:eastAsia="en-AU"/>
              </w:rPr>
            </w:pPr>
            <w:r w:rsidRPr="00503F5B">
              <w:rPr>
                <w:rFonts w:eastAsia="Times New Roman" w:cs="Calibri"/>
                <w:b/>
                <w:bCs/>
                <w:color w:val="auto"/>
                <w:sz w:val="20"/>
                <w:szCs w:val="20"/>
                <w:lang w:eastAsia="en-AU"/>
              </w:rPr>
              <w:t>$656,729</w:t>
            </w:r>
          </w:p>
        </w:tc>
      </w:tr>
    </w:tbl>
    <w:p w14:paraId="7E07F637" w14:textId="127D98D0" w:rsidR="00DC189E" w:rsidRPr="00503F5B" w:rsidRDefault="00DC189E" w:rsidP="00F94B17">
      <w:pPr>
        <w:jc w:val="both"/>
      </w:pPr>
    </w:p>
    <w:p w14:paraId="0B85BB54" w14:textId="5408CFE7" w:rsidR="00DC189E" w:rsidRPr="00503F5B" w:rsidRDefault="0024455A" w:rsidP="00F94B17">
      <w:pPr>
        <w:jc w:val="both"/>
      </w:pPr>
      <w:r w:rsidRPr="00503F5B">
        <w:t xml:space="preserve">Department of Justice and </w:t>
      </w:r>
      <w:r w:rsidR="00895995" w:rsidRPr="00503F5B">
        <w:t xml:space="preserve">Community Safety </w:t>
      </w:r>
      <w:r w:rsidRPr="00503F5B">
        <w:t xml:space="preserve">grants are made up of consolidated revenue and levies under the </w:t>
      </w:r>
      <w:r w:rsidRPr="00503F5B">
        <w:rPr>
          <w:i/>
        </w:rPr>
        <w:t>Fire Services Property Levy Act 2012</w:t>
      </w:r>
      <w:r w:rsidR="001A0601" w:rsidRPr="00503F5B">
        <w:t xml:space="preserve"> (FSPL Act)</w:t>
      </w:r>
      <w:r w:rsidRPr="00503F5B">
        <w:t>.</w:t>
      </w:r>
      <w:r w:rsidR="001A0601" w:rsidRPr="00503F5B">
        <w:t xml:space="preserve"> The FSPL Act stipulates that the levy will fund 87.5% of the annual funding requirements of the MFB and 77.5% of the annual funding requirements of the CFA.</w:t>
      </w:r>
    </w:p>
    <w:p w14:paraId="011ED040" w14:textId="1627D81B" w:rsidR="00DC189E" w:rsidRPr="00503F5B" w:rsidRDefault="00DC189E" w:rsidP="00F94B17">
      <w:pPr>
        <w:jc w:val="both"/>
      </w:pPr>
    </w:p>
    <w:p w14:paraId="6C09E8B3" w14:textId="592FC2BC" w:rsidR="0024455A" w:rsidRPr="00503F5B" w:rsidRDefault="0024455A" w:rsidP="0024455A">
      <w:pPr>
        <w:widowControl w:val="0"/>
        <w:autoSpaceDE w:val="0"/>
        <w:autoSpaceDN w:val="0"/>
        <w:adjustRightInd w:val="0"/>
        <w:jc w:val="both"/>
        <w:rPr>
          <w:rFonts w:cs="P%[ˇ"/>
        </w:rPr>
      </w:pPr>
      <w:r w:rsidRPr="00503F5B">
        <w:rPr>
          <w:rFonts w:cs="P%[ˇ"/>
        </w:rPr>
        <w:t>A decision to impose a fee or charge can be appealed to the Victorian Civil and Administrative Tribunal (VCAT).  Chart 1 shows a decreasing trend in the number of VCAT attendances between 2005 and 2019 and with no appeals in 2019.</w:t>
      </w:r>
    </w:p>
    <w:p w14:paraId="1C4DAB03" w14:textId="77777777" w:rsidR="0024455A" w:rsidRPr="00503F5B" w:rsidRDefault="0024455A" w:rsidP="0024455A">
      <w:pPr>
        <w:widowControl w:val="0"/>
        <w:autoSpaceDE w:val="0"/>
        <w:autoSpaceDN w:val="0"/>
        <w:adjustRightInd w:val="0"/>
        <w:jc w:val="both"/>
        <w:rPr>
          <w:rFonts w:cs="P%[ˇ"/>
        </w:rPr>
      </w:pPr>
    </w:p>
    <w:p w14:paraId="57E385A5" w14:textId="3406A1C4" w:rsidR="0024455A" w:rsidRPr="00503F5B" w:rsidRDefault="0024455A" w:rsidP="0024455A">
      <w:pPr>
        <w:jc w:val="center"/>
        <w:rPr>
          <w:rFonts w:cs="P%[ˇ"/>
          <w:b/>
          <w:sz w:val="20"/>
        </w:rPr>
      </w:pPr>
      <w:r w:rsidRPr="00503F5B">
        <w:rPr>
          <w:rFonts w:cs="P%[ˇ"/>
          <w:b/>
          <w:sz w:val="20"/>
        </w:rPr>
        <w:t>Chart 1: VCAT attendances – 2005 to 2019</w:t>
      </w:r>
    </w:p>
    <w:p w14:paraId="6EDAC7AB" w14:textId="5C30BDC7" w:rsidR="0024455A" w:rsidRPr="00503F5B" w:rsidRDefault="0024455A" w:rsidP="0024455A">
      <w:pPr>
        <w:jc w:val="both"/>
      </w:pPr>
    </w:p>
    <w:p w14:paraId="54ED6D8F" w14:textId="44B36EA5" w:rsidR="0024455A" w:rsidRPr="00503F5B" w:rsidRDefault="0024455A" w:rsidP="0024455A">
      <w:pPr>
        <w:ind w:firstLine="851"/>
        <w:jc w:val="both"/>
      </w:pPr>
      <w:r w:rsidRPr="00503F5B">
        <w:rPr>
          <w:noProof/>
        </w:rPr>
        <w:drawing>
          <wp:inline distT="0" distB="0" distL="0" distR="0" wp14:anchorId="32A88972" wp14:editId="529B8461">
            <wp:extent cx="4420870" cy="2703830"/>
            <wp:effectExtent l="0" t="0" r="17780" b="1270"/>
            <wp:docPr id="1" name="Chart 1">
              <a:extLst xmlns:a="http://schemas.openxmlformats.org/drawingml/2006/main">
                <a:ext uri="{FF2B5EF4-FFF2-40B4-BE49-F238E27FC236}">
                  <a16:creationId xmlns:a16="http://schemas.microsoft.com/office/drawing/2014/main" id="{E87F9181-B6BD-4EFE-9F3A-7BC4C1EBCE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E204E1" w14:textId="77777777" w:rsidR="0024455A" w:rsidRPr="00503F5B" w:rsidRDefault="0024455A" w:rsidP="0024455A">
      <w:pPr>
        <w:rPr>
          <w:rFonts w:cs="P%[ˇ"/>
          <w:sz w:val="18"/>
          <w:szCs w:val="18"/>
        </w:rPr>
      </w:pPr>
    </w:p>
    <w:p w14:paraId="6DE1ED86" w14:textId="77777777" w:rsidR="0024455A" w:rsidRPr="00503F5B" w:rsidRDefault="0024455A" w:rsidP="0024455A">
      <w:pPr>
        <w:rPr>
          <w:sz w:val="18"/>
          <w:szCs w:val="18"/>
        </w:rPr>
      </w:pPr>
      <w:r w:rsidRPr="00503F5B">
        <w:rPr>
          <w:rFonts w:cs="P%[ˇ"/>
          <w:sz w:val="18"/>
          <w:szCs w:val="18"/>
        </w:rPr>
        <w:t>Source: MFB</w:t>
      </w:r>
    </w:p>
    <w:p w14:paraId="756E1648" w14:textId="1B59C2E4" w:rsidR="00DC189E" w:rsidRPr="00503F5B" w:rsidRDefault="00DC189E" w:rsidP="00F94B17">
      <w:pPr>
        <w:jc w:val="both"/>
      </w:pPr>
    </w:p>
    <w:p w14:paraId="2FE6D620" w14:textId="24FCD8D8" w:rsidR="0024455A" w:rsidRPr="00503F5B" w:rsidRDefault="0024455A" w:rsidP="0024455A">
      <w:pPr>
        <w:widowControl w:val="0"/>
        <w:autoSpaceDE w:val="0"/>
        <w:autoSpaceDN w:val="0"/>
        <w:adjustRightInd w:val="0"/>
        <w:jc w:val="both"/>
        <w:rPr>
          <w:rFonts w:cs="P%[ˇ"/>
        </w:rPr>
      </w:pPr>
      <w:r w:rsidRPr="00503F5B">
        <w:rPr>
          <w:rFonts w:cs="P%[ˇ"/>
        </w:rPr>
        <w:t xml:space="preserve">Of the eight </w:t>
      </w:r>
      <w:r w:rsidR="002F6B9D" w:rsidRPr="00503F5B">
        <w:rPr>
          <w:rFonts w:cs="P%[ˇ"/>
        </w:rPr>
        <w:t xml:space="preserve">VCAT </w:t>
      </w:r>
      <w:r w:rsidRPr="00503F5B">
        <w:rPr>
          <w:rFonts w:cs="P%[ˇ"/>
        </w:rPr>
        <w:t xml:space="preserve">attendances for 2014, five were resolved, one was struck out and two proceeded to a VCAT hearing in which </w:t>
      </w:r>
      <w:r w:rsidR="00595DFB" w:rsidRPr="00503F5B">
        <w:rPr>
          <w:rFonts w:cs="P%[ˇ"/>
        </w:rPr>
        <w:t>MFB</w:t>
      </w:r>
      <w:r w:rsidRPr="00503F5B">
        <w:rPr>
          <w:rFonts w:cs="P%[ˇ"/>
        </w:rPr>
        <w:t xml:space="preserve"> were successful.</w:t>
      </w:r>
      <w:r w:rsidR="00A85906" w:rsidRPr="00503F5B">
        <w:rPr>
          <w:rFonts w:cs="P%[ˇ"/>
        </w:rPr>
        <w:t xml:space="preserve"> </w:t>
      </w:r>
    </w:p>
    <w:p w14:paraId="205B3220" w14:textId="659EC280" w:rsidR="00A85906" w:rsidRPr="00503F5B" w:rsidRDefault="00A85906" w:rsidP="0024455A">
      <w:pPr>
        <w:widowControl w:val="0"/>
        <w:autoSpaceDE w:val="0"/>
        <w:autoSpaceDN w:val="0"/>
        <w:adjustRightInd w:val="0"/>
        <w:jc w:val="both"/>
        <w:rPr>
          <w:rFonts w:cs="P%[ˇ"/>
        </w:rPr>
      </w:pPr>
    </w:p>
    <w:p w14:paraId="3BC155AF" w14:textId="56D2553A" w:rsidR="00C35213" w:rsidRPr="00503F5B" w:rsidRDefault="00A85906" w:rsidP="002145FD">
      <w:pPr>
        <w:widowControl w:val="0"/>
        <w:autoSpaceDE w:val="0"/>
        <w:autoSpaceDN w:val="0"/>
        <w:adjustRightInd w:val="0"/>
        <w:jc w:val="both"/>
      </w:pPr>
      <w:r w:rsidRPr="00503F5B">
        <w:rPr>
          <w:rFonts w:cs="P%[ˇ"/>
        </w:rPr>
        <w:t xml:space="preserve">Data for VCAT attendances from </w:t>
      </w:r>
      <w:r w:rsidR="00B36EEE" w:rsidRPr="00503F5B">
        <w:rPr>
          <w:rFonts w:cs="P%[ˇ"/>
        </w:rPr>
        <w:t>CFA</w:t>
      </w:r>
      <w:r w:rsidRPr="00503F5B">
        <w:rPr>
          <w:rFonts w:cs="P%[ˇ"/>
        </w:rPr>
        <w:t xml:space="preserve"> is not easily separated from those appeals relating to non-integrated stations. However</w:t>
      </w:r>
      <w:r w:rsidR="000240E7" w:rsidRPr="00503F5B">
        <w:rPr>
          <w:rFonts w:cs="P%[ˇ"/>
        </w:rPr>
        <w:t>,</w:t>
      </w:r>
      <w:r w:rsidRPr="00503F5B">
        <w:rPr>
          <w:rFonts w:cs="P%[ˇ"/>
        </w:rPr>
        <w:t xml:space="preserve"> for </w:t>
      </w:r>
      <w:proofErr w:type="gramStart"/>
      <w:r w:rsidRPr="00503F5B">
        <w:rPr>
          <w:rFonts w:cs="P%[ˇ"/>
        </w:rPr>
        <w:t>CFA as a whole, VCAT</w:t>
      </w:r>
      <w:proofErr w:type="gramEnd"/>
      <w:r w:rsidRPr="00503F5B">
        <w:rPr>
          <w:rFonts w:cs="P%[ˇ"/>
        </w:rPr>
        <w:t xml:space="preserve"> </w:t>
      </w:r>
      <w:r w:rsidR="000240E7" w:rsidRPr="00503F5B">
        <w:rPr>
          <w:rFonts w:cs="P%[ˇ"/>
        </w:rPr>
        <w:t>attendances</w:t>
      </w:r>
      <w:r w:rsidR="000240E7" w:rsidRPr="00503F5B">
        <w:rPr>
          <w:rStyle w:val="FootnoteReference"/>
          <w:rFonts w:cs="P%[ˇ"/>
        </w:rPr>
        <w:footnoteReference w:id="12"/>
      </w:r>
      <w:r w:rsidR="000240E7" w:rsidRPr="00503F5B">
        <w:rPr>
          <w:rFonts w:cs="P%[ˇ"/>
        </w:rPr>
        <w:t xml:space="preserve"> </w:t>
      </w:r>
      <w:r w:rsidRPr="00503F5B">
        <w:rPr>
          <w:rFonts w:cs="P%[ˇ"/>
        </w:rPr>
        <w:t>relating to false alarm charges were nil between 2015-16 and 2018-19</w:t>
      </w:r>
      <w:r w:rsidR="000240E7" w:rsidRPr="00503F5B">
        <w:rPr>
          <w:rFonts w:cs="P%[ˇ"/>
        </w:rPr>
        <w:t>.</w:t>
      </w:r>
    </w:p>
    <w:p w14:paraId="62AE9A8F" w14:textId="0BA377C2" w:rsidR="00DC2B2D" w:rsidRPr="00503F5B" w:rsidRDefault="00DC2B2D" w:rsidP="00517C6D">
      <w:r w:rsidRPr="00503F5B">
        <w:br w:type="page"/>
      </w:r>
    </w:p>
    <w:p w14:paraId="5504ED30" w14:textId="0177E39B" w:rsidR="00C35213" w:rsidRPr="00503F5B" w:rsidRDefault="00C35213" w:rsidP="00F94B17">
      <w:pPr>
        <w:pStyle w:val="Heading3"/>
      </w:pPr>
      <w:bookmarkStart w:id="43" w:name="_Toc35804121"/>
      <w:bookmarkStart w:id="44" w:name="_Toc35804615"/>
      <w:bookmarkStart w:id="45" w:name="_Toc35812659"/>
      <w:r w:rsidRPr="00503F5B">
        <w:lastRenderedPageBreak/>
        <w:t>1.</w:t>
      </w:r>
      <w:r w:rsidR="00BB1B7F" w:rsidRPr="00503F5B">
        <w:t>3</w:t>
      </w:r>
      <w:r w:rsidRPr="00503F5B">
        <w:t>.</w:t>
      </w:r>
      <w:r w:rsidR="00BB1B7F" w:rsidRPr="00503F5B">
        <w:t>5</w:t>
      </w:r>
      <w:r w:rsidRPr="00503F5B">
        <w:t xml:space="preserve"> Current MFB and CFA </w:t>
      </w:r>
      <w:r w:rsidR="0024455A" w:rsidRPr="00503F5B">
        <w:t xml:space="preserve">call response and attendance </w:t>
      </w:r>
      <w:r w:rsidRPr="00503F5B">
        <w:t>activities</w:t>
      </w:r>
      <w:bookmarkEnd w:id="43"/>
      <w:bookmarkEnd w:id="44"/>
      <w:bookmarkEnd w:id="45"/>
    </w:p>
    <w:p w14:paraId="56FAF4B0" w14:textId="7489E126" w:rsidR="00C35213" w:rsidRPr="00503F5B" w:rsidRDefault="00C35213" w:rsidP="008360E5">
      <w:pPr>
        <w:jc w:val="both"/>
      </w:pPr>
    </w:p>
    <w:p w14:paraId="688F5E25" w14:textId="06BBDE7B" w:rsidR="00C35213" w:rsidRPr="00503F5B" w:rsidRDefault="00D1073D" w:rsidP="008360E5">
      <w:pPr>
        <w:jc w:val="both"/>
      </w:pPr>
      <w:r w:rsidRPr="00503F5B">
        <w:t xml:space="preserve">As shown in Table 3, in 2018-19 </w:t>
      </w:r>
      <w:r w:rsidR="00595DFB" w:rsidRPr="00503F5B">
        <w:t>MFB</w:t>
      </w:r>
      <w:r w:rsidRPr="00503F5B">
        <w:t xml:space="preserve"> responded to 37,632 calls – an average of 37,247 calls responded to between 2011-12 and 2018-19.  In 2018-19 CFA </w:t>
      </w:r>
      <w:proofErr w:type="gramStart"/>
      <w:r w:rsidRPr="00503F5B">
        <w:t>as a whole responded</w:t>
      </w:r>
      <w:proofErr w:type="gramEnd"/>
      <w:r w:rsidRPr="00503F5B">
        <w:t xml:space="preserve"> to 45,610 calls – an average of 43,432 calls responded to between 2015-16 and 2018-19.</w:t>
      </w:r>
    </w:p>
    <w:p w14:paraId="7F7350C1" w14:textId="05EE0409" w:rsidR="00D1073D" w:rsidRPr="00503F5B" w:rsidRDefault="00D1073D" w:rsidP="008360E5">
      <w:pPr>
        <w:jc w:val="both"/>
      </w:pPr>
    </w:p>
    <w:p w14:paraId="53F689D9" w14:textId="7052BA98" w:rsidR="00D1073D" w:rsidRPr="00503F5B" w:rsidRDefault="00D1073D" w:rsidP="00D1073D">
      <w:pPr>
        <w:jc w:val="center"/>
        <w:rPr>
          <w:b/>
          <w:sz w:val="20"/>
          <w:szCs w:val="20"/>
        </w:rPr>
      </w:pPr>
      <w:bookmarkStart w:id="46" w:name="_Hlk35519353"/>
      <w:r w:rsidRPr="00503F5B">
        <w:rPr>
          <w:b/>
          <w:sz w:val="20"/>
          <w:szCs w:val="20"/>
        </w:rPr>
        <w:t>Table 3: Total number of calls</w:t>
      </w:r>
      <w:r w:rsidR="003629E3" w:rsidRPr="00503F5B">
        <w:rPr>
          <w:rStyle w:val="FootnoteReference"/>
          <w:b/>
          <w:sz w:val="20"/>
          <w:szCs w:val="20"/>
        </w:rPr>
        <w:footnoteReference w:id="13"/>
      </w:r>
      <w:r w:rsidRPr="00503F5B">
        <w:rPr>
          <w:b/>
          <w:sz w:val="20"/>
          <w:szCs w:val="20"/>
        </w:rPr>
        <w:t xml:space="preserve"> responded to by </w:t>
      </w:r>
      <w:r w:rsidR="00595DFB" w:rsidRPr="00503F5B">
        <w:rPr>
          <w:b/>
          <w:sz w:val="20"/>
          <w:szCs w:val="20"/>
        </w:rPr>
        <w:t>MFB</w:t>
      </w:r>
      <w:r w:rsidR="003629E3" w:rsidRPr="00503F5B">
        <w:rPr>
          <w:rStyle w:val="FootnoteReference"/>
          <w:b/>
          <w:sz w:val="20"/>
          <w:szCs w:val="20"/>
        </w:rPr>
        <w:footnoteReference w:id="14"/>
      </w:r>
      <w:r w:rsidRPr="00503F5B">
        <w:rPr>
          <w:b/>
          <w:sz w:val="20"/>
          <w:szCs w:val="20"/>
        </w:rPr>
        <w:t xml:space="preserve"> and whole of CFA</w:t>
      </w:r>
    </w:p>
    <w:p w14:paraId="40EA3B06" w14:textId="77777777" w:rsidR="003629E3" w:rsidRPr="00503F5B" w:rsidRDefault="003629E3" w:rsidP="00D1073D">
      <w:pPr>
        <w:jc w:val="center"/>
        <w:rPr>
          <w:b/>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2480"/>
        <w:gridCol w:w="2922"/>
      </w:tblGrid>
      <w:tr w:rsidR="00D1073D" w:rsidRPr="00503F5B" w14:paraId="187ED56E" w14:textId="6622E98F" w:rsidTr="009917B8">
        <w:trPr>
          <w:trHeight w:val="90"/>
          <w:tblHeader/>
          <w:jc w:val="center"/>
        </w:trPr>
        <w:tc>
          <w:tcPr>
            <w:tcW w:w="2820" w:type="dxa"/>
            <w:tcBorders>
              <w:top w:val="single" w:sz="4" w:space="0" w:color="ED7C5D"/>
              <w:bottom w:val="double" w:sz="4" w:space="0" w:color="ED7C5D"/>
            </w:tcBorders>
            <w:noWrap/>
            <w:hideMark/>
          </w:tcPr>
          <w:p w14:paraId="6DBE88DC" w14:textId="578A429C" w:rsidR="00D1073D" w:rsidRPr="00503F5B" w:rsidRDefault="00D1073D" w:rsidP="00505B69">
            <w:pPr>
              <w:jc w:val="center"/>
              <w:rPr>
                <w:b/>
                <w:color w:val="BE2A18"/>
                <w:sz w:val="20"/>
                <w:szCs w:val="20"/>
                <w:lang w:val="en-AU"/>
              </w:rPr>
            </w:pPr>
            <w:r w:rsidRPr="00503F5B">
              <w:rPr>
                <w:b/>
                <w:color w:val="BE2A18"/>
                <w:sz w:val="20"/>
                <w:szCs w:val="20"/>
                <w:lang w:val="en-AU"/>
              </w:rPr>
              <w:t>Year</w:t>
            </w:r>
          </w:p>
        </w:tc>
        <w:tc>
          <w:tcPr>
            <w:tcW w:w="2480" w:type="dxa"/>
            <w:tcBorders>
              <w:top w:val="single" w:sz="4" w:space="0" w:color="ED7C5D"/>
              <w:bottom w:val="double" w:sz="4" w:space="0" w:color="ED7C5D"/>
            </w:tcBorders>
            <w:noWrap/>
            <w:hideMark/>
          </w:tcPr>
          <w:p w14:paraId="41955230" w14:textId="0F210117" w:rsidR="00D1073D" w:rsidRPr="00503F5B" w:rsidRDefault="00D1073D" w:rsidP="00505B69">
            <w:pPr>
              <w:jc w:val="center"/>
              <w:rPr>
                <w:b/>
                <w:color w:val="BE2A18"/>
                <w:sz w:val="20"/>
                <w:szCs w:val="20"/>
                <w:lang w:val="en-AU"/>
              </w:rPr>
            </w:pPr>
            <w:r w:rsidRPr="00503F5B">
              <w:rPr>
                <w:b/>
                <w:color w:val="BE2A18"/>
                <w:sz w:val="20"/>
                <w:szCs w:val="20"/>
                <w:lang w:val="en-AU"/>
              </w:rPr>
              <w:t>Number of calls (MFB)</w:t>
            </w:r>
          </w:p>
        </w:tc>
        <w:tc>
          <w:tcPr>
            <w:tcW w:w="2922" w:type="dxa"/>
            <w:tcBorders>
              <w:top w:val="single" w:sz="4" w:space="0" w:color="ED7C5D"/>
              <w:bottom w:val="double" w:sz="4" w:space="0" w:color="ED7C5D"/>
            </w:tcBorders>
          </w:tcPr>
          <w:p w14:paraId="64670A3C" w14:textId="485199D6" w:rsidR="00D1073D" w:rsidRPr="00503F5B" w:rsidRDefault="00D1073D" w:rsidP="00505B69">
            <w:pPr>
              <w:jc w:val="center"/>
              <w:rPr>
                <w:b/>
                <w:color w:val="BE2A18"/>
                <w:sz w:val="20"/>
                <w:szCs w:val="20"/>
                <w:lang w:val="en-AU"/>
              </w:rPr>
            </w:pPr>
            <w:r w:rsidRPr="00503F5B">
              <w:rPr>
                <w:b/>
                <w:color w:val="BE2A18"/>
                <w:sz w:val="20"/>
                <w:szCs w:val="20"/>
                <w:lang w:val="en-AU"/>
              </w:rPr>
              <w:t>Number of calls (Whole CFA)</w:t>
            </w:r>
          </w:p>
        </w:tc>
      </w:tr>
      <w:tr w:rsidR="00CF7A16" w:rsidRPr="00503F5B" w14:paraId="0B647E65" w14:textId="6000803A" w:rsidTr="009917B8">
        <w:trPr>
          <w:trHeight w:val="49"/>
          <w:jc w:val="center"/>
        </w:trPr>
        <w:tc>
          <w:tcPr>
            <w:tcW w:w="2820" w:type="dxa"/>
            <w:tcBorders>
              <w:top w:val="double" w:sz="4" w:space="0" w:color="ED7C5D"/>
            </w:tcBorders>
            <w:noWrap/>
            <w:hideMark/>
          </w:tcPr>
          <w:p w14:paraId="54CE9635" w14:textId="7B9F7004" w:rsidR="00CF7A16" w:rsidRPr="00503F5B" w:rsidRDefault="00CF7A16" w:rsidP="00CF7A16">
            <w:pPr>
              <w:jc w:val="center"/>
              <w:rPr>
                <w:sz w:val="20"/>
                <w:szCs w:val="20"/>
                <w:lang w:val="en-AU"/>
              </w:rPr>
            </w:pPr>
            <w:r w:rsidRPr="00503F5B">
              <w:rPr>
                <w:sz w:val="20"/>
                <w:szCs w:val="20"/>
                <w:lang w:val="en-AU"/>
              </w:rPr>
              <w:t>2011-12</w:t>
            </w:r>
          </w:p>
        </w:tc>
        <w:tc>
          <w:tcPr>
            <w:tcW w:w="2480" w:type="dxa"/>
            <w:tcBorders>
              <w:top w:val="double" w:sz="4" w:space="0" w:color="ED7C5D"/>
            </w:tcBorders>
            <w:noWrap/>
            <w:hideMark/>
          </w:tcPr>
          <w:p w14:paraId="14654067" w14:textId="288C7A30" w:rsidR="00CF7A16" w:rsidRPr="00503F5B" w:rsidRDefault="00CF7A16" w:rsidP="00CF7A16">
            <w:pPr>
              <w:jc w:val="center"/>
              <w:rPr>
                <w:sz w:val="20"/>
                <w:szCs w:val="20"/>
                <w:lang w:val="en-AU"/>
              </w:rPr>
            </w:pPr>
            <w:r w:rsidRPr="00503F5B">
              <w:rPr>
                <w:sz w:val="20"/>
                <w:szCs w:val="20"/>
                <w:lang w:val="en-AU"/>
              </w:rPr>
              <w:t>35,058</w:t>
            </w:r>
          </w:p>
        </w:tc>
        <w:tc>
          <w:tcPr>
            <w:tcW w:w="2922" w:type="dxa"/>
            <w:tcBorders>
              <w:top w:val="double" w:sz="4" w:space="0" w:color="ED7C5D"/>
            </w:tcBorders>
          </w:tcPr>
          <w:p w14:paraId="0E442882" w14:textId="30CD55FA" w:rsidR="00CF7A16" w:rsidRPr="00503F5B" w:rsidRDefault="00CF7A16" w:rsidP="00CF7A16">
            <w:pPr>
              <w:jc w:val="center"/>
              <w:rPr>
                <w:sz w:val="20"/>
                <w:szCs w:val="20"/>
                <w:lang w:val="en-AU"/>
              </w:rPr>
            </w:pPr>
            <w:r w:rsidRPr="00503F5B">
              <w:rPr>
                <w:sz w:val="20"/>
                <w:szCs w:val="20"/>
                <w:lang w:val="en-AU"/>
              </w:rPr>
              <w:t>37,239</w:t>
            </w:r>
          </w:p>
        </w:tc>
      </w:tr>
      <w:tr w:rsidR="00CF7A16" w:rsidRPr="00503F5B" w14:paraId="758C0C7C" w14:textId="67D2CB3B" w:rsidTr="009917B8">
        <w:trPr>
          <w:trHeight w:val="129"/>
          <w:jc w:val="center"/>
        </w:trPr>
        <w:tc>
          <w:tcPr>
            <w:tcW w:w="2820" w:type="dxa"/>
            <w:noWrap/>
            <w:hideMark/>
          </w:tcPr>
          <w:p w14:paraId="2951AD67" w14:textId="490D6AD1" w:rsidR="00CF7A16" w:rsidRPr="00503F5B" w:rsidRDefault="00CF7A16" w:rsidP="00CF7A16">
            <w:pPr>
              <w:jc w:val="center"/>
              <w:rPr>
                <w:sz w:val="20"/>
                <w:szCs w:val="20"/>
                <w:lang w:val="en-AU"/>
              </w:rPr>
            </w:pPr>
            <w:r w:rsidRPr="00503F5B">
              <w:rPr>
                <w:sz w:val="20"/>
                <w:szCs w:val="20"/>
                <w:lang w:val="en-AU"/>
              </w:rPr>
              <w:t>2012-13</w:t>
            </w:r>
          </w:p>
        </w:tc>
        <w:tc>
          <w:tcPr>
            <w:tcW w:w="2480" w:type="dxa"/>
            <w:noWrap/>
            <w:hideMark/>
          </w:tcPr>
          <w:p w14:paraId="3D76118C" w14:textId="7C202CD1" w:rsidR="00CF7A16" w:rsidRPr="00503F5B" w:rsidRDefault="00CF7A16" w:rsidP="00CF7A16">
            <w:pPr>
              <w:jc w:val="center"/>
              <w:rPr>
                <w:sz w:val="20"/>
                <w:szCs w:val="20"/>
                <w:lang w:val="en-AU"/>
              </w:rPr>
            </w:pPr>
            <w:r w:rsidRPr="00503F5B">
              <w:rPr>
                <w:sz w:val="20"/>
                <w:szCs w:val="20"/>
                <w:lang w:val="en-AU"/>
              </w:rPr>
              <w:t>36,024</w:t>
            </w:r>
          </w:p>
        </w:tc>
        <w:tc>
          <w:tcPr>
            <w:tcW w:w="2922" w:type="dxa"/>
          </w:tcPr>
          <w:p w14:paraId="1CCB85A1" w14:textId="50681BEE" w:rsidR="00CF7A16" w:rsidRPr="00503F5B" w:rsidRDefault="00CF7A16" w:rsidP="00CF7A16">
            <w:pPr>
              <w:jc w:val="center"/>
              <w:rPr>
                <w:sz w:val="20"/>
                <w:szCs w:val="20"/>
                <w:lang w:val="en-AU"/>
              </w:rPr>
            </w:pPr>
            <w:r w:rsidRPr="00503F5B">
              <w:rPr>
                <w:sz w:val="20"/>
                <w:szCs w:val="20"/>
                <w:lang w:val="en-AU"/>
              </w:rPr>
              <w:t>42,990</w:t>
            </w:r>
          </w:p>
        </w:tc>
      </w:tr>
      <w:tr w:rsidR="00CF7A16" w:rsidRPr="00503F5B" w14:paraId="28B8F90A" w14:textId="46D23A3E" w:rsidTr="009917B8">
        <w:trPr>
          <w:trHeight w:val="69"/>
          <w:jc w:val="center"/>
        </w:trPr>
        <w:tc>
          <w:tcPr>
            <w:tcW w:w="2820" w:type="dxa"/>
            <w:noWrap/>
            <w:hideMark/>
          </w:tcPr>
          <w:p w14:paraId="18C7EF14" w14:textId="60C9B0BA" w:rsidR="00CF7A16" w:rsidRPr="00503F5B" w:rsidRDefault="00CF7A16" w:rsidP="00CF7A16">
            <w:pPr>
              <w:jc w:val="center"/>
              <w:rPr>
                <w:sz w:val="20"/>
                <w:szCs w:val="20"/>
                <w:lang w:val="en-AU"/>
              </w:rPr>
            </w:pPr>
            <w:r w:rsidRPr="00503F5B">
              <w:rPr>
                <w:sz w:val="20"/>
                <w:szCs w:val="20"/>
                <w:lang w:val="en-AU"/>
              </w:rPr>
              <w:t>2013-14</w:t>
            </w:r>
          </w:p>
        </w:tc>
        <w:tc>
          <w:tcPr>
            <w:tcW w:w="2480" w:type="dxa"/>
            <w:noWrap/>
            <w:hideMark/>
          </w:tcPr>
          <w:p w14:paraId="492B99D2" w14:textId="1794BFA2" w:rsidR="00CF7A16" w:rsidRPr="00503F5B" w:rsidRDefault="00CF7A16" w:rsidP="00CF7A16">
            <w:pPr>
              <w:jc w:val="center"/>
              <w:rPr>
                <w:sz w:val="20"/>
                <w:szCs w:val="20"/>
                <w:lang w:val="en-AU"/>
              </w:rPr>
            </w:pPr>
            <w:r w:rsidRPr="00503F5B">
              <w:rPr>
                <w:sz w:val="20"/>
                <w:szCs w:val="20"/>
                <w:lang w:val="en-AU"/>
              </w:rPr>
              <w:t>36,611</w:t>
            </w:r>
          </w:p>
        </w:tc>
        <w:tc>
          <w:tcPr>
            <w:tcW w:w="2922" w:type="dxa"/>
          </w:tcPr>
          <w:p w14:paraId="0A1144AD" w14:textId="45045792" w:rsidR="00CF7A16" w:rsidRPr="00503F5B" w:rsidRDefault="00CF7A16" w:rsidP="00CF7A16">
            <w:pPr>
              <w:jc w:val="center"/>
              <w:rPr>
                <w:sz w:val="20"/>
                <w:szCs w:val="20"/>
                <w:lang w:val="en-AU"/>
              </w:rPr>
            </w:pPr>
            <w:r w:rsidRPr="00503F5B">
              <w:rPr>
                <w:sz w:val="20"/>
                <w:szCs w:val="20"/>
                <w:lang w:val="en-AU"/>
              </w:rPr>
              <w:t>41,843</w:t>
            </w:r>
          </w:p>
        </w:tc>
      </w:tr>
      <w:tr w:rsidR="00CF7A16" w:rsidRPr="00503F5B" w14:paraId="6B8B77F6" w14:textId="538466C1" w:rsidTr="009917B8">
        <w:trPr>
          <w:trHeight w:val="69"/>
          <w:jc w:val="center"/>
        </w:trPr>
        <w:tc>
          <w:tcPr>
            <w:tcW w:w="2820" w:type="dxa"/>
            <w:noWrap/>
          </w:tcPr>
          <w:p w14:paraId="574B0CFD" w14:textId="3D9425AF" w:rsidR="00CF7A16" w:rsidRPr="00503F5B" w:rsidRDefault="00CF7A16" w:rsidP="00CF7A16">
            <w:pPr>
              <w:jc w:val="center"/>
              <w:rPr>
                <w:sz w:val="20"/>
                <w:szCs w:val="20"/>
                <w:lang w:val="en-AU"/>
              </w:rPr>
            </w:pPr>
            <w:r w:rsidRPr="00503F5B">
              <w:rPr>
                <w:sz w:val="20"/>
                <w:szCs w:val="20"/>
                <w:lang w:val="en-AU"/>
              </w:rPr>
              <w:t>2014-15</w:t>
            </w:r>
          </w:p>
        </w:tc>
        <w:tc>
          <w:tcPr>
            <w:tcW w:w="2480" w:type="dxa"/>
            <w:noWrap/>
          </w:tcPr>
          <w:p w14:paraId="753E212B" w14:textId="40886485" w:rsidR="00CF7A16" w:rsidRPr="00503F5B" w:rsidRDefault="00CF7A16" w:rsidP="00CF7A16">
            <w:pPr>
              <w:jc w:val="center"/>
              <w:rPr>
                <w:sz w:val="20"/>
                <w:szCs w:val="20"/>
                <w:lang w:val="en-AU"/>
              </w:rPr>
            </w:pPr>
            <w:r w:rsidRPr="00503F5B">
              <w:rPr>
                <w:sz w:val="20"/>
                <w:szCs w:val="20"/>
                <w:lang w:val="en-AU"/>
              </w:rPr>
              <w:t>36,789</w:t>
            </w:r>
          </w:p>
        </w:tc>
        <w:tc>
          <w:tcPr>
            <w:tcW w:w="2922" w:type="dxa"/>
          </w:tcPr>
          <w:p w14:paraId="1966E603" w14:textId="52A05B46" w:rsidR="00CF7A16" w:rsidRPr="00503F5B" w:rsidRDefault="00CF7A16" w:rsidP="00CF7A16">
            <w:pPr>
              <w:jc w:val="center"/>
              <w:rPr>
                <w:sz w:val="20"/>
                <w:szCs w:val="20"/>
                <w:lang w:val="en-AU"/>
              </w:rPr>
            </w:pPr>
            <w:r w:rsidRPr="00503F5B">
              <w:rPr>
                <w:sz w:val="20"/>
                <w:szCs w:val="20"/>
                <w:lang w:val="en-AU"/>
              </w:rPr>
              <w:t>42,653</w:t>
            </w:r>
          </w:p>
        </w:tc>
      </w:tr>
      <w:tr w:rsidR="00D1073D" w:rsidRPr="00503F5B" w14:paraId="1B0BC039" w14:textId="1B92CA26" w:rsidTr="009917B8">
        <w:trPr>
          <w:trHeight w:val="69"/>
          <w:jc w:val="center"/>
        </w:trPr>
        <w:tc>
          <w:tcPr>
            <w:tcW w:w="2820" w:type="dxa"/>
            <w:noWrap/>
          </w:tcPr>
          <w:p w14:paraId="6086169F" w14:textId="15DFE96B" w:rsidR="00D1073D" w:rsidRPr="00503F5B" w:rsidRDefault="00D1073D" w:rsidP="00D1073D">
            <w:pPr>
              <w:jc w:val="center"/>
              <w:rPr>
                <w:sz w:val="20"/>
                <w:szCs w:val="20"/>
                <w:lang w:val="en-AU"/>
              </w:rPr>
            </w:pPr>
            <w:r w:rsidRPr="00503F5B">
              <w:rPr>
                <w:sz w:val="20"/>
                <w:szCs w:val="20"/>
                <w:lang w:val="en-AU"/>
              </w:rPr>
              <w:t>2015-16</w:t>
            </w:r>
          </w:p>
        </w:tc>
        <w:tc>
          <w:tcPr>
            <w:tcW w:w="2480" w:type="dxa"/>
            <w:noWrap/>
          </w:tcPr>
          <w:p w14:paraId="131EAE27" w14:textId="4B8524C6" w:rsidR="00D1073D" w:rsidRPr="00503F5B" w:rsidRDefault="00D1073D" w:rsidP="00D1073D">
            <w:pPr>
              <w:jc w:val="center"/>
              <w:rPr>
                <w:sz w:val="20"/>
                <w:szCs w:val="20"/>
                <w:lang w:val="en-AU"/>
              </w:rPr>
            </w:pPr>
            <w:r w:rsidRPr="00503F5B">
              <w:rPr>
                <w:sz w:val="20"/>
                <w:szCs w:val="20"/>
                <w:lang w:val="en-AU"/>
              </w:rPr>
              <w:t>37,820</w:t>
            </w:r>
          </w:p>
        </w:tc>
        <w:tc>
          <w:tcPr>
            <w:tcW w:w="2922" w:type="dxa"/>
          </w:tcPr>
          <w:p w14:paraId="6961CB19" w14:textId="4DE08D55" w:rsidR="00D1073D" w:rsidRPr="00503F5B" w:rsidRDefault="00D1073D" w:rsidP="00D1073D">
            <w:pPr>
              <w:jc w:val="center"/>
              <w:rPr>
                <w:sz w:val="20"/>
                <w:szCs w:val="20"/>
                <w:lang w:val="en-AU"/>
              </w:rPr>
            </w:pPr>
            <w:r w:rsidRPr="00503F5B">
              <w:rPr>
                <w:sz w:val="20"/>
                <w:szCs w:val="20"/>
                <w:lang w:val="en-AU"/>
              </w:rPr>
              <w:t>41,962</w:t>
            </w:r>
          </w:p>
        </w:tc>
      </w:tr>
      <w:tr w:rsidR="00D1073D" w:rsidRPr="00503F5B" w14:paraId="30AF0A73" w14:textId="67B9803B" w:rsidTr="009917B8">
        <w:trPr>
          <w:trHeight w:val="69"/>
          <w:jc w:val="center"/>
        </w:trPr>
        <w:tc>
          <w:tcPr>
            <w:tcW w:w="2820" w:type="dxa"/>
            <w:noWrap/>
          </w:tcPr>
          <w:p w14:paraId="61776E30" w14:textId="0EB4FD6F" w:rsidR="00D1073D" w:rsidRPr="00503F5B" w:rsidRDefault="00D1073D" w:rsidP="00D1073D">
            <w:pPr>
              <w:jc w:val="center"/>
              <w:rPr>
                <w:sz w:val="20"/>
                <w:szCs w:val="20"/>
                <w:lang w:val="en-AU"/>
              </w:rPr>
            </w:pPr>
            <w:r w:rsidRPr="00503F5B">
              <w:rPr>
                <w:sz w:val="20"/>
                <w:szCs w:val="20"/>
                <w:lang w:val="en-AU"/>
              </w:rPr>
              <w:t>2016-17</w:t>
            </w:r>
          </w:p>
        </w:tc>
        <w:tc>
          <w:tcPr>
            <w:tcW w:w="2480" w:type="dxa"/>
            <w:noWrap/>
          </w:tcPr>
          <w:p w14:paraId="3DCB05EC" w14:textId="3A9AC1B5" w:rsidR="00D1073D" w:rsidRPr="00503F5B" w:rsidRDefault="00D1073D" w:rsidP="00D1073D">
            <w:pPr>
              <w:jc w:val="center"/>
              <w:rPr>
                <w:sz w:val="20"/>
                <w:szCs w:val="20"/>
                <w:lang w:val="en-AU"/>
              </w:rPr>
            </w:pPr>
            <w:r w:rsidRPr="00503F5B">
              <w:rPr>
                <w:sz w:val="20"/>
                <w:szCs w:val="20"/>
                <w:lang w:val="en-AU"/>
              </w:rPr>
              <w:t>38,799</w:t>
            </w:r>
          </w:p>
        </w:tc>
        <w:tc>
          <w:tcPr>
            <w:tcW w:w="2922" w:type="dxa"/>
          </w:tcPr>
          <w:p w14:paraId="527944D4" w14:textId="5E060FB3" w:rsidR="00D1073D" w:rsidRPr="00503F5B" w:rsidRDefault="00D1073D" w:rsidP="00D1073D">
            <w:pPr>
              <w:jc w:val="center"/>
              <w:rPr>
                <w:sz w:val="20"/>
                <w:szCs w:val="20"/>
                <w:lang w:val="en-AU"/>
              </w:rPr>
            </w:pPr>
            <w:r w:rsidRPr="00503F5B">
              <w:rPr>
                <w:sz w:val="20"/>
                <w:szCs w:val="20"/>
                <w:lang w:val="en-AU"/>
              </w:rPr>
              <w:t>41,615</w:t>
            </w:r>
          </w:p>
        </w:tc>
      </w:tr>
      <w:tr w:rsidR="00D1073D" w:rsidRPr="00503F5B" w14:paraId="4FE8138A" w14:textId="11525A5A" w:rsidTr="009917B8">
        <w:trPr>
          <w:trHeight w:val="69"/>
          <w:jc w:val="center"/>
        </w:trPr>
        <w:tc>
          <w:tcPr>
            <w:tcW w:w="2820" w:type="dxa"/>
            <w:noWrap/>
          </w:tcPr>
          <w:p w14:paraId="46309DD7" w14:textId="3E018863" w:rsidR="00D1073D" w:rsidRPr="00503F5B" w:rsidRDefault="00D1073D" w:rsidP="00D1073D">
            <w:pPr>
              <w:jc w:val="center"/>
              <w:rPr>
                <w:sz w:val="20"/>
                <w:szCs w:val="20"/>
                <w:lang w:val="en-AU"/>
              </w:rPr>
            </w:pPr>
            <w:r w:rsidRPr="00503F5B">
              <w:rPr>
                <w:sz w:val="20"/>
                <w:szCs w:val="20"/>
                <w:lang w:val="en-AU"/>
              </w:rPr>
              <w:t>2017-18</w:t>
            </w:r>
          </w:p>
        </w:tc>
        <w:tc>
          <w:tcPr>
            <w:tcW w:w="2480" w:type="dxa"/>
            <w:noWrap/>
          </w:tcPr>
          <w:p w14:paraId="5224268F" w14:textId="299522CA" w:rsidR="00D1073D" w:rsidRPr="00503F5B" w:rsidRDefault="00D1073D" w:rsidP="00D1073D">
            <w:pPr>
              <w:jc w:val="center"/>
              <w:rPr>
                <w:sz w:val="20"/>
                <w:szCs w:val="20"/>
                <w:lang w:val="en-AU"/>
              </w:rPr>
            </w:pPr>
            <w:r w:rsidRPr="00503F5B">
              <w:rPr>
                <w:sz w:val="20"/>
                <w:szCs w:val="20"/>
                <w:lang w:val="en-AU"/>
              </w:rPr>
              <w:t>39,239</w:t>
            </w:r>
          </w:p>
        </w:tc>
        <w:tc>
          <w:tcPr>
            <w:tcW w:w="2922" w:type="dxa"/>
          </w:tcPr>
          <w:p w14:paraId="1F60E04D" w14:textId="59647446" w:rsidR="00D1073D" w:rsidRPr="00503F5B" w:rsidRDefault="00D1073D" w:rsidP="00D1073D">
            <w:pPr>
              <w:jc w:val="center"/>
              <w:rPr>
                <w:sz w:val="20"/>
                <w:szCs w:val="20"/>
                <w:lang w:val="en-AU"/>
              </w:rPr>
            </w:pPr>
            <w:r w:rsidRPr="00503F5B">
              <w:rPr>
                <w:sz w:val="20"/>
                <w:szCs w:val="20"/>
                <w:lang w:val="en-AU"/>
              </w:rPr>
              <w:t>44,539</w:t>
            </w:r>
          </w:p>
        </w:tc>
      </w:tr>
      <w:tr w:rsidR="00D1073D" w:rsidRPr="00503F5B" w14:paraId="6488A1D1" w14:textId="6289A6E3" w:rsidTr="009917B8">
        <w:trPr>
          <w:trHeight w:val="69"/>
          <w:jc w:val="center"/>
        </w:trPr>
        <w:tc>
          <w:tcPr>
            <w:tcW w:w="2820" w:type="dxa"/>
            <w:tcBorders>
              <w:bottom w:val="single" w:sz="4" w:space="0" w:color="ED7C5D"/>
            </w:tcBorders>
            <w:noWrap/>
          </w:tcPr>
          <w:p w14:paraId="41481276" w14:textId="562F69C5" w:rsidR="00D1073D" w:rsidRPr="00503F5B" w:rsidRDefault="00D1073D" w:rsidP="00D1073D">
            <w:pPr>
              <w:jc w:val="center"/>
              <w:rPr>
                <w:sz w:val="20"/>
                <w:szCs w:val="20"/>
                <w:lang w:val="en-AU"/>
              </w:rPr>
            </w:pPr>
            <w:r w:rsidRPr="00503F5B">
              <w:rPr>
                <w:sz w:val="20"/>
                <w:szCs w:val="20"/>
                <w:lang w:val="en-AU"/>
              </w:rPr>
              <w:t>2018-19</w:t>
            </w:r>
          </w:p>
        </w:tc>
        <w:tc>
          <w:tcPr>
            <w:tcW w:w="2480" w:type="dxa"/>
            <w:tcBorders>
              <w:bottom w:val="single" w:sz="4" w:space="0" w:color="ED7C5D"/>
            </w:tcBorders>
            <w:noWrap/>
          </w:tcPr>
          <w:p w14:paraId="04F9218C" w14:textId="7DCD99E9" w:rsidR="00D1073D" w:rsidRPr="00503F5B" w:rsidRDefault="00D1073D" w:rsidP="00D1073D">
            <w:pPr>
              <w:jc w:val="center"/>
              <w:rPr>
                <w:sz w:val="20"/>
                <w:szCs w:val="20"/>
                <w:lang w:val="en-AU"/>
              </w:rPr>
            </w:pPr>
            <w:r w:rsidRPr="00503F5B">
              <w:rPr>
                <w:sz w:val="20"/>
                <w:szCs w:val="20"/>
                <w:lang w:val="en-AU"/>
              </w:rPr>
              <w:t>37,632</w:t>
            </w:r>
          </w:p>
        </w:tc>
        <w:tc>
          <w:tcPr>
            <w:tcW w:w="2922" w:type="dxa"/>
            <w:tcBorders>
              <w:bottom w:val="single" w:sz="4" w:space="0" w:color="ED7C5D"/>
            </w:tcBorders>
          </w:tcPr>
          <w:p w14:paraId="55D44627" w14:textId="539682D8" w:rsidR="00D1073D" w:rsidRPr="00503F5B" w:rsidRDefault="00D1073D" w:rsidP="00D1073D">
            <w:pPr>
              <w:jc w:val="center"/>
              <w:rPr>
                <w:sz w:val="20"/>
                <w:szCs w:val="20"/>
                <w:lang w:val="en-AU"/>
              </w:rPr>
            </w:pPr>
            <w:r w:rsidRPr="00503F5B">
              <w:rPr>
                <w:sz w:val="20"/>
                <w:szCs w:val="20"/>
                <w:lang w:val="en-AU"/>
              </w:rPr>
              <w:t>45,610</w:t>
            </w:r>
          </w:p>
        </w:tc>
      </w:tr>
      <w:tr w:rsidR="00D1073D" w:rsidRPr="00503F5B" w14:paraId="2FB9FA88" w14:textId="4B943164" w:rsidTr="009917B8">
        <w:trPr>
          <w:trHeight w:val="69"/>
          <w:jc w:val="center"/>
        </w:trPr>
        <w:tc>
          <w:tcPr>
            <w:tcW w:w="2820" w:type="dxa"/>
            <w:tcBorders>
              <w:top w:val="single" w:sz="4" w:space="0" w:color="ED7C5D"/>
              <w:bottom w:val="single" w:sz="4" w:space="0" w:color="ED7C5D"/>
            </w:tcBorders>
            <w:noWrap/>
          </w:tcPr>
          <w:p w14:paraId="68B4C456" w14:textId="6B1FC540" w:rsidR="00D1073D" w:rsidRPr="00503F5B" w:rsidRDefault="00D1073D" w:rsidP="00D1073D">
            <w:pPr>
              <w:jc w:val="center"/>
              <w:rPr>
                <w:b/>
                <w:bCs/>
                <w:sz w:val="20"/>
                <w:szCs w:val="20"/>
                <w:lang w:val="en-AU"/>
              </w:rPr>
            </w:pPr>
            <w:r w:rsidRPr="00503F5B">
              <w:rPr>
                <w:b/>
                <w:bCs/>
                <w:sz w:val="20"/>
                <w:szCs w:val="20"/>
                <w:lang w:val="en-AU"/>
              </w:rPr>
              <w:t>Average</w:t>
            </w:r>
          </w:p>
        </w:tc>
        <w:tc>
          <w:tcPr>
            <w:tcW w:w="2480" w:type="dxa"/>
            <w:tcBorders>
              <w:top w:val="single" w:sz="4" w:space="0" w:color="ED7C5D"/>
              <w:bottom w:val="single" w:sz="4" w:space="0" w:color="ED7C5D"/>
            </w:tcBorders>
            <w:noWrap/>
          </w:tcPr>
          <w:p w14:paraId="79DD0948" w14:textId="6E4C8EBF" w:rsidR="00D1073D" w:rsidRPr="00503F5B" w:rsidRDefault="00D1073D" w:rsidP="00D1073D">
            <w:pPr>
              <w:jc w:val="center"/>
              <w:rPr>
                <w:b/>
                <w:bCs/>
                <w:sz w:val="20"/>
                <w:szCs w:val="20"/>
                <w:lang w:val="en-AU"/>
              </w:rPr>
            </w:pPr>
            <w:r w:rsidRPr="00503F5B">
              <w:rPr>
                <w:b/>
                <w:bCs/>
                <w:sz w:val="20"/>
                <w:szCs w:val="20"/>
                <w:lang w:val="en-AU"/>
              </w:rPr>
              <w:t>37,247</w:t>
            </w:r>
          </w:p>
        </w:tc>
        <w:tc>
          <w:tcPr>
            <w:tcW w:w="2922" w:type="dxa"/>
            <w:tcBorders>
              <w:top w:val="single" w:sz="4" w:space="0" w:color="ED7C5D"/>
              <w:bottom w:val="single" w:sz="4" w:space="0" w:color="ED7C5D"/>
            </w:tcBorders>
          </w:tcPr>
          <w:p w14:paraId="0F37A066" w14:textId="0A0D34D8" w:rsidR="00D1073D" w:rsidRPr="00503F5B" w:rsidRDefault="00D1073D" w:rsidP="00D1073D">
            <w:pPr>
              <w:jc w:val="center"/>
              <w:rPr>
                <w:b/>
                <w:bCs/>
                <w:sz w:val="20"/>
                <w:szCs w:val="20"/>
                <w:lang w:val="en-AU"/>
              </w:rPr>
            </w:pPr>
            <w:r w:rsidRPr="00503F5B">
              <w:rPr>
                <w:b/>
                <w:bCs/>
                <w:sz w:val="20"/>
                <w:szCs w:val="20"/>
                <w:lang w:val="en-AU"/>
              </w:rPr>
              <w:t>43,432</w:t>
            </w:r>
          </w:p>
        </w:tc>
      </w:tr>
      <w:bookmarkEnd w:id="46"/>
    </w:tbl>
    <w:p w14:paraId="779313B6" w14:textId="5CAB2822" w:rsidR="00C35213" w:rsidRPr="00503F5B" w:rsidRDefault="00C35213" w:rsidP="008360E5">
      <w:pPr>
        <w:jc w:val="both"/>
      </w:pPr>
    </w:p>
    <w:p w14:paraId="52992F9E" w14:textId="78503FAA" w:rsidR="0087645B" w:rsidRPr="00503F5B" w:rsidRDefault="003629E3" w:rsidP="008360E5">
      <w:pPr>
        <w:jc w:val="both"/>
      </w:pPr>
      <w:r w:rsidRPr="00503F5B">
        <w:t>These calls covered fires and explosions, emergency medical responses (EMR)</w:t>
      </w:r>
      <w:r w:rsidR="0087645B" w:rsidRPr="00503F5B">
        <w:rPr>
          <w:rStyle w:val="FootnoteReference"/>
        </w:rPr>
        <w:footnoteReference w:id="15"/>
      </w:r>
      <w:r w:rsidRPr="00503F5B">
        <w:t>, motor vehicle accidents (MVA), rescues and medical assistance hazardous materials, hazardous not involving hazardous materials, service calls, good intent, malicious, false alarms, and other incidents.</w:t>
      </w:r>
      <w:r w:rsidR="0087645B" w:rsidRPr="00503F5B">
        <w:t xml:space="preserve"> </w:t>
      </w:r>
      <w:r w:rsidR="00DC2B2D" w:rsidRPr="00503F5B">
        <w:t xml:space="preserve">  </w:t>
      </w:r>
      <w:r w:rsidR="0087645B" w:rsidRPr="00503F5B">
        <w:t xml:space="preserve">A breakdown in the number of calls, attendances by appliances, and time spent by appliances by incident type is summarised for </w:t>
      </w:r>
      <w:r w:rsidR="00595DFB" w:rsidRPr="00503F5B">
        <w:t>MFB</w:t>
      </w:r>
      <w:r w:rsidR="0087645B" w:rsidRPr="00503F5B">
        <w:t xml:space="preserve"> in Tables 4, 5 and 6.</w:t>
      </w:r>
    </w:p>
    <w:p w14:paraId="2F1DB69A" w14:textId="21F2EF8A" w:rsidR="003629E3" w:rsidRPr="00503F5B" w:rsidRDefault="003629E3" w:rsidP="008360E5">
      <w:pPr>
        <w:jc w:val="both"/>
      </w:pPr>
    </w:p>
    <w:p w14:paraId="6DBAF022" w14:textId="39A764D4" w:rsidR="00505B69" w:rsidRPr="00503F5B" w:rsidRDefault="00505B69" w:rsidP="00505B69">
      <w:pPr>
        <w:jc w:val="center"/>
        <w:rPr>
          <w:b/>
          <w:sz w:val="20"/>
          <w:szCs w:val="20"/>
        </w:rPr>
      </w:pPr>
      <w:bookmarkStart w:id="47" w:name="_Hlk34233737"/>
      <w:r w:rsidRPr="00503F5B">
        <w:rPr>
          <w:b/>
          <w:sz w:val="20"/>
          <w:szCs w:val="20"/>
        </w:rPr>
        <w:t xml:space="preserve">Table 4: Breakdown in </w:t>
      </w:r>
      <w:r w:rsidR="00151B84" w:rsidRPr="00503F5B">
        <w:rPr>
          <w:b/>
          <w:sz w:val="20"/>
          <w:szCs w:val="20"/>
        </w:rPr>
        <w:t xml:space="preserve">annual total </w:t>
      </w:r>
      <w:r w:rsidRPr="00503F5B">
        <w:rPr>
          <w:b/>
          <w:sz w:val="20"/>
          <w:szCs w:val="20"/>
        </w:rPr>
        <w:t>number of call</w:t>
      </w:r>
      <w:r w:rsidR="007F669C" w:rsidRPr="00503F5B">
        <w:rPr>
          <w:b/>
          <w:sz w:val="20"/>
          <w:szCs w:val="20"/>
        </w:rPr>
        <w:t>s</w:t>
      </w:r>
      <w:r w:rsidRPr="00503F5B">
        <w:rPr>
          <w:b/>
          <w:sz w:val="20"/>
          <w:szCs w:val="20"/>
        </w:rPr>
        <w:t xml:space="preserve"> responded to by </w:t>
      </w:r>
      <w:r w:rsidR="00595DFB" w:rsidRPr="00503F5B">
        <w:rPr>
          <w:b/>
          <w:sz w:val="20"/>
          <w:szCs w:val="20"/>
        </w:rPr>
        <w:t>MFB</w:t>
      </w:r>
      <w:r w:rsidRPr="00503F5B">
        <w:rPr>
          <w:b/>
          <w:sz w:val="20"/>
          <w:szCs w:val="20"/>
        </w:rPr>
        <w:t xml:space="preserve"> - by incident type</w:t>
      </w:r>
      <w:r w:rsidR="00EE13B5" w:rsidRPr="00503F5B">
        <w:rPr>
          <w:rStyle w:val="FootnoteReference"/>
          <w:b/>
          <w:sz w:val="20"/>
          <w:szCs w:val="20"/>
        </w:rPr>
        <w:footnoteReference w:id="16"/>
      </w:r>
    </w:p>
    <w:p w14:paraId="379B42C9" w14:textId="77777777" w:rsidR="00505B69" w:rsidRPr="00503F5B" w:rsidRDefault="00505B69" w:rsidP="00505B69">
      <w:pPr>
        <w:jc w:val="center"/>
        <w:rPr>
          <w:b/>
          <w:sz w:val="20"/>
          <w:szCs w:val="20"/>
        </w:rPr>
      </w:pPr>
    </w:p>
    <w:tbl>
      <w:tblPr>
        <w:tblStyle w:val="TableGrid"/>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850"/>
        <w:gridCol w:w="851"/>
        <w:gridCol w:w="850"/>
        <w:gridCol w:w="851"/>
        <w:gridCol w:w="889"/>
        <w:gridCol w:w="850"/>
        <w:gridCol w:w="851"/>
        <w:gridCol w:w="851"/>
        <w:gridCol w:w="953"/>
      </w:tblGrid>
      <w:tr w:rsidR="00151B84" w:rsidRPr="00503F5B" w14:paraId="10874A8C" w14:textId="6F9DD368" w:rsidTr="00877396">
        <w:trPr>
          <w:trHeight w:val="59"/>
          <w:tblHeader/>
          <w:jc w:val="center"/>
        </w:trPr>
        <w:tc>
          <w:tcPr>
            <w:tcW w:w="1985" w:type="dxa"/>
            <w:tcBorders>
              <w:bottom w:val="single" w:sz="4" w:space="0" w:color="ED7C5D"/>
            </w:tcBorders>
            <w:noWrap/>
          </w:tcPr>
          <w:p w14:paraId="5A5DEB5D" w14:textId="77777777" w:rsidR="00151B84" w:rsidRPr="00503F5B" w:rsidRDefault="00151B84" w:rsidP="00505B69">
            <w:pPr>
              <w:jc w:val="both"/>
              <w:rPr>
                <w:b/>
                <w:color w:val="BE2A18"/>
                <w:sz w:val="20"/>
                <w:szCs w:val="20"/>
                <w:lang w:val="en-AU"/>
              </w:rPr>
            </w:pPr>
          </w:p>
        </w:tc>
        <w:tc>
          <w:tcPr>
            <w:tcW w:w="7796" w:type="dxa"/>
            <w:gridSpan w:val="9"/>
            <w:tcBorders>
              <w:top w:val="single" w:sz="4" w:space="0" w:color="ED7C5D"/>
              <w:bottom w:val="single" w:sz="4" w:space="0" w:color="ED7C5D"/>
            </w:tcBorders>
            <w:noWrap/>
          </w:tcPr>
          <w:p w14:paraId="14C43951" w14:textId="01CC379D" w:rsidR="00151B84" w:rsidRPr="00503F5B" w:rsidRDefault="00151B84" w:rsidP="00505B69">
            <w:pPr>
              <w:jc w:val="center"/>
              <w:rPr>
                <w:b/>
                <w:color w:val="BE2A18"/>
                <w:sz w:val="20"/>
                <w:szCs w:val="20"/>
                <w:lang w:val="en-AU"/>
              </w:rPr>
            </w:pPr>
            <w:r w:rsidRPr="00503F5B">
              <w:rPr>
                <w:b/>
                <w:color w:val="BE2A18"/>
                <w:sz w:val="20"/>
                <w:szCs w:val="20"/>
                <w:lang w:val="en-AU"/>
              </w:rPr>
              <w:t>Total number of calls per annum</w:t>
            </w:r>
          </w:p>
        </w:tc>
      </w:tr>
      <w:tr w:rsidR="003A0356" w:rsidRPr="00503F5B" w14:paraId="163C5D01" w14:textId="46D787B5" w:rsidTr="00877396">
        <w:trPr>
          <w:trHeight w:val="59"/>
          <w:tblHeader/>
          <w:jc w:val="center"/>
        </w:trPr>
        <w:tc>
          <w:tcPr>
            <w:tcW w:w="1985" w:type="dxa"/>
            <w:tcBorders>
              <w:top w:val="single" w:sz="4" w:space="0" w:color="ED7C5D"/>
              <w:bottom w:val="double" w:sz="4" w:space="0" w:color="ED7C5D"/>
            </w:tcBorders>
            <w:noWrap/>
            <w:hideMark/>
          </w:tcPr>
          <w:p w14:paraId="3143859F" w14:textId="77777777" w:rsidR="003A0356" w:rsidRPr="00503F5B" w:rsidRDefault="003A0356" w:rsidP="003A0356">
            <w:pPr>
              <w:jc w:val="both"/>
              <w:rPr>
                <w:b/>
                <w:color w:val="BE2A18"/>
                <w:sz w:val="20"/>
                <w:szCs w:val="20"/>
                <w:lang w:val="en-AU"/>
              </w:rPr>
            </w:pPr>
            <w:r w:rsidRPr="00503F5B">
              <w:rPr>
                <w:b/>
                <w:color w:val="BE2A18"/>
                <w:sz w:val="20"/>
                <w:szCs w:val="20"/>
                <w:lang w:val="en-AU"/>
              </w:rPr>
              <w:t>Incident type</w:t>
            </w:r>
          </w:p>
        </w:tc>
        <w:tc>
          <w:tcPr>
            <w:tcW w:w="850" w:type="dxa"/>
            <w:tcBorders>
              <w:top w:val="single" w:sz="4" w:space="0" w:color="ED7C5D"/>
              <w:bottom w:val="double" w:sz="4" w:space="0" w:color="ED7C5D"/>
            </w:tcBorders>
            <w:noWrap/>
            <w:hideMark/>
          </w:tcPr>
          <w:p w14:paraId="0669F769" w14:textId="7C4C0DF5" w:rsidR="003A0356" w:rsidRPr="00503F5B" w:rsidRDefault="003A0356" w:rsidP="003A0356">
            <w:pPr>
              <w:jc w:val="center"/>
              <w:rPr>
                <w:b/>
                <w:color w:val="BE2A18"/>
                <w:sz w:val="20"/>
                <w:szCs w:val="20"/>
                <w:lang w:val="en-AU"/>
              </w:rPr>
            </w:pPr>
            <w:r w:rsidRPr="00503F5B">
              <w:rPr>
                <w:b/>
                <w:color w:val="BE2A18"/>
                <w:sz w:val="20"/>
                <w:szCs w:val="20"/>
                <w:lang w:val="en-AU"/>
              </w:rPr>
              <w:t>2011-12</w:t>
            </w:r>
          </w:p>
        </w:tc>
        <w:tc>
          <w:tcPr>
            <w:tcW w:w="851" w:type="dxa"/>
            <w:tcBorders>
              <w:top w:val="single" w:sz="4" w:space="0" w:color="ED7C5D"/>
              <w:bottom w:val="double" w:sz="4" w:space="0" w:color="ED7C5D"/>
            </w:tcBorders>
            <w:noWrap/>
            <w:hideMark/>
          </w:tcPr>
          <w:p w14:paraId="2A453809" w14:textId="05D26224" w:rsidR="003A0356" w:rsidRPr="00503F5B" w:rsidRDefault="003A0356" w:rsidP="003A0356">
            <w:pPr>
              <w:jc w:val="center"/>
              <w:rPr>
                <w:b/>
                <w:color w:val="BE2A18"/>
                <w:sz w:val="20"/>
                <w:szCs w:val="20"/>
                <w:lang w:val="en-AU"/>
              </w:rPr>
            </w:pPr>
            <w:r w:rsidRPr="00503F5B">
              <w:rPr>
                <w:b/>
                <w:color w:val="BE2A18"/>
                <w:sz w:val="20"/>
                <w:szCs w:val="20"/>
                <w:lang w:val="en-AU"/>
              </w:rPr>
              <w:t>2012-13</w:t>
            </w:r>
          </w:p>
        </w:tc>
        <w:tc>
          <w:tcPr>
            <w:tcW w:w="850" w:type="dxa"/>
            <w:tcBorders>
              <w:top w:val="single" w:sz="4" w:space="0" w:color="ED7C5D"/>
              <w:bottom w:val="double" w:sz="4" w:space="0" w:color="ED7C5D"/>
            </w:tcBorders>
            <w:noWrap/>
            <w:hideMark/>
          </w:tcPr>
          <w:p w14:paraId="3C837049" w14:textId="4E5ECB8B" w:rsidR="003A0356" w:rsidRPr="00503F5B" w:rsidRDefault="003A0356" w:rsidP="003A0356">
            <w:pPr>
              <w:jc w:val="center"/>
              <w:rPr>
                <w:b/>
                <w:color w:val="BE2A18"/>
                <w:sz w:val="20"/>
                <w:szCs w:val="20"/>
                <w:lang w:val="en-AU"/>
              </w:rPr>
            </w:pPr>
            <w:r w:rsidRPr="00503F5B">
              <w:rPr>
                <w:b/>
                <w:color w:val="BE2A18"/>
                <w:sz w:val="20"/>
                <w:szCs w:val="20"/>
                <w:lang w:val="en-AU"/>
              </w:rPr>
              <w:t>2013-14</w:t>
            </w:r>
          </w:p>
        </w:tc>
        <w:tc>
          <w:tcPr>
            <w:tcW w:w="851" w:type="dxa"/>
            <w:tcBorders>
              <w:top w:val="single" w:sz="4" w:space="0" w:color="ED7C5D"/>
              <w:bottom w:val="double" w:sz="4" w:space="0" w:color="ED7C5D"/>
            </w:tcBorders>
            <w:noWrap/>
            <w:hideMark/>
          </w:tcPr>
          <w:p w14:paraId="72C69CEE" w14:textId="77777777" w:rsidR="003A0356" w:rsidRPr="00503F5B" w:rsidRDefault="003A0356" w:rsidP="003A0356">
            <w:pPr>
              <w:jc w:val="center"/>
              <w:rPr>
                <w:b/>
                <w:color w:val="BE2A18"/>
                <w:sz w:val="20"/>
                <w:szCs w:val="20"/>
                <w:lang w:val="en-AU"/>
              </w:rPr>
            </w:pPr>
            <w:r w:rsidRPr="00503F5B">
              <w:rPr>
                <w:b/>
                <w:color w:val="BE2A18"/>
                <w:sz w:val="20"/>
                <w:szCs w:val="20"/>
                <w:lang w:val="en-AU"/>
              </w:rPr>
              <w:t>2014-</w:t>
            </w:r>
          </w:p>
          <w:p w14:paraId="19777125" w14:textId="74EAE7AC" w:rsidR="003A0356" w:rsidRPr="00503F5B" w:rsidRDefault="003A0356" w:rsidP="003A0356">
            <w:pPr>
              <w:jc w:val="center"/>
              <w:rPr>
                <w:b/>
                <w:color w:val="BE2A18"/>
                <w:sz w:val="20"/>
                <w:szCs w:val="20"/>
                <w:lang w:val="en-AU"/>
              </w:rPr>
            </w:pPr>
            <w:r w:rsidRPr="00503F5B">
              <w:rPr>
                <w:b/>
                <w:color w:val="BE2A18"/>
                <w:sz w:val="20"/>
                <w:szCs w:val="20"/>
                <w:lang w:val="en-AU"/>
              </w:rPr>
              <w:t>15</w:t>
            </w:r>
          </w:p>
        </w:tc>
        <w:tc>
          <w:tcPr>
            <w:tcW w:w="889" w:type="dxa"/>
            <w:tcBorders>
              <w:top w:val="single" w:sz="4" w:space="0" w:color="ED7C5D"/>
              <w:bottom w:val="double" w:sz="4" w:space="0" w:color="ED7C5D"/>
            </w:tcBorders>
          </w:tcPr>
          <w:p w14:paraId="79F170B2" w14:textId="77777777" w:rsidR="003A0356" w:rsidRPr="00503F5B" w:rsidRDefault="003A0356" w:rsidP="003A0356">
            <w:pPr>
              <w:jc w:val="center"/>
              <w:rPr>
                <w:b/>
                <w:color w:val="BE2A18"/>
                <w:sz w:val="20"/>
                <w:szCs w:val="20"/>
                <w:lang w:val="en-AU"/>
              </w:rPr>
            </w:pPr>
            <w:r w:rsidRPr="00503F5B">
              <w:rPr>
                <w:b/>
                <w:color w:val="BE2A18"/>
                <w:sz w:val="20"/>
                <w:szCs w:val="20"/>
                <w:lang w:val="en-AU"/>
              </w:rPr>
              <w:t>2015-</w:t>
            </w:r>
          </w:p>
          <w:p w14:paraId="5476935A" w14:textId="4A15E79D" w:rsidR="003A0356" w:rsidRPr="00503F5B" w:rsidRDefault="003A0356" w:rsidP="003A0356">
            <w:pPr>
              <w:jc w:val="center"/>
              <w:rPr>
                <w:b/>
                <w:color w:val="BE2A18"/>
                <w:sz w:val="20"/>
                <w:szCs w:val="20"/>
                <w:lang w:val="en-AU"/>
              </w:rPr>
            </w:pPr>
            <w:r w:rsidRPr="00503F5B">
              <w:rPr>
                <w:b/>
                <w:color w:val="BE2A18"/>
                <w:sz w:val="20"/>
                <w:szCs w:val="20"/>
                <w:lang w:val="en-AU"/>
              </w:rPr>
              <w:t>16*</w:t>
            </w:r>
          </w:p>
        </w:tc>
        <w:tc>
          <w:tcPr>
            <w:tcW w:w="850" w:type="dxa"/>
            <w:tcBorders>
              <w:top w:val="single" w:sz="4" w:space="0" w:color="ED7C5D"/>
              <w:bottom w:val="double" w:sz="4" w:space="0" w:color="ED7C5D"/>
            </w:tcBorders>
          </w:tcPr>
          <w:p w14:paraId="16C9CA37" w14:textId="77777777" w:rsidR="003A0356" w:rsidRPr="00503F5B" w:rsidRDefault="003A0356" w:rsidP="003A0356">
            <w:pPr>
              <w:jc w:val="center"/>
              <w:rPr>
                <w:b/>
                <w:color w:val="BE2A18"/>
                <w:sz w:val="20"/>
                <w:szCs w:val="20"/>
                <w:lang w:val="en-AU"/>
              </w:rPr>
            </w:pPr>
            <w:r w:rsidRPr="00503F5B">
              <w:rPr>
                <w:b/>
                <w:color w:val="BE2A18"/>
                <w:sz w:val="20"/>
                <w:szCs w:val="20"/>
                <w:lang w:val="en-AU"/>
              </w:rPr>
              <w:t>2016-</w:t>
            </w:r>
          </w:p>
          <w:p w14:paraId="1B66AAA3" w14:textId="45633D6A" w:rsidR="003A0356" w:rsidRPr="00503F5B" w:rsidRDefault="003A0356" w:rsidP="003A0356">
            <w:pPr>
              <w:jc w:val="center"/>
              <w:rPr>
                <w:b/>
                <w:color w:val="BE2A18"/>
                <w:sz w:val="20"/>
                <w:szCs w:val="20"/>
                <w:lang w:val="en-AU"/>
              </w:rPr>
            </w:pPr>
            <w:r w:rsidRPr="00503F5B">
              <w:rPr>
                <w:b/>
                <w:color w:val="BE2A18"/>
                <w:sz w:val="20"/>
                <w:szCs w:val="20"/>
                <w:lang w:val="en-AU"/>
              </w:rPr>
              <w:t>17*</w:t>
            </w:r>
          </w:p>
        </w:tc>
        <w:tc>
          <w:tcPr>
            <w:tcW w:w="851" w:type="dxa"/>
            <w:tcBorders>
              <w:top w:val="single" w:sz="4" w:space="0" w:color="ED7C5D"/>
              <w:bottom w:val="double" w:sz="4" w:space="0" w:color="ED7C5D"/>
            </w:tcBorders>
          </w:tcPr>
          <w:p w14:paraId="0099A153" w14:textId="64D8D215" w:rsidR="003A0356" w:rsidRPr="00503F5B" w:rsidRDefault="003A0356" w:rsidP="003A0356">
            <w:pPr>
              <w:jc w:val="center"/>
              <w:rPr>
                <w:b/>
                <w:color w:val="BE2A18"/>
                <w:sz w:val="20"/>
                <w:szCs w:val="20"/>
                <w:lang w:val="en-AU"/>
              </w:rPr>
            </w:pPr>
            <w:r w:rsidRPr="00503F5B">
              <w:rPr>
                <w:b/>
                <w:color w:val="BE2A18"/>
                <w:sz w:val="20"/>
                <w:szCs w:val="20"/>
                <w:lang w:val="en-AU"/>
              </w:rPr>
              <w:t>2017-18</w:t>
            </w:r>
          </w:p>
        </w:tc>
        <w:tc>
          <w:tcPr>
            <w:tcW w:w="851" w:type="dxa"/>
            <w:tcBorders>
              <w:top w:val="single" w:sz="4" w:space="0" w:color="ED7C5D"/>
              <w:bottom w:val="double" w:sz="4" w:space="0" w:color="ED7C5D"/>
            </w:tcBorders>
          </w:tcPr>
          <w:p w14:paraId="0BD3245C" w14:textId="17D10E15" w:rsidR="003A0356" w:rsidRPr="00503F5B" w:rsidRDefault="003A0356" w:rsidP="003A0356">
            <w:pPr>
              <w:jc w:val="center"/>
              <w:rPr>
                <w:b/>
                <w:color w:val="BE2A18"/>
                <w:sz w:val="20"/>
                <w:szCs w:val="20"/>
                <w:lang w:val="en-AU"/>
              </w:rPr>
            </w:pPr>
            <w:r w:rsidRPr="00503F5B">
              <w:rPr>
                <w:b/>
                <w:color w:val="BE2A18"/>
                <w:sz w:val="20"/>
                <w:szCs w:val="20"/>
                <w:lang w:val="en-AU"/>
              </w:rPr>
              <w:t>2018-19</w:t>
            </w:r>
          </w:p>
        </w:tc>
        <w:tc>
          <w:tcPr>
            <w:tcW w:w="953" w:type="dxa"/>
            <w:tcBorders>
              <w:top w:val="single" w:sz="4" w:space="0" w:color="ED7C5D"/>
              <w:bottom w:val="double" w:sz="4" w:space="0" w:color="ED7C5D"/>
            </w:tcBorders>
          </w:tcPr>
          <w:p w14:paraId="557DF5D5" w14:textId="7B70E33B" w:rsidR="003A0356" w:rsidRPr="00503F5B" w:rsidRDefault="003A0356" w:rsidP="003A0356">
            <w:pPr>
              <w:jc w:val="center"/>
              <w:rPr>
                <w:b/>
                <w:color w:val="BE2A18"/>
                <w:sz w:val="20"/>
                <w:szCs w:val="20"/>
                <w:lang w:val="en-AU"/>
              </w:rPr>
            </w:pPr>
            <w:r w:rsidRPr="00503F5B">
              <w:rPr>
                <w:b/>
                <w:color w:val="BE2A18"/>
                <w:sz w:val="20"/>
                <w:szCs w:val="20"/>
                <w:lang w:val="en-AU"/>
              </w:rPr>
              <w:t>8-year average</w:t>
            </w:r>
          </w:p>
        </w:tc>
      </w:tr>
      <w:tr w:rsidR="003A0356" w:rsidRPr="00503F5B" w14:paraId="28F78590" w14:textId="5C4CC65E" w:rsidTr="00877396">
        <w:trPr>
          <w:trHeight w:val="59"/>
          <w:jc w:val="center"/>
        </w:trPr>
        <w:tc>
          <w:tcPr>
            <w:tcW w:w="1985" w:type="dxa"/>
            <w:tcBorders>
              <w:top w:val="double" w:sz="4" w:space="0" w:color="ED7C5D"/>
            </w:tcBorders>
            <w:noWrap/>
            <w:hideMark/>
          </w:tcPr>
          <w:p w14:paraId="24C8AA8F" w14:textId="77777777" w:rsidR="003A0356" w:rsidRPr="00503F5B" w:rsidRDefault="003A0356" w:rsidP="003A0356">
            <w:pPr>
              <w:rPr>
                <w:sz w:val="20"/>
                <w:szCs w:val="20"/>
                <w:lang w:val="en-AU"/>
              </w:rPr>
            </w:pPr>
            <w:r w:rsidRPr="00503F5B">
              <w:rPr>
                <w:sz w:val="20"/>
                <w:szCs w:val="20"/>
                <w:lang w:val="en-AU"/>
              </w:rPr>
              <w:t>Fires and Explosions</w:t>
            </w:r>
          </w:p>
        </w:tc>
        <w:tc>
          <w:tcPr>
            <w:tcW w:w="850" w:type="dxa"/>
            <w:tcBorders>
              <w:top w:val="double" w:sz="4" w:space="0" w:color="ED7C5D"/>
            </w:tcBorders>
            <w:noWrap/>
            <w:hideMark/>
          </w:tcPr>
          <w:p w14:paraId="4143F675" w14:textId="504C72A6" w:rsidR="003A0356" w:rsidRPr="00503F5B" w:rsidRDefault="003A0356" w:rsidP="003A0356">
            <w:pPr>
              <w:jc w:val="right"/>
              <w:rPr>
                <w:sz w:val="20"/>
                <w:szCs w:val="20"/>
                <w:lang w:val="en-AU"/>
              </w:rPr>
            </w:pPr>
            <w:r w:rsidRPr="00503F5B">
              <w:rPr>
                <w:sz w:val="20"/>
                <w:szCs w:val="20"/>
                <w:lang w:val="en-AU"/>
              </w:rPr>
              <w:t xml:space="preserve"> 7,756 </w:t>
            </w:r>
          </w:p>
        </w:tc>
        <w:tc>
          <w:tcPr>
            <w:tcW w:w="851" w:type="dxa"/>
            <w:tcBorders>
              <w:top w:val="double" w:sz="4" w:space="0" w:color="ED7C5D"/>
            </w:tcBorders>
            <w:noWrap/>
            <w:hideMark/>
          </w:tcPr>
          <w:p w14:paraId="6752BD6B" w14:textId="19FA437B" w:rsidR="003A0356" w:rsidRPr="00503F5B" w:rsidRDefault="003A0356" w:rsidP="003A0356">
            <w:pPr>
              <w:jc w:val="right"/>
              <w:rPr>
                <w:sz w:val="20"/>
                <w:szCs w:val="20"/>
                <w:lang w:val="en-AU"/>
              </w:rPr>
            </w:pPr>
            <w:r w:rsidRPr="00503F5B">
              <w:rPr>
                <w:sz w:val="20"/>
                <w:szCs w:val="20"/>
                <w:lang w:val="en-AU"/>
              </w:rPr>
              <w:t xml:space="preserve"> 8,395 </w:t>
            </w:r>
          </w:p>
        </w:tc>
        <w:tc>
          <w:tcPr>
            <w:tcW w:w="850" w:type="dxa"/>
            <w:tcBorders>
              <w:top w:val="double" w:sz="4" w:space="0" w:color="ED7C5D"/>
            </w:tcBorders>
            <w:noWrap/>
            <w:hideMark/>
          </w:tcPr>
          <w:p w14:paraId="6C39A6AF" w14:textId="3BC85B88" w:rsidR="003A0356" w:rsidRPr="00503F5B" w:rsidRDefault="003A0356" w:rsidP="003A0356">
            <w:pPr>
              <w:jc w:val="right"/>
              <w:rPr>
                <w:sz w:val="20"/>
                <w:szCs w:val="20"/>
                <w:lang w:val="en-AU"/>
              </w:rPr>
            </w:pPr>
            <w:r w:rsidRPr="00503F5B">
              <w:rPr>
                <w:sz w:val="20"/>
                <w:szCs w:val="20"/>
                <w:lang w:val="en-AU"/>
              </w:rPr>
              <w:t xml:space="preserve"> 7,894 </w:t>
            </w:r>
          </w:p>
        </w:tc>
        <w:tc>
          <w:tcPr>
            <w:tcW w:w="851" w:type="dxa"/>
            <w:tcBorders>
              <w:top w:val="double" w:sz="4" w:space="0" w:color="ED7C5D"/>
            </w:tcBorders>
            <w:noWrap/>
            <w:hideMark/>
          </w:tcPr>
          <w:p w14:paraId="7ABC683A" w14:textId="23807A8C" w:rsidR="003A0356" w:rsidRPr="00503F5B" w:rsidRDefault="003A0356" w:rsidP="003A0356">
            <w:pPr>
              <w:jc w:val="right"/>
              <w:rPr>
                <w:sz w:val="20"/>
                <w:szCs w:val="20"/>
                <w:lang w:val="en-AU"/>
              </w:rPr>
            </w:pPr>
            <w:r w:rsidRPr="00503F5B">
              <w:rPr>
                <w:sz w:val="20"/>
                <w:szCs w:val="20"/>
                <w:lang w:val="en-AU"/>
              </w:rPr>
              <w:t xml:space="preserve"> 7,449 </w:t>
            </w:r>
          </w:p>
        </w:tc>
        <w:tc>
          <w:tcPr>
            <w:tcW w:w="889" w:type="dxa"/>
            <w:tcBorders>
              <w:top w:val="double" w:sz="4" w:space="0" w:color="ED7C5D"/>
            </w:tcBorders>
          </w:tcPr>
          <w:p w14:paraId="68D7173F" w14:textId="12EA09EE" w:rsidR="003A0356" w:rsidRPr="00503F5B" w:rsidRDefault="003A0356" w:rsidP="003A0356">
            <w:pPr>
              <w:jc w:val="right"/>
              <w:rPr>
                <w:sz w:val="20"/>
                <w:szCs w:val="20"/>
                <w:lang w:val="en-AU"/>
              </w:rPr>
            </w:pPr>
            <w:r w:rsidRPr="00503F5B">
              <w:rPr>
                <w:sz w:val="20"/>
                <w:szCs w:val="20"/>
                <w:lang w:val="en-AU"/>
              </w:rPr>
              <w:t xml:space="preserve"> 7,880 </w:t>
            </w:r>
          </w:p>
        </w:tc>
        <w:tc>
          <w:tcPr>
            <w:tcW w:w="850" w:type="dxa"/>
            <w:tcBorders>
              <w:top w:val="double" w:sz="4" w:space="0" w:color="ED7C5D"/>
            </w:tcBorders>
          </w:tcPr>
          <w:p w14:paraId="2280EF72" w14:textId="378BA45C" w:rsidR="003A0356" w:rsidRPr="00503F5B" w:rsidRDefault="003A0356" w:rsidP="003A0356">
            <w:pPr>
              <w:jc w:val="right"/>
              <w:rPr>
                <w:sz w:val="20"/>
                <w:szCs w:val="20"/>
                <w:lang w:val="en-AU"/>
              </w:rPr>
            </w:pPr>
            <w:r w:rsidRPr="00503F5B">
              <w:rPr>
                <w:sz w:val="20"/>
                <w:szCs w:val="20"/>
                <w:lang w:val="en-AU"/>
              </w:rPr>
              <w:t xml:space="preserve"> 7,040 </w:t>
            </w:r>
          </w:p>
        </w:tc>
        <w:tc>
          <w:tcPr>
            <w:tcW w:w="851" w:type="dxa"/>
            <w:tcBorders>
              <w:top w:val="double" w:sz="4" w:space="0" w:color="ED7C5D"/>
            </w:tcBorders>
          </w:tcPr>
          <w:p w14:paraId="2ECD5681" w14:textId="032D4068" w:rsidR="003A0356" w:rsidRPr="00503F5B" w:rsidRDefault="003A0356" w:rsidP="003A0356">
            <w:pPr>
              <w:jc w:val="right"/>
              <w:rPr>
                <w:sz w:val="20"/>
                <w:szCs w:val="20"/>
                <w:lang w:val="en-AU"/>
              </w:rPr>
            </w:pPr>
            <w:r w:rsidRPr="00503F5B">
              <w:rPr>
                <w:sz w:val="20"/>
                <w:szCs w:val="20"/>
                <w:lang w:val="en-AU"/>
              </w:rPr>
              <w:t xml:space="preserve"> 7,258 </w:t>
            </w:r>
          </w:p>
        </w:tc>
        <w:tc>
          <w:tcPr>
            <w:tcW w:w="851" w:type="dxa"/>
            <w:tcBorders>
              <w:top w:val="double" w:sz="4" w:space="0" w:color="ED7C5D"/>
            </w:tcBorders>
          </w:tcPr>
          <w:p w14:paraId="66CE4D87" w14:textId="7A0C873B" w:rsidR="003A0356" w:rsidRPr="00503F5B" w:rsidRDefault="003A0356" w:rsidP="003A0356">
            <w:pPr>
              <w:jc w:val="right"/>
              <w:rPr>
                <w:sz w:val="20"/>
                <w:szCs w:val="20"/>
                <w:lang w:val="en-AU"/>
              </w:rPr>
            </w:pPr>
            <w:r w:rsidRPr="00503F5B">
              <w:rPr>
                <w:sz w:val="20"/>
                <w:szCs w:val="20"/>
                <w:lang w:val="en-AU"/>
              </w:rPr>
              <w:t xml:space="preserve"> 6,823 </w:t>
            </w:r>
          </w:p>
        </w:tc>
        <w:tc>
          <w:tcPr>
            <w:tcW w:w="953" w:type="dxa"/>
            <w:tcBorders>
              <w:top w:val="double" w:sz="4" w:space="0" w:color="ED7C5D"/>
            </w:tcBorders>
          </w:tcPr>
          <w:p w14:paraId="0862E3C3" w14:textId="5B1DDA7B" w:rsidR="003A0356" w:rsidRPr="00503F5B" w:rsidRDefault="003A0356" w:rsidP="003A0356">
            <w:pPr>
              <w:jc w:val="right"/>
              <w:rPr>
                <w:sz w:val="20"/>
                <w:szCs w:val="20"/>
                <w:lang w:val="en-AU"/>
              </w:rPr>
            </w:pPr>
            <w:r w:rsidRPr="00503F5B">
              <w:rPr>
                <w:sz w:val="20"/>
                <w:szCs w:val="20"/>
                <w:lang w:val="en-AU"/>
              </w:rPr>
              <w:t xml:space="preserve"> 7,562 </w:t>
            </w:r>
          </w:p>
        </w:tc>
      </w:tr>
      <w:tr w:rsidR="003A0356" w:rsidRPr="00503F5B" w14:paraId="29961C52" w14:textId="54C85A9F" w:rsidTr="00877396">
        <w:trPr>
          <w:trHeight w:val="81"/>
          <w:jc w:val="center"/>
        </w:trPr>
        <w:tc>
          <w:tcPr>
            <w:tcW w:w="1985" w:type="dxa"/>
            <w:noWrap/>
            <w:hideMark/>
          </w:tcPr>
          <w:p w14:paraId="3ACBAEF8" w14:textId="77777777" w:rsidR="003A0356" w:rsidRPr="00503F5B" w:rsidRDefault="003A0356" w:rsidP="003A0356">
            <w:pPr>
              <w:rPr>
                <w:sz w:val="20"/>
                <w:szCs w:val="20"/>
                <w:lang w:val="en-AU"/>
              </w:rPr>
            </w:pPr>
            <w:r w:rsidRPr="00503F5B">
              <w:rPr>
                <w:sz w:val="20"/>
                <w:szCs w:val="20"/>
                <w:lang w:val="en-AU"/>
              </w:rPr>
              <w:t>EMR</w:t>
            </w:r>
          </w:p>
        </w:tc>
        <w:tc>
          <w:tcPr>
            <w:tcW w:w="850" w:type="dxa"/>
            <w:noWrap/>
            <w:hideMark/>
          </w:tcPr>
          <w:p w14:paraId="330428C6" w14:textId="7BD2F7A5" w:rsidR="003A0356" w:rsidRPr="00503F5B" w:rsidRDefault="003A0356" w:rsidP="003A0356">
            <w:pPr>
              <w:jc w:val="right"/>
              <w:rPr>
                <w:sz w:val="20"/>
                <w:szCs w:val="20"/>
                <w:lang w:val="en-AU"/>
              </w:rPr>
            </w:pPr>
            <w:r w:rsidRPr="00503F5B">
              <w:rPr>
                <w:sz w:val="20"/>
                <w:szCs w:val="20"/>
                <w:lang w:val="en-AU"/>
              </w:rPr>
              <w:t xml:space="preserve"> 3,569 </w:t>
            </w:r>
          </w:p>
        </w:tc>
        <w:tc>
          <w:tcPr>
            <w:tcW w:w="851" w:type="dxa"/>
            <w:noWrap/>
            <w:hideMark/>
          </w:tcPr>
          <w:p w14:paraId="419D151D" w14:textId="5484310D" w:rsidR="003A0356" w:rsidRPr="00503F5B" w:rsidRDefault="003A0356" w:rsidP="003A0356">
            <w:pPr>
              <w:jc w:val="right"/>
              <w:rPr>
                <w:sz w:val="20"/>
                <w:szCs w:val="20"/>
                <w:lang w:val="en-AU"/>
              </w:rPr>
            </w:pPr>
            <w:r w:rsidRPr="00503F5B">
              <w:rPr>
                <w:sz w:val="20"/>
                <w:szCs w:val="20"/>
                <w:lang w:val="en-AU"/>
              </w:rPr>
              <w:t xml:space="preserve"> 3,987 </w:t>
            </w:r>
          </w:p>
        </w:tc>
        <w:tc>
          <w:tcPr>
            <w:tcW w:w="850" w:type="dxa"/>
            <w:noWrap/>
            <w:hideMark/>
          </w:tcPr>
          <w:p w14:paraId="423FC391" w14:textId="258E11CE" w:rsidR="003A0356" w:rsidRPr="00503F5B" w:rsidRDefault="003A0356" w:rsidP="003A0356">
            <w:pPr>
              <w:jc w:val="right"/>
              <w:rPr>
                <w:sz w:val="20"/>
                <w:szCs w:val="20"/>
                <w:lang w:val="en-AU"/>
              </w:rPr>
            </w:pPr>
            <w:r w:rsidRPr="00503F5B">
              <w:rPr>
                <w:sz w:val="20"/>
                <w:szCs w:val="20"/>
                <w:lang w:val="en-AU"/>
              </w:rPr>
              <w:t xml:space="preserve"> 4,784 </w:t>
            </w:r>
          </w:p>
        </w:tc>
        <w:tc>
          <w:tcPr>
            <w:tcW w:w="851" w:type="dxa"/>
            <w:noWrap/>
            <w:hideMark/>
          </w:tcPr>
          <w:p w14:paraId="233E56D6" w14:textId="01C7D9AF" w:rsidR="003A0356" w:rsidRPr="00503F5B" w:rsidRDefault="003A0356" w:rsidP="003A0356">
            <w:pPr>
              <w:jc w:val="right"/>
              <w:rPr>
                <w:sz w:val="20"/>
                <w:szCs w:val="20"/>
                <w:lang w:val="en-AU"/>
              </w:rPr>
            </w:pPr>
            <w:r w:rsidRPr="00503F5B">
              <w:rPr>
                <w:sz w:val="20"/>
                <w:szCs w:val="20"/>
                <w:lang w:val="en-AU"/>
              </w:rPr>
              <w:t xml:space="preserve"> 4,954 </w:t>
            </w:r>
          </w:p>
        </w:tc>
        <w:tc>
          <w:tcPr>
            <w:tcW w:w="889" w:type="dxa"/>
          </w:tcPr>
          <w:p w14:paraId="07BA9B01" w14:textId="6AF6C259" w:rsidR="003A0356" w:rsidRPr="00503F5B" w:rsidRDefault="003A0356" w:rsidP="003A0356">
            <w:pPr>
              <w:jc w:val="right"/>
              <w:rPr>
                <w:sz w:val="20"/>
                <w:szCs w:val="20"/>
                <w:lang w:val="en-AU"/>
              </w:rPr>
            </w:pPr>
            <w:r w:rsidRPr="00503F5B">
              <w:rPr>
                <w:sz w:val="20"/>
                <w:szCs w:val="20"/>
                <w:lang w:val="en-AU"/>
              </w:rPr>
              <w:t xml:space="preserve"> 3,924 </w:t>
            </w:r>
          </w:p>
        </w:tc>
        <w:tc>
          <w:tcPr>
            <w:tcW w:w="850" w:type="dxa"/>
          </w:tcPr>
          <w:p w14:paraId="7B229731" w14:textId="178ABDE2" w:rsidR="003A0356" w:rsidRPr="00503F5B" w:rsidRDefault="003A0356" w:rsidP="003A0356">
            <w:pPr>
              <w:jc w:val="right"/>
              <w:rPr>
                <w:sz w:val="20"/>
                <w:szCs w:val="20"/>
                <w:lang w:val="en-AU"/>
              </w:rPr>
            </w:pPr>
            <w:r w:rsidRPr="00503F5B">
              <w:rPr>
                <w:sz w:val="20"/>
                <w:szCs w:val="20"/>
                <w:lang w:val="en-AU"/>
              </w:rPr>
              <w:t xml:space="preserve"> 3,795 </w:t>
            </w:r>
          </w:p>
        </w:tc>
        <w:tc>
          <w:tcPr>
            <w:tcW w:w="851" w:type="dxa"/>
          </w:tcPr>
          <w:p w14:paraId="3B5C59EB" w14:textId="40A340B9" w:rsidR="003A0356" w:rsidRPr="00503F5B" w:rsidRDefault="003A0356" w:rsidP="003A0356">
            <w:pPr>
              <w:jc w:val="right"/>
              <w:rPr>
                <w:sz w:val="20"/>
                <w:szCs w:val="20"/>
                <w:lang w:val="en-AU"/>
              </w:rPr>
            </w:pPr>
            <w:r w:rsidRPr="00503F5B">
              <w:rPr>
                <w:sz w:val="20"/>
                <w:szCs w:val="20"/>
                <w:lang w:val="en-AU"/>
              </w:rPr>
              <w:t xml:space="preserve"> 4,100 </w:t>
            </w:r>
          </w:p>
        </w:tc>
        <w:tc>
          <w:tcPr>
            <w:tcW w:w="851" w:type="dxa"/>
          </w:tcPr>
          <w:p w14:paraId="5DE69042" w14:textId="51F6C6D5" w:rsidR="003A0356" w:rsidRPr="00503F5B" w:rsidRDefault="003A0356" w:rsidP="003A0356">
            <w:pPr>
              <w:jc w:val="right"/>
              <w:rPr>
                <w:sz w:val="20"/>
                <w:szCs w:val="20"/>
                <w:lang w:val="en-AU"/>
              </w:rPr>
            </w:pPr>
            <w:r w:rsidRPr="00503F5B">
              <w:rPr>
                <w:sz w:val="20"/>
                <w:szCs w:val="20"/>
                <w:lang w:val="en-AU"/>
              </w:rPr>
              <w:t xml:space="preserve"> 3,970 </w:t>
            </w:r>
          </w:p>
        </w:tc>
        <w:tc>
          <w:tcPr>
            <w:tcW w:w="953" w:type="dxa"/>
          </w:tcPr>
          <w:p w14:paraId="25497B1A" w14:textId="2353774E" w:rsidR="003A0356" w:rsidRPr="00503F5B" w:rsidRDefault="003A0356" w:rsidP="003A0356">
            <w:pPr>
              <w:jc w:val="right"/>
              <w:rPr>
                <w:sz w:val="20"/>
                <w:szCs w:val="20"/>
                <w:lang w:val="en-AU"/>
              </w:rPr>
            </w:pPr>
            <w:r w:rsidRPr="00503F5B">
              <w:rPr>
                <w:sz w:val="20"/>
                <w:szCs w:val="20"/>
                <w:lang w:val="en-AU"/>
              </w:rPr>
              <w:t xml:space="preserve"> 4,135 </w:t>
            </w:r>
          </w:p>
        </w:tc>
      </w:tr>
      <w:tr w:rsidR="003A0356" w:rsidRPr="00503F5B" w14:paraId="7A5C0C32" w14:textId="0F045928" w:rsidTr="00877396">
        <w:trPr>
          <w:trHeight w:val="59"/>
          <w:jc w:val="center"/>
        </w:trPr>
        <w:tc>
          <w:tcPr>
            <w:tcW w:w="1985" w:type="dxa"/>
            <w:noWrap/>
            <w:hideMark/>
          </w:tcPr>
          <w:p w14:paraId="7EC941B0" w14:textId="77777777" w:rsidR="003A0356" w:rsidRPr="00503F5B" w:rsidRDefault="003A0356" w:rsidP="003A0356">
            <w:pPr>
              <w:rPr>
                <w:sz w:val="20"/>
                <w:szCs w:val="20"/>
                <w:lang w:val="en-AU"/>
              </w:rPr>
            </w:pPr>
            <w:r w:rsidRPr="00503F5B">
              <w:rPr>
                <w:sz w:val="20"/>
                <w:szCs w:val="20"/>
                <w:lang w:val="en-AU"/>
              </w:rPr>
              <w:t>MVA</w:t>
            </w:r>
          </w:p>
        </w:tc>
        <w:tc>
          <w:tcPr>
            <w:tcW w:w="850" w:type="dxa"/>
            <w:noWrap/>
            <w:hideMark/>
          </w:tcPr>
          <w:p w14:paraId="09E9FD38" w14:textId="658EB11E" w:rsidR="003A0356" w:rsidRPr="00503F5B" w:rsidRDefault="003A0356" w:rsidP="003A0356">
            <w:pPr>
              <w:jc w:val="right"/>
              <w:rPr>
                <w:sz w:val="20"/>
                <w:szCs w:val="20"/>
                <w:lang w:val="en-AU"/>
              </w:rPr>
            </w:pPr>
            <w:r w:rsidRPr="00503F5B">
              <w:rPr>
                <w:sz w:val="20"/>
                <w:szCs w:val="20"/>
                <w:lang w:val="en-AU"/>
              </w:rPr>
              <w:t xml:space="preserve"> 2,318 </w:t>
            </w:r>
          </w:p>
        </w:tc>
        <w:tc>
          <w:tcPr>
            <w:tcW w:w="851" w:type="dxa"/>
            <w:noWrap/>
            <w:hideMark/>
          </w:tcPr>
          <w:p w14:paraId="70A3FF9E" w14:textId="28D7655A" w:rsidR="003A0356" w:rsidRPr="00503F5B" w:rsidRDefault="003A0356" w:rsidP="003A0356">
            <w:pPr>
              <w:jc w:val="right"/>
              <w:rPr>
                <w:sz w:val="20"/>
                <w:szCs w:val="20"/>
                <w:lang w:val="en-AU"/>
              </w:rPr>
            </w:pPr>
            <w:r w:rsidRPr="00503F5B">
              <w:rPr>
                <w:sz w:val="20"/>
                <w:szCs w:val="20"/>
                <w:lang w:val="en-AU"/>
              </w:rPr>
              <w:t xml:space="preserve"> 2,321 </w:t>
            </w:r>
          </w:p>
        </w:tc>
        <w:tc>
          <w:tcPr>
            <w:tcW w:w="850" w:type="dxa"/>
            <w:noWrap/>
            <w:hideMark/>
          </w:tcPr>
          <w:p w14:paraId="5E924C07" w14:textId="4DDE07AD" w:rsidR="003A0356" w:rsidRPr="00503F5B" w:rsidRDefault="003A0356" w:rsidP="003A0356">
            <w:pPr>
              <w:jc w:val="right"/>
              <w:rPr>
                <w:sz w:val="20"/>
                <w:szCs w:val="20"/>
                <w:lang w:val="en-AU"/>
              </w:rPr>
            </w:pPr>
            <w:r w:rsidRPr="00503F5B">
              <w:rPr>
                <w:sz w:val="20"/>
                <w:szCs w:val="20"/>
                <w:lang w:val="en-AU"/>
              </w:rPr>
              <w:t xml:space="preserve"> 2,388 </w:t>
            </w:r>
          </w:p>
        </w:tc>
        <w:tc>
          <w:tcPr>
            <w:tcW w:w="851" w:type="dxa"/>
            <w:noWrap/>
            <w:hideMark/>
          </w:tcPr>
          <w:p w14:paraId="2D7B9DA8" w14:textId="7F3F9434" w:rsidR="003A0356" w:rsidRPr="00503F5B" w:rsidRDefault="003A0356" w:rsidP="003A0356">
            <w:pPr>
              <w:jc w:val="right"/>
              <w:rPr>
                <w:sz w:val="20"/>
                <w:szCs w:val="20"/>
                <w:lang w:val="en-AU"/>
              </w:rPr>
            </w:pPr>
            <w:r w:rsidRPr="00503F5B">
              <w:rPr>
                <w:sz w:val="20"/>
                <w:szCs w:val="20"/>
                <w:lang w:val="en-AU"/>
              </w:rPr>
              <w:t xml:space="preserve"> 2,658 </w:t>
            </w:r>
          </w:p>
        </w:tc>
        <w:tc>
          <w:tcPr>
            <w:tcW w:w="889" w:type="dxa"/>
          </w:tcPr>
          <w:p w14:paraId="51D85396" w14:textId="45258C52" w:rsidR="003A0356" w:rsidRPr="00503F5B" w:rsidRDefault="003A0356" w:rsidP="003A0356">
            <w:pPr>
              <w:jc w:val="right"/>
              <w:rPr>
                <w:sz w:val="20"/>
                <w:szCs w:val="20"/>
                <w:lang w:val="en-AU"/>
              </w:rPr>
            </w:pPr>
            <w:r w:rsidRPr="00503F5B">
              <w:rPr>
                <w:sz w:val="20"/>
                <w:szCs w:val="20"/>
                <w:lang w:val="en-AU"/>
              </w:rPr>
              <w:t xml:space="preserve"> 2,950 </w:t>
            </w:r>
          </w:p>
        </w:tc>
        <w:tc>
          <w:tcPr>
            <w:tcW w:w="850" w:type="dxa"/>
          </w:tcPr>
          <w:p w14:paraId="57D99709" w14:textId="4C850253" w:rsidR="003A0356" w:rsidRPr="00503F5B" w:rsidRDefault="003A0356" w:rsidP="003A0356">
            <w:pPr>
              <w:jc w:val="right"/>
              <w:rPr>
                <w:sz w:val="20"/>
                <w:szCs w:val="20"/>
                <w:lang w:val="en-AU"/>
              </w:rPr>
            </w:pPr>
            <w:r w:rsidRPr="00503F5B">
              <w:rPr>
                <w:sz w:val="20"/>
                <w:szCs w:val="20"/>
                <w:lang w:val="en-AU"/>
              </w:rPr>
              <w:t xml:space="preserve"> 3,107 </w:t>
            </w:r>
          </w:p>
        </w:tc>
        <w:tc>
          <w:tcPr>
            <w:tcW w:w="851" w:type="dxa"/>
          </w:tcPr>
          <w:p w14:paraId="4B0D8C6F" w14:textId="25B71082" w:rsidR="003A0356" w:rsidRPr="00503F5B" w:rsidRDefault="003A0356" w:rsidP="003A0356">
            <w:pPr>
              <w:jc w:val="right"/>
              <w:rPr>
                <w:sz w:val="20"/>
                <w:szCs w:val="20"/>
                <w:lang w:val="en-AU"/>
              </w:rPr>
            </w:pPr>
            <w:r w:rsidRPr="00503F5B">
              <w:rPr>
                <w:sz w:val="20"/>
                <w:szCs w:val="20"/>
                <w:lang w:val="en-AU"/>
              </w:rPr>
              <w:t xml:space="preserve"> 3,048 </w:t>
            </w:r>
          </w:p>
        </w:tc>
        <w:tc>
          <w:tcPr>
            <w:tcW w:w="851" w:type="dxa"/>
          </w:tcPr>
          <w:p w14:paraId="3515F9A0" w14:textId="7B010358" w:rsidR="003A0356" w:rsidRPr="00503F5B" w:rsidRDefault="003A0356" w:rsidP="003A0356">
            <w:pPr>
              <w:jc w:val="right"/>
              <w:rPr>
                <w:sz w:val="20"/>
                <w:szCs w:val="20"/>
                <w:lang w:val="en-AU"/>
              </w:rPr>
            </w:pPr>
            <w:r w:rsidRPr="00503F5B">
              <w:rPr>
                <w:sz w:val="20"/>
                <w:szCs w:val="20"/>
                <w:lang w:val="en-AU"/>
              </w:rPr>
              <w:t xml:space="preserve"> 3,197 </w:t>
            </w:r>
          </w:p>
        </w:tc>
        <w:tc>
          <w:tcPr>
            <w:tcW w:w="953" w:type="dxa"/>
          </w:tcPr>
          <w:p w14:paraId="34DD1CAA" w14:textId="54149DE9" w:rsidR="003A0356" w:rsidRPr="00503F5B" w:rsidRDefault="003A0356" w:rsidP="003A0356">
            <w:pPr>
              <w:jc w:val="right"/>
              <w:rPr>
                <w:sz w:val="20"/>
                <w:szCs w:val="20"/>
                <w:lang w:val="en-AU"/>
              </w:rPr>
            </w:pPr>
            <w:r w:rsidRPr="00503F5B">
              <w:rPr>
                <w:sz w:val="20"/>
                <w:szCs w:val="20"/>
                <w:lang w:val="en-AU"/>
              </w:rPr>
              <w:t xml:space="preserve"> 2,748 </w:t>
            </w:r>
          </w:p>
        </w:tc>
      </w:tr>
      <w:tr w:rsidR="003A0356" w:rsidRPr="00503F5B" w14:paraId="5638D4D3" w14:textId="21A16407" w:rsidTr="00877396">
        <w:trPr>
          <w:trHeight w:val="81"/>
          <w:jc w:val="center"/>
        </w:trPr>
        <w:tc>
          <w:tcPr>
            <w:tcW w:w="1985" w:type="dxa"/>
            <w:noWrap/>
            <w:hideMark/>
          </w:tcPr>
          <w:p w14:paraId="384CD605" w14:textId="77777777" w:rsidR="003A0356" w:rsidRPr="00503F5B" w:rsidRDefault="003A0356" w:rsidP="003A0356">
            <w:pPr>
              <w:rPr>
                <w:sz w:val="20"/>
                <w:szCs w:val="20"/>
                <w:lang w:val="en-AU"/>
              </w:rPr>
            </w:pPr>
            <w:r w:rsidRPr="00503F5B">
              <w:rPr>
                <w:sz w:val="20"/>
                <w:szCs w:val="20"/>
                <w:lang w:val="en-AU"/>
              </w:rPr>
              <w:t>Rescues &amp; Medical Assistance</w:t>
            </w:r>
            <w:r w:rsidRPr="00503F5B">
              <w:rPr>
                <w:rStyle w:val="FootnoteReference"/>
                <w:sz w:val="20"/>
                <w:szCs w:val="20"/>
                <w:lang w:val="en-AU"/>
              </w:rPr>
              <w:footnoteReference w:id="17"/>
            </w:r>
          </w:p>
        </w:tc>
        <w:tc>
          <w:tcPr>
            <w:tcW w:w="850" w:type="dxa"/>
            <w:noWrap/>
            <w:hideMark/>
          </w:tcPr>
          <w:p w14:paraId="76BB6165" w14:textId="6701116C" w:rsidR="003A0356" w:rsidRPr="00503F5B" w:rsidRDefault="003A0356" w:rsidP="003A0356">
            <w:pPr>
              <w:jc w:val="right"/>
              <w:rPr>
                <w:sz w:val="20"/>
                <w:szCs w:val="20"/>
                <w:lang w:val="en-AU"/>
              </w:rPr>
            </w:pPr>
            <w:r w:rsidRPr="00503F5B">
              <w:rPr>
                <w:sz w:val="20"/>
                <w:szCs w:val="20"/>
                <w:lang w:val="en-AU"/>
              </w:rPr>
              <w:t xml:space="preserve"> 1,106 </w:t>
            </w:r>
          </w:p>
        </w:tc>
        <w:tc>
          <w:tcPr>
            <w:tcW w:w="851" w:type="dxa"/>
            <w:noWrap/>
            <w:hideMark/>
          </w:tcPr>
          <w:p w14:paraId="0D9448E5" w14:textId="1E15B467" w:rsidR="003A0356" w:rsidRPr="00503F5B" w:rsidRDefault="003A0356" w:rsidP="003A0356">
            <w:pPr>
              <w:jc w:val="right"/>
              <w:rPr>
                <w:sz w:val="20"/>
                <w:szCs w:val="20"/>
                <w:lang w:val="en-AU"/>
              </w:rPr>
            </w:pPr>
            <w:r w:rsidRPr="00503F5B">
              <w:rPr>
                <w:sz w:val="20"/>
                <w:szCs w:val="20"/>
                <w:lang w:val="en-AU"/>
              </w:rPr>
              <w:t xml:space="preserve"> 1,053 </w:t>
            </w:r>
          </w:p>
        </w:tc>
        <w:tc>
          <w:tcPr>
            <w:tcW w:w="850" w:type="dxa"/>
            <w:noWrap/>
            <w:hideMark/>
          </w:tcPr>
          <w:p w14:paraId="0CBD2D92" w14:textId="13B5019B" w:rsidR="003A0356" w:rsidRPr="00503F5B" w:rsidRDefault="003A0356" w:rsidP="003A0356">
            <w:pPr>
              <w:jc w:val="right"/>
              <w:rPr>
                <w:sz w:val="20"/>
                <w:szCs w:val="20"/>
                <w:lang w:val="en-AU"/>
              </w:rPr>
            </w:pPr>
            <w:r w:rsidRPr="00503F5B">
              <w:rPr>
                <w:sz w:val="20"/>
                <w:szCs w:val="20"/>
                <w:lang w:val="en-AU"/>
              </w:rPr>
              <w:t xml:space="preserve"> 1,122 </w:t>
            </w:r>
          </w:p>
        </w:tc>
        <w:tc>
          <w:tcPr>
            <w:tcW w:w="851" w:type="dxa"/>
            <w:noWrap/>
            <w:hideMark/>
          </w:tcPr>
          <w:p w14:paraId="5089EC3E" w14:textId="280CBE00" w:rsidR="003A0356" w:rsidRPr="00503F5B" w:rsidRDefault="003A0356" w:rsidP="003A0356">
            <w:pPr>
              <w:jc w:val="right"/>
              <w:rPr>
                <w:sz w:val="20"/>
                <w:szCs w:val="20"/>
                <w:lang w:val="en-AU"/>
              </w:rPr>
            </w:pPr>
            <w:r w:rsidRPr="00503F5B">
              <w:rPr>
                <w:sz w:val="20"/>
                <w:szCs w:val="20"/>
                <w:lang w:val="en-AU"/>
              </w:rPr>
              <w:t xml:space="preserve"> 1,142 </w:t>
            </w:r>
          </w:p>
        </w:tc>
        <w:tc>
          <w:tcPr>
            <w:tcW w:w="889" w:type="dxa"/>
          </w:tcPr>
          <w:p w14:paraId="1D5B9CF7" w14:textId="0BE1D833" w:rsidR="003A0356" w:rsidRPr="00503F5B" w:rsidRDefault="003A0356" w:rsidP="003A0356">
            <w:pPr>
              <w:jc w:val="right"/>
              <w:rPr>
                <w:sz w:val="20"/>
                <w:szCs w:val="20"/>
                <w:lang w:val="en-AU"/>
              </w:rPr>
            </w:pPr>
            <w:r w:rsidRPr="00503F5B">
              <w:rPr>
                <w:sz w:val="20"/>
                <w:szCs w:val="20"/>
                <w:lang w:val="en-AU"/>
              </w:rPr>
              <w:t xml:space="preserve"> 1,228 </w:t>
            </w:r>
          </w:p>
        </w:tc>
        <w:tc>
          <w:tcPr>
            <w:tcW w:w="850" w:type="dxa"/>
          </w:tcPr>
          <w:p w14:paraId="557C730C" w14:textId="722FD9F7" w:rsidR="003A0356" w:rsidRPr="00503F5B" w:rsidRDefault="003A0356" w:rsidP="003A0356">
            <w:pPr>
              <w:jc w:val="right"/>
              <w:rPr>
                <w:sz w:val="20"/>
                <w:szCs w:val="20"/>
                <w:lang w:val="en-AU"/>
              </w:rPr>
            </w:pPr>
            <w:r w:rsidRPr="00503F5B">
              <w:rPr>
                <w:sz w:val="20"/>
                <w:szCs w:val="20"/>
                <w:lang w:val="en-AU"/>
              </w:rPr>
              <w:t xml:space="preserve"> 1,384 </w:t>
            </w:r>
          </w:p>
        </w:tc>
        <w:tc>
          <w:tcPr>
            <w:tcW w:w="851" w:type="dxa"/>
          </w:tcPr>
          <w:p w14:paraId="35EE236A" w14:textId="30C9D6D6" w:rsidR="003A0356" w:rsidRPr="00503F5B" w:rsidRDefault="003A0356" w:rsidP="003A0356">
            <w:pPr>
              <w:jc w:val="right"/>
              <w:rPr>
                <w:sz w:val="20"/>
                <w:szCs w:val="20"/>
                <w:lang w:val="en-AU"/>
              </w:rPr>
            </w:pPr>
            <w:r w:rsidRPr="00503F5B">
              <w:rPr>
                <w:sz w:val="20"/>
                <w:szCs w:val="20"/>
                <w:lang w:val="en-AU"/>
              </w:rPr>
              <w:t xml:space="preserve"> 1,438 </w:t>
            </w:r>
          </w:p>
        </w:tc>
        <w:tc>
          <w:tcPr>
            <w:tcW w:w="851" w:type="dxa"/>
          </w:tcPr>
          <w:p w14:paraId="1A36DD38" w14:textId="4A439E31" w:rsidR="003A0356" w:rsidRPr="00503F5B" w:rsidRDefault="003A0356" w:rsidP="003A0356">
            <w:pPr>
              <w:jc w:val="right"/>
              <w:rPr>
                <w:sz w:val="20"/>
                <w:szCs w:val="20"/>
                <w:lang w:val="en-AU"/>
              </w:rPr>
            </w:pPr>
            <w:r w:rsidRPr="00503F5B">
              <w:rPr>
                <w:sz w:val="20"/>
                <w:szCs w:val="20"/>
                <w:lang w:val="en-AU"/>
              </w:rPr>
              <w:t xml:space="preserve"> 1,390 </w:t>
            </w:r>
          </w:p>
        </w:tc>
        <w:tc>
          <w:tcPr>
            <w:tcW w:w="953" w:type="dxa"/>
          </w:tcPr>
          <w:p w14:paraId="478711D8" w14:textId="35FAE4CA" w:rsidR="003A0356" w:rsidRPr="00503F5B" w:rsidRDefault="003A0356" w:rsidP="003A0356">
            <w:pPr>
              <w:jc w:val="right"/>
              <w:rPr>
                <w:sz w:val="20"/>
                <w:szCs w:val="20"/>
                <w:lang w:val="en-AU"/>
              </w:rPr>
            </w:pPr>
            <w:r w:rsidRPr="00503F5B">
              <w:rPr>
                <w:sz w:val="20"/>
                <w:szCs w:val="20"/>
                <w:lang w:val="en-AU"/>
              </w:rPr>
              <w:t xml:space="preserve"> 1,233 </w:t>
            </w:r>
          </w:p>
        </w:tc>
      </w:tr>
      <w:tr w:rsidR="003A0356" w:rsidRPr="00503F5B" w14:paraId="6F81E98A" w14:textId="23C4793E" w:rsidTr="00877396">
        <w:trPr>
          <w:trHeight w:val="81"/>
          <w:jc w:val="center"/>
        </w:trPr>
        <w:tc>
          <w:tcPr>
            <w:tcW w:w="1985" w:type="dxa"/>
            <w:noWrap/>
            <w:hideMark/>
          </w:tcPr>
          <w:p w14:paraId="5D49755F" w14:textId="77777777" w:rsidR="003A0356" w:rsidRPr="00503F5B" w:rsidRDefault="003A0356" w:rsidP="003A0356">
            <w:pPr>
              <w:rPr>
                <w:sz w:val="20"/>
                <w:szCs w:val="20"/>
                <w:lang w:val="en-AU"/>
              </w:rPr>
            </w:pPr>
            <w:r w:rsidRPr="00503F5B">
              <w:rPr>
                <w:sz w:val="20"/>
                <w:szCs w:val="20"/>
                <w:lang w:val="en-AU"/>
              </w:rPr>
              <w:t>HazMat</w:t>
            </w:r>
          </w:p>
        </w:tc>
        <w:tc>
          <w:tcPr>
            <w:tcW w:w="850" w:type="dxa"/>
            <w:noWrap/>
            <w:hideMark/>
          </w:tcPr>
          <w:p w14:paraId="6628ABBB" w14:textId="0E83D47C" w:rsidR="003A0356" w:rsidRPr="00503F5B" w:rsidRDefault="003A0356" w:rsidP="003A0356">
            <w:pPr>
              <w:jc w:val="right"/>
              <w:rPr>
                <w:sz w:val="20"/>
                <w:szCs w:val="20"/>
                <w:lang w:val="en-AU"/>
              </w:rPr>
            </w:pPr>
            <w:r w:rsidRPr="00503F5B">
              <w:rPr>
                <w:sz w:val="20"/>
                <w:szCs w:val="20"/>
                <w:lang w:val="en-AU"/>
              </w:rPr>
              <w:t xml:space="preserve"> 680 </w:t>
            </w:r>
          </w:p>
        </w:tc>
        <w:tc>
          <w:tcPr>
            <w:tcW w:w="851" w:type="dxa"/>
            <w:noWrap/>
            <w:hideMark/>
          </w:tcPr>
          <w:p w14:paraId="41510631" w14:textId="006CD442" w:rsidR="003A0356" w:rsidRPr="00503F5B" w:rsidRDefault="003A0356" w:rsidP="003A0356">
            <w:pPr>
              <w:jc w:val="right"/>
              <w:rPr>
                <w:sz w:val="20"/>
                <w:szCs w:val="20"/>
                <w:lang w:val="en-AU"/>
              </w:rPr>
            </w:pPr>
            <w:r w:rsidRPr="00503F5B">
              <w:rPr>
                <w:sz w:val="20"/>
                <w:szCs w:val="20"/>
                <w:lang w:val="en-AU"/>
              </w:rPr>
              <w:t xml:space="preserve"> 797 </w:t>
            </w:r>
          </w:p>
        </w:tc>
        <w:tc>
          <w:tcPr>
            <w:tcW w:w="850" w:type="dxa"/>
            <w:noWrap/>
            <w:hideMark/>
          </w:tcPr>
          <w:p w14:paraId="5C6756CC" w14:textId="28517031" w:rsidR="003A0356" w:rsidRPr="00503F5B" w:rsidRDefault="003A0356" w:rsidP="003A0356">
            <w:pPr>
              <w:jc w:val="right"/>
              <w:rPr>
                <w:sz w:val="20"/>
                <w:szCs w:val="20"/>
                <w:lang w:val="en-AU"/>
              </w:rPr>
            </w:pPr>
            <w:r w:rsidRPr="00503F5B">
              <w:rPr>
                <w:sz w:val="20"/>
                <w:szCs w:val="20"/>
                <w:lang w:val="en-AU"/>
              </w:rPr>
              <w:t xml:space="preserve"> 673 </w:t>
            </w:r>
          </w:p>
        </w:tc>
        <w:tc>
          <w:tcPr>
            <w:tcW w:w="851" w:type="dxa"/>
            <w:noWrap/>
            <w:hideMark/>
          </w:tcPr>
          <w:p w14:paraId="0379B784" w14:textId="4756CE47" w:rsidR="003A0356" w:rsidRPr="00503F5B" w:rsidRDefault="003A0356" w:rsidP="003A0356">
            <w:pPr>
              <w:jc w:val="right"/>
              <w:rPr>
                <w:sz w:val="20"/>
                <w:szCs w:val="20"/>
                <w:lang w:val="en-AU"/>
              </w:rPr>
            </w:pPr>
            <w:r w:rsidRPr="00503F5B">
              <w:rPr>
                <w:sz w:val="20"/>
                <w:szCs w:val="20"/>
                <w:lang w:val="en-AU"/>
              </w:rPr>
              <w:t xml:space="preserve"> 741 </w:t>
            </w:r>
          </w:p>
        </w:tc>
        <w:tc>
          <w:tcPr>
            <w:tcW w:w="889" w:type="dxa"/>
          </w:tcPr>
          <w:p w14:paraId="6FF4BF19" w14:textId="683452CE" w:rsidR="003A0356" w:rsidRPr="00503F5B" w:rsidRDefault="003A0356" w:rsidP="003A0356">
            <w:pPr>
              <w:jc w:val="right"/>
              <w:rPr>
                <w:sz w:val="20"/>
                <w:szCs w:val="20"/>
                <w:lang w:val="en-AU"/>
              </w:rPr>
            </w:pPr>
            <w:r w:rsidRPr="00503F5B">
              <w:rPr>
                <w:sz w:val="20"/>
                <w:szCs w:val="20"/>
                <w:lang w:val="en-AU"/>
              </w:rPr>
              <w:t xml:space="preserve"> 723 </w:t>
            </w:r>
          </w:p>
        </w:tc>
        <w:tc>
          <w:tcPr>
            <w:tcW w:w="850" w:type="dxa"/>
          </w:tcPr>
          <w:p w14:paraId="67495EFA" w14:textId="3A59A0F2" w:rsidR="003A0356" w:rsidRPr="00503F5B" w:rsidRDefault="003A0356" w:rsidP="003A0356">
            <w:pPr>
              <w:jc w:val="right"/>
              <w:rPr>
                <w:sz w:val="20"/>
                <w:szCs w:val="20"/>
                <w:lang w:val="en-AU"/>
              </w:rPr>
            </w:pPr>
            <w:r w:rsidRPr="00503F5B">
              <w:rPr>
                <w:sz w:val="20"/>
                <w:szCs w:val="20"/>
                <w:lang w:val="en-AU"/>
              </w:rPr>
              <w:t xml:space="preserve"> 721 </w:t>
            </w:r>
          </w:p>
        </w:tc>
        <w:tc>
          <w:tcPr>
            <w:tcW w:w="851" w:type="dxa"/>
          </w:tcPr>
          <w:p w14:paraId="7D5FADB5" w14:textId="1B804446" w:rsidR="003A0356" w:rsidRPr="00503F5B" w:rsidRDefault="003A0356" w:rsidP="003A0356">
            <w:pPr>
              <w:jc w:val="right"/>
              <w:rPr>
                <w:sz w:val="20"/>
                <w:szCs w:val="20"/>
                <w:lang w:val="en-AU"/>
              </w:rPr>
            </w:pPr>
            <w:r w:rsidRPr="00503F5B">
              <w:rPr>
                <w:sz w:val="20"/>
                <w:szCs w:val="20"/>
                <w:lang w:val="en-AU"/>
              </w:rPr>
              <w:t xml:space="preserve"> 735 </w:t>
            </w:r>
          </w:p>
        </w:tc>
        <w:tc>
          <w:tcPr>
            <w:tcW w:w="851" w:type="dxa"/>
          </w:tcPr>
          <w:p w14:paraId="0EDD8E8C" w14:textId="22C7FB89" w:rsidR="003A0356" w:rsidRPr="00503F5B" w:rsidRDefault="003A0356" w:rsidP="003A0356">
            <w:pPr>
              <w:jc w:val="right"/>
              <w:rPr>
                <w:sz w:val="20"/>
                <w:szCs w:val="20"/>
                <w:lang w:val="en-AU"/>
              </w:rPr>
            </w:pPr>
            <w:r w:rsidRPr="00503F5B">
              <w:rPr>
                <w:sz w:val="20"/>
                <w:szCs w:val="20"/>
                <w:lang w:val="en-AU"/>
              </w:rPr>
              <w:t xml:space="preserve"> 681 </w:t>
            </w:r>
          </w:p>
        </w:tc>
        <w:tc>
          <w:tcPr>
            <w:tcW w:w="953" w:type="dxa"/>
          </w:tcPr>
          <w:p w14:paraId="436BF6F8" w14:textId="7527D77F" w:rsidR="003A0356" w:rsidRPr="00503F5B" w:rsidRDefault="003A0356" w:rsidP="003A0356">
            <w:pPr>
              <w:jc w:val="right"/>
              <w:rPr>
                <w:sz w:val="20"/>
                <w:szCs w:val="20"/>
                <w:lang w:val="en-AU"/>
              </w:rPr>
            </w:pPr>
            <w:r w:rsidRPr="00503F5B">
              <w:rPr>
                <w:sz w:val="20"/>
                <w:szCs w:val="20"/>
                <w:lang w:val="en-AU"/>
              </w:rPr>
              <w:t xml:space="preserve"> 719 </w:t>
            </w:r>
          </w:p>
        </w:tc>
      </w:tr>
      <w:tr w:rsidR="003A0356" w:rsidRPr="00503F5B" w14:paraId="32340D29" w14:textId="1FEE71D2" w:rsidTr="00877396">
        <w:trPr>
          <w:trHeight w:val="59"/>
          <w:jc w:val="center"/>
        </w:trPr>
        <w:tc>
          <w:tcPr>
            <w:tcW w:w="1985" w:type="dxa"/>
            <w:noWrap/>
            <w:hideMark/>
          </w:tcPr>
          <w:p w14:paraId="65E941E0" w14:textId="77777777" w:rsidR="003A0356" w:rsidRPr="00503F5B" w:rsidRDefault="003A0356" w:rsidP="003A0356">
            <w:pPr>
              <w:rPr>
                <w:sz w:val="20"/>
                <w:szCs w:val="20"/>
                <w:lang w:val="en-AU"/>
              </w:rPr>
            </w:pPr>
            <w:r w:rsidRPr="00503F5B">
              <w:rPr>
                <w:sz w:val="20"/>
                <w:szCs w:val="20"/>
                <w:lang w:val="en-AU"/>
              </w:rPr>
              <w:t>Haz not HazMat</w:t>
            </w:r>
          </w:p>
        </w:tc>
        <w:tc>
          <w:tcPr>
            <w:tcW w:w="850" w:type="dxa"/>
            <w:noWrap/>
            <w:hideMark/>
          </w:tcPr>
          <w:p w14:paraId="40911A32" w14:textId="20EF7A03" w:rsidR="003A0356" w:rsidRPr="00503F5B" w:rsidRDefault="003A0356" w:rsidP="003A0356">
            <w:pPr>
              <w:jc w:val="right"/>
              <w:rPr>
                <w:sz w:val="20"/>
                <w:szCs w:val="20"/>
                <w:lang w:val="en-AU"/>
              </w:rPr>
            </w:pPr>
            <w:r w:rsidRPr="00503F5B">
              <w:rPr>
                <w:sz w:val="20"/>
                <w:szCs w:val="20"/>
                <w:lang w:val="en-AU"/>
              </w:rPr>
              <w:t xml:space="preserve"> 2,536 </w:t>
            </w:r>
          </w:p>
        </w:tc>
        <w:tc>
          <w:tcPr>
            <w:tcW w:w="851" w:type="dxa"/>
            <w:noWrap/>
            <w:hideMark/>
          </w:tcPr>
          <w:p w14:paraId="19A6D89E" w14:textId="1560796A" w:rsidR="003A0356" w:rsidRPr="00503F5B" w:rsidRDefault="003A0356" w:rsidP="003A0356">
            <w:pPr>
              <w:jc w:val="right"/>
              <w:rPr>
                <w:sz w:val="20"/>
                <w:szCs w:val="20"/>
                <w:lang w:val="en-AU"/>
              </w:rPr>
            </w:pPr>
            <w:r w:rsidRPr="00503F5B">
              <w:rPr>
                <w:sz w:val="20"/>
                <w:szCs w:val="20"/>
                <w:lang w:val="en-AU"/>
              </w:rPr>
              <w:t xml:space="preserve"> 2,626 </w:t>
            </w:r>
          </w:p>
        </w:tc>
        <w:tc>
          <w:tcPr>
            <w:tcW w:w="850" w:type="dxa"/>
            <w:noWrap/>
            <w:hideMark/>
          </w:tcPr>
          <w:p w14:paraId="30D0E0D1" w14:textId="7DA3E1BF" w:rsidR="003A0356" w:rsidRPr="00503F5B" w:rsidRDefault="003A0356" w:rsidP="003A0356">
            <w:pPr>
              <w:jc w:val="right"/>
              <w:rPr>
                <w:sz w:val="20"/>
                <w:szCs w:val="20"/>
                <w:lang w:val="en-AU"/>
              </w:rPr>
            </w:pPr>
            <w:r w:rsidRPr="00503F5B">
              <w:rPr>
                <w:sz w:val="20"/>
                <w:szCs w:val="20"/>
                <w:lang w:val="en-AU"/>
              </w:rPr>
              <w:t xml:space="preserve"> 2,782 </w:t>
            </w:r>
          </w:p>
        </w:tc>
        <w:tc>
          <w:tcPr>
            <w:tcW w:w="851" w:type="dxa"/>
            <w:noWrap/>
            <w:hideMark/>
          </w:tcPr>
          <w:p w14:paraId="584D8D56" w14:textId="298AD442" w:rsidR="003A0356" w:rsidRPr="00503F5B" w:rsidRDefault="003A0356" w:rsidP="003A0356">
            <w:pPr>
              <w:jc w:val="right"/>
              <w:rPr>
                <w:sz w:val="20"/>
                <w:szCs w:val="20"/>
                <w:lang w:val="en-AU"/>
              </w:rPr>
            </w:pPr>
            <w:r w:rsidRPr="00503F5B">
              <w:rPr>
                <w:sz w:val="20"/>
                <w:szCs w:val="20"/>
                <w:lang w:val="en-AU"/>
              </w:rPr>
              <w:t xml:space="preserve"> 2,560 </w:t>
            </w:r>
          </w:p>
        </w:tc>
        <w:tc>
          <w:tcPr>
            <w:tcW w:w="889" w:type="dxa"/>
          </w:tcPr>
          <w:p w14:paraId="01980B9B" w14:textId="4DFDB18E" w:rsidR="003A0356" w:rsidRPr="00503F5B" w:rsidRDefault="003A0356" w:rsidP="003A0356">
            <w:pPr>
              <w:jc w:val="right"/>
              <w:rPr>
                <w:sz w:val="20"/>
                <w:szCs w:val="20"/>
                <w:lang w:val="en-AU"/>
              </w:rPr>
            </w:pPr>
            <w:r w:rsidRPr="00503F5B">
              <w:rPr>
                <w:sz w:val="20"/>
                <w:szCs w:val="20"/>
                <w:lang w:val="en-AU"/>
              </w:rPr>
              <w:t xml:space="preserve"> 2,627 </w:t>
            </w:r>
          </w:p>
        </w:tc>
        <w:tc>
          <w:tcPr>
            <w:tcW w:w="850" w:type="dxa"/>
          </w:tcPr>
          <w:p w14:paraId="59D7FCDC" w14:textId="18917CAA" w:rsidR="003A0356" w:rsidRPr="00503F5B" w:rsidRDefault="003A0356" w:rsidP="003A0356">
            <w:pPr>
              <w:jc w:val="right"/>
              <w:rPr>
                <w:sz w:val="20"/>
                <w:szCs w:val="20"/>
                <w:lang w:val="en-AU"/>
              </w:rPr>
            </w:pPr>
            <w:r w:rsidRPr="00503F5B">
              <w:rPr>
                <w:sz w:val="20"/>
                <w:szCs w:val="20"/>
                <w:lang w:val="en-AU"/>
              </w:rPr>
              <w:t xml:space="preserve"> 2,493 </w:t>
            </w:r>
          </w:p>
        </w:tc>
        <w:tc>
          <w:tcPr>
            <w:tcW w:w="851" w:type="dxa"/>
          </w:tcPr>
          <w:p w14:paraId="12B82672" w14:textId="206844B3" w:rsidR="003A0356" w:rsidRPr="00503F5B" w:rsidRDefault="003A0356" w:rsidP="003A0356">
            <w:pPr>
              <w:jc w:val="right"/>
              <w:rPr>
                <w:sz w:val="20"/>
                <w:szCs w:val="20"/>
                <w:lang w:val="en-AU"/>
              </w:rPr>
            </w:pPr>
            <w:r w:rsidRPr="00503F5B">
              <w:rPr>
                <w:sz w:val="20"/>
                <w:szCs w:val="20"/>
                <w:lang w:val="en-AU"/>
              </w:rPr>
              <w:t xml:space="preserve"> 2,560 </w:t>
            </w:r>
          </w:p>
        </w:tc>
        <w:tc>
          <w:tcPr>
            <w:tcW w:w="851" w:type="dxa"/>
          </w:tcPr>
          <w:p w14:paraId="27309AB1" w14:textId="5B2050AE" w:rsidR="003A0356" w:rsidRPr="00503F5B" w:rsidRDefault="003A0356" w:rsidP="003A0356">
            <w:pPr>
              <w:jc w:val="right"/>
              <w:rPr>
                <w:sz w:val="20"/>
                <w:szCs w:val="20"/>
                <w:lang w:val="en-AU"/>
              </w:rPr>
            </w:pPr>
            <w:r w:rsidRPr="00503F5B">
              <w:rPr>
                <w:sz w:val="20"/>
                <w:szCs w:val="20"/>
                <w:lang w:val="en-AU"/>
              </w:rPr>
              <w:t xml:space="preserve"> 2,372 </w:t>
            </w:r>
          </w:p>
        </w:tc>
        <w:tc>
          <w:tcPr>
            <w:tcW w:w="953" w:type="dxa"/>
          </w:tcPr>
          <w:p w14:paraId="19914415" w14:textId="1483133B" w:rsidR="003A0356" w:rsidRPr="00503F5B" w:rsidRDefault="003A0356" w:rsidP="003A0356">
            <w:pPr>
              <w:jc w:val="right"/>
              <w:rPr>
                <w:sz w:val="20"/>
                <w:szCs w:val="20"/>
                <w:lang w:val="en-AU"/>
              </w:rPr>
            </w:pPr>
            <w:r w:rsidRPr="00503F5B">
              <w:rPr>
                <w:sz w:val="20"/>
                <w:szCs w:val="20"/>
                <w:lang w:val="en-AU"/>
              </w:rPr>
              <w:t xml:space="preserve"> 2,570 </w:t>
            </w:r>
          </w:p>
        </w:tc>
      </w:tr>
      <w:tr w:rsidR="003A0356" w:rsidRPr="00503F5B" w14:paraId="74B74FDE" w14:textId="74ED9558" w:rsidTr="00877396">
        <w:trPr>
          <w:trHeight w:val="59"/>
          <w:jc w:val="center"/>
        </w:trPr>
        <w:tc>
          <w:tcPr>
            <w:tcW w:w="1985" w:type="dxa"/>
            <w:noWrap/>
            <w:hideMark/>
          </w:tcPr>
          <w:p w14:paraId="11E9AD79" w14:textId="77777777" w:rsidR="003A0356" w:rsidRPr="00503F5B" w:rsidRDefault="003A0356" w:rsidP="003A0356">
            <w:pPr>
              <w:rPr>
                <w:sz w:val="20"/>
                <w:szCs w:val="20"/>
                <w:lang w:val="en-AU"/>
              </w:rPr>
            </w:pPr>
            <w:r w:rsidRPr="00503F5B">
              <w:rPr>
                <w:sz w:val="20"/>
                <w:szCs w:val="20"/>
                <w:lang w:val="en-AU"/>
              </w:rPr>
              <w:t>Service Calls</w:t>
            </w:r>
          </w:p>
        </w:tc>
        <w:tc>
          <w:tcPr>
            <w:tcW w:w="850" w:type="dxa"/>
            <w:noWrap/>
            <w:hideMark/>
          </w:tcPr>
          <w:p w14:paraId="4CB0AAB0" w14:textId="59FD28CB" w:rsidR="003A0356" w:rsidRPr="00503F5B" w:rsidRDefault="003A0356" w:rsidP="003A0356">
            <w:pPr>
              <w:jc w:val="right"/>
              <w:rPr>
                <w:sz w:val="20"/>
                <w:szCs w:val="20"/>
                <w:lang w:val="en-AU"/>
              </w:rPr>
            </w:pPr>
            <w:r w:rsidRPr="00503F5B">
              <w:rPr>
                <w:sz w:val="20"/>
                <w:szCs w:val="20"/>
                <w:lang w:val="en-AU"/>
              </w:rPr>
              <w:t xml:space="preserve"> 1,200 </w:t>
            </w:r>
          </w:p>
        </w:tc>
        <w:tc>
          <w:tcPr>
            <w:tcW w:w="851" w:type="dxa"/>
            <w:noWrap/>
            <w:hideMark/>
          </w:tcPr>
          <w:p w14:paraId="3090F077" w14:textId="4FC7153D" w:rsidR="003A0356" w:rsidRPr="00503F5B" w:rsidRDefault="003A0356" w:rsidP="003A0356">
            <w:pPr>
              <w:jc w:val="right"/>
              <w:rPr>
                <w:sz w:val="20"/>
                <w:szCs w:val="20"/>
                <w:lang w:val="en-AU"/>
              </w:rPr>
            </w:pPr>
            <w:r w:rsidRPr="00503F5B">
              <w:rPr>
                <w:sz w:val="20"/>
                <w:szCs w:val="20"/>
                <w:lang w:val="en-AU"/>
              </w:rPr>
              <w:t xml:space="preserve"> 1,202 </w:t>
            </w:r>
          </w:p>
        </w:tc>
        <w:tc>
          <w:tcPr>
            <w:tcW w:w="850" w:type="dxa"/>
            <w:noWrap/>
            <w:hideMark/>
          </w:tcPr>
          <w:p w14:paraId="4365C67E" w14:textId="00F5B900" w:rsidR="003A0356" w:rsidRPr="00503F5B" w:rsidRDefault="003A0356" w:rsidP="003A0356">
            <w:pPr>
              <w:jc w:val="right"/>
              <w:rPr>
                <w:sz w:val="20"/>
                <w:szCs w:val="20"/>
                <w:lang w:val="en-AU"/>
              </w:rPr>
            </w:pPr>
            <w:r w:rsidRPr="00503F5B">
              <w:rPr>
                <w:sz w:val="20"/>
                <w:szCs w:val="20"/>
                <w:lang w:val="en-AU"/>
              </w:rPr>
              <w:t xml:space="preserve"> 1,481 </w:t>
            </w:r>
          </w:p>
        </w:tc>
        <w:tc>
          <w:tcPr>
            <w:tcW w:w="851" w:type="dxa"/>
            <w:noWrap/>
            <w:hideMark/>
          </w:tcPr>
          <w:p w14:paraId="327CB1A2" w14:textId="02D161FF" w:rsidR="003A0356" w:rsidRPr="00503F5B" w:rsidRDefault="003A0356" w:rsidP="003A0356">
            <w:pPr>
              <w:jc w:val="right"/>
              <w:rPr>
                <w:sz w:val="20"/>
                <w:szCs w:val="20"/>
                <w:lang w:val="en-AU"/>
              </w:rPr>
            </w:pPr>
            <w:r w:rsidRPr="00503F5B">
              <w:rPr>
                <w:sz w:val="20"/>
                <w:szCs w:val="20"/>
                <w:lang w:val="en-AU"/>
              </w:rPr>
              <w:t xml:space="preserve"> 1,534 </w:t>
            </w:r>
          </w:p>
        </w:tc>
        <w:tc>
          <w:tcPr>
            <w:tcW w:w="889" w:type="dxa"/>
          </w:tcPr>
          <w:p w14:paraId="7EF1AEB4" w14:textId="35A93234" w:rsidR="003A0356" w:rsidRPr="00503F5B" w:rsidRDefault="003A0356" w:rsidP="003A0356">
            <w:pPr>
              <w:jc w:val="right"/>
              <w:rPr>
                <w:sz w:val="20"/>
                <w:szCs w:val="20"/>
                <w:lang w:val="en-AU"/>
              </w:rPr>
            </w:pPr>
            <w:r w:rsidRPr="00503F5B">
              <w:rPr>
                <w:sz w:val="20"/>
                <w:szCs w:val="20"/>
                <w:lang w:val="en-AU"/>
              </w:rPr>
              <w:t xml:space="preserve"> 1,554 </w:t>
            </w:r>
          </w:p>
        </w:tc>
        <w:tc>
          <w:tcPr>
            <w:tcW w:w="850" w:type="dxa"/>
          </w:tcPr>
          <w:p w14:paraId="4A7E9EA2" w14:textId="36F7C212" w:rsidR="003A0356" w:rsidRPr="00503F5B" w:rsidRDefault="003A0356" w:rsidP="003A0356">
            <w:pPr>
              <w:jc w:val="right"/>
              <w:rPr>
                <w:sz w:val="20"/>
                <w:szCs w:val="20"/>
                <w:lang w:val="en-AU"/>
              </w:rPr>
            </w:pPr>
            <w:r w:rsidRPr="00503F5B">
              <w:rPr>
                <w:sz w:val="20"/>
                <w:szCs w:val="20"/>
                <w:lang w:val="en-AU"/>
              </w:rPr>
              <w:t xml:space="preserve"> 1,597 </w:t>
            </w:r>
          </w:p>
        </w:tc>
        <w:tc>
          <w:tcPr>
            <w:tcW w:w="851" w:type="dxa"/>
          </w:tcPr>
          <w:p w14:paraId="60BC215A" w14:textId="59DCFA77" w:rsidR="003A0356" w:rsidRPr="00503F5B" w:rsidRDefault="003A0356" w:rsidP="003A0356">
            <w:pPr>
              <w:jc w:val="right"/>
              <w:rPr>
                <w:sz w:val="20"/>
                <w:szCs w:val="20"/>
                <w:lang w:val="en-AU"/>
              </w:rPr>
            </w:pPr>
            <w:r w:rsidRPr="00503F5B">
              <w:rPr>
                <w:sz w:val="20"/>
                <w:szCs w:val="20"/>
                <w:lang w:val="en-AU"/>
              </w:rPr>
              <w:t xml:space="preserve"> 1,718 </w:t>
            </w:r>
          </w:p>
        </w:tc>
        <w:tc>
          <w:tcPr>
            <w:tcW w:w="851" w:type="dxa"/>
          </w:tcPr>
          <w:p w14:paraId="58B83795" w14:textId="0D817D7A" w:rsidR="003A0356" w:rsidRPr="00503F5B" w:rsidRDefault="003A0356" w:rsidP="003A0356">
            <w:pPr>
              <w:jc w:val="right"/>
              <w:rPr>
                <w:sz w:val="20"/>
                <w:szCs w:val="20"/>
                <w:lang w:val="en-AU"/>
              </w:rPr>
            </w:pPr>
            <w:r w:rsidRPr="00503F5B">
              <w:rPr>
                <w:sz w:val="20"/>
                <w:szCs w:val="20"/>
                <w:lang w:val="en-AU"/>
              </w:rPr>
              <w:t xml:space="preserve"> 1,895 </w:t>
            </w:r>
          </w:p>
        </w:tc>
        <w:tc>
          <w:tcPr>
            <w:tcW w:w="953" w:type="dxa"/>
          </w:tcPr>
          <w:p w14:paraId="59874841" w14:textId="03858E16" w:rsidR="003A0356" w:rsidRPr="00503F5B" w:rsidRDefault="003A0356" w:rsidP="003A0356">
            <w:pPr>
              <w:jc w:val="right"/>
              <w:rPr>
                <w:sz w:val="20"/>
                <w:szCs w:val="20"/>
                <w:lang w:val="en-AU"/>
              </w:rPr>
            </w:pPr>
            <w:r w:rsidRPr="00503F5B">
              <w:rPr>
                <w:sz w:val="20"/>
                <w:szCs w:val="20"/>
                <w:lang w:val="en-AU"/>
              </w:rPr>
              <w:t xml:space="preserve"> 1,523 </w:t>
            </w:r>
          </w:p>
        </w:tc>
      </w:tr>
      <w:tr w:rsidR="003A0356" w:rsidRPr="00503F5B" w14:paraId="4991B0ED" w14:textId="35EBC60C" w:rsidTr="00877396">
        <w:trPr>
          <w:trHeight w:val="59"/>
          <w:jc w:val="center"/>
        </w:trPr>
        <w:tc>
          <w:tcPr>
            <w:tcW w:w="1985" w:type="dxa"/>
            <w:noWrap/>
            <w:hideMark/>
          </w:tcPr>
          <w:p w14:paraId="377FE472" w14:textId="77777777" w:rsidR="003A0356" w:rsidRPr="00503F5B" w:rsidRDefault="003A0356" w:rsidP="003A0356">
            <w:pPr>
              <w:rPr>
                <w:sz w:val="20"/>
                <w:szCs w:val="20"/>
                <w:lang w:val="en-AU"/>
              </w:rPr>
            </w:pPr>
            <w:r w:rsidRPr="00503F5B">
              <w:rPr>
                <w:sz w:val="20"/>
                <w:szCs w:val="20"/>
                <w:lang w:val="en-AU"/>
              </w:rPr>
              <w:t>Good Intent</w:t>
            </w:r>
          </w:p>
        </w:tc>
        <w:tc>
          <w:tcPr>
            <w:tcW w:w="850" w:type="dxa"/>
            <w:noWrap/>
            <w:hideMark/>
          </w:tcPr>
          <w:p w14:paraId="406BB95D" w14:textId="06075342" w:rsidR="003A0356" w:rsidRPr="00503F5B" w:rsidRDefault="003A0356" w:rsidP="003A0356">
            <w:pPr>
              <w:jc w:val="right"/>
              <w:rPr>
                <w:sz w:val="20"/>
                <w:szCs w:val="20"/>
                <w:lang w:val="en-AU"/>
              </w:rPr>
            </w:pPr>
            <w:r w:rsidRPr="00503F5B">
              <w:rPr>
                <w:sz w:val="20"/>
                <w:szCs w:val="20"/>
                <w:lang w:val="en-AU"/>
              </w:rPr>
              <w:t xml:space="preserve"> 5,043 </w:t>
            </w:r>
          </w:p>
        </w:tc>
        <w:tc>
          <w:tcPr>
            <w:tcW w:w="851" w:type="dxa"/>
            <w:noWrap/>
            <w:hideMark/>
          </w:tcPr>
          <w:p w14:paraId="7FB2F75A" w14:textId="5F148AAE" w:rsidR="003A0356" w:rsidRPr="00503F5B" w:rsidRDefault="003A0356" w:rsidP="003A0356">
            <w:pPr>
              <w:jc w:val="right"/>
              <w:rPr>
                <w:sz w:val="20"/>
                <w:szCs w:val="20"/>
                <w:lang w:val="en-AU"/>
              </w:rPr>
            </w:pPr>
            <w:r w:rsidRPr="00503F5B">
              <w:rPr>
                <w:sz w:val="20"/>
                <w:szCs w:val="20"/>
                <w:lang w:val="en-AU"/>
              </w:rPr>
              <w:t xml:space="preserve"> 4,931 </w:t>
            </w:r>
          </w:p>
        </w:tc>
        <w:tc>
          <w:tcPr>
            <w:tcW w:w="850" w:type="dxa"/>
            <w:noWrap/>
            <w:hideMark/>
          </w:tcPr>
          <w:p w14:paraId="0FC83E58" w14:textId="08CD3B98" w:rsidR="003A0356" w:rsidRPr="00503F5B" w:rsidRDefault="003A0356" w:rsidP="003A0356">
            <w:pPr>
              <w:jc w:val="right"/>
              <w:rPr>
                <w:sz w:val="20"/>
                <w:szCs w:val="20"/>
                <w:lang w:val="en-AU"/>
              </w:rPr>
            </w:pPr>
            <w:r w:rsidRPr="00503F5B">
              <w:rPr>
                <w:sz w:val="20"/>
                <w:szCs w:val="20"/>
                <w:lang w:val="en-AU"/>
              </w:rPr>
              <w:t xml:space="preserve"> 4,737 </w:t>
            </w:r>
          </w:p>
        </w:tc>
        <w:tc>
          <w:tcPr>
            <w:tcW w:w="851" w:type="dxa"/>
            <w:noWrap/>
            <w:hideMark/>
          </w:tcPr>
          <w:p w14:paraId="100C792F" w14:textId="2D3B0A73" w:rsidR="003A0356" w:rsidRPr="00503F5B" w:rsidRDefault="003A0356" w:rsidP="003A0356">
            <w:pPr>
              <w:jc w:val="right"/>
              <w:rPr>
                <w:sz w:val="20"/>
                <w:szCs w:val="20"/>
                <w:lang w:val="en-AU"/>
              </w:rPr>
            </w:pPr>
            <w:r w:rsidRPr="00503F5B">
              <w:rPr>
                <w:sz w:val="20"/>
                <w:szCs w:val="20"/>
                <w:lang w:val="en-AU"/>
              </w:rPr>
              <w:t xml:space="preserve"> 4,821 </w:t>
            </w:r>
          </w:p>
        </w:tc>
        <w:tc>
          <w:tcPr>
            <w:tcW w:w="889" w:type="dxa"/>
          </w:tcPr>
          <w:p w14:paraId="50304A7C" w14:textId="4D0CB3A5" w:rsidR="003A0356" w:rsidRPr="00503F5B" w:rsidRDefault="003A0356" w:rsidP="003A0356">
            <w:pPr>
              <w:jc w:val="right"/>
              <w:rPr>
                <w:sz w:val="20"/>
                <w:szCs w:val="20"/>
                <w:lang w:val="en-AU"/>
              </w:rPr>
            </w:pPr>
            <w:r w:rsidRPr="00503F5B">
              <w:rPr>
                <w:sz w:val="20"/>
                <w:szCs w:val="20"/>
                <w:lang w:val="en-AU"/>
              </w:rPr>
              <w:t xml:space="preserve"> 5,652 </w:t>
            </w:r>
          </w:p>
        </w:tc>
        <w:tc>
          <w:tcPr>
            <w:tcW w:w="850" w:type="dxa"/>
          </w:tcPr>
          <w:p w14:paraId="55C176F8" w14:textId="7B54A0EC" w:rsidR="003A0356" w:rsidRPr="00503F5B" w:rsidRDefault="003A0356" w:rsidP="003A0356">
            <w:pPr>
              <w:jc w:val="right"/>
              <w:rPr>
                <w:sz w:val="20"/>
                <w:szCs w:val="20"/>
                <w:lang w:val="en-AU"/>
              </w:rPr>
            </w:pPr>
            <w:r w:rsidRPr="00503F5B">
              <w:rPr>
                <w:sz w:val="20"/>
                <w:szCs w:val="20"/>
                <w:lang w:val="en-AU"/>
              </w:rPr>
              <w:t xml:space="preserve"> 6,029 </w:t>
            </w:r>
          </w:p>
        </w:tc>
        <w:tc>
          <w:tcPr>
            <w:tcW w:w="851" w:type="dxa"/>
          </w:tcPr>
          <w:p w14:paraId="5774B34E" w14:textId="78AE71B8" w:rsidR="003A0356" w:rsidRPr="00503F5B" w:rsidRDefault="003A0356" w:rsidP="003A0356">
            <w:pPr>
              <w:jc w:val="right"/>
              <w:rPr>
                <w:sz w:val="20"/>
                <w:szCs w:val="20"/>
                <w:lang w:val="en-AU"/>
              </w:rPr>
            </w:pPr>
            <w:r w:rsidRPr="00503F5B">
              <w:rPr>
                <w:sz w:val="20"/>
                <w:szCs w:val="20"/>
                <w:lang w:val="en-AU"/>
              </w:rPr>
              <w:t xml:space="preserve"> 4,900 </w:t>
            </w:r>
          </w:p>
        </w:tc>
        <w:tc>
          <w:tcPr>
            <w:tcW w:w="851" w:type="dxa"/>
          </w:tcPr>
          <w:p w14:paraId="64F92054" w14:textId="574DA6F0" w:rsidR="003A0356" w:rsidRPr="00503F5B" w:rsidRDefault="003A0356" w:rsidP="003A0356">
            <w:pPr>
              <w:jc w:val="right"/>
              <w:rPr>
                <w:sz w:val="20"/>
                <w:szCs w:val="20"/>
                <w:lang w:val="en-AU"/>
              </w:rPr>
            </w:pPr>
            <w:r w:rsidRPr="00503F5B">
              <w:rPr>
                <w:sz w:val="20"/>
                <w:szCs w:val="20"/>
                <w:lang w:val="en-AU"/>
              </w:rPr>
              <w:t xml:space="preserve"> 5,254 </w:t>
            </w:r>
          </w:p>
        </w:tc>
        <w:tc>
          <w:tcPr>
            <w:tcW w:w="953" w:type="dxa"/>
          </w:tcPr>
          <w:p w14:paraId="31198B6F" w14:textId="35A898B1" w:rsidR="003A0356" w:rsidRPr="00503F5B" w:rsidRDefault="003A0356" w:rsidP="003A0356">
            <w:pPr>
              <w:jc w:val="right"/>
              <w:rPr>
                <w:sz w:val="20"/>
                <w:szCs w:val="20"/>
                <w:lang w:val="en-AU"/>
              </w:rPr>
            </w:pPr>
            <w:r w:rsidRPr="00503F5B">
              <w:rPr>
                <w:sz w:val="20"/>
                <w:szCs w:val="20"/>
                <w:lang w:val="en-AU"/>
              </w:rPr>
              <w:t xml:space="preserve"> 5,171 </w:t>
            </w:r>
          </w:p>
        </w:tc>
      </w:tr>
      <w:tr w:rsidR="003A0356" w:rsidRPr="00503F5B" w14:paraId="13F37C05" w14:textId="3C06E955" w:rsidTr="00877396">
        <w:trPr>
          <w:trHeight w:val="59"/>
          <w:jc w:val="center"/>
        </w:trPr>
        <w:tc>
          <w:tcPr>
            <w:tcW w:w="1985" w:type="dxa"/>
            <w:noWrap/>
            <w:hideMark/>
          </w:tcPr>
          <w:p w14:paraId="753D5E6B" w14:textId="77777777" w:rsidR="003A0356" w:rsidRPr="00503F5B" w:rsidRDefault="003A0356" w:rsidP="003A0356">
            <w:pPr>
              <w:rPr>
                <w:sz w:val="20"/>
                <w:szCs w:val="20"/>
                <w:lang w:val="en-AU"/>
              </w:rPr>
            </w:pPr>
            <w:r w:rsidRPr="00503F5B">
              <w:rPr>
                <w:sz w:val="20"/>
                <w:szCs w:val="20"/>
                <w:lang w:val="en-AU"/>
              </w:rPr>
              <w:t>Malicious</w:t>
            </w:r>
          </w:p>
        </w:tc>
        <w:tc>
          <w:tcPr>
            <w:tcW w:w="850" w:type="dxa"/>
            <w:noWrap/>
            <w:hideMark/>
          </w:tcPr>
          <w:p w14:paraId="4E5C2568" w14:textId="7735001B" w:rsidR="003A0356" w:rsidRPr="00503F5B" w:rsidRDefault="003A0356" w:rsidP="003A0356">
            <w:pPr>
              <w:jc w:val="right"/>
              <w:rPr>
                <w:sz w:val="20"/>
                <w:szCs w:val="20"/>
                <w:lang w:val="en-AU"/>
              </w:rPr>
            </w:pPr>
            <w:r w:rsidRPr="00503F5B">
              <w:rPr>
                <w:sz w:val="20"/>
                <w:szCs w:val="20"/>
                <w:lang w:val="en-AU"/>
              </w:rPr>
              <w:t xml:space="preserve"> 928 </w:t>
            </w:r>
          </w:p>
        </w:tc>
        <w:tc>
          <w:tcPr>
            <w:tcW w:w="851" w:type="dxa"/>
            <w:noWrap/>
            <w:hideMark/>
          </w:tcPr>
          <w:p w14:paraId="4013EE68" w14:textId="2EB282B9" w:rsidR="003A0356" w:rsidRPr="00503F5B" w:rsidRDefault="003A0356" w:rsidP="003A0356">
            <w:pPr>
              <w:jc w:val="right"/>
              <w:rPr>
                <w:sz w:val="20"/>
                <w:szCs w:val="20"/>
                <w:lang w:val="en-AU"/>
              </w:rPr>
            </w:pPr>
            <w:r w:rsidRPr="00503F5B">
              <w:rPr>
                <w:sz w:val="20"/>
                <w:szCs w:val="20"/>
                <w:lang w:val="en-AU"/>
              </w:rPr>
              <w:t xml:space="preserve"> 837 </w:t>
            </w:r>
          </w:p>
        </w:tc>
        <w:tc>
          <w:tcPr>
            <w:tcW w:w="850" w:type="dxa"/>
            <w:noWrap/>
            <w:hideMark/>
          </w:tcPr>
          <w:p w14:paraId="57ADEDA3" w14:textId="6CCF246C" w:rsidR="003A0356" w:rsidRPr="00503F5B" w:rsidRDefault="003A0356" w:rsidP="003A0356">
            <w:pPr>
              <w:jc w:val="right"/>
              <w:rPr>
                <w:sz w:val="20"/>
                <w:szCs w:val="20"/>
                <w:lang w:val="en-AU"/>
              </w:rPr>
            </w:pPr>
            <w:r w:rsidRPr="00503F5B">
              <w:rPr>
                <w:sz w:val="20"/>
                <w:szCs w:val="20"/>
                <w:lang w:val="en-AU"/>
              </w:rPr>
              <w:t xml:space="preserve"> 704 </w:t>
            </w:r>
          </w:p>
        </w:tc>
        <w:tc>
          <w:tcPr>
            <w:tcW w:w="851" w:type="dxa"/>
            <w:noWrap/>
            <w:hideMark/>
          </w:tcPr>
          <w:p w14:paraId="46826898" w14:textId="0025A5D1" w:rsidR="003A0356" w:rsidRPr="00503F5B" w:rsidRDefault="003A0356" w:rsidP="003A0356">
            <w:pPr>
              <w:jc w:val="right"/>
              <w:rPr>
                <w:sz w:val="20"/>
                <w:szCs w:val="20"/>
                <w:lang w:val="en-AU"/>
              </w:rPr>
            </w:pPr>
            <w:r w:rsidRPr="00503F5B">
              <w:rPr>
                <w:sz w:val="20"/>
                <w:szCs w:val="20"/>
                <w:lang w:val="en-AU"/>
              </w:rPr>
              <w:t xml:space="preserve"> 693 </w:t>
            </w:r>
          </w:p>
        </w:tc>
        <w:tc>
          <w:tcPr>
            <w:tcW w:w="889" w:type="dxa"/>
          </w:tcPr>
          <w:p w14:paraId="7579639B" w14:textId="3F56FEB8" w:rsidR="003A0356" w:rsidRPr="00503F5B" w:rsidRDefault="003A0356" w:rsidP="003A0356">
            <w:pPr>
              <w:jc w:val="right"/>
              <w:rPr>
                <w:sz w:val="20"/>
                <w:szCs w:val="20"/>
                <w:lang w:val="en-AU"/>
              </w:rPr>
            </w:pPr>
            <w:r w:rsidRPr="00503F5B">
              <w:rPr>
                <w:sz w:val="20"/>
                <w:szCs w:val="20"/>
                <w:lang w:val="en-AU"/>
              </w:rPr>
              <w:t xml:space="preserve"> 821 </w:t>
            </w:r>
          </w:p>
        </w:tc>
        <w:tc>
          <w:tcPr>
            <w:tcW w:w="850" w:type="dxa"/>
          </w:tcPr>
          <w:p w14:paraId="1EDF3C52" w14:textId="0776B0BD" w:rsidR="003A0356" w:rsidRPr="00503F5B" w:rsidRDefault="003A0356" w:rsidP="003A0356">
            <w:pPr>
              <w:jc w:val="right"/>
              <w:rPr>
                <w:sz w:val="20"/>
                <w:szCs w:val="20"/>
                <w:lang w:val="en-AU"/>
              </w:rPr>
            </w:pPr>
            <w:r w:rsidRPr="00503F5B">
              <w:rPr>
                <w:sz w:val="20"/>
                <w:szCs w:val="20"/>
                <w:lang w:val="en-AU"/>
              </w:rPr>
              <w:t xml:space="preserve"> 892 </w:t>
            </w:r>
          </w:p>
        </w:tc>
        <w:tc>
          <w:tcPr>
            <w:tcW w:w="851" w:type="dxa"/>
          </w:tcPr>
          <w:p w14:paraId="7A1E3C0A" w14:textId="6F6706FE" w:rsidR="003A0356" w:rsidRPr="00503F5B" w:rsidRDefault="003A0356" w:rsidP="003A0356">
            <w:pPr>
              <w:jc w:val="right"/>
              <w:rPr>
                <w:sz w:val="20"/>
                <w:szCs w:val="20"/>
                <w:lang w:val="en-AU"/>
              </w:rPr>
            </w:pPr>
            <w:r w:rsidRPr="00503F5B">
              <w:rPr>
                <w:sz w:val="20"/>
                <w:szCs w:val="20"/>
                <w:lang w:val="en-AU"/>
              </w:rPr>
              <w:t xml:space="preserve"> 673 </w:t>
            </w:r>
          </w:p>
        </w:tc>
        <w:tc>
          <w:tcPr>
            <w:tcW w:w="851" w:type="dxa"/>
          </w:tcPr>
          <w:p w14:paraId="5162A000" w14:textId="5E843149" w:rsidR="003A0356" w:rsidRPr="00503F5B" w:rsidRDefault="003A0356" w:rsidP="003A0356">
            <w:pPr>
              <w:jc w:val="right"/>
              <w:rPr>
                <w:sz w:val="20"/>
                <w:szCs w:val="20"/>
                <w:lang w:val="en-AU"/>
              </w:rPr>
            </w:pPr>
            <w:r w:rsidRPr="00503F5B">
              <w:rPr>
                <w:sz w:val="20"/>
                <w:szCs w:val="20"/>
                <w:lang w:val="en-AU"/>
              </w:rPr>
              <w:t xml:space="preserve"> 596 </w:t>
            </w:r>
          </w:p>
        </w:tc>
        <w:tc>
          <w:tcPr>
            <w:tcW w:w="953" w:type="dxa"/>
          </w:tcPr>
          <w:p w14:paraId="70322AB5" w14:textId="1FF688B5" w:rsidR="003A0356" w:rsidRPr="00503F5B" w:rsidRDefault="003A0356" w:rsidP="003A0356">
            <w:pPr>
              <w:jc w:val="right"/>
              <w:rPr>
                <w:sz w:val="20"/>
                <w:szCs w:val="20"/>
                <w:lang w:val="en-AU"/>
              </w:rPr>
            </w:pPr>
            <w:r w:rsidRPr="00503F5B">
              <w:rPr>
                <w:sz w:val="20"/>
                <w:szCs w:val="20"/>
                <w:lang w:val="en-AU"/>
              </w:rPr>
              <w:t xml:space="preserve"> 768 </w:t>
            </w:r>
          </w:p>
        </w:tc>
      </w:tr>
      <w:tr w:rsidR="003A0356" w:rsidRPr="00503F5B" w14:paraId="16DFC203" w14:textId="4F9D50DF" w:rsidTr="00877396">
        <w:trPr>
          <w:trHeight w:val="59"/>
          <w:jc w:val="center"/>
        </w:trPr>
        <w:tc>
          <w:tcPr>
            <w:tcW w:w="1985" w:type="dxa"/>
            <w:noWrap/>
            <w:hideMark/>
          </w:tcPr>
          <w:p w14:paraId="7EE97566" w14:textId="77777777" w:rsidR="003A0356" w:rsidRPr="00503F5B" w:rsidRDefault="003A0356" w:rsidP="003A0356">
            <w:pPr>
              <w:rPr>
                <w:sz w:val="20"/>
                <w:szCs w:val="20"/>
                <w:lang w:val="en-AU"/>
              </w:rPr>
            </w:pPr>
            <w:r w:rsidRPr="00503F5B">
              <w:rPr>
                <w:sz w:val="20"/>
                <w:szCs w:val="20"/>
                <w:lang w:val="en-AU"/>
              </w:rPr>
              <w:t>False Alarms</w:t>
            </w:r>
          </w:p>
        </w:tc>
        <w:tc>
          <w:tcPr>
            <w:tcW w:w="850" w:type="dxa"/>
            <w:noWrap/>
            <w:hideMark/>
          </w:tcPr>
          <w:p w14:paraId="5D49C2FD" w14:textId="5C69BFC7" w:rsidR="003A0356" w:rsidRPr="00503F5B" w:rsidRDefault="003A0356" w:rsidP="003A0356">
            <w:pPr>
              <w:jc w:val="right"/>
              <w:rPr>
                <w:sz w:val="20"/>
                <w:szCs w:val="20"/>
                <w:lang w:val="en-AU"/>
              </w:rPr>
            </w:pPr>
            <w:r w:rsidRPr="00503F5B">
              <w:rPr>
                <w:sz w:val="20"/>
                <w:szCs w:val="20"/>
                <w:lang w:val="en-AU"/>
              </w:rPr>
              <w:t xml:space="preserve"> 9,507 </w:t>
            </w:r>
          </w:p>
        </w:tc>
        <w:tc>
          <w:tcPr>
            <w:tcW w:w="851" w:type="dxa"/>
            <w:noWrap/>
            <w:hideMark/>
          </w:tcPr>
          <w:p w14:paraId="71CA4457" w14:textId="7066A58E" w:rsidR="003A0356" w:rsidRPr="00503F5B" w:rsidRDefault="003A0356" w:rsidP="003A0356">
            <w:pPr>
              <w:jc w:val="right"/>
              <w:rPr>
                <w:sz w:val="20"/>
                <w:szCs w:val="20"/>
                <w:lang w:val="en-AU"/>
              </w:rPr>
            </w:pPr>
            <w:r w:rsidRPr="00503F5B">
              <w:rPr>
                <w:sz w:val="20"/>
                <w:szCs w:val="20"/>
                <w:lang w:val="en-AU"/>
              </w:rPr>
              <w:t xml:space="preserve"> 9,416 </w:t>
            </w:r>
          </w:p>
        </w:tc>
        <w:tc>
          <w:tcPr>
            <w:tcW w:w="850" w:type="dxa"/>
            <w:noWrap/>
            <w:hideMark/>
          </w:tcPr>
          <w:p w14:paraId="77ACB50A" w14:textId="310469F5" w:rsidR="003A0356" w:rsidRPr="00503F5B" w:rsidRDefault="003A0356" w:rsidP="003A0356">
            <w:pPr>
              <w:jc w:val="right"/>
              <w:rPr>
                <w:sz w:val="20"/>
                <w:szCs w:val="20"/>
                <w:lang w:val="en-AU"/>
              </w:rPr>
            </w:pPr>
            <w:r w:rsidRPr="00503F5B">
              <w:rPr>
                <w:sz w:val="20"/>
                <w:szCs w:val="20"/>
                <w:lang w:val="en-AU"/>
              </w:rPr>
              <w:t xml:space="preserve"> 9,948 </w:t>
            </w:r>
          </w:p>
        </w:tc>
        <w:tc>
          <w:tcPr>
            <w:tcW w:w="851" w:type="dxa"/>
            <w:noWrap/>
            <w:hideMark/>
          </w:tcPr>
          <w:p w14:paraId="37AA2F27" w14:textId="6BCF198B" w:rsidR="003A0356" w:rsidRPr="00503F5B" w:rsidRDefault="003A0356" w:rsidP="003A0356">
            <w:pPr>
              <w:jc w:val="right"/>
              <w:rPr>
                <w:sz w:val="20"/>
                <w:szCs w:val="20"/>
                <w:lang w:val="en-AU"/>
              </w:rPr>
            </w:pPr>
            <w:r w:rsidRPr="00503F5B">
              <w:rPr>
                <w:sz w:val="20"/>
                <w:szCs w:val="20"/>
                <w:lang w:val="en-AU"/>
              </w:rPr>
              <w:t xml:space="preserve"> 10,123 </w:t>
            </w:r>
          </w:p>
        </w:tc>
        <w:tc>
          <w:tcPr>
            <w:tcW w:w="889" w:type="dxa"/>
          </w:tcPr>
          <w:p w14:paraId="0B4ECE2D" w14:textId="0313E894" w:rsidR="003A0356" w:rsidRPr="00503F5B" w:rsidRDefault="003A0356" w:rsidP="003A0356">
            <w:pPr>
              <w:jc w:val="right"/>
              <w:rPr>
                <w:sz w:val="20"/>
                <w:szCs w:val="20"/>
                <w:lang w:val="en-AU"/>
              </w:rPr>
            </w:pPr>
            <w:r w:rsidRPr="00503F5B">
              <w:rPr>
                <w:sz w:val="20"/>
                <w:szCs w:val="20"/>
                <w:lang w:val="en-AU"/>
              </w:rPr>
              <w:t xml:space="preserve"> 10,151 </w:t>
            </w:r>
          </w:p>
        </w:tc>
        <w:tc>
          <w:tcPr>
            <w:tcW w:w="850" w:type="dxa"/>
          </w:tcPr>
          <w:p w14:paraId="7DBD5429" w14:textId="2DCE2BA4" w:rsidR="003A0356" w:rsidRPr="00503F5B" w:rsidRDefault="003A0356" w:rsidP="003A0356">
            <w:pPr>
              <w:jc w:val="right"/>
              <w:rPr>
                <w:sz w:val="20"/>
                <w:szCs w:val="20"/>
                <w:lang w:val="en-AU"/>
              </w:rPr>
            </w:pPr>
            <w:r w:rsidRPr="00503F5B">
              <w:rPr>
                <w:sz w:val="20"/>
                <w:szCs w:val="20"/>
                <w:lang w:val="en-AU"/>
              </w:rPr>
              <w:t xml:space="preserve"> 11,302 </w:t>
            </w:r>
          </w:p>
        </w:tc>
        <w:tc>
          <w:tcPr>
            <w:tcW w:w="851" w:type="dxa"/>
          </w:tcPr>
          <w:p w14:paraId="0C011D30" w14:textId="596CFD0F" w:rsidR="003A0356" w:rsidRPr="00503F5B" w:rsidRDefault="003A0356" w:rsidP="003A0356">
            <w:pPr>
              <w:jc w:val="right"/>
              <w:rPr>
                <w:sz w:val="20"/>
                <w:szCs w:val="20"/>
                <w:lang w:val="en-AU"/>
              </w:rPr>
            </w:pPr>
            <w:r w:rsidRPr="00503F5B">
              <w:rPr>
                <w:sz w:val="20"/>
                <w:szCs w:val="20"/>
                <w:lang w:val="en-AU"/>
              </w:rPr>
              <w:t xml:space="preserve"> 12,687 </w:t>
            </w:r>
          </w:p>
        </w:tc>
        <w:tc>
          <w:tcPr>
            <w:tcW w:w="851" w:type="dxa"/>
          </w:tcPr>
          <w:p w14:paraId="70609EF6" w14:textId="4535080F" w:rsidR="003A0356" w:rsidRPr="00503F5B" w:rsidRDefault="003A0356" w:rsidP="003A0356">
            <w:pPr>
              <w:jc w:val="right"/>
              <w:rPr>
                <w:sz w:val="20"/>
                <w:szCs w:val="20"/>
                <w:lang w:val="en-AU"/>
              </w:rPr>
            </w:pPr>
            <w:r w:rsidRPr="00503F5B">
              <w:rPr>
                <w:sz w:val="20"/>
                <w:szCs w:val="20"/>
                <w:lang w:val="en-AU"/>
              </w:rPr>
              <w:t xml:space="preserve"> 11,045 </w:t>
            </w:r>
          </w:p>
        </w:tc>
        <w:tc>
          <w:tcPr>
            <w:tcW w:w="953" w:type="dxa"/>
          </w:tcPr>
          <w:p w14:paraId="6134633C" w14:textId="4FE74964" w:rsidR="003A0356" w:rsidRPr="00503F5B" w:rsidRDefault="003A0356" w:rsidP="003A0356">
            <w:pPr>
              <w:jc w:val="right"/>
              <w:rPr>
                <w:sz w:val="20"/>
                <w:szCs w:val="20"/>
                <w:lang w:val="en-AU"/>
              </w:rPr>
            </w:pPr>
            <w:r w:rsidRPr="00503F5B">
              <w:rPr>
                <w:sz w:val="20"/>
                <w:szCs w:val="20"/>
                <w:lang w:val="en-AU"/>
              </w:rPr>
              <w:t xml:space="preserve"> 10,522 </w:t>
            </w:r>
          </w:p>
        </w:tc>
      </w:tr>
      <w:tr w:rsidR="003A0356" w:rsidRPr="00503F5B" w14:paraId="6E8ADF43" w14:textId="31CFE80A" w:rsidTr="00877396">
        <w:trPr>
          <w:trHeight w:val="59"/>
          <w:jc w:val="center"/>
        </w:trPr>
        <w:tc>
          <w:tcPr>
            <w:tcW w:w="1985" w:type="dxa"/>
            <w:tcBorders>
              <w:bottom w:val="single" w:sz="4" w:space="0" w:color="ED7C5D"/>
            </w:tcBorders>
            <w:noWrap/>
            <w:hideMark/>
          </w:tcPr>
          <w:p w14:paraId="2122B493" w14:textId="77777777" w:rsidR="003A0356" w:rsidRPr="00503F5B" w:rsidRDefault="003A0356" w:rsidP="003A0356">
            <w:pPr>
              <w:rPr>
                <w:sz w:val="20"/>
                <w:szCs w:val="20"/>
                <w:lang w:val="en-AU"/>
              </w:rPr>
            </w:pPr>
            <w:r w:rsidRPr="00503F5B">
              <w:rPr>
                <w:sz w:val="20"/>
                <w:szCs w:val="20"/>
                <w:lang w:val="en-AU"/>
              </w:rPr>
              <w:t>Other</w:t>
            </w:r>
          </w:p>
        </w:tc>
        <w:tc>
          <w:tcPr>
            <w:tcW w:w="850" w:type="dxa"/>
            <w:tcBorders>
              <w:bottom w:val="single" w:sz="4" w:space="0" w:color="ED7C5D"/>
            </w:tcBorders>
            <w:noWrap/>
            <w:hideMark/>
          </w:tcPr>
          <w:p w14:paraId="4B7629D1" w14:textId="2187D48F" w:rsidR="003A0356" w:rsidRPr="00503F5B" w:rsidRDefault="003A0356" w:rsidP="003A0356">
            <w:pPr>
              <w:jc w:val="right"/>
              <w:rPr>
                <w:sz w:val="20"/>
                <w:szCs w:val="20"/>
                <w:lang w:val="en-AU"/>
              </w:rPr>
            </w:pPr>
            <w:r w:rsidRPr="00503F5B">
              <w:rPr>
                <w:sz w:val="20"/>
                <w:szCs w:val="20"/>
                <w:lang w:val="en-AU"/>
              </w:rPr>
              <w:t xml:space="preserve"> 415 </w:t>
            </w:r>
          </w:p>
        </w:tc>
        <w:tc>
          <w:tcPr>
            <w:tcW w:w="851" w:type="dxa"/>
            <w:tcBorders>
              <w:bottom w:val="single" w:sz="4" w:space="0" w:color="ED7C5D"/>
            </w:tcBorders>
            <w:noWrap/>
            <w:hideMark/>
          </w:tcPr>
          <w:p w14:paraId="0F2F1C88" w14:textId="5127BA86" w:rsidR="003A0356" w:rsidRPr="00503F5B" w:rsidRDefault="003A0356" w:rsidP="003A0356">
            <w:pPr>
              <w:jc w:val="right"/>
              <w:rPr>
                <w:sz w:val="20"/>
                <w:szCs w:val="20"/>
                <w:lang w:val="en-AU"/>
              </w:rPr>
            </w:pPr>
            <w:r w:rsidRPr="00503F5B">
              <w:rPr>
                <w:sz w:val="20"/>
                <w:szCs w:val="20"/>
                <w:lang w:val="en-AU"/>
              </w:rPr>
              <w:t xml:space="preserve"> 459 </w:t>
            </w:r>
          </w:p>
        </w:tc>
        <w:tc>
          <w:tcPr>
            <w:tcW w:w="850" w:type="dxa"/>
            <w:tcBorders>
              <w:bottom w:val="single" w:sz="4" w:space="0" w:color="ED7C5D"/>
            </w:tcBorders>
            <w:noWrap/>
            <w:hideMark/>
          </w:tcPr>
          <w:p w14:paraId="1D664C93" w14:textId="2D8C2D5E" w:rsidR="003A0356" w:rsidRPr="00503F5B" w:rsidRDefault="003A0356" w:rsidP="003A0356">
            <w:pPr>
              <w:jc w:val="right"/>
              <w:rPr>
                <w:sz w:val="20"/>
                <w:szCs w:val="20"/>
                <w:lang w:val="en-AU"/>
              </w:rPr>
            </w:pPr>
            <w:r w:rsidRPr="00503F5B">
              <w:rPr>
                <w:sz w:val="20"/>
                <w:szCs w:val="20"/>
                <w:lang w:val="en-AU"/>
              </w:rPr>
              <w:t xml:space="preserve"> 98 </w:t>
            </w:r>
          </w:p>
        </w:tc>
        <w:tc>
          <w:tcPr>
            <w:tcW w:w="851" w:type="dxa"/>
            <w:tcBorders>
              <w:bottom w:val="single" w:sz="4" w:space="0" w:color="ED7C5D"/>
            </w:tcBorders>
            <w:noWrap/>
            <w:hideMark/>
          </w:tcPr>
          <w:p w14:paraId="78945B98" w14:textId="44008323" w:rsidR="003A0356" w:rsidRPr="00503F5B" w:rsidRDefault="003A0356" w:rsidP="003A0356">
            <w:pPr>
              <w:jc w:val="right"/>
              <w:rPr>
                <w:sz w:val="20"/>
                <w:szCs w:val="20"/>
                <w:lang w:val="en-AU"/>
              </w:rPr>
            </w:pPr>
            <w:r w:rsidRPr="00503F5B">
              <w:rPr>
                <w:sz w:val="20"/>
                <w:szCs w:val="20"/>
                <w:lang w:val="en-AU"/>
              </w:rPr>
              <w:t xml:space="preserve"> 114 </w:t>
            </w:r>
          </w:p>
        </w:tc>
        <w:tc>
          <w:tcPr>
            <w:tcW w:w="889" w:type="dxa"/>
            <w:tcBorders>
              <w:bottom w:val="single" w:sz="4" w:space="0" w:color="ED7C5D"/>
            </w:tcBorders>
          </w:tcPr>
          <w:p w14:paraId="15AD532E" w14:textId="62B3B758" w:rsidR="003A0356" w:rsidRPr="00503F5B" w:rsidRDefault="003A0356" w:rsidP="003A0356">
            <w:pPr>
              <w:jc w:val="right"/>
              <w:rPr>
                <w:sz w:val="20"/>
                <w:szCs w:val="20"/>
                <w:lang w:val="en-AU"/>
              </w:rPr>
            </w:pPr>
            <w:r w:rsidRPr="00503F5B">
              <w:rPr>
                <w:sz w:val="20"/>
                <w:szCs w:val="20"/>
                <w:lang w:val="en-AU"/>
              </w:rPr>
              <w:t xml:space="preserve"> 310 </w:t>
            </w:r>
          </w:p>
        </w:tc>
        <w:tc>
          <w:tcPr>
            <w:tcW w:w="850" w:type="dxa"/>
            <w:tcBorders>
              <w:bottom w:val="single" w:sz="4" w:space="0" w:color="ED7C5D"/>
            </w:tcBorders>
          </w:tcPr>
          <w:p w14:paraId="72091A0A" w14:textId="238D9ECF" w:rsidR="003A0356" w:rsidRPr="00503F5B" w:rsidRDefault="003A0356" w:rsidP="003A0356">
            <w:pPr>
              <w:jc w:val="right"/>
              <w:rPr>
                <w:sz w:val="20"/>
                <w:szCs w:val="20"/>
                <w:lang w:val="en-AU"/>
              </w:rPr>
            </w:pPr>
            <w:r w:rsidRPr="00503F5B">
              <w:rPr>
                <w:sz w:val="20"/>
                <w:szCs w:val="20"/>
                <w:lang w:val="en-AU"/>
              </w:rPr>
              <w:t xml:space="preserve"> 439 </w:t>
            </w:r>
          </w:p>
        </w:tc>
        <w:tc>
          <w:tcPr>
            <w:tcW w:w="851" w:type="dxa"/>
            <w:tcBorders>
              <w:bottom w:val="single" w:sz="4" w:space="0" w:color="ED7C5D"/>
            </w:tcBorders>
          </w:tcPr>
          <w:p w14:paraId="48D7ECAD" w14:textId="0B123E00" w:rsidR="003A0356" w:rsidRPr="00503F5B" w:rsidRDefault="003A0356" w:rsidP="003A0356">
            <w:pPr>
              <w:jc w:val="right"/>
              <w:rPr>
                <w:sz w:val="20"/>
                <w:szCs w:val="20"/>
                <w:lang w:val="en-AU"/>
              </w:rPr>
            </w:pPr>
            <w:r w:rsidRPr="00503F5B">
              <w:rPr>
                <w:sz w:val="20"/>
                <w:szCs w:val="20"/>
                <w:lang w:val="en-AU"/>
              </w:rPr>
              <w:t xml:space="preserve"> 122 </w:t>
            </w:r>
          </w:p>
        </w:tc>
        <w:tc>
          <w:tcPr>
            <w:tcW w:w="851" w:type="dxa"/>
            <w:tcBorders>
              <w:bottom w:val="single" w:sz="4" w:space="0" w:color="ED7C5D"/>
            </w:tcBorders>
          </w:tcPr>
          <w:p w14:paraId="530C26C1" w14:textId="55E12E76" w:rsidR="003A0356" w:rsidRPr="00503F5B" w:rsidRDefault="003A0356" w:rsidP="003A0356">
            <w:pPr>
              <w:jc w:val="right"/>
              <w:rPr>
                <w:sz w:val="20"/>
                <w:szCs w:val="20"/>
                <w:lang w:val="en-AU"/>
              </w:rPr>
            </w:pPr>
            <w:r w:rsidRPr="00503F5B">
              <w:rPr>
                <w:sz w:val="20"/>
                <w:szCs w:val="20"/>
                <w:lang w:val="en-AU"/>
              </w:rPr>
              <w:t xml:space="preserve"> 409 </w:t>
            </w:r>
          </w:p>
        </w:tc>
        <w:tc>
          <w:tcPr>
            <w:tcW w:w="953" w:type="dxa"/>
            <w:tcBorders>
              <w:bottom w:val="single" w:sz="4" w:space="0" w:color="ED7C5D"/>
            </w:tcBorders>
          </w:tcPr>
          <w:p w14:paraId="1005890C" w14:textId="76F75FA9" w:rsidR="003A0356" w:rsidRPr="00503F5B" w:rsidRDefault="003A0356" w:rsidP="003A0356">
            <w:pPr>
              <w:jc w:val="right"/>
              <w:rPr>
                <w:sz w:val="20"/>
                <w:szCs w:val="20"/>
                <w:lang w:val="en-AU"/>
              </w:rPr>
            </w:pPr>
            <w:r w:rsidRPr="00503F5B">
              <w:rPr>
                <w:sz w:val="20"/>
                <w:szCs w:val="20"/>
                <w:lang w:val="en-AU"/>
              </w:rPr>
              <w:t xml:space="preserve"> 296 </w:t>
            </w:r>
          </w:p>
        </w:tc>
      </w:tr>
      <w:tr w:rsidR="003A0356" w:rsidRPr="00503F5B" w14:paraId="464D654B" w14:textId="3F675ACA" w:rsidTr="00877396">
        <w:trPr>
          <w:trHeight w:val="59"/>
          <w:jc w:val="center"/>
        </w:trPr>
        <w:tc>
          <w:tcPr>
            <w:tcW w:w="1985" w:type="dxa"/>
            <w:tcBorders>
              <w:top w:val="single" w:sz="4" w:space="0" w:color="ED7C5D"/>
              <w:bottom w:val="single" w:sz="4" w:space="0" w:color="ED7C5D"/>
            </w:tcBorders>
            <w:noWrap/>
            <w:hideMark/>
          </w:tcPr>
          <w:p w14:paraId="60A3EFB8" w14:textId="77777777" w:rsidR="003A0356" w:rsidRPr="00503F5B" w:rsidRDefault="003A0356" w:rsidP="003A0356">
            <w:pPr>
              <w:rPr>
                <w:b/>
                <w:sz w:val="20"/>
                <w:szCs w:val="20"/>
                <w:lang w:val="en-AU"/>
              </w:rPr>
            </w:pPr>
            <w:r w:rsidRPr="00503F5B">
              <w:rPr>
                <w:b/>
                <w:sz w:val="20"/>
                <w:szCs w:val="20"/>
                <w:lang w:val="en-AU"/>
              </w:rPr>
              <w:t>Total number of calls</w:t>
            </w:r>
          </w:p>
        </w:tc>
        <w:tc>
          <w:tcPr>
            <w:tcW w:w="850" w:type="dxa"/>
            <w:tcBorders>
              <w:top w:val="single" w:sz="4" w:space="0" w:color="ED7C5D"/>
              <w:bottom w:val="single" w:sz="4" w:space="0" w:color="ED7C5D"/>
            </w:tcBorders>
            <w:noWrap/>
            <w:hideMark/>
          </w:tcPr>
          <w:p w14:paraId="0C3052B8" w14:textId="7CB0F1BB" w:rsidR="003A0356" w:rsidRPr="00503F5B" w:rsidRDefault="003A0356" w:rsidP="003A0356">
            <w:pPr>
              <w:jc w:val="right"/>
              <w:rPr>
                <w:b/>
                <w:sz w:val="20"/>
                <w:szCs w:val="20"/>
                <w:lang w:val="en-AU"/>
              </w:rPr>
            </w:pPr>
            <w:r w:rsidRPr="00503F5B">
              <w:rPr>
                <w:sz w:val="20"/>
                <w:szCs w:val="20"/>
                <w:lang w:val="en-AU"/>
              </w:rPr>
              <w:t xml:space="preserve"> 35,058 </w:t>
            </w:r>
          </w:p>
        </w:tc>
        <w:tc>
          <w:tcPr>
            <w:tcW w:w="851" w:type="dxa"/>
            <w:tcBorders>
              <w:top w:val="single" w:sz="4" w:space="0" w:color="ED7C5D"/>
              <w:bottom w:val="single" w:sz="4" w:space="0" w:color="ED7C5D"/>
            </w:tcBorders>
            <w:noWrap/>
            <w:hideMark/>
          </w:tcPr>
          <w:p w14:paraId="34E20D66" w14:textId="6938A621" w:rsidR="003A0356" w:rsidRPr="00503F5B" w:rsidRDefault="003A0356" w:rsidP="003A0356">
            <w:pPr>
              <w:jc w:val="right"/>
              <w:rPr>
                <w:b/>
                <w:sz w:val="20"/>
                <w:szCs w:val="20"/>
                <w:lang w:val="en-AU"/>
              </w:rPr>
            </w:pPr>
            <w:r w:rsidRPr="00503F5B">
              <w:rPr>
                <w:sz w:val="20"/>
                <w:szCs w:val="20"/>
                <w:lang w:val="en-AU"/>
              </w:rPr>
              <w:t xml:space="preserve"> 36,024 </w:t>
            </w:r>
          </w:p>
        </w:tc>
        <w:tc>
          <w:tcPr>
            <w:tcW w:w="850" w:type="dxa"/>
            <w:tcBorders>
              <w:top w:val="single" w:sz="4" w:space="0" w:color="ED7C5D"/>
              <w:bottom w:val="single" w:sz="4" w:space="0" w:color="ED7C5D"/>
            </w:tcBorders>
            <w:noWrap/>
            <w:hideMark/>
          </w:tcPr>
          <w:p w14:paraId="5F28D081" w14:textId="6342D858" w:rsidR="003A0356" w:rsidRPr="00503F5B" w:rsidRDefault="003A0356" w:rsidP="003A0356">
            <w:pPr>
              <w:jc w:val="right"/>
              <w:rPr>
                <w:b/>
                <w:sz w:val="20"/>
                <w:szCs w:val="20"/>
                <w:lang w:val="en-AU"/>
              </w:rPr>
            </w:pPr>
            <w:r w:rsidRPr="00503F5B">
              <w:rPr>
                <w:sz w:val="20"/>
                <w:szCs w:val="20"/>
                <w:lang w:val="en-AU"/>
              </w:rPr>
              <w:t xml:space="preserve"> 36,611 </w:t>
            </w:r>
          </w:p>
        </w:tc>
        <w:tc>
          <w:tcPr>
            <w:tcW w:w="851" w:type="dxa"/>
            <w:tcBorders>
              <w:top w:val="single" w:sz="4" w:space="0" w:color="ED7C5D"/>
              <w:bottom w:val="single" w:sz="4" w:space="0" w:color="ED7C5D"/>
            </w:tcBorders>
            <w:noWrap/>
            <w:hideMark/>
          </w:tcPr>
          <w:p w14:paraId="3BD3C585" w14:textId="43E1BD3D" w:rsidR="003A0356" w:rsidRPr="00503F5B" w:rsidRDefault="003A0356" w:rsidP="003A0356">
            <w:pPr>
              <w:jc w:val="right"/>
              <w:rPr>
                <w:b/>
                <w:sz w:val="20"/>
                <w:szCs w:val="20"/>
                <w:lang w:val="en-AU"/>
              </w:rPr>
            </w:pPr>
            <w:r w:rsidRPr="00503F5B">
              <w:rPr>
                <w:sz w:val="20"/>
                <w:szCs w:val="20"/>
                <w:lang w:val="en-AU"/>
              </w:rPr>
              <w:t xml:space="preserve"> 36,789 </w:t>
            </w:r>
          </w:p>
        </w:tc>
        <w:tc>
          <w:tcPr>
            <w:tcW w:w="889" w:type="dxa"/>
            <w:tcBorders>
              <w:top w:val="single" w:sz="4" w:space="0" w:color="ED7C5D"/>
              <w:bottom w:val="single" w:sz="4" w:space="0" w:color="ED7C5D"/>
            </w:tcBorders>
          </w:tcPr>
          <w:p w14:paraId="4364377F" w14:textId="4625AE44" w:rsidR="003A0356" w:rsidRPr="00503F5B" w:rsidRDefault="003A0356" w:rsidP="003A0356">
            <w:pPr>
              <w:jc w:val="right"/>
              <w:rPr>
                <w:b/>
                <w:sz w:val="20"/>
                <w:szCs w:val="20"/>
                <w:lang w:val="en-AU"/>
              </w:rPr>
            </w:pPr>
            <w:r w:rsidRPr="00503F5B">
              <w:rPr>
                <w:sz w:val="20"/>
                <w:szCs w:val="20"/>
                <w:lang w:val="en-AU"/>
              </w:rPr>
              <w:t xml:space="preserve"> 37,820 </w:t>
            </w:r>
          </w:p>
        </w:tc>
        <w:tc>
          <w:tcPr>
            <w:tcW w:w="850" w:type="dxa"/>
            <w:tcBorders>
              <w:top w:val="single" w:sz="4" w:space="0" w:color="ED7C5D"/>
              <w:bottom w:val="single" w:sz="4" w:space="0" w:color="ED7C5D"/>
            </w:tcBorders>
          </w:tcPr>
          <w:p w14:paraId="394FC25B" w14:textId="2E9B5021" w:rsidR="003A0356" w:rsidRPr="00503F5B" w:rsidRDefault="003A0356" w:rsidP="003A0356">
            <w:pPr>
              <w:jc w:val="right"/>
              <w:rPr>
                <w:b/>
                <w:sz w:val="20"/>
                <w:szCs w:val="20"/>
                <w:lang w:val="en-AU"/>
              </w:rPr>
            </w:pPr>
            <w:r w:rsidRPr="00503F5B">
              <w:rPr>
                <w:sz w:val="20"/>
                <w:szCs w:val="20"/>
                <w:lang w:val="en-AU"/>
              </w:rPr>
              <w:t xml:space="preserve"> 38,799 </w:t>
            </w:r>
          </w:p>
        </w:tc>
        <w:tc>
          <w:tcPr>
            <w:tcW w:w="851" w:type="dxa"/>
            <w:tcBorders>
              <w:top w:val="single" w:sz="4" w:space="0" w:color="ED7C5D"/>
              <w:bottom w:val="single" w:sz="4" w:space="0" w:color="ED7C5D"/>
            </w:tcBorders>
          </w:tcPr>
          <w:p w14:paraId="6B6D88B0" w14:textId="175DCB45" w:rsidR="003A0356" w:rsidRPr="00503F5B" w:rsidRDefault="003A0356" w:rsidP="003A0356">
            <w:pPr>
              <w:jc w:val="right"/>
              <w:rPr>
                <w:b/>
                <w:sz w:val="20"/>
                <w:szCs w:val="20"/>
                <w:lang w:val="en-AU"/>
              </w:rPr>
            </w:pPr>
            <w:r w:rsidRPr="00503F5B">
              <w:rPr>
                <w:sz w:val="20"/>
                <w:szCs w:val="20"/>
                <w:lang w:val="en-AU"/>
              </w:rPr>
              <w:t xml:space="preserve"> 39,239 </w:t>
            </w:r>
          </w:p>
        </w:tc>
        <w:tc>
          <w:tcPr>
            <w:tcW w:w="851" w:type="dxa"/>
            <w:tcBorders>
              <w:top w:val="single" w:sz="4" w:space="0" w:color="ED7C5D"/>
              <w:bottom w:val="single" w:sz="4" w:space="0" w:color="ED7C5D"/>
            </w:tcBorders>
          </w:tcPr>
          <w:p w14:paraId="3489D9EC" w14:textId="044BE246" w:rsidR="003A0356" w:rsidRPr="00503F5B" w:rsidRDefault="003A0356" w:rsidP="003A0356">
            <w:pPr>
              <w:jc w:val="right"/>
              <w:rPr>
                <w:b/>
                <w:sz w:val="20"/>
                <w:szCs w:val="20"/>
                <w:lang w:val="en-AU"/>
              </w:rPr>
            </w:pPr>
            <w:r w:rsidRPr="00503F5B">
              <w:rPr>
                <w:sz w:val="20"/>
                <w:szCs w:val="20"/>
                <w:lang w:val="en-AU"/>
              </w:rPr>
              <w:t xml:space="preserve"> 37,632 </w:t>
            </w:r>
          </w:p>
        </w:tc>
        <w:tc>
          <w:tcPr>
            <w:tcW w:w="953" w:type="dxa"/>
            <w:tcBorders>
              <w:top w:val="single" w:sz="4" w:space="0" w:color="ED7C5D"/>
              <w:bottom w:val="single" w:sz="4" w:space="0" w:color="ED7C5D"/>
            </w:tcBorders>
          </w:tcPr>
          <w:p w14:paraId="7B12D185" w14:textId="0B1DCA89" w:rsidR="003A0356" w:rsidRPr="00503F5B" w:rsidRDefault="003A0356" w:rsidP="003A0356">
            <w:pPr>
              <w:jc w:val="right"/>
              <w:rPr>
                <w:sz w:val="20"/>
                <w:szCs w:val="20"/>
                <w:lang w:val="en-AU"/>
              </w:rPr>
            </w:pPr>
            <w:r w:rsidRPr="00503F5B">
              <w:rPr>
                <w:sz w:val="20"/>
                <w:szCs w:val="20"/>
                <w:lang w:val="en-AU"/>
              </w:rPr>
              <w:t xml:space="preserve"> 37,247 </w:t>
            </w:r>
          </w:p>
        </w:tc>
      </w:tr>
    </w:tbl>
    <w:p w14:paraId="286A6216" w14:textId="4E350248" w:rsidR="003629E3" w:rsidRPr="00503F5B" w:rsidRDefault="003A0356" w:rsidP="008360E5">
      <w:pPr>
        <w:jc w:val="both"/>
        <w:rPr>
          <w:sz w:val="18"/>
          <w:szCs w:val="18"/>
        </w:rPr>
      </w:pPr>
      <w:r w:rsidRPr="00503F5B">
        <w:rPr>
          <w:sz w:val="18"/>
          <w:szCs w:val="18"/>
        </w:rPr>
        <w:t xml:space="preserve">*Extrapolated/apportioned from Code 8 transactions with respect to Good Intent, Malicious, False Alarms and </w:t>
      </w:r>
      <w:bookmarkEnd w:id="47"/>
      <w:r w:rsidRPr="00503F5B">
        <w:rPr>
          <w:sz w:val="18"/>
          <w:szCs w:val="18"/>
        </w:rPr>
        <w:t>Other</w:t>
      </w:r>
    </w:p>
    <w:p w14:paraId="350AF25C" w14:textId="2E471D45" w:rsidR="003629E3" w:rsidRPr="00503F5B" w:rsidRDefault="003629E3" w:rsidP="008360E5">
      <w:pPr>
        <w:jc w:val="both"/>
      </w:pPr>
    </w:p>
    <w:p w14:paraId="47379FBF" w14:textId="711CB3F8" w:rsidR="00EE13B5" w:rsidRPr="00503F5B" w:rsidRDefault="00EE13B5" w:rsidP="00EE13B5">
      <w:pPr>
        <w:jc w:val="both"/>
      </w:pPr>
      <w:r w:rsidRPr="00503F5B">
        <w:lastRenderedPageBreak/>
        <w:t>Table 5 provides a breakdown in the total number of attendances of appliances</w:t>
      </w:r>
      <w:r w:rsidRPr="00503F5B">
        <w:rPr>
          <w:rStyle w:val="FootnoteReference"/>
        </w:rPr>
        <w:footnoteReference w:id="18"/>
      </w:r>
      <w:r w:rsidRPr="00503F5B">
        <w:t xml:space="preserve"> by incident type. Multiple attendances by the same appliance are counted as one attendance.</w:t>
      </w:r>
    </w:p>
    <w:p w14:paraId="7D7D33C2" w14:textId="77777777" w:rsidR="00EE13B5" w:rsidRPr="00503F5B" w:rsidRDefault="00EE13B5" w:rsidP="008360E5">
      <w:pPr>
        <w:jc w:val="both"/>
      </w:pPr>
    </w:p>
    <w:p w14:paraId="13B1651C" w14:textId="1C7920AF" w:rsidR="003A0356" w:rsidRPr="00503F5B" w:rsidRDefault="003A0356" w:rsidP="003A0356">
      <w:pPr>
        <w:jc w:val="center"/>
        <w:rPr>
          <w:b/>
          <w:sz w:val="20"/>
          <w:szCs w:val="20"/>
        </w:rPr>
      </w:pPr>
      <w:r w:rsidRPr="00503F5B">
        <w:rPr>
          <w:b/>
          <w:sz w:val="20"/>
          <w:szCs w:val="20"/>
        </w:rPr>
        <w:t xml:space="preserve">Table </w:t>
      </w:r>
      <w:r w:rsidR="00EE13B5" w:rsidRPr="00503F5B">
        <w:rPr>
          <w:b/>
          <w:sz w:val="20"/>
          <w:szCs w:val="20"/>
        </w:rPr>
        <w:t>5</w:t>
      </w:r>
      <w:r w:rsidRPr="00503F5B">
        <w:rPr>
          <w:b/>
          <w:sz w:val="20"/>
          <w:szCs w:val="20"/>
        </w:rPr>
        <w:t>: Breakdown in</w:t>
      </w:r>
      <w:r w:rsidR="00151B84" w:rsidRPr="00503F5B">
        <w:rPr>
          <w:b/>
          <w:sz w:val="20"/>
          <w:szCs w:val="20"/>
        </w:rPr>
        <w:t xml:space="preserve"> annual total </w:t>
      </w:r>
      <w:r w:rsidRPr="00503F5B">
        <w:rPr>
          <w:b/>
          <w:sz w:val="20"/>
          <w:szCs w:val="20"/>
        </w:rPr>
        <w:t xml:space="preserve">number of </w:t>
      </w:r>
      <w:r w:rsidR="00EE13B5" w:rsidRPr="00503F5B">
        <w:rPr>
          <w:b/>
          <w:sz w:val="20"/>
          <w:szCs w:val="20"/>
        </w:rPr>
        <w:t>attendances</w:t>
      </w:r>
      <w:r w:rsidRPr="00503F5B">
        <w:rPr>
          <w:b/>
          <w:sz w:val="20"/>
          <w:szCs w:val="20"/>
        </w:rPr>
        <w:t xml:space="preserve"> </w:t>
      </w:r>
      <w:r w:rsidR="00EE13B5" w:rsidRPr="00503F5B">
        <w:rPr>
          <w:b/>
          <w:sz w:val="20"/>
          <w:szCs w:val="20"/>
        </w:rPr>
        <w:t>by MFB appliances</w:t>
      </w:r>
      <w:r w:rsidRPr="00503F5B">
        <w:rPr>
          <w:b/>
          <w:sz w:val="20"/>
          <w:szCs w:val="20"/>
        </w:rPr>
        <w:t xml:space="preserve"> - by incident type</w:t>
      </w:r>
      <w:r w:rsidR="00EE13B5" w:rsidRPr="00503F5B">
        <w:rPr>
          <w:rStyle w:val="FootnoteReference"/>
          <w:b/>
          <w:sz w:val="20"/>
          <w:szCs w:val="20"/>
        </w:rPr>
        <w:footnoteReference w:id="19"/>
      </w:r>
    </w:p>
    <w:p w14:paraId="1780942E" w14:textId="77777777" w:rsidR="003A0356" w:rsidRPr="00503F5B" w:rsidRDefault="003A0356" w:rsidP="003A0356">
      <w:pPr>
        <w:jc w:val="center"/>
        <w:rPr>
          <w:b/>
          <w:sz w:val="20"/>
          <w:szCs w:val="20"/>
        </w:rPr>
      </w:pPr>
    </w:p>
    <w:tbl>
      <w:tblPr>
        <w:tblStyle w:val="TableGrid"/>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850"/>
        <w:gridCol w:w="851"/>
        <w:gridCol w:w="850"/>
        <w:gridCol w:w="851"/>
        <w:gridCol w:w="889"/>
        <w:gridCol w:w="850"/>
        <w:gridCol w:w="851"/>
        <w:gridCol w:w="851"/>
        <w:gridCol w:w="953"/>
      </w:tblGrid>
      <w:tr w:rsidR="00151B84" w:rsidRPr="00503F5B" w14:paraId="0AC1F37F" w14:textId="77777777" w:rsidTr="00877396">
        <w:trPr>
          <w:trHeight w:val="59"/>
          <w:tblHeader/>
          <w:jc w:val="center"/>
        </w:trPr>
        <w:tc>
          <w:tcPr>
            <w:tcW w:w="1985" w:type="dxa"/>
            <w:tcBorders>
              <w:bottom w:val="single" w:sz="4" w:space="0" w:color="ED7C5D"/>
            </w:tcBorders>
            <w:noWrap/>
          </w:tcPr>
          <w:p w14:paraId="3AC1543F" w14:textId="77777777" w:rsidR="00151B84" w:rsidRPr="00503F5B" w:rsidRDefault="00151B84" w:rsidP="00151B84">
            <w:pPr>
              <w:jc w:val="both"/>
              <w:rPr>
                <w:b/>
                <w:color w:val="BE2A18"/>
                <w:sz w:val="20"/>
                <w:szCs w:val="20"/>
                <w:lang w:val="en-AU"/>
              </w:rPr>
            </w:pPr>
          </w:p>
        </w:tc>
        <w:tc>
          <w:tcPr>
            <w:tcW w:w="7796" w:type="dxa"/>
            <w:gridSpan w:val="9"/>
            <w:tcBorders>
              <w:top w:val="single" w:sz="4" w:space="0" w:color="ED7C5D"/>
              <w:bottom w:val="single" w:sz="4" w:space="0" w:color="ED7C5D"/>
            </w:tcBorders>
            <w:noWrap/>
          </w:tcPr>
          <w:p w14:paraId="31F47890" w14:textId="4C0B37D6" w:rsidR="00151B84" w:rsidRPr="00503F5B" w:rsidRDefault="00151B84" w:rsidP="00151B84">
            <w:pPr>
              <w:jc w:val="center"/>
              <w:rPr>
                <w:b/>
                <w:color w:val="BE2A18"/>
                <w:sz w:val="20"/>
                <w:szCs w:val="20"/>
                <w:lang w:val="en-AU"/>
              </w:rPr>
            </w:pPr>
            <w:r w:rsidRPr="00503F5B">
              <w:rPr>
                <w:b/>
                <w:color w:val="BE2A18"/>
                <w:sz w:val="20"/>
                <w:szCs w:val="20"/>
                <w:lang w:val="en-AU"/>
              </w:rPr>
              <w:t>Total number of attendances per annum</w:t>
            </w:r>
          </w:p>
        </w:tc>
      </w:tr>
      <w:tr w:rsidR="003A0356" w:rsidRPr="00503F5B" w14:paraId="2736A8DB" w14:textId="77777777" w:rsidTr="00877396">
        <w:trPr>
          <w:trHeight w:val="59"/>
          <w:tblHeader/>
          <w:jc w:val="center"/>
        </w:trPr>
        <w:tc>
          <w:tcPr>
            <w:tcW w:w="1985" w:type="dxa"/>
            <w:tcBorders>
              <w:top w:val="single" w:sz="4" w:space="0" w:color="ED7C5D"/>
              <w:bottom w:val="double" w:sz="4" w:space="0" w:color="ED7C5D"/>
            </w:tcBorders>
            <w:noWrap/>
            <w:hideMark/>
          </w:tcPr>
          <w:p w14:paraId="4DA7180B" w14:textId="77777777" w:rsidR="003A0356" w:rsidRPr="00503F5B" w:rsidRDefault="003A0356" w:rsidP="00151B84">
            <w:pPr>
              <w:jc w:val="both"/>
              <w:rPr>
                <w:b/>
                <w:color w:val="BE2A18"/>
                <w:sz w:val="20"/>
                <w:szCs w:val="20"/>
                <w:lang w:val="en-AU"/>
              </w:rPr>
            </w:pPr>
            <w:r w:rsidRPr="00503F5B">
              <w:rPr>
                <w:b/>
                <w:color w:val="BE2A18"/>
                <w:sz w:val="20"/>
                <w:szCs w:val="20"/>
                <w:lang w:val="en-AU"/>
              </w:rPr>
              <w:t>Incident type</w:t>
            </w:r>
          </w:p>
        </w:tc>
        <w:tc>
          <w:tcPr>
            <w:tcW w:w="850" w:type="dxa"/>
            <w:tcBorders>
              <w:top w:val="single" w:sz="4" w:space="0" w:color="ED7C5D"/>
              <w:bottom w:val="double" w:sz="4" w:space="0" w:color="ED7C5D"/>
            </w:tcBorders>
            <w:noWrap/>
            <w:hideMark/>
          </w:tcPr>
          <w:p w14:paraId="1E522DB9" w14:textId="77777777" w:rsidR="003A0356" w:rsidRPr="00503F5B" w:rsidRDefault="003A0356" w:rsidP="00151B84">
            <w:pPr>
              <w:jc w:val="center"/>
              <w:rPr>
                <w:b/>
                <w:color w:val="BE2A18"/>
                <w:sz w:val="20"/>
                <w:szCs w:val="20"/>
                <w:lang w:val="en-AU"/>
              </w:rPr>
            </w:pPr>
            <w:r w:rsidRPr="00503F5B">
              <w:rPr>
                <w:b/>
                <w:color w:val="BE2A18"/>
                <w:sz w:val="20"/>
                <w:szCs w:val="20"/>
                <w:lang w:val="en-AU"/>
              </w:rPr>
              <w:t>2011-12</w:t>
            </w:r>
          </w:p>
        </w:tc>
        <w:tc>
          <w:tcPr>
            <w:tcW w:w="851" w:type="dxa"/>
            <w:tcBorders>
              <w:top w:val="single" w:sz="4" w:space="0" w:color="ED7C5D"/>
              <w:bottom w:val="double" w:sz="4" w:space="0" w:color="ED7C5D"/>
            </w:tcBorders>
            <w:noWrap/>
            <w:hideMark/>
          </w:tcPr>
          <w:p w14:paraId="51B0CFDF" w14:textId="77777777" w:rsidR="003A0356" w:rsidRPr="00503F5B" w:rsidRDefault="003A0356" w:rsidP="00151B84">
            <w:pPr>
              <w:jc w:val="center"/>
              <w:rPr>
                <w:b/>
                <w:color w:val="BE2A18"/>
                <w:sz w:val="20"/>
                <w:szCs w:val="20"/>
                <w:lang w:val="en-AU"/>
              </w:rPr>
            </w:pPr>
            <w:r w:rsidRPr="00503F5B">
              <w:rPr>
                <w:b/>
                <w:color w:val="BE2A18"/>
                <w:sz w:val="20"/>
                <w:szCs w:val="20"/>
                <w:lang w:val="en-AU"/>
              </w:rPr>
              <w:t>2012-13</w:t>
            </w:r>
          </w:p>
        </w:tc>
        <w:tc>
          <w:tcPr>
            <w:tcW w:w="850" w:type="dxa"/>
            <w:tcBorders>
              <w:top w:val="single" w:sz="4" w:space="0" w:color="ED7C5D"/>
              <w:bottom w:val="double" w:sz="4" w:space="0" w:color="ED7C5D"/>
            </w:tcBorders>
            <w:noWrap/>
            <w:hideMark/>
          </w:tcPr>
          <w:p w14:paraId="07238AA9" w14:textId="77777777" w:rsidR="003A0356" w:rsidRPr="00503F5B" w:rsidRDefault="003A0356" w:rsidP="00151B84">
            <w:pPr>
              <w:jc w:val="center"/>
              <w:rPr>
                <w:b/>
                <w:color w:val="BE2A18"/>
                <w:sz w:val="20"/>
                <w:szCs w:val="20"/>
                <w:lang w:val="en-AU"/>
              </w:rPr>
            </w:pPr>
            <w:r w:rsidRPr="00503F5B">
              <w:rPr>
                <w:b/>
                <w:color w:val="BE2A18"/>
                <w:sz w:val="20"/>
                <w:szCs w:val="20"/>
                <w:lang w:val="en-AU"/>
              </w:rPr>
              <w:t>2013-14</w:t>
            </w:r>
          </w:p>
        </w:tc>
        <w:tc>
          <w:tcPr>
            <w:tcW w:w="851" w:type="dxa"/>
            <w:tcBorders>
              <w:top w:val="single" w:sz="4" w:space="0" w:color="ED7C5D"/>
              <w:bottom w:val="double" w:sz="4" w:space="0" w:color="ED7C5D"/>
            </w:tcBorders>
            <w:noWrap/>
            <w:hideMark/>
          </w:tcPr>
          <w:p w14:paraId="798B3767" w14:textId="77777777" w:rsidR="003A0356" w:rsidRPr="00503F5B" w:rsidRDefault="003A0356" w:rsidP="00151B84">
            <w:pPr>
              <w:jc w:val="center"/>
              <w:rPr>
                <w:b/>
                <w:color w:val="BE2A18"/>
                <w:sz w:val="20"/>
                <w:szCs w:val="20"/>
                <w:lang w:val="en-AU"/>
              </w:rPr>
            </w:pPr>
            <w:r w:rsidRPr="00503F5B">
              <w:rPr>
                <w:b/>
                <w:color w:val="BE2A18"/>
                <w:sz w:val="20"/>
                <w:szCs w:val="20"/>
                <w:lang w:val="en-AU"/>
              </w:rPr>
              <w:t>2014-</w:t>
            </w:r>
          </w:p>
          <w:p w14:paraId="6CD96B98" w14:textId="77777777" w:rsidR="003A0356" w:rsidRPr="00503F5B" w:rsidRDefault="003A0356" w:rsidP="00151B84">
            <w:pPr>
              <w:jc w:val="center"/>
              <w:rPr>
                <w:b/>
                <w:color w:val="BE2A18"/>
                <w:sz w:val="20"/>
                <w:szCs w:val="20"/>
                <w:lang w:val="en-AU"/>
              </w:rPr>
            </w:pPr>
            <w:r w:rsidRPr="00503F5B">
              <w:rPr>
                <w:b/>
                <w:color w:val="BE2A18"/>
                <w:sz w:val="20"/>
                <w:szCs w:val="20"/>
                <w:lang w:val="en-AU"/>
              </w:rPr>
              <w:t>15</w:t>
            </w:r>
          </w:p>
        </w:tc>
        <w:tc>
          <w:tcPr>
            <w:tcW w:w="889" w:type="dxa"/>
            <w:tcBorders>
              <w:top w:val="single" w:sz="4" w:space="0" w:color="ED7C5D"/>
              <w:bottom w:val="double" w:sz="4" w:space="0" w:color="ED7C5D"/>
            </w:tcBorders>
          </w:tcPr>
          <w:p w14:paraId="6C0185C0" w14:textId="77777777" w:rsidR="003A0356" w:rsidRPr="00503F5B" w:rsidRDefault="003A0356" w:rsidP="00151B84">
            <w:pPr>
              <w:jc w:val="center"/>
              <w:rPr>
                <w:b/>
                <w:color w:val="BE2A18"/>
                <w:sz w:val="20"/>
                <w:szCs w:val="20"/>
                <w:lang w:val="en-AU"/>
              </w:rPr>
            </w:pPr>
            <w:r w:rsidRPr="00503F5B">
              <w:rPr>
                <w:b/>
                <w:color w:val="BE2A18"/>
                <w:sz w:val="20"/>
                <w:szCs w:val="20"/>
                <w:lang w:val="en-AU"/>
              </w:rPr>
              <w:t>2015-</w:t>
            </w:r>
          </w:p>
          <w:p w14:paraId="1175075F" w14:textId="77777777" w:rsidR="003A0356" w:rsidRPr="00503F5B" w:rsidRDefault="003A0356" w:rsidP="00151B84">
            <w:pPr>
              <w:jc w:val="center"/>
              <w:rPr>
                <w:b/>
                <w:color w:val="BE2A18"/>
                <w:sz w:val="20"/>
                <w:szCs w:val="20"/>
                <w:lang w:val="en-AU"/>
              </w:rPr>
            </w:pPr>
            <w:r w:rsidRPr="00503F5B">
              <w:rPr>
                <w:b/>
                <w:color w:val="BE2A18"/>
                <w:sz w:val="20"/>
                <w:szCs w:val="20"/>
                <w:lang w:val="en-AU"/>
              </w:rPr>
              <w:t>16*</w:t>
            </w:r>
          </w:p>
        </w:tc>
        <w:tc>
          <w:tcPr>
            <w:tcW w:w="850" w:type="dxa"/>
            <w:tcBorders>
              <w:top w:val="single" w:sz="4" w:space="0" w:color="ED7C5D"/>
              <w:bottom w:val="double" w:sz="4" w:space="0" w:color="ED7C5D"/>
            </w:tcBorders>
          </w:tcPr>
          <w:p w14:paraId="51A87B49" w14:textId="77777777" w:rsidR="003A0356" w:rsidRPr="00503F5B" w:rsidRDefault="003A0356" w:rsidP="00151B84">
            <w:pPr>
              <w:jc w:val="center"/>
              <w:rPr>
                <w:b/>
                <w:color w:val="BE2A18"/>
                <w:sz w:val="20"/>
                <w:szCs w:val="20"/>
                <w:lang w:val="en-AU"/>
              </w:rPr>
            </w:pPr>
            <w:r w:rsidRPr="00503F5B">
              <w:rPr>
                <w:b/>
                <w:color w:val="BE2A18"/>
                <w:sz w:val="20"/>
                <w:szCs w:val="20"/>
                <w:lang w:val="en-AU"/>
              </w:rPr>
              <w:t>2016-</w:t>
            </w:r>
          </w:p>
          <w:p w14:paraId="478E8D11" w14:textId="77777777" w:rsidR="003A0356" w:rsidRPr="00503F5B" w:rsidRDefault="003A0356" w:rsidP="00151B84">
            <w:pPr>
              <w:jc w:val="center"/>
              <w:rPr>
                <w:b/>
                <w:color w:val="BE2A18"/>
                <w:sz w:val="20"/>
                <w:szCs w:val="20"/>
                <w:lang w:val="en-AU"/>
              </w:rPr>
            </w:pPr>
            <w:r w:rsidRPr="00503F5B">
              <w:rPr>
                <w:b/>
                <w:color w:val="BE2A18"/>
                <w:sz w:val="20"/>
                <w:szCs w:val="20"/>
                <w:lang w:val="en-AU"/>
              </w:rPr>
              <w:t>17*</w:t>
            </w:r>
          </w:p>
        </w:tc>
        <w:tc>
          <w:tcPr>
            <w:tcW w:w="851" w:type="dxa"/>
            <w:tcBorders>
              <w:top w:val="single" w:sz="4" w:space="0" w:color="ED7C5D"/>
              <w:bottom w:val="double" w:sz="4" w:space="0" w:color="ED7C5D"/>
            </w:tcBorders>
          </w:tcPr>
          <w:p w14:paraId="42C68E15" w14:textId="77777777" w:rsidR="003A0356" w:rsidRPr="00503F5B" w:rsidRDefault="003A0356" w:rsidP="00151B84">
            <w:pPr>
              <w:jc w:val="center"/>
              <w:rPr>
                <w:b/>
                <w:color w:val="BE2A18"/>
                <w:sz w:val="20"/>
                <w:szCs w:val="20"/>
                <w:lang w:val="en-AU"/>
              </w:rPr>
            </w:pPr>
            <w:r w:rsidRPr="00503F5B">
              <w:rPr>
                <w:b/>
                <w:color w:val="BE2A18"/>
                <w:sz w:val="20"/>
                <w:szCs w:val="20"/>
                <w:lang w:val="en-AU"/>
              </w:rPr>
              <w:t>2017-18</w:t>
            </w:r>
          </w:p>
        </w:tc>
        <w:tc>
          <w:tcPr>
            <w:tcW w:w="851" w:type="dxa"/>
            <w:tcBorders>
              <w:top w:val="single" w:sz="4" w:space="0" w:color="ED7C5D"/>
              <w:bottom w:val="double" w:sz="4" w:space="0" w:color="ED7C5D"/>
            </w:tcBorders>
          </w:tcPr>
          <w:p w14:paraId="56458B5A" w14:textId="77777777" w:rsidR="003A0356" w:rsidRPr="00503F5B" w:rsidRDefault="003A0356" w:rsidP="00151B84">
            <w:pPr>
              <w:jc w:val="center"/>
              <w:rPr>
                <w:b/>
                <w:color w:val="BE2A18"/>
                <w:sz w:val="20"/>
                <w:szCs w:val="20"/>
                <w:lang w:val="en-AU"/>
              </w:rPr>
            </w:pPr>
            <w:r w:rsidRPr="00503F5B">
              <w:rPr>
                <w:b/>
                <w:color w:val="BE2A18"/>
                <w:sz w:val="20"/>
                <w:szCs w:val="20"/>
                <w:lang w:val="en-AU"/>
              </w:rPr>
              <w:t>2018-19</w:t>
            </w:r>
          </w:p>
        </w:tc>
        <w:tc>
          <w:tcPr>
            <w:tcW w:w="953" w:type="dxa"/>
            <w:tcBorders>
              <w:top w:val="single" w:sz="4" w:space="0" w:color="ED7C5D"/>
              <w:bottom w:val="double" w:sz="4" w:space="0" w:color="ED7C5D"/>
            </w:tcBorders>
          </w:tcPr>
          <w:p w14:paraId="44FFDFB9" w14:textId="77777777" w:rsidR="003A0356" w:rsidRPr="00503F5B" w:rsidRDefault="003A0356" w:rsidP="00151B84">
            <w:pPr>
              <w:jc w:val="center"/>
              <w:rPr>
                <w:b/>
                <w:color w:val="BE2A18"/>
                <w:sz w:val="20"/>
                <w:szCs w:val="20"/>
                <w:lang w:val="en-AU"/>
              </w:rPr>
            </w:pPr>
            <w:r w:rsidRPr="00503F5B">
              <w:rPr>
                <w:b/>
                <w:color w:val="BE2A18"/>
                <w:sz w:val="20"/>
                <w:szCs w:val="20"/>
                <w:lang w:val="en-AU"/>
              </w:rPr>
              <w:t>8-year average</w:t>
            </w:r>
          </w:p>
        </w:tc>
      </w:tr>
      <w:tr w:rsidR="00EE13B5" w:rsidRPr="00503F5B" w14:paraId="5C1D4337" w14:textId="77777777" w:rsidTr="00877396">
        <w:trPr>
          <w:trHeight w:val="59"/>
          <w:jc w:val="center"/>
        </w:trPr>
        <w:tc>
          <w:tcPr>
            <w:tcW w:w="1985" w:type="dxa"/>
            <w:tcBorders>
              <w:top w:val="double" w:sz="4" w:space="0" w:color="ED7C5D"/>
            </w:tcBorders>
            <w:noWrap/>
            <w:hideMark/>
          </w:tcPr>
          <w:p w14:paraId="76F89B91" w14:textId="77777777" w:rsidR="00EE13B5" w:rsidRPr="00503F5B" w:rsidRDefault="00EE13B5" w:rsidP="00EE13B5">
            <w:pPr>
              <w:rPr>
                <w:sz w:val="20"/>
                <w:szCs w:val="20"/>
                <w:lang w:val="en-AU"/>
              </w:rPr>
            </w:pPr>
            <w:r w:rsidRPr="00503F5B">
              <w:rPr>
                <w:sz w:val="20"/>
                <w:szCs w:val="20"/>
                <w:lang w:val="en-AU"/>
              </w:rPr>
              <w:t>Fires and Explosions</w:t>
            </w:r>
          </w:p>
        </w:tc>
        <w:tc>
          <w:tcPr>
            <w:tcW w:w="850" w:type="dxa"/>
            <w:tcBorders>
              <w:top w:val="double" w:sz="4" w:space="0" w:color="ED7C5D"/>
            </w:tcBorders>
            <w:noWrap/>
          </w:tcPr>
          <w:p w14:paraId="3A750ADA" w14:textId="1BFD6307" w:rsidR="00EE13B5" w:rsidRPr="00503F5B" w:rsidRDefault="00EE13B5" w:rsidP="00EE13B5">
            <w:pPr>
              <w:jc w:val="right"/>
              <w:rPr>
                <w:sz w:val="20"/>
                <w:szCs w:val="20"/>
                <w:lang w:val="en-AU"/>
              </w:rPr>
            </w:pPr>
            <w:r w:rsidRPr="00503F5B">
              <w:rPr>
                <w:sz w:val="20"/>
                <w:szCs w:val="20"/>
                <w:lang w:val="en-AU"/>
              </w:rPr>
              <w:t xml:space="preserve"> 15,750 </w:t>
            </w:r>
          </w:p>
        </w:tc>
        <w:tc>
          <w:tcPr>
            <w:tcW w:w="851" w:type="dxa"/>
            <w:tcBorders>
              <w:top w:val="double" w:sz="4" w:space="0" w:color="ED7C5D"/>
            </w:tcBorders>
            <w:noWrap/>
          </w:tcPr>
          <w:p w14:paraId="372E2CBB" w14:textId="62CCCDA5" w:rsidR="00EE13B5" w:rsidRPr="00503F5B" w:rsidRDefault="00EE13B5" w:rsidP="00EE13B5">
            <w:pPr>
              <w:jc w:val="right"/>
              <w:rPr>
                <w:sz w:val="20"/>
                <w:szCs w:val="20"/>
                <w:lang w:val="en-AU"/>
              </w:rPr>
            </w:pPr>
            <w:r w:rsidRPr="00503F5B">
              <w:rPr>
                <w:sz w:val="20"/>
                <w:szCs w:val="20"/>
                <w:lang w:val="en-AU"/>
              </w:rPr>
              <w:t xml:space="preserve"> 16,619 </w:t>
            </w:r>
          </w:p>
        </w:tc>
        <w:tc>
          <w:tcPr>
            <w:tcW w:w="850" w:type="dxa"/>
            <w:tcBorders>
              <w:top w:val="double" w:sz="4" w:space="0" w:color="ED7C5D"/>
            </w:tcBorders>
            <w:noWrap/>
          </w:tcPr>
          <w:p w14:paraId="0176CC1E" w14:textId="65FA256E" w:rsidR="00EE13B5" w:rsidRPr="00503F5B" w:rsidRDefault="00EE13B5" w:rsidP="00EE13B5">
            <w:pPr>
              <w:jc w:val="right"/>
              <w:rPr>
                <w:sz w:val="20"/>
                <w:szCs w:val="20"/>
                <w:lang w:val="en-AU"/>
              </w:rPr>
            </w:pPr>
            <w:r w:rsidRPr="00503F5B">
              <w:rPr>
                <w:sz w:val="20"/>
                <w:szCs w:val="20"/>
                <w:lang w:val="en-AU"/>
              </w:rPr>
              <w:t xml:space="preserve"> 15,855 </w:t>
            </w:r>
          </w:p>
        </w:tc>
        <w:tc>
          <w:tcPr>
            <w:tcW w:w="851" w:type="dxa"/>
            <w:tcBorders>
              <w:top w:val="double" w:sz="4" w:space="0" w:color="ED7C5D"/>
            </w:tcBorders>
            <w:noWrap/>
          </w:tcPr>
          <w:p w14:paraId="458147A1" w14:textId="487ADBC8" w:rsidR="00EE13B5" w:rsidRPr="00503F5B" w:rsidRDefault="00EE13B5" w:rsidP="00EE13B5">
            <w:pPr>
              <w:jc w:val="right"/>
              <w:rPr>
                <w:sz w:val="20"/>
                <w:szCs w:val="20"/>
                <w:lang w:val="en-AU"/>
              </w:rPr>
            </w:pPr>
            <w:r w:rsidRPr="00503F5B">
              <w:rPr>
                <w:sz w:val="20"/>
                <w:szCs w:val="20"/>
                <w:lang w:val="en-AU"/>
              </w:rPr>
              <w:t xml:space="preserve"> 15,435 </w:t>
            </w:r>
          </w:p>
        </w:tc>
        <w:tc>
          <w:tcPr>
            <w:tcW w:w="889" w:type="dxa"/>
            <w:tcBorders>
              <w:top w:val="double" w:sz="4" w:space="0" w:color="ED7C5D"/>
            </w:tcBorders>
          </w:tcPr>
          <w:p w14:paraId="0BA5D631" w14:textId="2C4E53EF" w:rsidR="00EE13B5" w:rsidRPr="00503F5B" w:rsidRDefault="00EE13B5" w:rsidP="00EE13B5">
            <w:pPr>
              <w:jc w:val="right"/>
              <w:rPr>
                <w:sz w:val="20"/>
                <w:szCs w:val="20"/>
                <w:lang w:val="en-AU"/>
              </w:rPr>
            </w:pPr>
            <w:r w:rsidRPr="00503F5B">
              <w:rPr>
                <w:sz w:val="20"/>
                <w:szCs w:val="20"/>
                <w:lang w:val="en-AU"/>
              </w:rPr>
              <w:t xml:space="preserve"> 16,303 </w:t>
            </w:r>
          </w:p>
        </w:tc>
        <w:tc>
          <w:tcPr>
            <w:tcW w:w="850" w:type="dxa"/>
            <w:tcBorders>
              <w:top w:val="double" w:sz="4" w:space="0" w:color="ED7C5D"/>
            </w:tcBorders>
          </w:tcPr>
          <w:p w14:paraId="7416C78D" w14:textId="53F6CE37" w:rsidR="00EE13B5" w:rsidRPr="00503F5B" w:rsidRDefault="00EE13B5" w:rsidP="00EE13B5">
            <w:pPr>
              <w:jc w:val="right"/>
              <w:rPr>
                <w:sz w:val="20"/>
                <w:szCs w:val="20"/>
                <w:lang w:val="en-AU"/>
              </w:rPr>
            </w:pPr>
            <w:r w:rsidRPr="00503F5B">
              <w:rPr>
                <w:sz w:val="20"/>
                <w:szCs w:val="20"/>
                <w:lang w:val="en-AU"/>
              </w:rPr>
              <w:t xml:space="preserve"> 14,908 </w:t>
            </w:r>
          </w:p>
        </w:tc>
        <w:tc>
          <w:tcPr>
            <w:tcW w:w="851" w:type="dxa"/>
            <w:tcBorders>
              <w:top w:val="double" w:sz="4" w:space="0" w:color="ED7C5D"/>
            </w:tcBorders>
          </w:tcPr>
          <w:p w14:paraId="28F25D71" w14:textId="3E51FE61" w:rsidR="00EE13B5" w:rsidRPr="00503F5B" w:rsidRDefault="00EE13B5" w:rsidP="00EE13B5">
            <w:pPr>
              <w:jc w:val="right"/>
              <w:rPr>
                <w:sz w:val="20"/>
                <w:szCs w:val="20"/>
                <w:lang w:val="en-AU"/>
              </w:rPr>
            </w:pPr>
            <w:r w:rsidRPr="00503F5B">
              <w:rPr>
                <w:sz w:val="20"/>
                <w:szCs w:val="20"/>
                <w:lang w:val="en-AU"/>
              </w:rPr>
              <w:t xml:space="preserve"> 14,835 </w:t>
            </w:r>
          </w:p>
        </w:tc>
        <w:tc>
          <w:tcPr>
            <w:tcW w:w="851" w:type="dxa"/>
            <w:tcBorders>
              <w:top w:val="double" w:sz="4" w:space="0" w:color="ED7C5D"/>
            </w:tcBorders>
          </w:tcPr>
          <w:p w14:paraId="74F77D35" w14:textId="6A98A661" w:rsidR="00EE13B5" w:rsidRPr="00503F5B" w:rsidRDefault="00EE13B5" w:rsidP="00EE13B5">
            <w:pPr>
              <w:jc w:val="right"/>
              <w:rPr>
                <w:sz w:val="20"/>
                <w:szCs w:val="20"/>
                <w:lang w:val="en-AU"/>
              </w:rPr>
            </w:pPr>
            <w:r w:rsidRPr="00503F5B">
              <w:rPr>
                <w:sz w:val="20"/>
                <w:szCs w:val="20"/>
                <w:lang w:val="en-AU"/>
              </w:rPr>
              <w:t xml:space="preserve"> 14,417 </w:t>
            </w:r>
          </w:p>
        </w:tc>
        <w:tc>
          <w:tcPr>
            <w:tcW w:w="953" w:type="dxa"/>
            <w:tcBorders>
              <w:top w:val="double" w:sz="4" w:space="0" w:color="ED7C5D"/>
            </w:tcBorders>
          </w:tcPr>
          <w:p w14:paraId="558B4D31" w14:textId="7D33BA97" w:rsidR="00EE13B5" w:rsidRPr="00503F5B" w:rsidRDefault="00EE13B5" w:rsidP="00EE13B5">
            <w:pPr>
              <w:jc w:val="right"/>
              <w:rPr>
                <w:sz w:val="20"/>
                <w:szCs w:val="20"/>
                <w:lang w:val="en-AU"/>
              </w:rPr>
            </w:pPr>
            <w:r w:rsidRPr="00503F5B">
              <w:rPr>
                <w:sz w:val="20"/>
                <w:szCs w:val="20"/>
                <w:lang w:val="en-AU"/>
              </w:rPr>
              <w:t xml:space="preserve"> 15,515 </w:t>
            </w:r>
          </w:p>
        </w:tc>
      </w:tr>
      <w:tr w:rsidR="00EE13B5" w:rsidRPr="00503F5B" w14:paraId="29728803" w14:textId="77777777" w:rsidTr="00877396">
        <w:trPr>
          <w:trHeight w:val="80"/>
          <w:jc w:val="center"/>
        </w:trPr>
        <w:tc>
          <w:tcPr>
            <w:tcW w:w="1985" w:type="dxa"/>
            <w:noWrap/>
            <w:hideMark/>
          </w:tcPr>
          <w:p w14:paraId="69A87CD4" w14:textId="77777777" w:rsidR="00EE13B5" w:rsidRPr="00503F5B" w:rsidRDefault="00EE13B5" w:rsidP="00EE13B5">
            <w:pPr>
              <w:rPr>
                <w:sz w:val="20"/>
                <w:szCs w:val="20"/>
                <w:lang w:val="en-AU"/>
              </w:rPr>
            </w:pPr>
            <w:r w:rsidRPr="00503F5B">
              <w:rPr>
                <w:sz w:val="20"/>
                <w:szCs w:val="20"/>
                <w:lang w:val="en-AU"/>
              </w:rPr>
              <w:t>EMR</w:t>
            </w:r>
          </w:p>
        </w:tc>
        <w:tc>
          <w:tcPr>
            <w:tcW w:w="850" w:type="dxa"/>
            <w:noWrap/>
          </w:tcPr>
          <w:p w14:paraId="7FC9C7C6" w14:textId="448A2D83" w:rsidR="00EE13B5" w:rsidRPr="00503F5B" w:rsidRDefault="00EE13B5" w:rsidP="00EE13B5">
            <w:pPr>
              <w:jc w:val="right"/>
              <w:rPr>
                <w:sz w:val="20"/>
                <w:szCs w:val="20"/>
                <w:lang w:val="en-AU"/>
              </w:rPr>
            </w:pPr>
            <w:r w:rsidRPr="00503F5B">
              <w:rPr>
                <w:sz w:val="20"/>
                <w:szCs w:val="20"/>
                <w:lang w:val="en-AU"/>
              </w:rPr>
              <w:t xml:space="preserve"> 3,596 </w:t>
            </w:r>
          </w:p>
        </w:tc>
        <w:tc>
          <w:tcPr>
            <w:tcW w:w="851" w:type="dxa"/>
            <w:noWrap/>
          </w:tcPr>
          <w:p w14:paraId="7B01F34F" w14:textId="0400E1C5" w:rsidR="00EE13B5" w:rsidRPr="00503F5B" w:rsidRDefault="00EE13B5" w:rsidP="00EE13B5">
            <w:pPr>
              <w:jc w:val="right"/>
              <w:rPr>
                <w:sz w:val="20"/>
                <w:szCs w:val="20"/>
                <w:lang w:val="en-AU"/>
              </w:rPr>
            </w:pPr>
            <w:r w:rsidRPr="00503F5B">
              <w:rPr>
                <w:sz w:val="20"/>
                <w:szCs w:val="20"/>
                <w:lang w:val="en-AU"/>
              </w:rPr>
              <w:t xml:space="preserve"> 4,018 </w:t>
            </w:r>
          </w:p>
        </w:tc>
        <w:tc>
          <w:tcPr>
            <w:tcW w:w="850" w:type="dxa"/>
            <w:noWrap/>
          </w:tcPr>
          <w:p w14:paraId="14E00B9F" w14:textId="30E1FA9D" w:rsidR="00EE13B5" w:rsidRPr="00503F5B" w:rsidRDefault="00EE13B5" w:rsidP="00EE13B5">
            <w:pPr>
              <w:jc w:val="right"/>
              <w:rPr>
                <w:sz w:val="20"/>
                <w:szCs w:val="20"/>
                <w:lang w:val="en-AU"/>
              </w:rPr>
            </w:pPr>
            <w:r w:rsidRPr="00503F5B">
              <w:rPr>
                <w:sz w:val="20"/>
                <w:szCs w:val="20"/>
                <w:lang w:val="en-AU"/>
              </w:rPr>
              <w:t xml:space="preserve"> 4,811 </w:t>
            </w:r>
          </w:p>
        </w:tc>
        <w:tc>
          <w:tcPr>
            <w:tcW w:w="851" w:type="dxa"/>
            <w:noWrap/>
          </w:tcPr>
          <w:p w14:paraId="722A9838" w14:textId="68582DC7" w:rsidR="00EE13B5" w:rsidRPr="00503F5B" w:rsidRDefault="00EE13B5" w:rsidP="00EE13B5">
            <w:pPr>
              <w:jc w:val="right"/>
              <w:rPr>
                <w:sz w:val="20"/>
                <w:szCs w:val="20"/>
                <w:lang w:val="en-AU"/>
              </w:rPr>
            </w:pPr>
            <w:r w:rsidRPr="00503F5B">
              <w:rPr>
                <w:sz w:val="20"/>
                <w:szCs w:val="20"/>
                <w:lang w:val="en-AU"/>
              </w:rPr>
              <w:t xml:space="preserve"> 4,978 </w:t>
            </w:r>
          </w:p>
        </w:tc>
        <w:tc>
          <w:tcPr>
            <w:tcW w:w="889" w:type="dxa"/>
          </w:tcPr>
          <w:p w14:paraId="671E84CB" w14:textId="19E115D8" w:rsidR="00EE13B5" w:rsidRPr="00503F5B" w:rsidRDefault="00EE13B5" w:rsidP="00EE13B5">
            <w:pPr>
              <w:jc w:val="right"/>
              <w:rPr>
                <w:sz w:val="20"/>
                <w:szCs w:val="20"/>
                <w:lang w:val="en-AU"/>
              </w:rPr>
            </w:pPr>
            <w:r w:rsidRPr="00503F5B">
              <w:rPr>
                <w:sz w:val="20"/>
                <w:szCs w:val="20"/>
                <w:lang w:val="en-AU"/>
              </w:rPr>
              <w:t xml:space="preserve"> 3,954 </w:t>
            </w:r>
          </w:p>
        </w:tc>
        <w:tc>
          <w:tcPr>
            <w:tcW w:w="850" w:type="dxa"/>
          </w:tcPr>
          <w:p w14:paraId="18D941AE" w14:textId="6B0FBE2E" w:rsidR="00EE13B5" w:rsidRPr="00503F5B" w:rsidRDefault="00EE13B5" w:rsidP="00EE13B5">
            <w:pPr>
              <w:jc w:val="right"/>
              <w:rPr>
                <w:sz w:val="20"/>
                <w:szCs w:val="20"/>
                <w:lang w:val="en-AU"/>
              </w:rPr>
            </w:pPr>
            <w:r w:rsidRPr="00503F5B">
              <w:rPr>
                <w:sz w:val="20"/>
                <w:szCs w:val="20"/>
                <w:lang w:val="en-AU"/>
              </w:rPr>
              <w:t xml:space="preserve"> 3,831 </w:t>
            </w:r>
          </w:p>
        </w:tc>
        <w:tc>
          <w:tcPr>
            <w:tcW w:w="851" w:type="dxa"/>
          </w:tcPr>
          <w:p w14:paraId="61B97332" w14:textId="55FFEC30" w:rsidR="00EE13B5" w:rsidRPr="00503F5B" w:rsidRDefault="00EE13B5" w:rsidP="00EE13B5">
            <w:pPr>
              <w:jc w:val="right"/>
              <w:rPr>
                <w:sz w:val="20"/>
                <w:szCs w:val="20"/>
                <w:lang w:val="en-AU"/>
              </w:rPr>
            </w:pPr>
            <w:r w:rsidRPr="00503F5B">
              <w:rPr>
                <w:sz w:val="20"/>
                <w:szCs w:val="20"/>
                <w:lang w:val="en-AU"/>
              </w:rPr>
              <w:t xml:space="preserve"> 4,132 </w:t>
            </w:r>
          </w:p>
        </w:tc>
        <w:tc>
          <w:tcPr>
            <w:tcW w:w="851" w:type="dxa"/>
          </w:tcPr>
          <w:p w14:paraId="22852DD7" w14:textId="5614C27B" w:rsidR="00EE13B5" w:rsidRPr="00503F5B" w:rsidRDefault="00EE13B5" w:rsidP="00EE13B5">
            <w:pPr>
              <w:jc w:val="right"/>
              <w:rPr>
                <w:sz w:val="20"/>
                <w:szCs w:val="20"/>
                <w:lang w:val="en-AU"/>
              </w:rPr>
            </w:pPr>
            <w:r w:rsidRPr="00503F5B">
              <w:rPr>
                <w:sz w:val="20"/>
                <w:szCs w:val="20"/>
                <w:lang w:val="en-AU"/>
              </w:rPr>
              <w:t xml:space="preserve"> 4,000 </w:t>
            </w:r>
          </w:p>
        </w:tc>
        <w:tc>
          <w:tcPr>
            <w:tcW w:w="953" w:type="dxa"/>
          </w:tcPr>
          <w:p w14:paraId="6A3C616D" w14:textId="7575C8BD" w:rsidR="00EE13B5" w:rsidRPr="00503F5B" w:rsidRDefault="00EE13B5" w:rsidP="00EE13B5">
            <w:pPr>
              <w:jc w:val="right"/>
              <w:rPr>
                <w:sz w:val="20"/>
                <w:szCs w:val="20"/>
                <w:lang w:val="en-AU"/>
              </w:rPr>
            </w:pPr>
            <w:r w:rsidRPr="00503F5B">
              <w:rPr>
                <w:sz w:val="20"/>
                <w:szCs w:val="20"/>
                <w:lang w:val="en-AU"/>
              </w:rPr>
              <w:t xml:space="preserve"> 4,165 </w:t>
            </w:r>
          </w:p>
        </w:tc>
      </w:tr>
      <w:tr w:rsidR="00EE13B5" w:rsidRPr="00503F5B" w14:paraId="5F4B8BA9" w14:textId="77777777" w:rsidTr="00877396">
        <w:trPr>
          <w:trHeight w:val="59"/>
          <w:jc w:val="center"/>
        </w:trPr>
        <w:tc>
          <w:tcPr>
            <w:tcW w:w="1985" w:type="dxa"/>
            <w:noWrap/>
            <w:hideMark/>
          </w:tcPr>
          <w:p w14:paraId="29D8A6C5" w14:textId="77777777" w:rsidR="00EE13B5" w:rsidRPr="00503F5B" w:rsidRDefault="00EE13B5" w:rsidP="00EE13B5">
            <w:pPr>
              <w:rPr>
                <w:sz w:val="20"/>
                <w:szCs w:val="20"/>
                <w:lang w:val="en-AU"/>
              </w:rPr>
            </w:pPr>
            <w:r w:rsidRPr="00503F5B">
              <w:rPr>
                <w:sz w:val="20"/>
                <w:szCs w:val="20"/>
                <w:lang w:val="en-AU"/>
              </w:rPr>
              <w:t>MVA</w:t>
            </w:r>
          </w:p>
        </w:tc>
        <w:tc>
          <w:tcPr>
            <w:tcW w:w="850" w:type="dxa"/>
            <w:noWrap/>
          </w:tcPr>
          <w:p w14:paraId="77829893" w14:textId="42A2F59E" w:rsidR="00EE13B5" w:rsidRPr="00503F5B" w:rsidRDefault="00EE13B5" w:rsidP="00EE13B5">
            <w:pPr>
              <w:jc w:val="right"/>
              <w:rPr>
                <w:sz w:val="20"/>
                <w:szCs w:val="20"/>
                <w:lang w:val="en-AU"/>
              </w:rPr>
            </w:pPr>
            <w:r w:rsidRPr="00503F5B">
              <w:rPr>
                <w:sz w:val="20"/>
                <w:szCs w:val="20"/>
                <w:lang w:val="en-AU"/>
              </w:rPr>
              <w:t xml:space="preserve"> 3,087 </w:t>
            </w:r>
          </w:p>
        </w:tc>
        <w:tc>
          <w:tcPr>
            <w:tcW w:w="851" w:type="dxa"/>
            <w:noWrap/>
          </w:tcPr>
          <w:p w14:paraId="68242467" w14:textId="00B58B17" w:rsidR="00EE13B5" w:rsidRPr="00503F5B" w:rsidRDefault="00EE13B5" w:rsidP="00EE13B5">
            <w:pPr>
              <w:jc w:val="right"/>
              <w:rPr>
                <w:sz w:val="20"/>
                <w:szCs w:val="20"/>
                <w:lang w:val="en-AU"/>
              </w:rPr>
            </w:pPr>
            <w:r w:rsidRPr="00503F5B">
              <w:rPr>
                <w:sz w:val="20"/>
                <w:szCs w:val="20"/>
                <w:lang w:val="en-AU"/>
              </w:rPr>
              <w:t xml:space="preserve"> 3,066 </w:t>
            </w:r>
          </w:p>
        </w:tc>
        <w:tc>
          <w:tcPr>
            <w:tcW w:w="850" w:type="dxa"/>
            <w:noWrap/>
          </w:tcPr>
          <w:p w14:paraId="4D957DED" w14:textId="4FA598EB" w:rsidR="00EE13B5" w:rsidRPr="00503F5B" w:rsidRDefault="00EE13B5" w:rsidP="00EE13B5">
            <w:pPr>
              <w:jc w:val="right"/>
              <w:rPr>
                <w:sz w:val="20"/>
                <w:szCs w:val="20"/>
                <w:lang w:val="en-AU"/>
              </w:rPr>
            </w:pPr>
            <w:r w:rsidRPr="00503F5B">
              <w:rPr>
                <w:sz w:val="20"/>
                <w:szCs w:val="20"/>
                <w:lang w:val="en-AU"/>
              </w:rPr>
              <w:t xml:space="preserve"> 3,101 </w:t>
            </w:r>
          </w:p>
        </w:tc>
        <w:tc>
          <w:tcPr>
            <w:tcW w:w="851" w:type="dxa"/>
            <w:noWrap/>
          </w:tcPr>
          <w:p w14:paraId="7B0CC642" w14:textId="1EE8459E" w:rsidR="00EE13B5" w:rsidRPr="00503F5B" w:rsidRDefault="00EE13B5" w:rsidP="00EE13B5">
            <w:pPr>
              <w:jc w:val="right"/>
              <w:rPr>
                <w:sz w:val="20"/>
                <w:szCs w:val="20"/>
                <w:lang w:val="en-AU"/>
              </w:rPr>
            </w:pPr>
            <w:r w:rsidRPr="00503F5B">
              <w:rPr>
                <w:sz w:val="20"/>
                <w:szCs w:val="20"/>
                <w:lang w:val="en-AU"/>
              </w:rPr>
              <w:t xml:space="preserve"> 3,394 </w:t>
            </w:r>
          </w:p>
        </w:tc>
        <w:tc>
          <w:tcPr>
            <w:tcW w:w="889" w:type="dxa"/>
          </w:tcPr>
          <w:p w14:paraId="341ED806" w14:textId="4FC37FF6" w:rsidR="00EE13B5" w:rsidRPr="00503F5B" w:rsidRDefault="00EE13B5" w:rsidP="00EE13B5">
            <w:pPr>
              <w:jc w:val="right"/>
              <w:rPr>
                <w:sz w:val="20"/>
                <w:szCs w:val="20"/>
                <w:lang w:val="en-AU"/>
              </w:rPr>
            </w:pPr>
            <w:r w:rsidRPr="00503F5B">
              <w:rPr>
                <w:sz w:val="20"/>
                <w:szCs w:val="20"/>
                <w:lang w:val="en-AU"/>
              </w:rPr>
              <w:t xml:space="preserve"> 3,824 </w:t>
            </w:r>
          </w:p>
        </w:tc>
        <w:tc>
          <w:tcPr>
            <w:tcW w:w="850" w:type="dxa"/>
          </w:tcPr>
          <w:p w14:paraId="1E52365F" w14:textId="1A10D7BC" w:rsidR="00EE13B5" w:rsidRPr="00503F5B" w:rsidRDefault="00EE13B5" w:rsidP="00EE13B5">
            <w:pPr>
              <w:jc w:val="right"/>
              <w:rPr>
                <w:sz w:val="20"/>
                <w:szCs w:val="20"/>
                <w:lang w:val="en-AU"/>
              </w:rPr>
            </w:pPr>
            <w:r w:rsidRPr="00503F5B">
              <w:rPr>
                <w:sz w:val="20"/>
                <w:szCs w:val="20"/>
                <w:lang w:val="en-AU"/>
              </w:rPr>
              <w:t xml:space="preserve"> 4,060 </w:t>
            </w:r>
          </w:p>
        </w:tc>
        <w:tc>
          <w:tcPr>
            <w:tcW w:w="851" w:type="dxa"/>
          </w:tcPr>
          <w:p w14:paraId="52FCAC55" w14:textId="13311932" w:rsidR="00EE13B5" w:rsidRPr="00503F5B" w:rsidRDefault="00EE13B5" w:rsidP="00EE13B5">
            <w:pPr>
              <w:jc w:val="right"/>
              <w:rPr>
                <w:sz w:val="20"/>
                <w:szCs w:val="20"/>
                <w:lang w:val="en-AU"/>
              </w:rPr>
            </w:pPr>
            <w:r w:rsidRPr="00503F5B">
              <w:rPr>
                <w:sz w:val="20"/>
                <w:szCs w:val="20"/>
                <w:lang w:val="en-AU"/>
              </w:rPr>
              <w:t xml:space="preserve"> 3,967 </w:t>
            </w:r>
          </w:p>
        </w:tc>
        <w:tc>
          <w:tcPr>
            <w:tcW w:w="851" w:type="dxa"/>
          </w:tcPr>
          <w:p w14:paraId="426C2035" w14:textId="5DA05B18" w:rsidR="00EE13B5" w:rsidRPr="00503F5B" w:rsidRDefault="00EE13B5" w:rsidP="00EE13B5">
            <w:pPr>
              <w:jc w:val="right"/>
              <w:rPr>
                <w:sz w:val="20"/>
                <w:szCs w:val="20"/>
                <w:lang w:val="en-AU"/>
              </w:rPr>
            </w:pPr>
            <w:r w:rsidRPr="00503F5B">
              <w:rPr>
                <w:sz w:val="20"/>
                <w:szCs w:val="20"/>
                <w:lang w:val="en-AU"/>
              </w:rPr>
              <w:t xml:space="preserve"> 4,122 </w:t>
            </w:r>
          </w:p>
        </w:tc>
        <w:tc>
          <w:tcPr>
            <w:tcW w:w="953" w:type="dxa"/>
          </w:tcPr>
          <w:p w14:paraId="491C573D" w14:textId="6BD38FF1" w:rsidR="00EE13B5" w:rsidRPr="00503F5B" w:rsidRDefault="00EE13B5" w:rsidP="00EE13B5">
            <w:pPr>
              <w:jc w:val="right"/>
              <w:rPr>
                <w:sz w:val="20"/>
                <w:szCs w:val="20"/>
                <w:lang w:val="en-AU"/>
              </w:rPr>
            </w:pPr>
            <w:r w:rsidRPr="00503F5B">
              <w:rPr>
                <w:sz w:val="20"/>
                <w:szCs w:val="20"/>
                <w:lang w:val="en-AU"/>
              </w:rPr>
              <w:t xml:space="preserve"> 3,578 </w:t>
            </w:r>
          </w:p>
        </w:tc>
      </w:tr>
      <w:tr w:rsidR="00EE13B5" w:rsidRPr="00503F5B" w14:paraId="5B907899" w14:textId="77777777" w:rsidTr="00877396">
        <w:trPr>
          <w:trHeight w:val="81"/>
          <w:jc w:val="center"/>
        </w:trPr>
        <w:tc>
          <w:tcPr>
            <w:tcW w:w="1985" w:type="dxa"/>
            <w:noWrap/>
            <w:hideMark/>
          </w:tcPr>
          <w:p w14:paraId="7039BDB0" w14:textId="77777777" w:rsidR="00EE13B5" w:rsidRPr="00503F5B" w:rsidRDefault="00EE13B5" w:rsidP="00EE13B5">
            <w:pPr>
              <w:rPr>
                <w:sz w:val="20"/>
                <w:szCs w:val="20"/>
                <w:lang w:val="en-AU"/>
              </w:rPr>
            </w:pPr>
            <w:r w:rsidRPr="00503F5B">
              <w:rPr>
                <w:sz w:val="20"/>
                <w:szCs w:val="20"/>
                <w:lang w:val="en-AU"/>
              </w:rPr>
              <w:t>Rescues &amp; Medical Assistance</w:t>
            </w:r>
            <w:r w:rsidRPr="00503F5B">
              <w:rPr>
                <w:rStyle w:val="FootnoteReference"/>
                <w:sz w:val="20"/>
                <w:szCs w:val="20"/>
                <w:lang w:val="en-AU"/>
              </w:rPr>
              <w:footnoteReference w:id="20"/>
            </w:r>
          </w:p>
        </w:tc>
        <w:tc>
          <w:tcPr>
            <w:tcW w:w="850" w:type="dxa"/>
            <w:noWrap/>
          </w:tcPr>
          <w:p w14:paraId="722F0D55" w14:textId="2E4603CB" w:rsidR="00EE13B5" w:rsidRPr="00503F5B" w:rsidRDefault="00EE13B5" w:rsidP="00EE13B5">
            <w:pPr>
              <w:jc w:val="right"/>
              <w:rPr>
                <w:sz w:val="20"/>
                <w:szCs w:val="20"/>
                <w:lang w:val="en-AU"/>
              </w:rPr>
            </w:pPr>
            <w:r w:rsidRPr="00503F5B">
              <w:rPr>
                <w:sz w:val="20"/>
                <w:szCs w:val="20"/>
                <w:lang w:val="en-AU"/>
              </w:rPr>
              <w:t xml:space="preserve"> 1,355 </w:t>
            </w:r>
          </w:p>
        </w:tc>
        <w:tc>
          <w:tcPr>
            <w:tcW w:w="851" w:type="dxa"/>
            <w:noWrap/>
          </w:tcPr>
          <w:p w14:paraId="121F7496" w14:textId="4F0C444F" w:rsidR="00EE13B5" w:rsidRPr="00503F5B" w:rsidRDefault="00EE13B5" w:rsidP="00EE13B5">
            <w:pPr>
              <w:jc w:val="right"/>
              <w:rPr>
                <w:sz w:val="20"/>
                <w:szCs w:val="20"/>
                <w:lang w:val="en-AU"/>
              </w:rPr>
            </w:pPr>
            <w:r w:rsidRPr="00503F5B">
              <w:rPr>
                <w:sz w:val="20"/>
                <w:szCs w:val="20"/>
                <w:lang w:val="en-AU"/>
              </w:rPr>
              <w:t xml:space="preserve"> 1,313 </w:t>
            </w:r>
          </w:p>
        </w:tc>
        <w:tc>
          <w:tcPr>
            <w:tcW w:w="850" w:type="dxa"/>
            <w:noWrap/>
          </w:tcPr>
          <w:p w14:paraId="5BC857F6" w14:textId="24A56211" w:rsidR="00EE13B5" w:rsidRPr="00503F5B" w:rsidRDefault="00EE13B5" w:rsidP="00EE13B5">
            <w:pPr>
              <w:jc w:val="right"/>
              <w:rPr>
                <w:sz w:val="20"/>
                <w:szCs w:val="20"/>
                <w:lang w:val="en-AU"/>
              </w:rPr>
            </w:pPr>
            <w:r w:rsidRPr="00503F5B">
              <w:rPr>
                <w:sz w:val="20"/>
                <w:szCs w:val="20"/>
                <w:lang w:val="en-AU"/>
              </w:rPr>
              <w:t xml:space="preserve"> 1,335 </w:t>
            </w:r>
          </w:p>
        </w:tc>
        <w:tc>
          <w:tcPr>
            <w:tcW w:w="851" w:type="dxa"/>
            <w:noWrap/>
          </w:tcPr>
          <w:p w14:paraId="2FE35E6C" w14:textId="77AFF812" w:rsidR="00EE13B5" w:rsidRPr="00503F5B" w:rsidRDefault="00EE13B5" w:rsidP="00EE13B5">
            <w:pPr>
              <w:jc w:val="right"/>
              <w:rPr>
                <w:sz w:val="20"/>
                <w:szCs w:val="20"/>
                <w:lang w:val="en-AU"/>
              </w:rPr>
            </w:pPr>
            <w:r w:rsidRPr="00503F5B">
              <w:rPr>
                <w:sz w:val="20"/>
                <w:szCs w:val="20"/>
                <w:lang w:val="en-AU"/>
              </w:rPr>
              <w:t xml:space="preserve"> 1,343 </w:t>
            </w:r>
          </w:p>
        </w:tc>
        <w:tc>
          <w:tcPr>
            <w:tcW w:w="889" w:type="dxa"/>
          </w:tcPr>
          <w:p w14:paraId="40AA17D9" w14:textId="34CCB8D6" w:rsidR="00EE13B5" w:rsidRPr="00503F5B" w:rsidRDefault="00EE13B5" w:rsidP="00EE13B5">
            <w:pPr>
              <w:jc w:val="right"/>
              <w:rPr>
                <w:sz w:val="20"/>
                <w:szCs w:val="20"/>
                <w:lang w:val="en-AU"/>
              </w:rPr>
            </w:pPr>
            <w:r w:rsidRPr="00503F5B">
              <w:rPr>
                <w:sz w:val="20"/>
                <w:szCs w:val="20"/>
                <w:lang w:val="en-AU"/>
              </w:rPr>
              <w:t xml:space="preserve"> 1,501 </w:t>
            </w:r>
          </w:p>
        </w:tc>
        <w:tc>
          <w:tcPr>
            <w:tcW w:w="850" w:type="dxa"/>
          </w:tcPr>
          <w:p w14:paraId="5861A5AA" w14:textId="2CDBAB9B" w:rsidR="00EE13B5" w:rsidRPr="00503F5B" w:rsidRDefault="00EE13B5" w:rsidP="00EE13B5">
            <w:pPr>
              <w:jc w:val="right"/>
              <w:rPr>
                <w:sz w:val="20"/>
                <w:szCs w:val="20"/>
                <w:lang w:val="en-AU"/>
              </w:rPr>
            </w:pPr>
            <w:r w:rsidRPr="00503F5B">
              <w:rPr>
                <w:sz w:val="20"/>
                <w:szCs w:val="20"/>
                <w:lang w:val="en-AU"/>
              </w:rPr>
              <w:t xml:space="preserve"> 1,670 </w:t>
            </w:r>
          </w:p>
        </w:tc>
        <w:tc>
          <w:tcPr>
            <w:tcW w:w="851" w:type="dxa"/>
          </w:tcPr>
          <w:p w14:paraId="351D4FB0" w14:textId="02532630" w:rsidR="00EE13B5" w:rsidRPr="00503F5B" w:rsidRDefault="00EE13B5" w:rsidP="00EE13B5">
            <w:pPr>
              <w:jc w:val="right"/>
              <w:rPr>
                <w:sz w:val="20"/>
                <w:szCs w:val="20"/>
                <w:lang w:val="en-AU"/>
              </w:rPr>
            </w:pPr>
            <w:r w:rsidRPr="00503F5B">
              <w:rPr>
                <w:sz w:val="20"/>
                <w:szCs w:val="20"/>
                <w:lang w:val="en-AU"/>
              </w:rPr>
              <w:t xml:space="preserve"> 1,767 </w:t>
            </w:r>
          </w:p>
        </w:tc>
        <w:tc>
          <w:tcPr>
            <w:tcW w:w="851" w:type="dxa"/>
          </w:tcPr>
          <w:p w14:paraId="4086E01D" w14:textId="4AECC0D9" w:rsidR="00EE13B5" w:rsidRPr="00503F5B" w:rsidRDefault="00EE13B5" w:rsidP="00EE13B5">
            <w:pPr>
              <w:jc w:val="right"/>
              <w:rPr>
                <w:sz w:val="20"/>
                <w:szCs w:val="20"/>
                <w:lang w:val="en-AU"/>
              </w:rPr>
            </w:pPr>
            <w:r w:rsidRPr="00503F5B">
              <w:rPr>
                <w:sz w:val="20"/>
                <w:szCs w:val="20"/>
                <w:lang w:val="en-AU"/>
              </w:rPr>
              <w:t xml:space="preserve"> 1,772 </w:t>
            </w:r>
          </w:p>
        </w:tc>
        <w:tc>
          <w:tcPr>
            <w:tcW w:w="953" w:type="dxa"/>
          </w:tcPr>
          <w:p w14:paraId="115095D3" w14:textId="77AF34A0" w:rsidR="00EE13B5" w:rsidRPr="00503F5B" w:rsidRDefault="00EE13B5" w:rsidP="00EE13B5">
            <w:pPr>
              <w:jc w:val="right"/>
              <w:rPr>
                <w:sz w:val="20"/>
                <w:szCs w:val="20"/>
                <w:lang w:val="en-AU"/>
              </w:rPr>
            </w:pPr>
            <w:r w:rsidRPr="00503F5B">
              <w:rPr>
                <w:sz w:val="20"/>
                <w:szCs w:val="20"/>
                <w:lang w:val="en-AU"/>
              </w:rPr>
              <w:t xml:space="preserve"> 1,507 </w:t>
            </w:r>
          </w:p>
        </w:tc>
      </w:tr>
      <w:tr w:rsidR="00EE13B5" w:rsidRPr="00503F5B" w14:paraId="69DC648E" w14:textId="77777777" w:rsidTr="00877396">
        <w:trPr>
          <w:trHeight w:val="81"/>
          <w:jc w:val="center"/>
        </w:trPr>
        <w:tc>
          <w:tcPr>
            <w:tcW w:w="1985" w:type="dxa"/>
            <w:noWrap/>
            <w:hideMark/>
          </w:tcPr>
          <w:p w14:paraId="506F6138" w14:textId="77777777" w:rsidR="00EE13B5" w:rsidRPr="00503F5B" w:rsidRDefault="00EE13B5" w:rsidP="00EE13B5">
            <w:pPr>
              <w:rPr>
                <w:sz w:val="20"/>
                <w:szCs w:val="20"/>
                <w:lang w:val="en-AU"/>
              </w:rPr>
            </w:pPr>
            <w:r w:rsidRPr="00503F5B">
              <w:rPr>
                <w:sz w:val="20"/>
                <w:szCs w:val="20"/>
                <w:lang w:val="en-AU"/>
              </w:rPr>
              <w:t>HazMat</w:t>
            </w:r>
          </w:p>
        </w:tc>
        <w:tc>
          <w:tcPr>
            <w:tcW w:w="850" w:type="dxa"/>
            <w:noWrap/>
          </w:tcPr>
          <w:p w14:paraId="5BF180CD" w14:textId="1782CF45" w:rsidR="00EE13B5" w:rsidRPr="00503F5B" w:rsidRDefault="00EE13B5" w:rsidP="00EE13B5">
            <w:pPr>
              <w:jc w:val="right"/>
              <w:rPr>
                <w:sz w:val="20"/>
                <w:szCs w:val="20"/>
                <w:lang w:val="en-AU"/>
              </w:rPr>
            </w:pPr>
            <w:r w:rsidRPr="00503F5B">
              <w:rPr>
                <w:sz w:val="20"/>
                <w:szCs w:val="20"/>
                <w:lang w:val="en-AU"/>
              </w:rPr>
              <w:t xml:space="preserve"> 1,247 </w:t>
            </w:r>
          </w:p>
        </w:tc>
        <w:tc>
          <w:tcPr>
            <w:tcW w:w="851" w:type="dxa"/>
            <w:noWrap/>
          </w:tcPr>
          <w:p w14:paraId="5AE7220C" w14:textId="10564856" w:rsidR="00EE13B5" w:rsidRPr="00503F5B" w:rsidRDefault="00EE13B5" w:rsidP="00EE13B5">
            <w:pPr>
              <w:jc w:val="right"/>
              <w:rPr>
                <w:sz w:val="20"/>
                <w:szCs w:val="20"/>
                <w:lang w:val="en-AU"/>
              </w:rPr>
            </w:pPr>
            <w:r w:rsidRPr="00503F5B">
              <w:rPr>
                <w:sz w:val="20"/>
                <w:szCs w:val="20"/>
                <w:lang w:val="en-AU"/>
              </w:rPr>
              <w:t xml:space="preserve"> 1,488 </w:t>
            </w:r>
          </w:p>
        </w:tc>
        <w:tc>
          <w:tcPr>
            <w:tcW w:w="850" w:type="dxa"/>
            <w:noWrap/>
          </w:tcPr>
          <w:p w14:paraId="7011FD93" w14:textId="5921BC8B" w:rsidR="00EE13B5" w:rsidRPr="00503F5B" w:rsidRDefault="00EE13B5" w:rsidP="00EE13B5">
            <w:pPr>
              <w:jc w:val="right"/>
              <w:rPr>
                <w:sz w:val="20"/>
                <w:szCs w:val="20"/>
                <w:lang w:val="en-AU"/>
              </w:rPr>
            </w:pPr>
            <w:r w:rsidRPr="00503F5B">
              <w:rPr>
                <w:sz w:val="20"/>
                <w:szCs w:val="20"/>
                <w:lang w:val="en-AU"/>
              </w:rPr>
              <w:t xml:space="preserve"> 1,345 </w:t>
            </w:r>
          </w:p>
        </w:tc>
        <w:tc>
          <w:tcPr>
            <w:tcW w:w="851" w:type="dxa"/>
            <w:noWrap/>
          </w:tcPr>
          <w:p w14:paraId="7D39DAB9" w14:textId="7E4B0E43" w:rsidR="00EE13B5" w:rsidRPr="00503F5B" w:rsidRDefault="00EE13B5" w:rsidP="00EE13B5">
            <w:pPr>
              <w:jc w:val="right"/>
              <w:rPr>
                <w:sz w:val="20"/>
                <w:szCs w:val="20"/>
                <w:lang w:val="en-AU"/>
              </w:rPr>
            </w:pPr>
            <w:r w:rsidRPr="00503F5B">
              <w:rPr>
                <w:sz w:val="20"/>
                <w:szCs w:val="20"/>
                <w:lang w:val="en-AU"/>
              </w:rPr>
              <w:t xml:space="preserve"> 1,439 </w:t>
            </w:r>
          </w:p>
        </w:tc>
        <w:tc>
          <w:tcPr>
            <w:tcW w:w="889" w:type="dxa"/>
          </w:tcPr>
          <w:p w14:paraId="2F88E1D2" w14:textId="206F2484" w:rsidR="00EE13B5" w:rsidRPr="00503F5B" w:rsidRDefault="00EE13B5" w:rsidP="00EE13B5">
            <w:pPr>
              <w:jc w:val="right"/>
              <w:rPr>
                <w:sz w:val="20"/>
                <w:szCs w:val="20"/>
                <w:lang w:val="en-AU"/>
              </w:rPr>
            </w:pPr>
            <w:r w:rsidRPr="00503F5B">
              <w:rPr>
                <w:sz w:val="20"/>
                <w:szCs w:val="20"/>
                <w:lang w:val="en-AU"/>
              </w:rPr>
              <w:t xml:space="preserve"> 1,476 </w:t>
            </w:r>
          </w:p>
        </w:tc>
        <w:tc>
          <w:tcPr>
            <w:tcW w:w="850" w:type="dxa"/>
          </w:tcPr>
          <w:p w14:paraId="314BFD72" w14:textId="62D89F50" w:rsidR="00EE13B5" w:rsidRPr="00503F5B" w:rsidRDefault="00EE13B5" w:rsidP="00EE13B5">
            <w:pPr>
              <w:jc w:val="right"/>
              <w:rPr>
                <w:sz w:val="20"/>
                <w:szCs w:val="20"/>
                <w:lang w:val="en-AU"/>
              </w:rPr>
            </w:pPr>
            <w:r w:rsidRPr="00503F5B">
              <w:rPr>
                <w:sz w:val="20"/>
                <w:szCs w:val="20"/>
                <w:lang w:val="en-AU"/>
              </w:rPr>
              <w:t xml:space="preserve"> 1,457 </w:t>
            </w:r>
          </w:p>
        </w:tc>
        <w:tc>
          <w:tcPr>
            <w:tcW w:w="851" w:type="dxa"/>
          </w:tcPr>
          <w:p w14:paraId="4B46D52E" w14:textId="2B64A538" w:rsidR="00EE13B5" w:rsidRPr="00503F5B" w:rsidRDefault="00EE13B5" w:rsidP="00EE13B5">
            <w:pPr>
              <w:jc w:val="right"/>
              <w:rPr>
                <w:sz w:val="20"/>
                <w:szCs w:val="20"/>
                <w:lang w:val="en-AU"/>
              </w:rPr>
            </w:pPr>
            <w:r w:rsidRPr="00503F5B">
              <w:rPr>
                <w:sz w:val="20"/>
                <w:szCs w:val="20"/>
                <w:lang w:val="en-AU"/>
              </w:rPr>
              <w:t xml:space="preserve"> 1,388 </w:t>
            </w:r>
          </w:p>
        </w:tc>
        <w:tc>
          <w:tcPr>
            <w:tcW w:w="851" w:type="dxa"/>
          </w:tcPr>
          <w:p w14:paraId="776D2C96" w14:textId="4F231110" w:rsidR="00EE13B5" w:rsidRPr="00503F5B" w:rsidRDefault="00EE13B5" w:rsidP="00EE13B5">
            <w:pPr>
              <w:jc w:val="right"/>
              <w:rPr>
                <w:sz w:val="20"/>
                <w:szCs w:val="20"/>
                <w:lang w:val="en-AU"/>
              </w:rPr>
            </w:pPr>
            <w:r w:rsidRPr="00503F5B">
              <w:rPr>
                <w:sz w:val="20"/>
                <w:szCs w:val="20"/>
                <w:lang w:val="en-AU"/>
              </w:rPr>
              <w:t xml:space="preserve"> 1,290 </w:t>
            </w:r>
          </w:p>
        </w:tc>
        <w:tc>
          <w:tcPr>
            <w:tcW w:w="953" w:type="dxa"/>
          </w:tcPr>
          <w:p w14:paraId="32545F65" w14:textId="0F5263BD" w:rsidR="00EE13B5" w:rsidRPr="00503F5B" w:rsidRDefault="00EE13B5" w:rsidP="00EE13B5">
            <w:pPr>
              <w:jc w:val="right"/>
              <w:rPr>
                <w:sz w:val="20"/>
                <w:szCs w:val="20"/>
                <w:lang w:val="en-AU"/>
              </w:rPr>
            </w:pPr>
            <w:r w:rsidRPr="00503F5B">
              <w:rPr>
                <w:sz w:val="20"/>
                <w:szCs w:val="20"/>
                <w:lang w:val="en-AU"/>
              </w:rPr>
              <w:t xml:space="preserve"> 1,391 </w:t>
            </w:r>
          </w:p>
        </w:tc>
      </w:tr>
      <w:tr w:rsidR="00EE13B5" w:rsidRPr="00503F5B" w14:paraId="26D37FCB" w14:textId="77777777" w:rsidTr="00877396">
        <w:trPr>
          <w:trHeight w:val="59"/>
          <w:jc w:val="center"/>
        </w:trPr>
        <w:tc>
          <w:tcPr>
            <w:tcW w:w="1985" w:type="dxa"/>
            <w:noWrap/>
            <w:hideMark/>
          </w:tcPr>
          <w:p w14:paraId="470A84A3" w14:textId="77777777" w:rsidR="00EE13B5" w:rsidRPr="00503F5B" w:rsidRDefault="00EE13B5" w:rsidP="00EE13B5">
            <w:pPr>
              <w:rPr>
                <w:sz w:val="20"/>
                <w:szCs w:val="20"/>
                <w:lang w:val="en-AU"/>
              </w:rPr>
            </w:pPr>
            <w:r w:rsidRPr="00503F5B">
              <w:rPr>
                <w:sz w:val="20"/>
                <w:szCs w:val="20"/>
                <w:lang w:val="en-AU"/>
              </w:rPr>
              <w:t>Haz not HazMat</w:t>
            </w:r>
          </w:p>
        </w:tc>
        <w:tc>
          <w:tcPr>
            <w:tcW w:w="850" w:type="dxa"/>
            <w:noWrap/>
          </w:tcPr>
          <w:p w14:paraId="798F2E03" w14:textId="66C903BA" w:rsidR="00EE13B5" w:rsidRPr="00503F5B" w:rsidRDefault="00EE13B5" w:rsidP="00EE13B5">
            <w:pPr>
              <w:jc w:val="right"/>
              <w:rPr>
                <w:sz w:val="20"/>
                <w:szCs w:val="20"/>
                <w:lang w:val="en-AU"/>
              </w:rPr>
            </w:pPr>
            <w:r w:rsidRPr="00503F5B">
              <w:rPr>
                <w:sz w:val="20"/>
                <w:szCs w:val="20"/>
                <w:lang w:val="en-AU"/>
              </w:rPr>
              <w:t xml:space="preserve"> 3,045 </w:t>
            </w:r>
          </w:p>
        </w:tc>
        <w:tc>
          <w:tcPr>
            <w:tcW w:w="851" w:type="dxa"/>
            <w:noWrap/>
          </w:tcPr>
          <w:p w14:paraId="04E53044" w14:textId="48A0EE01" w:rsidR="00EE13B5" w:rsidRPr="00503F5B" w:rsidRDefault="00EE13B5" w:rsidP="00EE13B5">
            <w:pPr>
              <w:jc w:val="right"/>
              <w:rPr>
                <w:sz w:val="20"/>
                <w:szCs w:val="20"/>
                <w:lang w:val="en-AU"/>
              </w:rPr>
            </w:pPr>
            <w:r w:rsidRPr="00503F5B">
              <w:rPr>
                <w:sz w:val="20"/>
                <w:szCs w:val="20"/>
                <w:lang w:val="en-AU"/>
              </w:rPr>
              <w:t xml:space="preserve"> 3,165 </w:t>
            </w:r>
          </w:p>
        </w:tc>
        <w:tc>
          <w:tcPr>
            <w:tcW w:w="850" w:type="dxa"/>
            <w:noWrap/>
          </w:tcPr>
          <w:p w14:paraId="677947E3" w14:textId="60D78ABB" w:rsidR="00EE13B5" w:rsidRPr="00503F5B" w:rsidRDefault="00EE13B5" w:rsidP="00EE13B5">
            <w:pPr>
              <w:jc w:val="right"/>
              <w:rPr>
                <w:sz w:val="20"/>
                <w:szCs w:val="20"/>
                <w:lang w:val="en-AU"/>
              </w:rPr>
            </w:pPr>
            <w:r w:rsidRPr="00503F5B">
              <w:rPr>
                <w:sz w:val="20"/>
                <w:szCs w:val="20"/>
                <w:lang w:val="en-AU"/>
              </w:rPr>
              <w:t xml:space="preserve"> 3,441 </w:t>
            </w:r>
          </w:p>
        </w:tc>
        <w:tc>
          <w:tcPr>
            <w:tcW w:w="851" w:type="dxa"/>
            <w:noWrap/>
          </w:tcPr>
          <w:p w14:paraId="32C7CF98" w14:textId="47F21721" w:rsidR="00EE13B5" w:rsidRPr="00503F5B" w:rsidRDefault="00EE13B5" w:rsidP="00EE13B5">
            <w:pPr>
              <w:jc w:val="right"/>
              <w:rPr>
                <w:sz w:val="20"/>
                <w:szCs w:val="20"/>
                <w:lang w:val="en-AU"/>
              </w:rPr>
            </w:pPr>
            <w:r w:rsidRPr="00503F5B">
              <w:rPr>
                <w:sz w:val="20"/>
                <w:szCs w:val="20"/>
                <w:lang w:val="en-AU"/>
              </w:rPr>
              <w:t xml:space="preserve"> 3,116 </w:t>
            </w:r>
          </w:p>
        </w:tc>
        <w:tc>
          <w:tcPr>
            <w:tcW w:w="889" w:type="dxa"/>
          </w:tcPr>
          <w:p w14:paraId="3673C4EC" w14:textId="2D6E15BF" w:rsidR="00EE13B5" w:rsidRPr="00503F5B" w:rsidRDefault="00EE13B5" w:rsidP="00EE13B5">
            <w:pPr>
              <w:jc w:val="right"/>
              <w:rPr>
                <w:sz w:val="20"/>
                <w:szCs w:val="20"/>
                <w:lang w:val="en-AU"/>
              </w:rPr>
            </w:pPr>
            <w:r w:rsidRPr="00503F5B">
              <w:rPr>
                <w:sz w:val="20"/>
                <w:szCs w:val="20"/>
                <w:lang w:val="en-AU"/>
              </w:rPr>
              <w:t xml:space="preserve"> 3,150 </w:t>
            </w:r>
          </w:p>
        </w:tc>
        <w:tc>
          <w:tcPr>
            <w:tcW w:w="850" w:type="dxa"/>
          </w:tcPr>
          <w:p w14:paraId="12566F3F" w14:textId="7345022C" w:rsidR="00EE13B5" w:rsidRPr="00503F5B" w:rsidRDefault="00EE13B5" w:rsidP="00EE13B5">
            <w:pPr>
              <w:jc w:val="right"/>
              <w:rPr>
                <w:sz w:val="20"/>
                <w:szCs w:val="20"/>
                <w:lang w:val="en-AU"/>
              </w:rPr>
            </w:pPr>
            <w:r w:rsidRPr="00503F5B">
              <w:rPr>
                <w:sz w:val="20"/>
                <w:szCs w:val="20"/>
                <w:lang w:val="en-AU"/>
              </w:rPr>
              <w:t xml:space="preserve"> 3,101 </w:t>
            </w:r>
          </w:p>
        </w:tc>
        <w:tc>
          <w:tcPr>
            <w:tcW w:w="851" w:type="dxa"/>
          </w:tcPr>
          <w:p w14:paraId="18F691BD" w14:textId="39713E42" w:rsidR="00EE13B5" w:rsidRPr="00503F5B" w:rsidRDefault="00EE13B5" w:rsidP="00EE13B5">
            <w:pPr>
              <w:jc w:val="right"/>
              <w:rPr>
                <w:sz w:val="20"/>
                <w:szCs w:val="20"/>
                <w:lang w:val="en-AU"/>
              </w:rPr>
            </w:pPr>
            <w:r w:rsidRPr="00503F5B">
              <w:rPr>
                <w:sz w:val="20"/>
                <w:szCs w:val="20"/>
                <w:lang w:val="en-AU"/>
              </w:rPr>
              <w:t xml:space="preserve"> 3,150 </w:t>
            </w:r>
          </w:p>
        </w:tc>
        <w:tc>
          <w:tcPr>
            <w:tcW w:w="851" w:type="dxa"/>
          </w:tcPr>
          <w:p w14:paraId="4641CEEF" w14:textId="486E2F96" w:rsidR="00EE13B5" w:rsidRPr="00503F5B" w:rsidRDefault="00EE13B5" w:rsidP="00EE13B5">
            <w:pPr>
              <w:jc w:val="right"/>
              <w:rPr>
                <w:sz w:val="20"/>
                <w:szCs w:val="20"/>
                <w:lang w:val="en-AU"/>
              </w:rPr>
            </w:pPr>
            <w:r w:rsidRPr="00503F5B">
              <w:rPr>
                <w:sz w:val="20"/>
                <w:szCs w:val="20"/>
                <w:lang w:val="en-AU"/>
              </w:rPr>
              <w:t xml:space="preserve"> 2,924 </w:t>
            </w:r>
          </w:p>
        </w:tc>
        <w:tc>
          <w:tcPr>
            <w:tcW w:w="953" w:type="dxa"/>
          </w:tcPr>
          <w:p w14:paraId="65AC8768" w14:textId="46245D84" w:rsidR="00EE13B5" w:rsidRPr="00503F5B" w:rsidRDefault="00EE13B5" w:rsidP="00EE13B5">
            <w:pPr>
              <w:jc w:val="right"/>
              <w:rPr>
                <w:sz w:val="20"/>
                <w:szCs w:val="20"/>
                <w:lang w:val="en-AU"/>
              </w:rPr>
            </w:pPr>
            <w:r w:rsidRPr="00503F5B">
              <w:rPr>
                <w:sz w:val="20"/>
                <w:szCs w:val="20"/>
                <w:lang w:val="en-AU"/>
              </w:rPr>
              <w:t xml:space="preserve"> 3,137 </w:t>
            </w:r>
          </w:p>
        </w:tc>
      </w:tr>
      <w:tr w:rsidR="00EE13B5" w:rsidRPr="00503F5B" w14:paraId="3AC19439" w14:textId="77777777" w:rsidTr="00877396">
        <w:trPr>
          <w:trHeight w:val="59"/>
          <w:jc w:val="center"/>
        </w:trPr>
        <w:tc>
          <w:tcPr>
            <w:tcW w:w="1985" w:type="dxa"/>
            <w:noWrap/>
            <w:hideMark/>
          </w:tcPr>
          <w:p w14:paraId="1ADA4E83" w14:textId="77777777" w:rsidR="00EE13B5" w:rsidRPr="00503F5B" w:rsidRDefault="00EE13B5" w:rsidP="00EE13B5">
            <w:pPr>
              <w:rPr>
                <w:sz w:val="20"/>
                <w:szCs w:val="20"/>
                <w:lang w:val="en-AU"/>
              </w:rPr>
            </w:pPr>
            <w:r w:rsidRPr="00503F5B">
              <w:rPr>
                <w:sz w:val="20"/>
                <w:szCs w:val="20"/>
                <w:lang w:val="en-AU"/>
              </w:rPr>
              <w:t>Service Calls</w:t>
            </w:r>
          </w:p>
        </w:tc>
        <w:tc>
          <w:tcPr>
            <w:tcW w:w="850" w:type="dxa"/>
            <w:noWrap/>
          </w:tcPr>
          <w:p w14:paraId="4402C12B" w14:textId="7C246A7D" w:rsidR="00EE13B5" w:rsidRPr="00503F5B" w:rsidRDefault="00EE13B5" w:rsidP="00EE13B5">
            <w:pPr>
              <w:jc w:val="right"/>
              <w:rPr>
                <w:sz w:val="20"/>
                <w:szCs w:val="20"/>
                <w:lang w:val="en-AU"/>
              </w:rPr>
            </w:pPr>
            <w:r w:rsidRPr="00503F5B">
              <w:rPr>
                <w:sz w:val="20"/>
                <w:szCs w:val="20"/>
                <w:lang w:val="en-AU"/>
              </w:rPr>
              <w:t xml:space="preserve"> 1,460 </w:t>
            </w:r>
          </w:p>
        </w:tc>
        <w:tc>
          <w:tcPr>
            <w:tcW w:w="851" w:type="dxa"/>
            <w:noWrap/>
          </w:tcPr>
          <w:p w14:paraId="38B976B2" w14:textId="1C163FF0" w:rsidR="00EE13B5" w:rsidRPr="00503F5B" w:rsidRDefault="00EE13B5" w:rsidP="00EE13B5">
            <w:pPr>
              <w:jc w:val="right"/>
              <w:rPr>
                <w:sz w:val="20"/>
                <w:szCs w:val="20"/>
                <w:lang w:val="en-AU"/>
              </w:rPr>
            </w:pPr>
            <w:r w:rsidRPr="00503F5B">
              <w:rPr>
                <w:sz w:val="20"/>
                <w:szCs w:val="20"/>
                <w:lang w:val="en-AU"/>
              </w:rPr>
              <w:t xml:space="preserve"> 1,497 </w:t>
            </w:r>
          </w:p>
        </w:tc>
        <w:tc>
          <w:tcPr>
            <w:tcW w:w="850" w:type="dxa"/>
            <w:noWrap/>
          </w:tcPr>
          <w:p w14:paraId="3E0B6FF8" w14:textId="1C9F9DDA" w:rsidR="00EE13B5" w:rsidRPr="00503F5B" w:rsidRDefault="00EE13B5" w:rsidP="00EE13B5">
            <w:pPr>
              <w:jc w:val="right"/>
              <w:rPr>
                <w:sz w:val="20"/>
                <w:szCs w:val="20"/>
                <w:lang w:val="en-AU"/>
              </w:rPr>
            </w:pPr>
            <w:r w:rsidRPr="00503F5B">
              <w:rPr>
                <w:sz w:val="20"/>
                <w:szCs w:val="20"/>
                <w:lang w:val="en-AU"/>
              </w:rPr>
              <w:t xml:space="preserve"> 1,842 </w:t>
            </w:r>
          </w:p>
        </w:tc>
        <w:tc>
          <w:tcPr>
            <w:tcW w:w="851" w:type="dxa"/>
            <w:noWrap/>
          </w:tcPr>
          <w:p w14:paraId="57D346BF" w14:textId="3277687F" w:rsidR="00EE13B5" w:rsidRPr="00503F5B" w:rsidRDefault="00EE13B5" w:rsidP="00EE13B5">
            <w:pPr>
              <w:jc w:val="right"/>
              <w:rPr>
                <w:sz w:val="20"/>
                <w:szCs w:val="20"/>
                <w:lang w:val="en-AU"/>
              </w:rPr>
            </w:pPr>
            <w:r w:rsidRPr="00503F5B">
              <w:rPr>
                <w:sz w:val="20"/>
                <w:szCs w:val="20"/>
                <w:lang w:val="en-AU"/>
              </w:rPr>
              <w:t xml:space="preserve"> 1,948 </w:t>
            </w:r>
          </w:p>
        </w:tc>
        <w:tc>
          <w:tcPr>
            <w:tcW w:w="889" w:type="dxa"/>
          </w:tcPr>
          <w:p w14:paraId="5F4DFC6E" w14:textId="29F0A1BC" w:rsidR="00EE13B5" w:rsidRPr="00503F5B" w:rsidRDefault="00EE13B5" w:rsidP="00EE13B5">
            <w:pPr>
              <w:jc w:val="right"/>
              <w:rPr>
                <w:sz w:val="20"/>
                <w:szCs w:val="20"/>
                <w:lang w:val="en-AU"/>
              </w:rPr>
            </w:pPr>
            <w:r w:rsidRPr="00503F5B">
              <w:rPr>
                <w:sz w:val="20"/>
                <w:szCs w:val="20"/>
                <w:lang w:val="en-AU"/>
              </w:rPr>
              <w:t xml:space="preserve"> 2,013 </w:t>
            </w:r>
          </w:p>
        </w:tc>
        <w:tc>
          <w:tcPr>
            <w:tcW w:w="850" w:type="dxa"/>
          </w:tcPr>
          <w:p w14:paraId="4DD9E924" w14:textId="0F797BB9" w:rsidR="00EE13B5" w:rsidRPr="00503F5B" w:rsidRDefault="00EE13B5" w:rsidP="00EE13B5">
            <w:pPr>
              <w:jc w:val="right"/>
              <w:rPr>
                <w:sz w:val="20"/>
                <w:szCs w:val="20"/>
                <w:lang w:val="en-AU"/>
              </w:rPr>
            </w:pPr>
            <w:r w:rsidRPr="00503F5B">
              <w:rPr>
                <w:sz w:val="20"/>
                <w:szCs w:val="20"/>
                <w:lang w:val="en-AU"/>
              </w:rPr>
              <w:t xml:space="preserve"> 2,022 </w:t>
            </w:r>
          </w:p>
        </w:tc>
        <w:tc>
          <w:tcPr>
            <w:tcW w:w="851" w:type="dxa"/>
          </w:tcPr>
          <w:p w14:paraId="3BD1FA79" w14:textId="428C1431" w:rsidR="00EE13B5" w:rsidRPr="00503F5B" w:rsidRDefault="00EE13B5" w:rsidP="00EE13B5">
            <w:pPr>
              <w:jc w:val="right"/>
              <w:rPr>
                <w:sz w:val="20"/>
                <w:szCs w:val="20"/>
                <w:lang w:val="en-AU"/>
              </w:rPr>
            </w:pPr>
            <w:r w:rsidRPr="00503F5B">
              <w:rPr>
                <w:sz w:val="20"/>
                <w:szCs w:val="20"/>
                <w:lang w:val="en-AU"/>
              </w:rPr>
              <w:t xml:space="preserve"> 2,132 </w:t>
            </w:r>
          </w:p>
        </w:tc>
        <w:tc>
          <w:tcPr>
            <w:tcW w:w="851" w:type="dxa"/>
          </w:tcPr>
          <w:p w14:paraId="0182B91F" w14:textId="12EF672F" w:rsidR="00EE13B5" w:rsidRPr="00503F5B" w:rsidRDefault="00EE13B5" w:rsidP="00EE13B5">
            <w:pPr>
              <w:jc w:val="right"/>
              <w:rPr>
                <w:sz w:val="20"/>
                <w:szCs w:val="20"/>
                <w:lang w:val="en-AU"/>
              </w:rPr>
            </w:pPr>
            <w:r w:rsidRPr="00503F5B">
              <w:rPr>
                <w:sz w:val="20"/>
                <w:szCs w:val="20"/>
                <w:lang w:val="en-AU"/>
              </w:rPr>
              <w:t xml:space="preserve"> 2,432 </w:t>
            </w:r>
          </w:p>
        </w:tc>
        <w:tc>
          <w:tcPr>
            <w:tcW w:w="953" w:type="dxa"/>
          </w:tcPr>
          <w:p w14:paraId="0F04807A" w14:textId="05561F37" w:rsidR="00EE13B5" w:rsidRPr="00503F5B" w:rsidRDefault="00EE13B5" w:rsidP="00EE13B5">
            <w:pPr>
              <w:jc w:val="right"/>
              <w:rPr>
                <w:sz w:val="20"/>
                <w:szCs w:val="20"/>
                <w:lang w:val="en-AU"/>
              </w:rPr>
            </w:pPr>
            <w:r w:rsidRPr="00503F5B">
              <w:rPr>
                <w:sz w:val="20"/>
                <w:szCs w:val="20"/>
                <w:lang w:val="en-AU"/>
              </w:rPr>
              <w:t xml:space="preserve"> 1,918 </w:t>
            </w:r>
          </w:p>
        </w:tc>
      </w:tr>
      <w:tr w:rsidR="00EE13B5" w:rsidRPr="00503F5B" w14:paraId="0F402179" w14:textId="77777777" w:rsidTr="00877396">
        <w:trPr>
          <w:trHeight w:val="59"/>
          <w:jc w:val="center"/>
        </w:trPr>
        <w:tc>
          <w:tcPr>
            <w:tcW w:w="1985" w:type="dxa"/>
            <w:noWrap/>
            <w:hideMark/>
          </w:tcPr>
          <w:p w14:paraId="2F603420" w14:textId="77777777" w:rsidR="00EE13B5" w:rsidRPr="00503F5B" w:rsidRDefault="00EE13B5" w:rsidP="00EE13B5">
            <w:pPr>
              <w:rPr>
                <w:sz w:val="20"/>
                <w:szCs w:val="20"/>
                <w:lang w:val="en-AU"/>
              </w:rPr>
            </w:pPr>
            <w:r w:rsidRPr="00503F5B">
              <w:rPr>
                <w:sz w:val="20"/>
                <w:szCs w:val="20"/>
                <w:lang w:val="en-AU"/>
              </w:rPr>
              <w:t>Good Intent</w:t>
            </w:r>
          </w:p>
        </w:tc>
        <w:tc>
          <w:tcPr>
            <w:tcW w:w="850" w:type="dxa"/>
            <w:noWrap/>
          </w:tcPr>
          <w:p w14:paraId="18BC7084" w14:textId="53F829BE" w:rsidR="00EE13B5" w:rsidRPr="00503F5B" w:rsidRDefault="00EE13B5" w:rsidP="00EE13B5">
            <w:pPr>
              <w:jc w:val="right"/>
              <w:rPr>
                <w:sz w:val="20"/>
                <w:szCs w:val="20"/>
                <w:lang w:val="en-AU"/>
              </w:rPr>
            </w:pPr>
            <w:r w:rsidRPr="00503F5B">
              <w:rPr>
                <w:sz w:val="20"/>
                <w:szCs w:val="20"/>
                <w:lang w:val="en-AU"/>
              </w:rPr>
              <w:t xml:space="preserve"> 8,647 </w:t>
            </w:r>
          </w:p>
        </w:tc>
        <w:tc>
          <w:tcPr>
            <w:tcW w:w="851" w:type="dxa"/>
            <w:noWrap/>
          </w:tcPr>
          <w:p w14:paraId="103536F9" w14:textId="726630AB" w:rsidR="00EE13B5" w:rsidRPr="00503F5B" w:rsidRDefault="00EE13B5" w:rsidP="00EE13B5">
            <w:pPr>
              <w:jc w:val="right"/>
              <w:rPr>
                <w:sz w:val="20"/>
                <w:szCs w:val="20"/>
                <w:lang w:val="en-AU"/>
              </w:rPr>
            </w:pPr>
            <w:r w:rsidRPr="00503F5B">
              <w:rPr>
                <w:sz w:val="20"/>
                <w:szCs w:val="20"/>
                <w:lang w:val="en-AU"/>
              </w:rPr>
              <w:t xml:space="preserve"> 8,526 </w:t>
            </w:r>
          </w:p>
        </w:tc>
        <w:tc>
          <w:tcPr>
            <w:tcW w:w="850" w:type="dxa"/>
            <w:noWrap/>
          </w:tcPr>
          <w:p w14:paraId="648A98B7" w14:textId="5565F75F" w:rsidR="00EE13B5" w:rsidRPr="00503F5B" w:rsidRDefault="00EE13B5" w:rsidP="00EE13B5">
            <w:pPr>
              <w:jc w:val="right"/>
              <w:rPr>
                <w:sz w:val="20"/>
                <w:szCs w:val="20"/>
                <w:lang w:val="en-AU"/>
              </w:rPr>
            </w:pPr>
            <w:r w:rsidRPr="00503F5B">
              <w:rPr>
                <w:sz w:val="20"/>
                <w:szCs w:val="20"/>
                <w:lang w:val="en-AU"/>
              </w:rPr>
              <w:t xml:space="preserve"> 8,163 </w:t>
            </w:r>
          </w:p>
        </w:tc>
        <w:tc>
          <w:tcPr>
            <w:tcW w:w="851" w:type="dxa"/>
            <w:noWrap/>
          </w:tcPr>
          <w:p w14:paraId="34118F67" w14:textId="43CFDD0A" w:rsidR="00EE13B5" w:rsidRPr="00503F5B" w:rsidRDefault="00EE13B5" w:rsidP="00EE13B5">
            <w:pPr>
              <w:jc w:val="right"/>
              <w:rPr>
                <w:sz w:val="20"/>
                <w:szCs w:val="20"/>
                <w:lang w:val="en-AU"/>
              </w:rPr>
            </w:pPr>
            <w:r w:rsidRPr="00503F5B">
              <w:rPr>
                <w:sz w:val="20"/>
                <w:szCs w:val="20"/>
                <w:lang w:val="en-AU"/>
              </w:rPr>
              <w:t xml:space="preserve"> 8,341 </w:t>
            </w:r>
          </w:p>
        </w:tc>
        <w:tc>
          <w:tcPr>
            <w:tcW w:w="889" w:type="dxa"/>
          </w:tcPr>
          <w:p w14:paraId="20B743FA" w14:textId="185FA732" w:rsidR="00EE13B5" w:rsidRPr="00503F5B" w:rsidRDefault="00EE13B5" w:rsidP="00EE13B5">
            <w:pPr>
              <w:jc w:val="right"/>
              <w:rPr>
                <w:sz w:val="20"/>
                <w:szCs w:val="20"/>
                <w:lang w:val="en-AU"/>
              </w:rPr>
            </w:pPr>
            <w:r w:rsidRPr="00503F5B">
              <w:rPr>
                <w:sz w:val="20"/>
                <w:szCs w:val="20"/>
                <w:lang w:val="en-AU"/>
              </w:rPr>
              <w:t xml:space="preserve"> 9,698 </w:t>
            </w:r>
          </w:p>
        </w:tc>
        <w:tc>
          <w:tcPr>
            <w:tcW w:w="850" w:type="dxa"/>
          </w:tcPr>
          <w:p w14:paraId="31B79454" w14:textId="289DE57C" w:rsidR="00EE13B5" w:rsidRPr="00503F5B" w:rsidRDefault="00EE13B5" w:rsidP="00EE13B5">
            <w:pPr>
              <w:jc w:val="right"/>
              <w:rPr>
                <w:sz w:val="20"/>
                <w:szCs w:val="20"/>
                <w:lang w:val="en-AU"/>
              </w:rPr>
            </w:pPr>
            <w:r w:rsidRPr="00503F5B">
              <w:rPr>
                <w:sz w:val="20"/>
                <w:szCs w:val="20"/>
                <w:lang w:val="en-AU"/>
              </w:rPr>
              <w:t xml:space="preserve"> 10,450 </w:t>
            </w:r>
          </w:p>
        </w:tc>
        <w:tc>
          <w:tcPr>
            <w:tcW w:w="851" w:type="dxa"/>
          </w:tcPr>
          <w:p w14:paraId="6AC2316E" w14:textId="4C7981FD" w:rsidR="00EE13B5" w:rsidRPr="00503F5B" w:rsidRDefault="00EE13B5" w:rsidP="00EE13B5">
            <w:pPr>
              <w:jc w:val="right"/>
              <w:rPr>
                <w:sz w:val="20"/>
                <w:szCs w:val="20"/>
                <w:lang w:val="en-AU"/>
              </w:rPr>
            </w:pPr>
            <w:r w:rsidRPr="00503F5B">
              <w:rPr>
                <w:sz w:val="20"/>
                <w:szCs w:val="20"/>
                <w:lang w:val="en-AU"/>
              </w:rPr>
              <w:t xml:space="preserve"> 8,451 </w:t>
            </w:r>
          </w:p>
        </w:tc>
        <w:tc>
          <w:tcPr>
            <w:tcW w:w="851" w:type="dxa"/>
          </w:tcPr>
          <w:p w14:paraId="36EF3DC6" w14:textId="6C7CACBC" w:rsidR="00EE13B5" w:rsidRPr="00503F5B" w:rsidRDefault="00EE13B5" w:rsidP="00EE13B5">
            <w:pPr>
              <w:jc w:val="right"/>
              <w:rPr>
                <w:sz w:val="20"/>
                <w:szCs w:val="20"/>
                <w:lang w:val="en-AU"/>
              </w:rPr>
            </w:pPr>
            <w:r w:rsidRPr="00503F5B">
              <w:rPr>
                <w:sz w:val="20"/>
                <w:szCs w:val="20"/>
                <w:lang w:val="en-AU"/>
              </w:rPr>
              <w:t xml:space="preserve"> 9,237 </w:t>
            </w:r>
          </w:p>
        </w:tc>
        <w:tc>
          <w:tcPr>
            <w:tcW w:w="953" w:type="dxa"/>
          </w:tcPr>
          <w:p w14:paraId="1321B597" w14:textId="05FBA2BC" w:rsidR="00EE13B5" w:rsidRPr="00503F5B" w:rsidRDefault="00EE13B5" w:rsidP="00EE13B5">
            <w:pPr>
              <w:jc w:val="right"/>
              <w:rPr>
                <w:sz w:val="20"/>
                <w:szCs w:val="20"/>
                <w:lang w:val="en-AU"/>
              </w:rPr>
            </w:pPr>
            <w:r w:rsidRPr="00503F5B">
              <w:rPr>
                <w:sz w:val="20"/>
                <w:szCs w:val="20"/>
                <w:lang w:val="en-AU"/>
              </w:rPr>
              <w:t xml:space="preserve"> 8,939 </w:t>
            </w:r>
          </w:p>
        </w:tc>
      </w:tr>
      <w:tr w:rsidR="00EE13B5" w:rsidRPr="00503F5B" w14:paraId="080E0E41" w14:textId="77777777" w:rsidTr="00877396">
        <w:trPr>
          <w:trHeight w:val="59"/>
          <w:jc w:val="center"/>
        </w:trPr>
        <w:tc>
          <w:tcPr>
            <w:tcW w:w="1985" w:type="dxa"/>
            <w:noWrap/>
            <w:hideMark/>
          </w:tcPr>
          <w:p w14:paraId="2A50DA9A" w14:textId="77777777" w:rsidR="00EE13B5" w:rsidRPr="00503F5B" w:rsidRDefault="00EE13B5" w:rsidP="00EE13B5">
            <w:pPr>
              <w:rPr>
                <w:sz w:val="20"/>
                <w:szCs w:val="20"/>
                <w:lang w:val="en-AU"/>
              </w:rPr>
            </w:pPr>
            <w:r w:rsidRPr="00503F5B">
              <w:rPr>
                <w:sz w:val="20"/>
                <w:szCs w:val="20"/>
                <w:lang w:val="en-AU"/>
              </w:rPr>
              <w:t>Malicious</w:t>
            </w:r>
          </w:p>
        </w:tc>
        <w:tc>
          <w:tcPr>
            <w:tcW w:w="850" w:type="dxa"/>
            <w:noWrap/>
          </w:tcPr>
          <w:p w14:paraId="7ADF0FE5" w14:textId="219EB248" w:rsidR="00EE13B5" w:rsidRPr="00503F5B" w:rsidRDefault="00EE13B5" w:rsidP="00EE13B5">
            <w:pPr>
              <w:jc w:val="right"/>
              <w:rPr>
                <w:sz w:val="20"/>
                <w:szCs w:val="20"/>
                <w:lang w:val="en-AU"/>
              </w:rPr>
            </w:pPr>
            <w:r w:rsidRPr="00503F5B">
              <w:rPr>
                <w:sz w:val="20"/>
                <w:szCs w:val="20"/>
                <w:lang w:val="en-AU"/>
              </w:rPr>
              <w:t xml:space="preserve"> 1,797 </w:t>
            </w:r>
          </w:p>
        </w:tc>
        <w:tc>
          <w:tcPr>
            <w:tcW w:w="851" w:type="dxa"/>
            <w:noWrap/>
          </w:tcPr>
          <w:p w14:paraId="5A71CF1B" w14:textId="602A3F88" w:rsidR="00EE13B5" w:rsidRPr="00503F5B" w:rsidRDefault="00EE13B5" w:rsidP="00EE13B5">
            <w:pPr>
              <w:jc w:val="right"/>
              <w:rPr>
                <w:sz w:val="20"/>
                <w:szCs w:val="20"/>
                <w:lang w:val="en-AU"/>
              </w:rPr>
            </w:pPr>
            <w:r w:rsidRPr="00503F5B">
              <w:rPr>
                <w:sz w:val="20"/>
                <w:szCs w:val="20"/>
                <w:lang w:val="en-AU"/>
              </w:rPr>
              <w:t xml:space="preserve"> 1,668 </w:t>
            </w:r>
          </w:p>
        </w:tc>
        <w:tc>
          <w:tcPr>
            <w:tcW w:w="850" w:type="dxa"/>
            <w:noWrap/>
          </w:tcPr>
          <w:p w14:paraId="5B233605" w14:textId="4FD43A45" w:rsidR="00EE13B5" w:rsidRPr="00503F5B" w:rsidRDefault="00EE13B5" w:rsidP="00EE13B5">
            <w:pPr>
              <w:jc w:val="right"/>
              <w:rPr>
                <w:sz w:val="20"/>
                <w:szCs w:val="20"/>
                <w:lang w:val="en-AU"/>
              </w:rPr>
            </w:pPr>
            <w:r w:rsidRPr="00503F5B">
              <w:rPr>
                <w:sz w:val="20"/>
                <w:szCs w:val="20"/>
                <w:lang w:val="en-AU"/>
              </w:rPr>
              <w:t xml:space="preserve"> 1,437 </w:t>
            </w:r>
          </w:p>
        </w:tc>
        <w:tc>
          <w:tcPr>
            <w:tcW w:w="851" w:type="dxa"/>
            <w:noWrap/>
          </w:tcPr>
          <w:p w14:paraId="70DC3747" w14:textId="1BCC3831" w:rsidR="00EE13B5" w:rsidRPr="00503F5B" w:rsidRDefault="00EE13B5" w:rsidP="00EE13B5">
            <w:pPr>
              <w:jc w:val="right"/>
              <w:rPr>
                <w:sz w:val="20"/>
                <w:szCs w:val="20"/>
                <w:lang w:val="en-AU"/>
              </w:rPr>
            </w:pPr>
            <w:r w:rsidRPr="00503F5B">
              <w:rPr>
                <w:sz w:val="20"/>
                <w:szCs w:val="20"/>
                <w:lang w:val="en-AU"/>
              </w:rPr>
              <w:t xml:space="preserve"> 1,371 </w:t>
            </w:r>
          </w:p>
        </w:tc>
        <w:tc>
          <w:tcPr>
            <w:tcW w:w="889" w:type="dxa"/>
          </w:tcPr>
          <w:p w14:paraId="4B419A59" w14:textId="04948273" w:rsidR="00EE13B5" w:rsidRPr="00503F5B" w:rsidRDefault="00EE13B5" w:rsidP="00EE13B5">
            <w:pPr>
              <w:jc w:val="right"/>
              <w:rPr>
                <w:sz w:val="20"/>
                <w:szCs w:val="20"/>
                <w:lang w:val="en-AU"/>
              </w:rPr>
            </w:pPr>
            <w:r w:rsidRPr="00503F5B">
              <w:rPr>
                <w:sz w:val="20"/>
                <w:szCs w:val="20"/>
                <w:lang w:val="en-AU"/>
              </w:rPr>
              <w:t xml:space="preserve"> 1,639 </w:t>
            </w:r>
          </w:p>
        </w:tc>
        <w:tc>
          <w:tcPr>
            <w:tcW w:w="850" w:type="dxa"/>
          </w:tcPr>
          <w:p w14:paraId="2ECB3667" w14:textId="505D36AA" w:rsidR="00EE13B5" w:rsidRPr="00503F5B" w:rsidRDefault="00EE13B5" w:rsidP="00EE13B5">
            <w:pPr>
              <w:jc w:val="right"/>
              <w:rPr>
                <w:sz w:val="20"/>
                <w:szCs w:val="20"/>
                <w:lang w:val="en-AU"/>
              </w:rPr>
            </w:pPr>
            <w:r w:rsidRPr="00503F5B">
              <w:rPr>
                <w:sz w:val="20"/>
                <w:szCs w:val="20"/>
                <w:lang w:val="en-AU"/>
              </w:rPr>
              <w:t xml:space="preserve"> 1,778 </w:t>
            </w:r>
          </w:p>
        </w:tc>
        <w:tc>
          <w:tcPr>
            <w:tcW w:w="851" w:type="dxa"/>
          </w:tcPr>
          <w:p w14:paraId="44F2E0BD" w14:textId="2306FD23" w:rsidR="00EE13B5" w:rsidRPr="00503F5B" w:rsidRDefault="00EE13B5" w:rsidP="00EE13B5">
            <w:pPr>
              <w:jc w:val="right"/>
              <w:rPr>
                <w:sz w:val="20"/>
                <w:szCs w:val="20"/>
                <w:lang w:val="en-AU"/>
              </w:rPr>
            </w:pPr>
            <w:r w:rsidRPr="00503F5B">
              <w:rPr>
                <w:sz w:val="20"/>
                <w:szCs w:val="20"/>
                <w:lang w:val="en-AU"/>
              </w:rPr>
              <w:t xml:space="preserve"> 1,370 </w:t>
            </w:r>
          </w:p>
        </w:tc>
        <w:tc>
          <w:tcPr>
            <w:tcW w:w="851" w:type="dxa"/>
          </w:tcPr>
          <w:p w14:paraId="34A48BE7" w14:textId="5E29F856" w:rsidR="00EE13B5" w:rsidRPr="00503F5B" w:rsidRDefault="00EE13B5" w:rsidP="00EE13B5">
            <w:pPr>
              <w:jc w:val="right"/>
              <w:rPr>
                <w:sz w:val="20"/>
                <w:szCs w:val="20"/>
                <w:lang w:val="en-AU"/>
              </w:rPr>
            </w:pPr>
            <w:r w:rsidRPr="00503F5B">
              <w:rPr>
                <w:sz w:val="20"/>
                <w:szCs w:val="20"/>
                <w:lang w:val="en-AU"/>
              </w:rPr>
              <w:t xml:space="preserve"> 1,240 </w:t>
            </w:r>
          </w:p>
        </w:tc>
        <w:tc>
          <w:tcPr>
            <w:tcW w:w="953" w:type="dxa"/>
          </w:tcPr>
          <w:p w14:paraId="2797DD35" w14:textId="0B28E62B" w:rsidR="00EE13B5" w:rsidRPr="00503F5B" w:rsidRDefault="00EE13B5" w:rsidP="00EE13B5">
            <w:pPr>
              <w:jc w:val="right"/>
              <w:rPr>
                <w:sz w:val="20"/>
                <w:szCs w:val="20"/>
                <w:lang w:val="en-AU"/>
              </w:rPr>
            </w:pPr>
            <w:r w:rsidRPr="00503F5B">
              <w:rPr>
                <w:sz w:val="20"/>
                <w:szCs w:val="20"/>
                <w:lang w:val="en-AU"/>
              </w:rPr>
              <w:t xml:space="preserve"> 1,537 </w:t>
            </w:r>
          </w:p>
        </w:tc>
      </w:tr>
      <w:tr w:rsidR="00EE13B5" w:rsidRPr="00503F5B" w14:paraId="17865C7B" w14:textId="77777777" w:rsidTr="00877396">
        <w:trPr>
          <w:trHeight w:val="59"/>
          <w:jc w:val="center"/>
        </w:trPr>
        <w:tc>
          <w:tcPr>
            <w:tcW w:w="1985" w:type="dxa"/>
            <w:noWrap/>
            <w:hideMark/>
          </w:tcPr>
          <w:p w14:paraId="1E45787B" w14:textId="77777777" w:rsidR="00EE13B5" w:rsidRPr="00503F5B" w:rsidRDefault="00EE13B5" w:rsidP="00EE13B5">
            <w:pPr>
              <w:rPr>
                <w:sz w:val="20"/>
                <w:szCs w:val="20"/>
                <w:lang w:val="en-AU"/>
              </w:rPr>
            </w:pPr>
            <w:r w:rsidRPr="00503F5B">
              <w:rPr>
                <w:sz w:val="20"/>
                <w:szCs w:val="20"/>
                <w:lang w:val="en-AU"/>
              </w:rPr>
              <w:t>False Alarms</w:t>
            </w:r>
          </w:p>
        </w:tc>
        <w:tc>
          <w:tcPr>
            <w:tcW w:w="850" w:type="dxa"/>
            <w:noWrap/>
          </w:tcPr>
          <w:p w14:paraId="6A2BC83E" w14:textId="3B12BAD1" w:rsidR="00EE13B5" w:rsidRPr="00503F5B" w:rsidRDefault="00EE13B5" w:rsidP="00EE13B5">
            <w:pPr>
              <w:jc w:val="right"/>
              <w:rPr>
                <w:sz w:val="20"/>
                <w:szCs w:val="20"/>
                <w:lang w:val="en-AU"/>
              </w:rPr>
            </w:pPr>
            <w:r w:rsidRPr="00503F5B">
              <w:rPr>
                <w:sz w:val="20"/>
                <w:szCs w:val="20"/>
                <w:lang w:val="en-AU"/>
              </w:rPr>
              <w:t xml:space="preserve"> 19,917 </w:t>
            </w:r>
          </w:p>
        </w:tc>
        <w:tc>
          <w:tcPr>
            <w:tcW w:w="851" w:type="dxa"/>
            <w:noWrap/>
          </w:tcPr>
          <w:p w14:paraId="2CADF041" w14:textId="5895AA6F" w:rsidR="00EE13B5" w:rsidRPr="00503F5B" w:rsidRDefault="00EE13B5" w:rsidP="00EE13B5">
            <w:pPr>
              <w:jc w:val="right"/>
              <w:rPr>
                <w:sz w:val="20"/>
                <w:szCs w:val="20"/>
                <w:lang w:val="en-AU"/>
              </w:rPr>
            </w:pPr>
            <w:r w:rsidRPr="00503F5B">
              <w:rPr>
                <w:sz w:val="20"/>
                <w:szCs w:val="20"/>
                <w:lang w:val="en-AU"/>
              </w:rPr>
              <w:t xml:space="preserve"> 19,828 </w:t>
            </w:r>
          </w:p>
        </w:tc>
        <w:tc>
          <w:tcPr>
            <w:tcW w:w="850" w:type="dxa"/>
            <w:noWrap/>
          </w:tcPr>
          <w:p w14:paraId="27E6BF83" w14:textId="00B83B3F" w:rsidR="00EE13B5" w:rsidRPr="00503F5B" w:rsidRDefault="00EE13B5" w:rsidP="00EE13B5">
            <w:pPr>
              <w:jc w:val="right"/>
              <w:rPr>
                <w:sz w:val="20"/>
                <w:szCs w:val="20"/>
                <w:lang w:val="en-AU"/>
              </w:rPr>
            </w:pPr>
            <w:r w:rsidRPr="00503F5B">
              <w:rPr>
                <w:sz w:val="20"/>
                <w:szCs w:val="20"/>
                <w:lang w:val="en-AU"/>
              </w:rPr>
              <w:t xml:space="preserve"> 20,870 </w:t>
            </w:r>
          </w:p>
        </w:tc>
        <w:tc>
          <w:tcPr>
            <w:tcW w:w="851" w:type="dxa"/>
            <w:noWrap/>
          </w:tcPr>
          <w:p w14:paraId="5A4DCC85" w14:textId="36C587F9" w:rsidR="00EE13B5" w:rsidRPr="00503F5B" w:rsidRDefault="00EE13B5" w:rsidP="00EE13B5">
            <w:pPr>
              <w:jc w:val="right"/>
              <w:rPr>
                <w:sz w:val="20"/>
                <w:szCs w:val="20"/>
                <w:lang w:val="en-AU"/>
              </w:rPr>
            </w:pPr>
            <w:r w:rsidRPr="00503F5B">
              <w:rPr>
                <w:sz w:val="20"/>
                <w:szCs w:val="20"/>
                <w:lang w:val="en-AU"/>
              </w:rPr>
              <w:t xml:space="preserve"> 21,362 </w:t>
            </w:r>
          </w:p>
        </w:tc>
        <w:tc>
          <w:tcPr>
            <w:tcW w:w="889" w:type="dxa"/>
          </w:tcPr>
          <w:p w14:paraId="75ABF28A" w14:textId="52FE3C1D" w:rsidR="00EE13B5" w:rsidRPr="00503F5B" w:rsidRDefault="00EE13B5" w:rsidP="00EE13B5">
            <w:pPr>
              <w:jc w:val="right"/>
              <w:rPr>
                <w:sz w:val="20"/>
                <w:szCs w:val="20"/>
                <w:lang w:val="en-AU"/>
              </w:rPr>
            </w:pPr>
            <w:r w:rsidRPr="00503F5B">
              <w:rPr>
                <w:sz w:val="20"/>
                <w:szCs w:val="20"/>
                <w:lang w:val="en-AU"/>
              </w:rPr>
              <w:t xml:space="preserve"> 21,530 </w:t>
            </w:r>
          </w:p>
        </w:tc>
        <w:tc>
          <w:tcPr>
            <w:tcW w:w="850" w:type="dxa"/>
          </w:tcPr>
          <w:p w14:paraId="60848B5F" w14:textId="7E5515F9" w:rsidR="00EE13B5" w:rsidRPr="00503F5B" w:rsidRDefault="00EE13B5" w:rsidP="00EE13B5">
            <w:pPr>
              <w:jc w:val="right"/>
              <w:rPr>
                <w:sz w:val="20"/>
                <w:szCs w:val="20"/>
                <w:lang w:val="en-AU"/>
              </w:rPr>
            </w:pPr>
            <w:r w:rsidRPr="00503F5B">
              <w:rPr>
                <w:sz w:val="20"/>
                <w:szCs w:val="20"/>
                <w:lang w:val="en-AU"/>
              </w:rPr>
              <w:t xml:space="preserve"> 24,005 </w:t>
            </w:r>
          </w:p>
        </w:tc>
        <w:tc>
          <w:tcPr>
            <w:tcW w:w="851" w:type="dxa"/>
          </w:tcPr>
          <w:p w14:paraId="57E3A370" w14:textId="2138F1D0" w:rsidR="00EE13B5" w:rsidRPr="00503F5B" w:rsidRDefault="00EE13B5" w:rsidP="00EE13B5">
            <w:pPr>
              <w:jc w:val="right"/>
              <w:rPr>
                <w:sz w:val="20"/>
                <w:szCs w:val="20"/>
                <w:lang w:val="en-AU"/>
              </w:rPr>
            </w:pPr>
            <w:r w:rsidRPr="00503F5B">
              <w:rPr>
                <w:sz w:val="20"/>
                <w:szCs w:val="20"/>
                <w:lang w:val="en-AU"/>
              </w:rPr>
              <w:t xml:space="preserve"> 26,561 </w:t>
            </w:r>
          </w:p>
        </w:tc>
        <w:tc>
          <w:tcPr>
            <w:tcW w:w="851" w:type="dxa"/>
          </w:tcPr>
          <w:p w14:paraId="5301D70E" w14:textId="20A171E3" w:rsidR="00EE13B5" w:rsidRPr="00503F5B" w:rsidRDefault="00EE13B5" w:rsidP="00EE13B5">
            <w:pPr>
              <w:jc w:val="right"/>
              <w:rPr>
                <w:sz w:val="20"/>
                <w:szCs w:val="20"/>
                <w:lang w:val="en-AU"/>
              </w:rPr>
            </w:pPr>
            <w:r w:rsidRPr="00503F5B">
              <w:rPr>
                <w:sz w:val="20"/>
                <w:szCs w:val="20"/>
                <w:lang w:val="en-AU"/>
              </w:rPr>
              <w:t xml:space="preserve"> 23,740 </w:t>
            </w:r>
          </w:p>
        </w:tc>
        <w:tc>
          <w:tcPr>
            <w:tcW w:w="953" w:type="dxa"/>
          </w:tcPr>
          <w:p w14:paraId="08A405FC" w14:textId="6C9AC337" w:rsidR="00EE13B5" w:rsidRPr="00503F5B" w:rsidRDefault="00EE13B5" w:rsidP="00EE13B5">
            <w:pPr>
              <w:jc w:val="right"/>
              <w:rPr>
                <w:sz w:val="20"/>
                <w:szCs w:val="20"/>
                <w:lang w:val="en-AU"/>
              </w:rPr>
            </w:pPr>
            <w:r w:rsidRPr="00503F5B">
              <w:rPr>
                <w:sz w:val="20"/>
                <w:szCs w:val="20"/>
                <w:lang w:val="en-AU"/>
              </w:rPr>
              <w:t xml:space="preserve"> 22,227 </w:t>
            </w:r>
          </w:p>
        </w:tc>
      </w:tr>
      <w:tr w:rsidR="00EE13B5" w:rsidRPr="00503F5B" w14:paraId="75F0D4A8" w14:textId="77777777" w:rsidTr="00877396">
        <w:trPr>
          <w:trHeight w:val="59"/>
          <w:jc w:val="center"/>
        </w:trPr>
        <w:tc>
          <w:tcPr>
            <w:tcW w:w="1985" w:type="dxa"/>
            <w:tcBorders>
              <w:bottom w:val="single" w:sz="4" w:space="0" w:color="ED7C5D"/>
            </w:tcBorders>
            <w:noWrap/>
            <w:hideMark/>
          </w:tcPr>
          <w:p w14:paraId="18969C8C" w14:textId="77777777" w:rsidR="00EE13B5" w:rsidRPr="00503F5B" w:rsidRDefault="00EE13B5" w:rsidP="00EE13B5">
            <w:pPr>
              <w:rPr>
                <w:sz w:val="20"/>
                <w:szCs w:val="20"/>
                <w:lang w:val="en-AU"/>
              </w:rPr>
            </w:pPr>
            <w:r w:rsidRPr="00503F5B">
              <w:rPr>
                <w:sz w:val="20"/>
                <w:szCs w:val="20"/>
                <w:lang w:val="en-AU"/>
              </w:rPr>
              <w:t>Other</w:t>
            </w:r>
          </w:p>
        </w:tc>
        <w:tc>
          <w:tcPr>
            <w:tcW w:w="850" w:type="dxa"/>
            <w:tcBorders>
              <w:bottom w:val="single" w:sz="4" w:space="0" w:color="ED7C5D"/>
            </w:tcBorders>
            <w:noWrap/>
          </w:tcPr>
          <w:p w14:paraId="650073BC" w14:textId="08400633" w:rsidR="00EE13B5" w:rsidRPr="00503F5B" w:rsidRDefault="00EE13B5" w:rsidP="00EE13B5">
            <w:pPr>
              <w:jc w:val="right"/>
              <w:rPr>
                <w:sz w:val="20"/>
                <w:szCs w:val="20"/>
                <w:lang w:val="en-AU"/>
              </w:rPr>
            </w:pPr>
            <w:r w:rsidRPr="00503F5B">
              <w:rPr>
                <w:sz w:val="20"/>
                <w:szCs w:val="20"/>
                <w:lang w:val="en-AU"/>
              </w:rPr>
              <w:t xml:space="preserve"> 662 </w:t>
            </w:r>
          </w:p>
        </w:tc>
        <w:tc>
          <w:tcPr>
            <w:tcW w:w="851" w:type="dxa"/>
            <w:tcBorders>
              <w:bottom w:val="single" w:sz="4" w:space="0" w:color="ED7C5D"/>
            </w:tcBorders>
            <w:noWrap/>
          </w:tcPr>
          <w:p w14:paraId="5D64DB12" w14:textId="1B3A97B0" w:rsidR="00EE13B5" w:rsidRPr="00503F5B" w:rsidRDefault="00EE13B5" w:rsidP="00EE13B5">
            <w:pPr>
              <w:jc w:val="right"/>
              <w:rPr>
                <w:sz w:val="20"/>
                <w:szCs w:val="20"/>
                <w:lang w:val="en-AU"/>
              </w:rPr>
            </w:pPr>
            <w:r w:rsidRPr="00503F5B">
              <w:rPr>
                <w:sz w:val="20"/>
                <w:szCs w:val="20"/>
                <w:lang w:val="en-AU"/>
              </w:rPr>
              <w:t xml:space="preserve"> 763 </w:t>
            </w:r>
          </w:p>
        </w:tc>
        <w:tc>
          <w:tcPr>
            <w:tcW w:w="850" w:type="dxa"/>
            <w:tcBorders>
              <w:bottom w:val="single" w:sz="4" w:space="0" w:color="ED7C5D"/>
            </w:tcBorders>
            <w:noWrap/>
          </w:tcPr>
          <w:p w14:paraId="01353156" w14:textId="31DA0784" w:rsidR="00EE13B5" w:rsidRPr="00503F5B" w:rsidRDefault="00EE13B5" w:rsidP="00EE13B5">
            <w:pPr>
              <w:jc w:val="right"/>
              <w:rPr>
                <w:sz w:val="20"/>
                <w:szCs w:val="20"/>
                <w:lang w:val="en-AU"/>
              </w:rPr>
            </w:pPr>
            <w:r w:rsidRPr="00503F5B">
              <w:rPr>
                <w:sz w:val="20"/>
                <w:szCs w:val="20"/>
                <w:lang w:val="en-AU"/>
              </w:rPr>
              <w:t xml:space="preserve"> 186 </w:t>
            </w:r>
          </w:p>
        </w:tc>
        <w:tc>
          <w:tcPr>
            <w:tcW w:w="851" w:type="dxa"/>
            <w:tcBorders>
              <w:bottom w:val="single" w:sz="4" w:space="0" w:color="ED7C5D"/>
            </w:tcBorders>
            <w:noWrap/>
          </w:tcPr>
          <w:p w14:paraId="70B26404" w14:textId="145F1EDC" w:rsidR="00EE13B5" w:rsidRPr="00503F5B" w:rsidRDefault="00EE13B5" w:rsidP="00EE13B5">
            <w:pPr>
              <w:jc w:val="right"/>
              <w:rPr>
                <w:sz w:val="20"/>
                <w:szCs w:val="20"/>
                <w:lang w:val="en-AU"/>
              </w:rPr>
            </w:pPr>
            <w:r w:rsidRPr="00503F5B">
              <w:rPr>
                <w:sz w:val="20"/>
                <w:szCs w:val="20"/>
                <w:lang w:val="en-AU"/>
              </w:rPr>
              <w:t xml:space="preserve"> 186 </w:t>
            </w:r>
          </w:p>
        </w:tc>
        <w:tc>
          <w:tcPr>
            <w:tcW w:w="889" w:type="dxa"/>
            <w:tcBorders>
              <w:bottom w:val="single" w:sz="4" w:space="0" w:color="ED7C5D"/>
            </w:tcBorders>
          </w:tcPr>
          <w:p w14:paraId="06B3DB01" w14:textId="202F917A" w:rsidR="00EE13B5" w:rsidRPr="00503F5B" w:rsidRDefault="00EE13B5" w:rsidP="00EE13B5">
            <w:pPr>
              <w:jc w:val="right"/>
              <w:rPr>
                <w:sz w:val="20"/>
                <w:szCs w:val="20"/>
                <w:lang w:val="en-AU"/>
              </w:rPr>
            </w:pPr>
            <w:r w:rsidRPr="00503F5B">
              <w:rPr>
                <w:sz w:val="20"/>
                <w:szCs w:val="20"/>
                <w:lang w:val="en-AU"/>
              </w:rPr>
              <w:t xml:space="preserve"> 526 </w:t>
            </w:r>
          </w:p>
        </w:tc>
        <w:tc>
          <w:tcPr>
            <w:tcW w:w="850" w:type="dxa"/>
            <w:tcBorders>
              <w:bottom w:val="single" w:sz="4" w:space="0" w:color="ED7C5D"/>
            </w:tcBorders>
          </w:tcPr>
          <w:p w14:paraId="3CE56372" w14:textId="5BECA799" w:rsidR="00EE13B5" w:rsidRPr="00503F5B" w:rsidRDefault="00EE13B5" w:rsidP="00EE13B5">
            <w:pPr>
              <w:jc w:val="right"/>
              <w:rPr>
                <w:sz w:val="20"/>
                <w:szCs w:val="20"/>
                <w:lang w:val="en-AU"/>
              </w:rPr>
            </w:pPr>
            <w:r w:rsidRPr="00503F5B">
              <w:rPr>
                <w:sz w:val="20"/>
                <w:szCs w:val="20"/>
                <w:lang w:val="en-AU"/>
              </w:rPr>
              <w:t xml:space="preserve"> 790 </w:t>
            </w:r>
          </w:p>
        </w:tc>
        <w:tc>
          <w:tcPr>
            <w:tcW w:w="851" w:type="dxa"/>
            <w:tcBorders>
              <w:bottom w:val="single" w:sz="4" w:space="0" w:color="ED7C5D"/>
            </w:tcBorders>
          </w:tcPr>
          <w:p w14:paraId="4724DB17" w14:textId="20E66DDA" w:rsidR="00EE13B5" w:rsidRPr="00503F5B" w:rsidRDefault="00EE13B5" w:rsidP="00EE13B5">
            <w:pPr>
              <w:jc w:val="right"/>
              <w:rPr>
                <w:sz w:val="20"/>
                <w:szCs w:val="20"/>
                <w:lang w:val="en-AU"/>
              </w:rPr>
            </w:pPr>
            <w:r w:rsidRPr="00503F5B">
              <w:rPr>
                <w:sz w:val="20"/>
                <w:szCs w:val="20"/>
                <w:lang w:val="en-AU"/>
              </w:rPr>
              <w:t xml:space="preserve"> 216 </w:t>
            </w:r>
          </w:p>
        </w:tc>
        <w:tc>
          <w:tcPr>
            <w:tcW w:w="851" w:type="dxa"/>
            <w:tcBorders>
              <w:bottom w:val="single" w:sz="4" w:space="0" w:color="ED7C5D"/>
            </w:tcBorders>
          </w:tcPr>
          <w:p w14:paraId="6BF5D08D" w14:textId="431112CC" w:rsidR="00EE13B5" w:rsidRPr="00503F5B" w:rsidRDefault="00EE13B5" w:rsidP="00EE13B5">
            <w:pPr>
              <w:jc w:val="right"/>
              <w:rPr>
                <w:sz w:val="20"/>
                <w:szCs w:val="20"/>
                <w:lang w:val="en-AU"/>
              </w:rPr>
            </w:pPr>
            <w:r w:rsidRPr="00503F5B">
              <w:rPr>
                <w:sz w:val="20"/>
                <w:szCs w:val="20"/>
                <w:lang w:val="en-AU"/>
              </w:rPr>
              <w:t xml:space="preserve"> 808 </w:t>
            </w:r>
          </w:p>
        </w:tc>
        <w:tc>
          <w:tcPr>
            <w:tcW w:w="953" w:type="dxa"/>
            <w:tcBorders>
              <w:bottom w:val="single" w:sz="4" w:space="0" w:color="ED7C5D"/>
            </w:tcBorders>
          </w:tcPr>
          <w:p w14:paraId="504EB133" w14:textId="010AE458" w:rsidR="00EE13B5" w:rsidRPr="00503F5B" w:rsidRDefault="00EE13B5" w:rsidP="00EE13B5">
            <w:pPr>
              <w:jc w:val="right"/>
              <w:rPr>
                <w:sz w:val="20"/>
                <w:szCs w:val="20"/>
                <w:lang w:val="en-AU"/>
              </w:rPr>
            </w:pPr>
            <w:r w:rsidRPr="00503F5B">
              <w:rPr>
                <w:sz w:val="20"/>
                <w:szCs w:val="20"/>
                <w:lang w:val="en-AU"/>
              </w:rPr>
              <w:t xml:space="preserve"> 517 </w:t>
            </w:r>
          </w:p>
        </w:tc>
      </w:tr>
      <w:tr w:rsidR="00EE13B5" w:rsidRPr="00503F5B" w14:paraId="6A56B81E" w14:textId="77777777" w:rsidTr="00877396">
        <w:trPr>
          <w:trHeight w:val="59"/>
          <w:jc w:val="center"/>
        </w:trPr>
        <w:tc>
          <w:tcPr>
            <w:tcW w:w="1985" w:type="dxa"/>
            <w:tcBorders>
              <w:top w:val="single" w:sz="4" w:space="0" w:color="ED7C5D"/>
              <w:bottom w:val="single" w:sz="4" w:space="0" w:color="ED7C5D"/>
            </w:tcBorders>
            <w:noWrap/>
            <w:hideMark/>
          </w:tcPr>
          <w:p w14:paraId="331B16C9" w14:textId="77777777" w:rsidR="00EE13B5" w:rsidRPr="00503F5B" w:rsidRDefault="00EE13B5" w:rsidP="00EE13B5">
            <w:pPr>
              <w:rPr>
                <w:b/>
                <w:sz w:val="20"/>
                <w:szCs w:val="20"/>
                <w:lang w:val="en-AU"/>
              </w:rPr>
            </w:pPr>
            <w:r w:rsidRPr="00503F5B">
              <w:rPr>
                <w:b/>
                <w:sz w:val="20"/>
                <w:szCs w:val="20"/>
                <w:lang w:val="en-AU"/>
              </w:rPr>
              <w:t>Total number of calls</w:t>
            </w:r>
          </w:p>
        </w:tc>
        <w:tc>
          <w:tcPr>
            <w:tcW w:w="850" w:type="dxa"/>
            <w:tcBorders>
              <w:top w:val="single" w:sz="4" w:space="0" w:color="ED7C5D"/>
              <w:bottom w:val="single" w:sz="4" w:space="0" w:color="ED7C5D"/>
            </w:tcBorders>
            <w:noWrap/>
          </w:tcPr>
          <w:p w14:paraId="3145EA46" w14:textId="19E6BB58" w:rsidR="00EE13B5" w:rsidRPr="00503F5B" w:rsidRDefault="00EE13B5" w:rsidP="00EE13B5">
            <w:pPr>
              <w:jc w:val="right"/>
              <w:rPr>
                <w:b/>
                <w:sz w:val="20"/>
                <w:szCs w:val="20"/>
                <w:lang w:val="en-AU"/>
              </w:rPr>
            </w:pPr>
            <w:r w:rsidRPr="00503F5B">
              <w:rPr>
                <w:sz w:val="20"/>
                <w:szCs w:val="20"/>
                <w:lang w:val="en-AU"/>
              </w:rPr>
              <w:t xml:space="preserve"> 60,563 </w:t>
            </w:r>
          </w:p>
        </w:tc>
        <w:tc>
          <w:tcPr>
            <w:tcW w:w="851" w:type="dxa"/>
            <w:tcBorders>
              <w:top w:val="single" w:sz="4" w:space="0" w:color="ED7C5D"/>
              <w:bottom w:val="single" w:sz="4" w:space="0" w:color="ED7C5D"/>
            </w:tcBorders>
            <w:noWrap/>
          </w:tcPr>
          <w:p w14:paraId="62393D52" w14:textId="43ADDB5D" w:rsidR="00EE13B5" w:rsidRPr="00503F5B" w:rsidRDefault="00EE13B5" w:rsidP="00EE13B5">
            <w:pPr>
              <w:jc w:val="right"/>
              <w:rPr>
                <w:b/>
                <w:sz w:val="20"/>
                <w:szCs w:val="20"/>
                <w:lang w:val="en-AU"/>
              </w:rPr>
            </w:pPr>
            <w:r w:rsidRPr="00503F5B">
              <w:rPr>
                <w:sz w:val="20"/>
                <w:szCs w:val="20"/>
                <w:lang w:val="en-AU"/>
              </w:rPr>
              <w:t xml:space="preserve"> 61,951 </w:t>
            </w:r>
          </w:p>
        </w:tc>
        <w:tc>
          <w:tcPr>
            <w:tcW w:w="850" w:type="dxa"/>
            <w:tcBorders>
              <w:top w:val="single" w:sz="4" w:space="0" w:color="ED7C5D"/>
              <w:bottom w:val="single" w:sz="4" w:space="0" w:color="ED7C5D"/>
            </w:tcBorders>
            <w:noWrap/>
          </w:tcPr>
          <w:p w14:paraId="48F24DFA" w14:textId="7FC54D32" w:rsidR="00EE13B5" w:rsidRPr="00503F5B" w:rsidRDefault="00EE13B5" w:rsidP="00EE13B5">
            <w:pPr>
              <w:jc w:val="right"/>
              <w:rPr>
                <w:b/>
                <w:sz w:val="20"/>
                <w:szCs w:val="20"/>
                <w:lang w:val="en-AU"/>
              </w:rPr>
            </w:pPr>
            <w:r w:rsidRPr="00503F5B">
              <w:rPr>
                <w:sz w:val="20"/>
                <w:szCs w:val="20"/>
                <w:lang w:val="en-AU"/>
              </w:rPr>
              <w:t xml:space="preserve"> 62,386 </w:t>
            </w:r>
          </w:p>
        </w:tc>
        <w:tc>
          <w:tcPr>
            <w:tcW w:w="851" w:type="dxa"/>
            <w:tcBorders>
              <w:top w:val="single" w:sz="4" w:space="0" w:color="ED7C5D"/>
              <w:bottom w:val="single" w:sz="4" w:space="0" w:color="ED7C5D"/>
            </w:tcBorders>
            <w:noWrap/>
          </w:tcPr>
          <w:p w14:paraId="12A64BD6" w14:textId="4F2F678E" w:rsidR="00EE13B5" w:rsidRPr="00503F5B" w:rsidRDefault="00EE13B5" w:rsidP="00EE13B5">
            <w:pPr>
              <w:jc w:val="right"/>
              <w:rPr>
                <w:b/>
                <w:sz w:val="20"/>
                <w:szCs w:val="20"/>
                <w:lang w:val="en-AU"/>
              </w:rPr>
            </w:pPr>
            <w:r w:rsidRPr="00503F5B">
              <w:rPr>
                <w:sz w:val="20"/>
                <w:szCs w:val="20"/>
                <w:lang w:val="en-AU"/>
              </w:rPr>
              <w:t xml:space="preserve"> 62,913 </w:t>
            </w:r>
          </w:p>
        </w:tc>
        <w:tc>
          <w:tcPr>
            <w:tcW w:w="889" w:type="dxa"/>
            <w:tcBorders>
              <w:top w:val="single" w:sz="4" w:space="0" w:color="ED7C5D"/>
              <w:bottom w:val="single" w:sz="4" w:space="0" w:color="ED7C5D"/>
            </w:tcBorders>
          </w:tcPr>
          <w:p w14:paraId="10B80652" w14:textId="68A49E1B" w:rsidR="00EE13B5" w:rsidRPr="00503F5B" w:rsidRDefault="00EE13B5" w:rsidP="00EE13B5">
            <w:pPr>
              <w:jc w:val="right"/>
              <w:rPr>
                <w:b/>
                <w:sz w:val="20"/>
                <w:szCs w:val="20"/>
                <w:lang w:val="en-AU"/>
              </w:rPr>
            </w:pPr>
            <w:r w:rsidRPr="00503F5B">
              <w:rPr>
                <w:sz w:val="20"/>
                <w:szCs w:val="20"/>
                <w:lang w:val="en-AU"/>
              </w:rPr>
              <w:t xml:space="preserve"> 65,614 </w:t>
            </w:r>
          </w:p>
        </w:tc>
        <w:tc>
          <w:tcPr>
            <w:tcW w:w="850" w:type="dxa"/>
            <w:tcBorders>
              <w:top w:val="single" w:sz="4" w:space="0" w:color="ED7C5D"/>
              <w:bottom w:val="single" w:sz="4" w:space="0" w:color="ED7C5D"/>
            </w:tcBorders>
          </w:tcPr>
          <w:p w14:paraId="7ED72664" w14:textId="0E5264C0" w:rsidR="00EE13B5" w:rsidRPr="00503F5B" w:rsidRDefault="00EE13B5" w:rsidP="00EE13B5">
            <w:pPr>
              <w:jc w:val="right"/>
              <w:rPr>
                <w:b/>
                <w:sz w:val="20"/>
                <w:szCs w:val="20"/>
                <w:lang w:val="en-AU"/>
              </w:rPr>
            </w:pPr>
            <w:r w:rsidRPr="00503F5B">
              <w:rPr>
                <w:sz w:val="20"/>
                <w:szCs w:val="20"/>
                <w:lang w:val="en-AU"/>
              </w:rPr>
              <w:t xml:space="preserve"> 68,072 </w:t>
            </w:r>
          </w:p>
        </w:tc>
        <w:tc>
          <w:tcPr>
            <w:tcW w:w="851" w:type="dxa"/>
            <w:tcBorders>
              <w:top w:val="single" w:sz="4" w:space="0" w:color="ED7C5D"/>
              <w:bottom w:val="single" w:sz="4" w:space="0" w:color="ED7C5D"/>
            </w:tcBorders>
          </w:tcPr>
          <w:p w14:paraId="1EE8C9C9" w14:textId="09EFE5A8" w:rsidR="00EE13B5" w:rsidRPr="00503F5B" w:rsidRDefault="00EE13B5" w:rsidP="00EE13B5">
            <w:pPr>
              <w:jc w:val="right"/>
              <w:rPr>
                <w:b/>
                <w:sz w:val="20"/>
                <w:szCs w:val="20"/>
                <w:lang w:val="en-AU"/>
              </w:rPr>
            </w:pPr>
            <w:r w:rsidRPr="00503F5B">
              <w:rPr>
                <w:sz w:val="20"/>
                <w:szCs w:val="20"/>
                <w:lang w:val="en-AU"/>
              </w:rPr>
              <w:t xml:space="preserve"> 67,969 </w:t>
            </w:r>
          </w:p>
        </w:tc>
        <w:tc>
          <w:tcPr>
            <w:tcW w:w="851" w:type="dxa"/>
            <w:tcBorders>
              <w:top w:val="single" w:sz="4" w:space="0" w:color="ED7C5D"/>
              <w:bottom w:val="single" w:sz="4" w:space="0" w:color="ED7C5D"/>
            </w:tcBorders>
          </w:tcPr>
          <w:p w14:paraId="6391D672" w14:textId="534A1195" w:rsidR="00EE13B5" w:rsidRPr="00503F5B" w:rsidRDefault="00EE13B5" w:rsidP="00EE13B5">
            <w:pPr>
              <w:jc w:val="right"/>
              <w:rPr>
                <w:b/>
                <w:sz w:val="20"/>
                <w:szCs w:val="20"/>
                <w:lang w:val="en-AU"/>
              </w:rPr>
            </w:pPr>
            <w:r w:rsidRPr="00503F5B">
              <w:rPr>
                <w:sz w:val="20"/>
                <w:szCs w:val="20"/>
                <w:lang w:val="en-AU"/>
              </w:rPr>
              <w:t xml:space="preserve"> 65,982 </w:t>
            </w:r>
          </w:p>
        </w:tc>
        <w:tc>
          <w:tcPr>
            <w:tcW w:w="953" w:type="dxa"/>
            <w:tcBorders>
              <w:top w:val="single" w:sz="4" w:space="0" w:color="ED7C5D"/>
              <w:bottom w:val="single" w:sz="4" w:space="0" w:color="ED7C5D"/>
            </w:tcBorders>
          </w:tcPr>
          <w:p w14:paraId="6CDCB69E" w14:textId="5B9159C5" w:rsidR="00EE13B5" w:rsidRPr="00503F5B" w:rsidRDefault="00EE13B5" w:rsidP="00EE13B5">
            <w:pPr>
              <w:jc w:val="right"/>
              <w:rPr>
                <w:sz w:val="20"/>
                <w:szCs w:val="20"/>
                <w:lang w:val="en-AU"/>
              </w:rPr>
            </w:pPr>
            <w:r w:rsidRPr="00503F5B">
              <w:rPr>
                <w:sz w:val="20"/>
                <w:szCs w:val="20"/>
                <w:lang w:val="en-AU"/>
              </w:rPr>
              <w:t xml:space="preserve"> 64,431 </w:t>
            </w:r>
          </w:p>
        </w:tc>
      </w:tr>
    </w:tbl>
    <w:p w14:paraId="4FE36828" w14:textId="20820AF3" w:rsidR="003629E3" w:rsidRPr="00503F5B" w:rsidRDefault="003A0356" w:rsidP="008360E5">
      <w:pPr>
        <w:jc w:val="both"/>
      </w:pPr>
      <w:r w:rsidRPr="00503F5B">
        <w:rPr>
          <w:sz w:val="18"/>
          <w:szCs w:val="18"/>
        </w:rPr>
        <w:t>*Extrapolated/apportioned from Code 8 transactions with respect to Good Intent, Malicious, False Alarms and</w:t>
      </w:r>
      <w:r w:rsidR="00950B64" w:rsidRPr="00503F5B">
        <w:rPr>
          <w:sz w:val="18"/>
          <w:szCs w:val="18"/>
        </w:rPr>
        <w:t xml:space="preserve"> Other</w:t>
      </w:r>
    </w:p>
    <w:p w14:paraId="744F378C" w14:textId="1E12FD55" w:rsidR="003629E3" w:rsidRPr="00503F5B" w:rsidRDefault="003629E3" w:rsidP="008360E5">
      <w:pPr>
        <w:jc w:val="both"/>
      </w:pPr>
    </w:p>
    <w:p w14:paraId="3084D84E" w14:textId="727C11C8" w:rsidR="00EE13B5" w:rsidRPr="00503F5B" w:rsidRDefault="00EE13B5" w:rsidP="00EE13B5">
      <w:pPr>
        <w:jc w:val="both"/>
      </w:pPr>
      <w:r w:rsidRPr="00503F5B">
        <w:t>Table 6 provides a breakdown in the total time spent with respect to the number of attendances in Table 4 by incident type where ‘time spent’ represents the time between an appliance being dispatched and an appliance returning to the station and does not include time spent on community safety programs and training</w:t>
      </w:r>
      <w:r w:rsidRPr="00503F5B">
        <w:rPr>
          <w:rStyle w:val="FootnoteReference"/>
        </w:rPr>
        <w:footnoteReference w:id="21"/>
      </w:r>
      <w:r w:rsidRPr="00503F5B">
        <w:t>.</w:t>
      </w:r>
    </w:p>
    <w:p w14:paraId="75FB8945" w14:textId="77777777" w:rsidR="00EE13B5" w:rsidRPr="00503F5B" w:rsidRDefault="00EE13B5" w:rsidP="003A0356">
      <w:pPr>
        <w:jc w:val="center"/>
        <w:rPr>
          <w:b/>
          <w:sz w:val="20"/>
          <w:szCs w:val="20"/>
        </w:rPr>
      </w:pPr>
    </w:p>
    <w:p w14:paraId="55A27AC7" w14:textId="57BD0991" w:rsidR="003A0356" w:rsidRPr="00503F5B" w:rsidRDefault="003A0356" w:rsidP="003A0356">
      <w:pPr>
        <w:jc w:val="center"/>
        <w:rPr>
          <w:b/>
          <w:sz w:val="20"/>
          <w:szCs w:val="20"/>
        </w:rPr>
      </w:pPr>
      <w:r w:rsidRPr="00503F5B">
        <w:rPr>
          <w:b/>
          <w:sz w:val="20"/>
          <w:szCs w:val="20"/>
        </w:rPr>
        <w:t xml:space="preserve">Table </w:t>
      </w:r>
      <w:r w:rsidR="00EE13B5" w:rsidRPr="00503F5B">
        <w:rPr>
          <w:b/>
          <w:sz w:val="20"/>
          <w:szCs w:val="20"/>
        </w:rPr>
        <w:t>6</w:t>
      </w:r>
      <w:r w:rsidRPr="00503F5B">
        <w:rPr>
          <w:b/>
          <w:sz w:val="20"/>
          <w:szCs w:val="20"/>
        </w:rPr>
        <w:t xml:space="preserve">: Breakdown in </w:t>
      </w:r>
      <w:r w:rsidR="00151B84" w:rsidRPr="00503F5B">
        <w:rPr>
          <w:b/>
          <w:sz w:val="20"/>
          <w:szCs w:val="20"/>
        </w:rPr>
        <w:t xml:space="preserve">annual </w:t>
      </w:r>
      <w:r w:rsidRPr="00503F5B">
        <w:rPr>
          <w:b/>
          <w:sz w:val="20"/>
          <w:szCs w:val="20"/>
        </w:rPr>
        <w:t xml:space="preserve">total </w:t>
      </w:r>
      <w:r w:rsidR="00151B84" w:rsidRPr="00503F5B">
        <w:rPr>
          <w:b/>
          <w:sz w:val="20"/>
          <w:szCs w:val="20"/>
        </w:rPr>
        <w:t xml:space="preserve">‘time spent’ (hours) by MFB appliances </w:t>
      </w:r>
      <w:r w:rsidRPr="00503F5B">
        <w:rPr>
          <w:b/>
          <w:sz w:val="20"/>
          <w:szCs w:val="20"/>
        </w:rPr>
        <w:t>- by incident type</w:t>
      </w:r>
      <w:r w:rsidR="00A75329" w:rsidRPr="00503F5B">
        <w:rPr>
          <w:rStyle w:val="FootnoteReference"/>
          <w:b/>
          <w:sz w:val="20"/>
          <w:szCs w:val="20"/>
        </w:rPr>
        <w:footnoteReference w:id="22"/>
      </w:r>
    </w:p>
    <w:p w14:paraId="554D11B0" w14:textId="77777777" w:rsidR="003A0356" w:rsidRPr="00503F5B" w:rsidRDefault="003A0356" w:rsidP="003A0356">
      <w:pPr>
        <w:jc w:val="center"/>
        <w:rPr>
          <w:b/>
          <w:sz w:val="8"/>
          <w:szCs w:val="8"/>
        </w:rPr>
      </w:pPr>
    </w:p>
    <w:tbl>
      <w:tblPr>
        <w:tblStyle w:val="TableGrid"/>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850"/>
        <w:gridCol w:w="851"/>
        <w:gridCol w:w="850"/>
        <w:gridCol w:w="851"/>
        <w:gridCol w:w="889"/>
        <w:gridCol w:w="850"/>
        <w:gridCol w:w="851"/>
        <w:gridCol w:w="851"/>
        <w:gridCol w:w="953"/>
      </w:tblGrid>
      <w:tr w:rsidR="00151B84" w:rsidRPr="00503F5B" w14:paraId="586B910A" w14:textId="77777777" w:rsidTr="00877396">
        <w:trPr>
          <w:trHeight w:val="59"/>
          <w:tblHeader/>
          <w:jc w:val="center"/>
        </w:trPr>
        <w:tc>
          <w:tcPr>
            <w:tcW w:w="1985" w:type="dxa"/>
            <w:tcBorders>
              <w:bottom w:val="single" w:sz="4" w:space="0" w:color="ED7C5D"/>
            </w:tcBorders>
            <w:noWrap/>
          </w:tcPr>
          <w:p w14:paraId="08AC6E46" w14:textId="77777777" w:rsidR="00151B84" w:rsidRPr="00503F5B" w:rsidRDefault="00151B84" w:rsidP="00151B84">
            <w:pPr>
              <w:jc w:val="both"/>
              <w:rPr>
                <w:b/>
                <w:color w:val="BE2A18"/>
                <w:sz w:val="20"/>
                <w:szCs w:val="20"/>
                <w:lang w:val="en-AU"/>
              </w:rPr>
            </w:pPr>
          </w:p>
        </w:tc>
        <w:tc>
          <w:tcPr>
            <w:tcW w:w="7796" w:type="dxa"/>
            <w:gridSpan w:val="9"/>
            <w:tcBorders>
              <w:top w:val="single" w:sz="4" w:space="0" w:color="ED7C5D"/>
              <w:bottom w:val="single" w:sz="4" w:space="0" w:color="ED7C5D"/>
            </w:tcBorders>
            <w:noWrap/>
          </w:tcPr>
          <w:p w14:paraId="25A8D120" w14:textId="707FAB1A" w:rsidR="00151B84" w:rsidRPr="00503F5B" w:rsidRDefault="00151B84" w:rsidP="00151B84">
            <w:pPr>
              <w:jc w:val="center"/>
              <w:rPr>
                <w:b/>
                <w:color w:val="BE2A18"/>
                <w:sz w:val="20"/>
                <w:szCs w:val="20"/>
                <w:lang w:val="en-AU"/>
              </w:rPr>
            </w:pPr>
            <w:r w:rsidRPr="00503F5B">
              <w:rPr>
                <w:b/>
                <w:color w:val="BE2A18"/>
                <w:sz w:val="20"/>
                <w:szCs w:val="20"/>
                <w:lang w:val="en-AU"/>
              </w:rPr>
              <w:t>Total time spent by appliances (hours) per annum</w:t>
            </w:r>
          </w:p>
        </w:tc>
      </w:tr>
      <w:tr w:rsidR="003A0356" w:rsidRPr="00503F5B" w14:paraId="1379D7F7" w14:textId="77777777" w:rsidTr="00877396">
        <w:trPr>
          <w:trHeight w:val="59"/>
          <w:tblHeader/>
          <w:jc w:val="center"/>
        </w:trPr>
        <w:tc>
          <w:tcPr>
            <w:tcW w:w="1985" w:type="dxa"/>
            <w:tcBorders>
              <w:top w:val="single" w:sz="4" w:space="0" w:color="ED7C5D"/>
              <w:bottom w:val="double" w:sz="4" w:space="0" w:color="ED7C5D"/>
            </w:tcBorders>
            <w:noWrap/>
            <w:hideMark/>
          </w:tcPr>
          <w:p w14:paraId="31A8135C" w14:textId="77777777" w:rsidR="003A0356" w:rsidRPr="00503F5B" w:rsidRDefault="003A0356" w:rsidP="00151B84">
            <w:pPr>
              <w:jc w:val="both"/>
              <w:rPr>
                <w:b/>
                <w:color w:val="BE2A18"/>
                <w:sz w:val="20"/>
                <w:szCs w:val="20"/>
                <w:lang w:val="en-AU"/>
              </w:rPr>
            </w:pPr>
            <w:r w:rsidRPr="00503F5B">
              <w:rPr>
                <w:b/>
                <w:color w:val="BE2A18"/>
                <w:sz w:val="20"/>
                <w:szCs w:val="20"/>
                <w:lang w:val="en-AU"/>
              </w:rPr>
              <w:t>Incident type</w:t>
            </w:r>
          </w:p>
        </w:tc>
        <w:tc>
          <w:tcPr>
            <w:tcW w:w="850" w:type="dxa"/>
            <w:tcBorders>
              <w:top w:val="single" w:sz="4" w:space="0" w:color="ED7C5D"/>
              <w:bottom w:val="double" w:sz="4" w:space="0" w:color="ED7C5D"/>
            </w:tcBorders>
            <w:noWrap/>
            <w:hideMark/>
          </w:tcPr>
          <w:p w14:paraId="17FB8B63" w14:textId="77777777" w:rsidR="003A0356" w:rsidRPr="00503F5B" w:rsidRDefault="003A0356" w:rsidP="00151B84">
            <w:pPr>
              <w:jc w:val="center"/>
              <w:rPr>
                <w:b/>
                <w:color w:val="BE2A18"/>
                <w:sz w:val="20"/>
                <w:szCs w:val="20"/>
                <w:lang w:val="en-AU"/>
              </w:rPr>
            </w:pPr>
            <w:r w:rsidRPr="00503F5B">
              <w:rPr>
                <w:b/>
                <w:color w:val="BE2A18"/>
                <w:sz w:val="20"/>
                <w:szCs w:val="20"/>
                <w:lang w:val="en-AU"/>
              </w:rPr>
              <w:t>2011-12</w:t>
            </w:r>
          </w:p>
        </w:tc>
        <w:tc>
          <w:tcPr>
            <w:tcW w:w="851" w:type="dxa"/>
            <w:tcBorders>
              <w:top w:val="single" w:sz="4" w:space="0" w:color="ED7C5D"/>
              <w:bottom w:val="double" w:sz="4" w:space="0" w:color="ED7C5D"/>
            </w:tcBorders>
            <w:noWrap/>
            <w:hideMark/>
          </w:tcPr>
          <w:p w14:paraId="281F1C13" w14:textId="77777777" w:rsidR="003A0356" w:rsidRPr="00503F5B" w:rsidRDefault="003A0356" w:rsidP="00151B84">
            <w:pPr>
              <w:jc w:val="center"/>
              <w:rPr>
                <w:b/>
                <w:color w:val="BE2A18"/>
                <w:sz w:val="20"/>
                <w:szCs w:val="20"/>
                <w:lang w:val="en-AU"/>
              </w:rPr>
            </w:pPr>
            <w:r w:rsidRPr="00503F5B">
              <w:rPr>
                <w:b/>
                <w:color w:val="BE2A18"/>
                <w:sz w:val="20"/>
                <w:szCs w:val="20"/>
                <w:lang w:val="en-AU"/>
              </w:rPr>
              <w:t>2012-13</w:t>
            </w:r>
          </w:p>
        </w:tc>
        <w:tc>
          <w:tcPr>
            <w:tcW w:w="850" w:type="dxa"/>
            <w:tcBorders>
              <w:top w:val="single" w:sz="4" w:space="0" w:color="ED7C5D"/>
              <w:bottom w:val="double" w:sz="4" w:space="0" w:color="ED7C5D"/>
            </w:tcBorders>
            <w:noWrap/>
            <w:hideMark/>
          </w:tcPr>
          <w:p w14:paraId="4C84C6D7" w14:textId="77777777" w:rsidR="003A0356" w:rsidRPr="00503F5B" w:rsidRDefault="003A0356" w:rsidP="00151B84">
            <w:pPr>
              <w:jc w:val="center"/>
              <w:rPr>
                <w:b/>
                <w:color w:val="BE2A18"/>
                <w:sz w:val="20"/>
                <w:szCs w:val="20"/>
                <w:lang w:val="en-AU"/>
              </w:rPr>
            </w:pPr>
            <w:r w:rsidRPr="00503F5B">
              <w:rPr>
                <w:b/>
                <w:color w:val="BE2A18"/>
                <w:sz w:val="20"/>
                <w:szCs w:val="20"/>
                <w:lang w:val="en-AU"/>
              </w:rPr>
              <w:t>2013-14</w:t>
            </w:r>
          </w:p>
        </w:tc>
        <w:tc>
          <w:tcPr>
            <w:tcW w:w="851" w:type="dxa"/>
            <w:tcBorders>
              <w:top w:val="single" w:sz="4" w:space="0" w:color="ED7C5D"/>
              <w:bottom w:val="double" w:sz="4" w:space="0" w:color="ED7C5D"/>
            </w:tcBorders>
            <w:noWrap/>
            <w:hideMark/>
          </w:tcPr>
          <w:p w14:paraId="1CCCF9F4" w14:textId="77777777" w:rsidR="003A0356" w:rsidRPr="00503F5B" w:rsidRDefault="003A0356" w:rsidP="00151B84">
            <w:pPr>
              <w:jc w:val="center"/>
              <w:rPr>
                <w:b/>
                <w:color w:val="BE2A18"/>
                <w:sz w:val="20"/>
                <w:szCs w:val="20"/>
                <w:lang w:val="en-AU"/>
              </w:rPr>
            </w:pPr>
            <w:r w:rsidRPr="00503F5B">
              <w:rPr>
                <w:b/>
                <w:color w:val="BE2A18"/>
                <w:sz w:val="20"/>
                <w:szCs w:val="20"/>
                <w:lang w:val="en-AU"/>
              </w:rPr>
              <w:t>2014-</w:t>
            </w:r>
          </w:p>
          <w:p w14:paraId="7E9DC2EE" w14:textId="77777777" w:rsidR="003A0356" w:rsidRPr="00503F5B" w:rsidRDefault="003A0356" w:rsidP="00151B84">
            <w:pPr>
              <w:jc w:val="center"/>
              <w:rPr>
                <w:b/>
                <w:color w:val="BE2A18"/>
                <w:sz w:val="20"/>
                <w:szCs w:val="20"/>
                <w:lang w:val="en-AU"/>
              </w:rPr>
            </w:pPr>
            <w:r w:rsidRPr="00503F5B">
              <w:rPr>
                <w:b/>
                <w:color w:val="BE2A18"/>
                <w:sz w:val="20"/>
                <w:szCs w:val="20"/>
                <w:lang w:val="en-AU"/>
              </w:rPr>
              <w:t>15</w:t>
            </w:r>
          </w:p>
        </w:tc>
        <w:tc>
          <w:tcPr>
            <w:tcW w:w="889" w:type="dxa"/>
            <w:tcBorders>
              <w:top w:val="single" w:sz="4" w:space="0" w:color="ED7C5D"/>
              <w:bottom w:val="double" w:sz="4" w:space="0" w:color="ED7C5D"/>
            </w:tcBorders>
          </w:tcPr>
          <w:p w14:paraId="054C14A2" w14:textId="77777777" w:rsidR="003A0356" w:rsidRPr="00503F5B" w:rsidRDefault="003A0356" w:rsidP="00151B84">
            <w:pPr>
              <w:jc w:val="center"/>
              <w:rPr>
                <w:b/>
                <w:color w:val="BE2A18"/>
                <w:sz w:val="20"/>
                <w:szCs w:val="20"/>
                <w:lang w:val="en-AU"/>
              </w:rPr>
            </w:pPr>
            <w:r w:rsidRPr="00503F5B">
              <w:rPr>
                <w:b/>
                <w:color w:val="BE2A18"/>
                <w:sz w:val="20"/>
                <w:szCs w:val="20"/>
                <w:lang w:val="en-AU"/>
              </w:rPr>
              <w:t>2015-</w:t>
            </w:r>
          </w:p>
          <w:p w14:paraId="52C03B2E" w14:textId="77777777" w:rsidR="003A0356" w:rsidRPr="00503F5B" w:rsidRDefault="003A0356" w:rsidP="00151B84">
            <w:pPr>
              <w:jc w:val="center"/>
              <w:rPr>
                <w:b/>
                <w:color w:val="BE2A18"/>
                <w:sz w:val="20"/>
                <w:szCs w:val="20"/>
                <w:lang w:val="en-AU"/>
              </w:rPr>
            </w:pPr>
            <w:r w:rsidRPr="00503F5B">
              <w:rPr>
                <w:b/>
                <w:color w:val="BE2A18"/>
                <w:sz w:val="20"/>
                <w:szCs w:val="20"/>
                <w:lang w:val="en-AU"/>
              </w:rPr>
              <w:t>16*</w:t>
            </w:r>
          </w:p>
        </w:tc>
        <w:tc>
          <w:tcPr>
            <w:tcW w:w="850" w:type="dxa"/>
            <w:tcBorders>
              <w:top w:val="single" w:sz="4" w:space="0" w:color="ED7C5D"/>
              <w:bottom w:val="double" w:sz="4" w:space="0" w:color="ED7C5D"/>
            </w:tcBorders>
          </w:tcPr>
          <w:p w14:paraId="33AB339F" w14:textId="77777777" w:rsidR="003A0356" w:rsidRPr="00503F5B" w:rsidRDefault="003A0356" w:rsidP="00151B84">
            <w:pPr>
              <w:jc w:val="center"/>
              <w:rPr>
                <w:b/>
                <w:color w:val="BE2A18"/>
                <w:sz w:val="20"/>
                <w:szCs w:val="20"/>
                <w:lang w:val="en-AU"/>
              </w:rPr>
            </w:pPr>
            <w:r w:rsidRPr="00503F5B">
              <w:rPr>
                <w:b/>
                <w:color w:val="BE2A18"/>
                <w:sz w:val="20"/>
                <w:szCs w:val="20"/>
                <w:lang w:val="en-AU"/>
              </w:rPr>
              <w:t>2016-</w:t>
            </w:r>
          </w:p>
          <w:p w14:paraId="49E8216B" w14:textId="77777777" w:rsidR="003A0356" w:rsidRPr="00503F5B" w:rsidRDefault="003A0356" w:rsidP="00151B84">
            <w:pPr>
              <w:jc w:val="center"/>
              <w:rPr>
                <w:b/>
                <w:color w:val="BE2A18"/>
                <w:sz w:val="20"/>
                <w:szCs w:val="20"/>
                <w:lang w:val="en-AU"/>
              </w:rPr>
            </w:pPr>
            <w:r w:rsidRPr="00503F5B">
              <w:rPr>
                <w:b/>
                <w:color w:val="BE2A18"/>
                <w:sz w:val="20"/>
                <w:szCs w:val="20"/>
                <w:lang w:val="en-AU"/>
              </w:rPr>
              <w:t>17*</w:t>
            </w:r>
          </w:p>
        </w:tc>
        <w:tc>
          <w:tcPr>
            <w:tcW w:w="851" w:type="dxa"/>
            <w:tcBorders>
              <w:top w:val="single" w:sz="4" w:space="0" w:color="ED7C5D"/>
              <w:bottom w:val="double" w:sz="4" w:space="0" w:color="ED7C5D"/>
            </w:tcBorders>
          </w:tcPr>
          <w:p w14:paraId="6956EAB9" w14:textId="77777777" w:rsidR="003A0356" w:rsidRPr="00503F5B" w:rsidRDefault="003A0356" w:rsidP="00151B84">
            <w:pPr>
              <w:jc w:val="center"/>
              <w:rPr>
                <w:b/>
                <w:color w:val="BE2A18"/>
                <w:sz w:val="20"/>
                <w:szCs w:val="20"/>
                <w:lang w:val="en-AU"/>
              </w:rPr>
            </w:pPr>
            <w:r w:rsidRPr="00503F5B">
              <w:rPr>
                <w:b/>
                <w:color w:val="BE2A18"/>
                <w:sz w:val="20"/>
                <w:szCs w:val="20"/>
                <w:lang w:val="en-AU"/>
              </w:rPr>
              <w:t>2017-18</w:t>
            </w:r>
          </w:p>
        </w:tc>
        <w:tc>
          <w:tcPr>
            <w:tcW w:w="851" w:type="dxa"/>
            <w:tcBorders>
              <w:top w:val="single" w:sz="4" w:space="0" w:color="ED7C5D"/>
              <w:bottom w:val="double" w:sz="4" w:space="0" w:color="ED7C5D"/>
            </w:tcBorders>
          </w:tcPr>
          <w:p w14:paraId="4677A7C7" w14:textId="77777777" w:rsidR="003A0356" w:rsidRPr="00503F5B" w:rsidRDefault="003A0356" w:rsidP="00151B84">
            <w:pPr>
              <w:jc w:val="center"/>
              <w:rPr>
                <w:b/>
                <w:color w:val="BE2A18"/>
                <w:sz w:val="20"/>
                <w:szCs w:val="20"/>
                <w:lang w:val="en-AU"/>
              </w:rPr>
            </w:pPr>
            <w:r w:rsidRPr="00503F5B">
              <w:rPr>
                <w:b/>
                <w:color w:val="BE2A18"/>
                <w:sz w:val="20"/>
                <w:szCs w:val="20"/>
                <w:lang w:val="en-AU"/>
              </w:rPr>
              <w:t>2018-19</w:t>
            </w:r>
          </w:p>
        </w:tc>
        <w:tc>
          <w:tcPr>
            <w:tcW w:w="953" w:type="dxa"/>
            <w:tcBorders>
              <w:top w:val="single" w:sz="4" w:space="0" w:color="ED7C5D"/>
              <w:bottom w:val="double" w:sz="4" w:space="0" w:color="ED7C5D"/>
            </w:tcBorders>
          </w:tcPr>
          <w:p w14:paraId="776C5EB2" w14:textId="77777777" w:rsidR="003A0356" w:rsidRPr="00503F5B" w:rsidRDefault="003A0356" w:rsidP="00151B84">
            <w:pPr>
              <w:jc w:val="center"/>
              <w:rPr>
                <w:b/>
                <w:color w:val="BE2A18"/>
                <w:sz w:val="20"/>
                <w:szCs w:val="20"/>
                <w:lang w:val="en-AU"/>
              </w:rPr>
            </w:pPr>
            <w:r w:rsidRPr="00503F5B">
              <w:rPr>
                <w:b/>
                <w:color w:val="BE2A18"/>
                <w:sz w:val="20"/>
                <w:szCs w:val="20"/>
                <w:lang w:val="en-AU"/>
              </w:rPr>
              <w:t>8-year average</w:t>
            </w:r>
          </w:p>
        </w:tc>
      </w:tr>
      <w:tr w:rsidR="00151B84" w:rsidRPr="00503F5B" w14:paraId="5F3E2738" w14:textId="77777777" w:rsidTr="00877396">
        <w:trPr>
          <w:trHeight w:val="59"/>
          <w:jc w:val="center"/>
        </w:trPr>
        <w:tc>
          <w:tcPr>
            <w:tcW w:w="1985" w:type="dxa"/>
            <w:tcBorders>
              <w:top w:val="double" w:sz="4" w:space="0" w:color="ED7C5D"/>
            </w:tcBorders>
            <w:noWrap/>
            <w:hideMark/>
          </w:tcPr>
          <w:p w14:paraId="445ED79A" w14:textId="77777777" w:rsidR="00151B84" w:rsidRPr="00503F5B" w:rsidRDefault="00151B84" w:rsidP="00151B84">
            <w:pPr>
              <w:rPr>
                <w:sz w:val="20"/>
                <w:szCs w:val="20"/>
                <w:lang w:val="en-AU"/>
              </w:rPr>
            </w:pPr>
            <w:r w:rsidRPr="00503F5B">
              <w:rPr>
                <w:sz w:val="20"/>
                <w:szCs w:val="20"/>
                <w:lang w:val="en-AU"/>
              </w:rPr>
              <w:t>Fires and Explosions</w:t>
            </w:r>
          </w:p>
        </w:tc>
        <w:tc>
          <w:tcPr>
            <w:tcW w:w="850" w:type="dxa"/>
            <w:tcBorders>
              <w:top w:val="double" w:sz="4" w:space="0" w:color="ED7C5D"/>
            </w:tcBorders>
            <w:noWrap/>
            <w:hideMark/>
          </w:tcPr>
          <w:p w14:paraId="0582039E" w14:textId="7645FCCA" w:rsidR="00151B84" w:rsidRPr="00503F5B" w:rsidRDefault="00151B84" w:rsidP="00151B84">
            <w:pPr>
              <w:jc w:val="right"/>
              <w:rPr>
                <w:sz w:val="20"/>
                <w:szCs w:val="20"/>
                <w:lang w:val="en-AU"/>
              </w:rPr>
            </w:pPr>
            <w:r w:rsidRPr="00503F5B">
              <w:rPr>
                <w:sz w:val="20"/>
                <w:szCs w:val="20"/>
                <w:lang w:val="en-AU"/>
              </w:rPr>
              <w:t xml:space="preserve"> 11,726 </w:t>
            </w:r>
          </w:p>
        </w:tc>
        <w:tc>
          <w:tcPr>
            <w:tcW w:w="851" w:type="dxa"/>
            <w:tcBorders>
              <w:top w:val="double" w:sz="4" w:space="0" w:color="ED7C5D"/>
            </w:tcBorders>
            <w:noWrap/>
            <w:hideMark/>
          </w:tcPr>
          <w:p w14:paraId="67D1819D" w14:textId="6EEABDC3" w:rsidR="00151B84" w:rsidRPr="00503F5B" w:rsidRDefault="00151B84" w:rsidP="00151B84">
            <w:pPr>
              <w:jc w:val="right"/>
              <w:rPr>
                <w:sz w:val="20"/>
                <w:szCs w:val="20"/>
                <w:lang w:val="en-AU"/>
              </w:rPr>
            </w:pPr>
            <w:r w:rsidRPr="00503F5B">
              <w:rPr>
                <w:sz w:val="20"/>
                <w:szCs w:val="20"/>
                <w:lang w:val="en-AU"/>
              </w:rPr>
              <w:t xml:space="preserve"> 12,395 </w:t>
            </w:r>
          </w:p>
        </w:tc>
        <w:tc>
          <w:tcPr>
            <w:tcW w:w="850" w:type="dxa"/>
            <w:tcBorders>
              <w:top w:val="double" w:sz="4" w:space="0" w:color="ED7C5D"/>
            </w:tcBorders>
            <w:noWrap/>
            <w:hideMark/>
          </w:tcPr>
          <w:p w14:paraId="6B664D3B" w14:textId="2131BA18" w:rsidR="00151B84" w:rsidRPr="00503F5B" w:rsidRDefault="00151B84" w:rsidP="00151B84">
            <w:pPr>
              <w:jc w:val="right"/>
              <w:rPr>
                <w:sz w:val="20"/>
                <w:szCs w:val="20"/>
                <w:lang w:val="en-AU"/>
              </w:rPr>
            </w:pPr>
            <w:r w:rsidRPr="00503F5B">
              <w:rPr>
                <w:sz w:val="20"/>
                <w:szCs w:val="20"/>
                <w:lang w:val="en-AU"/>
              </w:rPr>
              <w:t xml:space="preserve"> 14,025 </w:t>
            </w:r>
          </w:p>
        </w:tc>
        <w:tc>
          <w:tcPr>
            <w:tcW w:w="851" w:type="dxa"/>
            <w:tcBorders>
              <w:top w:val="double" w:sz="4" w:space="0" w:color="ED7C5D"/>
            </w:tcBorders>
            <w:noWrap/>
            <w:hideMark/>
          </w:tcPr>
          <w:p w14:paraId="4EADD189" w14:textId="6B95E871" w:rsidR="00151B84" w:rsidRPr="00503F5B" w:rsidRDefault="00151B84" w:rsidP="00151B84">
            <w:pPr>
              <w:jc w:val="right"/>
              <w:rPr>
                <w:sz w:val="20"/>
                <w:szCs w:val="20"/>
                <w:lang w:val="en-AU"/>
              </w:rPr>
            </w:pPr>
            <w:r w:rsidRPr="00503F5B">
              <w:rPr>
                <w:sz w:val="20"/>
                <w:szCs w:val="20"/>
                <w:lang w:val="en-AU"/>
              </w:rPr>
              <w:t xml:space="preserve"> 11,789 </w:t>
            </w:r>
          </w:p>
        </w:tc>
        <w:tc>
          <w:tcPr>
            <w:tcW w:w="889" w:type="dxa"/>
            <w:tcBorders>
              <w:top w:val="double" w:sz="4" w:space="0" w:color="ED7C5D"/>
            </w:tcBorders>
          </w:tcPr>
          <w:p w14:paraId="7D4C4D68" w14:textId="1F4C99C0" w:rsidR="00151B84" w:rsidRPr="00503F5B" w:rsidRDefault="00151B84" w:rsidP="00151B84">
            <w:pPr>
              <w:jc w:val="right"/>
              <w:rPr>
                <w:sz w:val="20"/>
                <w:szCs w:val="20"/>
                <w:lang w:val="en-AU"/>
              </w:rPr>
            </w:pPr>
            <w:r w:rsidRPr="00503F5B">
              <w:rPr>
                <w:sz w:val="20"/>
                <w:szCs w:val="20"/>
                <w:lang w:val="en-AU"/>
              </w:rPr>
              <w:t xml:space="preserve"> 12,889 </w:t>
            </w:r>
          </w:p>
        </w:tc>
        <w:tc>
          <w:tcPr>
            <w:tcW w:w="850" w:type="dxa"/>
            <w:tcBorders>
              <w:top w:val="double" w:sz="4" w:space="0" w:color="ED7C5D"/>
            </w:tcBorders>
          </w:tcPr>
          <w:p w14:paraId="73428A69" w14:textId="6A96FD53" w:rsidR="00151B84" w:rsidRPr="00503F5B" w:rsidRDefault="00151B84" w:rsidP="00151B84">
            <w:pPr>
              <w:jc w:val="right"/>
              <w:rPr>
                <w:sz w:val="20"/>
                <w:szCs w:val="20"/>
                <w:lang w:val="en-AU"/>
              </w:rPr>
            </w:pPr>
            <w:r w:rsidRPr="00503F5B">
              <w:rPr>
                <w:sz w:val="20"/>
                <w:szCs w:val="20"/>
                <w:lang w:val="en-AU"/>
              </w:rPr>
              <w:t xml:space="preserve"> 14,008 </w:t>
            </w:r>
          </w:p>
        </w:tc>
        <w:tc>
          <w:tcPr>
            <w:tcW w:w="851" w:type="dxa"/>
            <w:tcBorders>
              <w:top w:val="double" w:sz="4" w:space="0" w:color="ED7C5D"/>
            </w:tcBorders>
          </w:tcPr>
          <w:p w14:paraId="5AC4D342" w14:textId="21CA3DB9" w:rsidR="00151B84" w:rsidRPr="00503F5B" w:rsidRDefault="00151B84" w:rsidP="00151B84">
            <w:pPr>
              <w:jc w:val="right"/>
              <w:rPr>
                <w:sz w:val="20"/>
                <w:szCs w:val="20"/>
                <w:lang w:val="en-AU"/>
              </w:rPr>
            </w:pPr>
            <w:r w:rsidRPr="00503F5B">
              <w:rPr>
                <w:sz w:val="20"/>
                <w:szCs w:val="20"/>
                <w:lang w:val="en-AU"/>
              </w:rPr>
              <w:t xml:space="preserve"> 16,518 </w:t>
            </w:r>
          </w:p>
        </w:tc>
        <w:tc>
          <w:tcPr>
            <w:tcW w:w="851" w:type="dxa"/>
            <w:tcBorders>
              <w:top w:val="double" w:sz="4" w:space="0" w:color="ED7C5D"/>
            </w:tcBorders>
          </w:tcPr>
          <w:p w14:paraId="4BE96138" w14:textId="53AE20DD" w:rsidR="00151B84" w:rsidRPr="00503F5B" w:rsidRDefault="00151B84" w:rsidP="00151B84">
            <w:pPr>
              <w:jc w:val="right"/>
              <w:rPr>
                <w:sz w:val="20"/>
                <w:szCs w:val="20"/>
                <w:lang w:val="en-AU"/>
              </w:rPr>
            </w:pPr>
            <w:r w:rsidRPr="00503F5B">
              <w:rPr>
                <w:sz w:val="20"/>
                <w:szCs w:val="20"/>
                <w:lang w:val="en-AU"/>
              </w:rPr>
              <w:t xml:space="preserve"> 17,112 </w:t>
            </w:r>
          </w:p>
        </w:tc>
        <w:tc>
          <w:tcPr>
            <w:tcW w:w="953" w:type="dxa"/>
            <w:tcBorders>
              <w:top w:val="double" w:sz="4" w:space="0" w:color="ED7C5D"/>
            </w:tcBorders>
          </w:tcPr>
          <w:p w14:paraId="53437DCE" w14:textId="71FF71DC" w:rsidR="00151B84" w:rsidRPr="00503F5B" w:rsidRDefault="00151B84" w:rsidP="00151B84">
            <w:pPr>
              <w:jc w:val="right"/>
              <w:rPr>
                <w:sz w:val="20"/>
                <w:szCs w:val="20"/>
                <w:lang w:val="en-AU"/>
              </w:rPr>
            </w:pPr>
            <w:r w:rsidRPr="00503F5B">
              <w:rPr>
                <w:sz w:val="20"/>
                <w:szCs w:val="20"/>
                <w:lang w:val="en-AU"/>
              </w:rPr>
              <w:t xml:space="preserve"> 13,808 </w:t>
            </w:r>
          </w:p>
        </w:tc>
      </w:tr>
      <w:tr w:rsidR="00151B84" w:rsidRPr="00503F5B" w14:paraId="468D9FA1" w14:textId="77777777" w:rsidTr="00877396">
        <w:trPr>
          <w:trHeight w:val="81"/>
          <w:jc w:val="center"/>
        </w:trPr>
        <w:tc>
          <w:tcPr>
            <w:tcW w:w="1985" w:type="dxa"/>
            <w:noWrap/>
            <w:hideMark/>
          </w:tcPr>
          <w:p w14:paraId="6E7371F2" w14:textId="77777777" w:rsidR="00151B84" w:rsidRPr="00503F5B" w:rsidRDefault="00151B84" w:rsidP="00151B84">
            <w:pPr>
              <w:rPr>
                <w:sz w:val="20"/>
                <w:szCs w:val="20"/>
                <w:lang w:val="en-AU"/>
              </w:rPr>
            </w:pPr>
            <w:r w:rsidRPr="00503F5B">
              <w:rPr>
                <w:sz w:val="20"/>
                <w:szCs w:val="20"/>
                <w:lang w:val="en-AU"/>
              </w:rPr>
              <w:t>EMR</w:t>
            </w:r>
          </w:p>
        </w:tc>
        <w:tc>
          <w:tcPr>
            <w:tcW w:w="850" w:type="dxa"/>
            <w:noWrap/>
            <w:hideMark/>
          </w:tcPr>
          <w:p w14:paraId="5DE7529D" w14:textId="32020BDC" w:rsidR="00151B84" w:rsidRPr="00503F5B" w:rsidRDefault="00151B84" w:rsidP="00151B84">
            <w:pPr>
              <w:jc w:val="right"/>
              <w:rPr>
                <w:sz w:val="20"/>
                <w:szCs w:val="20"/>
                <w:lang w:val="en-AU"/>
              </w:rPr>
            </w:pPr>
            <w:r w:rsidRPr="00503F5B">
              <w:rPr>
                <w:sz w:val="20"/>
                <w:szCs w:val="20"/>
                <w:lang w:val="en-AU"/>
              </w:rPr>
              <w:t xml:space="preserve"> 1,338 </w:t>
            </w:r>
          </w:p>
        </w:tc>
        <w:tc>
          <w:tcPr>
            <w:tcW w:w="851" w:type="dxa"/>
            <w:noWrap/>
            <w:hideMark/>
          </w:tcPr>
          <w:p w14:paraId="0E593B10" w14:textId="40A030C2" w:rsidR="00151B84" w:rsidRPr="00503F5B" w:rsidRDefault="00151B84" w:rsidP="00151B84">
            <w:pPr>
              <w:jc w:val="right"/>
              <w:rPr>
                <w:sz w:val="20"/>
                <w:szCs w:val="20"/>
                <w:lang w:val="en-AU"/>
              </w:rPr>
            </w:pPr>
            <w:r w:rsidRPr="00503F5B">
              <w:rPr>
                <w:sz w:val="20"/>
                <w:szCs w:val="20"/>
                <w:lang w:val="en-AU"/>
              </w:rPr>
              <w:t xml:space="preserve"> 1,439 </w:t>
            </w:r>
          </w:p>
        </w:tc>
        <w:tc>
          <w:tcPr>
            <w:tcW w:w="850" w:type="dxa"/>
            <w:noWrap/>
            <w:hideMark/>
          </w:tcPr>
          <w:p w14:paraId="103B891E" w14:textId="007DC48A" w:rsidR="00151B84" w:rsidRPr="00503F5B" w:rsidRDefault="00151B84" w:rsidP="00151B84">
            <w:pPr>
              <w:jc w:val="right"/>
              <w:rPr>
                <w:sz w:val="20"/>
                <w:szCs w:val="20"/>
                <w:lang w:val="en-AU"/>
              </w:rPr>
            </w:pPr>
            <w:r w:rsidRPr="00503F5B">
              <w:rPr>
                <w:sz w:val="20"/>
                <w:szCs w:val="20"/>
                <w:lang w:val="en-AU"/>
              </w:rPr>
              <w:t xml:space="preserve"> 1,633 </w:t>
            </w:r>
          </w:p>
        </w:tc>
        <w:tc>
          <w:tcPr>
            <w:tcW w:w="851" w:type="dxa"/>
            <w:noWrap/>
            <w:hideMark/>
          </w:tcPr>
          <w:p w14:paraId="5707EF22" w14:textId="5FCA79A0" w:rsidR="00151B84" w:rsidRPr="00503F5B" w:rsidRDefault="00151B84" w:rsidP="00151B84">
            <w:pPr>
              <w:jc w:val="right"/>
              <w:rPr>
                <w:sz w:val="20"/>
                <w:szCs w:val="20"/>
                <w:lang w:val="en-AU"/>
              </w:rPr>
            </w:pPr>
            <w:r w:rsidRPr="00503F5B">
              <w:rPr>
                <w:sz w:val="20"/>
                <w:szCs w:val="20"/>
                <w:lang w:val="en-AU"/>
              </w:rPr>
              <w:t xml:space="preserve"> 1,627 </w:t>
            </w:r>
          </w:p>
        </w:tc>
        <w:tc>
          <w:tcPr>
            <w:tcW w:w="889" w:type="dxa"/>
          </w:tcPr>
          <w:p w14:paraId="666DBDC5" w14:textId="67B0F7B6" w:rsidR="00151B84" w:rsidRPr="00503F5B" w:rsidRDefault="00151B84" w:rsidP="00151B84">
            <w:pPr>
              <w:jc w:val="right"/>
              <w:rPr>
                <w:sz w:val="20"/>
                <w:szCs w:val="20"/>
                <w:lang w:val="en-AU"/>
              </w:rPr>
            </w:pPr>
            <w:r w:rsidRPr="00503F5B">
              <w:rPr>
                <w:sz w:val="20"/>
                <w:szCs w:val="20"/>
                <w:lang w:val="en-AU"/>
              </w:rPr>
              <w:t xml:space="preserve"> 1,330 </w:t>
            </w:r>
          </w:p>
        </w:tc>
        <w:tc>
          <w:tcPr>
            <w:tcW w:w="850" w:type="dxa"/>
          </w:tcPr>
          <w:p w14:paraId="1B162747" w14:textId="4832A916" w:rsidR="00151B84" w:rsidRPr="00503F5B" w:rsidRDefault="00151B84" w:rsidP="00151B84">
            <w:pPr>
              <w:jc w:val="right"/>
              <w:rPr>
                <w:sz w:val="20"/>
                <w:szCs w:val="20"/>
                <w:lang w:val="en-AU"/>
              </w:rPr>
            </w:pPr>
            <w:r w:rsidRPr="00503F5B">
              <w:rPr>
                <w:sz w:val="20"/>
                <w:szCs w:val="20"/>
                <w:lang w:val="en-AU"/>
              </w:rPr>
              <w:t xml:space="preserve"> 1,369 </w:t>
            </w:r>
          </w:p>
        </w:tc>
        <w:tc>
          <w:tcPr>
            <w:tcW w:w="851" w:type="dxa"/>
          </w:tcPr>
          <w:p w14:paraId="3BED9A2C" w14:textId="054185F7" w:rsidR="00151B84" w:rsidRPr="00503F5B" w:rsidRDefault="00151B84" w:rsidP="00151B84">
            <w:pPr>
              <w:jc w:val="right"/>
              <w:rPr>
                <w:sz w:val="20"/>
                <w:szCs w:val="20"/>
                <w:lang w:val="en-AU"/>
              </w:rPr>
            </w:pPr>
            <w:r w:rsidRPr="00503F5B">
              <w:rPr>
                <w:sz w:val="20"/>
                <w:szCs w:val="20"/>
                <w:lang w:val="en-AU"/>
              </w:rPr>
              <w:t xml:space="preserve"> 1,547 </w:t>
            </w:r>
          </w:p>
        </w:tc>
        <w:tc>
          <w:tcPr>
            <w:tcW w:w="851" w:type="dxa"/>
          </w:tcPr>
          <w:p w14:paraId="2540597C" w14:textId="18CB211A" w:rsidR="00151B84" w:rsidRPr="00503F5B" w:rsidRDefault="00151B84" w:rsidP="00151B84">
            <w:pPr>
              <w:jc w:val="right"/>
              <w:rPr>
                <w:sz w:val="20"/>
                <w:szCs w:val="20"/>
                <w:lang w:val="en-AU"/>
              </w:rPr>
            </w:pPr>
            <w:r w:rsidRPr="00503F5B">
              <w:rPr>
                <w:sz w:val="20"/>
                <w:szCs w:val="20"/>
                <w:lang w:val="en-AU"/>
              </w:rPr>
              <w:t xml:space="preserve"> 2,092 </w:t>
            </w:r>
          </w:p>
        </w:tc>
        <w:tc>
          <w:tcPr>
            <w:tcW w:w="953" w:type="dxa"/>
          </w:tcPr>
          <w:p w14:paraId="30B5B92C" w14:textId="739E9C0B" w:rsidR="00151B84" w:rsidRPr="00503F5B" w:rsidRDefault="00151B84" w:rsidP="00151B84">
            <w:pPr>
              <w:jc w:val="right"/>
              <w:rPr>
                <w:sz w:val="20"/>
                <w:szCs w:val="20"/>
                <w:lang w:val="en-AU"/>
              </w:rPr>
            </w:pPr>
            <w:r w:rsidRPr="00503F5B">
              <w:rPr>
                <w:sz w:val="20"/>
                <w:szCs w:val="20"/>
                <w:lang w:val="en-AU"/>
              </w:rPr>
              <w:t xml:space="preserve"> 1,547 </w:t>
            </w:r>
          </w:p>
        </w:tc>
      </w:tr>
      <w:tr w:rsidR="00151B84" w:rsidRPr="00503F5B" w14:paraId="1887EA64" w14:textId="77777777" w:rsidTr="00877396">
        <w:trPr>
          <w:trHeight w:val="59"/>
          <w:jc w:val="center"/>
        </w:trPr>
        <w:tc>
          <w:tcPr>
            <w:tcW w:w="1985" w:type="dxa"/>
            <w:noWrap/>
            <w:hideMark/>
          </w:tcPr>
          <w:p w14:paraId="4231CABD" w14:textId="77777777" w:rsidR="00151B84" w:rsidRPr="00503F5B" w:rsidRDefault="00151B84" w:rsidP="00151B84">
            <w:pPr>
              <w:rPr>
                <w:sz w:val="20"/>
                <w:szCs w:val="20"/>
                <w:lang w:val="en-AU"/>
              </w:rPr>
            </w:pPr>
            <w:r w:rsidRPr="00503F5B">
              <w:rPr>
                <w:sz w:val="20"/>
                <w:szCs w:val="20"/>
                <w:lang w:val="en-AU"/>
              </w:rPr>
              <w:t>MVA</w:t>
            </w:r>
          </w:p>
        </w:tc>
        <w:tc>
          <w:tcPr>
            <w:tcW w:w="850" w:type="dxa"/>
            <w:noWrap/>
            <w:hideMark/>
          </w:tcPr>
          <w:p w14:paraId="0B3B9A0B" w14:textId="5EC55709" w:rsidR="00151B84" w:rsidRPr="00503F5B" w:rsidRDefault="00151B84" w:rsidP="00151B84">
            <w:pPr>
              <w:jc w:val="right"/>
              <w:rPr>
                <w:sz w:val="20"/>
                <w:szCs w:val="20"/>
                <w:lang w:val="en-AU"/>
              </w:rPr>
            </w:pPr>
            <w:r w:rsidRPr="00503F5B">
              <w:rPr>
                <w:sz w:val="20"/>
                <w:szCs w:val="20"/>
                <w:lang w:val="en-AU"/>
              </w:rPr>
              <w:t xml:space="preserve"> 1,812 </w:t>
            </w:r>
          </w:p>
        </w:tc>
        <w:tc>
          <w:tcPr>
            <w:tcW w:w="851" w:type="dxa"/>
            <w:noWrap/>
            <w:hideMark/>
          </w:tcPr>
          <w:p w14:paraId="08914242" w14:textId="0E67F4CE" w:rsidR="00151B84" w:rsidRPr="00503F5B" w:rsidRDefault="00151B84" w:rsidP="00151B84">
            <w:pPr>
              <w:jc w:val="right"/>
              <w:rPr>
                <w:sz w:val="20"/>
                <w:szCs w:val="20"/>
                <w:lang w:val="en-AU"/>
              </w:rPr>
            </w:pPr>
            <w:r w:rsidRPr="00503F5B">
              <w:rPr>
                <w:sz w:val="20"/>
                <w:szCs w:val="20"/>
                <w:lang w:val="en-AU"/>
              </w:rPr>
              <w:t xml:space="preserve"> 1,865 </w:t>
            </w:r>
          </w:p>
        </w:tc>
        <w:tc>
          <w:tcPr>
            <w:tcW w:w="850" w:type="dxa"/>
            <w:noWrap/>
            <w:hideMark/>
          </w:tcPr>
          <w:p w14:paraId="47A7A289" w14:textId="0B335A0F" w:rsidR="00151B84" w:rsidRPr="00503F5B" w:rsidRDefault="00151B84" w:rsidP="00151B84">
            <w:pPr>
              <w:jc w:val="right"/>
              <w:rPr>
                <w:sz w:val="20"/>
                <w:szCs w:val="20"/>
                <w:lang w:val="en-AU"/>
              </w:rPr>
            </w:pPr>
            <w:r w:rsidRPr="00503F5B">
              <w:rPr>
                <w:sz w:val="20"/>
                <w:szCs w:val="20"/>
                <w:lang w:val="en-AU"/>
              </w:rPr>
              <w:t xml:space="preserve"> 1,834 </w:t>
            </w:r>
          </w:p>
        </w:tc>
        <w:tc>
          <w:tcPr>
            <w:tcW w:w="851" w:type="dxa"/>
            <w:noWrap/>
            <w:hideMark/>
          </w:tcPr>
          <w:p w14:paraId="05134355" w14:textId="029B8648" w:rsidR="00151B84" w:rsidRPr="00503F5B" w:rsidRDefault="00151B84" w:rsidP="00151B84">
            <w:pPr>
              <w:jc w:val="right"/>
              <w:rPr>
                <w:sz w:val="20"/>
                <w:szCs w:val="20"/>
                <w:lang w:val="en-AU"/>
              </w:rPr>
            </w:pPr>
            <w:r w:rsidRPr="00503F5B">
              <w:rPr>
                <w:sz w:val="20"/>
                <w:szCs w:val="20"/>
                <w:lang w:val="en-AU"/>
              </w:rPr>
              <w:t xml:space="preserve"> 2,096 </w:t>
            </w:r>
          </w:p>
        </w:tc>
        <w:tc>
          <w:tcPr>
            <w:tcW w:w="889" w:type="dxa"/>
          </w:tcPr>
          <w:p w14:paraId="4F0AB406" w14:textId="47C711B5" w:rsidR="00151B84" w:rsidRPr="00503F5B" w:rsidRDefault="00151B84" w:rsidP="00151B84">
            <w:pPr>
              <w:jc w:val="right"/>
              <w:rPr>
                <w:sz w:val="20"/>
                <w:szCs w:val="20"/>
                <w:lang w:val="en-AU"/>
              </w:rPr>
            </w:pPr>
            <w:r w:rsidRPr="00503F5B">
              <w:rPr>
                <w:sz w:val="20"/>
                <w:szCs w:val="20"/>
                <w:lang w:val="en-AU"/>
              </w:rPr>
              <w:t xml:space="preserve"> 2,262 </w:t>
            </w:r>
          </w:p>
        </w:tc>
        <w:tc>
          <w:tcPr>
            <w:tcW w:w="850" w:type="dxa"/>
          </w:tcPr>
          <w:p w14:paraId="68A92118" w14:textId="680E372F" w:rsidR="00151B84" w:rsidRPr="00503F5B" w:rsidRDefault="00151B84" w:rsidP="00151B84">
            <w:pPr>
              <w:jc w:val="right"/>
              <w:rPr>
                <w:sz w:val="20"/>
                <w:szCs w:val="20"/>
                <w:lang w:val="en-AU"/>
              </w:rPr>
            </w:pPr>
            <w:r w:rsidRPr="00503F5B">
              <w:rPr>
                <w:sz w:val="20"/>
                <w:szCs w:val="20"/>
                <w:lang w:val="en-AU"/>
              </w:rPr>
              <w:t xml:space="preserve"> 2,390 </w:t>
            </w:r>
          </w:p>
        </w:tc>
        <w:tc>
          <w:tcPr>
            <w:tcW w:w="851" w:type="dxa"/>
          </w:tcPr>
          <w:p w14:paraId="3B678A88" w14:textId="23084306" w:rsidR="00151B84" w:rsidRPr="00503F5B" w:rsidRDefault="00151B84" w:rsidP="00151B84">
            <w:pPr>
              <w:jc w:val="right"/>
              <w:rPr>
                <w:sz w:val="20"/>
                <w:szCs w:val="20"/>
                <w:lang w:val="en-AU"/>
              </w:rPr>
            </w:pPr>
            <w:r w:rsidRPr="00503F5B">
              <w:rPr>
                <w:sz w:val="20"/>
                <w:szCs w:val="20"/>
                <w:lang w:val="en-AU"/>
              </w:rPr>
              <w:t xml:space="preserve"> 2,543 </w:t>
            </w:r>
          </w:p>
        </w:tc>
        <w:tc>
          <w:tcPr>
            <w:tcW w:w="851" w:type="dxa"/>
          </w:tcPr>
          <w:p w14:paraId="0E3A6411" w14:textId="0CE56184" w:rsidR="00151B84" w:rsidRPr="00503F5B" w:rsidRDefault="00151B84" w:rsidP="00151B84">
            <w:pPr>
              <w:jc w:val="right"/>
              <w:rPr>
                <w:sz w:val="20"/>
                <w:szCs w:val="20"/>
                <w:lang w:val="en-AU"/>
              </w:rPr>
            </w:pPr>
            <w:r w:rsidRPr="00503F5B">
              <w:rPr>
                <w:sz w:val="20"/>
                <w:szCs w:val="20"/>
                <w:lang w:val="en-AU"/>
              </w:rPr>
              <w:t xml:space="preserve"> 2,468 </w:t>
            </w:r>
          </w:p>
        </w:tc>
        <w:tc>
          <w:tcPr>
            <w:tcW w:w="953" w:type="dxa"/>
          </w:tcPr>
          <w:p w14:paraId="711D9FCA" w14:textId="20102391" w:rsidR="00151B84" w:rsidRPr="00503F5B" w:rsidRDefault="00151B84" w:rsidP="00151B84">
            <w:pPr>
              <w:jc w:val="right"/>
              <w:rPr>
                <w:sz w:val="20"/>
                <w:szCs w:val="20"/>
                <w:lang w:val="en-AU"/>
              </w:rPr>
            </w:pPr>
            <w:r w:rsidRPr="00503F5B">
              <w:rPr>
                <w:sz w:val="20"/>
                <w:szCs w:val="20"/>
                <w:lang w:val="en-AU"/>
              </w:rPr>
              <w:t xml:space="preserve"> 2,159 </w:t>
            </w:r>
          </w:p>
        </w:tc>
      </w:tr>
      <w:tr w:rsidR="00151B84" w:rsidRPr="00503F5B" w14:paraId="0B739C1E" w14:textId="77777777" w:rsidTr="00877396">
        <w:trPr>
          <w:trHeight w:val="81"/>
          <w:jc w:val="center"/>
        </w:trPr>
        <w:tc>
          <w:tcPr>
            <w:tcW w:w="1985" w:type="dxa"/>
            <w:noWrap/>
            <w:hideMark/>
          </w:tcPr>
          <w:p w14:paraId="3137C849" w14:textId="77777777" w:rsidR="00151B84" w:rsidRPr="00503F5B" w:rsidRDefault="00151B84" w:rsidP="00151B84">
            <w:pPr>
              <w:rPr>
                <w:sz w:val="20"/>
                <w:szCs w:val="20"/>
                <w:lang w:val="en-AU"/>
              </w:rPr>
            </w:pPr>
            <w:r w:rsidRPr="00503F5B">
              <w:rPr>
                <w:sz w:val="20"/>
                <w:szCs w:val="20"/>
                <w:lang w:val="en-AU"/>
              </w:rPr>
              <w:t>Rescues &amp; Medical Assistance</w:t>
            </w:r>
            <w:r w:rsidRPr="00503F5B">
              <w:rPr>
                <w:rStyle w:val="FootnoteReference"/>
                <w:sz w:val="20"/>
                <w:szCs w:val="20"/>
                <w:lang w:val="en-AU"/>
              </w:rPr>
              <w:footnoteReference w:id="23"/>
            </w:r>
          </w:p>
        </w:tc>
        <w:tc>
          <w:tcPr>
            <w:tcW w:w="850" w:type="dxa"/>
            <w:noWrap/>
            <w:hideMark/>
          </w:tcPr>
          <w:p w14:paraId="440B56B6" w14:textId="47F7C8FE" w:rsidR="00151B84" w:rsidRPr="00503F5B" w:rsidRDefault="00151B84" w:rsidP="00151B84">
            <w:pPr>
              <w:jc w:val="right"/>
              <w:rPr>
                <w:sz w:val="20"/>
                <w:szCs w:val="20"/>
                <w:lang w:val="en-AU"/>
              </w:rPr>
            </w:pPr>
            <w:r w:rsidRPr="00503F5B">
              <w:rPr>
                <w:sz w:val="20"/>
                <w:szCs w:val="20"/>
                <w:lang w:val="en-AU"/>
              </w:rPr>
              <w:t xml:space="preserve"> 751 </w:t>
            </w:r>
          </w:p>
        </w:tc>
        <w:tc>
          <w:tcPr>
            <w:tcW w:w="851" w:type="dxa"/>
            <w:noWrap/>
            <w:hideMark/>
          </w:tcPr>
          <w:p w14:paraId="020A54D2" w14:textId="3471A958" w:rsidR="00151B84" w:rsidRPr="00503F5B" w:rsidRDefault="00151B84" w:rsidP="00151B84">
            <w:pPr>
              <w:jc w:val="right"/>
              <w:rPr>
                <w:sz w:val="20"/>
                <w:szCs w:val="20"/>
                <w:lang w:val="en-AU"/>
              </w:rPr>
            </w:pPr>
            <w:r w:rsidRPr="00503F5B">
              <w:rPr>
                <w:sz w:val="20"/>
                <w:szCs w:val="20"/>
                <w:lang w:val="en-AU"/>
              </w:rPr>
              <w:t xml:space="preserve"> 739 </w:t>
            </w:r>
          </w:p>
        </w:tc>
        <w:tc>
          <w:tcPr>
            <w:tcW w:w="850" w:type="dxa"/>
            <w:noWrap/>
            <w:hideMark/>
          </w:tcPr>
          <w:p w14:paraId="6164A174" w14:textId="7EC60F32" w:rsidR="00151B84" w:rsidRPr="00503F5B" w:rsidRDefault="00151B84" w:rsidP="00151B84">
            <w:pPr>
              <w:jc w:val="right"/>
              <w:rPr>
                <w:sz w:val="20"/>
                <w:szCs w:val="20"/>
                <w:lang w:val="en-AU"/>
              </w:rPr>
            </w:pPr>
            <w:r w:rsidRPr="00503F5B">
              <w:rPr>
                <w:sz w:val="20"/>
                <w:szCs w:val="20"/>
                <w:lang w:val="en-AU"/>
              </w:rPr>
              <w:t xml:space="preserve"> 638 </w:t>
            </w:r>
          </w:p>
        </w:tc>
        <w:tc>
          <w:tcPr>
            <w:tcW w:w="851" w:type="dxa"/>
            <w:noWrap/>
            <w:hideMark/>
          </w:tcPr>
          <w:p w14:paraId="6C92BC93" w14:textId="6F627A11" w:rsidR="00151B84" w:rsidRPr="00503F5B" w:rsidRDefault="00151B84" w:rsidP="00151B84">
            <w:pPr>
              <w:jc w:val="right"/>
              <w:rPr>
                <w:sz w:val="20"/>
                <w:szCs w:val="20"/>
                <w:lang w:val="en-AU"/>
              </w:rPr>
            </w:pPr>
            <w:r w:rsidRPr="00503F5B">
              <w:rPr>
                <w:sz w:val="20"/>
                <w:szCs w:val="20"/>
                <w:lang w:val="en-AU"/>
              </w:rPr>
              <w:t xml:space="preserve"> 698 </w:t>
            </w:r>
          </w:p>
        </w:tc>
        <w:tc>
          <w:tcPr>
            <w:tcW w:w="889" w:type="dxa"/>
          </w:tcPr>
          <w:p w14:paraId="545957A6" w14:textId="69DC445D" w:rsidR="00151B84" w:rsidRPr="00503F5B" w:rsidRDefault="00151B84" w:rsidP="00151B84">
            <w:pPr>
              <w:jc w:val="right"/>
              <w:rPr>
                <w:sz w:val="20"/>
                <w:szCs w:val="20"/>
                <w:lang w:val="en-AU"/>
              </w:rPr>
            </w:pPr>
            <w:r w:rsidRPr="00503F5B">
              <w:rPr>
                <w:sz w:val="20"/>
                <w:szCs w:val="20"/>
                <w:lang w:val="en-AU"/>
              </w:rPr>
              <w:t xml:space="preserve"> 786 </w:t>
            </w:r>
          </w:p>
        </w:tc>
        <w:tc>
          <w:tcPr>
            <w:tcW w:w="850" w:type="dxa"/>
          </w:tcPr>
          <w:p w14:paraId="02846C13" w14:textId="69C0A7EB" w:rsidR="00151B84" w:rsidRPr="00503F5B" w:rsidRDefault="00151B84" w:rsidP="00151B84">
            <w:pPr>
              <w:jc w:val="right"/>
              <w:rPr>
                <w:sz w:val="20"/>
                <w:szCs w:val="20"/>
                <w:lang w:val="en-AU"/>
              </w:rPr>
            </w:pPr>
            <w:r w:rsidRPr="00503F5B">
              <w:rPr>
                <w:sz w:val="20"/>
                <w:szCs w:val="20"/>
                <w:lang w:val="en-AU"/>
              </w:rPr>
              <w:t xml:space="preserve"> 821 </w:t>
            </w:r>
          </w:p>
        </w:tc>
        <w:tc>
          <w:tcPr>
            <w:tcW w:w="851" w:type="dxa"/>
          </w:tcPr>
          <w:p w14:paraId="2D32D68A" w14:textId="7EB86615" w:rsidR="00151B84" w:rsidRPr="00503F5B" w:rsidRDefault="00151B84" w:rsidP="00151B84">
            <w:pPr>
              <w:jc w:val="right"/>
              <w:rPr>
                <w:sz w:val="20"/>
                <w:szCs w:val="20"/>
                <w:lang w:val="en-AU"/>
              </w:rPr>
            </w:pPr>
            <w:r w:rsidRPr="00503F5B">
              <w:rPr>
                <w:sz w:val="20"/>
                <w:szCs w:val="20"/>
                <w:lang w:val="en-AU"/>
              </w:rPr>
              <w:t xml:space="preserve"> 1,003 </w:t>
            </w:r>
          </w:p>
        </w:tc>
        <w:tc>
          <w:tcPr>
            <w:tcW w:w="851" w:type="dxa"/>
          </w:tcPr>
          <w:p w14:paraId="125D4A79" w14:textId="105972D1" w:rsidR="00151B84" w:rsidRPr="00503F5B" w:rsidRDefault="00151B84" w:rsidP="00151B84">
            <w:pPr>
              <w:jc w:val="right"/>
              <w:rPr>
                <w:sz w:val="20"/>
                <w:szCs w:val="20"/>
                <w:lang w:val="en-AU"/>
              </w:rPr>
            </w:pPr>
            <w:r w:rsidRPr="00503F5B">
              <w:rPr>
                <w:sz w:val="20"/>
                <w:szCs w:val="20"/>
                <w:lang w:val="en-AU"/>
              </w:rPr>
              <w:t xml:space="preserve"> 1,580 </w:t>
            </w:r>
          </w:p>
        </w:tc>
        <w:tc>
          <w:tcPr>
            <w:tcW w:w="953" w:type="dxa"/>
          </w:tcPr>
          <w:p w14:paraId="1FFEC260" w14:textId="730E2AA1" w:rsidR="00151B84" w:rsidRPr="00503F5B" w:rsidRDefault="00151B84" w:rsidP="00151B84">
            <w:pPr>
              <w:jc w:val="right"/>
              <w:rPr>
                <w:sz w:val="20"/>
                <w:szCs w:val="20"/>
                <w:lang w:val="en-AU"/>
              </w:rPr>
            </w:pPr>
            <w:r w:rsidRPr="00503F5B">
              <w:rPr>
                <w:sz w:val="20"/>
                <w:szCs w:val="20"/>
                <w:lang w:val="en-AU"/>
              </w:rPr>
              <w:t xml:space="preserve"> 877 </w:t>
            </w:r>
          </w:p>
        </w:tc>
      </w:tr>
      <w:tr w:rsidR="00151B84" w:rsidRPr="00503F5B" w14:paraId="610FA8C3" w14:textId="77777777" w:rsidTr="00877396">
        <w:trPr>
          <w:trHeight w:val="81"/>
          <w:jc w:val="center"/>
        </w:trPr>
        <w:tc>
          <w:tcPr>
            <w:tcW w:w="1985" w:type="dxa"/>
            <w:noWrap/>
            <w:hideMark/>
          </w:tcPr>
          <w:p w14:paraId="6D38EA10" w14:textId="77777777" w:rsidR="00151B84" w:rsidRPr="00503F5B" w:rsidRDefault="00151B84" w:rsidP="00151B84">
            <w:pPr>
              <w:rPr>
                <w:sz w:val="20"/>
                <w:szCs w:val="20"/>
                <w:lang w:val="en-AU"/>
              </w:rPr>
            </w:pPr>
            <w:r w:rsidRPr="00503F5B">
              <w:rPr>
                <w:sz w:val="20"/>
                <w:szCs w:val="20"/>
                <w:lang w:val="en-AU"/>
              </w:rPr>
              <w:t>HazMat</w:t>
            </w:r>
          </w:p>
        </w:tc>
        <w:tc>
          <w:tcPr>
            <w:tcW w:w="850" w:type="dxa"/>
            <w:noWrap/>
            <w:hideMark/>
          </w:tcPr>
          <w:p w14:paraId="3B78465F" w14:textId="1A4E8004" w:rsidR="00151B84" w:rsidRPr="00503F5B" w:rsidRDefault="00151B84" w:rsidP="00151B84">
            <w:pPr>
              <w:jc w:val="right"/>
              <w:rPr>
                <w:sz w:val="20"/>
                <w:szCs w:val="20"/>
                <w:lang w:val="en-AU"/>
              </w:rPr>
            </w:pPr>
            <w:r w:rsidRPr="00503F5B">
              <w:rPr>
                <w:sz w:val="20"/>
                <w:szCs w:val="20"/>
                <w:lang w:val="en-AU"/>
              </w:rPr>
              <w:t xml:space="preserve"> 1,050 </w:t>
            </w:r>
          </w:p>
        </w:tc>
        <w:tc>
          <w:tcPr>
            <w:tcW w:w="851" w:type="dxa"/>
            <w:noWrap/>
            <w:hideMark/>
          </w:tcPr>
          <w:p w14:paraId="10308D58" w14:textId="08DF108E" w:rsidR="00151B84" w:rsidRPr="00503F5B" w:rsidRDefault="00151B84" w:rsidP="00151B84">
            <w:pPr>
              <w:jc w:val="right"/>
              <w:rPr>
                <w:sz w:val="20"/>
                <w:szCs w:val="20"/>
                <w:lang w:val="en-AU"/>
              </w:rPr>
            </w:pPr>
            <w:r w:rsidRPr="00503F5B">
              <w:rPr>
                <w:sz w:val="20"/>
                <w:szCs w:val="20"/>
                <w:lang w:val="en-AU"/>
              </w:rPr>
              <w:t xml:space="preserve"> 1,547 </w:t>
            </w:r>
          </w:p>
        </w:tc>
        <w:tc>
          <w:tcPr>
            <w:tcW w:w="850" w:type="dxa"/>
            <w:noWrap/>
            <w:hideMark/>
          </w:tcPr>
          <w:p w14:paraId="31AB32D9" w14:textId="1743DA7F" w:rsidR="00151B84" w:rsidRPr="00503F5B" w:rsidRDefault="00151B84" w:rsidP="00151B84">
            <w:pPr>
              <w:jc w:val="right"/>
              <w:rPr>
                <w:sz w:val="20"/>
                <w:szCs w:val="20"/>
                <w:lang w:val="en-AU"/>
              </w:rPr>
            </w:pPr>
            <w:r w:rsidRPr="00503F5B">
              <w:rPr>
                <w:sz w:val="20"/>
                <w:szCs w:val="20"/>
                <w:lang w:val="en-AU"/>
              </w:rPr>
              <w:t xml:space="preserve"> 1,626 </w:t>
            </w:r>
          </w:p>
        </w:tc>
        <w:tc>
          <w:tcPr>
            <w:tcW w:w="851" w:type="dxa"/>
            <w:noWrap/>
            <w:hideMark/>
          </w:tcPr>
          <w:p w14:paraId="0FCA8C6C" w14:textId="2F7CDC80" w:rsidR="00151B84" w:rsidRPr="00503F5B" w:rsidRDefault="00151B84" w:rsidP="00151B84">
            <w:pPr>
              <w:jc w:val="right"/>
              <w:rPr>
                <w:sz w:val="20"/>
                <w:szCs w:val="20"/>
                <w:lang w:val="en-AU"/>
              </w:rPr>
            </w:pPr>
            <w:r w:rsidRPr="00503F5B">
              <w:rPr>
                <w:sz w:val="20"/>
                <w:szCs w:val="20"/>
                <w:lang w:val="en-AU"/>
              </w:rPr>
              <w:t xml:space="preserve"> 1,399 </w:t>
            </w:r>
          </w:p>
        </w:tc>
        <w:tc>
          <w:tcPr>
            <w:tcW w:w="889" w:type="dxa"/>
          </w:tcPr>
          <w:p w14:paraId="6879B9B0" w14:textId="4EC3E8EB" w:rsidR="00151B84" w:rsidRPr="00503F5B" w:rsidRDefault="00151B84" w:rsidP="00151B84">
            <w:pPr>
              <w:jc w:val="right"/>
              <w:rPr>
                <w:sz w:val="20"/>
                <w:szCs w:val="20"/>
                <w:lang w:val="en-AU"/>
              </w:rPr>
            </w:pPr>
            <w:r w:rsidRPr="00503F5B">
              <w:rPr>
                <w:sz w:val="20"/>
                <w:szCs w:val="20"/>
                <w:lang w:val="en-AU"/>
              </w:rPr>
              <w:t xml:space="preserve"> 1,764 </w:t>
            </w:r>
          </w:p>
        </w:tc>
        <w:tc>
          <w:tcPr>
            <w:tcW w:w="850" w:type="dxa"/>
          </w:tcPr>
          <w:p w14:paraId="20D58675" w14:textId="337D1802" w:rsidR="00151B84" w:rsidRPr="00503F5B" w:rsidRDefault="00151B84" w:rsidP="00151B84">
            <w:pPr>
              <w:jc w:val="right"/>
              <w:rPr>
                <w:sz w:val="20"/>
                <w:szCs w:val="20"/>
                <w:lang w:val="en-AU"/>
              </w:rPr>
            </w:pPr>
            <w:r w:rsidRPr="00503F5B">
              <w:rPr>
                <w:sz w:val="20"/>
                <w:szCs w:val="20"/>
                <w:lang w:val="en-AU"/>
              </w:rPr>
              <w:t xml:space="preserve"> 1,389 </w:t>
            </w:r>
          </w:p>
        </w:tc>
        <w:tc>
          <w:tcPr>
            <w:tcW w:w="851" w:type="dxa"/>
          </w:tcPr>
          <w:p w14:paraId="3A93F119" w14:textId="1396E5AD" w:rsidR="00151B84" w:rsidRPr="00503F5B" w:rsidRDefault="00151B84" w:rsidP="00151B84">
            <w:pPr>
              <w:jc w:val="right"/>
              <w:rPr>
                <w:sz w:val="20"/>
                <w:szCs w:val="20"/>
                <w:lang w:val="en-AU"/>
              </w:rPr>
            </w:pPr>
            <w:r w:rsidRPr="00503F5B">
              <w:rPr>
                <w:sz w:val="20"/>
                <w:szCs w:val="20"/>
                <w:lang w:val="en-AU"/>
              </w:rPr>
              <w:t xml:space="preserve"> 1,316 </w:t>
            </w:r>
          </w:p>
        </w:tc>
        <w:tc>
          <w:tcPr>
            <w:tcW w:w="851" w:type="dxa"/>
          </w:tcPr>
          <w:p w14:paraId="58952791" w14:textId="5A12904D" w:rsidR="00151B84" w:rsidRPr="00503F5B" w:rsidRDefault="00151B84" w:rsidP="00151B84">
            <w:pPr>
              <w:jc w:val="right"/>
              <w:rPr>
                <w:sz w:val="20"/>
                <w:szCs w:val="20"/>
                <w:lang w:val="en-AU"/>
              </w:rPr>
            </w:pPr>
            <w:r w:rsidRPr="00503F5B">
              <w:rPr>
                <w:sz w:val="20"/>
                <w:szCs w:val="20"/>
                <w:lang w:val="en-AU"/>
              </w:rPr>
              <w:t xml:space="preserve"> 1,213 </w:t>
            </w:r>
          </w:p>
        </w:tc>
        <w:tc>
          <w:tcPr>
            <w:tcW w:w="953" w:type="dxa"/>
          </w:tcPr>
          <w:p w14:paraId="6D1BDD8F" w14:textId="72461A12" w:rsidR="00151B84" w:rsidRPr="00503F5B" w:rsidRDefault="00151B84" w:rsidP="00151B84">
            <w:pPr>
              <w:jc w:val="right"/>
              <w:rPr>
                <w:sz w:val="20"/>
                <w:szCs w:val="20"/>
                <w:lang w:val="en-AU"/>
              </w:rPr>
            </w:pPr>
            <w:r w:rsidRPr="00503F5B">
              <w:rPr>
                <w:sz w:val="20"/>
                <w:szCs w:val="20"/>
                <w:lang w:val="en-AU"/>
              </w:rPr>
              <w:t xml:space="preserve"> 1,413 </w:t>
            </w:r>
          </w:p>
        </w:tc>
      </w:tr>
      <w:tr w:rsidR="00151B84" w:rsidRPr="00503F5B" w14:paraId="1A0A1D15" w14:textId="77777777" w:rsidTr="00877396">
        <w:trPr>
          <w:trHeight w:val="59"/>
          <w:jc w:val="center"/>
        </w:trPr>
        <w:tc>
          <w:tcPr>
            <w:tcW w:w="1985" w:type="dxa"/>
            <w:noWrap/>
            <w:hideMark/>
          </w:tcPr>
          <w:p w14:paraId="30CA3DBF" w14:textId="77777777" w:rsidR="00151B84" w:rsidRPr="00503F5B" w:rsidRDefault="00151B84" w:rsidP="00151B84">
            <w:pPr>
              <w:rPr>
                <w:sz w:val="20"/>
                <w:szCs w:val="20"/>
                <w:lang w:val="en-AU"/>
              </w:rPr>
            </w:pPr>
            <w:r w:rsidRPr="00503F5B">
              <w:rPr>
                <w:sz w:val="20"/>
                <w:szCs w:val="20"/>
                <w:lang w:val="en-AU"/>
              </w:rPr>
              <w:t>Haz not HazMat</w:t>
            </w:r>
          </w:p>
        </w:tc>
        <w:tc>
          <w:tcPr>
            <w:tcW w:w="850" w:type="dxa"/>
            <w:noWrap/>
            <w:hideMark/>
          </w:tcPr>
          <w:p w14:paraId="59AF9A5B" w14:textId="245760D7" w:rsidR="00151B84" w:rsidRPr="00503F5B" w:rsidRDefault="00151B84" w:rsidP="00151B84">
            <w:pPr>
              <w:jc w:val="right"/>
              <w:rPr>
                <w:sz w:val="20"/>
                <w:szCs w:val="20"/>
                <w:lang w:val="en-AU"/>
              </w:rPr>
            </w:pPr>
            <w:r w:rsidRPr="00503F5B">
              <w:rPr>
                <w:sz w:val="20"/>
                <w:szCs w:val="20"/>
                <w:lang w:val="en-AU"/>
              </w:rPr>
              <w:t xml:space="preserve"> 1,891 </w:t>
            </w:r>
          </w:p>
        </w:tc>
        <w:tc>
          <w:tcPr>
            <w:tcW w:w="851" w:type="dxa"/>
            <w:noWrap/>
            <w:hideMark/>
          </w:tcPr>
          <w:p w14:paraId="40C18A52" w14:textId="54ECC9F5" w:rsidR="00151B84" w:rsidRPr="00503F5B" w:rsidRDefault="00151B84" w:rsidP="00151B84">
            <w:pPr>
              <w:jc w:val="right"/>
              <w:rPr>
                <w:sz w:val="20"/>
                <w:szCs w:val="20"/>
                <w:lang w:val="en-AU"/>
              </w:rPr>
            </w:pPr>
            <w:r w:rsidRPr="00503F5B">
              <w:rPr>
                <w:sz w:val="20"/>
                <w:szCs w:val="20"/>
                <w:lang w:val="en-AU"/>
              </w:rPr>
              <w:t xml:space="preserve"> 1,904 </w:t>
            </w:r>
          </w:p>
        </w:tc>
        <w:tc>
          <w:tcPr>
            <w:tcW w:w="850" w:type="dxa"/>
            <w:noWrap/>
            <w:hideMark/>
          </w:tcPr>
          <w:p w14:paraId="5BE44FE4" w14:textId="4D8129C5" w:rsidR="00151B84" w:rsidRPr="00503F5B" w:rsidRDefault="00151B84" w:rsidP="00151B84">
            <w:pPr>
              <w:jc w:val="right"/>
              <w:rPr>
                <w:sz w:val="20"/>
                <w:szCs w:val="20"/>
                <w:lang w:val="en-AU"/>
              </w:rPr>
            </w:pPr>
            <w:r w:rsidRPr="00503F5B">
              <w:rPr>
                <w:sz w:val="20"/>
                <w:szCs w:val="20"/>
                <w:lang w:val="en-AU"/>
              </w:rPr>
              <w:t xml:space="preserve"> 2,829 </w:t>
            </w:r>
          </w:p>
        </w:tc>
        <w:tc>
          <w:tcPr>
            <w:tcW w:w="851" w:type="dxa"/>
            <w:noWrap/>
            <w:hideMark/>
          </w:tcPr>
          <w:p w14:paraId="60D9D171" w14:textId="0F82C461" w:rsidR="00151B84" w:rsidRPr="00503F5B" w:rsidRDefault="00151B84" w:rsidP="00151B84">
            <w:pPr>
              <w:jc w:val="right"/>
              <w:rPr>
                <w:sz w:val="20"/>
                <w:szCs w:val="20"/>
                <w:lang w:val="en-AU"/>
              </w:rPr>
            </w:pPr>
            <w:r w:rsidRPr="00503F5B">
              <w:rPr>
                <w:sz w:val="20"/>
                <w:szCs w:val="20"/>
                <w:lang w:val="en-AU"/>
              </w:rPr>
              <w:t xml:space="preserve"> 1,943 </w:t>
            </w:r>
          </w:p>
        </w:tc>
        <w:tc>
          <w:tcPr>
            <w:tcW w:w="889" w:type="dxa"/>
          </w:tcPr>
          <w:p w14:paraId="1F44C04F" w14:textId="75A51382" w:rsidR="00151B84" w:rsidRPr="00503F5B" w:rsidRDefault="00151B84" w:rsidP="00151B84">
            <w:pPr>
              <w:jc w:val="right"/>
              <w:rPr>
                <w:sz w:val="20"/>
                <w:szCs w:val="20"/>
                <w:lang w:val="en-AU"/>
              </w:rPr>
            </w:pPr>
            <w:r w:rsidRPr="00503F5B">
              <w:rPr>
                <w:sz w:val="20"/>
                <w:szCs w:val="20"/>
                <w:lang w:val="en-AU"/>
              </w:rPr>
              <w:t xml:space="preserve"> 1,884 </w:t>
            </w:r>
          </w:p>
        </w:tc>
        <w:tc>
          <w:tcPr>
            <w:tcW w:w="850" w:type="dxa"/>
          </w:tcPr>
          <w:p w14:paraId="2B924B86" w14:textId="31FFF105" w:rsidR="00151B84" w:rsidRPr="00503F5B" w:rsidRDefault="00151B84" w:rsidP="00151B84">
            <w:pPr>
              <w:jc w:val="right"/>
              <w:rPr>
                <w:sz w:val="20"/>
                <w:szCs w:val="20"/>
                <w:lang w:val="en-AU"/>
              </w:rPr>
            </w:pPr>
            <w:r w:rsidRPr="00503F5B">
              <w:rPr>
                <w:sz w:val="20"/>
                <w:szCs w:val="20"/>
                <w:lang w:val="en-AU"/>
              </w:rPr>
              <w:t xml:space="preserve"> 1,892 </w:t>
            </w:r>
          </w:p>
        </w:tc>
        <w:tc>
          <w:tcPr>
            <w:tcW w:w="851" w:type="dxa"/>
          </w:tcPr>
          <w:p w14:paraId="26682FB2" w14:textId="7920F309" w:rsidR="00151B84" w:rsidRPr="00503F5B" w:rsidRDefault="00151B84" w:rsidP="00151B84">
            <w:pPr>
              <w:jc w:val="right"/>
              <w:rPr>
                <w:sz w:val="20"/>
                <w:szCs w:val="20"/>
                <w:lang w:val="en-AU"/>
              </w:rPr>
            </w:pPr>
            <w:r w:rsidRPr="00503F5B">
              <w:rPr>
                <w:sz w:val="20"/>
                <w:szCs w:val="20"/>
                <w:lang w:val="en-AU"/>
              </w:rPr>
              <w:t xml:space="preserve"> 2,014 </w:t>
            </w:r>
          </w:p>
        </w:tc>
        <w:tc>
          <w:tcPr>
            <w:tcW w:w="851" w:type="dxa"/>
          </w:tcPr>
          <w:p w14:paraId="05FA753E" w14:textId="4D43E2F2" w:rsidR="00151B84" w:rsidRPr="00503F5B" w:rsidRDefault="00151B84" w:rsidP="00151B84">
            <w:pPr>
              <w:jc w:val="right"/>
              <w:rPr>
                <w:sz w:val="20"/>
                <w:szCs w:val="20"/>
                <w:lang w:val="en-AU"/>
              </w:rPr>
            </w:pPr>
            <w:r w:rsidRPr="00503F5B">
              <w:rPr>
                <w:sz w:val="20"/>
                <w:szCs w:val="20"/>
                <w:lang w:val="en-AU"/>
              </w:rPr>
              <w:t xml:space="preserve"> 1,826 </w:t>
            </w:r>
          </w:p>
        </w:tc>
        <w:tc>
          <w:tcPr>
            <w:tcW w:w="953" w:type="dxa"/>
          </w:tcPr>
          <w:p w14:paraId="74707A20" w14:textId="2D365DC2" w:rsidR="00151B84" w:rsidRPr="00503F5B" w:rsidRDefault="00151B84" w:rsidP="00151B84">
            <w:pPr>
              <w:jc w:val="right"/>
              <w:rPr>
                <w:sz w:val="20"/>
                <w:szCs w:val="20"/>
                <w:lang w:val="en-AU"/>
              </w:rPr>
            </w:pPr>
            <w:r w:rsidRPr="00503F5B">
              <w:rPr>
                <w:sz w:val="20"/>
                <w:szCs w:val="20"/>
                <w:lang w:val="en-AU"/>
              </w:rPr>
              <w:t xml:space="preserve"> 2,023 </w:t>
            </w:r>
          </w:p>
        </w:tc>
      </w:tr>
      <w:tr w:rsidR="00151B84" w:rsidRPr="00503F5B" w14:paraId="1D3E4AD4" w14:textId="77777777" w:rsidTr="00877396">
        <w:trPr>
          <w:trHeight w:val="59"/>
          <w:jc w:val="center"/>
        </w:trPr>
        <w:tc>
          <w:tcPr>
            <w:tcW w:w="1985" w:type="dxa"/>
            <w:noWrap/>
            <w:hideMark/>
          </w:tcPr>
          <w:p w14:paraId="110A610F" w14:textId="77777777" w:rsidR="00151B84" w:rsidRPr="00503F5B" w:rsidRDefault="00151B84" w:rsidP="00151B84">
            <w:pPr>
              <w:rPr>
                <w:sz w:val="20"/>
                <w:szCs w:val="20"/>
                <w:lang w:val="en-AU"/>
              </w:rPr>
            </w:pPr>
            <w:r w:rsidRPr="00503F5B">
              <w:rPr>
                <w:sz w:val="20"/>
                <w:szCs w:val="20"/>
                <w:lang w:val="en-AU"/>
              </w:rPr>
              <w:t>Service Calls</w:t>
            </w:r>
          </w:p>
        </w:tc>
        <w:tc>
          <w:tcPr>
            <w:tcW w:w="850" w:type="dxa"/>
            <w:noWrap/>
            <w:hideMark/>
          </w:tcPr>
          <w:p w14:paraId="563A394A" w14:textId="36D6600E" w:rsidR="00151B84" w:rsidRPr="00503F5B" w:rsidRDefault="00151B84" w:rsidP="00151B84">
            <w:pPr>
              <w:jc w:val="right"/>
              <w:rPr>
                <w:sz w:val="20"/>
                <w:szCs w:val="20"/>
                <w:lang w:val="en-AU"/>
              </w:rPr>
            </w:pPr>
            <w:r w:rsidRPr="00503F5B">
              <w:rPr>
                <w:sz w:val="20"/>
                <w:szCs w:val="20"/>
                <w:lang w:val="en-AU"/>
              </w:rPr>
              <w:t xml:space="preserve"> 808 </w:t>
            </w:r>
          </w:p>
        </w:tc>
        <w:tc>
          <w:tcPr>
            <w:tcW w:w="851" w:type="dxa"/>
            <w:noWrap/>
            <w:hideMark/>
          </w:tcPr>
          <w:p w14:paraId="12B4B89B" w14:textId="1C39EE92" w:rsidR="00151B84" w:rsidRPr="00503F5B" w:rsidRDefault="00151B84" w:rsidP="00151B84">
            <w:pPr>
              <w:jc w:val="right"/>
              <w:rPr>
                <w:sz w:val="20"/>
                <w:szCs w:val="20"/>
                <w:lang w:val="en-AU"/>
              </w:rPr>
            </w:pPr>
            <w:r w:rsidRPr="00503F5B">
              <w:rPr>
                <w:sz w:val="20"/>
                <w:szCs w:val="20"/>
                <w:lang w:val="en-AU"/>
              </w:rPr>
              <w:t xml:space="preserve"> 855 </w:t>
            </w:r>
          </w:p>
        </w:tc>
        <w:tc>
          <w:tcPr>
            <w:tcW w:w="850" w:type="dxa"/>
            <w:noWrap/>
            <w:hideMark/>
          </w:tcPr>
          <w:p w14:paraId="3A1ADB4A" w14:textId="1CE22D33" w:rsidR="00151B84" w:rsidRPr="00503F5B" w:rsidRDefault="00151B84" w:rsidP="00151B84">
            <w:pPr>
              <w:jc w:val="right"/>
              <w:rPr>
                <w:sz w:val="20"/>
                <w:szCs w:val="20"/>
                <w:lang w:val="en-AU"/>
              </w:rPr>
            </w:pPr>
            <w:r w:rsidRPr="00503F5B">
              <w:rPr>
                <w:sz w:val="20"/>
                <w:szCs w:val="20"/>
                <w:lang w:val="en-AU"/>
              </w:rPr>
              <w:t xml:space="preserve"> 2,367 </w:t>
            </w:r>
          </w:p>
        </w:tc>
        <w:tc>
          <w:tcPr>
            <w:tcW w:w="851" w:type="dxa"/>
            <w:noWrap/>
            <w:hideMark/>
          </w:tcPr>
          <w:p w14:paraId="335B7C93" w14:textId="34C1E8D8" w:rsidR="00151B84" w:rsidRPr="00503F5B" w:rsidRDefault="00151B84" w:rsidP="00151B84">
            <w:pPr>
              <w:jc w:val="right"/>
              <w:rPr>
                <w:sz w:val="20"/>
                <w:szCs w:val="20"/>
                <w:lang w:val="en-AU"/>
              </w:rPr>
            </w:pPr>
            <w:r w:rsidRPr="00503F5B">
              <w:rPr>
                <w:sz w:val="20"/>
                <w:szCs w:val="20"/>
                <w:lang w:val="en-AU"/>
              </w:rPr>
              <w:t xml:space="preserve"> 1,260 </w:t>
            </w:r>
          </w:p>
        </w:tc>
        <w:tc>
          <w:tcPr>
            <w:tcW w:w="889" w:type="dxa"/>
          </w:tcPr>
          <w:p w14:paraId="57C6F34F" w14:textId="5AE4C4D2" w:rsidR="00151B84" w:rsidRPr="00503F5B" w:rsidRDefault="00151B84" w:rsidP="00151B84">
            <w:pPr>
              <w:jc w:val="right"/>
              <w:rPr>
                <w:sz w:val="20"/>
                <w:szCs w:val="20"/>
                <w:lang w:val="en-AU"/>
              </w:rPr>
            </w:pPr>
            <w:r w:rsidRPr="00503F5B">
              <w:rPr>
                <w:sz w:val="20"/>
                <w:szCs w:val="20"/>
                <w:lang w:val="en-AU"/>
              </w:rPr>
              <w:t xml:space="preserve"> 1,179 </w:t>
            </w:r>
          </w:p>
        </w:tc>
        <w:tc>
          <w:tcPr>
            <w:tcW w:w="850" w:type="dxa"/>
          </w:tcPr>
          <w:p w14:paraId="06710AB9" w14:textId="103B888A" w:rsidR="00151B84" w:rsidRPr="00503F5B" w:rsidRDefault="00151B84" w:rsidP="00151B84">
            <w:pPr>
              <w:jc w:val="right"/>
              <w:rPr>
                <w:sz w:val="20"/>
                <w:szCs w:val="20"/>
                <w:lang w:val="en-AU"/>
              </w:rPr>
            </w:pPr>
            <w:r w:rsidRPr="00503F5B">
              <w:rPr>
                <w:sz w:val="20"/>
                <w:szCs w:val="20"/>
                <w:lang w:val="en-AU"/>
              </w:rPr>
              <w:t xml:space="preserve"> 1,526 </w:t>
            </w:r>
          </w:p>
        </w:tc>
        <w:tc>
          <w:tcPr>
            <w:tcW w:w="851" w:type="dxa"/>
          </w:tcPr>
          <w:p w14:paraId="39B519B3" w14:textId="13D342BA" w:rsidR="00151B84" w:rsidRPr="00503F5B" w:rsidRDefault="00151B84" w:rsidP="00151B84">
            <w:pPr>
              <w:jc w:val="right"/>
              <w:rPr>
                <w:sz w:val="20"/>
                <w:szCs w:val="20"/>
                <w:lang w:val="en-AU"/>
              </w:rPr>
            </w:pPr>
            <w:r w:rsidRPr="00503F5B">
              <w:rPr>
                <w:sz w:val="20"/>
                <w:szCs w:val="20"/>
                <w:lang w:val="en-AU"/>
              </w:rPr>
              <w:t xml:space="preserve"> 1,141 </w:t>
            </w:r>
          </w:p>
        </w:tc>
        <w:tc>
          <w:tcPr>
            <w:tcW w:w="851" w:type="dxa"/>
          </w:tcPr>
          <w:p w14:paraId="73A7AE3B" w14:textId="47C079CE" w:rsidR="00151B84" w:rsidRPr="00503F5B" w:rsidRDefault="00151B84" w:rsidP="00151B84">
            <w:pPr>
              <w:jc w:val="right"/>
              <w:rPr>
                <w:sz w:val="20"/>
                <w:szCs w:val="20"/>
                <w:lang w:val="en-AU"/>
              </w:rPr>
            </w:pPr>
            <w:r w:rsidRPr="00503F5B">
              <w:rPr>
                <w:sz w:val="20"/>
                <w:szCs w:val="20"/>
                <w:lang w:val="en-AU"/>
              </w:rPr>
              <w:t xml:space="preserve"> 1,545 </w:t>
            </w:r>
          </w:p>
        </w:tc>
        <w:tc>
          <w:tcPr>
            <w:tcW w:w="953" w:type="dxa"/>
          </w:tcPr>
          <w:p w14:paraId="02D41535" w14:textId="2C232AA9" w:rsidR="00151B84" w:rsidRPr="00503F5B" w:rsidRDefault="00151B84" w:rsidP="00151B84">
            <w:pPr>
              <w:jc w:val="right"/>
              <w:rPr>
                <w:sz w:val="20"/>
                <w:szCs w:val="20"/>
                <w:lang w:val="en-AU"/>
              </w:rPr>
            </w:pPr>
            <w:r w:rsidRPr="00503F5B">
              <w:rPr>
                <w:sz w:val="20"/>
                <w:szCs w:val="20"/>
                <w:lang w:val="en-AU"/>
              </w:rPr>
              <w:t xml:space="preserve"> 1,335 </w:t>
            </w:r>
          </w:p>
        </w:tc>
      </w:tr>
      <w:tr w:rsidR="00151B84" w:rsidRPr="00503F5B" w14:paraId="4E6A0326" w14:textId="77777777" w:rsidTr="00877396">
        <w:trPr>
          <w:trHeight w:val="59"/>
          <w:jc w:val="center"/>
        </w:trPr>
        <w:tc>
          <w:tcPr>
            <w:tcW w:w="1985" w:type="dxa"/>
            <w:noWrap/>
            <w:hideMark/>
          </w:tcPr>
          <w:p w14:paraId="79C95FCF" w14:textId="77777777" w:rsidR="00151B84" w:rsidRPr="00503F5B" w:rsidRDefault="00151B84" w:rsidP="00151B84">
            <w:pPr>
              <w:rPr>
                <w:sz w:val="20"/>
                <w:szCs w:val="20"/>
                <w:lang w:val="en-AU"/>
              </w:rPr>
            </w:pPr>
            <w:r w:rsidRPr="00503F5B">
              <w:rPr>
                <w:sz w:val="20"/>
                <w:szCs w:val="20"/>
                <w:lang w:val="en-AU"/>
              </w:rPr>
              <w:t>Good Intent</w:t>
            </w:r>
          </w:p>
        </w:tc>
        <w:tc>
          <w:tcPr>
            <w:tcW w:w="850" w:type="dxa"/>
            <w:noWrap/>
            <w:hideMark/>
          </w:tcPr>
          <w:p w14:paraId="3D6D9344" w14:textId="159969F9" w:rsidR="00151B84" w:rsidRPr="00503F5B" w:rsidRDefault="00151B84" w:rsidP="00151B84">
            <w:pPr>
              <w:jc w:val="right"/>
              <w:rPr>
                <w:sz w:val="20"/>
                <w:szCs w:val="20"/>
                <w:lang w:val="en-AU"/>
              </w:rPr>
            </w:pPr>
            <w:r w:rsidRPr="00503F5B">
              <w:rPr>
                <w:sz w:val="20"/>
                <w:szCs w:val="20"/>
                <w:lang w:val="en-AU"/>
              </w:rPr>
              <w:t xml:space="preserve"> 2,447 </w:t>
            </w:r>
          </w:p>
        </w:tc>
        <w:tc>
          <w:tcPr>
            <w:tcW w:w="851" w:type="dxa"/>
            <w:noWrap/>
            <w:hideMark/>
          </w:tcPr>
          <w:p w14:paraId="2FB77657" w14:textId="79081C02" w:rsidR="00151B84" w:rsidRPr="00503F5B" w:rsidRDefault="00151B84" w:rsidP="00151B84">
            <w:pPr>
              <w:jc w:val="right"/>
              <w:rPr>
                <w:sz w:val="20"/>
                <w:szCs w:val="20"/>
                <w:lang w:val="en-AU"/>
              </w:rPr>
            </w:pPr>
            <w:r w:rsidRPr="00503F5B">
              <w:rPr>
                <w:sz w:val="20"/>
                <w:szCs w:val="20"/>
                <w:lang w:val="en-AU"/>
              </w:rPr>
              <w:t xml:space="preserve"> 2,419 </w:t>
            </w:r>
          </w:p>
        </w:tc>
        <w:tc>
          <w:tcPr>
            <w:tcW w:w="850" w:type="dxa"/>
            <w:noWrap/>
            <w:hideMark/>
          </w:tcPr>
          <w:p w14:paraId="2C43AAE5" w14:textId="5017D70D" w:rsidR="00151B84" w:rsidRPr="00503F5B" w:rsidRDefault="00151B84" w:rsidP="00151B84">
            <w:pPr>
              <w:jc w:val="right"/>
              <w:rPr>
                <w:sz w:val="20"/>
                <w:szCs w:val="20"/>
                <w:lang w:val="en-AU"/>
              </w:rPr>
            </w:pPr>
            <w:r w:rsidRPr="00503F5B">
              <w:rPr>
                <w:sz w:val="20"/>
                <w:szCs w:val="20"/>
                <w:lang w:val="en-AU"/>
              </w:rPr>
              <w:t xml:space="preserve"> 2,332 </w:t>
            </w:r>
          </w:p>
        </w:tc>
        <w:tc>
          <w:tcPr>
            <w:tcW w:w="851" w:type="dxa"/>
            <w:noWrap/>
            <w:hideMark/>
          </w:tcPr>
          <w:p w14:paraId="3AFFCB03" w14:textId="0A4E0DAF" w:rsidR="00151B84" w:rsidRPr="00503F5B" w:rsidRDefault="00151B84" w:rsidP="00151B84">
            <w:pPr>
              <w:jc w:val="right"/>
              <w:rPr>
                <w:sz w:val="20"/>
                <w:szCs w:val="20"/>
                <w:lang w:val="en-AU"/>
              </w:rPr>
            </w:pPr>
            <w:r w:rsidRPr="00503F5B">
              <w:rPr>
                <w:sz w:val="20"/>
                <w:szCs w:val="20"/>
                <w:lang w:val="en-AU"/>
              </w:rPr>
              <w:t xml:space="preserve"> 2,315 </w:t>
            </w:r>
          </w:p>
        </w:tc>
        <w:tc>
          <w:tcPr>
            <w:tcW w:w="889" w:type="dxa"/>
          </w:tcPr>
          <w:p w14:paraId="021C184C" w14:textId="2750C8C5" w:rsidR="00151B84" w:rsidRPr="00503F5B" w:rsidRDefault="00151B84" w:rsidP="00151B84">
            <w:pPr>
              <w:jc w:val="right"/>
              <w:rPr>
                <w:sz w:val="20"/>
                <w:szCs w:val="20"/>
                <w:lang w:val="en-AU"/>
              </w:rPr>
            </w:pPr>
            <w:r w:rsidRPr="00503F5B">
              <w:rPr>
                <w:sz w:val="20"/>
                <w:szCs w:val="20"/>
                <w:lang w:val="en-AU"/>
              </w:rPr>
              <w:t xml:space="preserve"> 2,696 </w:t>
            </w:r>
          </w:p>
        </w:tc>
        <w:tc>
          <w:tcPr>
            <w:tcW w:w="850" w:type="dxa"/>
          </w:tcPr>
          <w:p w14:paraId="0ADCC5CC" w14:textId="7B3D4EA5" w:rsidR="00151B84" w:rsidRPr="00503F5B" w:rsidRDefault="00151B84" w:rsidP="00151B84">
            <w:pPr>
              <w:jc w:val="right"/>
              <w:rPr>
                <w:sz w:val="20"/>
                <w:szCs w:val="20"/>
                <w:lang w:val="en-AU"/>
              </w:rPr>
            </w:pPr>
            <w:r w:rsidRPr="00503F5B">
              <w:rPr>
                <w:sz w:val="20"/>
                <w:szCs w:val="20"/>
                <w:lang w:val="en-AU"/>
              </w:rPr>
              <w:t xml:space="preserve"> 3,571 </w:t>
            </w:r>
          </w:p>
        </w:tc>
        <w:tc>
          <w:tcPr>
            <w:tcW w:w="851" w:type="dxa"/>
          </w:tcPr>
          <w:p w14:paraId="529CE0B4" w14:textId="45B15481" w:rsidR="00151B84" w:rsidRPr="00503F5B" w:rsidRDefault="00151B84" w:rsidP="00151B84">
            <w:pPr>
              <w:jc w:val="right"/>
              <w:rPr>
                <w:sz w:val="20"/>
                <w:szCs w:val="20"/>
                <w:lang w:val="en-AU"/>
              </w:rPr>
            </w:pPr>
            <w:r w:rsidRPr="00503F5B">
              <w:rPr>
                <w:sz w:val="20"/>
                <w:szCs w:val="20"/>
                <w:lang w:val="en-AU"/>
              </w:rPr>
              <w:t xml:space="preserve"> 2,371 </w:t>
            </w:r>
          </w:p>
        </w:tc>
        <w:tc>
          <w:tcPr>
            <w:tcW w:w="851" w:type="dxa"/>
          </w:tcPr>
          <w:p w14:paraId="67652FB2" w14:textId="0AEE8072" w:rsidR="00151B84" w:rsidRPr="00503F5B" w:rsidRDefault="00151B84" w:rsidP="00151B84">
            <w:pPr>
              <w:jc w:val="right"/>
              <w:rPr>
                <w:sz w:val="20"/>
                <w:szCs w:val="20"/>
                <w:lang w:val="en-AU"/>
              </w:rPr>
            </w:pPr>
            <w:r w:rsidRPr="00503F5B">
              <w:rPr>
                <w:sz w:val="20"/>
                <w:szCs w:val="20"/>
                <w:lang w:val="en-AU"/>
              </w:rPr>
              <w:t xml:space="preserve"> 2,744 </w:t>
            </w:r>
          </w:p>
        </w:tc>
        <w:tc>
          <w:tcPr>
            <w:tcW w:w="953" w:type="dxa"/>
          </w:tcPr>
          <w:p w14:paraId="2FE3BA2C" w14:textId="0CFCC747" w:rsidR="00151B84" w:rsidRPr="00503F5B" w:rsidRDefault="00151B84" w:rsidP="00151B84">
            <w:pPr>
              <w:jc w:val="right"/>
              <w:rPr>
                <w:sz w:val="20"/>
                <w:szCs w:val="20"/>
                <w:lang w:val="en-AU"/>
              </w:rPr>
            </w:pPr>
            <w:r w:rsidRPr="00503F5B">
              <w:rPr>
                <w:sz w:val="20"/>
                <w:szCs w:val="20"/>
                <w:lang w:val="en-AU"/>
              </w:rPr>
              <w:t xml:space="preserve"> 2,612 </w:t>
            </w:r>
          </w:p>
        </w:tc>
      </w:tr>
      <w:tr w:rsidR="00151B84" w:rsidRPr="00503F5B" w14:paraId="09C4BDFF" w14:textId="77777777" w:rsidTr="00877396">
        <w:trPr>
          <w:trHeight w:val="59"/>
          <w:jc w:val="center"/>
        </w:trPr>
        <w:tc>
          <w:tcPr>
            <w:tcW w:w="1985" w:type="dxa"/>
            <w:noWrap/>
            <w:hideMark/>
          </w:tcPr>
          <w:p w14:paraId="5407A87D" w14:textId="77777777" w:rsidR="00151B84" w:rsidRPr="00503F5B" w:rsidRDefault="00151B84" w:rsidP="00151B84">
            <w:pPr>
              <w:rPr>
                <w:sz w:val="20"/>
                <w:szCs w:val="20"/>
                <w:lang w:val="en-AU"/>
              </w:rPr>
            </w:pPr>
            <w:r w:rsidRPr="00503F5B">
              <w:rPr>
                <w:sz w:val="20"/>
                <w:szCs w:val="20"/>
                <w:lang w:val="en-AU"/>
              </w:rPr>
              <w:t>Malicious</w:t>
            </w:r>
          </w:p>
        </w:tc>
        <w:tc>
          <w:tcPr>
            <w:tcW w:w="850" w:type="dxa"/>
            <w:noWrap/>
            <w:hideMark/>
          </w:tcPr>
          <w:p w14:paraId="44D79B87" w14:textId="323595E1" w:rsidR="00151B84" w:rsidRPr="00503F5B" w:rsidRDefault="00151B84" w:rsidP="00151B84">
            <w:pPr>
              <w:jc w:val="right"/>
              <w:rPr>
                <w:sz w:val="20"/>
                <w:szCs w:val="20"/>
                <w:lang w:val="en-AU"/>
              </w:rPr>
            </w:pPr>
            <w:r w:rsidRPr="00503F5B">
              <w:rPr>
                <w:sz w:val="20"/>
                <w:szCs w:val="20"/>
                <w:lang w:val="en-AU"/>
              </w:rPr>
              <w:t xml:space="preserve"> 477 </w:t>
            </w:r>
          </w:p>
        </w:tc>
        <w:tc>
          <w:tcPr>
            <w:tcW w:w="851" w:type="dxa"/>
            <w:noWrap/>
            <w:hideMark/>
          </w:tcPr>
          <w:p w14:paraId="1E7654E6" w14:textId="09FFF0F1" w:rsidR="00151B84" w:rsidRPr="00503F5B" w:rsidRDefault="00151B84" w:rsidP="00151B84">
            <w:pPr>
              <w:jc w:val="right"/>
              <w:rPr>
                <w:sz w:val="20"/>
                <w:szCs w:val="20"/>
                <w:lang w:val="en-AU"/>
              </w:rPr>
            </w:pPr>
            <w:r w:rsidRPr="00503F5B">
              <w:rPr>
                <w:sz w:val="20"/>
                <w:szCs w:val="20"/>
                <w:lang w:val="en-AU"/>
              </w:rPr>
              <w:t xml:space="preserve"> 459 </w:t>
            </w:r>
          </w:p>
        </w:tc>
        <w:tc>
          <w:tcPr>
            <w:tcW w:w="850" w:type="dxa"/>
            <w:noWrap/>
            <w:hideMark/>
          </w:tcPr>
          <w:p w14:paraId="3CA3C0A4" w14:textId="1A352CBC" w:rsidR="00151B84" w:rsidRPr="00503F5B" w:rsidRDefault="00151B84" w:rsidP="00151B84">
            <w:pPr>
              <w:jc w:val="right"/>
              <w:rPr>
                <w:sz w:val="20"/>
                <w:szCs w:val="20"/>
                <w:lang w:val="en-AU"/>
              </w:rPr>
            </w:pPr>
            <w:r w:rsidRPr="00503F5B">
              <w:rPr>
                <w:sz w:val="20"/>
                <w:szCs w:val="20"/>
                <w:lang w:val="en-AU"/>
              </w:rPr>
              <w:t xml:space="preserve"> 407 </w:t>
            </w:r>
          </w:p>
        </w:tc>
        <w:tc>
          <w:tcPr>
            <w:tcW w:w="851" w:type="dxa"/>
            <w:noWrap/>
            <w:hideMark/>
          </w:tcPr>
          <w:p w14:paraId="7122192F" w14:textId="3319CF73" w:rsidR="00151B84" w:rsidRPr="00503F5B" w:rsidRDefault="00151B84" w:rsidP="00151B84">
            <w:pPr>
              <w:jc w:val="right"/>
              <w:rPr>
                <w:sz w:val="20"/>
                <w:szCs w:val="20"/>
                <w:lang w:val="en-AU"/>
              </w:rPr>
            </w:pPr>
            <w:r w:rsidRPr="00503F5B">
              <w:rPr>
                <w:sz w:val="20"/>
                <w:szCs w:val="20"/>
                <w:lang w:val="en-AU"/>
              </w:rPr>
              <w:t xml:space="preserve"> 394 </w:t>
            </w:r>
          </w:p>
        </w:tc>
        <w:tc>
          <w:tcPr>
            <w:tcW w:w="889" w:type="dxa"/>
          </w:tcPr>
          <w:p w14:paraId="442D1676" w14:textId="068C5203" w:rsidR="00151B84" w:rsidRPr="00503F5B" w:rsidRDefault="00151B84" w:rsidP="00151B84">
            <w:pPr>
              <w:jc w:val="right"/>
              <w:rPr>
                <w:sz w:val="20"/>
                <w:szCs w:val="20"/>
                <w:lang w:val="en-AU"/>
              </w:rPr>
            </w:pPr>
            <w:r w:rsidRPr="00503F5B">
              <w:rPr>
                <w:sz w:val="20"/>
                <w:szCs w:val="20"/>
                <w:lang w:val="en-AU"/>
              </w:rPr>
              <w:t xml:space="preserve"> 460 </w:t>
            </w:r>
          </w:p>
        </w:tc>
        <w:tc>
          <w:tcPr>
            <w:tcW w:w="850" w:type="dxa"/>
          </w:tcPr>
          <w:p w14:paraId="10C38669" w14:textId="4B4421BD" w:rsidR="00151B84" w:rsidRPr="00503F5B" w:rsidRDefault="00151B84" w:rsidP="00151B84">
            <w:pPr>
              <w:jc w:val="right"/>
              <w:rPr>
                <w:sz w:val="20"/>
                <w:szCs w:val="20"/>
                <w:lang w:val="en-AU"/>
              </w:rPr>
            </w:pPr>
            <w:r w:rsidRPr="00503F5B">
              <w:rPr>
                <w:sz w:val="20"/>
                <w:szCs w:val="20"/>
                <w:lang w:val="en-AU"/>
              </w:rPr>
              <w:t xml:space="preserve"> 609 </w:t>
            </w:r>
          </w:p>
        </w:tc>
        <w:tc>
          <w:tcPr>
            <w:tcW w:w="851" w:type="dxa"/>
          </w:tcPr>
          <w:p w14:paraId="38081FF2" w14:textId="1BB3EB70" w:rsidR="00151B84" w:rsidRPr="00503F5B" w:rsidRDefault="00151B84" w:rsidP="00151B84">
            <w:pPr>
              <w:jc w:val="right"/>
              <w:rPr>
                <w:sz w:val="20"/>
                <w:szCs w:val="20"/>
                <w:lang w:val="en-AU"/>
              </w:rPr>
            </w:pPr>
            <w:r w:rsidRPr="00503F5B">
              <w:rPr>
                <w:sz w:val="20"/>
                <w:szCs w:val="20"/>
                <w:lang w:val="en-AU"/>
              </w:rPr>
              <w:t xml:space="preserve"> 413 </w:t>
            </w:r>
          </w:p>
        </w:tc>
        <w:tc>
          <w:tcPr>
            <w:tcW w:w="851" w:type="dxa"/>
          </w:tcPr>
          <w:p w14:paraId="2ABE4A6D" w14:textId="42776373" w:rsidR="00151B84" w:rsidRPr="00503F5B" w:rsidRDefault="00151B84" w:rsidP="00151B84">
            <w:pPr>
              <w:jc w:val="right"/>
              <w:rPr>
                <w:sz w:val="20"/>
                <w:szCs w:val="20"/>
                <w:lang w:val="en-AU"/>
              </w:rPr>
            </w:pPr>
            <w:r w:rsidRPr="00503F5B">
              <w:rPr>
                <w:sz w:val="20"/>
                <w:szCs w:val="20"/>
                <w:lang w:val="en-AU"/>
              </w:rPr>
              <w:t xml:space="preserve"> 373 </w:t>
            </w:r>
          </w:p>
        </w:tc>
        <w:tc>
          <w:tcPr>
            <w:tcW w:w="953" w:type="dxa"/>
          </w:tcPr>
          <w:p w14:paraId="613A0453" w14:textId="1F1D62E4" w:rsidR="00151B84" w:rsidRPr="00503F5B" w:rsidRDefault="00151B84" w:rsidP="00151B84">
            <w:pPr>
              <w:jc w:val="right"/>
              <w:rPr>
                <w:sz w:val="20"/>
                <w:szCs w:val="20"/>
                <w:lang w:val="en-AU"/>
              </w:rPr>
            </w:pPr>
            <w:r w:rsidRPr="00503F5B">
              <w:rPr>
                <w:sz w:val="20"/>
                <w:szCs w:val="20"/>
                <w:lang w:val="en-AU"/>
              </w:rPr>
              <w:t xml:space="preserve"> 449 </w:t>
            </w:r>
          </w:p>
        </w:tc>
      </w:tr>
      <w:tr w:rsidR="00151B84" w:rsidRPr="00503F5B" w14:paraId="05C04324" w14:textId="77777777" w:rsidTr="00877396">
        <w:trPr>
          <w:trHeight w:val="59"/>
          <w:jc w:val="center"/>
        </w:trPr>
        <w:tc>
          <w:tcPr>
            <w:tcW w:w="1985" w:type="dxa"/>
            <w:noWrap/>
            <w:hideMark/>
          </w:tcPr>
          <w:p w14:paraId="5BB98AF2" w14:textId="77777777" w:rsidR="00151B84" w:rsidRPr="00503F5B" w:rsidRDefault="00151B84" w:rsidP="00151B84">
            <w:pPr>
              <w:rPr>
                <w:sz w:val="20"/>
                <w:szCs w:val="20"/>
                <w:lang w:val="en-AU"/>
              </w:rPr>
            </w:pPr>
            <w:r w:rsidRPr="00503F5B">
              <w:rPr>
                <w:sz w:val="20"/>
                <w:szCs w:val="20"/>
                <w:lang w:val="en-AU"/>
              </w:rPr>
              <w:t>False Alarms</w:t>
            </w:r>
          </w:p>
        </w:tc>
        <w:tc>
          <w:tcPr>
            <w:tcW w:w="850" w:type="dxa"/>
            <w:noWrap/>
            <w:hideMark/>
          </w:tcPr>
          <w:p w14:paraId="78143F4D" w14:textId="2CEF607A" w:rsidR="00151B84" w:rsidRPr="00503F5B" w:rsidRDefault="00151B84" w:rsidP="00151B84">
            <w:pPr>
              <w:jc w:val="right"/>
              <w:rPr>
                <w:sz w:val="20"/>
                <w:szCs w:val="20"/>
                <w:lang w:val="en-AU"/>
              </w:rPr>
            </w:pPr>
            <w:r w:rsidRPr="00503F5B">
              <w:rPr>
                <w:sz w:val="20"/>
                <w:szCs w:val="20"/>
                <w:lang w:val="en-AU"/>
              </w:rPr>
              <w:t xml:space="preserve"> 7,609 </w:t>
            </w:r>
          </w:p>
        </w:tc>
        <w:tc>
          <w:tcPr>
            <w:tcW w:w="851" w:type="dxa"/>
            <w:noWrap/>
            <w:hideMark/>
          </w:tcPr>
          <w:p w14:paraId="3BCD6190" w14:textId="3291DAFD" w:rsidR="00151B84" w:rsidRPr="00503F5B" w:rsidRDefault="00151B84" w:rsidP="00151B84">
            <w:pPr>
              <w:jc w:val="right"/>
              <w:rPr>
                <w:sz w:val="20"/>
                <w:szCs w:val="20"/>
                <w:lang w:val="en-AU"/>
              </w:rPr>
            </w:pPr>
            <w:r w:rsidRPr="00503F5B">
              <w:rPr>
                <w:sz w:val="20"/>
                <w:szCs w:val="20"/>
                <w:lang w:val="en-AU"/>
              </w:rPr>
              <w:t xml:space="preserve"> 7,609 </w:t>
            </w:r>
          </w:p>
        </w:tc>
        <w:tc>
          <w:tcPr>
            <w:tcW w:w="850" w:type="dxa"/>
            <w:noWrap/>
            <w:hideMark/>
          </w:tcPr>
          <w:p w14:paraId="51249D10" w14:textId="09904BA3" w:rsidR="00151B84" w:rsidRPr="00503F5B" w:rsidRDefault="00151B84" w:rsidP="00151B84">
            <w:pPr>
              <w:jc w:val="right"/>
              <w:rPr>
                <w:sz w:val="20"/>
                <w:szCs w:val="20"/>
                <w:lang w:val="en-AU"/>
              </w:rPr>
            </w:pPr>
            <w:r w:rsidRPr="00503F5B">
              <w:rPr>
                <w:sz w:val="20"/>
                <w:szCs w:val="20"/>
                <w:lang w:val="en-AU"/>
              </w:rPr>
              <w:t xml:space="preserve"> 9,384 </w:t>
            </w:r>
          </w:p>
        </w:tc>
        <w:tc>
          <w:tcPr>
            <w:tcW w:w="851" w:type="dxa"/>
            <w:noWrap/>
            <w:hideMark/>
          </w:tcPr>
          <w:p w14:paraId="04AA6128" w14:textId="7C15F80D" w:rsidR="00151B84" w:rsidRPr="00503F5B" w:rsidRDefault="00151B84" w:rsidP="00151B84">
            <w:pPr>
              <w:jc w:val="right"/>
              <w:rPr>
                <w:sz w:val="20"/>
                <w:szCs w:val="20"/>
                <w:lang w:val="en-AU"/>
              </w:rPr>
            </w:pPr>
            <w:r w:rsidRPr="00503F5B">
              <w:rPr>
                <w:sz w:val="20"/>
                <w:szCs w:val="20"/>
                <w:lang w:val="en-AU"/>
              </w:rPr>
              <w:t xml:space="preserve"> 8,925 </w:t>
            </w:r>
          </w:p>
        </w:tc>
        <w:tc>
          <w:tcPr>
            <w:tcW w:w="889" w:type="dxa"/>
          </w:tcPr>
          <w:p w14:paraId="175DF60E" w14:textId="54CAF8E1" w:rsidR="00151B84" w:rsidRPr="00503F5B" w:rsidRDefault="00151B84" w:rsidP="00151B84">
            <w:pPr>
              <w:jc w:val="right"/>
              <w:rPr>
                <w:sz w:val="20"/>
                <w:szCs w:val="20"/>
                <w:lang w:val="en-AU"/>
              </w:rPr>
            </w:pPr>
            <w:r w:rsidRPr="00503F5B">
              <w:rPr>
                <w:sz w:val="20"/>
                <w:szCs w:val="20"/>
                <w:lang w:val="en-AU"/>
              </w:rPr>
              <w:t xml:space="preserve"> 8,367 </w:t>
            </w:r>
          </w:p>
        </w:tc>
        <w:tc>
          <w:tcPr>
            <w:tcW w:w="850" w:type="dxa"/>
          </w:tcPr>
          <w:p w14:paraId="0AB5253F" w14:textId="5936625E" w:rsidR="00151B84" w:rsidRPr="00503F5B" w:rsidRDefault="00151B84" w:rsidP="00151B84">
            <w:pPr>
              <w:jc w:val="right"/>
              <w:rPr>
                <w:sz w:val="20"/>
                <w:szCs w:val="20"/>
                <w:lang w:val="en-AU"/>
              </w:rPr>
            </w:pPr>
            <w:r w:rsidRPr="00503F5B">
              <w:rPr>
                <w:sz w:val="20"/>
                <w:szCs w:val="20"/>
                <w:lang w:val="en-AU"/>
              </w:rPr>
              <w:t xml:space="preserve"> 15,301 </w:t>
            </w:r>
          </w:p>
        </w:tc>
        <w:tc>
          <w:tcPr>
            <w:tcW w:w="851" w:type="dxa"/>
          </w:tcPr>
          <w:p w14:paraId="6262912A" w14:textId="450F2EBC" w:rsidR="00151B84" w:rsidRPr="00503F5B" w:rsidRDefault="00151B84" w:rsidP="00151B84">
            <w:pPr>
              <w:jc w:val="right"/>
              <w:rPr>
                <w:sz w:val="20"/>
                <w:szCs w:val="20"/>
                <w:lang w:val="en-AU"/>
              </w:rPr>
            </w:pPr>
            <w:r w:rsidRPr="00503F5B">
              <w:rPr>
                <w:sz w:val="20"/>
                <w:szCs w:val="20"/>
                <w:lang w:val="en-AU"/>
              </w:rPr>
              <w:t xml:space="preserve"> 10,090 </w:t>
            </w:r>
          </w:p>
        </w:tc>
        <w:tc>
          <w:tcPr>
            <w:tcW w:w="851" w:type="dxa"/>
          </w:tcPr>
          <w:p w14:paraId="7A67E9B2" w14:textId="50AFD186" w:rsidR="00151B84" w:rsidRPr="00503F5B" w:rsidRDefault="00151B84" w:rsidP="00151B84">
            <w:pPr>
              <w:jc w:val="right"/>
              <w:rPr>
                <w:sz w:val="20"/>
                <w:szCs w:val="20"/>
                <w:lang w:val="en-AU"/>
              </w:rPr>
            </w:pPr>
            <w:r w:rsidRPr="00503F5B">
              <w:rPr>
                <w:sz w:val="20"/>
                <w:szCs w:val="20"/>
                <w:lang w:val="en-AU"/>
              </w:rPr>
              <w:t xml:space="preserve"> 8,826 </w:t>
            </w:r>
          </w:p>
        </w:tc>
        <w:tc>
          <w:tcPr>
            <w:tcW w:w="953" w:type="dxa"/>
          </w:tcPr>
          <w:p w14:paraId="7F7D5203" w14:textId="6F95510E" w:rsidR="00151B84" w:rsidRPr="00503F5B" w:rsidRDefault="00151B84" w:rsidP="00151B84">
            <w:pPr>
              <w:jc w:val="right"/>
              <w:rPr>
                <w:sz w:val="20"/>
                <w:szCs w:val="20"/>
                <w:lang w:val="en-AU"/>
              </w:rPr>
            </w:pPr>
            <w:r w:rsidRPr="00503F5B">
              <w:rPr>
                <w:sz w:val="20"/>
                <w:szCs w:val="20"/>
                <w:lang w:val="en-AU"/>
              </w:rPr>
              <w:t xml:space="preserve"> 9,514 </w:t>
            </w:r>
          </w:p>
        </w:tc>
      </w:tr>
      <w:tr w:rsidR="00151B84" w:rsidRPr="00503F5B" w14:paraId="07D72FF3" w14:textId="77777777" w:rsidTr="00877396">
        <w:trPr>
          <w:trHeight w:val="59"/>
          <w:jc w:val="center"/>
        </w:trPr>
        <w:tc>
          <w:tcPr>
            <w:tcW w:w="1985" w:type="dxa"/>
            <w:tcBorders>
              <w:bottom w:val="single" w:sz="4" w:space="0" w:color="ED7C5D"/>
            </w:tcBorders>
            <w:noWrap/>
            <w:hideMark/>
          </w:tcPr>
          <w:p w14:paraId="3BDC6DE8" w14:textId="77777777" w:rsidR="00151B84" w:rsidRPr="00503F5B" w:rsidRDefault="00151B84" w:rsidP="00151B84">
            <w:pPr>
              <w:rPr>
                <w:sz w:val="20"/>
                <w:szCs w:val="20"/>
                <w:lang w:val="en-AU"/>
              </w:rPr>
            </w:pPr>
            <w:r w:rsidRPr="00503F5B">
              <w:rPr>
                <w:sz w:val="20"/>
                <w:szCs w:val="20"/>
                <w:lang w:val="en-AU"/>
              </w:rPr>
              <w:t>Other</w:t>
            </w:r>
          </w:p>
        </w:tc>
        <w:tc>
          <w:tcPr>
            <w:tcW w:w="850" w:type="dxa"/>
            <w:tcBorders>
              <w:bottom w:val="single" w:sz="4" w:space="0" w:color="ED7C5D"/>
            </w:tcBorders>
            <w:noWrap/>
            <w:hideMark/>
          </w:tcPr>
          <w:p w14:paraId="12712F1B" w14:textId="73A46A07" w:rsidR="00151B84" w:rsidRPr="00503F5B" w:rsidRDefault="00151B84" w:rsidP="00151B84">
            <w:pPr>
              <w:jc w:val="right"/>
              <w:rPr>
                <w:sz w:val="20"/>
                <w:szCs w:val="20"/>
                <w:lang w:val="en-AU"/>
              </w:rPr>
            </w:pPr>
            <w:r w:rsidRPr="00503F5B">
              <w:rPr>
                <w:sz w:val="20"/>
                <w:szCs w:val="20"/>
                <w:lang w:val="en-AU"/>
              </w:rPr>
              <w:t xml:space="preserve"> 381 </w:t>
            </w:r>
          </w:p>
        </w:tc>
        <w:tc>
          <w:tcPr>
            <w:tcW w:w="851" w:type="dxa"/>
            <w:tcBorders>
              <w:bottom w:val="single" w:sz="4" w:space="0" w:color="ED7C5D"/>
            </w:tcBorders>
            <w:noWrap/>
            <w:hideMark/>
          </w:tcPr>
          <w:p w14:paraId="1B28DFC6" w14:textId="45461685" w:rsidR="00151B84" w:rsidRPr="00503F5B" w:rsidRDefault="00151B84" w:rsidP="00151B84">
            <w:pPr>
              <w:jc w:val="right"/>
              <w:rPr>
                <w:sz w:val="20"/>
                <w:szCs w:val="20"/>
                <w:lang w:val="en-AU"/>
              </w:rPr>
            </w:pPr>
            <w:r w:rsidRPr="00503F5B">
              <w:rPr>
                <w:sz w:val="20"/>
                <w:szCs w:val="20"/>
                <w:lang w:val="en-AU"/>
              </w:rPr>
              <w:t xml:space="preserve"> 566 </w:t>
            </w:r>
          </w:p>
        </w:tc>
        <w:tc>
          <w:tcPr>
            <w:tcW w:w="850" w:type="dxa"/>
            <w:tcBorders>
              <w:bottom w:val="single" w:sz="4" w:space="0" w:color="ED7C5D"/>
            </w:tcBorders>
            <w:noWrap/>
            <w:hideMark/>
          </w:tcPr>
          <w:p w14:paraId="0A1D74EB" w14:textId="624F42EA" w:rsidR="00151B84" w:rsidRPr="00503F5B" w:rsidRDefault="00151B84" w:rsidP="00151B84">
            <w:pPr>
              <w:jc w:val="right"/>
              <w:rPr>
                <w:sz w:val="20"/>
                <w:szCs w:val="20"/>
                <w:lang w:val="en-AU"/>
              </w:rPr>
            </w:pPr>
            <w:r w:rsidRPr="00503F5B">
              <w:rPr>
                <w:sz w:val="20"/>
                <w:szCs w:val="20"/>
                <w:lang w:val="en-AU"/>
              </w:rPr>
              <w:t xml:space="preserve"> 184 </w:t>
            </w:r>
          </w:p>
        </w:tc>
        <w:tc>
          <w:tcPr>
            <w:tcW w:w="851" w:type="dxa"/>
            <w:tcBorders>
              <w:bottom w:val="single" w:sz="4" w:space="0" w:color="ED7C5D"/>
            </w:tcBorders>
            <w:noWrap/>
            <w:hideMark/>
          </w:tcPr>
          <w:p w14:paraId="271B0183" w14:textId="0C20752B" w:rsidR="00151B84" w:rsidRPr="00503F5B" w:rsidRDefault="00151B84" w:rsidP="00151B84">
            <w:pPr>
              <w:jc w:val="right"/>
              <w:rPr>
                <w:sz w:val="20"/>
                <w:szCs w:val="20"/>
                <w:lang w:val="en-AU"/>
              </w:rPr>
            </w:pPr>
            <w:r w:rsidRPr="00503F5B">
              <w:rPr>
                <w:sz w:val="20"/>
                <w:szCs w:val="20"/>
                <w:lang w:val="en-AU"/>
              </w:rPr>
              <w:t xml:space="preserve"> 116 </w:t>
            </w:r>
          </w:p>
        </w:tc>
        <w:tc>
          <w:tcPr>
            <w:tcW w:w="889" w:type="dxa"/>
            <w:tcBorders>
              <w:bottom w:val="single" w:sz="4" w:space="0" w:color="ED7C5D"/>
            </w:tcBorders>
          </w:tcPr>
          <w:p w14:paraId="5215C386" w14:textId="10E3ED4C" w:rsidR="00151B84" w:rsidRPr="00503F5B" w:rsidRDefault="00151B84" w:rsidP="00151B84">
            <w:pPr>
              <w:jc w:val="right"/>
              <w:rPr>
                <w:sz w:val="20"/>
                <w:szCs w:val="20"/>
                <w:lang w:val="en-AU"/>
              </w:rPr>
            </w:pPr>
            <w:r w:rsidRPr="00503F5B">
              <w:rPr>
                <w:sz w:val="20"/>
                <w:szCs w:val="20"/>
                <w:lang w:val="en-AU"/>
              </w:rPr>
              <w:t xml:space="preserve"> 336 </w:t>
            </w:r>
          </w:p>
        </w:tc>
        <w:tc>
          <w:tcPr>
            <w:tcW w:w="850" w:type="dxa"/>
            <w:tcBorders>
              <w:bottom w:val="single" w:sz="4" w:space="0" w:color="ED7C5D"/>
            </w:tcBorders>
          </w:tcPr>
          <w:p w14:paraId="27FAC9B7" w14:textId="64F44D76" w:rsidR="00151B84" w:rsidRPr="00503F5B" w:rsidRDefault="00151B84" w:rsidP="00151B84">
            <w:pPr>
              <w:jc w:val="right"/>
              <w:rPr>
                <w:sz w:val="20"/>
                <w:szCs w:val="20"/>
                <w:lang w:val="en-AU"/>
              </w:rPr>
            </w:pPr>
            <w:r w:rsidRPr="00503F5B">
              <w:rPr>
                <w:sz w:val="20"/>
                <w:szCs w:val="20"/>
                <w:lang w:val="en-AU"/>
              </w:rPr>
              <w:t xml:space="preserve"> 539 </w:t>
            </w:r>
          </w:p>
        </w:tc>
        <w:tc>
          <w:tcPr>
            <w:tcW w:w="851" w:type="dxa"/>
            <w:tcBorders>
              <w:bottom w:val="single" w:sz="4" w:space="0" w:color="ED7C5D"/>
            </w:tcBorders>
          </w:tcPr>
          <w:p w14:paraId="5B1949BF" w14:textId="127A5E86" w:rsidR="00151B84" w:rsidRPr="00503F5B" w:rsidRDefault="00151B84" w:rsidP="00151B84">
            <w:pPr>
              <w:jc w:val="right"/>
              <w:rPr>
                <w:sz w:val="20"/>
                <w:szCs w:val="20"/>
                <w:lang w:val="en-AU"/>
              </w:rPr>
            </w:pPr>
            <w:r w:rsidRPr="00503F5B">
              <w:rPr>
                <w:sz w:val="20"/>
                <w:szCs w:val="20"/>
                <w:lang w:val="en-AU"/>
              </w:rPr>
              <w:t xml:space="preserve"> 112 </w:t>
            </w:r>
          </w:p>
        </w:tc>
        <w:tc>
          <w:tcPr>
            <w:tcW w:w="851" w:type="dxa"/>
            <w:tcBorders>
              <w:bottom w:val="single" w:sz="4" w:space="0" w:color="ED7C5D"/>
            </w:tcBorders>
          </w:tcPr>
          <w:p w14:paraId="742EFD2D" w14:textId="4DDAB513" w:rsidR="00151B84" w:rsidRPr="00503F5B" w:rsidRDefault="00151B84" w:rsidP="00151B84">
            <w:pPr>
              <w:jc w:val="right"/>
              <w:rPr>
                <w:sz w:val="20"/>
                <w:szCs w:val="20"/>
                <w:lang w:val="en-AU"/>
              </w:rPr>
            </w:pPr>
            <w:r w:rsidRPr="00503F5B">
              <w:rPr>
                <w:sz w:val="20"/>
                <w:szCs w:val="20"/>
                <w:lang w:val="en-AU"/>
              </w:rPr>
              <w:t xml:space="preserve"> 371 </w:t>
            </w:r>
          </w:p>
        </w:tc>
        <w:tc>
          <w:tcPr>
            <w:tcW w:w="953" w:type="dxa"/>
            <w:tcBorders>
              <w:bottom w:val="single" w:sz="4" w:space="0" w:color="ED7C5D"/>
            </w:tcBorders>
          </w:tcPr>
          <w:p w14:paraId="49B38A8D" w14:textId="699BFAEF" w:rsidR="00151B84" w:rsidRPr="00503F5B" w:rsidRDefault="00151B84" w:rsidP="00151B84">
            <w:pPr>
              <w:jc w:val="right"/>
              <w:rPr>
                <w:sz w:val="20"/>
                <w:szCs w:val="20"/>
                <w:lang w:val="en-AU"/>
              </w:rPr>
            </w:pPr>
            <w:r w:rsidRPr="00503F5B">
              <w:rPr>
                <w:sz w:val="20"/>
                <w:szCs w:val="20"/>
                <w:lang w:val="en-AU"/>
              </w:rPr>
              <w:t xml:space="preserve"> 326 </w:t>
            </w:r>
          </w:p>
        </w:tc>
      </w:tr>
      <w:tr w:rsidR="00151B84" w:rsidRPr="00503F5B" w14:paraId="213902C5" w14:textId="77777777" w:rsidTr="00877396">
        <w:trPr>
          <w:trHeight w:val="59"/>
          <w:jc w:val="center"/>
        </w:trPr>
        <w:tc>
          <w:tcPr>
            <w:tcW w:w="1985" w:type="dxa"/>
            <w:tcBorders>
              <w:top w:val="single" w:sz="4" w:space="0" w:color="ED7C5D"/>
              <w:bottom w:val="single" w:sz="4" w:space="0" w:color="ED7C5D"/>
            </w:tcBorders>
            <w:noWrap/>
            <w:hideMark/>
          </w:tcPr>
          <w:p w14:paraId="65571FE4" w14:textId="0F26436E" w:rsidR="00151B84" w:rsidRPr="00503F5B" w:rsidRDefault="007340E3" w:rsidP="00151B84">
            <w:pPr>
              <w:rPr>
                <w:b/>
                <w:sz w:val="20"/>
                <w:szCs w:val="20"/>
                <w:lang w:val="en-AU"/>
              </w:rPr>
            </w:pPr>
            <w:r>
              <w:rPr>
                <w:b/>
                <w:sz w:val="20"/>
                <w:szCs w:val="20"/>
              </w:rPr>
              <w:t>Time spent</w:t>
            </w:r>
          </w:p>
        </w:tc>
        <w:tc>
          <w:tcPr>
            <w:tcW w:w="850" w:type="dxa"/>
            <w:tcBorders>
              <w:top w:val="single" w:sz="4" w:space="0" w:color="ED7C5D"/>
              <w:bottom w:val="single" w:sz="4" w:space="0" w:color="ED7C5D"/>
            </w:tcBorders>
            <w:noWrap/>
            <w:hideMark/>
          </w:tcPr>
          <w:p w14:paraId="5A6F6AE2" w14:textId="4E9211FF" w:rsidR="00151B84" w:rsidRPr="00503F5B" w:rsidRDefault="00151B84" w:rsidP="00151B84">
            <w:pPr>
              <w:jc w:val="right"/>
              <w:rPr>
                <w:b/>
                <w:sz w:val="20"/>
                <w:szCs w:val="20"/>
                <w:lang w:val="en-AU"/>
              </w:rPr>
            </w:pPr>
            <w:r w:rsidRPr="00503F5B">
              <w:rPr>
                <w:sz w:val="20"/>
                <w:szCs w:val="20"/>
                <w:lang w:val="en-AU"/>
              </w:rPr>
              <w:t xml:space="preserve"> 30,291 </w:t>
            </w:r>
          </w:p>
        </w:tc>
        <w:tc>
          <w:tcPr>
            <w:tcW w:w="851" w:type="dxa"/>
            <w:tcBorders>
              <w:top w:val="single" w:sz="4" w:space="0" w:color="ED7C5D"/>
              <w:bottom w:val="single" w:sz="4" w:space="0" w:color="ED7C5D"/>
            </w:tcBorders>
            <w:noWrap/>
            <w:hideMark/>
          </w:tcPr>
          <w:p w14:paraId="7F644002" w14:textId="4A05A370" w:rsidR="00151B84" w:rsidRPr="00503F5B" w:rsidRDefault="00151B84" w:rsidP="00151B84">
            <w:pPr>
              <w:jc w:val="right"/>
              <w:rPr>
                <w:b/>
                <w:sz w:val="20"/>
                <w:szCs w:val="20"/>
                <w:lang w:val="en-AU"/>
              </w:rPr>
            </w:pPr>
            <w:r w:rsidRPr="00503F5B">
              <w:rPr>
                <w:sz w:val="20"/>
                <w:szCs w:val="20"/>
                <w:lang w:val="en-AU"/>
              </w:rPr>
              <w:t xml:space="preserve"> 31,796 </w:t>
            </w:r>
          </w:p>
        </w:tc>
        <w:tc>
          <w:tcPr>
            <w:tcW w:w="850" w:type="dxa"/>
            <w:tcBorders>
              <w:top w:val="single" w:sz="4" w:space="0" w:color="ED7C5D"/>
              <w:bottom w:val="single" w:sz="4" w:space="0" w:color="ED7C5D"/>
            </w:tcBorders>
            <w:noWrap/>
            <w:hideMark/>
          </w:tcPr>
          <w:p w14:paraId="43F879BF" w14:textId="3E6D3075" w:rsidR="00151B84" w:rsidRPr="00503F5B" w:rsidRDefault="00151B84" w:rsidP="00151B84">
            <w:pPr>
              <w:jc w:val="right"/>
              <w:rPr>
                <w:b/>
                <w:sz w:val="20"/>
                <w:szCs w:val="20"/>
                <w:lang w:val="en-AU"/>
              </w:rPr>
            </w:pPr>
            <w:r w:rsidRPr="00503F5B">
              <w:rPr>
                <w:sz w:val="20"/>
                <w:szCs w:val="20"/>
                <w:lang w:val="en-AU"/>
              </w:rPr>
              <w:t xml:space="preserve"> 37,259 </w:t>
            </w:r>
          </w:p>
        </w:tc>
        <w:tc>
          <w:tcPr>
            <w:tcW w:w="851" w:type="dxa"/>
            <w:tcBorders>
              <w:top w:val="single" w:sz="4" w:space="0" w:color="ED7C5D"/>
              <w:bottom w:val="single" w:sz="4" w:space="0" w:color="ED7C5D"/>
            </w:tcBorders>
            <w:noWrap/>
            <w:hideMark/>
          </w:tcPr>
          <w:p w14:paraId="2E637951" w14:textId="69333C1F" w:rsidR="00151B84" w:rsidRPr="00503F5B" w:rsidRDefault="00151B84" w:rsidP="00151B84">
            <w:pPr>
              <w:jc w:val="right"/>
              <w:rPr>
                <w:b/>
                <w:sz w:val="20"/>
                <w:szCs w:val="20"/>
                <w:lang w:val="en-AU"/>
              </w:rPr>
            </w:pPr>
            <w:r w:rsidRPr="00503F5B">
              <w:rPr>
                <w:sz w:val="20"/>
                <w:szCs w:val="20"/>
                <w:lang w:val="en-AU"/>
              </w:rPr>
              <w:t xml:space="preserve"> 32,561 </w:t>
            </w:r>
          </w:p>
        </w:tc>
        <w:tc>
          <w:tcPr>
            <w:tcW w:w="889" w:type="dxa"/>
            <w:tcBorders>
              <w:top w:val="single" w:sz="4" w:space="0" w:color="ED7C5D"/>
              <w:bottom w:val="single" w:sz="4" w:space="0" w:color="ED7C5D"/>
            </w:tcBorders>
          </w:tcPr>
          <w:p w14:paraId="3931E59A" w14:textId="3A616F65" w:rsidR="00151B84" w:rsidRPr="00503F5B" w:rsidRDefault="00151B84" w:rsidP="00151B84">
            <w:pPr>
              <w:jc w:val="right"/>
              <w:rPr>
                <w:b/>
                <w:sz w:val="20"/>
                <w:szCs w:val="20"/>
                <w:lang w:val="en-AU"/>
              </w:rPr>
            </w:pPr>
            <w:r w:rsidRPr="00503F5B">
              <w:rPr>
                <w:sz w:val="20"/>
                <w:szCs w:val="20"/>
                <w:lang w:val="en-AU"/>
              </w:rPr>
              <w:t xml:space="preserve"> 33,953 </w:t>
            </w:r>
          </w:p>
        </w:tc>
        <w:tc>
          <w:tcPr>
            <w:tcW w:w="850" w:type="dxa"/>
            <w:tcBorders>
              <w:top w:val="single" w:sz="4" w:space="0" w:color="ED7C5D"/>
              <w:bottom w:val="single" w:sz="4" w:space="0" w:color="ED7C5D"/>
            </w:tcBorders>
          </w:tcPr>
          <w:p w14:paraId="4A42223B" w14:textId="2EBD0D65" w:rsidR="00151B84" w:rsidRPr="00503F5B" w:rsidRDefault="00151B84" w:rsidP="00151B84">
            <w:pPr>
              <w:jc w:val="right"/>
              <w:rPr>
                <w:b/>
                <w:sz w:val="20"/>
                <w:szCs w:val="20"/>
                <w:lang w:val="en-AU"/>
              </w:rPr>
            </w:pPr>
            <w:r w:rsidRPr="00503F5B">
              <w:rPr>
                <w:sz w:val="20"/>
                <w:szCs w:val="20"/>
                <w:lang w:val="en-AU"/>
              </w:rPr>
              <w:t xml:space="preserve"> 43,415 </w:t>
            </w:r>
          </w:p>
        </w:tc>
        <w:tc>
          <w:tcPr>
            <w:tcW w:w="851" w:type="dxa"/>
            <w:tcBorders>
              <w:top w:val="single" w:sz="4" w:space="0" w:color="ED7C5D"/>
              <w:bottom w:val="single" w:sz="4" w:space="0" w:color="ED7C5D"/>
            </w:tcBorders>
          </w:tcPr>
          <w:p w14:paraId="662810BE" w14:textId="11B0CB9E" w:rsidR="00151B84" w:rsidRPr="00503F5B" w:rsidRDefault="00151B84" w:rsidP="00151B84">
            <w:pPr>
              <w:jc w:val="right"/>
              <w:rPr>
                <w:b/>
                <w:sz w:val="20"/>
                <w:szCs w:val="20"/>
                <w:lang w:val="en-AU"/>
              </w:rPr>
            </w:pPr>
            <w:r w:rsidRPr="00503F5B">
              <w:rPr>
                <w:sz w:val="20"/>
                <w:szCs w:val="20"/>
                <w:lang w:val="en-AU"/>
              </w:rPr>
              <w:t xml:space="preserve"> 39,069 </w:t>
            </w:r>
          </w:p>
        </w:tc>
        <w:tc>
          <w:tcPr>
            <w:tcW w:w="851" w:type="dxa"/>
            <w:tcBorders>
              <w:top w:val="single" w:sz="4" w:space="0" w:color="ED7C5D"/>
              <w:bottom w:val="single" w:sz="4" w:space="0" w:color="ED7C5D"/>
            </w:tcBorders>
          </w:tcPr>
          <w:p w14:paraId="2A1724AA" w14:textId="3F6D025A" w:rsidR="00151B84" w:rsidRPr="00503F5B" w:rsidRDefault="00151B84" w:rsidP="00151B84">
            <w:pPr>
              <w:jc w:val="right"/>
              <w:rPr>
                <w:b/>
                <w:sz w:val="20"/>
                <w:szCs w:val="20"/>
                <w:lang w:val="en-AU"/>
              </w:rPr>
            </w:pPr>
            <w:r w:rsidRPr="00503F5B">
              <w:rPr>
                <w:sz w:val="20"/>
                <w:szCs w:val="20"/>
                <w:lang w:val="en-AU"/>
              </w:rPr>
              <w:t xml:space="preserve"> 40,151 </w:t>
            </w:r>
          </w:p>
        </w:tc>
        <w:tc>
          <w:tcPr>
            <w:tcW w:w="953" w:type="dxa"/>
            <w:tcBorders>
              <w:top w:val="single" w:sz="4" w:space="0" w:color="ED7C5D"/>
              <w:bottom w:val="single" w:sz="4" w:space="0" w:color="ED7C5D"/>
            </w:tcBorders>
          </w:tcPr>
          <w:p w14:paraId="54E646DA" w14:textId="237B52F1" w:rsidR="00151B84" w:rsidRPr="00503F5B" w:rsidRDefault="00151B84" w:rsidP="00151B84">
            <w:pPr>
              <w:jc w:val="right"/>
              <w:rPr>
                <w:sz w:val="20"/>
                <w:szCs w:val="20"/>
                <w:lang w:val="en-AU"/>
              </w:rPr>
            </w:pPr>
            <w:r w:rsidRPr="00503F5B">
              <w:rPr>
                <w:sz w:val="20"/>
                <w:szCs w:val="20"/>
                <w:lang w:val="en-AU"/>
              </w:rPr>
              <w:t xml:space="preserve"> 36,062 </w:t>
            </w:r>
          </w:p>
        </w:tc>
      </w:tr>
    </w:tbl>
    <w:p w14:paraId="598D68F0" w14:textId="1A89F943" w:rsidR="003629E3" w:rsidRPr="00503F5B" w:rsidRDefault="003A0356" w:rsidP="008360E5">
      <w:pPr>
        <w:jc w:val="both"/>
      </w:pPr>
      <w:r w:rsidRPr="00503F5B">
        <w:rPr>
          <w:sz w:val="18"/>
          <w:szCs w:val="18"/>
        </w:rPr>
        <w:t>*Extrapolated/apportioned from Code 8 transactions with respect to Good Intent, Malicious, False Alarms and</w:t>
      </w:r>
      <w:r w:rsidR="00950B64" w:rsidRPr="00503F5B">
        <w:rPr>
          <w:sz w:val="18"/>
          <w:szCs w:val="18"/>
        </w:rPr>
        <w:t xml:space="preserve"> Other</w:t>
      </w:r>
    </w:p>
    <w:p w14:paraId="0BE2ED96" w14:textId="1BC13C8E" w:rsidR="003629E3" w:rsidRPr="00503F5B" w:rsidRDefault="003629E3" w:rsidP="008360E5">
      <w:pPr>
        <w:jc w:val="both"/>
      </w:pPr>
    </w:p>
    <w:p w14:paraId="7966547F" w14:textId="263FEF29" w:rsidR="002631CD" w:rsidRPr="00503F5B" w:rsidRDefault="002631CD" w:rsidP="002631CD">
      <w:pPr>
        <w:jc w:val="both"/>
      </w:pPr>
      <w:r w:rsidRPr="00503F5B">
        <w:t xml:space="preserve">A summary of calls, attendances by appliances, and time spent by appliances </w:t>
      </w:r>
      <w:r w:rsidR="00A75329" w:rsidRPr="00503F5B">
        <w:t xml:space="preserve">(not including support) </w:t>
      </w:r>
      <w:r w:rsidRPr="00503F5B">
        <w:t xml:space="preserve">is summarised for </w:t>
      </w:r>
      <w:r w:rsidR="00B36EEE" w:rsidRPr="00503F5B">
        <w:t>CFA</w:t>
      </w:r>
      <w:r w:rsidRPr="00503F5B">
        <w:t xml:space="preserve"> in Table 7 </w:t>
      </w:r>
      <w:r w:rsidR="00877396" w:rsidRPr="00503F5B">
        <w:t>for false alarm</w:t>
      </w:r>
      <w:r w:rsidR="003729F7">
        <w:t>s</w:t>
      </w:r>
      <w:r w:rsidR="00877396" w:rsidRPr="00503F5B">
        <w:t xml:space="preserve"> at protected premises</w:t>
      </w:r>
      <w:r w:rsidR="00A75329" w:rsidRPr="00503F5B">
        <w:t xml:space="preserve">. Data presented is </w:t>
      </w:r>
      <w:r w:rsidRPr="00503F5B">
        <w:t xml:space="preserve">based on available information </w:t>
      </w:r>
      <w:r w:rsidR="00A75329" w:rsidRPr="00503F5B">
        <w:t xml:space="preserve">and involves the </w:t>
      </w:r>
      <w:r w:rsidRPr="00503F5B">
        <w:t>separation of CFA integrated station activities (relevant in the context of FRV) from the whole of CFA.</w:t>
      </w:r>
    </w:p>
    <w:p w14:paraId="61A148D8" w14:textId="03745F0A" w:rsidR="00DF55E7" w:rsidRPr="00503F5B" w:rsidRDefault="00DF55E7" w:rsidP="008360E5">
      <w:pPr>
        <w:jc w:val="both"/>
      </w:pPr>
    </w:p>
    <w:p w14:paraId="2FBC81B3" w14:textId="4E064311" w:rsidR="00DF55E7" w:rsidRPr="00503F5B" w:rsidRDefault="00DF55E7" w:rsidP="00DF55E7">
      <w:pPr>
        <w:jc w:val="center"/>
        <w:rPr>
          <w:b/>
          <w:sz w:val="20"/>
          <w:szCs w:val="20"/>
        </w:rPr>
      </w:pPr>
      <w:r w:rsidRPr="00503F5B">
        <w:rPr>
          <w:b/>
          <w:sz w:val="20"/>
          <w:szCs w:val="20"/>
        </w:rPr>
        <w:t>Table 7: Annual false alarm activities</w:t>
      </w:r>
      <w:r w:rsidR="00A75329" w:rsidRPr="00503F5B">
        <w:rPr>
          <w:b/>
          <w:sz w:val="20"/>
          <w:szCs w:val="20"/>
        </w:rPr>
        <w:t xml:space="preserve"> (not including support)</w:t>
      </w:r>
      <w:r w:rsidRPr="00503F5B">
        <w:rPr>
          <w:b/>
          <w:sz w:val="20"/>
          <w:szCs w:val="20"/>
        </w:rPr>
        <w:t xml:space="preserve"> for protected premises for CFA integrated stations</w:t>
      </w:r>
      <w:r w:rsidR="00A75329" w:rsidRPr="00503F5B">
        <w:rPr>
          <w:rStyle w:val="FootnoteReference"/>
          <w:b/>
          <w:sz w:val="20"/>
          <w:szCs w:val="20"/>
        </w:rPr>
        <w:footnoteReference w:id="24"/>
      </w:r>
    </w:p>
    <w:p w14:paraId="226EAA92" w14:textId="77777777" w:rsidR="00DF55E7" w:rsidRPr="00503F5B" w:rsidRDefault="00DF55E7" w:rsidP="008360E5">
      <w:pPr>
        <w:jc w:val="both"/>
      </w:pPr>
    </w:p>
    <w:tbl>
      <w:tblPr>
        <w:tblStyle w:val="TableGrid"/>
        <w:tblW w:w="8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291"/>
        <w:gridCol w:w="1038"/>
        <w:gridCol w:w="1024"/>
        <w:gridCol w:w="1024"/>
        <w:gridCol w:w="1024"/>
      </w:tblGrid>
      <w:tr w:rsidR="00877396" w:rsidRPr="00503F5B" w14:paraId="57A07BCC" w14:textId="6143230A" w:rsidTr="00877396">
        <w:trPr>
          <w:trHeight w:val="90"/>
          <w:tblHeader/>
          <w:jc w:val="center"/>
        </w:trPr>
        <w:tc>
          <w:tcPr>
            <w:tcW w:w="3119" w:type="dxa"/>
            <w:tcBorders>
              <w:top w:val="single" w:sz="4" w:space="0" w:color="ED7C5D"/>
              <w:bottom w:val="double" w:sz="4" w:space="0" w:color="ED7C5D"/>
            </w:tcBorders>
            <w:noWrap/>
            <w:hideMark/>
          </w:tcPr>
          <w:p w14:paraId="3FD8C3A5" w14:textId="77777777" w:rsidR="00877396" w:rsidRPr="00503F5B" w:rsidRDefault="00877396" w:rsidP="00E015D7">
            <w:pPr>
              <w:jc w:val="center"/>
              <w:rPr>
                <w:b/>
                <w:color w:val="BE2A18"/>
                <w:sz w:val="20"/>
                <w:szCs w:val="20"/>
                <w:lang w:val="en-AU"/>
              </w:rPr>
            </w:pPr>
            <w:r w:rsidRPr="00503F5B">
              <w:rPr>
                <w:b/>
                <w:color w:val="BE2A18"/>
                <w:sz w:val="20"/>
                <w:szCs w:val="20"/>
                <w:lang w:val="en-AU"/>
              </w:rPr>
              <w:t>Year</w:t>
            </w:r>
          </w:p>
        </w:tc>
        <w:tc>
          <w:tcPr>
            <w:tcW w:w="1291" w:type="dxa"/>
            <w:tcBorders>
              <w:top w:val="single" w:sz="4" w:space="0" w:color="ED7C5D"/>
              <w:bottom w:val="double" w:sz="4" w:space="0" w:color="ED7C5D"/>
            </w:tcBorders>
            <w:noWrap/>
          </w:tcPr>
          <w:p w14:paraId="79D65FFD" w14:textId="07356DCA" w:rsidR="00877396" w:rsidRPr="00503F5B" w:rsidRDefault="00877396" w:rsidP="00E015D7">
            <w:pPr>
              <w:jc w:val="center"/>
              <w:rPr>
                <w:b/>
                <w:color w:val="BE2A18"/>
                <w:sz w:val="20"/>
                <w:szCs w:val="20"/>
                <w:lang w:val="en-AU"/>
              </w:rPr>
            </w:pPr>
            <w:r w:rsidRPr="00503F5B">
              <w:rPr>
                <w:b/>
                <w:color w:val="BE2A18"/>
                <w:sz w:val="20"/>
                <w:szCs w:val="20"/>
                <w:lang w:val="en-AU"/>
              </w:rPr>
              <w:t>2015-16</w:t>
            </w:r>
          </w:p>
        </w:tc>
        <w:tc>
          <w:tcPr>
            <w:tcW w:w="1038" w:type="dxa"/>
            <w:tcBorders>
              <w:top w:val="single" w:sz="4" w:space="0" w:color="ED7C5D"/>
              <w:bottom w:val="double" w:sz="4" w:space="0" w:color="ED7C5D"/>
            </w:tcBorders>
          </w:tcPr>
          <w:p w14:paraId="302D5EF4" w14:textId="3561C933" w:rsidR="00877396" w:rsidRPr="00503F5B" w:rsidRDefault="00877396" w:rsidP="00E015D7">
            <w:pPr>
              <w:jc w:val="center"/>
              <w:rPr>
                <w:b/>
                <w:color w:val="BE2A18"/>
                <w:sz w:val="20"/>
                <w:szCs w:val="20"/>
                <w:lang w:val="en-AU"/>
              </w:rPr>
            </w:pPr>
            <w:r w:rsidRPr="00503F5B">
              <w:rPr>
                <w:b/>
                <w:color w:val="BE2A18"/>
                <w:sz w:val="20"/>
                <w:szCs w:val="20"/>
                <w:lang w:val="en-AU"/>
              </w:rPr>
              <w:t>201</w:t>
            </w:r>
            <w:r w:rsidR="00A75329" w:rsidRPr="00503F5B">
              <w:rPr>
                <w:b/>
                <w:color w:val="BE2A18"/>
                <w:sz w:val="20"/>
                <w:szCs w:val="20"/>
                <w:lang w:val="en-AU"/>
              </w:rPr>
              <w:t>6</w:t>
            </w:r>
            <w:r w:rsidRPr="00503F5B">
              <w:rPr>
                <w:b/>
                <w:color w:val="BE2A18"/>
                <w:sz w:val="20"/>
                <w:szCs w:val="20"/>
                <w:lang w:val="en-AU"/>
              </w:rPr>
              <w:t>-1</w:t>
            </w:r>
            <w:r w:rsidR="00A75329" w:rsidRPr="00503F5B">
              <w:rPr>
                <w:b/>
                <w:color w:val="BE2A18"/>
                <w:sz w:val="20"/>
                <w:szCs w:val="20"/>
                <w:lang w:val="en-AU"/>
              </w:rPr>
              <w:t>7</w:t>
            </w:r>
          </w:p>
        </w:tc>
        <w:tc>
          <w:tcPr>
            <w:tcW w:w="1024" w:type="dxa"/>
            <w:tcBorders>
              <w:top w:val="single" w:sz="4" w:space="0" w:color="ED7C5D"/>
              <w:bottom w:val="double" w:sz="4" w:space="0" w:color="ED7C5D"/>
            </w:tcBorders>
          </w:tcPr>
          <w:p w14:paraId="1B89C9CC" w14:textId="7F2D5C94" w:rsidR="00877396" w:rsidRPr="00503F5B" w:rsidRDefault="00877396" w:rsidP="00E015D7">
            <w:pPr>
              <w:jc w:val="center"/>
              <w:rPr>
                <w:b/>
                <w:color w:val="BE2A18"/>
                <w:sz w:val="20"/>
                <w:szCs w:val="20"/>
                <w:lang w:val="en-AU"/>
              </w:rPr>
            </w:pPr>
            <w:r w:rsidRPr="00503F5B">
              <w:rPr>
                <w:b/>
                <w:color w:val="BE2A18"/>
                <w:sz w:val="20"/>
                <w:szCs w:val="20"/>
                <w:lang w:val="en-AU"/>
              </w:rPr>
              <w:t>201</w:t>
            </w:r>
            <w:r w:rsidR="00A75329" w:rsidRPr="00503F5B">
              <w:rPr>
                <w:b/>
                <w:color w:val="BE2A18"/>
                <w:sz w:val="20"/>
                <w:szCs w:val="20"/>
                <w:lang w:val="en-AU"/>
              </w:rPr>
              <w:t>7</w:t>
            </w:r>
            <w:r w:rsidRPr="00503F5B">
              <w:rPr>
                <w:b/>
                <w:color w:val="BE2A18"/>
                <w:sz w:val="20"/>
                <w:szCs w:val="20"/>
                <w:lang w:val="en-AU"/>
              </w:rPr>
              <w:t>-1</w:t>
            </w:r>
            <w:r w:rsidR="00A75329" w:rsidRPr="00503F5B">
              <w:rPr>
                <w:b/>
                <w:color w:val="BE2A18"/>
                <w:sz w:val="20"/>
                <w:szCs w:val="20"/>
                <w:lang w:val="en-AU"/>
              </w:rPr>
              <w:t>8</w:t>
            </w:r>
          </w:p>
        </w:tc>
        <w:tc>
          <w:tcPr>
            <w:tcW w:w="1024" w:type="dxa"/>
            <w:tcBorders>
              <w:top w:val="single" w:sz="4" w:space="0" w:color="ED7C5D"/>
              <w:bottom w:val="double" w:sz="4" w:space="0" w:color="ED7C5D"/>
            </w:tcBorders>
          </w:tcPr>
          <w:p w14:paraId="0534AD8B" w14:textId="105577C0" w:rsidR="00877396" w:rsidRPr="00503F5B" w:rsidRDefault="00877396" w:rsidP="00E015D7">
            <w:pPr>
              <w:jc w:val="center"/>
              <w:rPr>
                <w:b/>
                <w:color w:val="BE2A18"/>
                <w:sz w:val="20"/>
                <w:szCs w:val="20"/>
                <w:lang w:val="en-AU"/>
              </w:rPr>
            </w:pPr>
            <w:r w:rsidRPr="00503F5B">
              <w:rPr>
                <w:b/>
                <w:color w:val="BE2A18"/>
                <w:sz w:val="20"/>
                <w:szCs w:val="20"/>
                <w:lang w:val="en-AU"/>
              </w:rPr>
              <w:t>201</w:t>
            </w:r>
            <w:r w:rsidR="00A75329" w:rsidRPr="00503F5B">
              <w:rPr>
                <w:b/>
                <w:color w:val="BE2A18"/>
                <w:sz w:val="20"/>
                <w:szCs w:val="20"/>
                <w:lang w:val="en-AU"/>
              </w:rPr>
              <w:t>8</w:t>
            </w:r>
            <w:r w:rsidRPr="00503F5B">
              <w:rPr>
                <w:b/>
                <w:color w:val="BE2A18"/>
                <w:sz w:val="20"/>
                <w:szCs w:val="20"/>
                <w:lang w:val="en-AU"/>
              </w:rPr>
              <w:t>-1</w:t>
            </w:r>
            <w:r w:rsidR="00A75329" w:rsidRPr="00503F5B">
              <w:rPr>
                <w:b/>
                <w:color w:val="BE2A18"/>
                <w:sz w:val="20"/>
                <w:szCs w:val="20"/>
                <w:lang w:val="en-AU"/>
              </w:rPr>
              <w:t>9</w:t>
            </w:r>
          </w:p>
        </w:tc>
        <w:tc>
          <w:tcPr>
            <w:tcW w:w="1024" w:type="dxa"/>
            <w:tcBorders>
              <w:top w:val="single" w:sz="4" w:space="0" w:color="ED7C5D"/>
              <w:bottom w:val="double" w:sz="4" w:space="0" w:color="ED7C5D"/>
            </w:tcBorders>
          </w:tcPr>
          <w:p w14:paraId="67A4272C" w14:textId="49723F3F" w:rsidR="00877396" w:rsidRPr="00503F5B" w:rsidRDefault="00877396" w:rsidP="00E015D7">
            <w:pPr>
              <w:jc w:val="center"/>
              <w:rPr>
                <w:b/>
                <w:color w:val="BE2A18"/>
                <w:sz w:val="20"/>
                <w:szCs w:val="20"/>
                <w:lang w:val="en-AU"/>
              </w:rPr>
            </w:pPr>
            <w:r w:rsidRPr="00503F5B">
              <w:rPr>
                <w:b/>
                <w:color w:val="BE2A18"/>
                <w:sz w:val="20"/>
                <w:szCs w:val="20"/>
                <w:lang w:val="en-AU"/>
              </w:rPr>
              <w:t>4-year average</w:t>
            </w:r>
          </w:p>
        </w:tc>
      </w:tr>
      <w:tr w:rsidR="00877396" w:rsidRPr="00503F5B" w14:paraId="74038E45" w14:textId="1F7FBC72" w:rsidTr="00877396">
        <w:trPr>
          <w:trHeight w:val="49"/>
          <w:jc w:val="center"/>
        </w:trPr>
        <w:tc>
          <w:tcPr>
            <w:tcW w:w="3119" w:type="dxa"/>
            <w:tcBorders>
              <w:top w:val="double" w:sz="4" w:space="0" w:color="ED7C5D"/>
            </w:tcBorders>
            <w:noWrap/>
            <w:hideMark/>
          </w:tcPr>
          <w:p w14:paraId="42BA340D" w14:textId="7F042338" w:rsidR="00877396" w:rsidRPr="00503F5B" w:rsidRDefault="00877396" w:rsidP="00877396">
            <w:pPr>
              <w:rPr>
                <w:sz w:val="20"/>
                <w:szCs w:val="20"/>
                <w:lang w:val="en-AU"/>
              </w:rPr>
            </w:pPr>
            <w:r w:rsidRPr="00503F5B">
              <w:rPr>
                <w:sz w:val="20"/>
                <w:szCs w:val="20"/>
                <w:lang w:val="en-AU"/>
              </w:rPr>
              <w:t>Calls responded</w:t>
            </w:r>
          </w:p>
        </w:tc>
        <w:tc>
          <w:tcPr>
            <w:tcW w:w="1291" w:type="dxa"/>
            <w:tcBorders>
              <w:top w:val="double" w:sz="4" w:space="0" w:color="ED7C5D"/>
            </w:tcBorders>
            <w:noWrap/>
          </w:tcPr>
          <w:p w14:paraId="7C6BA29F" w14:textId="71DD0DF8" w:rsidR="00877396" w:rsidRPr="00503F5B" w:rsidRDefault="00877396" w:rsidP="00877396">
            <w:pPr>
              <w:jc w:val="center"/>
              <w:rPr>
                <w:sz w:val="20"/>
                <w:szCs w:val="20"/>
                <w:lang w:val="en-AU"/>
              </w:rPr>
            </w:pPr>
            <w:r w:rsidRPr="00503F5B">
              <w:rPr>
                <w:sz w:val="20"/>
                <w:szCs w:val="20"/>
                <w:lang w:val="en-AU"/>
              </w:rPr>
              <w:t>2,113</w:t>
            </w:r>
          </w:p>
        </w:tc>
        <w:tc>
          <w:tcPr>
            <w:tcW w:w="1038" w:type="dxa"/>
            <w:tcBorders>
              <w:top w:val="double" w:sz="4" w:space="0" w:color="ED7C5D"/>
            </w:tcBorders>
          </w:tcPr>
          <w:p w14:paraId="484AAE0A" w14:textId="486DE552" w:rsidR="00877396" w:rsidRPr="00503F5B" w:rsidRDefault="00877396" w:rsidP="00877396">
            <w:pPr>
              <w:jc w:val="center"/>
              <w:rPr>
                <w:sz w:val="20"/>
                <w:szCs w:val="20"/>
                <w:lang w:val="en-AU"/>
              </w:rPr>
            </w:pPr>
            <w:r w:rsidRPr="00503F5B">
              <w:rPr>
                <w:sz w:val="20"/>
                <w:szCs w:val="20"/>
                <w:lang w:val="en-AU"/>
              </w:rPr>
              <w:t>3,112</w:t>
            </w:r>
          </w:p>
        </w:tc>
        <w:tc>
          <w:tcPr>
            <w:tcW w:w="1024" w:type="dxa"/>
            <w:tcBorders>
              <w:top w:val="double" w:sz="4" w:space="0" w:color="ED7C5D"/>
            </w:tcBorders>
          </w:tcPr>
          <w:p w14:paraId="383C90AE" w14:textId="3B0348F1" w:rsidR="00877396" w:rsidRPr="00503F5B" w:rsidRDefault="00877396" w:rsidP="00877396">
            <w:pPr>
              <w:jc w:val="center"/>
              <w:rPr>
                <w:sz w:val="20"/>
                <w:szCs w:val="20"/>
                <w:lang w:val="en-AU"/>
              </w:rPr>
            </w:pPr>
            <w:r w:rsidRPr="00503F5B">
              <w:rPr>
                <w:sz w:val="20"/>
                <w:szCs w:val="20"/>
                <w:lang w:val="en-AU"/>
              </w:rPr>
              <w:t>3,096</w:t>
            </w:r>
          </w:p>
        </w:tc>
        <w:tc>
          <w:tcPr>
            <w:tcW w:w="1024" w:type="dxa"/>
            <w:tcBorders>
              <w:top w:val="double" w:sz="4" w:space="0" w:color="ED7C5D"/>
            </w:tcBorders>
          </w:tcPr>
          <w:p w14:paraId="0036A2D6" w14:textId="08120A57" w:rsidR="00877396" w:rsidRPr="00503F5B" w:rsidRDefault="00877396" w:rsidP="00877396">
            <w:pPr>
              <w:jc w:val="center"/>
              <w:rPr>
                <w:sz w:val="20"/>
                <w:szCs w:val="20"/>
                <w:lang w:val="en-AU"/>
              </w:rPr>
            </w:pPr>
            <w:r w:rsidRPr="00503F5B">
              <w:rPr>
                <w:sz w:val="20"/>
                <w:szCs w:val="20"/>
                <w:lang w:val="en-AU"/>
              </w:rPr>
              <w:t>3,019</w:t>
            </w:r>
          </w:p>
        </w:tc>
        <w:tc>
          <w:tcPr>
            <w:tcW w:w="1024" w:type="dxa"/>
            <w:tcBorders>
              <w:top w:val="double" w:sz="4" w:space="0" w:color="ED7C5D"/>
            </w:tcBorders>
          </w:tcPr>
          <w:p w14:paraId="026D25C1" w14:textId="4C2ED1B2" w:rsidR="00877396" w:rsidRPr="00503F5B" w:rsidRDefault="00877396" w:rsidP="00877396">
            <w:pPr>
              <w:jc w:val="center"/>
              <w:rPr>
                <w:sz w:val="20"/>
                <w:szCs w:val="20"/>
                <w:lang w:val="en-AU"/>
              </w:rPr>
            </w:pPr>
            <w:r w:rsidRPr="00503F5B">
              <w:rPr>
                <w:sz w:val="20"/>
                <w:szCs w:val="20"/>
                <w:lang w:val="en-AU"/>
              </w:rPr>
              <w:t>2,835</w:t>
            </w:r>
          </w:p>
        </w:tc>
      </w:tr>
      <w:tr w:rsidR="00877396" w:rsidRPr="00503F5B" w14:paraId="6A11CF3C" w14:textId="304E0367" w:rsidTr="00877396">
        <w:trPr>
          <w:trHeight w:val="69"/>
          <w:jc w:val="center"/>
        </w:trPr>
        <w:tc>
          <w:tcPr>
            <w:tcW w:w="3119" w:type="dxa"/>
            <w:noWrap/>
          </w:tcPr>
          <w:p w14:paraId="61120521" w14:textId="7E091A97" w:rsidR="00877396" w:rsidRPr="00503F5B" w:rsidRDefault="00877396" w:rsidP="00877396">
            <w:pPr>
              <w:rPr>
                <w:sz w:val="20"/>
                <w:szCs w:val="20"/>
                <w:lang w:val="en-AU"/>
              </w:rPr>
            </w:pPr>
            <w:r w:rsidRPr="00503F5B">
              <w:rPr>
                <w:color w:val="auto"/>
                <w:sz w:val="20"/>
                <w:szCs w:val="20"/>
                <w:lang w:val="en-AU"/>
              </w:rPr>
              <w:t>Attendances</w:t>
            </w:r>
          </w:p>
        </w:tc>
        <w:tc>
          <w:tcPr>
            <w:tcW w:w="1291" w:type="dxa"/>
            <w:noWrap/>
          </w:tcPr>
          <w:p w14:paraId="0B5BA260" w14:textId="317F8ED3" w:rsidR="00877396" w:rsidRPr="00503F5B" w:rsidRDefault="00877396" w:rsidP="00877396">
            <w:pPr>
              <w:jc w:val="center"/>
              <w:rPr>
                <w:sz w:val="20"/>
                <w:szCs w:val="20"/>
                <w:lang w:val="en-AU"/>
              </w:rPr>
            </w:pPr>
            <w:r w:rsidRPr="00503F5B">
              <w:rPr>
                <w:sz w:val="20"/>
                <w:szCs w:val="20"/>
                <w:lang w:val="en-AU"/>
              </w:rPr>
              <w:t>6,612</w:t>
            </w:r>
          </w:p>
        </w:tc>
        <w:tc>
          <w:tcPr>
            <w:tcW w:w="1038" w:type="dxa"/>
          </w:tcPr>
          <w:p w14:paraId="5570F91E" w14:textId="05970F78" w:rsidR="00877396" w:rsidRPr="00503F5B" w:rsidRDefault="00877396" w:rsidP="00877396">
            <w:pPr>
              <w:jc w:val="center"/>
              <w:rPr>
                <w:sz w:val="20"/>
                <w:szCs w:val="20"/>
                <w:lang w:val="en-AU"/>
              </w:rPr>
            </w:pPr>
            <w:r w:rsidRPr="00503F5B">
              <w:rPr>
                <w:sz w:val="20"/>
                <w:szCs w:val="20"/>
                <w:lang w:val="en-AU"/>
              </w:rPr>
              <w:t>9,919</w:t>
            </w:r>
          </w:p>
        </w:tc>
        <w:tc>
          <w:tcPr>
            <w:tcW w:w="1024" w:type="dxa"/>
          </w:tcPr>
          <w:p w14:paraId="0A584EC4" w14:textId="0F3927C4" w:rsidR="00877396" w:rsidRPr="00503F5B" w:rsidRDefault="00877396" w:rsidP="00877396">
            <w:pPr>
              <w:jc w:val="center"/>
              <w:rPr>
                <w:sz w:val="20"/>
                <w:szCs w:val="20"/>
                <w:lang w:val="en-AU"/>
              </w:rPr>
            </w:pPr>
            <w:r w:rsidRPr="00503F5B">
              <w:rPr>
                <w:sz w:val="20"/>
                <w:szCs w:val="20"/>
                <w:lang w:val="en-AU"/>
              </w:rPr>
              <w:t>10,073</w:t>
            </w:r>
          </w:p>
        </w:tc>
        <w:tc>
          <w:tcPr>
            <w:tcW w:w="1024" w:type="dxa"/>
          </w:tcPr>
          <w:p w14:paraId="7E0A7988" w14:textId="1EB75462" w:rsidR="00877396" w:rsidRPr="00503F5B" w:rsidRDefault="00877396" w:rsidP="00877396">
            <w:pPr>
              <w:jc w:val="center"/>
              <w:rPr>
                <w:sz w:val="20"/>
                <w:szCs w:val="20"/>
                <w:lang w:val="en-AU"/>
              </w:rPr>
            </w:pPr>
            <w:r w:rsidRPr="00503F5B">
              <w:rPr>
                <w:sz w:val="20"/>
                <w:szCs w:val="20"/>
                <w:lang w:val="en-AU"/>
              </w:rPr>
              <w:t>10,184</w:t>
            </w:r>
          </w:p>
        </w:tc>
        <w:tc>
          <w:tcPr>
            <w:tcW w:w="1024" w:type="dxa"/>
          </w:tcPr>
          <w:p w14:paraId="3BE5594B" w14:textId="74025D8C" w:rsidR="00877396" w:rsidRPr="00503F5B" w:rsidRDefault="00877396" w:rsidP="00877396">
            <w:pPr>
              <w:jc w:val="center"/>
              <w:rPr>
                <w:sz w:val="20"/>
                <w:szCs w:val="20"/>
                <w:lang w:val="en-AU"/>
              </w:rPr>
            </w:pPr>
            <w:r w:rsidRPr="00503F5B">
              <w:rPr>
                <w:sz w:val="20"/>
                <w:szCs w:val="20"/>
                <w:lang w:val="en-AU"/>
              </w:rPr>
              <w:t>9,197</w:t>
            </w:r>
          </w:p>
        </w:tc>
      </w:tr>
      <w:tr w:rsidR="00877396" w:rsidRPr="00503F5B" w14:paraId="1709F80A" w14:textId="689F58AD" w:rsidTr="00877396">
        <w:trPr>
          <w:trHeight w:val="69"/>
          <w:jc w:val="center"/>
        </w:trPr>
        <w:tc>
          <w:tcPr>
            <w:tcW w:w="3119" w:type="dxa"/>
            <w:tcBorders>
              <w:bottom w:val="single" w:sz="4" w:space="0" w:color="ED7C5D"/>
            </w:tcBorders>
            <w:noWrap/>
          </w:tcPr>
          <w:p w14:paraId="315DFB91" w14:textId="39DFC5AF" w:rsidR="00877396" w:rsidRPr="00503F5B" w:rsidRDefault="00877396" w:rsidP="00877396">
            <w:pPr>
              <w:rPr>
                <w:sz w:val="20"/>
                <w:szCs w:val="20"/>
                <w:lang w:val="en-AU"/>
              </w:rPr>
            </w:pPr>
            <w:r w:rsidRPr="00503F5B">
              <w:rPr>
                <w:sz w:val="20"/>
                <w:szCs w:val="20"/>
                <w:lang w:val="en-AU"/>
              </w:rPr>
              <w:t xml:space="preserve"> Time spent by appliances (hours)</w:t>
            </w:r>
          </w:p>
        </w:tc>
        <w:tc>
          <w:tcPr>
            <w:tcW w:w="1291" w:type="dxa"/>
            <w:tcBorders>
              <w:bottom w:val="single" w:sz="4" w:space="0" w:color="ED7C5D"/>
            </w:tcBorders>
            <w:noWrap/>
          </w:tcPr>
          <w:p w14:paraId="7D88C084" w14:textId="641476E2" w:rsidR="00877396" w:rsidRPr="00503F5B" w:rsidRDefault="00877396" w:rsidP="00877396">
            <w:pPr>
              <w:jc w:val="center"/>
              <w:rPr>
                <w:sz w:val="20"/>
                <w:szCs w:val="20"/>
                <w:lang w:val="en-AU"/>
              </w:rPr>
            </w:pPr>
            <w:r w:rsidRPr="00503F5B">
              <w:rPr>
                <w:sz w:val="20"/>
                <w:szCs w:val="20"/>
                <w:lang w:val="en-AU"/>
              </w:rPr>
              <w:t>2,750</w:t>
            </w:r>
          </w:p>
        </w:tc>
        <w:tc>
          <w:tcPr>
            <w:tcW w:w="1038" w:type="dxa"/>
            <w:tcBorders>
              <w:bottom w:val="single" w:sz="4" w:space="0" w:color="ED7C5D"/>
            </w:tcBorders>
          </w:tcPr>
          <w:p w14:paraId="024E75CD" w14:textId="0021A3F5" w:rsidR="00877396" w:rsidRPr="00503F5B" w:rsidRDefault="00877396" w:rsidP="00877396">
            <w:pPr>
              <w:jc w:val="center"/>
              <w:rPr>
                <w:sz w:val="20"/>
                <w:szCs w:val="20"/>
                <w:lang w:val="en-AU"/>
              </w:rPr>
            </w:pPr>
            <w:r w:rsidRPr="00503F5B">
              <w:rPr>
                <w:sz w:val="20"/>
                <w:szCs w:val="20"/>
                <w:lang w:val="en-AU"/>
              </w:rPr>
              <w:t>4,095</w:t>
            </w:r>
          </w:p>
        </w:tc>
        <w:tc>
          <w:tcPr>
            <w:tcW w:w="1024" w:type="dxa"/>
            <w:tcBorders>
              <w:bottom w:val="single" w:sz="4" w:space="0" w:color="ED7C5D"/>
            </w:tcBorders>
          </w:tcPr>
          <w:p w14:paraId="3951C08B" w14:textId="259B980A" w:rsidR="00877396" w:rsidRPr="00503F5B" w:rsidRDefault="00877396" w:rsidP="00877396">
            <w:pPr>
              <w:jc w:val="center"/>
              <w:rPr>
                <w:sz w:val="20"/>
                <w:szCs w:val="20"/>
                <w:lang w:val="en-AU"/>
              </w:rPr>
            </w:pPr>
            <w:r w:rsidRPr="00503F5B">
              <w:rPr>
                <w:sz w:val="20"/>
                <w:szCs w:val="20"/>
                <w:lang w:val="en-AU"/>
              </w:rPr>
              <w:t>4,102</w:t>
            </w:r>
          </w:p>
        </w:tc>
        <w:tc>
          <w:tcPr>
            <w:tcW w:w="1024" w:type="dxa"/>
            <w:tcBorders>
              <w:bottom w:val="single" w:sz="4" w:space="0" w:color="ED7C5D"/>
            </w:tcBorders>
          </w:tcPr>
          <w:p w14:paraId="6207BE20" w14:textId="5D248DA7" w:rsidR="00877396" w:rsidRPr="00503F5B" w:rsidRDefault="00877396" w:rsidP="00877396">
            <w:pPr>
              <w:jc w:val="center"/>
              <w:rPr>
                <w:sz w:val="20"/>
                <w:szCs w:val="20"/>
                <w:lang w:val="en-AU"/>
              </w:rPr>
            </w:pPr>
            <w:r w:rsidRPr="00503F5B">
              <w:rPr>
                <w:sz w:val="20"/>
                <w:szCs w:val="20"/>
                <w:lang w:val="en-AU"/>
              </w:rPr>
              <w:t>4,058</w:t>
            </w:r>
          </w:p>
        </w:tc>
        <w:tc>
          <w:tcPr>
            <w:tcW w:w="1024" w:type="dxa"/>
            <w:tcBorders>
              <w:bottom w:val="single" w:sz="4" w:space="0" w:color="ED7C5D"/>
            </w:tcBorders>
          </w:tcPr>
          <w:p w14:paraId="4419DB29" w14:textId="11ADCBA5" w:rsidR="00877396" w:rsidRPr="00503F5B" w:rsidRDefault="00877396" w:rsidP="00877396">
            <w:pPr>
              <w:jc w:val="center"/>
              <w:rPr>
                <w:sz w:val="20"/>
                <w:szCs w:val="20"/>
                <w:lang w:val="en-AU"/>
              </w:rPr>
            </w:pPr>
            <w:r w:rsidRPr="00503F5B">
              <w:rPr>
                <w:sz w:val="20"/>
                <w:szCs w:val="20"/>
                <w:lang w:val="en-AU"/>
              </w:rPr>
              <w:t>3,751</w:t>
            </w:r>
          </w:p>
        </w:tc>
      </w:tr>
    </w:tbl>
    <w:p w14:paraId="6472749A" w14:textId="15F020FF" w:rsidR="003629E3" w:rsidRPr="00503F5B" w:rsidRDefault="003629E3" w:rsidP="008360E5">
      <w:pPr>
        <w:jc w:val="both"/>
      </w:pPr>
    </w:p>
    <w:p w14:paraId="7EBD12D8" w14:textId="382121B2" w:rsidR="00DF55E7" w:rsidRPr="00503F5B" w:rsidRDefault="00DF55E7" w:rsidP="00DF55E7">
      <w:pPr>
        <w:pStyle w:val="Heading3"/>
      </w:pPr>
      <w:bookmarkStart w:id="48" w:name="_Toc457772520"/>
      <w:bookmarkStart w:id="49" w:name="_Toc35804122"/>
      <w:bookmarkStart w:id="50" w:name="_Toc35804616"/>
      <w:bookmarkStart w:id="51" w:name="_Toc35812660"/>
      <w:r w:rsidRPr="00503F5B">
        <w:t>1.</w:t>
      </w:r>
      <w:r w:rsidR="00BB1B7F" w:rsidRPr="00503F5B">
        <w:t>3</w:t>
      </w:r>
      <w:r w:rsidRPr="00503F5B">
        <w:t>.</w:t>
      </w:r>
      <w:r w:rsidR="00BB1B7F" w:rsidRPr="00503F5B">
        <w:t>6</w:t>
      </w:r>
      <w:r w:rsidRPr="00503F5B">
        <w:t xml:space="preserve"> Other </w:t>
      </w:r>
      <w:r w:rsidR="00FA7CCA" w:rsidRPr="00503F5B">
        <w:t xml:space="preserve">MFB and CFA integrated station </w:t>
      </w:r>
      <w:r w:rsidRPr="00503F5B">
        <w:t>activities</w:t>
      </w:r>
      <w:bookmarkEnd w:id="48"/>
      <w:bookmarkEnd w:id="49"/>
      <w:bookmarkEnd w:id="50"/>
      <w:bookmarkEnd w:id="51"/>
    </w:p>
    <w:p w14:paraId="075215DE" w14:textId="77777777" w:rsidR="00DF55E7" w:rsidRPr="00503F5B" w:rsidRDefault="00DF55E7" w:rsidP="00DF55E7">
      <w:pPr>
        <w:jc w:val="both"/>
      </w:pPr>
    </w:p>
    <w:p w14:paraId="0FE9380D" w14:textId="7CB71DEB" w:rsidR="00DF55E7" w:rsidRPr="00503F5B" w:rsidRDefault="00DF55E7" w:rsidP="00DF55E7">
      <w:pPr>
        <w:jc w:val="both"/>
      </w:pPr>
      <w:r w:rsidRPr="00503F5B">
        <w:t xml:space="preserve">Responding to fire is only one part of MFB’s role. In addition to attending emergency calls, MFB undertakes a wide range of educative and other safety promotion functions. MFB's main objective is to reduce the incidence and impact of fire and other emergencies on the community.  This objective is achieved in substantial part through the delivery of educational strategies that assist the community to become more self-reliant. MFB works with a range of partners to identify and respond to the needs of high-risk groups within the community. </w:t>
      </w:r>
    </w:p>
    <w:p w14:paraId="5D8E897C" w14:textId="403D3D67" w:rsidR="00785C3F" w:rsidRPr="00503F5B" w:rsidRDefault="00785C3F" w:rsidP="00DF55E7">
      <w:pPr>
        <w:jc w:val="both"/>
      </w:pPr>
    </w:p>
    <w:p w14:paraId="3C5F2BD8" w14:textId="6D4DAF87" w:rsidR="00785C3F" w:rsidRPr="00503F5B" w:rsidRDefault="00B36EEE" w:rsidP="00785C3F">
      <w:pPr>
        <w:jc w:val="both"/>
      </w:pPr>
      <w:r w:rsidRPr="00503F5B">
        <w:t>CFA</w:t>
      </w:r>
      <w:r w:rsidR="00785C3F" w:rsidRPr="00503F5B">
        <w:t xml:space="preserve"> currently provides for: wildfire, structural and transport-related fire suppression; road and technical rescue activities (including mine operations); assisting with hazardous materials transportation and storage incidents; and working with Forestry industry brigades and other emergency activities including flood assistance.  Non-emergency activities </w:t>
      </w:r>
      <w:proofErr w:type="gramStart"/>
      <w:r w:rsidR="00785C3F" w:rsidRPr="00503F5B">
        <w:t>include:</w:t>
      </w:r>
      <w:proofErr w:type="gramEnd"/>
      <w:r w:rsidR="00785C3F" w:rsidRPr="00503F5B">
        <w:t xml:space="preserve"> community awareness; education and safety programs; fire safety input, fire prevention and land use planning; technical services (inspections and investigations); and vegetation management.</w:t>
      </w:r>
      <w:r w:rsidR="00BD540F" w:rsidRPr="00503F5B">
        <w:rPr>
          <w:rStyle w:val="FootnoteReference"/>
        </w:rPr>
        <w:footnoteReference w:id="25"/>
      </w:r>
    </w:p>
    <w:p w14:paraId="42F058A6" w14:textId="64C8A4A9" w:rsidR="001D51D6" w:rsidRPr="00503F5B" w:rsidRDefault="008360E5" w:rsidP="001D51D6">
      <w:pPr>
        <w:pStyle w:val="Heading2"/>
      </w:pPr>
      <w:bookmarkStart w:id="53" w:name="_Toc35804123"/>
      <w:bookmarkStart w:id="54" w:name="_Toc35804617"/>
      <w:bookmarkStart w:id="55" w:name="_Toc35812661"/>
      <w:r w:rsidRPr="00503F5B">
        <w:t>1.</w:t>
      </w:r>
      <w:r w:rsidR="00BB1B7F" w:rsidRPr="00503F5B">
        <w:t>4</w:t>
      </w:r>
      <w:r w:rsidRPr="00503F5B">
        <w:t xml:space="preserve"> L</w:t>
      </w:r>
      <w:r w:rsidR="001D51D6" w:rsidRPr="00503F5B">
        <w:t>egislative framework</w:t>
      </w:r>
      <w:bookmarkEnd w:id="32"/>
      <w:bookmarkEnd w:id="53"/>
      <w:bookmarkEnd w:id="54"/>
      <w:bookmarkEnd w:id="55"/>
    </w:p>
    <w:p w14:paraId="2F383340" w14:textId="789082EE" w:rsidR="00DF55E7" w:rsidRPr="00503F5B" w:rsidRDefault="00DF55E7" w:rsidP="00DF55E7">
      <w:pPr>
        <w:jc w:val="both"/>
      </w:pPr>
      <w:r w:rsidRPr="00503F5B">
        <w:t>This section discusses the main legislative framework that will relate to FRV including:</w:t>
      </w:r>
    </w:p>
    <w:p w14:paraId="5AFBD4C7" w14:textId="77777777" w:rsidR="00DF55E7" w:rsidRPr="00503F5B" w:rsidRDefault="00DF55E7" w:rsidP="00DF55E7">
      <w:pPr>
        <w:jc w:val="both"/>
        <w:rPr>
          <w:rFonts w:asciiTheme="minorHAnsi" w:eastAsiaTheme="minorHAnsi" w:hAnsiTheme="minorHAnsi" w:cstheme="minorBidi"/>
          <w:color w:val="auto"/>
        </w:rPr>
      </w:pPr>
    </w:p>
    <w:p w14:paraId="7694E72C" w14:textId="77777777" w:rsidR="00672028" w:rsidRPr="00503F5B" w:rsidRDefault="00672028" w:rsidP="00672028">
      <w:pPr>
        <w:pStyle w:val="ListParagraph"/>
        <w:numPr>
          <w:ilvl w:val="0"/>
          <w:numId w:val="1"/>
        </w:numPr>
        <w:jc w:val="both"/>
      </w:pPr>
      <w:r w:rsidRPr="00503F5B">
        <w:rPr>
          <w:i/>
        </w:rPr>
        <w:t>Fire Rescue Victoria 1958</w:t>
      </w:r>
      <w:r w:rsidRPr="00503F5B">
        <w:t xml:space="preserve"> (‘the Act’);</w:t>
      </w:r>
    </w:p>
    <w:p w14:paraId="49757B18" w14:textId="77777777" w:rsidR="00672028" w:rsidRPr="00503F5B" w:rsidRDefault="00672028" w:rsidP="00672028">
      <w:pPr>
        <w:pStyle w:val="ListParagraph"/>
        <w:numPr>
          <w:ilvl w:val="0"/>
          <w:numId w:val="1"/>
        </w:numPr>
        <w:jc w:val="both"/>
      </w:pPr>
      <w:r w:rsidRPr="00503F5B">
        <w:rPr>
          <w:i/>
        </w:rPr>
        <w:t>Fire Services Property Levy Act 2012</w:t>
      </w:r>
      <w:r w:rsidRPr="00503F5B">
        <w:t xml:space="preserve">; </w:t>
      </w:r>
    </w:p>
    <w:p w14:paraId="3B002827" w14:textId="77777777" w:rsidR="00672028" w:rsidRPr="00503F5B" w:rsidRDefault="00672028" w:rsidP="00672028">
      <w:pPr>
        <w:pStyle w:val="ListParagraph"/>
        <w:numPr>
          <w:ilvl w:val="0"/>
          <w:numId w:val="1"/>
        </w:numPr>
        <w:jc w:val="both"/>
      </w:pPr>
      <w:r w:rsidRPr="00503F5B">
        <w:rPr>
          <w:i/>
        </w:rPr>
        <w:t>Building Act 1993</w:t>
      </w:r>
      <w:r w:rsidRPr="00503F5B">
        <w:t>;</w:t>
      </w:r>
    </w:p>
    <w:p w14:paraId="1011313E" w14:textId="77777777" w:rsidR="00672028" w:rsidRPr="00503F5B" w:rsidRDefault="00672028" w:rsidP="00672028">
      <w:pPr>
        <w:pStyle w:val="ListParagraph"/>
        <w:numPr>
          <w:ilvl w:val="0"/>
          <w:numId w:val="1"/>
        </w:numPr>
        <w:jc w:val="both"/>
      </w:pPr>
      <w:r w:rsidRPr="00503F5B">
        <w:t>Building Regulations (2018);</w:t>
      </w:r>
    </w:p>
    <w:p w14:paraId="7E9ADF87" w14:textId="77777777" w:rsidR="00672028" w:rsidRPr="00503F5B" w:rsidRDefault="00672028" w:rsidP="00672028">
      <w:pPr>
        <w:pStyle w:val="ListParagraph"/>
        <w:numPr>
          <w:ilvl w:val="0"/>
          <w:numId w:val="1"/>
        </w:numPr>
        <w:jc w:val="both"/>
      </w:pPr>
      <w:r w:rsidRPr="00503F5B">
        <w:rPr>
          <w:i/>
        </w:rPr>
        <w:t>Emergency Services Legislation Amendment Act</w:t>
      </w:r>
      <w:r w:rsidRPr="00503F5B">
        <w:t xml:space="preserve"> 2012; </w:t>
      </w:r>
    </w:p>
    <w:p w14:paraId="167E2D3D" w14:textId="0D390C54" w:rsidR="00672028" w:rsidRPr="00503F5B" w:rsidRDefault="00672028" w:rsidP="00672028">
      <w:pPr>
        <w:pStyle w:val="ListParagraph"/>
        <w:numPr>
          <w:ilvl w:val="0"/>
          <w:numId w:val="1"/>
        </w:numPr>
        <w:jc w:val="both"/>
      </w:pPr>
      <w:r w:rsidRPr="00503F5B">
        <w:rPr>
          <w:i/>
          <w:iCs/>
        </w:rPr>
        <w:t>Country Fire Authority Act 1958</w:t>
      </w:r>
      <w:r w:rsidRPr="00503F5B">
        <w:t xml:space="preserve">; </w:t>
      </w:r>
    </w:p>
    <w:p w14:paraId="019A45EB" w14:textId="609A986D" w:rsidR="00672028" w:rsidRPr="00503F5B" w:rsidRDefault="00672028" w:rsidP="00672028">
      <w:pPr>
        <w:pStyle w:val="ListParagraph"/>
        <w:numPr>
          <w:ilvl w:val="0"/>
          <w:numId w:val="1"/>
        </w:numPr>
        <w:jc w:val="both"/>
      </w:pPr>
      <w:r w:rsidRPr="00503F5B">
        <w:t>Country Fire Authority Regulations 2014</w:t>
      </w:r>
      <w:r w:rsidR="005F42B6" w:rsidRPr="00503F5B">
        <w:t>;</w:t>
      </w:r>
    </w:p>
    <w:p w14:paraId="45B56C62" w14:textId="55D4CFFC" w:rsidR="005F42B6" w:rsidRPr="00503F5B" w:rsidRDefault="005F42B6" w:rsidP="00672028">
      <w:pPr>
        <w:pStyle w:val="ListParagraph"/>
        <w:numPr>
          <w:ilvl w:val="0"/>
          <w:numId w:val="1"/>
        </w:numPr>
        <w:jc w:val="both"/>
      </w:pPr>
      <w:r w:rsidRPr="00503F5B">
        <w:rPr>
          <w:i/>
          <w:iCs/>
        </w:rPr>
        <w:t>Emergency Management Act 1986</w:t>
      </w:r>
      <w:r w:rsidRPr="00503F5B">
        <w:t>;</w:t>
      </w:r>
    </w:p>
    <w:p w14:paraId="603BEAD5" w14:textId="7E4D2C72" w:rsidR="005F42B6" w:rsidRPr="00503F5B" w:rsidRDefault="005F42B6" w:rsidP="00672028">
      <w:pPr>
        <w:pStyle w:val="ListParagraph"/>
        <w:numPr>
          <w:ilvl w:val="0"/>
          <w:numId w:val="1"/>
        </w:numPr>
        <w:jc w:val="both"/>
      </w:pPr>
      <w:r w:rsidRPr="00503F5B">
        <w:rPr>
          <w:i/>
          <w:iCs/>
        </w:rPr>
        <w:t>Emergency Management Act 2013</w:t>
      </w:r>
      <w:r w:rsidRPr="00503F5B">
        <w:t>; and</w:t>
      </w:r>
    </w:p>
    <w:p w14:paraId="4FF106B7" w14:textId="1A75D19B" w:rsidR="005F42B6" w:rsidRPr="00503F5B" w:rsidRDefault="005F42B6" w:rsidP="00672028">
      <w:pPr>
        <w:pStyle w:val="ListParagraph"/>
        <w:numPr>
          <w:ilvl w:val="0"/>
          <w:numId w:val="1"/>
        </w:numPr>
        <w:jc w:val="both"/>
      </w:pPr>
      <w:r w:rsidRPr="00503F5B">
        <w:rPr>
          <w:i/>
          <w:iCs/>
        </w:rPr>
        <w:t>Planning and Environment Act 1987</w:t>
      </w:r>
      <w:r w:rsidRPr="00503F5B">
        <w:t>.</w:t>
      </w:r>
    </w:p>
    <w:p w14:paraId="012A6187" w14:textId="77777777" w:rsidR="00DF55E7" w:rsidRPr="00503F5B" w:rsidRDefault="00DF55E7" w:rsidP="00DF55E7">
      <w:pPr>
        <w:jc w:val="both"/>
        <w:rPr>
          <w:highlight w:val="yellow"/>
        </w:rPr>
      </w:pPr>
    </w:p>
    <w:p w14:paraId="6A735B91" w14:textId="4A8254AF" w:rsidR="00572CF7" w:rsidRPr="00503F5B" w:rsidRDefault="00572CF7" w:rsidP="00572CF7">
      <w:pPr>
        <w:jc w:val="both"/>
      </w:pPr>
      <w:r w:rsidRPr="00503F5B">
        <w:lastRenderedPageBreak/>
        <w:t>As noted above, FRV’s functions are set out in section 7 of the Principal Act (as amended by the Act), and include to:</w:t>
      </w:r>
    </w:p>
    <w:p w14:paraId="668CBA5E" w14:textId="77777777" w:rsidR="00572CF7" w:rsidRPr="00503F5B" w:rsidRDefault="00572CF7" w:rsidP="00572CF7">
      <w:pPr>
        <w:jc w:val="both"/>
      </w:pPr>
    </w:p>
    <w:p w14:paraId="3FD6892E" w14:textId="77777777" w:rsidR="00572CF7" w:rsidRPr="00503F5B" w:rsidRDefault="00572CF7" w:rsidP="00572CF7">
      <w:pPr>
        <w:pStyle w:val="ListParagraph"/>
        <w:numPr>
          <w:ilvl w:val="0"/>
          <w:numId w:val="14"/>
        </w:numPr>
        <w:spacing w:after="160" w:line="256" w:lineRule="auto"/>
        <w:jc w:val="both"/>
      </w:pPr>
      <w:r w:rsidRPr="00503F5B">
        <w:t xml:space="preserve">provide for fire suppression and fire prevention services in FRV fire district; </w:t>
      </w:r>
    </w:p>
    <w:p w14:paraId="24598C2B" w14:textId="77777777" w:rsidR="00572CF7" w:rsidRPr="00503F5B" w:rsidRDefault="00572CF7" w:rsidP="00572CF7">
      <w:pPr>
        <w:pStyle w:val="ListParagraph"/>
        <w:numPr>
          <w:ilvl w:val="0"/>
          <w:numId w:val="14"/>
        </w:numPr>
        <w:spacing w:after="160" w:line="256" w:lineRule="auto"/>
        <w:jc w:val="both"/>
      </w:pPr>
      <w:r w:rsidRPr="00503F5B">
        <w:t xml:space="preserve">provide for emergency prevention and response services in FRV fire district; </w:t>
      </w:r>
    </w:p>
    <w:p w14:paraId="1A631B06" w14:textId="77777777" w:rsidR="00572CF7" w:rsidRPr="00503F5B" w:rsidRDefault="00572CF7" w:rsidP="00572CF7">
      <w:pPr>
        <w:pStyle w:val="ListParagraph"/>
        <w:numPr>
          <w:ilvl w:val="0"/>
          <w:numId w:val="14"/>
        </w:numPr>
        <w:spacing w:after="160" w:line="256" w:lineRule="auto"/>
        <w:jc w:val="both"/>
      </w:pPr>
      <w:r w:rsidRPr="00503F5B">
        <w:t xml:space="preserve">implement the fire and emergency services priorities of the Government of Victoria; </w:t>
      </w:r>
    </w:p>
    <w:p w14:paraId="67108101" w14:textId="77777777" w:rsidR="00572CF7" w:rsidRPr="00503F5B" w:rsidRDefault="00572CF7" w:rsidP="00572CF7">
      <w:pPr>
        <w:pStyle w:val="ListParagraph"/>
        <w:numPr>
          <w:ilvl w:val="0"/>
          <w:numId w:val="14"/>
        </w:numPr>
        <w:spacing w:after="160" w:line="256" w:lineRule="auto"/>
        <w:jc w:val="both"/>
      </w:pPr>
      <w:r w:rsidRPr="00503F5B">
        <w:t>provide operational and management support to CFA; and</w:t>
      </w:r>
    </w:p>
    <w:p w14:paraId="7F31FCAB" w14:textId="77777777" w:rsidR="00572CF7" w:rsidRPr="00503F5B" w:rsidRDefault="00572CF7" w:rsidP="00572CF7">
      <w:pPr>
        <w:pStyle w:val="ListParagraph"/>
        <w:numPr>
          <w:ilvl w:val="0"/>
          <w:numId w:val="14"/>
        </w:numPr>
        <w:spacing w:after="160" w:line="256" w:lineRule="auto"/>
        <w:jc w:val="both"/>
      </w:pPr>
      <w:r w:rsidRPr="00503F5B">
        <w:t>carry out any other functions conferred on FRV by or under this Act or any other Act.</w:t>
      </w:r>
    </w:p>
    <w:p w14:paraId="28591C1D" w14:textId="6E0E071F" w:rsidR="00572CF7" w:rsidRPr="00503F5B" w:rsidRDefault="00572CF7" w:rsidP="00DF55E7">
      <w:pPr>
        <w:jc w:val="both"/>
      </w:pPr>
      <w:bookmarkStart w:id="56" w:name="_Hlk39575431"/>
      <w:r w:rsidRPr="00503F5B">
        <w:t>Furthermore, section 2A of the Principal Act (as amended by the Act) outlines objectives in relation to the interaction between fire services. This section states that it is Parliament’s intention for FRV and the CFA to establish process that will ensure that they, amongst other things, promote collaboration and co-ordination between fire services and agencies to best meet the safety needs of the community.</w:t>
      </w:r>
    </w:p>
    <w:bookmarkEnd w:id="56"/>
    <w:p w14:paraId="497E6D0F" w14:textId="77777777" w:rsidR="00DF55E7" w:rsidRPr="00503F5B" w:rsidRDefault="00DF55E7" w:rsidP="00DF55E7">
      <w:pPr>
        <w:jc w:val="both"/>
      </w:pPr>
    </w:p>
    <w:p w14:paraId="122AC732" w14:textId="69904668" w:rsidR="00DF55E7" w:rsidRPr="00503F5B" w:rsidRDefault="00DF55E7" w:rsidP="00DF55E7">
      <w:pPr>
        <w:jc w:val="both"/>
      </w:pPr>
      <w:r w:rsidRPr="00503F5B">
        <w:t>The regulations and associated cost recovery structure must be consistent with these objectives, as set out in the Act.</w:t>
      </w:r>
    </w:p>
    <w:p w14:paraId="5EE9FC90" w14:textId="77777777" w:rsidR="00DF55E7" w:rsidRPr="00503F5B" w:rsidRDefault="00DF55E7" w:rsidP="00DF55E7">
      <w:pPr>
        <w:jc w:val="both"/>
      </w:pPr>
    </w:p>
    <w:p w14:paraId="0E288E7A" w14:textId="2AE5D229" w:rsidR="00DF55E7" w:rsidRPr="00503F5B" w:rsidRDefault="00DF55E7" w:rsidP="00DF55E7">
      <w:pPr>
        <w:jc w:val="both"/>
      </w:pPr>
      <w:r w:rsidRPr="00503F5B">
        <w:t xml:space="preserve">The </w:t>
      </w:r>
      <w:r w:rsidR="00820369" w:rsidRPr="00503F5B">
        <w:t xml:space="preserve">proposed </w:t>
      </w:r>
      <w:r w:rsidRPr="00503F5B">
        <w:t xml:space="preserve">regulations prescribe </w:t>
      </w:r>
      <w:proofErr w:type="gramStart"/>
      <w:r w:rsidRPr="00503F5B">
        <w:t>a number of</w:t>
      </w:r>
      <w:proofErr w:type="gramEnd"/>
      <w:r w:rsidRPr="00503F5B">
        <w:t xml:space="preserve"> measures to help ensure public safety. </w:t>
      </w:r>
      <w:r w:rsidR="00820369" w:rsidRPr="00503F5B">
        <w:t xml:space="preserve">The underlying public policy issues (and therefore the reason regulations are required) are discussed in section 2. </w:t>
      </w:r>
      <w:r w:rsidRPr="00503F5B">
        <w:t>These measures include prescribing fire prevention notices that can be issued by municipal councils or the Fire Rescue Commissioner and require property owners or occupiers to remove fire hazards. Failure to put in place clear and effective measures directed at preventing fires could have serious impacts on life and property. Other public safety requirements focus on regulating the use of FRV’s insignia so that FRV staff and property are identifiable</w:t>
      </w:r>
      <w:r w:rsidR="005F2188" w:rsidRPr="00503F5B">
        <w:t xml:space="preserve"> and to </w:t>
      </w:r>
      <w:r w:rsidRPr="00503F5B">
        <w:t>prevent any unauthorised or false representation as an FRV staff member that might risk</w:t>
      </w:r>
      <w:r w:rsidR="002145FD" w:rsidRPr="00503F5B">
        <w:t xml:space="preserve"> </w:t>
      </w:r>
      <w:r w:rsidR="005F2188" w:rsidRPr="00503F5B">
        <w:t>safety</w:t>
      </w:r>
      <w:r w:rsidRPr="00503F5B">
        <w:t>, property and the legitimacy of FRV. The regulations also set out the information that providers of alarm monitoring services must provide to FRV. This information relates to alarm pre-connection, connection, modification, disconnection, verification and failure, and facilitates risk assessment, such as accurately assessing sites for appropriate emergency response. Obtaining this information helps ensure FRV is prepared to respond to emergencies where an alarm is in place. Such preparations reduce safety risks for firefighters and the public.</w:t>
      </w:r>
    </w:p>
    <w:p w14:paraId="604BC68E" w14:textId="77777777" w:rsidR="00DF55E7" w:rsidRPr="00503F5B" w:rsidRDefault="00DF55E7" w:rsidP="00DF55E7">
      <w:pPr>
        <w:jc w:val="both"/>
      </w:pPr>
    </w:p>
    <w:p w14:paraId="44EE9278" w14:textId="49B19B6B" w:rsidR="00DF55E7" w:rsidRPr="00503F5B" w:rsidRDefault="00DF55E7" w:rsidP="00DF55E7">
      <w:pPr>
        <w:jc w:val="both"/>
      </w:pPr>
      <w:r w:rsidRPr="00503F5B">
        <w:t>The regulations cover management-related matters derived from the governance standards of public sector bodies. These standards require public sector agencies to be demonstrably accountable and transparent.  As a public sector agency, FRV must demonstrate it has organisational and management structures in place to operate effectively. The regulations set out management processes to make FRV administration transparent and accountable, particularly in relation to staff training, promotion and discipline. Specifying such matters in regulation makes the requirements clear to employees. A summary of relevant legislation including all acts and regulations relating to FRV activities is provided in Table 8.</w:t>
      </w:r>
    </w:p>
    <w:p w14:paraId="362BD887" w14:textId="464914A8" w:rsidR="00DF55E7" w:rsidRPr="00503F5B" w:rsidRDefault="00DF55E7" w:rsidP="001D51D6">
      <w:pPr>
        <w:jc w:val="both"/>
        <w:rPr>
          <w:highlight w:val="yellow"/>
        </w:rPr>
      </w:pPr>
    </w:p>
    <w:p w14:paraId="3F3CD100" w14:textId="66D2722F" w:rsidR="00DF55E7" w:rsidRPr="00503F5B" w:rsidRDefault="00DF55E7" w:rsidP="00DF55E7">
      <w:pPr>
        <w:jc w:val="center"/>
        <w:rPr>
          <w:rFonts w:asciiTheme="minorHAnsi" w:eastAsiaTheme="minorHAnsi" w:hAnsiTheme="minorHAnsi" w:cstheme="minorBidi"/>
          <w:b/>
          <w:color w:val="auto"/>
          <w:sz w:val="20"/>
          <w:szCs w:val="20"/>
        </w:rPr>
      </w:pPr>
      <w:r w:rsidRPr="00503F5B">
        <w:rPr>
          <w:b/>
          <w:sz w:val="20"/>
          <w:szCs w:val="20"/>
        </w:rPr>
        <w:t xml:space="preserve">Table </w:t>
      </w:r>
      <w:r w:rsidR="009A62E8" w:rsidRPr="00503F5B">
        <w:rPr>
          <w:b/>
          <w:sz w:val="20"/>
          <w:szCs w:val="20"/>
        </w:rPr>
        <w:t>8</w:t>
      </w:r>
      <w:r w:rsidRPr="00503F5B">
        <w:rPr>
          <w:b/>
          <w:sz w:val="20"/>
          <w:szCs w:val="20"/>
        </w:rPr>
        <w:t xml:space="preserve">: Summary of relevant legislation for </w:t>
      </w:r>
      <w:r w:rsidR="009A62E8" w:rsidRPr="00503F5B">
        <w:rPr>
          <w:b/>
          <w:sz w:val="20"/>
          <w:szCs w:val="20"/>
        </w:rPr>
        <w:t>FRV</w:t>
      </w:r>
    </w:p>
    <w:p w14:paraId="1B2ACA70" w14:textId="77777777" w:rsidR="00DF55E7" w:rsidRPr="00503F5B" w:rsidRDefault="00DF55E7" w:rsidP="00DF55E7">
      <w:pPr>
        <w:rPr>
          <w:highlight w:val="yellow"/>
        </w:rPr>
      </w:pP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2691"/>
        <w:gridCol w:w="4965"/>
      </w:tblGrid>
      <w:tr w:rsidR="00DF55E7" w:rsidRPr="00503F5B" w14:paraId="30C986F0" w14:textId="77777777" w:rsidTr="009917B8">
        <w:trPr>
          <w:tblHeader/>
          <w:jc w:val="center"/>
        </w:trPr>
        <w:tc>
          <w:tcPr>
            <w:tcW w:w="1275" w:type="dxa"/>
            <w:tcBorders>
              <w:top w:val="single" w:sz="4" w:space="0" w:color="ED7C5D"/>
              <w:left w:val="nil"/>
              <w:bottom w:val="double" w:sz="4" w:space="0" w:color="ED7C5D"/>
              <w:right w:val="nil"/>
            </w:tcBorders>
            <w:hideMark/>
          </w:tcPr>
          <w:p w14:paraId="53A4F192" w14:textId="77777777" w:rsidR="00DF55E7" w:rsidRPr="00503F5B" w:rsidRDefault="00DF55E7">
            <w:pPr>
              <w:rPr>
                <w:b/>
                <w:color w:val="BE2A18"/>
                <w:sz w:val="20"/>
                <w:szCs w:val="20"/>
                <w:lang w:val="en-AU"/>
              </w:rPr>
            </w:pPr>
            <w:r w:rsidRPr="00503F5B">
              <w:rPr>
                <w:b/>
                <w:color w:val="BE2A18"/>
                <w:sz w:val="20"/>
                <w:szCs w:val="20"/>
                <w:lang w:val="en-AU"/>
              </w:rPr>
              <w:t>Legislation</w:t>
            </w:r>
          </w:p>
        </w:tc>
        <w:tc>
          <w:tcPr>
            <w:tcW w:w="2691" w:type="dxa"/>
            <w:tcBorders>
              <w:top w:val="single" w:sz="4" w:space="0" w:color="ED7C5D"/>
              <w:left w:val="nil"/>
              <w:bottom w:val="double" w:sz="4" w:space="0" w:color="ED7C5D"/>
              <w:right w:val="nil"/>
            </w:tcBorders>
            <w:hideMark/>
          </w:tcPr>
          <w:p w14:paraId="79D4416E" w14:textId="77777777" w:rsidR="00DF55E7" w:rsidRPr="00503F5B" w:rsidRDefault="00DF55E7">
            <w:pPr>
              <w:rPr>
                <w:b/>
                <w:color w:val="BE2A18"/>
                <w:sz w:val="20"/>
                <w:szCs w:val="20"/>
                <w:lang w:val="en-AU"/>
              </w:rPr>
            </w:pPr>
            <w:r w:rsidRPr="00503F5B">
              <w:rPr>
                <w:b/>
                <w:color w:val="BE2A18"/>
                <w:sz w:val="20"/>
                <w:szCs w:val="20"/>
                <w:lang w:val="en-AU"/>
              </w:rPr>
              <w:t>Purpose</w:t>
            </w:r>
          </w:p>
        </w:tc>
        <w:tc>
          <w:tcPr>
            <w:tcW w:w="4965" w:type="dxa"/>
            <w:tcBorders>
              <w:top w:val="single" w:sz="4" w:space="0" w:color="ED7C5D"/>
              <w:left w:val="nil"/>
              <w:bottom w:val="double" w:sz="4" w:space="0" w:color="ED7C5D"/>
              <w:right w:val="nil"/>
            </w:tcBorders>
            <w:hideMark/>
          </w:tcPr>
          <w:p w14:paraId="5EDF1F88" w14:textId="77777777" w:rsidR="00DF55E7" w:rsidRPr="00503F5B" w:rsidRDefault="00DF55E7">
            <w:pPr>
              <w:rPr>
                <w:b/>
                <w:color w:val="BE2A18"/>
                <w:sz w:val="20"/>
                <w:szCs w:val="20"/>
                <w:lang w:val="en-AU"/>
              </w:rPr>
            </w:pPr>
            <w:r w:rsidRPr="00503F5B">
              <w:rPr>
                <w:b/>
                <w:color w:val="BE2A18"/>
                <w:sz w:val="20"/>
                <w:szCs w:val="20"/>
                <w:lang w:val="en-AU"/>
              </w:rPr>
              <w:t>Relevant Coverage</w:t>
            </w:r>
          </w:p>
        </w:tc>
      </w:tr>
      <w:tr w:rsidR="00DF55E7" w:rsidRPr="00503F5B" w14:paraId="6052931D" w14:textId="77777777" w:rsidTr="009917B8">
        <w:trPr>
          <w:jc w:val="center"/>
        </w:trPr>
        <w:tc>
          <w:tcPr>
            <w:tcW w:w="1275" w:type="dxa"/>
            <w:tcBorders>
              <w:top w:val="double" w:sz="4" w:space="0" w:color="ED7C5D"/>
              <w:left w:val="nil"/>
              <w:bottom w:val="single" w:sz="4" w:space="0" w:color="ED7C5D"/>
              <w:right w:val="nil"/>
            </w:tcBorders>
            <w:hideMark/>
          </w:tcPr>
          <w:p w14:paraId="3E4A798F" w14:textId="3DA429C5" w:rsidR="00DF55E7" w:rsidRPr="00503F5B" w:rsidRDefault="0037229D">
            <w:pPr>
              <w:rPr>
                <w:sz w:val="20"/>
                <w:szCs w:val="20"/>
                <w:lang w:val="en-AU"/>
              </w:rPr>
            </w:pPr>
            <w:r w:rsidRPr="00503F5B">
              <w:rPr>
                <w:sz w:val="20"/>
                <w:szCs w:val="20"/>
                <w:lang w:val="en-AU"/>
              </w:rPr>
              <w:t xml:space="preserve">Principal </w:t>
            </w:r>
            <w:r w:rsidR="00DF55E7" w:rsidRPr="00503F5B">
              <w:rPr>
                <w:sz w:val="20"/>
                <w:szCs w:val="20"/>
                <w:lang w:val="en-AU"/>
              </w:rPr>
              <w:t>Act</w:t>
            </w:r>
          </w:p>
        </w:tc>
        <w:tc>
          <w:tcPr>
            <w:tcW w:w="2691" w:type="dxa"/>
            <w:tcBorders>
              <w:top w:val="double" w:sz="4" w:space="0" w:color="ED7C5D"/>
              <w:left w:val="nil"/>
              <w:bottom w:val="single" w:sz="4" w:space="0" w:color="ED7C5D"/>
              <w:right w:val="nil"/>
            </w:tcBorders>
            <w:hideMark/>
          </w:tcPr>
          <w:p w14:paraId="4A262AA8" w14:textId="5AC5E64C" w:rsidR="00DF55E7" w:rsidRPr="00503F5B" w:rsidRDefault="00DF55E7">
            <w:pPr>
              <w:rPr>
                <w:sz w:val="20"/>
                <w:szCs w:val="20"/>
                <w:lang w:val="en-AU"/>
              </w:rPr>
            </w:pPr>
            <w:r w:rsidRPr="00503F5B">
              <w:rPr>
                <w:sz w:val="20"/>
                <w:szCs w:val="20"/>
                <w:lang w:val="en-AU"/>
              </w:rPr>
              <w:t xml:space="preserve">To provide for fire safety, fire suppression and fire prevention services and emergency response services in </w:t>
            </w:r>
            <w:r w:rsidR="00D23B9E" w:rsidRPr="00503F5B">
              <w:rPr>
                <w:sz w:val="20"/>
                <w:szCs w:val="20"/>
                <w:lang w:val="en-AU"/>
              </w:rPr>
              <w:t>FRV</w:t>
            </w:r>
            <w:r w:rsidRPr="00503F5B">
              <w:rPr>
                <w:sz w:val="20"/>
                <w:szCs w:val="20"/>
                <w:lang w:val="en-AU"/>
              </w:rPr>
              <w:t xml:space="preserve"> fire district</w:t>
            </w:r>
            <w:r w:rsidR="005F2188" w:rsidRPr="00503F5B">
              <w:rPr>
                <w:sz w:val="20"/>
                <w:szCs w:val="20"/>
                <w:lang w:val="en-AU"/>
              </w:rPr>
              <w:t>.</w:t>
            </w:r>
          </w:p>
        </w:tc>
        <w:tc>
          <w:tcPr>
            <w:tcW w:w="4965" w:type="dxa"/>
            <w:tcBorders>
              <w:top w:val="double" w:sz="4" w:space="0" w:color="ED7C5D"/>
              <w:left w:val="nil"/>
              <w:bottom w:val="single" w:sz="4" w:space="0" w:color="ED7C5D"/>
              <w:right w:val="nil"/>
            </w:tcBorders>
            <w:hideMark/>
          </w:tcPr>
          <w:p w14:paraId="353F425A" w14:textId="77777777" w:rsidR="00DF55E7" w:rsidRPr="00503F5B" w:rsidRDefault="00DF55E7" w:rsidP="00101EC8">
            <w:pPr>
              <w:pStyle w:val="ListParagraph"/>
              <w:numPr>
                <w:ilvl w:val="0"/>
                <w:numId w:val="17"/>
              </w:numPr>
              <w:ind w:left="123" w:hanging="123"/>
              <w:rPr>
                <w:sz w:val="20"/>
                <w:szCs w:val="20"/>
                <w:lang w:val="en-AU"/>
              </w:rPr>
            </w:pPr>
            <w:r w:rsidRPr="00503F5B">
              <w:rPr>
                <w:sz w:val="20"/>
                <w:szCs w:val="20"/>
                <w:lang w:val="en-AU"/>
              </w:rPr>
              <w:t>Defines the Fire Rescue Victoria fire district (section 4).</w:t>
            </w:r>
          </w:p>
          <w:p w14:paraId="56E14FEF" w14:textId="77777777" w:rsidR="00DF55E7" w:rsidRPr="00503F5B" w:rsidRDefault="00DF55E7" w:rsidP="00101EC8">
            <w:pPr>
              <w:pStyle w:val="ListParagraph"/>
              <w:numPr>
                <w:ilvl w:val="0"/>
                <w:numId w:val="17"/>
              </w:numPr>
              <w:ind w:left="123" w:hanging="123"/>
              <w:rPr>
                <w:sz w:val="20"/>
                <w:szCs w:val="20"/>
                <w:lang w:val="en-AU"/>
              </w:rPr>
            </w:pPr>
            <w:r w:rsidRPr="00503F5B">
              <w:rPr>
                <w:sz w:val="20"/>
                <w:szCs w:val="20"/>
                <w:lang w:val="en-AU"/>
              </w:rPr>
              <w:t xml:space="preserve">Sets the duties and powers of councils/public authorities in relation to fire (section 5). </w:t>
            </w:r>
          </w:p>
          <w:p w14:paraId="1CC46A7A" w14:textId="77777777" w:rsidR="00DF55E7" w:rsidRPr="00503F5B" w:rsidRDefault="00DF55E7" w:rsidP="00101EC8">
            <w:pPr>
              <w:pStyle w:val="ListParagraph"/>
              <w:numPr>
                <w:ilvl w:val="0"/>
                <w:numId w:val="17"/>
              </w:numPr>
              <w:ind w:left="123" w:hanging="123"/>
              <w:rPr>
                <w:sz w:val="20"/>
                <w:szCs w:val="20"/>
                <w:lang w:val="en-AU"/>
              </w:rPr>
            </w:pPr>
            <w:r w:rsidRPr="00503F5B">
              <w:rPr>
                <w:sz w:val="20"/>
                <w:szCs w:val="20"/>
                <w:lang w:val="en-AU"/>
              </w:rPr>
              <w:t>Establishes FRV (section 6) including the Fire Rescue Commissioner (section 8).</w:t>
            </w:r>
          </w:p>
          <w:p w14:paraId="36359E51" w14:textId="77777777" w:rsidR="00DF55E7" w:rsidRPr="00503F5B" w:rsidRDefault="00DF55E7" w:rsidP="00101EC8">
            <w:pPr>
              <w:pStyle w:val="ListParagraph"/>
              <w:numPr>
                <w:ilvl w:val="0"/>
                <w:numId w:val="17"/>
              </w:numPr>
              <w:ind w:left="123" w:hanging="123"/>
              <w:rPr>
                <w:sz w:val="20"/>
                <w:szCs w:val="20"/>
                <w:lang w:val="en-AU"/>
              </w:rPr>
            </w:pPr>
            <w:r w:rsidRPr="00503F5B">
              <w:rPr>
                <w:sz w:val="20"/>
                <w:szCs w:val="20"/>
                <w:lang w:val="en-AU"/>
              </w:rPr>
              <w:lastRenderedPageBreak/>
              <w:t>Sets the functions of FRV (section 7).</w:t>
            </w:r>
          </w:p>
          <w:p w14:paraId="420754A7" w14:textId="77777777" w:rsidR="00DF55E7" w:rsidRPr="00503F5B" w:rsidRDefault="00DF55E7" w:rsidP="00101EC8">
            <w:pPr>
              <w:pStyle w:val="ListParagraph"/>
              <w:numPr>
                <w:ilvl w:val="0"/>
                <w:numId w:val="17"/>
              </w:numPr>
              <w:ind w:left="123" w:hanging="123"/>
              <w:rPr>
                <w:sz w:val="20"/>
                <w:szCs w:val="20"/>
                <w:lang w:val="en-AU"/>
              </w:rPr>
            </w:pPr>
            <w:r w:rsidRPr="00503F5B">
              <w:rPr>
                <w:sz w:val="20"/>
                <w:szCs w:val="20"/>
                <w:lang w:val="en-AU"/>
              </w:rPr>
              <w:t>Sets out that FRV may request payment of fees and charges for a false alarm attendance by a ‘unit’</w:t>
            </w:r>
            <w:r w:rsidRPr="00503F5B">
              <w:rPr>
                <w:rStyle w:val="FootnoteReference"/>
                <w:sz w:val="20"/>
                <w:szCs w:val="20"/>
                <w:lang w:val="en-AU"/>
              </w:rPr>
              <w:footnoteReference w:id="26"/>
            </w:r>
            <w:r w:rsidRPr="00503F5B">
              <w:rPr>
                <w:sz w:val="20"/>
                <w:szCs w:val="20"/>
                <w:lang w:val="en-AU"/>
              </w:rPr>
              <w:t xml:space="preserve"> where FRV is not satisfied that there was a reasonable excuse (section 32</w:t>
            </w:r>
            <w:proofErr w:type="gramStart"/>
            <w:r w:rsidRPr="00503F5B">
              <w:rPr>
                <w:sz w:val="20"/>
                <w:szCs w:val="20"/>
                <w:lang w:val="en-AU"/>
              </w:rPr>
              <w:t>D(</w:t>
            </w:r>
            <w:proofErr w:type="gramEnd"/>
            <w:r w:rsidRPr="00503F5B">
              <w:rPr>
                <w:sz w:val="20"/>
                <w:szCs w:val="20"/>
                <w:lang w:val="en-AU"/>
              </w:rPr>
              <w:t>6)).</w:t>
            </w:r>
          </w:p>
          <w:p w14:paraId="2E477298" w14:textId="77777777" w:rsidR="00DF55E7" w:rsidRPr="00503F5B" w:rsidRDefault="00DF55E7" w:rsidP="00101EC8">
            <w:pPr>
              <w:pStyle w:val="ListParagraph"/>
              <w:numPr>
                <w:ilvl w:val="0"/>
                <w:numId w:val="17"/>
              </w:numPr>
              <w:ind w:left="123" w:hanging="123"/>
              <w:rPr>
                <w:sz w:val="20"/>
                <w:szCs w:val="20"/>
                <w:lang w:val="en-AU"/>
              </w:rPr>
            </w:pPr>
            <w:r w:rsidRPr="00503F5B">
              <w:rPr>
                <w:sz w:val="20"/>
                <w:szCs w:val="20"/>
                <w:lang w:val="en-AU"/>
              </w:rPr>
              <w:t>Sets out FRV may provide protection services (section 55C).</w:t>
            </w:r>
          </w:p>
          <w:p w14:paraId="06040897" w14:textId="3C8A03FD" w:rsidR="00DF55E7" w:rsidRPr="00503F5B" w:rsidRDefault="00DF55E7" w:rsidP="00101EC8">
            <w:pPr>
              <w:pStyle w:val="ListParagraph"/>
              <w:numPr>
                <w:ilvl w:val="0"/>
                <w:numId w:val="17"/>
              </w:numPr>
              <w:ind w:left="123" w:hanging="123"/>
              <w:rPr>
                <w:sz w:val="20"/>
                <w:szCs w:val="20"/>
                <w:lang w:val="en-AU"/>
              </w:rPr>
            </w:pPr>
            <w:r w:rsidRPr="00503F5B">
              <w:rPr>
                <w:sz w:val="20"/>
                <w:szCs w:val="20"/>
                <w:lang w:val="en-AU"/>
              </w:rPr>
              <w:t>Sets out impersonation offences including the use of any insignia (section 75A(d)).</w:t>
            </w:r>
          </w:p>
          <w:p w14:paraId="15C7C253" w14:textId="122D1F2B" w:rsidR="001A0601" w:rsidRPr="00503F5B" w:rsidRDefault="001A0601" w:rsidP="00101EC8">
            <w:pPr>
              <w:pStyle w:val="ListParagraph"/>
              <w:numPr>
                <w:ilvl w:val="0"/>
                <w:numId w:val="17"/>
              </w:numPr>
              <w:ind w:left="123" w:hanging="123"/>
              <w:rPr>
                <w:sz w:val="20"/>
                <w:szCs w:val="20"/>
                <w:lang w:val="en-AU"/>
              </w:rPr>
            </w:pPr>
            <w:r w:rsidRPr="00503F5B">
              <w:rPr>
                <w:sz w:val="20"/>
                <w:szCs w:val="20"/>
                <w:lang w:val="en-AU"/>
              </w:rPr>
              <w:t>Make illegal the damage or interference with a fire indicator panel or other apparatus (section 75B).</w:t>
            </w:r>
          </w:p>
          <w:p w14:paraId="63CA3463" w14:textId="77777777" w:rsidR="00DF55E7" w:rsidRPr="00503F5B" w:rsidRDefault="00DF55E7" w:rsidP="00101EC8">
            <w:pPr>
              <w:pStyle w:val="ListParagraph"/>
              <w:numPr>
                <w:ilvl w:val="0"/>
                <w:numId w:val="17"/>
              </w:numPr>
              <w:ind w:left="123" w:hanging="123"/>
              <w:rPr>
                <w:sz w:val="20"/>
                <w:szCs w:val="20"/>
                <w:lang w:val="en-AU"/>
              </w:rPr>
            </w:pPr>
            <w:r w:rsidRPr="00503F5B">
              <w:rPr>
                <w:sz w:val="20"/>
                <w:szCs w:val="20"/>
                <w:lang w:val="en-AU"/>
              </w:rPr>
              <w:t>Sets out that an alarm monitoring service is to provide prescribed information (section 78).</w:t>
            </w:r>
          </w:p>
          <w:p w14:paraId="5F48A842" w14:textId="77777777" w:rsidR="00DF55E7" w:rsidRPr="00503F5B" w:rsidRDefault="00DF55E7" w:rsidP="00101EC8">
            <w:pPr>
              <w:pStyle w:val="ListParagraph"/>
              <w:numPr>
                <w:ilvl w:val="0"/>
                <w:numId w:val="17"/>
              </w:numPr>
              <w:ind w:left="123" w:hanging="123"/>
              <w:rPr>
                <w:sz w:val="20"/>
                <w:szCs w:val="20"/>
                <w:lang w:val="en-AU"/>
              </w:rPr>
            </w:pPr>
            <w:r w:rsidRPr="00503F5B">
              <w:rPr>
                <w:sz w:val="20"/>
                <w:szCs w:val="20"/>
                <w:lang w:val="en-AU"/>
              </w:rPr>
              <w:t>Sets out offences under which a member of the operational staff shall be guilty (section 78A) including hearing of charges (section 78C) and that suspended operational staff may engage in paid employment during the term of the suspension (section 78</w:t>
            </w:r>
            <w:proofErr w:type="gramStart"/>
            <w:r w:rsidRPr="00503F5B">
              <w:rPr>
                <w:sz w:val="20"/>
                <w:szCs w:val="20"/>
                <w:lang w:val="en-AU"/>
              </w:rPr>
              <w:t>E(</w:t>
            </w:r>
            <w:proofErr w:type="gramEnd"/>
            <w:r w:rsidRPr="00503F5B">
              <w:rPr>
                <w:sz w:val="20"/>
                <w:szCs w:val="20"/>
                <w:lang w:val="en-AU"/>
              </w:rPr>
              <w:t>1)).</w:t>
            </w:r>
          </w:p>
          <w:p w14:paraId="016BD435" w14:textId="77777777" w:rsidR="00DF55E7" w:rsidRPr="00503F5B" w:rsidRDefault="00DF55E7" w:rsidP="00101EC8">
            <w:pPr>
              <w:pStyle w:val="ListParagraph"/>
              <w:numPr>
                <w:ilvl w:val="0"/>
                <w:numId w:val="17"/>
              </w:numPr>
              <w:ind w:left="123" w:hanging="123"/>
              <w:rPr>
                <w:sz w:val="20"/>
                <w:szCs w:val="20"/>
                <w:lang w:val="en-AU"/>
              </w:rPr>
            </w:pPr>
            <w:r w:rsidRPr="00503F5B">
              <w:rPr>
                <w:sz w:val="20"/>
                <w:szCs w:val="20"/>
                <w:lang w:val="en-AU"/>
              </w:rPr>
              <w:t>Sets out the right of appeal for operational staff (section 79H); appeal against the failure of the Board to select the member for promotion to a vacant position for which he or she has applied (section 79H(c)); and defines the term ‘merit’ for the purposes of promotion appeals (section 79P(3)).</w:t>
            </w:r>
          </w:p>
          <w:p w14:paraId="20B89BC5" w14:textId="77777777" w:rsidR="00DF55E7" w:rsidRPr="00503F5B" w:rsidRDefault="00DF55E7" w:rsidP="00101EC8">
            <w:pPr>
              <w:pStyle w:val="ListParagraph"/>
              <w:numPr>
                <w:ilvl w:val="0"/>
                <w:numId w:val="17"/>
              </w:numPr>
              <w:ind w:left="123" w:hanging="123"/>
              <w:rPr>
                <w:sz w:val="20"/>
                <w:szCs w:val="20"/>
                <w:lang w:val="en-AU"/>
              </w:rPr>
            </w:pPr>
            <w:r w:rsidRPr="00503F5B">
              <w:rPr>
                <w:sz w:val="20"/>
                <w:szCs w:val="20"/>
                <w:lang w:val="en-AU"/>
              </w:rPr>
              <w:t>Sets out an entitlement to long service leave (section 80(1)).</w:t>
            </w:r>
          </w:p>
          <w:p w14:paraId="653C95FA" w14:textId="77777777" w:rsidR="00DF55E7" w:rsidRPr="00503F5B" w:rsidRDefault="00DF55E7" w:rsidP="00101EC8">
            <w:pPr>
              <w:pStyle w:val="ListParagraph"/>
              <w:numPr>
                <w:ilvl w:val="0"/>
                <w:numId w:val="17"/>
              </w:numPr>
              <w:ind w:left="123" w:hanging="123"/>
              <w:rPr>
                <w:sz w:val="20"/>
                <w:szCs w:val="20"/>
                <w:lang w:val="en-AU"/>
              </w:rPr>
            </w:pPr>
            <w:r w:rsidRPr="00503F5B">
              <w:rPr>
                <w:sz w:val="20"/>
                <w:szCs w:val="20"/>
                <w:lang w:val="en-AU"/>
              </w:rPr>
              <w:t>Prescribes the form and details around serving of fire prevention notices (section 87(3)) and (section 88(3)(b).</w:t>
            </w:r>
          </w:p>
        </w:tc>
      </w:tr>
      <w:tr w:rsidR="00DF55E7" w:rsidRPr="00503F5B" w14:paraId="50847543" w14:textId="77777777" w:rsidTr="009917B8">
        <w:trPr>
          <w:jc w:val="center"/>
        </w:trPr>
        <w:tc>
          <w:tcPr>
            <w:tcW w:w="1275" w:type="dxa"/>
            <w:tcBorders>
              <w:top w:val="single" w:sz="4" w:space="0" w:color="ED7C5D"/>
              <w:left w:val="nil"/>
              <w:bottom w:val="nil"/>
              <w:right w:val="nil"/>
            </w:tcBorders>
            <w:hideMark/>
          </w:tcPr>
          <w:p w14:paraId="5AE2A849" w14:textId="77777777" w:rsidR="00DF55E7" w:rsidRPr="00503F5B" w:rsidRDefault="00DF55E7">
            <w:pPr>
              <w:rPr>
                <w:sz w:val="20"/>
                <w:szCs w:val="20"/>
                <w:lang w:val="en-AU"/>
              </w:rPr>
            </w:pPr>
            <w:r w:rsidRPr="00503F5B">
              <w:rPr>
                <w:sz w:val="20"/>
                <w:szCs w:val="20"/>
                <w:lang w:val="en-AU"/>
              </w:rPr>
              <w:lastRenderedPageBreak/>
              <w:t>Building Act</w:t>
            </w:r>
          </w:p>
        </w:tc>
        <w:tc>
          <w:tcPr>
            <w:tcW w:w="2691" w:type="dxa"/>
            <w:tcBorders>
              <w:top w:val="single" w:sz="4" w:space="0" w:color="ED7C5D"/>
              <w:left w:val="nil"/>
              <w:bottom w:val="nil"/>
              <w:right w:val="nil"/>
            </w:tcBorders>
            <w:hideMark/>
          </w:tcPr>
          <w:p w14:paraId="445ECFD0" w14:textId="77777777" w:rsidR="00DF55E7" w:rsidRPr="00503F5B" w:rsidRDefault="00DF55E7">
            <w:pPr>
              <w:rPr>
                <w:sz w:val="20"/>
                <w:szCs w:val="20"/>
                <w:lang w:val="en-AU"/>
              </w:rPr>
            </w:pPr>
            <w:r w:rsidRPr="00503F5B">
              <w:rPr>
                <w:sz w:val="20"/>
                <w:szCs w:val="20"/>
                <w:lang w:val="en-AU"/>
              </w:rPr>
              <w:t>To set out legislative framework for the regulation of building construction, building standards and the maintenance of specific building safety features.</w:t>
            </w:r>
            <w:r w:rsidRPr="00503F5B">
              <w:rPr>
                <w:rStyle w:val="FootnoteReference"/>
                <w:sz w:val="20"/>
                <w:szCs w:val="20"/>
                <w:lang w:val="en-AU"/>
              </w:rPr>
              <w:footnoteReference w:id="27"/>
            </w:r>
          </w:p>
        </w:tc>
        <w:tc>
          <w:tcPr>
            <w:tcW w:w="4965" w:type="dxa"/>
            <w:tcBorders>
              <w:top w:val="single" w:sz="4" w:space="0" w:color="ED7C5D"/>
              <w:left w:val="nil"/>
              <w:bottom w:val="nil"/>
              <w:right w:val="nil"/>
            </w:tcBorders>
            <w:hideMark/>
          </w:tcPr>
          <w:p w14:paraId="0457297F" w14:textId="748B5D54" w:rsidR="00DF55E7" w:rsidRPr="00503F5B" w:rsidRDefault="00DF55E7" w:rsidP="00101EC8">
            <w:pPr>
              <w:pStyle w:val="ListParagraph"/>
              <w:numPr>
                <w:ilvl w:val="0"/>
                <w:numId w:val="18"/>
              </w:numPr>
              <w:ind w:left="123" w:hanging="142"/>
              <w:rPr>
                <w:sz w:val="20"/>
                <w:szCs w:val="20"/>
                <w:lang w:val="en-AU"/>
              </w:rPr>
            </w:pPr>
            <w:r w:rsidRPr="00503F5B">
              <w:rPr>
                <w:sz w:val="20"/>
                <w:szCs w:val="20"/>
                <w:lang w:val="en-AU"/>
              </w:rPr>
              <w:t xml:space="preserve">Defines the </w:t>
            </w:r>
            <w:r w:rsidR="0041092D" w:rsidRPr="00503F5B">
              <w:rPr>
                <w:sz w:val="20"/>
                <w:szCs w:val="20"/>
                <w:lang w:val="en-AU"/>
              </w:rPr>
              <w:t>Fire Rescue Commissioner</w:t>
            </w:r>
            <w:r w:rsidRPr="00503F5B">
              <w:rPr>
                <w:sz w:val="20"/>
                <w:szCs w:val="20"/>
                <w:lang w:val="en-AU"/>
              </w:rPr>
              <w:t xml:space="preserve"> with reference to </w:t>
            </w:r>
            <w:r w:rsidR="00D23B9E" w:rsidRPr="00503F5B">
              <w:rPr>
                <w:sz w:val="20"/>
                <w:szCs w:val="20"/>
                <w:lang w:val="en-AU"/>
              </w:rPr>
              <w:t>FRV</w:t>
            </w:r>
            <w:r w:rsidRPr="00503F5B">
              <w:rPr>
                <w:sz w:val="20"/>
                <w:szCs w:val="20"/>
                <w:lang w:val="en-AU"/>
              </w:rPr>
              <w:t xml:space="preserve"> fire district (section 3).</w:t>
            </w:r>
          </w:p>
          <w:p w14:paraId="1EDF92D4" w14:textId="77777777" w:rsidR="00DF55E7" w:rsidRPr="00503F5B" w:rsidRDefault="00DF55E7" w:rsidP="00101EC8">
            <w:pPr>
              <w:pStyle w:val="ListParagraph"/>
              <w:numPr>
                <w:ilvl w:val="0"/>
                <w:numId w:val="18"/>
              </w:numPr>
              <w:ind w:left="123" w:hanging="142"/>
              <w:rPr>
                <w:sz w:val="20"/>
                <w:szCs w:val="20"/>
                <w:lang w:val="en-AU"/>
              </w:rPr>
            </w:pPr>
            <w:r w:rsidRPr="00503F5B">
              <w:rPr>
                <w:sz w:val="20"/>
                <w:szCs w:val="20"/>
                <w:lang w:val="en-AU"/>
              </w:rPr>
              <w:t>Provides for fixing of fees in relation to providing reports for building surveyors and reports and consent for building permits by the Fire Rescue Commissioner in relation to fire safety matters (section 18).</w:t>
            </w:r>
            <w:r w:rsidRPr="00503F5B">
              <w:rPr>
                <w:lang w:val="en-AU"/>
              </w:rPr>
              <w:t xml:space="preserve"> </w:t>
            </w:r>
          </w:p>
          <w:p w14:paraId="02109082" w14:textId="77777777" w:rsidR="00DF55E7" w:rsidRPr="00503F5B" w:rsidRDefault="00DF55E7" w:rsidP="00101EC8">
            <w:pPr>
              <w:pStyle w:val="ListParagraph"/>
              <w:numPr>
                <w:ilvl w:val="0"/>
                <w:numId w:val="18"/>
              </w:numPr>
              <w:ind w:left="123" w:hanging="142"/>
              <w:rPr>
                <w:sz w:val="20"/>
                <w:szCs w:val="20"/>
                <w:lang w:val="en-AU"/>
              </w:rPr>
            </w:pPr>
            <w:r w:rsidRPr="00503F5B">
              <w:rPr>
                <w:sz w:val="20"/>
                <w:szCs w:val="20"/>
                <w:lang w:val="en-AU"/>
              </w:rPr>
              <w:t xml:space="preserve">Allows regulations to be made under the Building Act regarding topics of fire prevention; </w:t>
            </w:r>
            <w:proofErr w:type="spellStart"/>
            <w:r w:rsidRPr="00503F5B">
              <w:rPr>
                <w:sz w:val="20"/>
                <w:szCs w:val="20"/>
                <w:lang w:val="en-AU"/>
              </w:rPr>
              <w:t>fire fighting</w:t>
            </w:r>
            <w:proofErr w:type="spellEnd"/>
            <w:r w:rsidRPr="00503F5B">
              <w:rPr>
                <w:sz w:val="20"/>
                <w:szCs w:val="20"/>
                <w:lang w:val="en-AU"/>
              </w:rPr>
              <w:t xml:space="preserve"> equipment and precautions and other emergency installations; services and equipment (section 8), as well as, the provision of certificates as to compliance with any or all of the building regulations or with respect to any other matters under the building regulations (section 32).</w:t>
            </w:r>
          </w:p>
        </w:tc>
      </w:tr>
      <w:tr w:rsidR="00DF55E7" w:rsidRPr="00503F5B" w14:paraId="51E55AA5" w14:textId="77777777" w:rsidTr="009917B8">
        <w:trPr>
          <w:jc w:val="center"/>
        </w:trPr>
        <w:tc>
          <w:tcPr>
            <w:tcW w:w="1275" w:type="dxa"/>
            <w:tcBorders>
              <w:top w:val="single" w:sz="4" w:space="0" w:color="ED7C5D"/>
              <w:left w:val="nil"/>
              <w:bottom w:val="single" w:sz="4" w:space="0" w:color="ED7C5D"/>
              <w:right w:val="nil"/>
            </w:tcBorders>
            <w:hideMark/>
          </w:tcPr>
          <w:p w14:paraId="0493615D" w14:textId="77777777" w:rsidR="00DF55E7" w:rsidRPr="00503F5B" w:rsidRDefault="00DF55E7">
            <w:pPr>
              <w:rPr>
                <w:sz w:val="20"/>
                <w:szCs w:val="20"/>
                <w:lang w:val="en-AU"/>
              </w:rPr>
            </w:pPr>
            <w:r w:rsidRPr="00503F5B">
              <w:rPr>
                <w:sz w:val="20"/>
                <w:szCs w:val="20"/>
                <w:lang w:val="en-AU"/>
              </w:rPr>
              <w:t>Fire Services Property Levy Act</w:t>
            </w:r>
          </w:p>
        </w:tc>
        <w:tc>
          <w:tcPr>
            <w:tcW w:w="2691" w:type="dxa"/>
            <w:tcBorders>
              <w:top w:val="single" w:sz="4" w:space="0" w:color="ED7C5D"/>
              <w:left w:val="nil"/>
              <w:bottom w:val="single" w:sz="4" w:space="0" w:color="ED7C5D"/>
              <w:right w:val="nil"/>
            </w:tcBorders>
            <w:hideMark/>
          </w:tcPr>
          <w:p w14:paraId="250AE4FC" w14:textId="599033D5" w:rsidR="00DF55E7" w:rsidRPr="00503F5B" w:rsidRDefault="00DF55E7">
            <w:pPr>
              <w:rPr>
                <w:sz w:val="20"/>
                <w:szCs w:val="20"/>
                <w:lang w:val="en-AU"/>
              </w:rPr>
            </w:pPr>
            <w:r w:rsidRPr="00503F5B">
              <w:rPr>
                <w:sz w:val="20"/>
                <w:szCs w:val="20"/>
                <w:lang w:val="en-AU"/>
              </w:rPr>
              <w:t xml:space="preserve">To establish the Fire Services Property Levy for funding </w:t>
            </w:r>
            <w:r w:rsidR="001A0601" w:rsidRPr="00503F5B">
              <w:rPr>
                <w:sz w:val="20"/>
                <w:szCs w:val="20"/>
                <w:lang w:val="en-AU"/>
              </w:rPr>
              <w:t>FRV</w:t>
            </w:r>
            <w:r w:rsidRPr="00503F5B">
              <w:rPr>
                <w:sz w:val="20"/>
                <w:szCs w:val="20"/>
                <w:lang w:val="en-AU"/>
              </w:rPr>
              <w:t xml:space="preserve"> and </w:t>
            </w:r>
            <w:r w:rsidR="00B36EEE" w:rsidRPr="00503F5B">
              <w:rPr>
                <w:sz w:val="20"/>
                <w:szCs w:val="20"/>
                <w:lang w:val="en-AU"/>
              </w:rPr>
              <w:t>CFA</w:t>
            </w:r>
          </w:p>
        </w:tc>
        <w:tc>
          <w:tcPr>
            <w:tcW w:w="4965" w:type="dxa"/>
            <w:tcBorders>
              <w:top w:val="single" w:sz="4" w:space="0" w:color="ED7C5D"/>
              <w:left w:val="nil"/>
              <w:bottom w:val="single" w:sz="4" w:space="0" w:color="ED7C5D"/>
              <w:right w:val="nil"/>
            </w:tcBorders>
            <w:hideMark/>
          </w:tcPr>
          <w:p w14:paraId="5998B1AF" w14:textId="49482E87" w:rsidR="00DF55E7" w:rsidRPr="00503F5B" w:rsidRDefault="00DF55E7" w:rsidP="000D5B5D">
            <w:pPr>
              <w:pStyle w:val="ListParagraph"/>
              <w:numPr>
                <w:ilvl w:val="0"/>
                <w:numId w:val="18"/>
              </w:numPr>
              <w:ind w:left="123" w:hanging="142"/>
              <w:rPr>
                <w:sz w:val="20"/>
                <w:szCs w:val="20"/>
                <w:lang w:val="en-AU"/>
              </w:rPr>
            </w:pPr>
            <w:r w:rsidRPr="00503F5B">
              <w:rPr>
                <w:sz w:val="20"/>
                <w:szCs w:val="20"/>
                <w:lang w:val="en-AU"/>
              </w:rPr>
              <w:t>Provides for the collection of the levy by Councils to be received by the Commissioner of State Revenue for payment into consolidated revenue.</w:t>
            </w:r>
          </w:p>
        </w:tc>
      </w:tr>
      <w:tr w:rsidR="00DF55E7" w:rsidRPr="00503F5B" w14:paraId="26B77B4F" w14:textId="77777777" w:rsidTr="009917B8">
        <w:trPr>
          <w:trHeight w:val="250"/>
          <w:jc w:val="center"/>
        </w:trPr>
        <w:tc>
          <w:tcPr>
            <w:tcW w:w="1275" w:type="dxa"/>
            <w:tcBorders>
              <w:top w:val="single" w:sz="4" w:space="0" w:color="ED7C5D"/>
              <w:left w:val="nil"/>
              <w:bottom w:val="single" w:sz="4" w:space="0" w:color="ED7C5D"/>
              <w:right w:val="nil"/>
            </w:tcBorders>
            <w:shd w:val="clear" w:color="auto" w:fill="FFFFFF" w:themeFill="background1"/>
            <w:hideMark/>
          </w:tcPr>
          <w:p w14:paraId="4CCDEF57" w14:textId="77777777" w:rsidR="00DF55E7" w:rsidRPr="00503F5B" w:rsidRDefault="00DF55E7">
            <w:pPr>
              <w:rPr>
                <w:sz w:val="20"/>
                <w:szCs w:val="20"/>
                <w:lang w:val="en-AU"/>
              </w:rPr>
            </w:pPr>
            <w:r w:rsidRPr="00503F5B">
              <w:rPr>
                <w:sz w:val="20"/>
                <w:szCs w:val="20"/>
                <w:lang w:val="en-AU"/>
              </w:rPr>
              <w:t>The Regulations</w:t>
            </w:r>
          </w:p>
        </w:tc>
        <w:tc>
          <w:tcPr>
            <w:tcW w:w="2691" w:type="dxa"/>
            <w:tcBorders>
              <w:top w:val="single" w:sz="4" w:space="0" w:color="ED7C5D"/>
              <w:left w:val="nil"/>
              <w:bottom w:val="single" w:sz="4" w:space="0" w:color="ED7C5D"/>
              <w:right w:val="nil"/>
            </w:tcBorders>
            <w:shd w:val="clear" w:color="auto" w:fill="FFFFFF" w:themeFill="background1"/>
            <w:hideMark/>
          </w:tcPr>
          <w:p w14:paraId="1363C6C8" w14:textId="351AC0D6" w:rsidR="00DF55E7" w:rsidRPr="00503F5B" w:rsidRDefault="00DF55E7">
            <w:pPr>
              <w:rPr>
                <w:sz w:val="20"/>
                <w:szCs w:val="20"/>
                <w:lang w:val="en-AU"/>
              </w:rPr>
            </w:pPr>
            <w:r w:rsidRPr="00503F5B">
              <w:rPr>
                <w:rFonts w:cs="P˘Í^ˇ"/>
                <w:color w:val="010202"/>
                <w:sz w:val="20"/>
                <w:szCs w:val="20"/>
                <w:lang w:val="en-AU"/>
              </w:rPr>
              <w:t>To provide requirements for the insignia and management of employees of FRV; the operation of the</w:t>
            </w:r>
            <w:r w:rsidR="00CA7E61" w:rsidRPr="00503F5B">
              <w:rPr>
                <w:rFonts w:cs="P˘Í^ˇ"/>
                <w:color w:val="010202"/>
                <w:sz w:val="20"/>
                <w:szCs w:val="20"/>
                <w:lang w:val="en-AU"/>
              </w:rPr>
              <w:t xml:space="preserve"> Fire Rescue Victoria Appeals</w:t>
            </w:r>
            <w:r w:rsidRPr="00503F5B">
              <w:rPr>
                <w:rFonts w:cs="P˘Í^ˇ"/>
                <w:color w:val="010202"/>
                <w:sz w:val="20"/>
                <w:szCs w:val="20"/>
                <w:lang w:val="en-AU"/>
              </w:rPr>
              <w:t xml:space="preserve"> Commission; </w:t>
            </w:r>
            <w:r w:rsidRPr="00503F5B">
              <w:rPr>
                <w:rFonts w:ascii="P˘Í^ˇ" w:hAnsi="P˘Í^ˇ" w:cs="P˘Í^ˇ"/>
                <w:color w:val="010202"/>
                <w:sz w:val="20"/>
                <w:szCs w:val="20"/>
                <w:lang w:val="en-AU"/>
              </w:rPr>
              <w:lastRenderedPageBreak/>
              <w:t>fees and charges levied by FRV;</w:t>
            </w:r>
            <w:r w:rsidRPr="00503F5B">
              <w:rPr>
                <w:rFonts w:cs="P˘Í^ˇ"/>
                <w:color w:val="010202"/>
                <w:sz w:val="20"/>
                <w:szCs w:val="20"/>
                <w:lang w:val="en-AU"/>
              </w:rPr>
              <w:t xml:space="preserve"> and fire prevention notices and alarm monitoring information </w:t>
            </w:r>
            <w:r w:rsidRPr="00503F5B">
              <w:rPr>
                <w:rFonts w:cs="P˘Í^ˇ"/>
                <w:color w:val="010202"/>
                <w:sz w:val="20"/>
                <w:szCs w:val="20"/>
                <w:shd w:val="clear" w:color="auto" w:fill="FFFFFF" w:themeFill="background1"/>
                <w:lang w:val="en-AU"/>
              </w:rPr>
              <w:t>(made under section 34 of the Act).</w:t>
            </w:r>
          </w:p>
        </w:tc>
        <w:tc>
          <w:tcPr>
            <w:tcW w:w="4965" w:type="dxa"/>
            <w:tcBorders>
              <w:top w:val="single" w:sz="4" w:space="0" w:color="ED7C5D"/>
              <w:left w:val="nil"/>
              <w:bottom w:val="single" w:sz="4" w:space="0" w:color="ED7C5D"/>
              <w:right w:val="nil"/>
            </w:tcBorders>
            <w:hideMark/>
          </w:tcPr>
          <w:p w14:paraId="75CDA8E4" w14:textId="277C1937" w:rsidR="00DF55E7" w:rsidRPr="00503F5B" w:rsidRDefault="00DF55E7" w:rsidP="00101EC8">
            <w:pPr>
              <w:pStyle w:val="ListParagraph"/>
              <w:numPr>
                <w:ilvl w:val="0"/>
                <w:numId w:val="18"/>
              </w:numPr>
              <w:ind w:left="179" w:hanging="179"/>
              <w:rPr>
                <w:sz w:val="20"/>
                <w:szCs w:val="20"/>
                <w:lang w:val="en-AU"/>
              </w:rPr>
            </w:pPr>
            <w:r w:rsidRPr="00503F5B">
              <w:rPr>
                <w:sz w:val="20"/>
                <w:szCs w:val="20"/>
                <w:lang w:val="en-AU"/>
              </w:rPr>
              <w:lastRenderedPageBreak/>
              <w:t>Prescribes the insignia of FRV</w:t>
            </w:r>
            <w:r w:rsidRPr="00503F5B">
              <w:rPr>
                <w:rStyle w:val="FootnoteReference"/>
                <w:sz w:val="20"/>
                <w:szCs w:val="20"/>
                <w:lang w:val="en-AU"/>
              </w:rPr>
              <w:footnoteReference w:id="28"/>
            </w:r>
            <w:r w:rsidRPr="00503F5B">
              <w:rPr>
                <w:sz w:val="20"/>
                <w:szCs w:val="20"/>
                <w:lang w:val="en-AU"/>
              </w:rPr>
              <w:t xml:space="preserve"> (reg. </w:t>
            </w:r>
            <w:r w:rsidR="00363173" w:rsidRPr="00503F5B">
              <w:rPr>
                <w:sz w:val="20"/>
                <w:szCs w:val="20"/>
                <w:lang w:val="en-AU"/>
              </w:rPr>
              <w:t>6</w:t>
            </w:r>
            <w:r w:rsidRPr="00503F5B">
              <w:rPr>
                <w:sz w:val="20"/>
                <w:szCs w:val="20"/>
                <w:lang w:val="en-AU"/>
              </w:rPr>
              <w:t>) and matters relating to long service leave</w:t>
            </w:r>
            <w:r w:rsidRPr="00503F5B">
              <w:rPr>
                <w:rStyle w:val="FootnoteReference"/>
                <w:sz w:val="20"/>
                <w:szCs w:val="20"/>
                <w:lang w:val="en-AU"/>
              </w:rPr>
              <w:footnoteReference w:id="29"/>
            </w:r>
            <w:r w:rsidRPr="00503F5B">
              <w:rPr>
                <w:sz w:val="20"/>
                <w:szCs w:val="20"/>
                <w:lang w:val="en-AU"/>
              </w:rPr>
              <w:t xml:space="preserve"> (reg. </w:t>
            </w:r>
            <w:r w:rsidR="00363173" w:rsidRPr="00503F5B">
              <w:rPr>
                <w:sz w:val="20"/>
                <w:szCs w:val="20"/>
                <w:lang w:val="en-AU"/>
              </w:rPr>
              <w:t>7</w:t>
            </w:r>
            <w:r w:rsidRPr="00503F5B">
              <w:rPr>
                <w:sz w:val="20"/>
                <w:szCs w:val="20"/>
                <w:lang w:val="en-AU"/>
              </w:rPr>
              <w:t>).</w:t>
            </w:r>
          </w:p>
          <w:p w14:paraId="6DD5228B" w14:textId="0A8500A7" w:rsidR="00DF55E7" w:rsidRPr="00503F5B" w:rsidRDefault="00DF55E7" w:rsidP="00101EC8">
            <w:pPr>
              <w:pStyle w:val="ListParagraph"/>
              <w:numPr>
                <w:ilvl w:val="0"/>
                <w:numId w:val="18"/>
              </w:numPr>
              <w:ind w:left="179" w:hanging="179"/>
              <w:rPr>
                <w:sz w:val="20"/>
                <w:szCs w:val="20"/>
                <w:lang w:val="en-AU"/>
              </w:rPr>
            </w:pPr>
            <w:r w:rsidRPr="00503F5B">
              <w:rPr>
                <w:sz w:val="20"/>
                <w:szCs w:val="20"/>
                <w:lang w:val="en-AU"/>
              </w:rPr>
              <w:t xml:space="preserve">Covers management of employees of </w:t>
            </w:r>
            <w:r w:rsidR="001A0601" w:rsidRPr="00503F5B">
              <w:rPr>
                <w:sz w:val="20"/>
                <w:szCs w:val="20"/>
                <w:lang w:val="en-AU"/>
              </w:rPr>
              <w:t>FRV</w:t>
            </w:r>
            <w:r w:rsidRPr="00503F5B">
              <w:rPr>
                <w:sz w:val="20"/>
                <w:szCs w:val="20"/>
                <w:lang w:val="en-AU"/>
              </w:rPr>
              <w:t xml:space="preserve">, including appointment (reg. </w:t>
            </w:r>
            <w:r w:rsidR="00363173" w:rsidRPr="00503F5B">
              <w:rPr>
                <w:sz w:val="20"/>
                <w:szCs w:val="20"/>
                <w:lang w:val="en-AU"/>
              </w:rPr>
              <w:t>8</w:t>
            </w:r>
            <w:r w:rsidRPr="00503F5B">
              <w:rPr>
                <w:sz w:val="20"/>
                <w:szCs w:val="20"/>
                <w:lang w:val="en-AU"/>
              </w:rPr>
              <w:t xml:space="preserve">), fitness for duty (reg. </w:t>
            </w:r>
            <w:r w:rsidR="00EA38F8" w:rsidRPr="00503F5B">
              <w:rPr>
                <w:sz w:val="20"/>
                <w:szCs w:val="20"/>
                <w:lang w:val="en-AU"/>
              </w:rPr>
              <w:t>9</w:t>
            </w:r>
            <w:r w:rsidRPr="00503F5B">
              <w:rPr>
                <w:sz w:val="20"/>
                <w:szCs w:val="20"/>
                <w:lang w:val="en-AU"/>
              </w:rPr>
              <w:t xml:space="preserve">), </w:t>
            </w:r>
            <w:r w:rsidRPr="00503F5B">
              <w:rPr>
                <w:sz w:val="20"/>
                <w:szCs w:val="20"/>
                <w:lang w:val="en-AU"/>
              </w:rPr>
              <w:lastRenderedPageBreak/>
              <w:t>promotion</w:t>
            </w:r>
            <w:r w:rsidRPr="00503F5B">
              <w:rPr>
                <w:rStyle w:val="FootnoteReference"/>
                <w:sz w:val="20"/>
                <w:szCs w:val="20"/>
                <w:lang w:val="en-AU"/>
              </w:rPr>
              <w:footnoteReference w:id="30"/>
            </w:r>
            <w:r w:rsidRPr="00503F5B">
              <w:rPr>
                <w:sz w:val="20"/>
                <w:szCs w:val="20"/>
                <w:lang w:val="en-AU"/>
              </w:rPr>
              <w:t xml:space="preserve"> (reg. 1</w:t>
            </w:r>
            <w:r w:rsidR="00EA38F8" w:rsidRPr="00503F5B">
              <w:rPr>
                <w:sz w:val="20"/>
                <w:szCs w:val="20"/>
                <w:lang w:val="en-AU"/>
              </w:rPr>
              <w:t>0</w:t>
            </w:r>
            <w:r w:rsidRPr="00503F5B">
              <w:rPr>
                <w:sz w:val="20"/>
                <w:szCs w:val="20"/>
                <w:lang w:val="en-AU"/>
              </w:rPr>
              <w:t>), discipline and disciplinary appeals (reg. 1</w:t>
            </w:r>
            <w:r w:rsidR="00EA38F8" w:rsidRPr="00503F5B">
              <w:rPr>
                <w:sz w:val="20"/>
                <w:szCs w:val="20"/>
                <w:lang w:val="en-AU"/>
              </w:rPr>
              <w:t>1</w:t>
            </w:r>
            <w:r w:rsidRPr="00503F5B">
              <w:rPr>
                <w:sz w:val="20"/>
                <w:szCs w:val="20"/>
                <w:lang w:val="en-AU"/>
              </w:rPr>
              <w:t xml:space="preserve"> to 1</w:t>
            </w:r>
            <w:r w:rsidR="00EA38F8" w:rsidRPr="00503F5B">
              <w:rPr>
                <w:sz w:val="20"/>
                <w:szCs w:val="20"/>
                <w:lang w:val="en-AU"/>
              </w:rPr>
              <w:t>3</w:t>
            </w:r>
            <w:r w:rsidRPr="00503F5B">
              <w:rPr>
                <w:sz w:val="20"/>
                <w:szCs w:val="20"/>
                <w:lang w:val="en-AU"/>
              </w:rPr>
              <w:t>).</w:t>
            </w:r>
          </w:p>
          <w:p w14:paraId="249B281B" w14:textId="16BA6C2F" w:rsidR="00DF55E7" w:rsidRPr="00503F5B" w:rsidRDefault="00DF55E7" w:rsidP="00101EC8">
            <w:pPr>
              <w:pStyle w:val="ListParagraph"/>
              <w:numPr>
                <w:ilvl w:val="0"/>
                <w:numId w:val="18"/>
              </w:numPr>
              <w:ind w:left="179" w:hanging="179"/>
              <w:rPr>
                <w:sz w:val="20"/>
                <w:szCs w:val="20"/>
                <w:lang w:val="en-AU"/>
              </w:rPr>
            </w:pPr>
            <w:r w:rsidRPr="00503F5B">
              <w:rPr>
                <w:sz w:val="20"/>
                <w:szCs w:val="20"/>
                <w:lang w:val="en-AU"/>
              </w:rPr>
              <w:t>Covers the operation and administration of the Commission including appeals</w:t>
            </w:r>
            <w:r w:rsidRPr="00503F5B">
              <w:rPr>
                <w:rStyle w:val="FootnoteReference"/>
                <w:sz w:val="20"/>
                <w:szCs w:val="20"/>
                <w:lang w:val="en-AU"/>
              </w:rPr>
              <w:footnoteReference w:id="31"/>
            </w:r>
            <w:r w:rsidRPr="00503F5B">
              <w:rPr>
                <w:sz w:val="20"/>
                <w:szCs w:val="20"/>
                <w:lang w:val="en-AU"/>
              </w:rPr>
              <w:t xml:space="preserve"> (reg. </w:t>
            </w:r>
            <w:r w:rsidR="00EA38F8" w:rsidRPr="00503F5B">
              <w:rPr>
                <w:sz w:val="20"/>
                <w:szCs w:val="20"/>
                <w:lang w:val="en-AU"/>
              </w:rPr>
              <w:t>14</w:t>
            </w:r>
            <w:r w:rsidRPr="00503F5B">
              <w:rPr>
                <w:sz w:val="20"/>
                <w:szCs w:val="20"/>
                <w:lang w:val="en-AU"/>
              </w:rPr>
              <w:t xml:space="preserve"> to 1</w:t>
            </w:r>
            <w:r w:rsidR="00EA38F8" w:rsidRPr="00503F5B">
              <w:rPr>
                <w:sz w:val="20"/>
                <w:szCs w:val="20"/>
                <w:lang w:val="en-AU"/>
              </w:rPr>
              <w:t>5</w:t>
            </w:r>
            <w:r w:rsidRPr="00503F5B">
              <w:rPr>
                <w:sz w:val="20"/>
                <w:szCs w:val="20"/>
                <w:lang w:val="en-AU"/>
              </w:rPr>
              <w:t>); and keeping of a register (reg. 1</w:t>
            </w:r>
            <w:r w:rsidR="00EA38F8" w:rsidRPr="00503F5B">
              <w:rPr>
                <w:sz w:val="20"/>
                <w:szCs w:val="20"/>
                <w:lang w:val="en-AU"/>
              </w:rPr>
              <w:t>6</w:t>
            </w:r>
            <w:r w:rsidRPr="00503F5B">
              <w:rPr>
                <w:sz w:val="20"/>
                <w:szCs w:val="20"/>
                <w:lang w:val="en-AU"/>
              </w:rPr>
              <w:t>).</w:t>
            </w:r>
          </w:p>
          <w:p w14:paraId="6F5E6627" w14:textId="08C54C16" w:rsidR="00DF55E7" w:rsidRPr="00503F5B" w:rsidRDefault="00DF55E7" w:rsidP="00101EC8">
            <w:pPr>
              <w:pStyle w:val="ListParagraph"/>
              <w:numPr>
                <w:ilvl w:val="0"/>
                <w:numId w:val="18"/>
              </w:numPr>
              <w:ind w:left="179" w:hanging="179"/>
              <w:rPr>
                <w:sz w:val="20"/>
                <w:szCs w:val="20"/>
                <w:lang w:val="en-AU"/>
              </w:rPr>
            </w:pPr>
            <w:r w:rsidRPr="00503F5B">
              <w:rPr>
                <w:sz w:val="20"/>
                <w:szCs w:val="20"/>
                <w:lang w:val="en-AU"/>
              </w:rPr>
              <w:t xml:space="preserve">Prescribes fees and charges for </w:t>
            </w:r>
            <w:r w:rsidRPr="00503F5B">
              <w:rPr>
                <w:i/>
                <w:sz w:val="20"/>
                <w:szCs w:val="20"/>
                <w:lang w:val="en-AU"/>
              </w:rPr>
              <w:t>emergency attendances</w:t>
            </w:r>
            <w:r w:rsidR="00042C50" w:rsidRPr="00503F5B">
              <w:rPr>
                <w:i/>
                <w:sz w:val="20"/>
                <w:szCs w:val="20"/>
                <w:lang w:val="en-AU"/>
              </w:rPr>
              <w:t xml:space="preserve"> </w:t>
            </w:r>
            <w:r w:rsidR="00950B64" w:rsidRPr="00503F5B">
              <w:rPr>
                <w:iCs/>
                <w:sz w:val="20"/>
                <w:szCs w:val="20"/>
                <w:lang w:val="en-AU"/>
              </w:rPr>
              <w:t>for false alarms</w:t>
            </w:r>
            <w:r w:rsidRPr="00503F5B">
              <w:rPr>
                <w:sz w:val="20"/>
                <w:szCs w:val="20"/>
                <w:lang w:val="en-AU"/>
              </w:rPr>
              <w:t xml:space="preserve"> (reg.1</w:t>
            </w:r>
            <w:r w:rsidR="00EA38F8" w:rsidRPr="00503F5B">
              <w:rPr>
                <w:sz w:val="20"/>
                <w:szCs w:val="20"/>
                <w:lang w:val="en-AU"/>
              </w:rPr>
              <w:t>7</w:t>
            </w:r>
            <w:r w:rsidR="00950B64" w:rsidRPr="00503F5B">
              <w:rPr>
                <w:sz w:val="20"/>
                <w:szCs w:val="20"/>
                <w:lang w:val="en-AU"/>
              </w:rPr>
              <w:t>(1)(a)</w:t>
            </w:r>
            <w:r w:rsidR="00950B64" w:rsidRPr="00503F5B">
              <w:rPr>
                <w:lang w:val="en-AU"/>
              </w:rPr>
              <w:t>)</w:t>
            </w:r>
            <w:r w:rsidR="00950B64" w:rsidRPr="00503F5B">
              <w:rPr>
                <w:rStyle w:val="FootnoteReference"/>
                <w:i/>
                <w:sz w:val="20"/>
                <w:szCs w:val="20"/>
                <w:lang w:val="en-AU"/>
              </w:rPr>
              <w:footnoteReference w:id="32"/>
            </w:r>
            <w:r w:rsidR="00042C50" w:rsidRPr="00503F5B">
              <w:rPr>
                <w:iCs/>
                <w:sz w:val="20"/>
                <w:szCs w:val="20"/>
                <w:lang w:val="en-AU"/>
              </w:rPr>
              <w:t xml:space="preserve">; </w:t>
            </w:r>
            <w:r w:rsidR="00950B64" w:rsidRPr="00503F5B">
              <w:rPr>
                <w:sz w:val="20"/>
                <w:szCs w:val="20"/>
                <w:lang w:val="en-AU"/>
              </w:rPr>
              <w:t xml:space="preserve"> false reports (reg.1</w:t>
            </w:r>
            <w:r w:rsidR="00EA38F8" w:rsidRPr="00503F5B">
              <w:rPr>
                <w:sz w:val="20"/>
                <w:szCs w:val="20"/>
                <w:lang w:val="en-AU"/>
              </w:rPr>
              <w:t>7</w:t>
            </w:r>
            <w:r w:rsidR="00950B64" w:rsidRPr="00503F5B">
              <w:rPr>
                <w:sz w:val="20"/>
                <w:szCs w:val="20"/>
                <w:lang w:val="en-AU"/>
              </w:rPr>
              <w:t>(1)(b)); vessels (reg.1</w:t>
            </w:r>
            <w:r w:rsidR="00EA38F8" w:rsidRPr="00503F5B">
              <w:rPr>
                <w:sz w:val="20"/>
                <w:szCs w:val="20"/>
                <w:lang w:val="en-AU"/>
              </w:rPr>
              <w:t>7</w:t>
            </w:r>
            <w:r w:rsidR="00950B64" w:rsidRPr="00503F5B">
              <w:rPr>
                <w:sz w:val="20"/>
                <w:szCs w:val="20"/>
                <w:lang w:val="en-AU"/>
              </w:rPr>
              <w:t>(1)(c)); incidents involving hazardous and toxic materials  (reg.1</w:t>
            </w:r>
            <w:r w:rsidR="00EA38F8" w:rsidRPr="00503F5B">
              <w:rPr>
                <w:sz w:val="20"/>
                <w:szCs w:val="20"/>
                <w:lang w:val="en-AU"/>
              </w:rPr>
              <w:t>7</w:t>
            </w:r>
            <w:r w:rsidR="00950B64" w:rsidRPr="00503F5B">
              <w:rPr>
                <w:sz w:val="20"/>
                <w:szCs w:val="20"/>
                <w:lang w:val="en-AU"/>
              </w:rPr>
              <w:t>(1)(d)); and special circumstances (reg.1</w:t>
            </w:r>
            <w:r w:rsidR="00EA38F8" w:rsidRPr="00503F5B">
              <w:rPr>
                <w:sz w:val="20"/>
                <w:szCs w:val="20"/>
                <w:lang w:val="en-AU"/>
              </w:rPr>
              <w:t>7</w:t>
            </w:r>
            <w:r w:rsidR="00950B64" w:rsidRPr="00503F5B">
              <w:rPr>
                <w:sz w:val="20"/>
                <w:szCs w:val="20"/>
                <w:lang w:val="en-AU"/>
              </w:rPr>
              <w:t>(1)(e))</w:t>
            </w:r>
          </w:p>
          <w:p w14:paraId="1381D7EA" w14:textId="312ABB4C" w:rsidR="00DF55E7" w:rsidRPr="00503F5B" w:rsidRDefault="00DF55E7" w:rsidP="00101EC8">
            <w:pPr>
              <w:pStyle w:val="ListParagraph"/>
              <w:numPr>
                <w:ilvl w:val="0"/>
                <w:numId w:val="18"/>
              </w:numPr>
              <w:ind w:left="179" w:hanging="179"/>
              <w:rPr>
                <w:sz w:val="20"/>
                <w:szCs w:val="20"/>
                <w:lang w:val="en-AU"/>
              </w:rPr>
            </w:pPr>
            <w:r w:rsidRPr="00503F5B">
              <w:rPr>
                <w:sz w:val="20"/>
                <w:szCs w:val="20"/>
                <w:lang w:val="en-AU"/>
              </w:rPr>
              <w:t xml:space="preserve">Enables FRV to set and recover other fees and charges for: </w:t>
            </w:r>
            <w:r w:rsidRPr="00503F5B">
              <w:rPr>
                <w:i/>
                <w:sz w:val="20"/>
                <w:szCs w:val="20"/>
                <w:lang w:val="en-AU"/>
              </w:rPr>
              <w:t xml:space="preserve">additional costs of hazardous materials and toxic fire incidents </w:t>
            </w:r>
            <w:r w:rsidRPr="00503F5B">
              <w:rPr>
                <w:sz w:val="20"/>
                <w:szCs w:val="20"/>
                <w:lang w:val="en-AU"/>
              </w:rPr>
              <w:t>(reg. 1</w:t>
            </w:r>
            <w:r w:rsidR="00EA38F8" w:rsidRPr="00503F5B">
              <w:rPr>
                <w:sz w:val="20"/>
                <w:szCs w:val="20"/>
                <w:lang w:val="en-AU"/>
              </w:rPr>
              <w:t>8</w:t>
            </w:r>
            <w:r w:rsidRPr="00503F5B">
              <w:rPr>
                <w:sz w:val="20"/>
                <w:szCs w:val="20"/>
                <w:lang w:val="en-AU"/>
              </w:rPr>
              <w:t xml:space="preserve">); </w:t>
            </w:r>
            <w:r w:rsidRPr="00503F5B">
              <w:rPr>
                <w:i/>
                <w:sz w:val="20"/>
                <w:szCs w:val="20"/>
                <w:lang w:val="en-AU"/>
              </w:rPr>
              <w:t>property protection or loss mitigation service</w:t>
            </w:r>
            <w:r w:rsidRPr="00503F5B">
              <w:rPr>
                <w:rStyle w:val="FootnoteReference"/>
                <w:sz w:val="20"/>
                <w:szCs w:val="20"/>
                <w:lang w:val="en-AU"/>
              </w:rPr>
              <w:footnoteReference w:id="33"/>
            </w:r>
            <w:r w:rsidRPr="00503F5B">
              <w:rPr>
                <w:i/>
                <w:sz w:val="20"/>
                <w:szCs w:val="20"/>
                <w:lang w:val="en-AU"/>
              </w:rPr>
              <w:t xml:space="preserve"> </w:t>
            </w:r>
            <w:r w:rsidRPr="00503F5B">
              <w:rPr>
                <w:sz w:val="20"/>
                <w:szCs w:val="20"/>
                <w:lang w:val="en-AU"/>
              </w:rPr>
              <w:t xml:space="preserve">(reg. </w:t>
            </w:r>
            <w:r w:rsidR="00EA38F8" w:rsidRPr="00503F5B">
              <w:rPr>
                <w:sz w:val="20"/>
                <w:szCs w:val="20"/>
                <w:lang w:val="en-AU"/>
              </w:rPr>
              <w:t>19</w:t>
            </w:r>
            <w:r w:rsidRPr="00503F5B">
              <w:rPr>
                <w:sz w:val="20"/>
                <w:szCs w:val="20"/>
                <w:lang w:val="en-AU"/>
              </w:rPr>
              <w:t xml:space="preserve">); and </w:t>
            </w:r>
            <w:r w:rsidRPr="00503F5B">
              <w:rPr>
                <w:i/>
                <w:sz w:val="20"/>
                <w:szCs w:val="20"/>
                <w:lang w:val="en-AU"/>
              </w:rPr>
              <w:t>road accident rescue service</w:t>
            </w:r>
            <w:r w:rsidRPr="00503F5B">
              <w:rPr>
                <w:rStyle w:val="FootnoteReference"/>
                <w:sz w:val="20"/>
                <w:szCs w:val="20"/>
                <w:lang w:val="en-AU"/>
              </w:rPr>
              <w:footnoteReference w:id="34"/>
            </w:r>
            <w:r w:rsidRPr="00503F5B">
              <w:rPr>
                <w:i/>
                <w:sz w:val="20"/>
                <w:szCs w:val="20"/>
                <w:lang w:val="en-AU"/>
              </w:rPr>
              <w:t xml:space="preserve"> </w:t>
            </w:r>
            <w:r w:rsidRPr="00503F5B">
              <w:rPr>
                <w:sz w:val="20"/>
                <w:szCs w:val="20"/>
                <w:lang w:val="en-AU"/>
              </w:rPr>
              <w:t>(reg. 2</w:t>
            </w:r>
            <w:r w:rsidR="00EA38F8" w:rsidRPr="00503F5B">
              <w:rPr>
                <w:sz w:val="20"/>
                <w:szCs w:val="20"/>
                <w:lang w:val="en-AU"/>
              </w:rPr>
              <w:t>0</w:t>
            </w:r>
            <w:r w:rsidRPr="00503F5B">
              <w:rPr>
                <w:sz w:val="20"/>
                <w:szCs w:val="20"/>
                <w:lang w:val="en-AU"/>
              </w:rPr>
              <w:t>)</w:t>
            </w:r>
            <w:r w:rsidR="00363173" w:rsidRPr="00503F5B">
              <w:rPr>
                <w:sz w:val="20"/>
                <w:szCs w:val="20"/>
                <w:lang w:val="en-AU"/>
              </w:rPr>
              <w:t xml:space="preserve">; and </w:t>
            </w:r>
            <w:r w:rsidR="00363173" w:rsidRPr="00503F5B">
              <w:rPr>
                <w:i/>
                <w:iCs/>
                <w:sz w:val="20"/>
                <w:szCs w:val="20"/>
                <w:lang w:val="en-AU"/>
              </w:rPr>
              <w:t>fire protection</w:t>
            </w:r>
            <w:r w:rsidR="00363173" w:rsidRPr="00503F5B">
              <w:rPr>
                <w:sz w:val="20"/>
                <w:szCs w:val="20"/>
                <w:lang w:val="en-AU"/>
              </w:rPr>
              <w:t xml:space="preserve"> (reg.2</w:t>
            </w:r>
            <w:r w:rsidR="00EA38F8" w:rsidRPr="00503F5B">
              <w:rPr>
                <w:sz w:val="20"/>
                <w:szCs w:val="20"/>
                <w:lang w:val="en-AU"/>
              </w:rPr>
              <w:t>1</w:t>
            </w:r>
            <w:r w:rsidR="00363173" w:rsidRPr="00503F5B">
              <w:rPr>
                <w:sz w:val="20"/>
                <w:szCs w:val="20"/>
                <w:lang w:val="en-AU"/>
              </w:rPr>
              <w:t>)</w:t>
            </w:r>
          </w:p>
          <w:p w14:paraId="7744D54A" w14:textId="5BF10592" w:rsidR="00DF55E7" w:rsidRPr="00503F5B" w:rsidRDefault="00DF55E7" w:rsidP="00101EC8">
            <w:pPr>
              <w:pStyle w:val="ListParagraph"/>
              <w:numPr>
                <w:ilvl w:val="0"/>
                <w:numId w:val="18"/>
              </w:numPr>
              <w:ind w:left="179" w:hanging="179"/>
              <w:rPr>
                <w:sz w:val="20"/>
                <w:szCs w:val="20"/>
                <w:lang w:val="en-AU"/>
              </w:rPr>
            </w:pPr>
            <w:r w:rsidRPr="00503F5B">
              <w:rPr>
                <w:sz w:val="20"/>
                <w:szCs w:val="20"/>
                <w:lang w:val="en-AU"/>
              </w:rPr>
              <w:t>Covers the issuing of fire prevention notices</w:t>
            </w:r>
            <w:r w:rsidRPr="00503F5B">
              <w:rPr>
                <w:rStyle w:val="FootnoteReference"/>
                <w:sz w:val="20"/>
                <w:szCs w:val="20"/>
                <w:lang w:val="en-AU"/>
              </w:rPr>
              <w:footnoteReference w:id="35"/>
            </w:r>
            <w:r w:rsidRPr="00503F5B">
              <w:rPr>
                <w:sz w:val="20"/>
                <w:szCs w:val="20"/>
                <w:lang w:val="en-AU"/>
              </w:rPr>
              <w:t xml:space="preserve"> (reg. 2</w:t>
            </w:r>
            <w:r w:rsidR="00EA38F8" w:rsidRPr="00503F5B">
              <w:rPr>
                <w:sz w:val="20"/>
                <w:szCs w:val="20"/>
                <w:lang w:val="en-AU"/>
              </w:rPr>
              <w:t>2</w:t>
            </w:r>
            <w:r w:rsidRPr="00503F5B">
              <w:rPr>
                <w:sz w:val="20"/>
                <w:szCs w:val="20"/>
                <w:lang w:val="en-AU"/>
              </w:rPr>
              <w:t xml:space="preserve">) and prescribes alarm monitoring information for </w:t>
            </w:r>
            <w:r w:rsidR="00D23B9E" w:rsidRPr="00503F5B">
              <w:rPr>
                <w:sz w:val="20"/>
                <w:szCs w:val="20"/>
                <w:lang w:val="en-AU"/>
              </w:rPr>
              <w:t>FRV</w:t>
            </w:r>
            <w:r w:rsidRPr="00503F5B">
              <w:rPr>
                <w:sz w:val="20"/>
                <w:szCs w:val="20"/>
                <w:lang w:val="en-AU"/>
              </w:rPr>
              <w:t xml:space="preserve"> including (reg. 2</w:t>
            </w:r>
            <w:r w:rsidR="00EA38F8" w:rsidRPr="00503F5B">
              <w:rPr>
                <w:sz w:val="20"/>
                <w:szCs w:val="20"/>
                <w:lang w:val="en-AU"/>
              </w:rPr>
              <w:t>3</w:t>
            </w:r>
            <w:r w:rsidRPr="00503F5B">
              <w:rPr>
                <w:sz w:val="20"/>
                <w:szCs w:val="20"/>
                <w:lang w:val="en-AU"/>
              </w:rPr>
              <w:t xml:space="preserve"> to </w:t>
            </w:r>
            <w:r w:rsidR="00EA38F8" w:rsidRPr="00503F5B">
              <w:rPr>
                <w:sz w:val="20"/>
                <w:szCs w:val="20"/>
                <w:lang w:val="en-AU"/>
              </w:rPr>
              <w:t>29</w:t>
            </w:r>
            <w:r w:rsidRPr="00503F5B">
              <w:rPr>
                <w:sz w:val="20"/>
                <w:szCs w:val="20"/>
                <w:lang w:val="en-AU"/>
              </w:rPr>
              <w:t>)</w:t>
            </w:r>
          </w:p>
        </w:tc>
      </w:tr>
      <w:tr w:rsidR="00DF55E7" w:rsidRPr="00503F5B" w14:paraId="4ECAFFEE" w14:textId="77777777" w:rsidTr="009917B8">
        <w:trPr>
          <w:trHeight w:val="250"/>
          <w:jc w:val="center"/>
        </w:trPr>
        <w:tc>
          <w:tcPr>
            <w:tcW w:w="1275" w:type="dxa"/>
            <w:tcBorders>
              <w:top w:val="single" w:sz="4" w:space="0" w:color="ED7C5D"/>
              <w:left w:val="nil"/>
              <w:bottom w:val="single" w:sz="4" w:space="0" w:color="ED7C5D"/>
              <w:right w:val="nil"/>
            </w:tcBorders>
            <w:hideMark/>
          </w:tcPr>
          <w:p w14:paraId="68025040" w14:textId="77777777" w:rsidR="00DF55E7" w:rsidRPr="00503F5B" w:rsidRDefault="00DF55E7">
            <w:pPr>
              <w:rPr>
                <w:sz w:val="20"/>
                <w:szCs w:val="20"/>
                <w:lang w:val="en-AU"/>
              </w:rPr>
            </w:pPr>
            <w:r w:rsidRPr="00503F5B">
              <w:rPr>
                <w:sz w:val="20"/>
                <w:szCs w:val="20"/>
                <w:lang w:val="en-AU"/>
              </w:rPr>
              <w:lastRenderedPageBreak/>
              <w:t>Building Regulations</w:t>
            </w:r>
          </w:p>
        </w:tc>
        <w:tc>
          <w:tcPr>
            <w:tcW w:w="2691" w:type="dxa"/>
            <w:tcBorders>
              <w:top w:val="single" w:sz="4" w:space="0" w:color="ED7C5D"/>
              <w:left w:val="nil"/>
              <w:bottom w:val="single" w:sz="4" w:space="0" w:color="ED7C5D"/>
              <w:right w:val="nil"/>
            </w:tcBorders>
            <w:hideMark/>
          </w:tcPr>
          <w:p w14:paraId="3BCD9D30" w14:textId="6228CC3F" w:rsidR="00DF55E7" w:rsidRPr="00503F5B" w:rsidRDefault="00DF55E7">
            <w:pPr>
              <w:rPr>
                <w:rFonts w:cs="P˘Í^ˇ"/>
                <w:color w:val="010202"/>
                <w:sz w:val="20"/>
                <w:szCs w:val="20"/>
                <w:lang w:val="en-AU"/>
              </w:rPr>
            </w:pPr>
            <w:r w:rsidRPr="00503F5B">
              <w:rPr>
                <w:rFonts w:cs="P˘Í^ˇ"/>
                <w:color w:val="010202"/>
                <w:sz w:val="20"/>
                <w:szCs w:val="20"/>
                <w:lang w:val="en-AU"/>
              </w:rPr>
              <w:t xml:space="preserve">To provide requirements relating </w:t>
            </w:r>
            <w:proofErr w:type="gramStart"/>
            <w:r w:rsidRPr="00503F5B">
              <w:rPr>
                <w:rFonts w:cs="P˘Í^ˇ"/>
                <w:color w:val="010202"/>
                <w:sz w:val="20"/>
                <w:szCs w:val="20"/>
                <w:lang w:val="en-AU"/>
              </w:rPr>
              <w:t>to:</w:t>
            </w:r>
            <w:proofErr w:type="gramEnd"/>
            <w:r w:rsidRPr="00503F5B">
              <w:rPr>
                <w:rFonts w:cs="P˘Í^ˇ"/>
                <w:color w:val="010202"/>
                <w:sz w:val="20"/>
                <w:szCs w:val="20"/>
                <w:lang w:val="en-AU"/>
              </w:rPr>
              <w:t xml:space="preserve"> building permits, building inspections, occupancy </w:t>
            </w:r>
            <w:r w:rsidR="009A62E8" w:rsidRPr="00503F5B">
              <w:rPr>
                <w:rFonts w:cs="P˘Í^ˇ"/>
                <w:color w:val="010202"/>
                <w:sz w:val="20"/>
                <w:szCs w:val="20"/>
                <w:lang w:val="en-AU"/>
              </w:rPr>
              <w:t>permits, maintenance</w:t>
            </w:r>
            <w:r w:rsidRPr="00503F5B">
              <w:rPr>
                <w:rFonts w:cs="P˘Í^ˇ"/>
                <w:color w:val="010202"/>
                <w:sz w:val="20"/>
                <w:szCs w:val="20"/>
                <w:lang w:val="en-AU"/>
              </w:rPr>
              <w:t xml:space="preserve"> of buildings, and enforcement.</w:t>
            </w:r>
            <w:r w:rsidRPr="00503F5B">
              <w:rPr>
                <w:rStyle w:val="FootnoteReference"/>
                <w:rFonts w:cs="P˘Í^ˇ"/>
                <w:color w:val="010202"/>
                <w:sz w:val="20"/>
                <w:szCs w:val="20"/>
                <w:lang w:val="en-AU"/>
              </w:rPr>
              <w:footnoteReference w:id="36"/>
            </w:r>
          </w:p>
        </w:tc>
        <w:tc>
          <w:tcPr>
            <w:tcW w:w="4965" w:type="dxa"/>
            <w:tcBorders>
              <w:top w:val="single" w:sz="4" w:space="0" w:color="ED7C5D"/>
              <w:left w:val="nil"/>
              <w:bottom w:val="single" w:sz="4" w:space="0" w:color="ED7C5D"/>
              <w:right w:val="nil"/>
            </w:tcBorders>
            <w:hideMark/>
          </w:tcPr>
          <w:p w14:paraId="5A141087" w14:textId="77777777" w:rsidR="00DF55E7" w:rsidRPr="00503F5B" w:rsidRDefault="00DF55E7" w:rsidP="00101EC8">
            <w:pPr>
              <w:pStyle w:val="ListParagraph"/>
              <w:numPr>
                <w:ilvl w:val="0"/>
                <w:numId w:val="18"/>
              </w:numPr>
              <w:ind w:left="179" w:hanging="179"/>
              <w:rPr>
                <w:sz w:val="20"/>
                <w:szCs w:val="20"/>
                <w:lang w:val="en-AU"/>
              </w:rPr>
            </w:pPr>
            <w:r w:rsidRPr="00503F5B">
              <w:rPr>
                <w:sz w:val="20"/>
                <w:szCs w:val="20"/>
                <w:lang w:val="en-AU"/>
              </w:rPr>
              <w:t>Prescribes Building Code of Australia (BCA) fees in relation to providing reports to building surveyors (reg. 113(g)) and providing reports and consent to building permits (reg. 309)</w:t>
            </w:r>
            <w:r w:rsidRPr="00503F5B">
              <w:rPr>
                <w:rStyle w:val="FootnoteReference"/>
                <w:sz w:val="20"/>
                <w:szCs w:val="20"/>
                <w:lang w:val="en-AU"/>
              </w:rPr>
              <w:footnoteReference w:id="37"/>
            </w:r>
            <w:r w:rsidRPr="00503F5B">
              <w:rPr>
                <w:sz w:val="20"/>
                <w:szCs w:val="20"/>
                <w:lang w:val="en-AU"/>
              </w:rPr>
              <w:t xml:space="preserve"> where the Chief Officer is satisfied of certain fire safety matters. </w:t>
            </w:r>
          </w:p>
        </w:tc>
      </w:tr>
      <w:tr w:rsidR="00DF55E7" w:rsidRPr="00503F5B" w14:paraId="5B182B74" w14:textId="77777777" w:rsidTr="009917B8">
        <w:trPr>
          <w:trHeight w:val="250"/>
          <w:jc w:val="center"/>
        </w:trPr>
        <w:tc>
          <w:tcPr>
            <w:tcW w:w="1275" w:type="dxa"/>
            <w:tcBorders>
              <w:top w:val="single" w:sz="4" w:space="0" w:color="ED7C5D"/>
              <w:left w:val="nil"/>
              <w:bottom w:val="single" w:sz="4" w:space="0" w:color="ED7C5D"/>
              <w:right w:val="nil"/>
            </w:tcBorders>
            <w:hideMark/>
          </w:tcPr>
          <w:p w14:paraId="5CC93516" w14:textId="77777777" w:rsidR="00DF55E7" w:rsidRPr="00503F5B" w:rsidRDefault="00DF55E7">
            <w:pPr>
              <w:rPr>
                <w:sz w:val="20"/>
                <w:szCs w:val="20"/>
                <w:lang w:val="en-AU"/>
              </w:rPr>
            </w:pPr>
            <w:r w:rsidRPr="00503F5B">
              <w:rPr>
                <w:sz w:val="20"/>
                <w:szCs w:val="20"/>
                <w:lang w:val="en-AU"/>
              </w:rPr>
              <w:t>Country Fire Authority Regulations</w:t>
            </w:r>
          </w:p>
        </w:tc>
        <w:tc>
          <w:tcPr>
            <w:tcW w:w="2691" w:type="dxa"/>
            <w:tcBorders>
              <w:top w:val="single" w:sz="4" w:space="0" w:color="ED7C5D"/>
              <w:left w:val="nil"/>
              <w:bottom w:val="single" w:sz="4" w:space="0" w:color="ED7C5D"/>
              <w:right w:val="nil"/>
            </w:tcBorders>
            <w:hideMark/>
          </w:tcPr>
          <w:p w14:paraId="2E066EDA" w14:textId="5C391CF2" w:rsidR="00DF55E7" w:rsidRPr="00503F5B" w:rsidRDefault="00DF55E7">
            <w:pPr>
              <w:rPr>
                <w:rFonts w:cs="P˘Í^ˇ"/>
                <w:color w:val="010202"/>
                <w:sz w:val="20"/>
                <w:szCs w:val="20"/>
                <w:lang w:val="en-AU"/>
              </w:rPr>
            </w:pPr>
            <w:r w:rsidRPr="00503F5B">
              <w:rPr>
                <w:rFonts w:cs="P˘Í^ˇ"/>
                <w:color w:val="010202"/>
                <w:sz w:val="20"/>
                <w:szCs w:val="20"/>
                <w:lang w:val="en-AU"/>
              </w:rPr>
              <w:t xml:space="preserve">To provide requirements relating </w:t>
            </w:r>
            <w:proofErr w:type="gramStart"/>
            <w:r w:rsidRPr="00503F5B">
              <w:rPr>
                <w:rFonts w:cs="P˘Í^ˇ"/>
                <w:color w:val="010202"/>
                <w:sz w:val="20"/>
                <w:szCs w:val="20"/>
                <w:lang w:val="en-AU"/>
              </w:rPr>
              <w:t>to:</w:t>
            </w:r>
            <w:proofErr w:type="gramEnd"/>
            <w:r w:rsidRPr="00503F5B">
              <w:rPr>
                <w:rFonts w:cs="P˘Í^ˇ"/>
                <w:color w:val="010202"/>
                <w:sz w:val="20"/>
                <w:szCs w:val="20"/>
                <w:lang w:val="en-AU"/>
              </w:rPr>
              <w:t xml:space="preserve"> proceedings; management of officers </w:t>
            </w:r>
            <w:r w:rsidR="00363173" w:rsidRPr="00503F5B">
              <w:rPr>
                <w:rFonts w:cs="P˘Í^ˇ"/>
                <w:color w:val="010202"/>
                <w:sz w:val="20"/>
                <w:szCs w:val="20"/>
                <w:lang w:val="en-AU"/>
              </w:rPr>
              <w:t xml:space="preserve">and </w:t>
            </w:r>
            <w:r w:rsidRPr="00503F5B">
              <w:rPr>
                <w:rFonts w:cs="P˘Í^ˇ"/>
                <w:color w:val="010202"/>
                <w:sz w:val="20"/>
                <w:szCs w:val="20"/>
                <w:lang w:val="en-AU"/>
              </w:rPr>
              <w:t>employees and management and administration of fire brigades; issue of permits to burn and other fire prevention measures; financial arrangements; compensation; and alarm information requirements</w:t>
            </w:r>
          </w:p>
        </w:tc>
        <w:tc>
          <w:tcPr>
            <w:tcW w:w="4965" w:type="dxa"/>
            <w:tcBorders>
              <w:top w:val="single" w:sz="4" w:space="0" w:color="ED7C5D"/>
              <w:left w:val="nil"/>
              <w:bottom w:val="single" w:sz="4" w:space="0" w:color="ED7C5D"/>
              <w:right w:val="nil"/>
            </w:tcBorders>
          </w:tcPr>
          <w:p w14:paraId="47D75D36" w14:textId="098C7311" w:rsidR="00DF55E7" w:rsidRPr="00503F5B" w:rsidRDefault="00DF55E7" w:rsidP="00101EC8">
            <w:pPr>
              <w:pStyle w:val="ListParagraph"/>
              <w:numPr>
                <w:ilvl w:val="0"/>
                <w:numId w:val="18"/>
              </w:numPr>
              <w:ind w:left="179" w:hanging="179"/>
              <w:rPr>
                <w:sz w:val="20"/>
                <w:szCs w:val="20"/>
                <w:lang w:val="en-AU"/>
              </w:rPr>
            </w:pPr>
            <w:r w:rsidRPr="00503F5B">
              <w:rPr>
                <w:sz w:val="20"/>
                <w:szCs w:val="20"/>
                <w:lang w:val="en-AU"/>
              </w:rPr>
              <w:t>May fix fees and charges for:</w:t>
            </w:r>
            <w:r w:rsidRPr="00503F5B">
              <w:rPr>
                <w:lang w:val="en-AU"/>
              </w:rPr>
              <w:t xml:space="preserve"> </w:t>
            </w:r>
            <w:r w:rsidRPr="00503F5B">
              <w:rPr>
                <w:sz w:val="20"/>
                <w:szCs w:val="20"/>
                <w:lang w:val="en-AU"/>
              </w:rPr>
              <w:t>inspections in relation to applications made under the Building Act the provision of advice on fire prevention and suppression matters; and the testing and inspection of fire prevention and suppression equipment (reg. 100)</w:t>
            </w:r>
            <w:r w:rsidR="00363173" w:rsidRPr="00503F5B">
              <w:rPr>
                <w:sz w:val="20"/>
                <w:szCs w:val="20"/>
                <w:lang w:val="en-AU"/>
              </w:rPr>
              <w:t>; The additional cost of attending a hazardous material incident (reg.101(5)); Property protection and loss mitigation services (reg.102); and Road accident rescue (reg.103).</w:t>
            </w:r>
          </w:p>
          <w:p w14:paraId="2C1FCD6A" w14:textId="77777777" w:rsidR="00DF55E7" w:rsidRPr="00503F5B" w:rsidRDefault="00DF55E7">
            <w:pPr>
              <w:rPr>
                <w:sz w:val="20"/>
                <w:szCs w:val="20"/>
                <w:lang w:val="en-AU"/>
              </w:rPr>
            </w:pPr>
          </w:p>
        </w:tc>
      </w:tr>
    </w:tbl>
    <w:p w14:paraId="4D3AA71C" w14:textId="32F186EA" w:rsidR="00DF55E7" w:rsidRPr="00503F5B" w:rsidRDefault="00DF55E7" w:rsidP="00363173">
      <w:pPr>
        <w:jc w:val="both"/>
        <w:rPr>
          <w:highlight w:val="yellow"/>
        </w:rPr>
      </w:pPr>
    </w:p>
    <w:p w14:paraId="77DD14B0" w14:textId="488E71F0" w:rsidR="001D51D6" w:rsidRPr="00503F5B" w:rsidRDefault="001D51D6" w:rsidP="001D51D6">
      <w:pPr>
        <w:pStyle w:val="Heading2"/>
      </w:pPr>
      <w:bookmarkStart w:id="58" w:name="_Toc457772522"/>
      <w:bookmarkStart w:id="59" w:name="_Toc35804124"/>
      <w:bookmarkStart w:id="60" w:name="_Toc35804618"/>
      <w:bookmarkStart w:id="61" w:name="_Toc35812662"/>
      <w:r w:rsidRPr="00503F5B">
        <w:t>1.</w:t>
      </w:r>
      <w:r w:rsidR="00BB1B7F" w:rsidRPr="00503F5B">
        <w:t>5</w:t>
      </w:r>
      <w:r w:rsidRPr="00503F5B">
        <w:t xml:space="preserve"> Need to undertake a Regulatory Impact Statement and Scope of analysis</w:t>
      </w:r>
      <w:bookmarkEnd w:id="58"/>
      <w:bookmarkEnd w:id="59"/>
      <w:bookmarkEnd w:id="60"/>
      <w:bookmarkEnd w:id="61"/>
    </w:p>
    <w:p w14:paraId="1B2C06B7" w14:textId="48F38700" w:rsidR="00282DD8" w:rsidRPr="00503F5B" w:rsidRDefault="00B50799" w:rsidP="00282DD8">
      <w:pPr>
        <w:jc w:val="both"/>
      </w:pPr>
      <w:r w:rsidRPr="00503F5B">
        <w:t>This s</w:t>
      </w:r>
      <w:r w:rsidR="00282DD8" w:rsidRPr="00503F5B">
        <w:t xml:space="preserve">ection </w:t>
      </w:r>
      <w:r w:rsidRPr="00503F5B">
        <w:t xml:space="preserve">outlines </w:t>
      </w:r>
      <w:r w:rsidR="00282DD8" w:rsidRPr="00503F5B">
        <w:t xml:space="preserve">which elements </w:t>
      </w:r>
      <w:r w:rsidRPr="00503F5B">
        <w:t xml:space="preserve">of the regulations </w:t>
      </w:r>
      <w:r w:rsidR="0069269B" w:rsidRPr="00503F5B">
        <w:t xml:space="preserve">require </w:t>
      </w:r>
      <w:r w:rsidR="00282DD8" w:rsidRPr="00503F5B">
        <w:t xml:space="preserve">detailed analysis </w:t>
      </w:r>
      <w:r w:rsidR="0069269B" w:rsidRPr="00503F5B">
        <w:t xml:space="preserve">in this RIS </w:t>
      </w:r>
      <w:r w:rsidRPr="00503F5B">
        <w:t xml:space="preserve">in accordance with </w:t>
      </w:r>
      <w:r w:rsidR="00282DD8" w:rsidRPr="00503F5B">
        <w:t>the</w:t>
      </w:r>
      <w:r w:rsidR="00374121" w:rsidRPr="00503F5B">
        <w:t xml:space="preserve"> </w:t>
      </w:r>
      <w:r w:rsidR="00282DD8" w:rsidRPr="00503F5B">
        <w:rPr>
          <w:i/>
        </w:rPr>
        <w:t xml:space="preserve">Subordinate Legislation Act 1994 </w:t>
      </w:r>
      <w:r w:rsidR="00282DD8" w:rsidRPr="00503F5B">
        <w:t>(see Section 1.</w:t>
      </w:r>
      <w:r w:rsidR="00BB1B7F" w:rsidRPr="00503F5B">
        <w:t>5</w:t>
      </w:r>
      <w:r w:rsidR="00282DD8" w:rsidRPr="00503F5B">
        <w:t xml:space="preserve">.1) and which </w:t>
      </w:r>
      <w:r w:rsidR="0069269B" w:rsidRPr="00503F5B">
        <w:t xml:space="preserve">do </w:t>
      </w:r>
      <w:r w:rsidR="00282DD8" w:rsidRPr="00503F5B">
        <w:t xml:space="preserve">not </w:t>
      </w:r>
      <w:r w:rsidR="00282DD8" w:rsidRPr="00503F5B">
        <w:lastRenderedPageBreak/>
        <w:t>(see Section 1.</w:t>
      </w:r>
      <w:r w:rsidR="00BB1B7F" w:rsidRPr="00503F5B">
        <w:t>5</w:t>
      </w:r>
      <w:r w:rsidR="00282DD8" w:rsidRPr="00503F5B">
        <w:t>.2). In doing so the RIS highlights the principle that analysis in the RIS should be commensurate with the expected impact of the regulations, with some sections receiving greater focus that others.</w:t>
      </w:r>
    </w:p>
    <w:p w14:paraId="348E14CD" w14:textId="77777777" w:rsidR="00282DD8" w:rsidRPr="00503F5B" w:rsidRDefault="00282DD8" w:rsidP="001D51D6">
      <w:pPr>
        <w:jc w:val="both"/>
        <w:rPr>
          <w:sz w:val="10"/>
          <w:szCs w:val="10"/>
        </w:rPr>
      </w:pPr>
    </w:p>
    <w:p w14:paraId="40CA088E" w14:textId="2A0286AD" w:rsidR="00282DD8" w:rsidRPr="00503F5B" w:rsidRDefault="00282DD8" w:rsidP="00282DD8">
      <w:pPr>
        <w:pStyle w:val="Heading3"/>
      </w:pPr>
      <w:bookmarkStart w:id="62" w:name="_Toc457772523"/>
      <w:bookmarkStart w:id="63" w:name="_Toc35804125"/>
      <w:bookmarkStart w:id="64" w:name="_Toc35804619"/>
      <w:bookmarkStart w:id="65" w:name="_Toc35812663"/>
      <w:r w:rsidRPr="00503F5B">
        <w:t>1.</w:t>
      </w:r>
      <w:r w:rsidR="00BB1B7F" w:rsidRPr="00503F5B">
        <w:t>5</w:t>
      </w:r>
      <w:r w:rsidRPr="00503F5B">
        <w:t>.1 Fee-regulation subject to detailed RIS analysis</w:t>
      </w:r>
      <w:bookmarkEnd w:id="62"/>
      <w:bookmarkEnd w:id="63"/>
      <w:bookmarkEnd w:id="64"/>
      <w:bookmarkEnd w:id="65"/>
    </w:p>
    <w:p w14:paraId="01E29B2B" w14:textId="77777777" w:rsidR="00282DD8" w:rsidRPr="00503F5B" w:rsidRDefault="00282DD8" w:rsidP="001D51D6">
      <w:pPr>
        <w:jc w:val="both"/>
      </w:pPr>
    </w:p>
    <w:p w14:paraId="43ECFD9B" w14:textId="3597A045" w:rsidR="008C3D8E" w:rsidRPr="00503F5B" w:rsidRDefault="008C3D8E" w:rsidP="009D0A6B">
      <w:pPr>
        <w:jc w:val="both"/>
      </w:pPr>
      <w:r w:rsidRPr="00503F5B">
        <w:t>Given that the proposal sets an emergency attendance fee under</w:t>
      </w:r>
      <w:r w:rsidR="00820369" w:rsidRPr="00503F5B">
        <w:t xml:space="preserve"> proposed</w:t>
      </w:r>
      <w:r w:rsidRPr="00503F5B">
        <w:t xml:space="preserve"> regulation 1</w:t>
      </w:r>
      <w:r w:rsidR="00EC4EB3" w:rsidRPr="00503F5B">
        <w:t>7</w:t>
      </w:r>
      <w:r w:rsidR="00820369" w:rsidRPr="00503F5B">
        <w:t xml:space="preserve">(1)(a) (for false alarm attendances) </w:t>
      </w:r>
      <w:r w:rsidRPr="00503F5B">
        <w:t>which represents a material cost burden across Victoria, a Regulatory Impact Statement (RIS) must be prepared</w:t>
      </w:r>
      <w:r w:rsidR="00042C50" w:rsidRPr="00503F5B">
        <w:t>.</w:t>
      </w:r>
      <w:r w:rsidRPr="00503F5B">
        <w:t xml:space="preserve"> </w:t>
      </w:r>
      <w:r w:rsidR="00042C50" w:rsidRPr="00503F5B">
        <w:t>A</w:t>
      </w:r>
      <w:r w:rsidRPr="00503F5B">
        <w:t xml:space="preserve">ccording to the </w:t>
      </w:r>
      <w:r w:rsidRPr="00503F5B">
        <w:rPr>
          <w:i/>
        </w:rPr>
        <w:t>Subordinate Legislation Act 1994</w:t>
      </w:r>
      <w:r w:rsidRPr="00503F5B">
        <w:t xml:space="preserve">, </w:t>
      </w:r>
      <w:r w:rsidR="00042C50" w:rsidRPr="00503F5B">
        <w:t xml:space="preserve">this includes a </w:t>
      </w:r>
      <w:r w:rsidRPr="00503F5B">
        <w:t>detailed cost benefit analysis.  As shown in Table 1</w:t>
      </w:r>
      <w:r w:rsidR="000D5B5D" w:rsidRPr="00503F5B">
        <w:t xml:space="preserve"> </w:t>
      </w:r>
      <w:r w:rsidR="0069269B" w:rsidRPr="00503F5B">
        <w:t>above</w:t>
      </w:r>
      <w:r w:rsidR="00042C50" w:rsidRPr="00503F5B">
        <w:t>,</w:t>
      </w:r>
      <w:r w:rsidRPr="00503F5B">
        <w:t xml:space="preserve"> </w:t>
      </w:r>
      <w:r w:rsidR="00595DFB" w:rsidRPr="00503F5B">
        <w:t>MFB</w:t>
      </w:r>
      <w:r w:rsidR="009D0A6B" w:rsidRPr="00503F5B">
        <w:t xml:space="preserve"> and CFA</w:t>
      </w:r>
      <w:r w:rsidRPr="00503F5B">
        <w:t xml:space="preserve"> received $</w:t>
      </w:r>
      <w:r w:rsidR="009D0A6B" w:rsidRPr="00503F5B">
        <w:t>10</w:t>
      </w:r>
      <w:r w:rsidRPr="00503F5B">
        <w:t>.</w:t>
      </w:r>
      <w:r w:rsidR="009D0A6B" w:rsidRPr="00503F5B">
        <w:t>14</w:t>
      </w:r>
      <w:r w:rsidRPr="00503F5B">
        <w:t xml:space="preserve"> million</w:t>
      </w:r>
      <w:r w:rsidR="009D0A6B" w:rsidRPr="00503F5B">
        <w:t xml:space="preserve"> and $4.31 million</w:t>
      </w:r>
      <w:r w:rsidRPr="00503F5B">
        <w:t xml:space="preserve"> in false alarm charges revenue in 201</w:t>
      </w:r>
      <w:r w:rsidR="009D0A6B" w:rsidRPr="00503F5B">
        <w:t>8</w:t>
      </w:r>
      <w:r w:rsidRPr="00503F5B">
        <w:t>-1</w:t>
      </w:r>
      <w:r w:rsidR="009D0A6B" w:rsidRPr="00503F5B">
        <w:t>9, respectively.</w:t>
      </w:r>
      <w:r w:rsidR="00895995" w:rsidRPr="00503F5B">
        <w:t xml:space="preserve">   </w:t>
      </w:r>
    </w:p>
    <w:p w14:paraId="75CA0ADB" w14:textId="77777777" w:rsidR="008C3D8E" w:rsidRPr="00503F5B" w:rsidRDefault="008C3D8E" w:rsidP="008C3D8E">
      <w:pPr>
        <w:jc w:val="both"/>
        <w:rPr>
          <w:highlight w:val="yellow"/>
        </w:rPr>
      </w:pPr>
    </w:p>
    <w:p w14:paraId="7A6F1156" w14:textId="1858A9BC" w:rsidR="00042C50" w:rsidRPr="00503F5B" w:rsidRDefault="00042C50" w:rsidP="00042C50">
      <w:pPr>
        <w:jc w:val="both"/>
      </w:pPr>
      <w:r w:rsidRPr="00503F5B">
        <w:t>Chart 2 s</w:t>
      </w:r>
      <w:r w:rsidR="008C3D8E" w:rsidRPr="00503F5B">
        <w:t>ummar</w:t>
      </w:r>
      <w:r w:rsidRPr="00503F5B">
        <w:t>ises</w:t>
      </w:r>
      <w:r w:rsidR="008C3D8E" w:rsidRPr="00503F5B">
        <w:t xml:space="preserve"> the </w:t>
      </w:r>
      <w:r w:rsidR="0069269B" w:rsidRPr="00503F5B">
        <w:t xml:space="preserve">regulations </w:t>
      </w:r>
      <w:r w:rsidR="008C3D8E" w:rsidRPr="00503F5B">
        <w:t>subject and not subject to detailed analysis</w:t>
      </w:r>
      <w:r w:rsidR="0069269B" w:rsidRPr="00503F5B">
        <w:t xml:space="preserve"> in this RIS</w:t>
      </w:r>
      <w:r w:rsidR="008C3D8E" w:rsidRPr="00503F5B">
        <w:t xml:space="preserve">. </w:t>
      </w:r>
      <w:r w:rsidRPr="00503F5B">
        <w:t xml:space="preserve">  Non-fee regulations (reg.1 to reg.1</w:t>
      </w:r>
      <w:r w:rsidR="001A6758">
        <w:t>6</w:t>
      </w:r>
      <w:r w:rsidRPr="00503F5B">
        <w:t xml:space="preserve"> and reg.2</w:t>
      </w:r>
      <w:r w:rsidR="000D5B5D" w:rsidRPr="00503F5B">
        <w:t>2</w:t>
      </w:r>
      <w:r w:rsidRPr="00503F5B">
        <w:t xml:space="preserve"> to reg.</w:t>
      </w:r>
      <w:r w:rsidR="000D5B5D" w:rsidRPr="00503F5B">
        <w:t>29</w:t>
      </w:r>
      <w:r w:rsidRPr="00503F5B">
        <w:t>) and other fee regulations (reg. 1</w:t>
      </w:r>
      <w:r w:rsidR="000D5B5D" w:rsidRPr="00503F5B">
        <w:t>7</w:t>
      </w:r>
      <w:r w:rsidRPr="00503F5B">
        <w:t>(1)(b) to reg.1</w:t>
      </w:r>
      <w:r w:rsidR="000D5B5D" w:rsidRPr="00503F5B">
        <w:t>7</w:t>
      </w:r>
      <w:r w:rsidRPr="00503F5B">
        <w:t>(1)(e) and reg.1</w:t>
      </w:r>
      <w:r w:rsidR="000D5B5D" w:rsidRPr="00503F5B">
        <w:t>8</w:t>
      </w:r>
      <w:r w:rsidRPr="00503F5B">
        <w:t xml:space="preserve"> to reg.2</w:t>
      </w:r>
      <w:r w:rsidR="000D5B5D" w:rsidRPr="00503F5B">
        <w:t>1</w:t>
      </w:r>
      <w:r w:rsidRPr="00503F5B">
        <w:t>), which are not subject to detailed analysis in this RIS – are described in more detail in Section 1.5.2 of this RIS.</w:t>
      </w:r>
    </w:p>
    <w:p w14:paraId="630F74CF" w14:textId="147987F1" w:rsidR="008C3D8E" w:rsidRPr="00503F5B" w:rsidRDefault="008C3D8E" w:rsidP="002F5749">
      <w:pPr>
        <w:shd w:val="clear" w:color="auto" w:fill="FFFFFF" w:themeFill="background1"/>
        <w:jc w:val="both"/>
      </w:pPr>
    </w:p>
    <w:p w14:paraId="5ED346D3" w14:textId="774571E1" w:rsidR="002F5749" w:rsidRPr="00503F5B" w:rsidRDefault="002F5749" w:rsidP="002F5749">
      <w:pPr>
        <w:jc w:val="center"/>
        <w:rPr>
          <w:b/>
          <w:sz w:val="20"/>
          <w:szCs w:val="20"/>
        </w:rPr>
      </w:pPr>
      <w:r w:rsidRPr="00503F5B">
        <w:rPr>
          <w:b/>
          <w:sz w:val="20"/>
          <w:szCs w:val="20"/>
        </w:rPr>
        <w:t>Chart 2: Summary of regulations that are subject and not subject to detailed RIS analysis</w:t>
      </w:r>
    </w:p>
    <w:p w14:paraId="3E2ECF5B" w14:textId="77777777" w:rsidR="004F574D" w:rsidRPr="00503F5B" w:rsidRDefault="004F574D" w:rsidP="002F5749">
      <w:pPr>
        <w:jc w:val="center"/>
        <w:rPr>
          <w:b/>
          <w:sz w:val="4"/>
          <w:szCs w:val="8"/>
        </w:rPr>
      </w:pPr>
    </w:p>
    <w:p w14:paraId="09DA86FC" w14:textId="1C92E518" w:rsidR="007245FE" w:rsidRPr="00503F5B" w:rsidRDefault="00E015D7" w:rsidP="00E015D7">
      <w:pPr>
        <w:ind w:hanging="426"/>
        <w:jc w:val="both"/>
      </w:pPr>
      <w:r w:rsidRPr="00503F5B">
        <w:rPr>
          <w:noProof/>
        </w:rPr>
        <mc:AlternateContent>
          <mc:Choice Requires="wpg">
            <w:drawing>
              <wp:inline distT="0" distB="0" distL="0" distR="0" wp14:anchorId="742D92B6" wp14:editId="1ED766C6">
                <wp:extent cx="6257289" cy="3505200"/>
                <wp:effectExtent l="0" t="0" r="10795" b="19050"/>
                <wp:docPr id="31" name="Group 1"/>
                <wp:cNvGraphicFramePr/>
                <a:graphic xmlns:a="http://schemas.openxmlformats.org/drawingml/2006/main">
                  <a:graphicData uri="http://schemas.microsoft.com/office/word/2010/wordprocessingGroup">
                    <wpg:wgp>
                      <wpg:cNvGrpSpPr/>
                      <wpg:grpSpPr>
                        <a:xfrm>
                          <a:off x="0" y="0"/>
                          <a:ext cx="6257289" cy="3505200"/>
                          <a:chOff x="0" y="-56831"/>
                          <a:chExt cx="5917816" cy="2619270"/>
                        </a:xfrm>
                      </wpg:grpSpPr>
                      <wps:wsp>
                        <wps:cNvPr id="32" name="Rectangle 32"/>
                        <wps:cNvSpPr/>
                        <wps:spPr>
                          <a:xfrm>
                            <a:off x="2" y="-56831"/>
                            <a:ext cx="4062301" cy="211093"/>
                          </a:xfrm>
                          <a:prstGeom prst="rect">
                            <a:avLst/>
                          </a:prstGeom>
                          <a:solidFill>
                            <a:srgbClr val="ED7C5D"/>
                          </a:solidFill>
                          <a:ln>
                            <a:solidFill>
                              <a:srgbClr val="ED7C5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B9035" w14:textId="77777777" w:rsidR="001A6758" w:rsidRPr="00E015D7" w:rsidRDefault="001A6758" w:rsidP="00E015D7">
                              <w:pPr>
                                <w:jc w:val="center"/>
                              </w:pPr>
                              <w:r w:rsidRPr="00E015D7">
                                <w:rPr>
                                  <w:rFonts w:asciiTheme="minorHAnsi" w:cstheme="minorBidi"/>
                                  <w:b/>
                                  <w:bCs/>
                                  <w:color w:val="FFFFFF" w:themeColor="background1"/>
                                  <w:kern w:val="24"/>
                                  <w:sz w:val="20"/>
                                  <w:szCs w:val="20"/>
                                </w:rPr>
                                <w:t>Not Subject to detailed RIS analysis</w:t>
                              </w:r>
                            </w:p>
                          </w:txbxContent>
                        </wps:txbx>
                        <wps:bodyPr rtlCol="0" anchor="ctr"/>
                      </wps:wsp>
                      <wps:wsp>
                        <wps:cNvPr id="33" name="Rectangle 33"/>
                        <wps:cNvSpPr/>
                        <wps:spPr>
                          <a:xfrm>
                            <a:off x="0" y="512993"/>
                            <a:ext cx="1981199" cy="2049446"/>
                          </a:xfrm>
                          <a:prstGeom prst="rect">
                            <a:avLst/>
                          </a:prstGeom>
                          <a:solidFill>
                            <a:srgbClr val="FFF0C3"/>
                          </a:solidFill>
                          <a:ln>
                            <a:solidFill>
                              <a:srgbClr val="ED7C5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8267B" w14:textId="77777777" w:rsidR="001A6758" w:rsidRPr="00E015D7" w:rsidRDefault="001A6758" w:rsidP="00E015D7">
                              <w:r w:rsidRPr="00E015D7">
                                <w:rPr>
                                  <w:rFonts w:asciiTheme="minorHAnsi" w:cstheme="minorBidi"/>
                                  <w:b/>
                                  <w:bCs/>
                                  <w:color w:val="000000" w:themeColor="text1"/>
                                  <w:kern w:val="24"/>
                                  <w:sz w:val="20"/>
                                  <w:szCs w:val="20"/>
                                </w:rPr>
                                <w:t>Non-fee regulations:</w:t>
                              </w:r>
                            </w:p>
                            <w:p w14:paraId="4BF93132" w14:textId="77777777" w:rsidR="001A6758" w:rsidRPr="00E015D7" w:rsidRDefault="001A6758" w:rsidP="00E015D7">
                              <w:pPr>
                                <w:rPr>
                                  <w:sz w:val="20"/>
                                  <w:szCs w:val="20"/>
                                </w:rPr>
                              </w:pPr>
                              <w:r w:rsidRPr="00E015D7">
                                <w:rPr>
                                  <w:rFonts w:asciiTheme="minorHAnsi" w:cstheme="minorBidi"/>
                                  <w:color w:val="000000" w:themeColor="text1"/>
                                  <w:kern w:val="24"/>
                                  <w:sz w:val="18"/>
                                  <w:szCs w:val="18"/>
                                </w:rPr>
                                <w:t>1-5: Objective, authorising provision, commencement and definitions</w:t>
                              </w:r>
                            </w:p>
                            <w:p w14:paraId="31E13650" w14:textId="77777777" w:rsidR="001A6758" w:rsidRPr="00E015D7" w:rsidRDefault="001A6758" w:rsidP="00E015D7">
                              <w:pPr>
                                <w:rPr>
                                  <w:sz w:val="20"/>
                                  <w:szCs w:val="20"/>
                                </w:rPr>
                              </w:pPr>
                              <w:r w:rsidRPr="00E015D7">
                                <w:rPr>
                                  <w:rFonts w:asciiTheme="minorHAnsi" w:cstheme="minorBidi"/>
                                  <w:color w:val="000000" w:themeColor="text1"/>
                                  <w:kern w:val="24"/>
                                  <w:sz w:val="18"/>
                                  <w:szCs w:val="18"/>
                                </w:rPr>
                                <w:t>6: Insignia of Fire Rescue Victoria</w:t>
                              </w:r>
                            </w:p>
                            <w:p w14:paraId="27ED6B2A" w14:textId="77777777" w:rsidR="001A6758" w:rsidRPr="00E015D7" w:rsidRDefault="001A6758" w:rsidP="00E015D7">
                              <w:pPr>
                                <w:rPr>
                                  <w:sz w:val="20"/>
                                  <w:szCs w:val="20"/>
                                </w:rPr>
                              </w:pPr>
                              <w:r w:rsidRPr="00E015D7">
                                <w:rPr>
                                  <w:rFonts w:asciiTheme="minorHAnsi" w:cstheme="minorBidi"/>
                                  <w:color w:val="000000" w:themeColor="text1"/>
                                  <w:kern w:val="24"/>
                                  <w:sz w:val="18"/>
                                  <w:szCs w:val="18"/>
                                </w:rPr>
                                <w:t xml:space="preserve">7: Service for the purpose of long service leave </w:t>
                              </w:r>
                            </w:p>
                            <w:p w14:paraId="5A34E467" w14:textId="77777777" w:rsidR="001A6758" w:rsidRPr="00E015D7" w:rsidRDefault="001A6758" w:rsidP="00E015D7">
                              <w:pPr>
                                <w:rPr>
                                  <w:sz w:val="20"/>
                                  <w:szCs w:val="20"/>
                                </w:rPr>
                              </w:pPr>
                              <w:r w:rsidRPr="00E015D7">
                                <w:rPr>
                                  <w:rFonts w:asciiTheme="minorHAnsi" w:cstheme="minorBidi"/>
                                  <w:color w:val="000000" w:themeColor="text1"/>
                                  <w:kern w:val="24"/>
                                  <w:sz w:val="18"/>
                                  <w:szCs w:val="18"/>
                                </w:rPr>
                                <w:t>8: Appointments by Fire Rescue Victoria</w:t>
                              </w:r>
                            </w:p>
                            <w:p w14:paraId="22C941C1" w14:textId="26F8ABD8" w:rsidR="001A6758" w:rsidRPr="00E015D7" w:rsidRDefault="001A6758" w:rsidP="00E015D7">
                              <w:pPr>
                                <w:rPr>
                                  <w:sz w:val="20"/>
                                  <w:szCs w:val="20"/>
                                </w:rPr>
                              </w:pPr>
                              <w:r>
                                <w:rPr>
                                  <w:rFonts w:asciiTheme="minorHAnsi" w:cstheme="minorBidi"/>
                                  <w:color w:val="000000" w:themeColor="text1"/>
                                  <w:kern w:val="24"/>
                                  <w:sz w:val="18"/>
                                  <w:szCs w:val="18"/>
                                </w:rPr>
                                <w:t>9</w:t>
                              </w:r>
                              <w:r w:rsidRPr="00E015D7">
                                <w:rPr>
                                  <w:rFonts w:asciiTheme="minorHAnsi" w:cstheme="minorBidi"/>
                                  <w:color w:val="000000" w:themeColor="text1"/>
                                  <w:kern w:val="24"/>
                                  <w:sz w:val="18"/>
                                  <w:szCs w:val="18"/>
                                </w:rPr>
                                <w:t>: Fitness for duty</w:t>
                              </w:r>
                            </w:p>
                            <w:p w14:paraId="1DEC5252" w14:textId="75700213" w:rsidR="001A6758" w:rsidRPr="00E015D7" w:rsidRDefault="001A6758" w:rsidP="00E015D7">
                              <w:pPr>
                                <w:rPr>
                                  <w:sz w:val="20"/>
                                  <w:szCs w:val="20"/>
                                </w:rPr>
                              </w:pPr>
                              <w:r w:rsidRPr="00E015D7">
                                <w:rPr>
                                  <w:rFonts w:asciiTheme="minorHAnsi" w:cstheme="minorBidi"/>
                                  <w:color w:val="000000" w:themeColor="text1"/>
                                  <w:kern w:val="24"/>
                                  <w:sz w:val="18"/>
                                  <w:szCs w:val="18"/>
                                </w:rPr>
                                <w:t>1</w:t>
                              </w:r>
                              <w:r>
                                <w:rPr>
                                  <w:rFonts w:asciiTheme="minorHAnsi" w:cstheme="minorBidi"/>
                                  <w:color w:val="000000" w:themeColor="text1"/>
                                  <w:kern w:val="24"/>
                                  <w:sz w:val="18"/>
                                  <w:szCs w:val="18"/>
                                </w:rPr>
                                <w:t>0</w:t>
                              </w:r>
                              <w:r w:rsidRPr="00E015D7">
                                <w:rPr>
                                  <w:rFonts w:asciiTheme="minorHAnsi" w:cstheme="minorBidi"/>
                                  <w:color w:val="000000" w:themeColor="text1"/>
                                  <w:kern w:val="24"/>
                                  <w:sz w:val="18"/>
                                  <w:szCs w:val="18"/>
                                </w:rPr>
                                <w:t>: Promotion</w:t>
                              </w:r>
                            </w:p>
                            <w:p w14:paraId="0E1ED907" w14:textId="2DF5CA3F" w:rsidR="001A6758" w:rsidRPr="00E015D7" w:rsidRDefault="001A6758" w:rsidP="00E015D7">
                              <w:pPr>
                                <w:rPr>
                                  <w:sz w:val="20"/>
                                  <w:szCs w:val="20"/>
                                </w:rPr>
                              </w:pPr>
                              <w:r w:rsidRPr="00E015D7">
                                <w:rPr>
                                  <w:rFonts w:asciiTheme="minorHAnsi" w:cstheme="minorBidi"/>
                                  <w:color w:val="000000" w:themeColor="text1"/>
                                  <w:kern w:val="24"/>
                                  <w:sz w:val="18"/>
                                  <w:szCs w:val="18"/>
                                </w:rPr>
                                <w:t>1</w:t>
                              </w:r>
                              <w:r>
                                <w:rPr>
                                  <w:rFonts w:asciiTheme="minorHAnsi" w:cstheme="minorBidi"/>
                                  <w:color w:val="000000" w:themeColor="text1"/>
                                  <w:kern w:val="24"/>
                                  <w:sz w:val="18"/>
                                  <w:szCs w:val="18"/>
                                </w:rPr>
                                <w:t>1</w:t>
                              </w:r>
                              <w:r w:rsidRPr="00E015D7">
                                <w:rPr>
                                  <w:rFonts w:asciiTheme="minorHAnsi" w:cstheme="minorBidi"/>
                                  <w:color w:val="000000" w:themeColor="text1"/>
                                  <w:kern w:val="24"/>
                                  <w:sz w:val="18"/>
                                  <w:szCs w:val="18"/>
                                </w:rPr>
                                <w:t>: General orders</w:t>
                              </w:r>
                            </w:p>
                            <w:p w14:paraId="50788EB9" w14:textId="02C2D41A" w:rsidR="001A6758" w:rsidRPr="00E015D7" w:rsidRDefault="001A6758" w:rsidP="00E015D7">
                              <w:pPr>
                                <w:rPr>
                                  <w:sz w:val="20"/>
                                  <w:szCs w:val="20"/>
                                </w:rPr>
                              </w:pPr>
                              <w:r w:rsidRPr="00E015D7">
                                <w:rPr>
                                  <w:rFonts w:asciiTheme="minorHAnsi" w:cstheme="minorBidi"/>
                                  <w:color w:val="000000" w:themeColor="text1"/>
                                  <w:kern w:val="24"/>
                                  <w:sz w:val="18"/>
                                  <w:szCs w:val="18"/>
                                </w:rPr>
                                <w:t>1</w:t>
                              </w:r>
                              <w:r>
                                <w:rPr>
                                  <w:rFonts w:asciiTheme="minorHAnsi" w:cstheme="minorBidi"/>
                                  <w:color w:val="000000" w:themeColor="text1"/>
                                  <w:kern w:val="24"/>
                                  <w:sz w:val="18"/>
                                  <w:szCs w:val="18"/>
                                </w:rPr>
                                <w:t>2</w:t>
                              </w:r>
                              <w:r w:rsidRPr="00E015D7">
                                <w:rPr>
                                  <w:rFonts w:asciiTheme="minorHAnsi" w:cstheme="minorBidi"/>
                                  <w:color w:val="000000" w:themeColor="text1"/>
                                  <w:kern w:val="24"/>
                                  <w:sz w:val="18"/>
                                  <w:szCs w:val="18"/>
                                </w:rPr>
                                <w:t>: Prohibition on members</w:t>
                              </w:r>
                            </w:p>
                            <w:p w14:paraId="3C083D5A" w14:textId="126F507E" w:rsidR="001A6758" w:rsidRPr="00E015D7" w:rsidRDefault="001A6758" w:rsidP="00E015D7">
                              <w:pPr>
                                <w:rPr>
                                  <w:sz w:val="20"/>
                                  <w:szCs w:val="20"/>
                                </w:rPr>
                              </w:pPr>
                              <w:r w:rsidRPr="00E015D7">
                                <w:rPr>
                                  <w:rFonts w:asciiTheme="minorHAnsi" w:cstheme="minorBidi"/>
                                  <w:color w:val="000000" w:themeColor="text1"/>
                                  <w:kern w:val="24"/>
                                  <w:sz w:val="18"/>
                                  <w:szCs w:val="18"/>
                                </w:rPr>
                                <w:t>1</w:t>
                              </w:r>
                              <w:r>
                                <w:rPr>
                                  <w:rFonts w:asciiTheme="minorHAnsi" w:cstheme="minorBidi"/>
                                  <w:color w:val="000000" w:themeColor="text1"/>
                                  <w:kern w:val="24"/>
                                  <w:sz w:val="18"/>
                                  <w:szCs w:val="18"/>
                                </w:rPr>
                                <w:t>3</w:t>
                              </w:r>
                              <w:r w:rsidRPr="00E015D7">
                                <w:rPr>
                                  <w:rFonts w:asciiTheme="minorHAnsi" w:cstheme="minorBidi"/>
                                  <w:color w:val="000000" w:themeColor="text1"/>
                                  <w:kern w:val="24"/>
                                  <w:sz w:val="18"/>
                                  <w:szCs w:val="18"/>
                                </w:rPr>
                                <w:t>: Charges for offences</w:t>
                              </w:r>
                            </w:p>
                            <w:p w14:paraId="23267FFC" w14:textId="467DD349" w:rsidR="001A6758" w:rsidRPr="00E015D7" w:rsidRDefault="001A6758" w:rsidP="00E015D7">
                              <w:pPr>
                                <w:rPr>
                                  <w:sz w:val="20"/>
                                  <w:szCs w:val="20"/>
                                </w:rPr>
                              </w:pPr>
                              <w:r w:rsidRPr="00E015D7">
                                <w:rPr>
                                  <w:rFonts w:asciiTheme="minorHAnsi" w:cstheme="minorBidi"/>
                                  <w:color w:val="000000" w:themeColor="text1"/>
                                  <w:kern w:val="24"/>
                                  <w:sz w:val="18"/>
                                  <w:szCs w:val="18"/>
                                </w:rPr>
                                <w:t>1</w:t>
                              </w:r>
                              <w:r>
                                <w:rPr>
                                  <w:rFonts w:asciiTheme="minorHAnsi" w:cstheme="minorBidi"/>
                                  <w:color w:val="000000" w:themeColor="text1"/>
                                  <w:kern w:val="24"/>
                                  <w:sz w:val="18"/>
                                  <w:szCs w:val="18"/>
                                </w:rPr>
                                <w:t>4</w:t>
                              </w:r>
                              <w:r w:rsidRPr="00E015D7">
                                <w:rPr>
                                  <w:rFonts w:asciiTheme="minorHAnsi" w:cstheme="minorBidi"/>
                                  <w:color w:val="000000" w:themeColor="text1"/>
                                  <w:kern w:val="24"/>
                                  <w:sz w:val="18"/>
                                  <w:szCs w:val="18"/>
                                </w:rPr>
                                <w:t xml:space="preserve"> &amp; 1</w:t>
                              </w:r>
                              <w:r>
                                <w:rPr>
                                  <w:rFonts w:asciiTheme="minorHAnsi" w:cstheme="minorBidi"/>
                                  <w:color w:val="000000" w:themeColor="text1"/>
                                  <w:kern w:val="24"/>
                                  <w:sz w:val="18"/>
                                  <w:szCs w:val="18"/>
                                </w:rPr>
                                <w:t>5</w:t>
                              </w:r>
                              <w:r w:rsidRPr="00E015D7">
                                <w:rPr>
                                  <w:rFonts w:asciiTheme="minorHAnsi" w:cstheme="minorBidi"/>
                                  <w:color w:val="000000" w:themeColor="text1"/>
                                  <w:kern w:val="24"/>
                                  <w:sz w:val="18"/>
                                  <w:szCs w:val="18"/>
                                </w:rPr>
                                <w:t>: Appeals</w:t>
                              </w:r>
                            </w:p>
                            <w:p w14:paraId="1708BBAB" w14:textId="24865105" w:rsidR="001A6758" w:rsidRPr="00E015D7" w:rsidRDefault="001A6758" w:rsidP="00E015D7">
                              <w:pPr>
                                <w:rPr>
                                  <w:sz w:val="20"/>
                                  <w:szCs w:val="20"/>
                                </w:rPr>
                              </w:pPr>
                              <w:r w:rsidRPr="00E015D7">
                                <w:rPr>
                                  <w:rFonts w:asciiTheme="minorHAnsi" w:cstheme="minorBidi"/>
                                  <w:color w:val="000000" w:themeColor="text1"/>
                                  <w:kern w:val="24"/>
                                  <w:sz w:val="18"/>
                                  <w:szCs w:val="18"/>
                                </w:rPr>
                                <w:t>1</w:t>
                              </w:r>
                              <w:r>
                                <w:rPr>
                                  <w:rFonts w:asciiTheme="minorHAnsi" w:cstheme="minorBidi"/>
                                  <w:color w:val="000000" w:themeColor="text1"/>
                                  <w:kern w:val="24"/>
                                  <w:sz w:val="18"/>
                                  <w:szCs w:val="18"/>
                                </w:rPr>
                                <w:t>6</w:t>
                              </w:r>
                              <w:r w:rsidRPr="00E015D7">
                                <w:rPr>
                                  <w:rFonts w:asciiTheme="minorHAnsi" w:cstheme="minorBidi"/>
                                  <w:color w:val="000000" w:themeColor="text1"/>
                                  <w:kern w:val="24"/>
                                  <w:sz w:val="18"/>
                                  <w:szCs w:val="18"/>
                                </w:rPr>
                                <w:t>: Register to be kept</w:t>
                              </w:r>
                            </w:p>
                            <w:p w14:paraId="45144FC9" w14:textId="369CB468" w:rsidR="001A6758" w:rsidRPr="00E015D7" w:rsidRDefault="001A6758" w:rsidP="00E015D7">
                              <w:pPr>
                                <w:rPr>
                                  <w:sz w:val="20"/>
                                  <w:szCs w:val="20"/>
                                </w:rPr>
                              </w:pPr>
                              <w:r w:rsidRPr="00E015D7">
                                <w:rPr>
                                  <w:rFonts w:asciiTheme="minorHAnsi" w:cstheme="minorBidi"/>
                                  <w:color w:val="000000" w:themeColor="text1"/>
                                  <w:kern w:val="24"/>
                                  <w:sz w:val="18"/>
                                  <w:szCs w:val="18"/>
                                </w:rPr>
                                <w:t>2</w:t>
                              </w:r>
                              <w:r>
                                <w:rPr>
                                  <w:rFonts w:asciiTheme="minorHAnsi" w:cstheme="minorBidi"/>
                                  <w:color w:val="000000" w:themeColor="text1"/>
                                  <w:kern w:val="24"/>
                                  <w:sz w:val="18"/>
                                  <w:szCs w:val="18"/>
                                </w:rPr>
                                <w:t>2</w:t>
                              </w:r>
                              <w:r w:rsidRPr="00E015D7">
                                <w:rPr>
                                  <w:rFonts w:asciiTheme="minorHAnsi" w:cstheme="minorBidi"/>
                                  <w:color w:val="000000" w:themeColor="text1"/>
                                  <w:kern w:val="24"/>
                                  <w:sz w:val="18"/>
                                  <w:szCs w:val="18"/>
                                </w:rPr>
                                <w:t>: Fire prevention notices</w:t>
                              </w:r>
                            </w:p>
                            <w:p w14:paraId="3745A27E" w14:textId="727D31F1" w:rsidR="001A6758" w:rsidRPr="00E015D7" w:rsidRDefault="001A6758" w:rsidP="00E015D7">
                              <w:pPr>
                                <w:rPr>
                                  <w:sz w:val="20"/>
                                  <w:szCs w:val="20"/>
                                </w:rPr>
                              </w:pPr>
                              <w:r w:rsidRPr="00E015D7">
                                <w:rPr>
                                  <w:rFonts w:asciiTheme="minorHAnsi" w:cstheme="minorBidi"/>
                                  <w:color w:val="000000" w:themeColor="text1"/>
                                  <w:kern w:val="24"/>
                                  <w:sz w:val="18"/>
                                  <w:szCs w:val="18"/>
                                </w:rPr>
                                <w:t>2</w:t>
                              </w:r>
                              <w:r>
                                <w:rPr>
                                  <w:rFonts w:asciiTheme="minorHAnsi" w:cstheme="minorBidi"/>
                                  <w:color w:val="000000" w:themeColor="text1"/>
                                  <w:kern w:val="24"/>
                                  <w:sz w:val="18"/>
                                  <w:szCs w:val="18"/>
                                </w:rPr>
                                <w:t>3</w:t>
                              </w:r>
                              <w:r w:rsidRPr="00E015D7">
                                <w:rPr>
                                  <w:rFonts w:asciiTheme="minorHAnsi" w:cstheme="minorBidi"/>
                                  <w:color w:val="000000" w:themeColor="text1"/>
                                  <w:kern w:val="24"/>
                                  <w:sz w:val="18"/>
                                  <w:szCs w:val="18"/>
                                </w:rPr>
                                <w:t>-</w:t>
                              </w:r>
                              <w:r>
                                <w:rPr>
                                  <w:rFonts w:asciiTheme="minorHAnsi" w:cstheme="minorBidi"/>
                                  <w:color w:val="000000" w:themeColor="text1"/>
                                  <w:kern w:val="24"/>
                                  <w:sz w:val="18"/>
                                  <w:szCs w:val="18"/>
                                </w:rPr>
                                <w:t>29</w:t>
                              </w:r>
                              <w:r w:rsidRPr="00E015D7">
                                <w:rPr>
                                  <w:rFonts w:asciiTheme="minorHAnsi" w:cstheme="minorBidi"/>
                                  <w:color w:val="000000" w:themeColor="text1"/>
                                  <w:kern w:val="24"/>
                                  <w:sz w:val="18"/>
                                  <w:szCs w:val="18"/>
                                </w:rPr>
                                <w:t>: Alarm monitoring information</w:t>
                              </w:r>
                            </w:p>
                          </w:txbxContent>
                        </wps:txbx>
                        <wps:bodyPr rtlCol="0" anchor="ctr"/>
                      </wps:wsp>
                      <wps:wsp>
                        <wps:cNvPr id="34" name="Rectangle 34"/>
                        <wps:cNvSpPr/>
                        <wps:spPr>
                          <a:xfrm>
                            <a:off x="2071477" y="512992"/>
                            <a:ext cx="1936786" cy="2049446"/>
                          </a:xfrm>
                          <a:prstGeom prst="rect">
                            <a:avLst/>
                          </a:prstGeom>
                          <a:solidFill>
                            <a:srgbClr val="FFF0C3"/>
                          </a:solidFill>
                          <a:ln>
                            <a:solidFill>
                              <a:srgbClr val="ED7C5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798C3" w14:textId="27749D33" w:rsidR="001A6758" w:rsidRDefault="001A6758" w:rsidP="00E015D7">
                              <w:pPr>
                                <w:rPr>
                                  <w:rFonts w:asciiTheme="minorHAnsi" w:cstheme="minorBidi"/>
                                  <w:b/>
                                  <w:bCs/>
                                  <w:color w:val="000000" w:themeColor="text1"/>
                                  <w:kern w:val="24"/>
                                  <w:sz w:val="20"/>
                                  <w:szCs w:val="20"/>
                                </w:rPr>
                              </w:pPr>
                              <w:r w:rsidRPr="00E015D7">
                                <w:rPr>
                                  <w:rFonts w:asciiTheme="minorHAnsi" w:cstheme="minorBidi"/>
                                  <w:b/>
                                  <w:bCs/>
                                  <w:color w:val="000000" w:themeColor="text1"/>
                                  <w:kern w:val="24"/>
                                  <w:sz w:val="20"/>
                                  <w:szCs w:val="20"/>
                                </w:rPr>
                                <w:t>Fee regulations:</w:t>
                              </w:r>
                            </w:p>
                            <w:p w14:paraId="3FBF7B4E" w14:textId="2526F2B0" w:rsidR="001A6758" w:rsidRPr="009917B8" w:rsidRDefault="001A6758" w:rsidP="00E015D7">
                              <w:pPr>
                                <w:rPr>
                                  <w:rFonts w:asciiTheme="minorHAnsi" w:cstheme="minorBidi"/>
                                  <w:color w:val="000000" w:themeColor="text1"/>
                                  <w:kern w:val="24"/>
                                  <w:sz w:val="18"/>
                                  <w:szCs w:val="18"/>
                                </w:rPr>
                              </w:pPr>
                              <w:r w:rsidRPr="009917B8">
                                <w:rPr>
                                  <w:rFonts w:asciiTheme="minorHAnsi" w:cstheme="minorBidi"/>
                                  <w:color w:val="000000" w:themeColor="text1"/>
                                  <w:kern w:val="24"/>
                                  <w:sz w:val="18"/>
                                  <w:szCs w:val="18"/>
                                </w:rPr>
                                <w:t>1</w:t>
                              </w:r>
                              <w:r>
                                <w:rPr>
                                  <w:rFonts w:asciiTheme="minorHAnsi" w:cstheme="minorBidi"/>
                                  <w:color w:val="000000" w:themeColor="text1"/>
                                  <w:kern w:val="24"/>
                                  <w:sz w:val="18"/>
                                  <w:szCs w:val="18"/>
                                </w:rPr>
                                <w:t>7</w:t>
                              </w:r>
                              <w:r w:rsidRPr="009917B8">
                                <w:rPr>
                                  <w:rFonts w:asciiTheme="minorHAnsi" w:cstheme="minorBidi"/>
                                  <w:color w:val="000000" w:themeColor="text1"/>
                                  <w:kern w:val="24"/>
                                  <w:sz w:val="18"/>
                                  <w:szCs w:val="18"/>
                                </w:rPr>
                                <w:t>(1)(b): Emergency attendances for false reports</w:t>
                              </w:r>
                            </w:p>
                            <w:p w14:paraId="37DEE9BA" w14:textId="44B3FFC0" w:rsidR="001A6758" w:rsidRPr="009917B8" w:rsidRDefault="001A6758" w:rsidP="00E015D7">
                              <w:pPr>
                                <w:rPr>
                                  <w:rFonts w:asciiTheme="minorHAnsi" w:cstheme="minorBidi"/>
                                  <w:color w:val="000000" w:themeColor="text1"/>
                                  <w:kern w:val="24"/>
                                  <w:sz w:val="18"/>
                                  <w:szCs w:val="18"/>
                                </w:rPr>
                              </w:pPr>
                              <w:r w:rsidRPr="009917B8">
                                <w:rPr>
                                  <w:rFonts w:asciiTheme="minorHAnsi" w:cstheme="minorBidi"/>
                                  <w:color w:val="000000" w:themeColor="text1"/>
                                  <w:kern w:val="24"/>
                                  <w:sz w:val="18"/>
                                  <w:szCs w:val="18"/>
                                </w:rPr>
                                <w:t>1</w:t>
                              </w:r>
                              <w:r>
                                <w:rPr>
                                  <w:rFonts w:asciiTheme="minorHAnsi" w:cstheme="minorBidi"/>
                                  <w:color w:val="000000" w:themeColor="text1"/>
                                  <w:kern w:val="24"/>
                                  <w:sz w:val="18"/>
                                  <w:szCs w:val="18"/>
                                </w:rPr>
                                <w:t>7</w:t>
                              </w:r>
                              <w:r w:rsidRPr="009917B8">
                                <w:rPr>
                                  <w:rFonts w:asciiTheme="minorHAnsi" w:cstheme="minorBidi"/>
                                  <w:color w:val="000000" w:themeColor="text1"/>
                                  <w:kern w:val="24"/>
                                  <w:sz w:val="18"/>
                                  <w:szCs w:val="18"/>
                                </w:rPr>
                                <w:t>(1</w:t>
                              </w:r>
                              <w:r>
                                <w:rPr>
                                  <w:rFonts w:asciiTheme="minorHAnsi" w:cstheme="minorBidi"/>
                                  <w:color w:val="000000" w:themeColor="text1"/>
                                  <w:kern w:val="24"/>
                                  <w:sz w:val="18"/>
                                  <w:szCs w:val="18"/>
                                </w:rPr>
                                <w:t>)</w:t>
                              </w:r>
                              <w:r w:rsidRPr="009917B8">
                                <w:rPr>
                                  <w:rFonts w:asciiTheme="minorHAnsi" w:cstheme="minorBidi"/>
                                  <w:color w:val="000000" w:themeColor="text1"/>
                                  <w:kern w:val="24"/>
                                  <w:sz w:val="18"/>
                                  <w:szCs w:val="18"/>
                                </w:rPr>
                                <w:t>(c): Emergency attendances for fire on a vessel</w:t>
                              </w:r>
                            </w:p>
                            <w:p w14:paraId="59734A98" w14:textId="3C3BCEFC" w:rsidR="001A6758" w:rsidRDefault="001A6758" w:rsidP="00E015D7">
                              <w:pPr>
                                <w:rPr>
                                  <w:rFonts w:asciiTheme="minorHAnsi" w:cstheme="minorBidi"/>
                                  <w:color w:val="000000" w:themeColor="text1"/>
                                  <w:kern w:val="24"/>
                                  <w:sz w:val="18"/>
                                  <w:szCs w:val="18"/>
                                </w:rPr>
                              </w:pPr>
                              <w:r w:rsidRPr="009917B8">
                                <w:rPr>
                                  <w:rFonts w:asciiTheme="minorHAnsi" w:cstheme="minorBidi"/>
                                  <w:color w:val="000000" w:themeColor="text1"/>
                                  <w:kern w:val="24"/>
                                  <w:sz w:val="18"/>
                                  <w:szCs w:val="18"/>
                                </w:rPr>
                                <w:t>1</w:t>
                              </w:r>
                              <w:r>
                                <w:rPr>
                                  <w:rFonts w:asciiTheme="minorHAnsi" w:cstheme="minorBidi"/>
                                  <w:color w:val="000000" w:themeColor="text1"/>
                                  <w:kern w:val="24"/>
                                  <w:sz w:val="18"/>
                                  <w:szCs w:val="18"/>
                                </w:rPr>
                                <w:t>7</w:t>
                              </w:r>
                              <w:r w:rsidRPr="009917B8">
                                <w:rPr>
                                  <w:rFonts w:asciiTheme="minorHAnsi" w:cstheme="minorBidi"/>
                                  <w:color w:val="000000" w:themeColor="text1"/>
                                  <w:kern w:val="24"/>
                                  <w:sz w:val="18"/>
                                  <w:szCs w:val="18"/>
                                </w:rPr>
                                <w:t>(1)(d): Emergency attendances in response to a hazardous material incident or toxic fire incident</w:t>
                              </w:r>
                            </w:p>
                            <w:p w14:paraId="71CD8298" w14:textId="24028CB3" w:rsidR="001A6758" w:rsidRPr="009917B8" w:rsidRDefault="001A6758" w:rsidP="00E015D7">
                              <w:pPr>
                                <w:rPr>
                                  <w:sz w:val="20"/>
                                  <w:szCs w:val="20"/>
                                </w:rPr>
                              </w:pPr>
                              <w:r w:rsidRPr="009917B8">
                                <w:rPr>
                                  <w:sz w:val="18"/>
                                  <w:szCs w:val="18"/>
                                </w:rPr>
                                <w:t>1</w:t>
                              </w:r>
                              <w:r>
                                <w:rPr>
                                  <w:sz w:val="18"/>
                                  <w:szCs w:val="18"/>
                                </w:rPr>
                                <w:t>7</w:t>
                              </w:r>
                              <w:r w:rsidRPr="009917B8">
                                <w:rPr>
                                  <w:sz w:val="18"/>
                                  <w:szCs w:val="18"/>
                                </w:rPr>
                                <w:t>(1)(e): Emergency attendance</w:t>
                              </w:r>
                              <w:r>
                                <w:rPr>
                                  <w:sz w:val="20"/>
                                  <w:szCs w:val="20"/>
                                </w:rPr>
                                <w:t>s</w:t>
                              </w:r>
                              <w:r w:rsidRPr="009917B8">
                                <w:rPr>
                                  <w:sz w:val="16"/>
                                  <w:szCs w:val="16"/>
                                </w:rPr>
                                <w:t xml:space="preserve"> </w:t>
                              </w:r>
                              <w:r w:rsidRPr="009917B8">
                                <w:rPr>
                                  <w:sz w:val="18"/>
                                  <w:szCs w:val="18"/>
                                </w:rPr>
                                <w:t>in special circumstances requiring the protection of life or property in case of fire</w:t>
                              </w:r>
                            </w:p>
                            <w:p w14:paraId="582C3446" w14:textId="73E68793" w:rsidR="001A6758" w:rsidRPr="00E015D7" w:rsidRDefault="001A6758" w:rsidP="00E015D7">
                              <w:pPr>
                                <w:rPr>
                                  <w:sz w:val="20"/>
                                  <w:szCs w:val="20"/>
                                </w:rPr>
                              </w:pPr>
                              <w:r w:rsidRPr="00E015D7">
                                <w:rPr>
                                  <w:rFonts w:asciiTheme="minorHAnsi" w:cstheme="minorBidi"/>
                                  <w:color w:val="000000" w:themeColor="text1"/>
                                  <w:kern w:val="24"/>
                                  <w:sz w:val="18"/>
                                  <w:szCs w:val="18"/>
                                </w:rPr>
                                <w:t>1</w:t>
                              </w:r>
                              <w:r>
                                <w:rPr>
                                  <w:rFonts w:asciiTheme="minorHAnsi" w:cstheme="minorBidi"/>
                                  <w:color w:val="000000" w:themeColor="text1"/>
                                  <w:kern w:val="24"/>
                                  <w:sz w:val="18"/>
                                  <w:szCs w:val="18"/>
                                </w:rPr>
                                <w:t>8</w:t>
                              </w:r>
                              <w:r w:rsidRPr="00E015D7">
                                <w:rPr>
                                  <w:rFonts w:asciiTheme="minorHAnsi" w:cstheme="minorBidi"/>
                                  <w:color w:val="000000" w:themeColor="text1"/>
                                  <w:kern w:val="24"/>
                                  <w:sz w:val="18"/>
                                  <w:szCs w:val="18"/>
                                </w:rPr>
                                <w:t>: Additional costs of hazardous materials and toxic fire incidents</w:t>
                              </w:r>
                            </w:p>
                            <w:p w14:paraId="32DE4D8D" w14:textId="78100706" w:rsidR="001A6758" w:rsidRPr="00E015D7" w:rsidRDefault="001A6758" w:rsidP="00E015D7">
                              <w:pPr>
                                <w:rPr>
                                  <w:sz w:val="20"/>
                                  <w:szCs w:val="20"/>
                                </w:rPr>
                              </w:pPr>
                              <w:r>
                                <w:rPr>
                                  <w:rFonts w:asciiTheme="minorHAnsi" w:cstheme="minorBidi"/>
                                  <w:color w:val="000000" w:themeColor="text1"/>
                                  <w:kern w:val="24"/>
                                  <w:sz w:val="18"/>
                                  <w:szCs w:val="18"/>
                                </w:rPr>
                                <w:t>19</w:t>
                              </w:r>
                              <w:r w:rsidRPr="00E015D7">
                                <w:rPr>
                                  <w:rFonts w:asciiTheme="minorHAnsi" w:cstheme="minorBidi"/>
                                  <w:color w:val="000000" w:themeColor="text1"/>
                                  <w:kern w:val="24"/>
                                  <w:sz w:val="18"/>
                                  <w:szCs w:val="18"/>
                                </w:rPr>
                                <w:t>: Property protection or loss mitigation services</w:t>
                              </w:r>
                            </w:p>
                            <w:p w14:paraId="1551F830" w14:textId="4F496E29" w:rsidR="001A6758" w:rsidRPr="00E015D7" w:rsidRDefault="001A6758" w:rsidP="00E015D7">
                              <w:pPr>
                                <w:rPr>
                                  <w:sz w:val="20"/>
                                  <w:szCs w:val="20"/>
                                </w:rPr>
                              </w:pPr>
                              <w:r w:rsidRPr="00E015D7">
                                <w:rPr>
                                  <w:rFonts w:asciiTheme="minorHAnsi" w:cstheme="minorBidi"/>
                                  <w:color w:val="000000" w:themeColor="text1"/>
                                  <w:kern w:val="24"/>
                                  <w:sz w:val="18"/>
                                  <w:szCs w:val="18"/>
                                </w:rPr>
                                <w:t>2</w:t>
                              </w:r>
                              <w:r>
                                <w:rPr>
                                  <w:rFonts w:asciiTheme="minorHAnsi" w:cstheme="minorBidi"/>
                                  <w:color w:val="000000" w:themeColor="text1"/>
                                  <w:kern w:val="24"/>
                                  <w:sz w:val="18"/>
                                  <w:szCs w:val="18"/>
                                </w:rPr>
                                <w:t>0</w:t>
                              </w:r>
                              <w:r w:rsidRPr="00E015D7">
                                <w:rPr>
                                  <w:rFonts w:asciiTheme="minorHAnsi" w:cstheme="minorBidi"/>
                                  <w:color w:val="000000" w:themeColor="text1"/>
                                  <w:kern w:val="24"/>
                                  <w:sz w:val="18"/>
                                  <w:szCs w:val="18"/>
                                </w:rPr>
                                <w:t>: Road accident rescue services</w:t>
                              </w:r>
                            </w:p>
                            <w:p w14:paraId="04AAF460" w14:textId="4F0D5A86" w:rsidR="001A6758" w:rsidRPr="00E015D7" w:rsidRDefault="001A6758" w:rsidP="00E015D7">
                              <w:pPr>
                                <w:rPr>
                                  <w:sz w:val="20"/>
                                  <w:szCs w:val="20"/>
                                </w:rPr>
                              </w:pPr>
                              <w:r w:rsidRPr="00E015D7">
                                <w:rPr>
                                  <w:rFonts w:asciiTheme="minorHAnsi" w:cstheme="minorBidi"/>
                                  <w:color w:val="000000" w:themeColor="text1"/>
                                  <w:kern w:val="24"/>
                                  <w:sz w:val="18"/>
                                  <w:szCs w:val="18"/>
                                </w:rPr>
                                <w:t>2</w:t>
                              </w:r>
                              <w:r>
                                <w:rPr>
                                  <w:rFonts w:asciiTheme="minorHAnsi" w:cstheme="minorBidi"/>
                                  <w:color w:val="000000" w:themeColor="text1"/>
                                  <w:kern w:val="24"/>
                                  <w:sz w:val="18"/>
                                  <w:szCs w:val="18"/>
                                </w:rPr>
                                <w:t>1</w:t>
                              </w:r>
                              <w:r w:rsidRPr="00E015D7">
                                <w:rPr>
                                  <w:rFonts w:asciiTheme="minorHAnsi" w:cstheme="minorBidi"/>
                                  <w:color w:val="000000" w:themeColor="text1"/>
                                  <w:kern w:val="24"/>
                                  <w:sz w:val="18"/>
                                  <w:szCs w:val="18"/>
                                </w:rPr>
                                <w:t>: Fire protection charges</w:t>
                              </w:r>
                            </w:p>
                          </w:txbxContent>
                        </wps:txbx>
                        <wps:bodyPr rtlCol="0" anchor="ctr"/>
                      </wps:wsp>
                      <wps:wsp>
                        <wps:cNvPr id="35" name="Rectangle 35"/>
                        <wps:cNvSpPr/>
                        <wps:spPr>
                          <a:xfrm>
                            <a:off x="4107934" y="520922"/>
                            <a:ext cx="1809882" cy="464771"/>
                          </a:xfrm>
                          <a:prstGeom prst="rect">
                            <a:avLst/>
                          </a:prstGeom>
                          <a:solidFill>
                            <a:srgbClr val="FFF0C3"/>
                          </a:solidFill>
                          <a:ln>
                            <a:solidFill>
                              <a:srgbClr val="ED7C5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8BB10" w14:textId="77777777" w:rsidR="001A6758" w:rsidRPr="00E015D7" w:rsidRDefault="001A6758" w:rsidP="00E015D7">
                              <w:r w:rsidRPr="00E015D7">
                                <w:rPr>
                                  <w:rFonts w:asciiTheme="minorHAnsi" w:cstheme="minorBidi"/>
                                  <w:b/>
                                  <w:bCs/>
                                  <w:color w:val="000000" w:themeColor="text1"/>
                                  <w:kern w:val="24"/>
                                  <w:sz w:val="20"/>
                                  <w:szCs w:val="20"/>
                                </w:rPr>
                                <w:t>Fee regulations:</w:t>
                              </w:r>
                            </w:p>
                            <w:p w14:paraId="77FD450D" w14:textId="6DA3711D" w:rsidR="001A6758" w:rsidRPr="00E015D7" w:rsidRDefault="001A6758" w:rsidP="00E015D7">
                              <w:pPr>
                                <w:rPr>
                                  <w:sz w:val="20"/>
                                  <w:szCs w:val="20"/>
                                </w:rPr>
                              </w:pPr>
                              <w:r w:rsidRPr="00E015D7">
                                <w:rPr>
                                  <w:rFonts w:asciiTheme="minorHAnsi" w:cstheme="minorBidi"/>
                                  <w:color w:val="000000" w:themeColor="text1"/>
                                  <w:kern w:val="24"/>
                                  <w:sz w:val="18"/>
                                  <w:szCs w:val="18"/>
                                </w:rPr>
                                <w:t>1</w:t>
                              </w:r>
                              <w:r>
                                <w:rPr>
                                  <w:rFonts w:asciiTheme="minorHAnsi" w:cstheme="minorBidi"/>
                                  <w:color w:val="000000" w:themeColor="text1"/>
                                  <w:kern w:val="24"/>
                                  <w:sz w:val="18"/>
                                  <w:szCs w:val="18"/>
                                </w:rPr>
                                <w:t>7(1)(a)</w:t>
                              </w:r>
                              <w:r w:rsidRPr="00E015D7">
                                <w:rPr>
                                  <w:rFonts w:asciiTheme="minorHAnsi" w:cstheme="minorBidi"/>
                                  <w:color w:val="000000" w:themeColor="text1"/>
                                  <w:kern w:val="24"/>
                                  <w:sz w:val="18"/>
                                  <w:szCs w:val="18"/>
                                </w:rPr>
                                <w:t>: Emergency attendances</w:t>
                              </w:r>
                              <w:r>
                                <w:rPr>
                                  <w:rFonts w:asciiTheme="minorHAnsi" w:cstheme="minorBidi"/>
                                  <w:color w:val="000000" w:themeColor="text1"/>
                                  <w:kern w:val="24"/>
                                  <w:sz w:val="18"/>
                                  <w:szCs w:val="18"/>
                                </w:rPr>
                                <w:t xml:space="preserve"> for false alarms</w:t>
                              </w:r>
                            </w:p>
                          </w:txbxContent>
                        </wps:txbx>
                        <wps:bodyPr rtlCol="0" anchor="ctr"/>
                      </wps:wsp>
                      <wps:wsp>
                        <wps:cNvPr id="36" name="Rectangle 36"/>
                        <wps:cNvSpPr/>
                        <wps:spPr>
                          <a:xfrm>
                            <a:off x="0" y="190043"/>
                            <a:ext cx="1980998" cy="279828"/>
                          </a:xfrm>
                          <a:prstGeom prst="rect">
                            <a:avLst/>
                          </a:prstGeom>
                          <a:solidFill>
                            <a:srgbClr val="FFE59E"/>
                          </a:solidFill>
                          <a:ln>
                            <a:solidFill>
                              <a:srgbClr val="ED7C5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62661" w14:textId="77777777" w:rsidR="001A6758" w:rsidRPr="00E015D7" w:rsidRDefault="001A6758" w:rsidP="00E015D7">
                              <w:pPr>
                                <w:jc w:val="center"/>
                              </w:pPr>
                              <w:r w:rsidRPr="00E015D7">
                                <w:rPr>
                                  <w:rFonts w:asciiTheme="minorHAnsi" w:cstheme="minorBidi"/>
                                  <w:color w:val="000000" w:themeColor="text1"/>
                                  <w:kern w:val="24"/>
                                  <w:sz w:val="18"/>
                                  <w:szCs w:val="18"/>
                                </w:rPr>
                                <w:t>Machinery and/or immaterial burden</w:t>
                              </w:r>
                            </w:p>
                          </w:txbxContent>
                        </wps:txbx>
                        <wps:bodyPr rtlCol="0" anchor="ctr"/>
                      </wps:wsp>
                      <wps:wsp>
                        <wps:cNvPr id="37" name="Rectangle 37"/>
                        <wps:cNvSpPr/>
                        <wps:spPr>
                          <a:xfrm>
                            <a:off x="2071257" y="190068"/>
                            <a:ext cx="1937412" cy="279802"/>
                          </a:xfrm>
                          <a:prstGeom prst="rect">
                            <a:avLst/>
                          </a:prstGeom>
                          <a:solidFill>
                            <a:srgbClr val="FFE59E"/>
                          </a:solidFill>
                          <a:ln>
                            <a:solidFill>
                              <a:srgbClr val="ED7C5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E8B41" w14:textId="77777777" w:rsidR="001A6758" w:rsidRPr="00E015D7" w:rsidRDefault="001A6758" w:rsidP="00E015D7">
                              <w:pPr>
                                <w:jc w:val="center"/>
                              </w:pPr>
                              <w:r w:rsidRPr="00E015D7">
                                <w:rPr>
                                  <w:rFonts w:asciiTheme="minorHAnsi" w:cstheme="minorBidi"/>
                                  <w:color w:val="000000" w:themeColor="text1"/>
                                  <w:kern w:val="24"/>
                                  <w:sz w:val="18"/>
                                  <w:szCs w:val="18"/>
                                </w:rPr>
                                <w:t>Need for FRV discretion or to align with CFA regulation 100*</w:t>
                              </w:r>
                            </w:p>
                          </w:txbxContent>
                        </wps:txbx>
                        <wps:bodyPr rtlCol="0" anchor="ctr"/>
                      </wps:wsp>
                      <wps:wsp>
                        <wps:cNvPr id="38" name="Rectangle 38"/>
                        <wps:cNvSpPr/>
                        <wps:spPr>
                          <a:xfrm>
                            <a:off x="4107759" y="-56831"/>
                            <a:ext cx="1810057" cy="211093"/>
                          </a:xfrm>
                          <a:prstGeom prst="rect">
                            <a:avLst/>
                          </a:prstGeom>
                          <a:solidFill>
                            <a:srgbClr val="ED7C5D"/>
                          </a:solidFill>
                          <a:ln>
                            <a:solidFill>
                              <a:srgbClr val="ED7C5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48C42" w14:textId="77777777" w:rsidR="001A6758" w:rsidRPr="00E015D7" w:rsidRDefault="001A6758" w:rsidP="00E015D7">
                              <w:pPr>
                                <w:jc w:val="center"/>
                              </w:pPr>
                              <w:r w:rsidRPr="00E015D7">
                                <w:rPr>
                                  <w:rFonts w:asciiTheme="minorHAnsi" w:cstheme="minorBidi"/>
                                  <w:b/>
                                  <w:bCs/>
                                  <w:color w:val="FFFFFF" w:themeColor="background1"/>
                                  <w:kern w:val="24"/>
                                  <w:sz w:val="20"/>
                                  <w:szCs w:val="20"/>
                                </w:rPr>
                                <w:t>Subject to detailed RIS analysis</w:t>
                              </w:r>
                            </w:p>
                          </w:txbxContent>
                        </wps:txbx>
                        <wps:bodyPr rtlCol="0" anchor="ctr"/>
                      </wps:wsp>
                      <wps:wsp>
                        <wps:cNvPr id="39" name="Rectangle 39"/>
                        <wps:cNvSpPr/>
                        <wps:spPr>
                          <a:xfrm>
                            <a:off x="4107344" y="192455"/>
                            <a:ext cx="1810045" cy="277415"/>
                          </a:xfrm>
                          <a:prstGeom prst="rect">
                            <a:avLst/>
                          </a:prstGeom>
                          <a:solidFill>
                            <a:srgbClr val="FFE59E"/>
                          </a:solidFill>
                          <a:ln>
                            <a:solidFill>
                              <a:srgbClr val="ED7C5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2FCF0" w14:textId="77777777" w:rsidR="001A6758" w:rsidRPr="00E015D7" w:rsidRDefault="001A6758" w:rsidP="00E015D7">
                              <w:pPr>
                                <w:jc w:val="center"/>
                              </w:pPr>
                              <w:r w:rsidRPr="00E015D7">
                                <w:rPr>
                                  <w:rFonts w:asciiTheme="minorHAnsi" w:cstheme="minorBidi"/>
                                  <w:color w:val="000000" w:themeColor="text1"/>
                                  <w:kern w:val="24"/>
                                  <w:sz w:val="18"/>
                                  <w:szCs w:val="18"/>
                                </w:rPr>
                                <w:t>Prescribed fee with material burden</w:t>
                              </w:r>
                            </w:p>
                          </w:txbxContent>
                        </wps:txbx>
                        <wps:bodyPr rtlCol="0" anchor="ctr"/>
                      </wps:wsp>
                    </wpg:wgp>
                  </a:graphicData>
                </a:graphic>
              </wp:inline>
            </w:drawing>
          </mc:Choice>
          <mc:Fallback>
            <w:pict>
              <v:group w14:anchorId="742D92B6" id="Group 1" o:spid="_x0000_s1026" style="width:492.7pt;height:276pt;mso-position-horizontal-relative:char;mso-position-vertical-relative:line" coordorigin=",-568" coordsize="59178,2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">
                <v:rect id="Rectangle 32" o:spid="_x0000_s1027" style="position:absolute;top:-568;width:40623;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" fillcolor="#ed7c5d" strokecolor="#ed7c5d" strokeweight="1pt">
                  <v:textbox>
                    <w:txbxContent>
                      <w:p w14:paraId="4F2B9035" w14:textId="77777777" w:rsidR="001A6758" w:rsidRPr="00E015D7" w:rsidRDefault="001A6758" w:rsidP="00E015D7">
                        <w:pPr>
                          <w:jc w:val="center"/>
                        </w:pPr>
                        <w:r w:rsidRPr="00E015D7">
                          <w:rPr>
                            <w:rFonts w:asciiTheme="minorHAnsi" w:cstheme="minorBidi"/>
                            <w:b/>
                            <w:bCs/>
                            <w:color w:val="FFFFFF" w:themeColor="background1"/>
                            <w:kern w:val="24"/>
                            <w:sz w:val="20"/>
                            <w:szCs w:val="20"/>
                          </w:rPr>
                          <w:t>Not Subject to detailed RIS analysis</w:t>
                        </w:r>
                      </w:p>
                    </w:txbxContent>
                  </v:textbox>
                </v:rect>
                <v:rect id="Rectangle 33" o:spid="_x0000_s1028" style="position:absolute;top:5129;width:19811;height:20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" fillcolor="#fff0c3" strokecolor="#ed7c5d" strokeweight="1pt">
                  <v:textbox>
                    <w:txbxContent>
                      <w:p w14:paraId="5548267B" w14:textId="77777777" w:rsidR="001A6758" w:rsidRPr="00E015D7" w:rsidRDefault="001A6758" w:rsidP="00E015D7">
                        <w:r w:rsidRPr="00E015D7">
                          <w:rPr>
                            <w:rFonts w:asciiTheme="minorHAnsi" w:cstheme="minorBidi"/>
                            <w:b/>
                            <w:bCs/>
                            <w:color w:val="000000" w:themeColor="text1"/>
                            <w:kern w:val="24"/>
                            <w:sz w:val="20"/>
                            <w:szCs w:val="20"/>
                          </w:rPr>
                          <w:t>Non-fee regulations:</w:t>
                        </w:r>
                      </w:p>
                      <w:p w14:paraId="4BF93132" w14:textId="77777777" w:rsidR="001A6758" w:rsidRPr="00E015D7" w:rsidRDefault="001A6758" w:rsidP="00E015D7">
                        <w:pPr>
                          <w:rPr>
                            <w:sz w:val="20"/>
                            <w:szCs w:val="20"/>
                          </w:rPr>
                        </w:pPr>
                        <w:r w:rsidRPr="00E015D7">
                          <w:rPr>
                            <w:rFonts w:asciiTheme="minorHAnsi" w:cstheme="minorBidi"/>
                            <w:color w:val="000000" w:themeColor="text1"/>
                            <w:kern w:val="24"/>
                            <w:sz w:val="18"/>
                            <w:szCs w:val="18"/>
                          </w:rPr>
                          <w:t>1-5: Objective, authorising provision, commencement and definitions</w:t>
                        </w:r>
                      </w:p>
                      <w:p w14:paraId="31E13650" w14:textId="77777777" w:rsidR="001A6758" w:rsidRPr="00E015D7" w:rsidRDefault="001A6758" w:rsidP="00E015D7">
                        <w:pPr>
                          <w:rPr>
                            <w:sz w:val="20"/>
                            <w:szCs w:val="20"/>
                          </w:rPr>
                        </w:pPr>
                        <w:r w:rsidRPr="00E015D7">
                          <w:rPr>
                            <w:rFonts w:asciiTheme="minorHAnsi" w:cstheme="minorBidi"/>
                            <w:color w:val="000000" w:themeColor="text1"/>
                            <w:kern w:val="24"/>
                            <w:sz w:val="18"/>
                            <w:szCs w:val="18"/>
                          </w:rPr>
                          <w:t>6: Insignia of Fire Rescue Victoria</w:t>
                        </w:r>
                      </w:p>
                      <w:p w14:paraId="27ED6B2A" w14:textId="77777777" w:rsidR="001A6758" w:rsidRPr="00E015D7" w:rsidRDefault="001A6758" w:rsidP="00E015D7">
                        <w:pPr>
                          <w:rPr>
                            <w:sz w:val="20"/>
                            <w:szCs w:val="20"/>
                          </w:rPr>
                        </w:pPr>
                        <w:r w:rsidRPr="00E015D7">
                          <w:rPr>
                            <w:rFonts w:asciiTheme="minorHAnsi" w:cstheme="minorBidi"/>
                            <w:color w:val="000000" w:themeColor="text1"/>
                            <w:kern w:val="24"/>
                            <w:sz w:val="18"/>
                            <w:szCs w:val="18"/>
                          </w:rPr>
                          <w:t xml:space="preserve">7: Service for the purpose of long service leave </w:t>
                        </w:r>
                      </w:p>
                      <w:p w14:paraId="5A34E467" w14:textId="77777777" w:rsidR="001A6758" w:rsidRPr="00E015D7" w:rsidRDefault="001A6758" w:rsidP="00E015D7">
                        <w:pPr>
                          <w:rPr>
                            <w:sz w:val="20"/>
                            <w:szCs w:val="20"/>
                          </w:rPr>
                        </w:pPr>
                        <w:r w:rsidRPr="00E015D7">
                          <w:rPr>
                            <w:rFonts w:asciiTheme="minorHAnsi" w:cstheme="minorBidi"/>
                            <w:color w:val="000000" w:themeColor="text1"/>
                            <w:kern w:val="24"/>
                            <w:sz w:val="18"/>
                            <w:szCs w:val="18"/>
                          </w:rPr>
                          <w:t>8: Appointments by Fire Rescue Victoria</w:t>
                        </w:r>
                      </w:p>
                      <w:p w14:paraId="22C941C1" w14:textId="26F8ABD8" w:rsidR="001A6758" w:rsidRPr="00E015D7" w:rsidRDefault="001A6758" w:rsidP="00E015D7">
                        <w:pPr>
                          <w:rPr>
                            <w:sz w:val="20"/>
                            <w:szCs w:val="20"/>
                          </w:rPr>
                        </w:pPr>
                        <w:r>
                          <w:rPr>
                            <w:rFonts w:asciiTheme="minorHAnsi" w:cstheme="minorBidi"/>
                            <w:color w:val="000000" w:themeColor="text1"/>
                            <w:kern w:val="24"/>
                            <w:sz w:val="18"/>
                            <w:szCs w:val="18"/>
                          </w:rPr>
                          <w:t>9</w:t>
                        </w:r>
                        <w:r w:rsidRPr="00E015D7">
                          <w:rPr>
                            <w:rFonts w:asciiTheme="minorHAnsi" w:cstheme="minorBidi"/>
                            <w:color w:val="000000" w:themeColor="text1"/>
                            <w:kern w:val="24"/>
                            <w:sz w:val="18"/>
                            <w:szCs w:val="18"/>
                          </w:rPr>
                          <w:t>: Fitness for duty</w:t>
                        </w:r>
                      </w:p>
                      <w:p w14:paraId="1DEC5252" w14:textId="75700213" w:rsidR="001A6758" w:rsidRPr="00E015D7" w:rsidRDefault="001A6758" w:rsidP="00E015D7">
                        <w:pPr>
                          <w:rPr>
                            <w:sz w:val="20"/>
                            <w:szCs w:val="20"/>
                          </w:rPr>
                        </w:pPr>
                        <w:r w:rsidRPr="00E015D7">
                          <w:rPr>
                            <w:rFonts w:asciiTheme="minorHAnsi" w:cstheme="minorBidi"/>
                            <w:color w:val="000000" w:themeColor="text1"/>
                            <w:kern w:val="24"/>
                            <w:sz w:val="18"/>
                            <w:szCs w:val="18"/>
                          </w:rPr>
                          <w:t>1</w:t>
                        </w:r>
                        <w:r>
                          <w:rPr>
                            <w:rFonts w:asciiTheme="minorHAnsi" w:cstheme="minorBidi"/>
                            <w:color w:val="000000" w:themeColor="text1"/>
                            <w:kern w:val="24"/>
                            <w:sz w:val="18"/>
                            <w:szCs w:val="18"/>
                          </w:rPr>
                          <w:t>0</w:t>
                        </w:r>
                        <w:r w:rsidRPr="00E015D7">
                          <w:rPr>
                            <w:rFonts w:asciiTheme="minorHAnsi" w:cstheme="minorBidi"/>
                            <w:color w:val="000000" w:themeColor="text1"/>
                            <w:kern w:val="24"/>
                            <w:sz w:val="18"/>
                            <w:szCs w:val="18"/>
                          </w:rPr>
                          <w:t>: Promotion</w:t>
                        </w:r>
                      </w:p>
                      <w:p w14:paraId="0E1ED907" w14:textId="2DF5CA3F" w:rsidR="001A6758" w:rsidRPr="00E015D7" w:rsidRDefault="001A6758" w:rsidP="00E015D7">
                        <w:pPr>
                          <w:rPr>
                            <w:sz w:val="20"/>
                            <w:szCs w:val="20"/>
                          </w:rPr>
                        </w:pPr>
                        <w:r w:rsidRPr="00E015D7">
                          <w:rPr>
                            <w:rFonts w:asciiTheme="minorHAnsi" w:cstheme="minorBidi"/>
                            <w:color w:val="000000" w:themeColor="text1"/>
                            <w:kern w:val="24"/>
                            <w:sz w:val="18"/>
                            <w:szCs w:val="18"/>
                          </w:rPr>
                          <w:t>1</w:t>
                        </w:r>
                        <w:r>
                          <w:rPr>
                            <w:rFonts w:asciiTheme="minorHAnsi" w:cstheme="minorBidi"/>
                            <w:color w:val="000000" w:themeColor="text1"/>
                            <w:kern w:val="24"/>
                            <w:sz w:val="18"/>
                            <w:szCs w:val="18"/>
                          </w:rPr>
                          <w:t>1</w:t>
                        </w:r>
                        <w:r w:rsidRPr="00E015D7">
                          <w:rPr>
                            <w:rFonts w:asciiTheme="minorHAnsi" w:cstheme="minorBidi"/>
                            <w:color w:val="000000" w:themeColor="text1"/>
                            <w:kern w:val="24"/>
                            <w:sz w:val="18"/>
                            <w:szCs w:val="18"/>
                          </w:rPr>
                          <w:t>: General orders</w:t>
                        </w:r>
                      </w:p>
                      <w:p w14:paraId="50788EB9" w14:textId="02C2D41A" w:rsidR="001A6758" w:rsidRPr="00E015D7" w:rsidRDefault="001A6758" w:rsidP="00E015D7">
                        <w:pPr>
                          <w:rPr>
                            <w:sz w:val="20"/>
                            <w:szCs w:val="20"/>
                          </w:rPr>
                        </w:pPr>
                        <w:r w:rsidRPr="00E015D7">
                          <w:rPr>
                            <w:rFonts w:asciiTheme="minorHAnsi" w:cstheme="minorBidi"/>
                            <w:color w:val="000000" w:themeColor="text1"/>
                            <w:kern w:val="24"/>
                            <w:sz w:val="18"/>
                            <w:szCs w:val="18"/>
                          </w:rPr>
                          <w:t>1</w:t>
                        </w:r>
                        <w:r>
                          <w:rPr>
                            <w:rFonts w:asciiTheme="minorHAnsi" w:cstheme="minorBidi"/>
                            <w:color w:val="000000" w:themeColor="text1"/>
                            <w:kern w:val="24"/>
                            <w:sz w:val="18"/>
                            <w:szCs w:val="18"/>
                          </w:rPr>
                          <w:t>2</w:t>
                        </w:r>
                        <w:r w:rsidRPr="00E015D7">
                          <w:rPr>
                            <w:rFonts w:asciiTheme="minorHAnsi" w:cstheme="minorBidi"/>
                            <w:color w:val="000000" w:themeColor="text1"/>
                            <w:kern w:val="24"/>
                            <w:sz w:val="18"/>
                            <w:szCs w:val="18"/>
                          </w:rPr>
                          <w:t>: Prohibition on members</w:t>
                        </w:r>
                      </w:p>
                      <w:p w14:paraId="3C083D5A" w14:textId="126F507E" w:rsidR="001A6758" w:rsidRPr="00E015D7" w:rsidRDefault="001A6758" w:rsidP="00E015D7">
                        <w:pPr>
                          <w:rPr>
                            <w:sz w:val="20"/>
                            <w:szCs w:val="20"/>
                          </w:rPr>
                        </w:pPr>
                        <w:r w:rsidRPr="00E015D7">
                          <w:rPr>
                            <w:rFonts w:asciiTheme="minorHAnsi" w:cstheme="minorBidi"/>
                            <w:color w:val="000000" w:themeColor="text1"/>
                            <w:kern w:val="24"/>
                            <w:sz w:val="18"/>
                            <w:szCs w:val="18"/>
                          </w:rPr>
                          <w:t>1</w:t>
                        </w:r>
                        <w:r>
                          <w:rPr>
                            <w:rFonts w:asciiTheme="minorHAnsi" w:cstheme="minorBidi"/>
                            <w:color w:val="000000" w:themeColor="text1"/>
                            <w:kern w:val="24"/>
                            <w:sz w:val="18"/>
                            <w:szCs w:val="18"/>
                          </w:rPr>
                          <w:t>3</w:t>
                        </w:r>
                        <w:r w:rsidRPr="00E015D7">
                          <w:rPr>
                            <w:rFonts w:asciiTheme="minorHAnsi" w:cstheme="minorBidi"/>
                            <w:color w:val="000000" w:themeColor="text1"/>
                            <w:kern w:val="24"/>
                            <w:sz w:val="18"/>
                            <w:szCs w:val="18"/>
                          </w:rPr>
                          <w:t>: Charges for offences</w:t>
                        </w:r>
                      </w:p>
                      <w:p w14:paraId="23267FFC" w14:textId="467DD349" w:rsidR="001A6758" w:rsidRPr="00E015D7" w:rsidRDefault="001A6758" w:rsidP="00E015D7">
                        <w:pPr>
                          <w:rPr>
                            <w:sz w:val="20"/>
                            <w:szCs w:val="20"/>
                          </w:rPr>
                        </w:pPr>
                        <w:r w:rsidRPr="00E015D7">
                          <w:rPr>
                            <w:rFonts w:asciiTheme="minorHAnsi" w:cstheme="minorBidi"/>
                            <w:color w:val="000000" w:themeColor="text1"/>
                            <w:kern w:val="24"/>
                            <w:sz w:val="18"/>
                            <w:szCs w:val="18"/>
                          </w:rPr>
                          <w:t>1</w:t>
                        </w:r>
                        <w:r>
                          <w:rPr>
                            <w:rFonts w:asciiTheme="minorHAnsi" w:cstheme="minorBidi"/>
                            <w:color w:val="000000" w:themeColor="text1"/>
                            <w:kern w:val="24"/>
                            <w:sz w:val="18"/>
                            <w:szCs w:val="18"/>
                          </w:rPr>
                          <w:t>4</w:t>
                        </w:r>
                        <w:r w:rsidRPr="00E015D7">
                          <w:rPr>
                            <w:rFonts w:asciiTheme="minorHAnsi" w:cstheme="minorBidi"/>
                            <w:color w:val="000000" w:themeColor="text1"/>
                            <w:kern w:val="24"/>
                            <w:sz w:val="18"/>
                            <w:szCs w:val="18"/>
                          </w:rPr>
                          <w:t xml:space="preserve"> &amp; 1</w:t>
                        </w:r>
                        <w:r>
                          <w:rPr>
                            <w:rFonts w:asciiTheme="minorHAnsi" w:cstheme="minorBidi"/>
                            <w:color w:val="000000" w:themeColor="text1"/>
                            <w:kern w:val="24"/>
                            <w:sz w:val="18"/>
                            <w:szCs w:val="18"/>
                          </w:rPr>
                          <w:t>5</w:t>
                        </w:r>
                        <w:r w:rsidRPr="00E015D7">
                          <w:rPr>
                            <w:rFonts w:asciiTheme="minorHAnsi" w:cstheme="minorBidi"/>
                            <w:color w:val="000000" w:themeColor="text1"/>
                            <w:kern w:val="24"/>
                            <w:sz w:val="18"/>
                            <w:szCs w:val="18"/>
                          </w:rPr>
                          <w:t>: Appeals</w:t>
                        </w:r>
                      </w:p>
                      <w:p w14:paraId="1708BBAB" w14:textId="24865105" w:rsidR="001A6758" w:rsidRPr="00E015D7" w:rsidRDefault="001A6758" w:rsidP="00E015D7">
                        <w:pPr>
                          <w:rPr>
                            <w:sz w:val="20"/>
                            <w:szCs w:val="20"/>
                          </w:rPr>
                        </w:pPr>
                        <w:r w:rsidRPr="00E015D7">
                          <w:rPr>
                            <w:rFonts w:asciiTheme="minorHAnsi" w:cstheme="minorBidi"/>
                            <w:color w:val="000000" w:themeColor="text1"/>
                            <w:kern w:val="24"/>
                            <w:sz w:val="18"/>
                            <w:szCs w:val="18"/>
                          </w:rPr>
                          <w:t>1</w:t>
                        </w:r>
                        <w:r>
                          <w:rPr>
                            <w:rFonts w:asciiTheme="minorHAnsi" w:cstheme="minorBidi"/>
                            <w:color w:val="000000" w:themeColor="text1"/>
                            <w:kern w:val="24"/>
                            <w:sz w:val="18"/>
                            <w:szCs w:val="18"/>
                          </w:rPr>
                          <w:t>6</w:t>
                        </w:r>
                        <w:r w:rsidRPr="00E015D7">
                          <w:rPr>
                            <w:rFonts w:asciiTheme="minorHAnsi" w:cstheme="minorBidi"/>
                            <w:color w:val="000000" w:themeColor="text1"/>
                            <w:kern w:val="24"/>
                            <w:sz w:val="18"/>
                            <w:szCs w:val="18"/>
                          </w:rPr>
                          <w:t>: Register to be kept</w:t>
                        </w:r>
                      </w:p>
                      <w:p w14:paraId="45144FC9" w14:textId="369CB468" w:rsidR="001A6758" w:rsidRPr="00E015D7" w:rsidRDefault="001A6758" w:rsidP="00E015D7">
                        <w:pPr>
                          <w:rPr>
                            <w:sz w:val="20"/>
                            <w:szCs w:val="20"/>
                          </w:rPr>
                        </w:pPr>
                        <w:r w:rsidRPr="00E015D7">
                          <w:rPr>
                            <w:rFonts w:asciiTheme="minorHAnsi" w:cstheme="minorBidi"/>
                            <w:color w:val="000000" w:themeColor="text1"/>
                            <w:kern w:val="24"/>
                            <w:sz w:val="18"/>
                            <w:szCs w:val="18"/>
                          </w:rPr>
                          <w:t>2</w:t>
                        </w:r>
                        <w:r>
                          <w:rPr>
                            <w:rFonts w:asciiTheme="minorHAnsi" w:cstheme="minorBidi"/>
                            <w:color w:val="000000" w:themeColor="text1"/>
                            <w:kern w:val="24"/>
                            <w:sz w:val="18"/>
                            <w:szCs w:val="18"/>
                          </w:rPr>
                          <w:t>2</w:t>
                        </w:r>
                        <w:r w:rsidRPr="00E015D7">
                          <w:rPr>
                            <w:rFonts w:asciiTheme="minorHAnsi" w:cstheme="minorBidi"/>
                            <w:color w:val="000000" w:themeColor="text1"/>
                            <w:kern w:val="24"/>
                            <w:sz w:val="18"/>
                            <w:szCs w:val="18"/>
                          </w:rPr>
                          <w:t>: Fire prevention notices</w:t>
                        </w:r>
                      </w:p>
                      <w:p w14:paraId="3745A27E" w14:textId="727D31F1" w:rsidR="001A6758" w:rsidRPr="00E015D7" w:rsidRDefault="001A6758" w:rsidP="00E015D7">
                        <w:pPr>
                          <w:rPr>
                            <w:sz w:val="20"/>
                            <w:szCs w:val="20"/>
                          </w:rPr>
                        </w:pPr>
                        <w:r w:rsidRPr="00E015D7">
                          <w:rPr>
                            <w:rFonts w:asciiTheme="minorHAnsi" w:cstheme="minorBidi"/>
                            <w:color w:val="000000" w:themeColor="text1"/>
                            <w:kern w:val="24"/>
                            <w:sz w:val="18"/>
                            <w:szCs w:val="18"/>
                          </w:rPr>
                          <w:t>2</w:t>
                        </w:r>
                        <w:r>
                          <w:rPr>
                            <w:rFonts w:asciiTheme="minorHAnsi" w:cstheme="minorBidi"/>
                            <w:color w:val="000000" w:themeColor="text1"/>
                            <w:kern w:val="24"/>
                            <w:sz w:val="18"/>
                            <w:szCs w:val="18"/>
                          </w:rPr>
                          <w:t>3</w:t>
                        </w:r>
                        <w:r w:rsidRPr="00E015D7">
                          <w:rPr>
                            <w:rFonts w:asciiTheme="minorHAnsi" w:cstheme="minorBidi"/>
                            <w:color w:val="000000" w:themeColor="text1"/>
                            <w:kern w:val="24"/>
                            <w:sz w:val="18"/>
                            <w:szCs w:val="18"/>
                          </w:rPr>
                          <w:t>-</w:t>
                        </w:r>
                        <w:r>
                          <w:rPr>
                            <w:rFonts w:asciiTheme="minorHAnsi" w:cstheme="minorBidi"/>
                            <w:color w:val="000000" w:themeColor="text1"/>
                            <w:kern w:val="24"/>
                            <w:sz w:val="18"/>
                            <w:szCs w:val="18"/>
                          </w:rPr>
                          <w:t>29</w:t>
                        </w:r>
                        <w:r w:rsidRPr="00E015D7">
                          <w:rPr>
                            <w:rFonts w:asciiTheme="minorHAnsi" w:cstheme="minorBidi"/>
                            <w:color w:val="000000" w:themeColor="text1"/>
                            <w:kern w:val="24"/>
                            <w:sz w:val="18"/>
                            <w:szCs w:val="18"/>
                          </w:rPr>
                          <w:t>: Alarm monitoring information</w:t>
                        </w:r>
                      </w:p>
                    </w:txbxContent>
                  </v:textbox>
                </v:rect>
                <v:rect id="Rectangle 34" o:spid="_x0000_s1029" style="position:absolute;left:20714;top:5129;width:19368;height:20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" fillcolor="#fff0c3" strokecolor="#ed7c5d" strokeweight="1pt">
                  <v:textbox>
                    <w:txbxContent>
                      <w:p w14:paraId="057798C3" w14:textId="27749D33" w:rsidR="001A6758" w:rsidRDefault="001A6758" w:rsidP="00E015D7">
                        <w:pPr>
                          <w:rPr>
                            <w:rFonts w:asciiTheme="minorHAnsi" w:cstheme="minorBidi"/>
                            <w:b/>
                            <w:bCs/>
                            <w:color w:val="000000" w:themeColor="text1"/>
                            <w:kern w:val="24"/>
                            <w:sz w:val="20"/>
                            <w:szCs w:val="20"/>
                          </w:rPr>
                        </w:pPr>
                        <w:r w:rsidRPr="00E015D7">
                          <w:rPr>
                            <w:rFonts w:asciiTheme="minorHAnsi" w:cstheme="minorBidi"/>
                            <w:b/>
                            <w:bCs/>
                            <w:color w:val="000000" w:themeColor="text1"/>
                            <w:kern w:val="24"/>
                            <w:sz w:val="20"/>
                            <w:szCs w:val="20"/>
                          </w:rPr>
                          <w:t>Fee regulations:</w:t>
                        </w:r>
                      </w:p>
                      <w:p w14:paraId="3FBF7B4E" w14:textId="2526F2B0" w:rsidR="001A6758" w:rsidRPr="009917B8" w:rsidRDefault="001A6758" w:rsidP="00E015D7">
                        <w:pPr>
                          <w:rPr>
                            <w:rFonts w:asciiTheme="minorHAnsi" w:cstheme="minorBidi"/>
                            <w:color w:val="000000" w:themeColor="text1"/>
                            <w:kern w:val="24"/>
                            <w:sz w:val="18"/>
                            <w:szCs w:val="18"/>
                          </w:rPr>
                        </w:pPr>
                        <w:r w:rsidRPr="009917B8">
                          <w:rPr>
                            <w:rFonts w:asciiTheme="minorHAnsi" w:cstheme="minorBidi"/>
                            <w:color w:val="000000" w:themeColor="text1"/>
                            <w:kern w:val="24"/>
                            <w:sz w:val="18"/>
                            <w:szCs w:val="18"/>
                          </w:rPr>
                          <w:t>1</w:t>
                        </w:r>
                        <w:r>
                          <w:rPr>
                            <w:rFonts w:asciiTheme="minorHAnsi" w:cstheme="minorBidi"/>
                            <w:color w:val="000000" w:themeColor="text1"/>
                            <w:kern w:val="24"/>
                            <w:sz w:val="18"/>
                            <w:szCs w:val="18"/>
                          </w:rPr>
                          <w:t>7</w:t>
                        </w:r>
                        <w:r w:rsidRPr="009917B8">
                          <w:rPr>
                            <w:rFonts w:asciiTheme="minorHAnsi" w:cstheme="minorBidi"/>
                            <w:color w:val="000000" w:themeColor="text1"/>
                            <w:kern w:val="24"/>
                            <w:sz w:val="18"/>
                            <w:szCs w:val="18"/>
                          </w:rPr>
                          <w:t>(1)(b): Emergency attendances for false reports</w:t>
                        </w:r>
                      </w:p>
                      <w:p w14:paraId="37DEE9BA" w14:textId="44B3FFC0" w:rsidR="001A6758" w:rsidRPr="009917B8" w:rsidRDefault="001A6758" w:rsidP="00E015D7">
                        <w:pPr>
                          <w:rPr>
                            <w:rFonts w:asciiTheme="minorHAnsi" w:cstheme="minorBidi"/>
                            <w:color w:val="000000" w:themeColor="text1"/>
                            <w:kern w:val="24"/>
                            <w:sz w:val="18"/>
                            <w:szCs w:val="18"/>
                          </w:rPr>
                        </w:pPr>
                        <w:r w:rsidRPr="009917B8">
                          <w:rPr>
                            <w:rFonts w:asciiTheme="minorHAnsi" w:cstheme="minorBidi"/>
                            <w:color w:val="000000" w:themeColor="text1"/>
                            <w:kern w:val="24"/>
                            <w:sz w:val="18"/>
                            <w:szCs w:val="18"/>
                          </w:rPr>
                          <w:t>1</w:t>
                        </w:r>
                        <w:r>
                          <w:rPr>
                            <w:rFonts w:asciiTheme="minorHAnsi" w:cstheme="minorBidi"/>
                            <w:color w:val="000000" w:themeColor="text1"/>
                            <w:kern w:val="24"/>
                            <w:sz w:val="18"/>
                            <w:szCs w:val="18"/>
                          </w:rPr>
                          <w:t>7</w:t>
                        </w:r>
                        <w:r w:rsidRPr="009917B8">
                          <w:rPr>
                            <w:rFonts w:asciiTheme="minorHAnsi" w:cstheme="minorBidi"/>
                            <w:color w:val="000000" w:themeColor="text1"/>
                            <w:kern w:val="24"/>
                            <w:sz w:val="18"/>
                            <w:szCs w:val="18"/>
                          </w:rPr>
                          <w:t>(1</w:t>
                        </w:r>
                        <w:r>
                          <w:rPr>
                            <w:rFonts w:asciiTheme="minorHAnsi" w:cstheme="minorBidi"/>
                            <w:color w:val="000000" w:themeColor="text1"/>
                            <w:kern w:val="24"/>
                            <w:sz w:val="18"/>
                            <w:szCs w:val="18"/>
                          </w:rPr>
                          <w:t>)</w:t>
                        </w:r>
                        <w:r w:rsidRPr="009917B8">
                          <w:rPr>
                            <w:rFonts w:asciiTheme="minorHAnsi" w:cstheme="minorBidi"/>
                            <w:color w:val="000000" w:themeColor="text1"/>
                            <w:kern w:val="24"/>
                            <w:sz w:val="18"/>
                            <w:szCs w:val="18"/>
                          </w:rPr>
                          <w:t>(c): Emergency attendances for fire on a vessel</w:t>
                        </w:r>
                      </w:p>
                      <w:p w14:paraId="59734A98" w14:textId="3C3BCEFC" w:rsidR="001A6758" w:rsidRDefault="001A6758" w:rsidP="00E015D7">
                        <w:pPr>
                          <w:rPr>
                            <w:rFonts w:asciiTheme="minorHAnsi" w:cstheme="minorBidi"/>
                            <w:color w:val="000000" w:themeColor="text1"/>
                            <w:kern w:val="24"/>
                            <w:sz w:val="18"/>
                            <w:szCs w:val="18"/>
                          </w:rPr>
                        </w:pPr>
                        <w:r w:rsidRPr="009917B8">
                          <w:rPr>
                            <w:rFonts w:asciiTheme="minorHAnsi" w:cstheme="minorBidi"/>
                            <w:color w:val="000000" w:themeColor="text1"/>
                            <w:kern w:val="24"/>
                            <w:sz w:val="18"/>
                            <w:szCs w:val="18"/>
                          </w:rPr>
                          <w:t>1</w:t>
                        </w:r>
                        <w:r>
                          <w:rPr>
                            <w:rFonts w:asciiTheme="minorHAnsi" w:cstheme="minorBidi"/>
                            <w:color w:val="000000" w:themeColor="text1"/>
                            <w:kern w:val="24"/>
                            <w:sz w:val="18"/>
                            <w:szCs w:val="18"/>
                          </w:rPr>
                          <w:t>7</w:t>
                        </w:r>
                        <w:r w:rsidRPr="009917B8">
                          <w:rPr>
                            <w:rFonts w:asciiTheme="minorHAnsi" w:cstheme="minorBidi"/>
                            <w:color w:val="000000" w:themeColor="text1"/>
                            <w:kern w:val="24"/>
                            <w:sz w:val="18"/>
                            <w:szCs w:val="18"/>
                          </w:rPr>
                          <w:t>(1)(d): Emergency attendances in response to a hazardous material incident or toxic fire incident</w:t>
                        </w:r>
                      </w:p>
                      <w:p w14:paraId="71CD8298" w14:textId="24028CB3" w:rsidR="001A6758" w:rsidRPr="009917B8" w:rsidRDefault="001A6758" w:rsidP="00E015D7">
                        <w:pPr>
                          <w:rPr>
                            <w:sz w:val="20"/>
                            <w:szCs w:val="20"/>
                          </w:rPr>
                        </w:pPr>
                        <w:r w:rsidRPr="009917B8">
                          <w:rPr>
                            <w:sz w:val="18"/>
                            <w:szCs w:val="18"/>
                          </w:rPr>
                          <w:t>1</w:t>
                        </w:r>
                        <w:r>
                          <w:rPr>
                            <w:sz w:val="18"/>
                            <w:szCs w:val="18"/>
                          </w:rPr>
                          <w:t>7</w:t>
                        </w:r>
                        <w:r w:rsidRPr="009917B8">
                          <w:rPr>
                            <w:sz w:val="18"/>
                            <w:szCs w:val="18"/>
                          </w:rPr>
                          <w:t>(1)(e): Emergency attendance</w:t>
                        </w:r>
                        <w:r>
                          <w:rPr>
                            <w:sz w:val="20"/>
                            <w:szCs w:val="20"/>
                          </w:rPr>
                          <w:t>s</w:t>
                        </w:r>
                        <w:r w:rsidRPr="009917B8">
                          <w:rPr>
                            <w:sz w:val="16"/>
                            <w:szCs w:val="16"/>
                          </w:rPr>
                          <w:t xml:space="preserve"> </w:t>
                        </w:r>
                        <w:r w:rsidRPr="009917B8">
                          <w:rPr>
                            <w:sz w:val="18"/>
                            <w:szCs w:val="18"/>
                          </w:rPr>
                          <w:t>in special circumstances requiring the protection of life or property in case of fire</w:t>
                        </w:r>
                      </w:p>
                      <w:p w14:paraId="582C3446" w14:textId="73E68793" w:rsidR="001A6758" w:rsidRPr="00E015D7" w:rsidRDefault="001A6758" w:rsidP="00E015D7">
                        <w:pPr>
                          <w:rPr>
                            <w:sz w:val="20"/>
                            <w:szCs w:val="20"/>
                          </w:rPr>
                        </w:pPr>
                        <w:r w:rsidRPr="00E015D7">
                          <w:rPr>
                            <w:rFonts w:asciiTheme="minorHAnsi" w:cstheme="minorBidi"/>
                            <w:color w:val="000000" w:themeColor="text1"/>
                            <w:kern w:val="24"/>
                            <w:sz w:val="18"/>
                            <w:szCs w:val="18"/>
                          </w:rPr>
                          <w:t>1</w:t>
                        </w:r>
                        <w:r>
                          <w:rPr>
                            <w:rFonts w:asciiTheme="minorHAnsi" w:cstheme="minorBidi"/>
                            <w:color w:val="000000" w:themeColor="text1"/>
                            <w:kern w:val="24"/>
                            <w:sz w:val="18"/>
                            <w:szCs w:val="18"/>
                          </w:rPr>
                          <w:t>8</w:t>
                        </w:r>
                        <w:r w:rsidRPr="00E015D7">
                          <w:rPr>
                            <w:rFonts w:asciiTheme="minorHAnsi" w:cstheme="minorBidi"/>
                            <w:color w:val="000000" w:themeColor="text1"/>
                            <w:kern w:val="24"/>
                            <w:sz w:val="18"/>
                            <w:szCs w:val="18"/>
                          </w:rPr>
                          <w:t>: Additional costs of hazardous materials and toxic fire incidents</w:t>
                        </w:r>
                      </w:p>
                      <w:p w14:paraId="32DE4D8D" w14:textId="78100706" w:rsidR="001A6758" w:rsidRPr="00E015D7" w:rsidRDefault="001A6758" w:rsidP="00E015D7">
                        <w:pPr>
                          <w:rPr>
                            <w:sz w:val="20"/>
                            <w:szCs w:val="20"/>
                          </w:rPr>
                        </w:pPr>
                        <w:r>
                          <w:rPr>
                            <w:rFonts w:asciiTheme="minorHAnsi" w:cstheme="minorBidi"/>
                            <w:color w:val="000000" w:themeColor="text1"/>
                            <w:kern w:val="24"/>
                            <w:sz w:val="18"/>
                            <w:szCs w:val="18"/>
                          </w:rPr>
                          <w:t>19</w:t>
                        </w:r>
                        <w:r w:rsidRPr="00E015D7">
                          <w:rPr>
                            <w:rFonts w:asciiTheme="minorHAnsi" w:cstheme="minorBidi"/>
                            <w:color w:val="000000" w:themeColor="text1"/>
                            <w:kern w:val="24"/>
                            <w:sz w:val="18"/>
                            <w:szCs w:val="18"/>
                          </w:rPr>
                          <w:t>: Property protection or loss mitigation services</w:t>
                        </w:r>
                      </w:p>
                      <w:p w14:paraId="1551F830" w14:textId="4F496E29" w:rsidR="001A6758" w:rsidRPr="00E015D7" w:rsidRDefault="001A6758" w:rsidP="00E015D7">
                        <w:pPr>
                          <w:rPr>
                            <w:sz w:val="20"/>
                            <w:szCs w:val="20"/>
                          </w:rPr>
                        </w:pPr>
                        <w:r w:rsidRPr="00E015D7">
                          <w:rPr>
                            <w:rFonts w:asciiTheme="minorHAnsi" w:cstheme="minorBidi"/>
                            <w:color w:val="000000" w:themeColor="text1"/>
                            <w:kern w:val="24"/>
                            <w:sz w:val="18"/>
                            <w:szCs w:val="18"/>
                          </w:rPr>
                          <w:t>2</w:t>
                        </w:r>
                        <w:r>
                          <w:rPr>
                            <w:rFonts w:asciiTheme="minorHAnsi" w:cstheme="minorBidi"/>
                            <w:color w:val="000000" w:themeColor="text1"/>
                            <w:kern w:val="24"/>
                            <w:sz w:val="18"/>
                            <w:szCs w:val="18"/>
                          </w:rPr>
                          <w:t>0</w:t>
                        </w:r>
                        <w:r w:rsidRPr="00E015D7">
                          <w:rPr>
                            <w:rFonts w:asciiTheme="minorHAnsi" w:cstheme="minorBidi"/>
                            <w:color w:val="000000" w:themeColor="text1"/>
                            <w:kern w:val="24"/>
                            <w:sz w:val="18"/>
                            <w:szCs w:val="18"/>
                          </w:rPr>
                          <w:t>: Road accident rescue services</w:t>
                        </w:r>
                      </w:p>
                      <w:p w14:paraId="04AAF460" w14:textId="4F0D5A86" w:rsidR="001A6758" w:rsidRPr="00E015D7" w:rsidRDefault="001A6758" w:rsidP="00E015D7">
                        <w:pPr>
                          <w:rPr>
                            <w:sz w:val="20"/>
                            <w:szCs w:val="20"/>
                          </w:rPr>
                        </w:pPr>
                        <w:r w:rsidRPr="00E015D7">
                          <w:rPr>
                            <w:rFonts w:asciiTheme="minorHAnsi" w:cstheme="minorBidi"/>
                            <w:color w:val="000000" w:themeColor="text1"/>
                            <w:kern w:val="24"/>
                            <w:sz w:val="18"/>
                            <w:szCs w:val="18"/>
                          </w:rPr>
                          <w:t>2</w:t>
                        </w:r>
                        <w:r>
                          <w:rPr>
                            <w:rFonts w:asciiTheme="minorHAnsi" w:cstheme="minorBidi"/>
                            <w:color w:val="000000" w:themeColor="text1"/>
                            <w:kern w:val="24"/>
                            <w:sz w:val="18"/>
                            <w:szCs w:val="18"/>
                          </w:rPr>
                          <w:t>1</w:t>
                        </w:r>
                        <w:r w:rsidRPr="00E015D7">
                          <w:rPr>
                            <w:rFonts w:asciiTheme="minorHAnsi" w:cstheme="minorBidi"/>
                            <w:color w:val="000000" w:themeColor="text1"/>
                            <w:kern w:val="24"/>
                            <w:sz w:val="18"/>
                            <w:szCs w:val="18"/>
                          </w:rPr>
                          <w:t>: Fire protection charges</w:t>
                        </w:r>
                      </w:p>
                    </w:txbxContent>
                  </v:textbox>
                </v:rect>
                <v:rect id="Rectangle 35" o:spid="_x0000_s1030" style="position:absolute;left:41079;top:5209;width:18099;height:4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" fillcolor="#fff0c3" strokecolor="#ed7c5d" strokeweight="1pt">
                  <v:textbox>
                    <w:txbxContent>
                      <w:p w14:paraId="6608BB10" w14:textId="77777777" w:rsidR="001A6758" w:rsidRPr="00E015D7" w:rsidRDefault="001A6758" w:rsidP="00E015D7">
                        <w:r w:rsidRPr="00E015D7">
                          <w:rPr>
                            <w:rFonts w:asciiTheme="minorHAnsi" w:cstheme="minorBidi"/>
                            <w:b/>
                            <w:bCs/>
                            <w:color w:val="000000" w:themeColor="text1"/>
                            <w:kern w:val="24"/>
                            <w:sz w:val="20"/>
                            <w:szCs w:val="20"/>
                          </w:rPr>
                          <w:t>Fee regulations:</w:t>
                        </w:r>
                      </w:p>
                      <w:p w14:paraId="77FD450D" w14:textId="6DA3711D" w:rsidR="001A6758" w:rsidRPr="00E015D7" w:rsidRDefault="001A6758" w:rsidP="00E015D7">
                        <w:pPr>
                          <w:rPr>
                            <w:sz w:val="20"/>
                            <w:szCs w:val="20"/>
                          </w:rPr>
                        </w:pPr>
                        <w:r w:rsidRPr="00E015D7">
                          <w:rPr>
                            <w:rFonts w:asciiTheme="minorHAnsi" w:cstheme="minorBidi"/>
                            <w:color w:val="000000" w:themeColor="text1"/>
                            <w:kern w:val="24"/>
                            <w:sz w:val="18"/>
                            <w:szCs w:val="18"/>
                          </w:rPr>
                          <w:t>1</w:t>
                        </w:r>
                        <w:r>
                          <w:rPr>
                            <w:rFonts w:asciiTheme="minorHAnsi" w:cstheme="minorBidi"/>
                            <w:color w:val="000000" w:themeColor="text1"/>
                            <w:kern w:val="24"/>
                            <w:sz w:val="18"/>
                            <w:szCs w:val="18"/>
                          </w:rPr>
                          <w:t>7(1)(a)</w:t>
                        </w:r>
                        <w:r w:rsidRPr="00E015D7">
                          <w:rPr>
                            <w:rFonts w:asciiTheme="minorHAnsi" w:cstheme="minorBidi"/>
                            <w:color w:val="000000" w:themeColor="text1"/>
                            <w:kern w:val="24"/>
                            <w:sz w:val="18"/>
                            <w:szCs w:val="18"/>
                          </w:rPr>
                          <w:t>: Emergency attendances</w:t>
                        </w:r>
                        <w:r>
                          <w:rPr>
                            <w:rFonts w:asciiTheme="minorHAnsi" w:cstheme="minorBidi"/>
                            <w:color w:val="000000" w:themeColor="text1"/>
                            <w:kern w:val="24"/>
                            <w:sz w:val="18"/>
                            <w:szCs w:val="18"/>
                          </w:rPr>
                          <w:t xml:space="preserve"> for false alarms</w:t>
                        </w:r>
                      </w:p>
                    </w:txbxContent>
                  </v:textbox>
                </v:rect>
                <v:rect id="Rectangle 36" o:spid="_x0000_s1031" style="position:absolute;top:1900;width:19809;height:2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" fillcolor="#ffe59e" strokecolor="#ed7c5d" strokeweight="1pt">
                  <v:textbox>
                    <w:txbxContent>
                      <w:p w14:paraId="54E62661" w14:textId="77777777" w:rsidR="001A6758" w:rsidRPr="00E015D7" w:rsidRDefault="001A6758" w:rsidP="00E015D7">
                        <w:pPr>
                          <w:jc w:val="center"/>
                        </w:pPr>
                        <w:r w:rsidRPr="00E015D7">
                          <w:rPr>
                            <w:rFonts w:asciiTheme="minorHAnsi" w:cstheme="minorBidi"/>
                            <w:color w:val="000000" w:themeColor="text1"/>
                            <w:kern w:val="24"/>
                            <w:sz w:val="18"/>
                            <w:szCs w:val="18"/>
                          </w:rPr>
                          <w:t>Machinery and/or immaterial burden</w:t>
                        </w:r>
                      </w:p>
                    </w:txbxContent>
                  </v:textbox>
                </v:rect>
                <v:rect id="Rectangle 37" o:spid="_x0000_s1032" style="position:absolute;left:20712;top:1900;width:19374;height:2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" fillcolor="#ffe59e" strokecolor="#ed7c5d" strokeweight="1pt">
                  <v:textbox>
                    <w:txbxContent>
                      <w:p w14:paraId="704E8B41" w14:textId="77777777" w:rsidR="001A6758" w:rsidRPr="00E015D7" w:rsidRDefault="001A6758" w:rsidP="00E015D7">
                        <w:pPr>
                          <w:jc w:val="center"/>
                        </w:pPr>
                        <w:r w:rsidRPr="00E015D7">
                          <w:rPr>
                            <w:rFonts w:asciiTheme="minorHAnsi" w:cstheme="minorBidi"/>
                            <w:color w:val="000000" w:themeColor="text1"/>
                            <w:kern w:val="24"/>
                            <w:sz w:val="18"/>
                            <w:szCs w:val="18"/>
                          </w:rPr>
                          <w:t>Need for FRV discretion or to align with CFA regulation 100*</w:t>
                        </w:r>
                      </w:p>
                    </w:txbxContent>
                  </v:textbox>
                </v:rect>
                <v:rect id="Rectangle 38" o:spid="_x0000_s1033" style="position:absolute;left:41077;top:-568;width:18101;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" fillcolor="#ed7c5d" strokecolor="#ed7c5d" strokeweight="1pt">
                  <v:textbox>
                    <w:txbxContent>
                      <w:p w14:paraId="32148C42" w14:textId="77777777" w:rsidR="001A6758" w:rsidRPr="00E015D7" w:rsidRDefault="001A6758" w:rsidP="00E015D7">
                        <w:pPr>
                          <w:jc w:val="center"/>
                        </w:pPr>
                        <w:r w:rsidRPr="00E015D7">
                          <w:rPr>
                            <w:rFonts w:asciiTheme="minorHAnsi" w:cstheme="minorBidi"/>
                            <w:b/>
                            <w:bCs/>
                            <w:color w:val="FFFFFF" w:themeColor="background1"/>
                            <w:kern w:val="24"/>
                            <w:sz w:val="20"/>
                            <w:szCs w:val="20"/>
                          </w:rPr>
                          <w:t>Subject to detailed RIS analysis</w:t>
                        </w:r>
                      </w:p>
                    </w:txbxContent>
                  </v:textbox>
                </v:rect>
                <v:rect id="Rectangle 39" o:spid="_x0000_s1034" style="position:absolute;left:41073;top:1924;width:18100;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" fillcolor="#ffe59e" strokecolor="#ed7c5d" strokeweight="1pt">
                  <v:textbox>
                    <w:txbxContent>
                      <w:p w14:paraId="40D2FCF0" w14:textId="77777777" w:rsidR="001A6758" w:rsidRPr="00E015D7" w:rsidRDefault="001A6758" w:rsidP="00E015D7">
                        <w:pPr>
                          <w:jc w:val="center"/>
                        </w:pPr>
                        <w:r w:rsidRPr="00E015D7">
                          <w:rPr>
                            <w:rFonts w:asciiTheme="minorHAnsi" w:cstheme="minorBidi"/>
                            <w:color w:val="000000" w:themeColor="text1"/>
                            <w:kern w:val="24"/>
                            <w:sz w:val="18"/>
                            <w:szCs w:val="18"/>
                          </w:rPr>
                          <w:t>Prescribed fee with material burden</w:t>
                        </w:r>
                      </w:p>
                    </w:txbxContent>
                  </v:textbox>
                </v:rect>
                <w10:anchorlock/>
              </v:group>
            </w:pict>
          </mc:Fallback>
        </mc:AlternateContent>
      </w:r>
    </w:p>
    <w:p w14:paraId="0B44FF11" w14:textId="7C46CFCD" w:rsidR="00374121" w:rsidRPr="00503F5B" w:rsidRDefault="00370AB8" w:rsidP="00837943">
      <w:pPr>
        <w:jc w:val="both"/>
        <w:rPr>
          <w:i/>
          <w:iCs/>
          <w:sz w:val="18"/>
          <w:szCs w:val="18"/>
        </w:rPr>
      </w:pPr>
      <w:r w:rsidRPr="00503F5B">
        <w:rPr>
          <w:i/>
          <w:iCs/>
          <w:sz w:val="18"/>
          <w:szCs w:val="18"/>
        </w:rPr>
        <w:t xml:space="preserve">*FRV is seeking to align Fire protection charges </w:t>
      </w:r>
      <w:r w:rsidR="0093326F" w:rsidRPr="00503F5B">
        <w:rPr>
          <w:i/>
          <w:iCs/>
          <w:sz w:val="18"/>
          <w:szCs w:val="18"/>
        </w:rPr>
        <w:t xml:space="preserve">regulations </w:t>
      </w:r>
      <w:r w:rsidRPr="00503F5B">
        <w:rPr>
          <w:i/>
          <w:iCs/>
          <w:sz w:val="18"/>
          <w:szCs w:val="18"/>
        </w:rPr>
        <w:t>(</w:t>
      </w:r>
      <w:r w:rsidR="00820369" w:rsidRPr="00503F5B">
        <w:rPr>
          <w:i/>
          <w:iCs/>
          <w:sz w:val="18"/>
          <w:szCs w:val="18"/>
        </w:rPr>
        <w:t xml:space="preserve">proposed </w:t>
      </w:r>
      <w:r w:rsidRPr="00503F5B">
        <w:rPr>
          <w:i/>
          <w:iCs/>
          <w:sz w:val="18"/>
          <w:szCs w:val="18"/>
        </w:rPr>
        <w:t>reg.2</w:t>
      </w:r>
      <w:r w:rsidR="000D5B5D" w:rsidRPr="00503F5B">
        <w:rPr>
          <w:i/>
          <w:iCs/>
          <w:sz w:val="18"/>
          <w:szCs w:val="18"/>
        </w:rPr>
        <w:t>1</w:t>
      </w:r>
      <w:r w:rsidRPr="00503F5B">
        <w:rPr>
          <w:i/>
          <w:iCs/>
          <w:sz w:val="18"/>
          <w:szCs w:val="18"/>
        </w:rPr>
        <w:t>) with</w:t>
      </w:r>
      <w:r w:rsidR="007245FE" w:rsidRPr="00503F5B">
        <w:rPr>
          <w:i/>
          <w:iCs/>
          <w:sz w:val="18"/>
          <w:szCs w:val="18"/>
        </w:rPr>
        <w:t xml:space="preserve"> Country Fire Authority Regulations 2014 (reg.</w:t>
      </w:r>
      <w:r w:rsidRPr="00503F5B">
        <w:rPr>
          <w:i/>
          <w:iCs/>
          <w:sz w:val="18"/>
          <w:szCs w:val="18"/>
        </w:rPr>
        <w:t>100</w:t>
      </w:r>
      <w:r w:rsidR="007245FE" w:rsidRPr="00503F5B">
        <w:rPr>
          <w:i/>
          <w:iCs/>
          <w:sz w:val="18"/>
          <w:szCs w:val="18"/>
        </w:rPr>
        <w:t>)</w:t>
      </w:r>
      <w:r w:rsidR="007C1AD3" w:rsidRPr="00503F5B">
        <w:rPr>
          <w:i/>
          <w:iCs/>
          <w:sz w:val="18"/>
          <w:szCs w:val="18"/>
        </w:rPr>
        <w:t>.</w:t>
      </w:r>
    </w:p>
    <w:p w14:paraId="439EF15F" w14:textId="77777777" w:rsidR="00EC4EB3" w:rsidRPr="00503F5B" w:rsidRDefault="00EC4EB3" w:rsidP="00837943">
      <w:pPr>
        <w:jc w:val="both"/>
        <w:rPr>
          <w:sz w:val="18"/>
          <w:szCs w:val="18"/>
        </w:rPr>
      </w:pPr>
    </w:p>
    <w:p w14:paraId="6F3B3529" w14:textId="63E2C35D" w:rsidR="00837943" w:rsidRPr="00503F5B" w:rsidRDefault="00837943" w:rsidP="00837943">
      <w:pPr>
        <w:jc w:val="both"/>
      </w:pPr>
      <w:r w:rsidRPr="00503F5B">
        <w:t>As shown in Chart 2, proposed regulations 1</w:t>
      </w:r>
      <w:r w:rsidR="000D5B5D" w:rsidRPr="00503F5B">
        <w:t>7</w:t>
      </w:r>
      <w:r w:rsidRPr="00503F5B">
        <w:t>(1)(b): Emergency attendances for false reports;</w:t>
      </w:r>
    </w:p>
    <w:p w14:paraId="4D7347C0" w14:textId="20EE9542" w:rsidR="00837943" w:rsidRPr="00503F5B" w:rsidRDefault="00837943" w:rsidP="00837943">
      <w:pPr>
        <w:jc w:val="both"/>
      </w:pPr>
      <w:r w:rsidRPr="00503F5B">
        <w:t>1</w:t>
      </w:r>
      <w:r w:rsidR="000D5B5D" w:rsidRPr="00503F5B">
        <w:t>7</w:t>
      </w:r>
      <w:r w:rsidRPr="00503F5B">
        <w:t>(1)(c): Emergency attendances for fire on a vessel; 1</w:t>
      </w:r>
      <w:r w:rsidR="000D5B5D" w:rsidRPr="00503F5B">
        <w:t>7</w:t>
      </w:r>
      <w:r w:rsidRPr="00503F5B">
        <w:t>(1)(d): Emergency attendances in response to a hazardous material incident or toxic fire incident; and 1</w:t>
      </w:r>
      <w:r w:rsidR="000D5B5D" w:rsidRPr="00503F5B">
        <w:t>7</w:t>
      </w:r>
      <w:r w:rsidRPr="00503F5B">
        <w:t>(1)(e): Emergency attendances in special circumstances requiring the protection of life or property in case of fire – will all still be prescribed under proposed regulation 1</w:t>
      </w:r>
      <w:r w:rsidR="000D5B5D" w:rsidRPr="00503F5B">
        <w:t>7</w:t>
      </w:r>
      <w:r w:rsidRPr="00503F5B">
        <w:t xml:space="preserve">(1).  It is </w:t>
      </w:r>
      <w:r w:rsidR="00B50799" w:rsidRPr="00503F5B">
        <w:t xml:space="preserve">intended </w:t>
      </w:r>
      <w:r w:rsidRPr="00503F5B">
        <w:t>to keep these charges at current fee unit levels</w:t>
      </w:r>
      <w:r w:rsidRPr="00503F5B">
        <w:rPr>
          <w:rStyle w:val="FootnoteReference"/>
        </w:rPr>
        <w:footnoteReference w:id="38"/>
      </w:r>
      <w:r w:rsidRPr="00503F5B">
        <w:t xml:space="preserve"> and continue to prescribe them under proposed reg.1</w:t>
      </w:r>
      <w:r w:rsidR="000D5B5D" w:rsidRPr="00503F5B">
        <w:t>7</w:t>
      </w:r>
      <w:r w:rsidRPr="00503F5B">
        <w:t xml:space="preserve">.   </w:t>
      </w:r>
      <w:r w:rsidR="00FF0FE3" w:rsidRPr="00503F5B">
        <w:t>A</w:t>
      </w:r>
      <w:r w:rsidRPr="00503F5B">
        <w:t>ligning these charges with false alarm charges</w:t>
      </w:r>
      <w:r w:rsidR="00675892" w:rsidRPr="00503F5B">
        <w:t xml:space="preserve"> will</w:t>
      </w:r>
      <w:r w:rsidRPr="00503F5B">
        <w:t xml:space="preserve"> send </w:t>
      </w:r>
      <w:r w:rsidR="00331C06" w:rsidRPr="00503F5B">
        <w:t xml:space="preserve">an appropriate </w:t>
      </w:r>
      <w:r w:rsidRPr="00503F5B">
        <w:t xml:space="preserve">signal to the </w:t>
      </w:r>
      <w:r w:rsidRPr="00503F5B">
        <w:lastRenderedPageBreak/>
        <w:t>community with respect to</w:t>
      </w:r>
      <w:r w:rsidR="00675892" w:rsidRPr="00503F5B">
        <w:t xml:space="preserve"> resources committed in response to</w:t>
      </w:r>
      <w:r w:rsidR="00814789" w:rsidRPr="00503F5B">
        <w:t xml:space="preserve"> </w:t>
      </w:r>
      <w:r w:rsidR="0045623A" w:rsidRPr="00503F5B">
        <w:t>‘</w:t>
      </w:r>
      <w:r w:rsidR="00814789" w:rsidRPr="00503F5B">
        <w:t xml:space="preserve">careless </w:t>
      </w:r>
      <w:r w:rsidR="005D368F" w:rsidRPr="00503F5B">
        <w:t>behaviour</w:t>
      </w:r>
      <w:r w:rsidR="0045623A" w:rsidRPr="00503F5B">
        <w:t>’</w:t>
      </w:r>
      <w:r w:rsidR="00260751" w:rsidRPr="00503F5B">
        <w:t xml:space="preserve"> </w:t>
      </w:r>
      <w:r w:rsidR="00814789" w:rsidRPr="00503F5B">
        <w:t>in relation</w:t>
      </w:r>
      <w:r w:rsidR="00675892" w:rsidRPr="00503F5B">
        <w:t xml:space="preserve"> to</w:t>
      </w:r>
      <w:r w:rsidRPr="00503F5B">
        <w:t>:</w:t>
      </w:r>
    </w:p>
    <w:p w14:paraId="37C114B4" w14:textId="77777777" w:rsidR="00391FFF" w:rsidRPr="00503F5B" w:rsidRDefault="00391FFF" w:rsidP="00837943">
      <w:pPr>
        <w:jc w:val="both"/>
      </w:pPr>
    </w:p>
    <w:p w14:paraId="0C176587" w14:textId="3DA7ABF1" w:rsidR="00837943" w:rsidRPr="00503F5B" w:rsidRDefault="00837943" w:rsidP="00837943">
      <w:pPr>
        <w:pStyle w:val="ListParagraph"/>
        <w:numPr>
          <w:ilvl w:val="0"/>
          <w:numId w:val="35"/>
        </w:numPr>
        <w:jc w:val="both"/>
      </w:pPr>
      <w:r w:rsidRPr="00503F5B">
        <w:t>giving false reports</w:t>
      </w:r>
      <w:r w:rsidR="00675892" w:rsidRPr="00503F5B">
        <w:t>;</w:t>
      </w:r>
    </w:p>
    <w:p w14:paraId="789EB3BF" w14:textId="31A565E4" w:rsidR="00837943" w:rsidRPr="00503F5B" w:rsidRDefault="007F3509" w:rsidP="00837943">
      <w:pPr>
        <w:pStyle w:val="ListParagraph"/>
        <w:numPr>
          <w:ilvl w:val="0"/>
          <w:numId w:val="35"/>
        </w:numPr>
        <w:jc w:val="both"/>
      </w:pPr>
      <w:r w:rsidRPr="00503F5B">
        <w:t>vessels</w:t>
      </w:r>
      <w:r w:rsidR="00675892" w:rsidRPr="00503F5B">
        <w:t>;</w:t>
      </w:r>
    </w:p>
    <w:p w14:paraId="7B62A011" w14:textId="13FA57D4" w:rsidR="00837943" w:rsidRPr="00503F5B" w:rsidRDefault="007F3509" w:rsidP="00837943">
      <w:pPr>
        <w:pStyle w:val="ListParagraph"/>
        <w:numPr>
          <w:ilvl w:val="0"/>
          <w:numId w:val="35"/>
        </w:numPr>
        <w:jc w:val="both"/>
      </w:pPr>
      <w:r w:rsidRPr="00503F5B">
        <w:t>hazardous and toxic materials</w:t>
      </w:r>
      <w:r w:rsidR="00837943" w:rsidRPr="00503F5B">
        <w:t>; and</w:t>
      </w:r>
    </w:p>
    <w:p w14:paraId="11A3ABC8" w14:textId="6DD56FA4" w:rsidR="00837943" w:rsidRPr="00503F5B" w:rsidRDefault="00675892" w:rsidP="00837943">
      <w:pPr>
        <w:pStyle w:val="ListParagraph"/>
        <w:numPr>
          <w:ilvl w:val="0"/>
          <w:numId w:val="35"/>
        </w:numPr>
        <w:jc w:val="both"/>
      </w:pPr>
      <w:r w:rsidRPr="00503F5B">
        <w:t>special circumstances requiring the protection of</w:t>
      </w:r>
      <w:r w:rsidR="00837943" w:rsidRPr="00503F5B">
        <w:t xml:space="preserve"> life and property</w:t>
      </w:r>
      <w:r w:rsidR="001A6758">
        <w:t>.</w:t>
      </w:r>
    </w:p>
    <w:p w14:paraId="7AFBE806" w14:textId="77777777" w:rsidR="00837943" w:rsidRPr="00503F5B" w:rsidRDefault="00837943" w:rsidP="007245FE">
      <w:pPr>
        <w:jc w:val="both"/>
      </w:pPr>
    </w:p>
    <w:p w14:paraId="207618E4" w14:textId="20340E82" w:rsidR="003D6E49" w:rsidRPr="00503F5B" w:rsidRDefault="00AD50D5" w:rsidP="003D6E49">
      <w:pPr>
        <w:jc w:val="both"/>
      </w:pPr>
      <w:bookmarkStart w:id="66" w:name="_Hlk36573150"/>
      <w:r w:rsidRPr="00503F5B">
        <w:t>W</w:t>
      </w:r>
      <w:r w:rsidR="003D6E49" w:rsidRPr="00503F5B">
        <w:t>ith respect to 1</w:t>
      </w:r>
      <w:r w:rsidR="000D5B5D" w:rsidRPr="00503F5B">
        <w:t>7</w:t>
      </w:r>
      <w:r w:rsidR="003D6E49" w:rsidRPr="00503F5B">
        <w:t>(1)b) and 1</w:t>
      </w:r>
      <w:r w:rsidR="000D5B5D" w:rsidRPr="00503F5B">
        <w:t>7</w:t>
      </w:r>
      <w:r w:rsidR="003D6E49" w:rsidRPr="00503F5B">
        <w:t>(1)(c) and according to MFB, there are very few incidents involving false reports or vessels, respectively</w:t>
      </w:r>
      <w:r w:rsidR="003D2D28" w:rsidRPr="00503F5B">
        <w:t xml:space="preserve"> - as with 1</w:t>
      </w:r>
      <w:r w:rsidR="000D5B5D" w:rsidRPr="00503F5B">
        <w:t>7</w:t>
      </w:r>
      <w:r w:rsidR="003D2D28" w:rsidRPr="00503F5B">
        <w:t>(1)(e) which is intend</w:t>
      </w:r>
      <w:r w:rsidR="00CA7E61" w:rsidRPr="00503F5B">
        <w:t>ed</w:t>
      </w:r>
      <w:r w:rsidR="003D2D28" w:rsidRPr="00503F5B">
        <w:t xml:space="preserve"> to be a ‘catch all’</w:t>
      </w:r>
      <w:r w:rsidR="003D6E49" w:rsidRPr="00503F5B">
        <w:t xml:space="preserve">.  </w:t>
      </w:r>
    </w:p>
    <w:p w14:paraId="06C2E625" w14:textId="77777777" w:rsidR="003D6E49" w:rsidRPr="00503F5B" w:rsidRDefault="003D6E49" w:rsidP="003D6E49">
      <w:pPr>
        <w:jc w:val="both"/>
      </w:pPr>
    </w:p>
    <w:p w14:paraId="1B509BDB" w14:textId="2FFBF0C4" w:rsidR="00E316FF" w:rsidRPr="00503F5B" w:rsidRDefault="003D2D28" w:rsidP="00E316FF">
      <w:pPr>
        <w:jc w:val="both"/>
      </w:pPr>
      <w:r w:rsidRPr="00503F5B">
        <w:t xml:space="preserve">With respect to </w:t>
      </w:r>
      <w:r w:rsidR="00837943" w:rsidRPr="00503F5B">
        <w:t>reg.1</w:t>
      </w:r>
      <w:r w:rsidR="000D5B5D" w:rsidRPr="00503F5B">
        <w:t>7</w:t>
      </w:r>
      <w:r w:rsidR="00837943" w:rsidRPr="00503F5B">
        <w:t>(1)(d</w:t>
      </w:r>
      <w:r w:rsidR="00E316FF" w:rsidRPr="00503F5B">
        <w:t xml:space="preserve">), in the second half of 2018 </w:t>
      </w:r>
      <w:r w:rsidR="00837943" w:rsidRPr="00503F5B">
        <w:t xml:space="preserve">there was </w:t>
      </w:r>
      <w:r w:rsidR="00F6572A" w:rsidRPr="00503F5B">
        <w:t>a</w:t>
      </w:r>
      <w:r w:rsidR="00837943" w:rsidRPr="00503F5B">
        <w:t xml:space="preserve"> total o</w:t>
      </w:r>
      <w:r w:rsidR="00E316FF" w:rsidRPr="00503F5B">
        <w:t>f</w:t>
      </w:r>
      <w:r w:rsidR="00837943" w:rsidRPr="00503F5B">
        <w:t xml:space="preserve"> </w:t>
      </w:r>
      <w:r w:rsidR="00675892" w:rsidRPr="00503F5B">
        <w:t xml:space="preserve">$261,967 generated for 6 invoices (an average of </w:t>
      </w:r>
      <w:r w:rsidR="00E316FF" w:rsidRPr="00503F5B">
        <w:t>$43,661 per invoice)</w:t>
      </w:r>
      <w:r w:rsidRPr="00503F5B">
        <w:t xml:space="preserve"> in </w:t>
      </w:r>
      <w:r w:rsidR="00E316FF" w:rsidRPr="00503F5B">
        <w:t xml:space="preserve">response to hazardous and toxic materials.  There were a further 2 invoices generated in the first half of 2019 for $81,291 (an average of $40,646 per invoice). </w:t>
      </w:r>
      <w:r w:rsidRPr="00503F5B">
        <w:t xml:space="preserve"> Hence for</w:t>
      </w:r>
      <w:r w:rsidR="00E316FF" w:rsidRPr="00503F5B">
        <w:t xml:space="preserve"> 2018-19 </w:t>
      </w:r>
      <w:r w:rsidRPr="00503F5B">
        <w:t xml:space="preserve">there was a total </w:t>
      </w:r>
      <w:r w:rsidR="00E316FF" w:rsidRPr="00503F5B">
        <w:t>$343,258 invoiced for responses involving hazardous and toxic materials under reg.1</w:t>
      </w:r>
      <w:r w:rsidR="000D5B5D" w:rsidRPr="00503F5B">
        <w:t>7</w:t>
      </w:r>
      <w:r w:rsidR="00E316FF" w:rsidRPr="00503F5B">
        <w:t xml:space="preserve">(1)(d) compared with $10,809,201 </w:t>
      </w:r>
      <w:r w:rsidRPr="00503F5B">
        <w:t xml:space="preserve">worth </w:t>
      </w:r>
      <w:r w:rsidR="00E316FF" w:rsidRPr="00503F5B">
        <w:t xml:space="preserve">of </w:t>
      </w:r>
      <w:r w:rsidRPr="00503F5B">
        <w:t>invoices</w:t>
      </w:r>
      <w:r w:rsidR="00E316FF" w:rsidRPr="00503F5B">
        <w:t xml:space="preserve"> for false alarm charges under reg.1</w:t>
      </w:r>
      <w:r w:rsidR="000D5B5D" w:rsidRPr="00503F5B">
        <w:t>7</w:t>
      </w:r>
      <w:r w:rsidR="00E316FF" w:rsidRPr="00503F5B">
        <w:t xml:space="preserve">(1)(a).  </w:t>
      </w:r>
    </w:p>
    <w:bookmarkEnd w:id="66"/>
    <w:p w14:paraId="7882BAFD" w14:textId="77777777" w:rsidR="00E316FF" w:rsidRPr="00503F5B" w:rsidRDefault="00E316FF" w:rsidP="00675892">
      <w:pPr>
        <w:jc w:val="both"/>
      </w:pPr>
    </w:p>
    <w:p w14:paraId="047BBA0A" w14:textId="70414C16" w:rsidR="003D6E49" w:rsidRPr="00503F5B" w:rsidRDefault="003D2D28" w:rsidP="00675892">
      <w:pPr>
        <w:jc w:val="both"/>
      </w:pPr>
      <w:r w:rsidRPr="00503F5B">
        <w:t>Specifically, it</w:t>
      </w:r>
      <w:r w:rsidR="00E316FF" w:rsidRPr="00503F5B">
        <w:t xml:space="preserve"> is the concern of </w:t>
      </w:r>
      <w:r w:rsidR="00595DFB" w:rsidRPr="00503F5B">
        <w:t>MFB</w:t>
      </w:r>
      <w:r w:rsidR="00E316FF" w:rsidRPr="00503F5B">
        <w:t xml:space="preserve"> that the propose</w:t>
      </w:r>
      <w:r w:rsidRPr="00503F5B">
        <w:t>d</w:t>
      </w:r>
      <w:r w:rsidR="00E316FF" w:rsidRPr="00503F5B">
        <w:t xml:space="preserve"> maximum fee for regulation 1</w:t>
      </w:r>
      <w:r w:rsidR="000D5B5D" w:rsidRPr="00503F5B">
        <w:t>7</w:t>
      </w:r>
      <w:r w:rsidR="00E316FF" w:rsidRPr="00503F5B">
        <w:t>(1)(a) for false alarm charges</w:t>
      </w:r>
      <w:r w:rsidRPr="00503F5B">
        <w:t>,</w:t>
      </w:r>
      <w:r w:rsidR="00E316FF" w:rsidRPr="00503F5B">
        <w:t xml:space="preserve"> would be too low as compared with the average invoice</w:t>
      </w:r>
      <w:r w:rsidRPr="00503F5B">
        <w:t xml:space="preserve"> amounts</w:t>
      </w:r>
      <w:r w:rsidR="00E316FF" w:rsidRPr="00503F5B">
        <w:t xml:space="preserve"> involving hazardous and toxic materials of around $40,000 to $44,000.</w:t>
      </w:r>
      <w:r w:rsidR="003D6E49" w:rsidRPr="00503F5B">
        <w:t xml:space="preserve"> </w:t>
      </w:r>
    </w:p>
    <w:p w14:paraId="2F8D25F9" w14:textId="77777777" w:rsidR="003D6E49" w:rsidRPr="00503F5B" w:rsidRDefault="003D6E49" w:rsidP="00675892">
      <w:pPr>
        <w:jc w:val="both"/>
      </w:pPr>
    </w:p>
    <w:p w14:paraId="325127E1" w14:textId="2BE01066" w:rsidR="00675892" w:rsidRPr="00503F5B" w:rsidRDefault="003D6E49" w:rsidP="00675892">
      <w:pPr>
        <w:jc w:val="both"/>
      </w:pPr>
      <w:r w:rsidRPr="00503F5B">
        <w:t xml:space="preserve">As these charges </w:t>
      </w:r>
      <w:r w:rsidR="003D2D28" w:rsidRPr="00503F5B">
        <w:t>under proposed regulations 1</w:t>
      </w:r>
      <w:r w:rsidR="000D5B5D" w:rsidRPr="00503F5B">
        <w:t>7</w:t>
      </w:r>
      <w:r w:rsidR="003D2D28" w:rsidRPr="00503F5B">
        <w:t>(1)(b) to 1</w:t>
      </w:r>
      <w:r w:rsidR="000D5B5D" w:rsidRPr="00503F5B">
        <w:t>7</w:t>
      </w:r>
      <w:r w:rsidR="003D2D28" w:rsidRPr="00503F5B">
        <w:t xml:space="preserve">(1)(e) either </w:t>
      </w:r>
      <w:r w:rsidRPr="00503F5B">
        <w:t>do not impose a significant cost, or occur infrequently, they are not assessed in detail in this RIS.</w:t>
      </w:r>
    </w:p>
    <w:p w14:paraId="69EA1519" w14:textId="7815CE19" w:rsidR="0045623A" w:rsidRPr="00503F5B" w:rsidRDefault="0045623A" w:rsidP="007245FE">
      <w:pPr>
        <w:jc w:val="both"/>
      </w:pPr>
    </w:p>
    <w:p w14:paraId="75130F80" w14:textId="49A4544B" w:rsidR="007245FE" w:rsidRPr="00503F5B" w:rsidRDefault="00837943" w:rsidP="007245FE">
      <w:pPr>
        <w:jc w:val="both"/>
      </w:pPr>
      <w:r w:rsidRPr="00503F5B">
        <w:t>On the other hand, p</w:t>
      </w:r>
      <w:r w:rsidR="007245FE" w:rsidRPr="00503F5B">
        <w:t>rovisions relating to proposed regulation 1</w:t>
      </w:r>
      <w:r w:rsidR="00F80AB9" w:rsidRPr="00503F5B">
        <w:t>7</w:t>
      </w:r>
      <w:r w:rsidR="00E55F18" w:rsidRPr="00503F5B">
        <w:t xml:space="preserve">(1)(a) </w:t>
      </w:r>
      <w:r w:rsidR="007245FE" w:rsidRPr="00503F5B">
        <w:t xml:space="preserve">which prescribes the fees and charges </w:t>
      </w:r>
      <w:r w:rsidR="00E55F18" w:rsidRPr="00503F5B">
        <w:t xml:space="preserve">for emergency attendances for false alarms </w:t>
      </w:r>
      <w:r w:rsidR="007245FE" w:rsidRPr="00503F5B">
        <w:t>– impose a significant cost and so are assessed in detail in this RIS. Regulation 1</w:t>
      </w:r>
      <w:r w:rsidR="000D5B5D" w:rsidRPr="00503F5B">
        <w:t>7</w:t>
      </w:r>
      <w:r w:rsidR="00E55F18" w:rsidRPr="00503F5B">
        <w:t>(1)(a)</w:t>
      </w:r>
      <w:r w:rsidR="007245FE" w:rsidRPr="00503F5B">
        <w:t xml:space="preserve"> provides for FRV to levy fees on the owner of a property equipped with a fire alarm system if there is a false alarm for which the property owner occupier </w:t>
      </w:r>
      <w:r w:rsidR="00042C50" w:rsidRPr="00503F5B">
        <w:t>or owners</w:t>
      </w:r>
      <w:r w:rsidR="00A96809" w:rsidRPr="00503F5B">
        <w:t>’</w:t>
      </w:r>
      <w:r w:rsidR="00042C50" w:rsidRPr="00503F5B">
        <w:t xml:space="preserve"> corporation </w:t>
      </w:r>
      <w:r w:rsidR="007245FE" w:rsidRPr="00503F5B">
        <w:t>does not have a reasonable excuse.</w:t>
      </w:r>
    </w:p>
    <w:p w14:paraId="77468587" w14:textId="77777777" w:rsidR="007245FE" w:rsidRPr="00503F5B" w:rsidRDefault="007245FE" w:rsidP="007245FE">
      <w:pPr>
        <w:jc w:val="both"/>
      </w:pPr>
    </w:p>
    <w:p w14:paraId="677D78C3" w14:textId="2FE04153" w:rsidR="007245FE" w:rsidRPr="00503F5B" w:rsidRDefault="007245FE" w:rsidP="007245FE">
      <w:pPr>
        <w:jc w:val="both"/>
      </w:pPr>
      <w:r w:rsidRPr="00503F5B">
        <w:t>These fees are not typically levied on owner occupier</w:t>
      </w:r>
      <w:r w:rsidR="00042C50" w:rsidRPr="00503F5B">
        <w:t>s or owners</w:t>
      </w:r>
      <w:r w:rsidR="00A96809" w:rsidRPr="00503F5B">
        <w:t>’</w:t>
      </w:r>
      <w:r w:rsidR="00042C50" w:rsidRPr="00503F5B">
        <w:t xml:space="preserve"> </w:t>
      </w:r>
      <w:r w:rsidR="00A96809" w:rsidRPr="00503F5B">
        <w:t>corporation</w:t>
      </w:r>
      <w:r w:rsidRPr="00503F5B">
        <w:t xml:space="preserve"> at residential premises </w:t>
      </w:r>
      <w:proofErr w:type="gramStart"/>
      <w:r w:rsidRPr="00503F5B">
        <w:t>with the exception of</w:t>
      </w:r>
      <w:proofErr w:type="gramEnd"/>
      <w:r w:rsidRPr="00503F5B">
        <w:t xml:space="preserve"> buildings which have fire alarm systems installed (typically a multi-storied, multi-apartment complex managed by a body corporate). Charges for false alarms are most commonly imposed on the owners/occupiers of commercial, industrial and office complex premises.  Specifically, under regulation 1</w:t>
      </w:r>
      <w:r w:rsidR="000D5B5D" w:rsidRPr="00503F5B">
        <w:t>7</w:t>
      </w:r>
      <w:r w:rsidRPr="00503F5B">
        <w:t>(1), the following persons are liable to pay to Fire Rescue Victoria fees and charges:</w:t>
      </w:r>
    </w:p>
    <w:p w14:paraId="1B792D39" w14:textId="77777777" w:rsidR="00341B9B" w:rsidRPr="00503F5B" w:rsidRDefault="00341B9B" w:rsidP="007245FE">
      <w:pPr>
        <w:jc w:val="both"/>
      </w:pPr>
    </w:p>
    <w:p w14:paraId="267281A4" w14:textId="77777777" w:rsidR="007245FE" w:rsidRPr="00503F5B" w:rsidRDefault="007245FE" w:rsidP="007245FE">
      <w:pPr>
        <w:ind w:left="567" w:right="851"/>
        <w:jc w:val="both"/>
        <w:rPr>
          <w:sz w:val="20"/>
          <w:szCs w:val="20"/>
        </w:rPr>
      </w:pPr>
      <w:r w:rsidRPr="00503F5B">
        <w:rPr>
          <w:sz w:val="20"/>
          <w:szCs w:val="20"/>
        </w:rPr>
        <w:t xml:space="preserve">(a) the owner, occupier or </w:t>
      </w:r>
      <w:proofErr w:type="gramStart"/>
      <w:r w:rsidRPr="00503F5B">
        <w:rPr>
          <w:sz w:val="20"/>
          <w:szCs w:val="20"/>
        </w:rPr>
        <w:t>owners</w:t>
      </w:r>
      <w:proofErr w:type="gramEnd"/>
      <w:r w:rsidRPr="00503F5B">
        <w:rPr>
          <w:sz w:val="20"/>
          <w:szCs w:val="20"/>
        </w:rPr>
        <w:t xml:space="preserve"> corporation of premises on which is installed—</w:t>
      </w:r>
    </w:p>
    <w:p w14:paraId="11E42601" w14:textId="77777777" w:rsidR="007245FE" w:rsidRPr="00503F5B" w:rsidRDefault="007245FE" w:rsidP="00101EC8">
      <w:pPr>
        <w:pStyle w:val="ListParagraph"/>
        <w:numPr>
          <w:ilvl w:val="0"/>
          <w:numId w:val="19"/>
        </w:numPr>
        <w:ind w:right="851"/>
        <w:jc w:val="both"/>
        <w:rPr>
          <w:sz w:val="20"/>
          <w:szCs w:val="20"/>
        </w:rPr>
      </w:pPr>
      <w:r w:rsidRPr="00503F5B">
        <w:rPr>
          <w:sz w:val="20"/>
          <w:szCs w:val="20"/>
        </w:rPr>
        <w:t>an automatic fire alarm system; or</w:t>
      </w:r>
    </w:p>
    <w:p w14:paraId="7892BB64" w14:textId="77777777" w:rsidR="007245FE" w:rsidRPr="00503F5B" w:rsidRDefault="007245FE" w:rsidP="00101EC8">
      <w:pPr>
        <w:pStyle w:val="ListParagraph"/>
        <w:numPr>
          <w:ilvl w:val="0"/>
          <w:numId w:val="19"/>
        </w:numPr>
        <w:ind w:right="851"/>
        <w:jc w:val="both"/>
        <w:rPr>
          <w:sz w:val="20"/>
          <w:szCs w:val="20"/>
        </w:rPr>
      </w:pPr>
      <w:r w:rsidRPr="00503F5B">
        <w:rPr>
          <w:sz w:val="20"/>
          <w:szCs w:val="20"/>
        </w:rPr>
        <w:t>equipment designed to detect a fire or other emergency conditions and transmit a signal of that detection—</w:t>
      </w:r>
    </w:p>
    <w:p w14:paraId="302BF306" w14:textId="77777777" w:rsidR="007245FE" w:rsidRPr="00503F5B" w:rsidRDefault="007245FE" w:rsidP="007245FE">
      <w:pPr>
        <w:ind w:left="567" w:right="851"/>
        <w:jc w:val="both"/>
        <w:rPr>
          <w:sz w:val="20"/>
          <w:szCs w:val="20"/>
        </w:rPr>
      </w:pPr>
    </w:p>
    <w:p w14:paraId="21170539" w14:textId="1B0E5ECB" w:rsidR="007245FE" w:rsidRPr="00503F5B" w:rsidRDefault="007245FE" w:rsidP="007245FE">
      <w:pPr>
        <w:ind w:left="567" w:right="851"/>
        <w:jc w:val="both"/>
        <w:rPr>
          <w:sz w:val="20"/>
          <w:szCs w:val="20"/>
        </w:rPr>
      </w:pPr>
      <w:r w:rsidRPr="00503F5B">
        <w:rPr>
          <w:sz w:val="20"/>
          <w:szCs w:val="20"/>
        </w:rPr>
        <w:t>for the attendance of a unit in response to false alarm of fire given by or originating from that system or equipment if the Fire Rescue Victoria is not satisfied that there was a reasonable excuse for the occurrence of a false alarm;</w:t>
      </w:r>
    </w:p>
    <w:p w14:paraId="0B301F98" w14:textId="77777777" w:rsidR="007245FE" w:rsidRPr="00503F5B" w:rsidRDefault="007245FE" w:rsidP="007245FE">
      <w:pPr>
        <w:widowControl w:val="0"/>
        <w:autoSpaceDE w:val="0"/>
        <w:autoSpaceDN w:val="0"/>
        <w:adjustRightInd w:val="0"/>
        <w:ind w:left="567" w:right="851"/>
        <w:jc w:val="both"/>
        <w:rPr>
          <w:rFonts w:ascii="P˘Í^ˇ" w:hAnsi="P˘Í^ˇ" w:cs="P˘Í^ˇ"/>
          <w:color w:val="010202"/>
        </w:rPr>
      </w:pPr>
    </w:p>
    <w:p w14:paraId="5038D36C" w14:textId="17FC8646" w:rsidR="007245FE" w:rsidRPr="00503F5B" w:rsidRDefault="007245FE" w:rsidP="007245FE">
      <w:pPr>
        <w:widowControl w:val="0"/>
        <w:autoSpaceDE w:val="0"/>
        <w:autoSpaceDN w:val="0"/>
        <w:adjustRightInd w:val="0"/>
        <w:ind w:left="567" w:right="851"/>
        <w:jc w:val="both"/>
        <w:rPr>
          <w:rFonts w:cs="P˘Í^ˇ"/>
          <w:color w:val="010202"/>
          <w:sz w:val="20"/>
          <w:szCs w:val="20"/>
        </w:rPr>
      </w:pPr>
      <w:r w:rsidRPr="00503F5B">
        <w:rPr>
          <w:rFonts w:cs="P˘Í^ˇ"/>
          <w:color w:val="010202"/>
          <w:sz w:val="20"/>
          <w:szCs w:val="20"/>
        </w:rPr>
        <w:t>(b) if ordered to do so by a court, a person who has been convicted of giving or causing to be given a false report of fire under section 33 of the Act for the attendance of a unit in response to the false report;</w:t>
      </w:r>
    </w:p>
    <w:p w14:paraId="2F13C1D5" w14:textId="77777777" w:rsidR="007245FE" w:rsidRPr="00503F5B" w:rsidRDefault="007245FE" w:rsidP="007245FE">
      <w:pPr>
        <w:widowControl w:val="0"/>
        <w:autoSpaceDE w:val="0"/>
        <w:autoSpaceDN w:val="0"/>
        <w:adjustRightInd w:val="0"/>
        <w:ind w:left="567" w:right="851"/>
        <w:jc w:val="both"/>
        <w:rPr>
          <w:rFonts w:cs="P˘Í^ˇ"/>
          <w:color w:val="010202"/>
          <w:sz w:val="20"/>
          <w:szCs w:val="20"/>
        </w:rPr>
      </w:pPr>
    </w:p>
    <w:p w14:paraId="23FFDBED" w14:textId="2211BA67" w:rsidR="007245FE" w:rsidRPr="00503F5B" w:rsidRDefault="007245FE" w:rsidP="007245FE">
      <w:pPr>
        <w:widowControl w:val="0"/>
        <w:autoSpaceDE w:val="0"/>
        <w:autoSpaceDN w:val="0"/>
        <w:adjustRightInd w:val="0"/>
        <w:ind w:left="567" w:right="851"/>
        <w:jc w:val="both"/>
        <w:rPr>
          <w:rFonts w:cs="P˘Í^ˇ"/>
          <w:color w:val="010202"/>
          <w:sz w:val="20"/>
          <w:szCs w:val="20"/>
        </w:rPr>
      </w:pPr>
      <w:r w:rsidRPr="00503F5B">
        <w:rPr>
          <w:rFonts w:cs="P˘Í^ˇ"/>
          <w:color w:val="010202"/>
          <w:sz w:val="20"/>
          <w:szCs w:val="20"/>
        </w:rPr>
        <w:lastRenderedPageBreak/>
        <w:t>(c) the owner or master of a vessel for the attendance of a unit in response to a fire on the vessel;</w:t>
      </w:r>
    </w:p>
    <w:p w14:paraId="29A4DAE1" w14:textId="77777777" w:rsidR="007245FE" w:rsidRPr="00503F5B" w:rsidRDefault="007245FE" w:rsidP="007245FE">
      <w:pPr>
        <w:widowControl w:val="0"/>
        <w:autoSpaceDE w:val="0"/>
        <w:autoSpaceDN w:val="0"/>
        <w:adjustRightInd w:val="0"/>
        <w:ind w:left="567" w:right="851"/>
        <w:jc w:val="both"/>
        <w:rPr>
          <w:rFonts w:cs="P˘Í^ˇ"/>
          <w:color w:val="010202"/>
          <w:sz w:val="20"/>
          <w:szCs w:val="20"/>
        </w:rPr>
      </w:pPr>
    </w:p>
    <w:p w14:paraId="346DC407" w14:textId="41B59891" w:rsidR="007245FE" w:rsidRPr="00503F5B" w:rsidRDefault="007245FE" w:rsidP="007245FE">
      <w:pPr>
        <w:widowControl w:val="0"/>
        <w:autoSpaceDE w:val="0"/>
        <w:autoSpaceDN w:val="0"/>
        <w:adjustRightInd w:val="0"/>
        <w:ind w:left="567" w:right="851"/>
        <w:jc w:val="both"/>
        <w:rPr>
          <w:rFonts w:cs="P˘Í^ˇ"/>
          <w:color w:val="010202"/>
          <w:sz w:val="20"/>
          <w:szCs w:val="20"/>
        </w:rPr>
      </w:pPr>
      <w:r w:rsidRPr="00503F5B">
        <w:rPr>
          <w:rFonts w:cs="P˘Í^ˇ"/>
          <w:color w:val="010202"/>
          <w:sz w:val="20"/>
          <w:szCs w:val="20"/>
        </w:rPr>
        <w:t>(d) in respect of an attendance of a unit in response to a hazardous materials incident or toxic fire incident—</w:t>
      </w:r>
    </w:p>
    <w:p w14:paraId="720615A9" w14:textId="77777777" w:rsidR="007245FE" w:rsidRPr="00503F5B" w:rsidRDefault="007245FE" w:rsidP="00101EC8">
      <w:pPr>
        <w:pStyle w:val="ListParagraph"/>
        <w:widowControl w:val="0"/>
        <w:numPr>
          <w:ilvl w:val="0"/>
          <w:numId w:val="20"/>
        </w:numPr>
        <w:autoSpaceDE w:val="0"/>
        <w:autoSpaceDN w:val="0"/>
        <w:adjustRightInd w:val="0"/>
        <w:ind w:right="851"/>
        <w:jc w:val="both"/>
        <w:rPr>
          <w:rFonts w:cs="P˘Í^ˇ"/>
          <w:color w:val="010202"/>
          <w:sz w:val="20"/>
          <w:szCs w:val="20"/>
        </w:rPr>
      </w:pPr>
      <w:r w:rsidRPr="00503F5B">
        <w:rPr>
          <w:rFonts w:cs="P˘Í^ˇ"/>
          <w:color w:val="010202"/>
          <w:sz w:val="20"/>
          <w:szCs w:val="20"/>
        </w:rPr>
        <w:t>the owner or occupier of premises at which the incident occurred; or</w:t>
      </w:r>
    </w:p>
    <w:p w14:paraId="6E79DB6B" w14:textId="77777777" w:rsidR="007245FE" w:rsidRPr="00503F5B" w:rsidRDefault="007245FE" w:rsidP="00101EC8">
      <w:pPr>
        <w:pStyle w:val="ListParagraph"/>
        <w:widowControl w:val="0"/>
        <w:numPr>
          <w:ilvl w:val="0"/>
          <w:numId w:val="20"/>
        </w:numPr>
        <w:autoSpaceDE w:val="0"/>
        <w:autoSpaceDN w:val="0"/>
        <w:adjustRightInd w:val="0"/>
        <w:ind w:right="851"/>
        <w:jc w:val="both"/>
        <w:rPr>
          <w:rFonts w:cs="P˘Í^ˇ"/>
          <w:color w:val="010202"/>
          <w:sz w:val="20"/>
          <w:szCs w:val="20"/>
        </w:rPr>
      </w:pPr>
      <w:r w:rsidRPr="00503F5B">
        <w:rPr>
          <w:rFonts w:cs="P˘Í^ˇ"/>
          <w:color w:val="010202"/>
          <w:sz w:val="20"/>
          <w:szCs w:val="20"/>
        </w:rPr>
        <w:t>if the incident occurred on a street, road or highway (however described), the owner or driver of the vehicle transporting the materials involved in the incident; and</w:t>
      </w:r>
    </w:p>
    <w:p w14:paraId="53E38EC8" w14:textId="77777777" w:rsidR="007245FE" w:rsidRPr="00503F5B" w:rsidRDefault="007245FE" w:rsidP="007245FE">
      <w:pPr>
        <w:widowControl w:val="0"/>
        <w:autoSpaceDE w:val="0"/>
        <w:autoSpaceDN w:val="0"/>
        <w:adjustRightInd w:val="0"/>
        <w:ind w:left="567" w:right="851"/>
        <w:jc w:val="both"/>
        <w:rPr>
          <w:rFonts w:cs="P˘Í^ˇ"/>
          <w:color w:val="010202"/>
          <w:sz w:val="20"/>
          <w:szCs w:val="20"/>
        </w:rPr>
      </w:pPr>
    </w:p>
    <w:p w14:paraId="5BE972AF" w14:textId="26C2D4AA" w:rsidR="007245FE" w:rsidRPr="00503F5B" w:rsidRDefault="007245FE" w:rsidP="007245FE">
      <w:pPr>
        <w:widowControl w:val="0"/>
        <w:autoSpaceDE w:val="0"/>
        <w:autoSpaceDN w:val="0"/>
        <w:adjustRightInd w:val="0"/>
        <w:ind w:left="567" w:right="851"/>
        <w:jc w:val="both"/>
        <w:rPr>
          <w:rFonts w:cs="P˘Í^ˇ"/>
          <w:color w:val="010202"/>
          <w:sz w:val="20"/>
          <w:szCs w:val="20"/>
        </w:rPr>
      </w:pPr>
      <w:r w:rsidRPr="00503F5B">
        <w:rPr>
          <w:rFonts w:cs="P˘Í^ˇ"/>
          <w:color w:val="010202"/>
          <w:sz w:val="20"/>
          <w:szCs w:val="20"/>
        </w:rPr>
        <w:t xml:space="preserve">(e) in respect of an attendance of a unit in special circumstances requiring the protection of life or property in case of fire, the person requiring the attendance or owner or </w:t>
      </w:r>
      <w:proofErr w:type="gramStart"/>
      <w:r w:rsidRPr="00503F5B">
        <w:rPr>
          <w:rFonts w:cs="P˘Í^ˇ"/>
          <w:color w:val="010202"/>
          <w:sz w:val="20"/>
          <w:szCs w:val="20"/>
        </w:rPr>
        <w:t>occupier as the case may be</w:t>
      </w:r>
      <w:proofErr w:type="gramEnd"/>
      <w:r w:rsidRPr="00503F5B">
        <w:rPr>
          <w:rFonts w:cs="P˘Í^ˇ"/>
          <w:color w:val="010202"/>
          <w:sz w:val="20"/>
          <w:szCs w:val="20"/>
        </w:rPr>
        <w:t>.</w:t>
      </w:r>
    </w:p>
    <w:p w14:paraId="25E19039" w14:textId="77777777" w:rsidR="007245FE" w:rsidRPr="00503F5B" w:rsidRDefault="007245FE" w:rsidP="007245FE">
      <w:pPr>
        <w:jc w:val="both"/>
      </w:pPr>
    </w:p>
    <w:p w14:paraId="59669CB8" w14:textId="5CBA96EF" w:rsidR="007245FE" w:rsidRPr="00503F5B" w:rsidRDefault="007245FE" w:rsidP="007245FE">
      <w:pPr>
        <w:jc w:val="both"/>
      </w:pPr>
      <w:r w:rsidRPr="00503F5B">
        <w:t>Under regulation 1</w:t>
      </w:r>
      <w:r w:rsidR="000D5B5D" w:rsidRPr="00503F5B">
        <w:t>7</w:t>
      </w:r>
      <w:r w:rsidRPr="00503F5B">
        <w:t>(2), the fees and charges to be paid to Fire Rescue Victoria are set out in item 1 of Schedule 2 and are payable for each appliance in attendance for each 15 minutes (or part of 15 minutes) during which the appliance is absent from its station.</w:t>
      </w:r>
    </w:p>
    <w:p w14:paraId="509719A8" w14:textId="77777777" w:rsidR="007245FE" w:rsidRPr="00503F5B" w:rsidRDefault="007245FE" w:rsidP="007245FE">
      <w:pPr>
        <w:jc w:val="both"/>
      </w:pPr>
    </w:p>
    <w:p w14:paraId="4FC02190" w14:textId="1D3E9857" w:rsidR="007245FE" w:rsidRPr="00503F5B" w:rsidRDefault="007245FE" w:rsidP="007245FE">
      <w:pPr>
        <w:jc w:val="both"/>
      </w:pPr>
      <w:r w:rsidRPr="00503F5B">
        <w:t xml:space="preserve">Chart 3 illustrates that approximately </w:t>
      </w:r>
      <w:r w:rsidR="007C1AD3" w:rsidRPr="00503F5B">
        <w:t>4</w:t>
      </w:r>
      <w:r w:rsidRPr="00503F5B">
        <w:t>,</w:t>
      </w:r>
      <w:r w:rsidR="007C1AD3" w:rsidRPr="00503F5B">
        <w:t>485</w:t>
      </w:r>
      <w:r w:rsidRPr="00503F5B">
        <w:t xml:space="preserve"> hours per annum or </w:t>
      </w:r>
      <w:r w:rsidR="007C1AD3" w:rsidRPr="00503F5B">
        <w:t>11</w:t>
      </w:r>
      <w:r w:rsidRPr="00503F5B">
        <w:t>.</w:t>
      </w:r>
      <w:r w:rsidR="007C1AD3" w:rsidRPr="00503F5B">
        <w:t>17</w:t>
      </w:r>
      <w:r w:rsidR="00391FFF" w:rsidRPr="00503F5B">
        <w:t xml:space="preserve"> per cent</w:t>
      </w:r>
      <w:r w:rsidRPr="00503F5B">
        <w:t xml:space="preserve"> of total hours spent by appliances for emergency attendances</w:t>
      </w:r>
      <w:r w:rsidR="007C1AD3" w:rsidRPr="00503F5B">
        <w:t xml:space="preserve"> by MFB</w:t>
      </w:r>
      <w:r w:rsidRPr="00503F5B">
        <w:t xml:space="preserve"> in 201</w:t>
      </w:r>
      <w:r w:rsidR="007C1AD3" w:rsidRPr="00503F5B">
        <w:t>8</w:t>
      </w:r>
      <w:r w:rsidRPr="00503F5B">
        <w:t>-1</w:t>
      </w:r>
      <w:r w:rsidR="007C1AD3" w:rsidRPr="00503F5B">
        <w:t>9</w:t>
      </w:r>
      <w:r w:rsidR="004D5552" w:rsidRPr="00503F5B">
        <w:t xml:space="preserve"> </w:t>
      </w:r>
      <w:r w:rsidRPr="00503F5B">
        <w:t xml:space="preserve">attract an incidence of fees </w:t>
      </w:r>
      <w:r w:rsidR="00A75329" w:rsidRPr="00503F5B">
        <w:t xml:space="preserve">under proposed </w:t>
      </w:r>
      <w:r w:rsidRPr="00503F5B">
        <w:t>regulation 1</w:t>
      </w:r>
      <w:r w:rsidR="000D5B5D" w:rsidRPr="00503F5B">
        <w:t>7</w:t>
      </w:r>
      <w:r w:rsidR="00260751" w:rsidRPr="00503F5B">
        <w:t>(1)(a)</w:t>
      </w:r>
      <w:r w:rsidRPr="00503F5B">
        <w:t xml:space="preserve"> (i.e. for false alarms where no reasonable excuse ha</w:t>
      </w:r>
      <w:r w:rsidR="00936FB1" w:rsidRPr="00503F5B">
        <w:t>d</w:t>
      </w:r>
      <w:r w:rsidRPr="00503F5B">
        <w:t xml:space="preserve"> been determined).</w:t>
      </w:r>
    </w:p>
    <w:p w14:paraId="32C2E68A" w14:textId="6BD4D0F7" w:rsidR="004D5552" w:rsidRPr="00503F5B" w:rsidRDefault="004D5552" w:rsidP="007245FE">
      <w:pPr>
        <w:jc w:val="both"/>
      </w:pPr>
    </w:p>
    <w:p w14:paraId="067E7E52" w14:textId="7B69B424" w:rsidR="004D5552" w:rsidRPr="00503F5B" w:rsidRDefault="00527283" w:rsidP="00BB6E48">
      <w:pPr>
        <w:spacing w:after="160" w:line="259" w:lineRule="auto"/>
        <w:rPr>
          <w:b/>
          <w:sz w:val="20"/>
          <w:szCs w:val="20"/>
        </w:rPr>
      </w:pPr>
      <w:r w:rsidRPr="00503F5B">
        <w:rPr>
          <w:b/>
          <w:sz w:val="20"/>
          <w:szCs w:val="20"/>
        </w:rPr>
        <w:br w:type="page"/>
      </w:r>
      <w:r w:rsidR="004D5552" w:rsidRPr="00503F5B">
        <w:rPr>
          <w:b/>
          <w:sz w:val="20"/>
          <w:szCs w:val="20"/>
        </w:rPr>
        <w:lastRenderedPageBreak/>
        <w:t>Chart 3: Illustration of relevant hours for incidence of fees for MFB – 2018-19</w:t>
      </w:r>
    </w:p>
    <w:p w14:paraId="3DC0CB5C" w14:textId="77777777" w:rsidR="004D5552" w:rsidRPr="00503F5B" w:rsidRDefault="004D5552" w:rsidP="004D5552">
      <w:pPr>
        <w:jc w:val="both"/>
      </w:pPr>
    </w:p>
    <w:p w14:paraId="28464B69" w14:textId="77777777" w:rsidR="004D5552" w:rsidRPr="00503F5B" w:rsidRDefault="004D5552" w:rsidP="004D5552">
      <w:pPr>
        <w:jc w:val="center"/>
      </w:pPr>
      <w:r w:rsidRPr="00503F5B">
        <w:rPr>
          <w:noProof/>
        </w:rPr>
        <mc:AlternateContent>
          <mc:Choice Requires="wpg">
            <w:drawing>
              <wp:inline distT="0" distB="0" distL="0" distR="0" wp14:anchorId="4F9EF110" wp14:editId="77362B44">
                <wp:extent cx="2924175" cy="2709796"/>
                <wp:effectExtent l="0" t="0" r="9525" b="0"/>
                <wp:docPr id="7" name="Group 1"/>
                <wp:cNvGraphicFramePr/>
                <a:graphic xmlns:a="http://schemas.openxmlformats.org/drawingml/2006/main">
                  <a:graphicData uri="http://schemas.microsoft.com/office/word/2010/wordprocessingGroup">
                    <wpg:wgp>
                      <wpg:cNvGrpSpPr/>
                      <wpg:grpSpPr>
                        <a:xfrm>
                          <a:off x="0" y="0"/>
                          <a:ext cx="2924175" cy="2709796"/>
                          <a:chOff x="0" y="0"/>
                          <a:chExt cx="4766310" cy="4228520"/>
                        </a:xfrm>
                      </wpg:grpSpPr>
                      <wps:wsp>
                        <wps:cNvPr id="12" name="Oval 12"/>
                        <wps:cNvSpPr/>
                        <wps:spPr>
                          <a:xfrm>
                            <a:off x="0" y="0"/>
                            <a:ext cx="4766310" cy="4206240"/>
                          </a:xfrm>
                          <a:prstGeom prst="ellipse">
                            <a:avLst/>
                          </a:prstGeom>
                          <a:solidFill>
                            <a:srgbClr val="FFF0C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845820" y="1428750"/>
                            <a:ext cx="3007995" cy="2777490"/>
                          </a:xfrm>
                          <a:prstGeom prst="ellipse">
                            <a:avLst/>
                          </a:prstGeom>
                          <a:solidFill>
                            <a:srgbClr val="FFE59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Oval 16"/>
                        <wps:cNvSpPr/>
                        <wps:spPr>
                          <a:xfrm>
                            <a:off x="1336358" y="2434784"/>
                            <a:ext cx="1943100" cy="1793736"/>
                          </a:xfrm>
                          <a:prstGeom prst="ellipse">
                            <a:avLst/>
                          </a:prstGeom>
                          <a:solidFill>
                            <a:srgbClr val="ED7C5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TextBox 9"/>
                        <wps:cNvSpPr txBox="1"/>
                        <wps:spPr>
                          <a:xfrm>
                            <a:off x="1020038" y="639593"/>
                            <a:ext cx="2552700" cy="543672"/>
                          </a:xfrm>
                          <a:prstGeom prst="rect">
                            <a:avLst/>
                          </a:prstGeom>
                          <a:noFill/>
                        </wps:spPr>
                        <wps:txbx>
                          <w:txbxContent>
                            <w:p w14:paraId="7A00C1D0" w14:textId="77777777" w:rsidR="001A6758" w:rsidRPr="000368AE" w:rsidRDefault="001A6758" w:rsidP="004D5552">
                              <w:pPr>
                                <w:jc w:val="center"/>
                                <w:rPr>
                                  <w:sz w:val="16"/>
                                  <w:szCs w:val="16"/>
                                </w:rPr>
                              </w:pPr>
                              <w:r w:rsidRPr="000368AE">
                                <w:rPr>
                                  <w:rFonts w:asciiTheme="minorHAnsi" w:cstheme="minorBidi"/>
                                  <w:color w:val="000000" w:themeColor="text1"/>
                                  <w:kern w:val="24"/>
                                  <w:sz w:val="16"/>
                                  <w:szCs w:val="16"/>
                                </w:rPr>
                                <w:t xml:space="preserve">40,151 hrs of emergency attendances </w:t>
                              </w:r>
                              <w:r w:rsidRPr="000368AE">
                                <w:rPr>
                                  <w:rFonts w:asciiTheme="minorHAnsi" w:cstheme="minorBidi"/>
                                  <w:b/>
                                  <w:bCs/>
                                  <w:color w:val="000000" w:themeColor="text1"/>
                                  <w:kern w:val="24"/>
                                  <w:sz w:val="16"/>
                                  <w:szCs w:val="16"/>
                                </w:rPr>
                                <w:t>= 100%</w:t>
                              </w:r>
                            </w:p>
                          </w:txbxContent>
                        </wps:txbx>
                        <wps:bodyPr wrap="square" rtlCol="0">
                          <a:noAutofit/>
                        </wps:bodyPr>
                      </wps:wsp>
                      <wps:wsp>
                        <wps:cNvPr id="41" name="TextBox 10"/>
                        <wps:cNvSpPr txBox="1"/>
                        <wps:spPr>
                          <a:xfrm>
                            <a:off x="1020038" y="1749131"/>
                            <a:ext cx="2575560" cy="685653"/>
                          </a:xfrm>
                          <a:prstGeom prst="rect">
                            <a:avLst/>
                          </a:prstGeom>
                          <a:noFill/>
                        </wps:spPr>
                        <wps:txbx>
                          <w:txbxContent>
                            <w:p w14:paraId="60225F28" w14:textId="77777777" w:rsidR="001A6758" w:rsidRPr="000368AE" w:rsidRDefault="001A6758" w:rsidP="004D5552">
                              <w:pPr>
                                <w:jc w:val="center"/>
                                <w:rPr>
                                  <w:sz w:val="16"/>
                                  <w:szCs w:val="16"/>
                                </w:rPr>
                              </w:pPr>
                              <w:r w:rsidRPr="000368AE">
                                <w:rPr>
                                  <w:rFonts w:asciiTheme="minorHAnsi" w:cstheme="minorBidi"/>
                                  <w:color w:val="000000" w:themeColor="text1"/>
                                  <w:kern w:val="24"/>
                                  <w:sz w:val="16"/>
                                  <w:szCs w:val="16"/>
                                </w:rPr>
                                <w:t xml:space="preserve">8,826 hrs of emergency </w:t>
                              </w:r>
                            </w:p>
                            <w:p w14:paraId="21A967E3" w14:textId="77777777" w:rsidR="001A6758" w:rsidRPr="000368AE" w:rsidRDefault="001A6758" w:rsidP="004D5552">
                              <w:pPr>
                                <w:jc w:val="center"/>
                                <w:rPr>
                                  <w:sz w:val="16"/>
                                  <w:szCs w:val="16"/>
                                </w:rPr>
                              </w:pPr>
                              <w:r w:rsidRPr="000368AE">
                                <w:rPr>
                                  <w:rFonts w:asciiTheme="minorHAnsi" w:cstheme="minorBidi"/>
                                  <w:color w:val="000000" w:themeColor="text1"/>
                                  <w:kern w:val="24"/>
                                  <w:sz w:val="16"/>
                                  <w:szCs w:val="16"/>
                                </w:rPr>
                                <w:t>attendances involving false</w:t>
                              </w:r>
                            </w:p>
                            <w:p w14:paraId="7B032795" w14:textId="77777777" w:rsidR="001A6758" w:rsidRPr="000368AE" w:rsidRDefault="001A6758" w:rsidP="004D5552">
                              <w:pPr>
                                <w:jc w:val="center"/>
                                <w:rPr>
                                  <w:sz w:val="16"/>
                                  <w:szCs w:val="16"/>
                                </w:rPr>
                              </w:pPr>
                              <w:r w:rsidRPr="000368AE">
                                <w:rPr>
                                  <w:rFonts w:asciiTheme="minorHAnsi" w:cstheme="minorBidi"/>
                                  <w:color w:val="000000" w:themeColor="text1"/>
                                  <w:kern w:val="24"/>
                                  <w:sz w:val="16"/>
                                  <w:szCs w:val="16"/>
                                </w:rPr>
                                <w:t xml:space="preserve"> alarms = </w:t>
                              </w:r>
                              <w:r w:rsidRPr="000368AE">
                                <w:rPr>
                                  <w:rFonts w:asciiTheme="minorHAnsi" w:cstheme="minorBidi"/>
                                  <w:b/>
                                  <w:bCs/>
                                  <w:color w:val="000000" w:themeColor="text1"/>
                                  <w:kern w:val="24"/>
                                  <w:sz w:val="16"/>
                                  <w:szCs w:val="16"/>
                                </w:rPr>
                                <w:t>21.98%</w:t>
                              </w:r>
                            </w:p>
                          </w:txbxContent>
                        </wps:txbx>
                        <wps:bodyPr wrap="square" rtlCol="0">
                          <a:noAutofit/>
                        </wps:bodyPr>
                      </wps:wsp>
                      <wps:wsp>
                        <wps:cNvPr id="42" name="TextBox 11"/>
                        <wps:cNvSpPr txBox="1"/>
                        <wps:spPr>
                          <a:xfrm>
                            <a:off x="1451266" y="2509502"/>
                            <a:ext cx="1680210" cy="1718626"/>
                          </a:xfrm>
                          <a:prstGeom prst="rect">
                            <a:avLst/>
                          </a:prstGeom>
                          <a:noFill/>
                        </wps:spPr>
                        <wps:txbx>
                          <w:txbxContent>
                            <w:p w14:paraId="37F38E52" w14:textId="39578993" w:rsidR="001A6758" w:rsidRPr="000368AE" w:rsidRDefault="001A6758" w:rsidP="004D5552">
                              <w:pPr>
                                <w:jc w:val="center"/>
                                <w:rPr>
                                  <w:sz w:val="16"/>
                                  <w:szCs w:val="16"/>
                                </w:rPr>
                              </w:pPr>
                              <w:r w:rsidRPr="000368AE">
                                <w:rPr>
                                  <w:rFonts w:asciiTheme="minorHAnsi" w:cstheme="minorBidi"/>
                                  <w:color w:val="FFFFFF" w:themeColor="background1"/>
                                  <w:kern w:val="24"/>
                                  <w:sz w:val="16"/>
                                  <w:szCs w:val="16"/>
                                </w:rPr>
                                <w:t>4,485 hrs* of</w:t>
                              </w:r>
                              <w:r>
                                <w:rPr>
                                  <w:rFonts w:asciiTheme="minorHAnsi" w:cstheme="minorBidi"/>
                                  <w:color w:val="FFFFFF" w:themeColor="background1"/>
                                  <w:kern w:val="24"/>
                                  <w:sz w:val="16"/>
                                  <w:szCs w:val="16"/>
                                </w:rPr>
                                <w:t xml:space="preserve"> </w:t>
                              </w:r>
                              <w:proofErr w:type="gramStart"/>
                              <w:r w:rsidRPr="000368AE">
                                <w:rPr>
                                  <w:rFonts w:asciiTheme="minorHAnsi" w:cstheme="minorBidi"/>
                                  <w:color w:val="FFFFFF" w:themeColor="background1"/>
                                  <w:kern w:val="24"/>
                                  <w:sz w:val="16"/>
                                  <w:szCs w:val="16"/>
                                </w:rPr>
                                <w:t>emergency</w:t>
                              </w:r>
                              <w:proofErr w:type="gramEnd"/>
                              <w:r w:rsidRPr="000368AE">
                                <w:rPr>
                                  <w:rFonts w:asciiTheme="minorHAnsi" w:cstheme="minorBidi"/>
                                  <w:color w:val="FFFFFF" w:themeColor="background1"/>
                                  <w:kern w:val="24"/>
                                  <w:sz w:val="16"/>
                                  <w:szCs w:val="16"/>
                                </w:rPr>
                                <w:t xml:space="preserve"> </w:t>
                              </w:r>
                            </w:p>
                            <w:p w14:paraId="15A79EE2" w14:textId="77777777" w:rsidR="001A6758" w:rsidRPr="000368AE" w:rsidRDefault="001A6758" w:rsidP="004D5552">
                              <w:pPr>
                                <w:jc w:val="center"/>
                                <w:rPr>
                                  <w:sz w:val="16"/>
                                  <w:szCs w:val="16"/>
                                </w:rPr>
                              </w:pPr>
                              <w:r w:rsidRPr="000368AE">
                                <w:rPr>
                                  <w:rFonts w:asciiTheme="minorHAnsi" w:cstheme="minorBidi"/>
                                  <w:color w:val="FFFFFF" w:themeColor="background1"/>
                                  <w:kern w:val="24"/>
                                  <w:sz w:val="16"/>
                                  <w:szCs w:val="16"/>
                                </w:rPr>
                                <w:t xml:space="preserve">attendances involving false alarms where no reasonable excuse was determined = </w:t>
                              </w:r>
                              <w:r w:rsidRPr="000368AE">
                                <w:rPr>
                                  <w:rFonts w:asciiTheme="minorHAnsi" w:cstheme="minorBidi"/>
                                  <w:b/>
                                  <w:bCs/>
                                  <w:color w:val="FFFFFF" w:themeColor="background1"/>
                                  <w:kern w:val="24"/>
                                  <w:sz w:val="16"/>
                                  <w:szCs w:val="16"/>
                                </w:rPr>
                                <w:t>11.17%</w:t>
                              </w:r>
                            </w:p>
                          </w:txbxContent>
                        </wps:txbx>
                        <wps:bodyPr wrap="square" rtlCol="0">
                          <a:noAutofit/>
                        </wps:bodyPr>
                      </wps:wsp>
                    </wpg:wgp>
                  </a:graphicData>
                </a:graphic>
              </wp:inline>
            </w:drawing>
          </mc:Choice>
          <mc:Fallback>
            <w:pict>
              <v:group w14:anchorId="4F9EF110" id="_x0000_s1035" style="width:230.25pt;height:213.35pt;mso-position-horizontal-relative:char;mso-position-vertical-relative:line" coordsize="47663,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">
                <v:oval id="Oval 12" o:spid="_x0000_s1036" style="position:absolute;width:47663;height:42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" fillcolor="#fff0c3" stroked="f" strokeweight="1pt">
                  <v:stroke joinstyle="miter"/>
                </v:oval>
                <v:oval id="Oval 14" o:spid="_x0000_s1037" style="position:absolute;left:8458;top:14287;width:30080;height:27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" fillcolor="#ffe59e" stroked="f" strokeweight="1pt">
                  <v:stroke joinstyle="miter"/>
                </v:oval>
                <v:oval id="Oval 16" o:spid="_x0000_s1038" style="position:absolute;left:13363;top:24347;width:19431;height:17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" fillcolor="#ed7c5d" stroked="f" strokeweight="1pt">
                  <v:stroke joinstyle="miter"/>
                </v:oval>
                <v:shapetype id="_x0000_t202" coordsize="21600,21600" o:spt="202" path="m,l,21600r21600,l21600,xe">
                  <v:stroke joinstyle="miter"/>
                  <v:path gradientshapeok="t" o:connecttype="rect"/>
                </v:shapetype>
                <v:shape id="TextBox 9" o:spid="_x0000_s1039" type="#_x0000_t202" style="position:absolute;left:10200;top:6395;width:25527;height: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7A00C1D0" w14:textId="77777777" w:rsidR="001A6758" w:rsidRPr="000368AE" w:rsidRDefault="001A6758" w:rsidP="004D5552">
                        <w:pPr>
                          <w:jc w:val="center"/>
                          <w:rPr>
                            <w:sz w:val="16"/>
                            <w:szCs w:val="16"/>
                          </w:rPr>
                        </w:pPr>
                        <w:r w:rsidRPr="000368AE">
                          <w:rPr>
                            <w:rFonts w:asciiTheme="minorHAnsi" w:cstheme="minorBidi"/>
                            <w:color w:val="000000" w:themeColor="text1"/>
                            <w:kern w:val="24"/>
                            <w:sz w:val="16"/>
                            <w:szCs w:val="16"/>
                          </w:rPr>
                          <w:t xml:space="preserve">40,151 hrs of emergency attendances </w:t>
                        </w:r>
                        <w:r w:rsidRPr="000368AE">
                          <w:rPr>
                            <w:rFonts w:asciiTheme="minorHAnsi" w:cstheme="minorBidi"/>
                            <w:b/>
                            <w:bCs/>
                            <w:color w:val="000000" w:themeColor="text1"/>
                            <w:kern w:val="24"/>
                            <w:sz w:val="16"/>
                            <w:szCs w:val="16"/>
                          </w:rPr>
                          <w:t>= 100%</w:t>
                        </w:r>
                      </w:p>
                    </w:txbxContent>
                  </v:textbox>
                </v:shape>
                <v:shape id="TextBox 10" o:spid="_x0000_s1040" type="#_x0000_t202" style="position:absolute;left:10200;top:17491;width:25755;height:6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0225F28" w14:textId="77777777" w:rsidR="001A6758" w:rsidRPr="000368AE" w:rsidRDefault="001A6758" w:rsidP="004D5552">
                        <w:pPr>
                          <w:jc w:val="center"/>
                          <w:rPr>
                            <w:sz w:val="16"/>
                            <w:szCs w:val="16"/>
                          </w:rPr>
                        </w:pPr>
                        <w:r w:rsidRPr="000368AE">
                          <w:rPr>
                            <w:rFonts w:asciiTheme="minorHAnsi" w:cstheme="minorBidi"/>
                            <w:color w:val="000000" w:themeColor="text1"/>
                            <w:kern w:val="24"/>
                            <w:sz w:val="16"/>
                            <w:szCs w:val="16"/>
                          </w:rPr>
                          <w:t xml:space="preserve">8,826 hrs of emergency </w:t>
                        </w:r>
                      </w:p>
                      <w:p w14:paraId="21A967E3" w14:textId="77777777" w:rsidR="001A6758" w:rsidRPr="000368AE" w:rsidRDefault="001A6758" w:rsidP="004D5552">
                        <w:pPr>
                          <w:jc w:val="center"/>
                          <w:rPr>
                            <w:sz w:val="16"/>
                            <w:szCs w:val="16"/>
                          </w:rPr>
                        </w:pPr>
                        <w:r w:rsidRPr="000368AE">
                          <w:rPr>
                            <w:rFonts w:asciiTheme="minorHAnsi" w:cstheme="minorBidi"/>
                            <w:color w:val="000000" w:themeColor="text1"/>
                            <w:kern w:val="24"/>
                            <w:sz w:val="16"/>
                            <w:szCs w:val="16"/>
                          </w:rPr>
                          <w:t>attendances involving false</w:t>
                        </w:r>
                      </w:p>
                      <w:p w14:paraId="7B032795" w14:textId="77777777" w:rsidR="001A6758" w:rsidRPr="000368AE" w:rsidRDefault="001A6758" w:rsidP="004D5552">
                        <w:pPr>
                          <w:jc w:val="center"/>
                          <w:rPr>
                            <w:sz w:val="16"/>
                            <w:szCs w:val="16"/>
                          </w:rPr>
                        </w:pPr>
                        <w:r w:rsidRPr="000368AE">
                          <w:rPr>
                            <w:rFonts w:asciiTheme="minorHAnsi" w:cstheme="minorBidi"/>
                            <w:color w:val="000000" w:themeColor="text1"/>
                            <w:kern w:val="24"/>
                            <w:sz w:val="16"/>
                            <w:szCs w:val="16"/>
                          </w:rPr>
                          <w:t xml:space="preserve"> alarms = </w:t>
                        </w:r>
                        <w:r w:rsidRPr="000368AE">
                          <w:rPr>
                            <w:rFonts w:asciiTheme="minorHAnsi" w:cstheme="minorBidi"/>
                            <w:b/>
                            <w:bCs/>
                            <w:color w:val="000000" w:themeColor="text1"/>
                            <w:kern w:val="24"/>
                            <w:sz w:val="16"/>
                            <w:szCs w:val="16"/>
                          </w:rPr>
                          <w:t>21.98%</w:t>
                        </w:r>
                      </w:p>
                    </w:txbxContent>
                  </v:textbox>
                </v:shape>
                <v:shape id="TextBox 11" o:spid="_x0000_s1041" type="#_x0000_t202" style="position:absolute;left:14512;top:25095;width:16802;height:17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37F38E52" w14:textId="39578993" w:rsidR="001A6758" w:rsidRPr="000368AE" w:rsidRDefault="001A6758" w:rsidP="004D5552">
                        <w:pPr>
                          <w:jc w:val="center"/>
                          <w:rPr>
                            <w:sz w:val="16"/>
                            <w:szCs w:val="16"/>
                          </w:rPr>
                        </w:pPr>
                        <w:r w:rsidRPr="000368AE">
                          <w:rPr>
                            <w:rFonts w:asciiTheme="minorHAnsi" w:cstheme="minorBidi"/>
                            <w:color w:val="FFFFFF" w:themeColor="background1"/>
                            <w:kern w:val="24"/>
                            <w:sz w:val="16"/>
                            <w:szCs w:val="16"/>
                          </w:rPr>
                          <w:t>4,485 hrs* of</w:t>
                        </w:r>
                        <w:r>
                          <w:rPr>
                            <w:rFonts w:asciiTheme="minorHAnsi" w:cstheme="minorBidi"/>
                            <w:color w:val="FFFFFF" w:themeColor="background1"/>
                            <w:kern w:val="24"/>
                            <w:sz w:val="16"/>
                            <w:szCs w:val="16"/>
                          </w:rPr>
                          <w:t xml:space="preserve"> </w:t>
                        </w:r>
                        <w:proofErr w:type="gramStart"/>
                        <w:r w:rsidRPr="000368AE">
                          <w:rPr>
                            <w:rFonts w:asciiTheme="minorHAnsi" w:cstheme="minorBidi"/>
                            <w:color w:val="FFFFFF" w:themeColor="background1"/>
                            <w:kern w:val="24"/>
                            <w:sz w:val="16"/>
                            <w:szCs w:val="16"/>
                          </w:rPr>
                          <w:t>emergency</w:t>
                        </w:r>
                        <w:proofErr w:type="gramEnd"/>
                        <w:r w:rsidRPr="000368AE">
                          <w:rPr>
                            <w:rFonts w:asciiTheme="minorHAnsi" w:cstheme="minorBidi"/>
                            <w:color w:val="FFFFFF" w:themeColor="background1"/>
                            <w:kern w:val="24"/>
                            <w:sz w:val="16"/>
                            <w:szCs w:val="16"/>
                          </w:rPr>
                          <w:t xml:space="preserve"> </w:t>
                        </w:r>
                      </w:p>
                      <w:p w14:paraId="15A79EE2" w14:textId="77777777" w:rsidR="001A6758" w:rsidRPr="000368AE" w:rsidRDefault="001A6758" w:rsidP="004D5552">
                        <w:pPr>
                          <w:jc w:val="center"/>
                          <w:rPr>
                            <w:sz w:val="16"/>
                            <w:szCs w:val="16"/>
                          </w:rPr>
                        </w:pPr>
                        <w:r w:rsidRPr="000368AE">
                          <w:rPr>
                            <w:rFonts w:asciiTheme="minorHAnsi" w:cstheme="minorBidi"/>
                            <w:color w:val="FFFFFF" w:themeColor="background1"/>
                            <w:kern w:val="24"/>
                            <w:sz w:val="16"/>
                            <w:szCs w:val="16"/>
                          </w:rPr>
                          <w:t xml:space="preserve">attendances involving false alarms where no reasonable excuse was determined = </w:t>
                        </w:r>
                        <w:r w:rsidRPr="000368AE">
                          <w:rPr>
                            <w:rFonts w:asciiTheme="minorHAnsi" w:cstheme="minorBidi"/>
                            <w:b/>
                            <w:bCs/>
                            <w:color w:val="FFFFFF" w:themeColor="background1"/>
                            <w:kern w:val="24"/>
                            <w:sz w:val="16"/>
                            <w:szCs w:val="16"/>
                          </w:rPr>
                          <w:t>11.17%</w:t>
                        </w:r>
                      </w:p>
                    </w:txbxContent>
                  </v:textbox>
                </v:shape>
                <w10:anchorlock/>
              </v:group>
            </w:pict>
          </mc:Fallback>
        </mc:AlternateContent>
      </w:r>
    </w:p>
    <w:p w14:paraId="2BC7BD75" w14:textId="77777777" w:rsidR="004D5552" w:rsidRPr="00503F5B" w:rsidRDefault="004D5552" w:rsidP="004D5552">
      <w:pPr>
        <w:jc w:val="both"/>
      </w:pPr>
    </w:p>
    <w:p w14:paraId="28BC01D4" w14:textId="77777777" w:rsidR="004D5552" w:rsidRPr="00503F5B" w:rsidRDefault="004D5552" w:rsidP="004D5552">
      <w:pPr>
        <w:jc w:val="both"/>
      </w:pPr>
      <w:r w:rsidRPr="00503F5B">
        <w:rPr>
          <w:sz w:val="18"/>
          <w:szCs w:val="18"/>
        </w:rPr>
        <w:t>*Estimated as the product of the volume of chargeable transactions in 2018-19 (17,960)</w:t>
      </w:r>
      <w:r w:rsidRPr="00503F5B">
        <w:rPr>
          <w:rStyle w:val="FootnoteReference"/>
          <w:rFonts w:cs="Arial"/>
        </w:rPr>
        <w:footnoteReference w:id="39"/>
      </w:r>
      <w:r w:rsidRPr="00503F5B">
        <w:rPr>
          <w:sz w:val="18"/>
          <w:szCs w:val="18"/>
        </w:rPr>
        <w:t xml:space="preserve"> and average appliance hours spent for false alarms (1.284) divided by the average number of quarterly hour blocks per attendance (5.14).</w:t>
      </w:r>
    </w:p>
    <w:p w14:paraId="5E6191E8" w14:textId="60276CFC" w:rsidR="004D5552" w:rsidRPr="00503F5B" w:rsidRDefault="004D5552" w:rsidP="007245FE">
      <w:pPr>
        <w:jc w:val="both"/>
      </w:pPr>
    </w:p>
    <w:p w14:paraId="18B893C2" w14:textId="58F08DE2" w:rsidR="004D5753" w:rsidRPr="00503F5B" w:rsidRDefault="004D5753" w:rsidP="004D5753">
      <w:pPr>
        <w:jc w:val="both"/>
      </w:pPr>
      <w:r w:rsidRPr="00503F5B">
        <w:t>Chart 4 illustrates that approximately 2,149 hours per annum or 6</w:t>
      </w:r>
      <w:r w:rsidR="00391FFF" w:rsidRPr="00503F5B">
        <w:t xml:space="preserve"> per cent</w:t>
      </w:r>
      <w:r w:rsidRPr="00503F5B">
        <w:t xml:space="preserve"> of total hours spent by appliances for emergency attendances by CFA integrated stations in 2018-19</w:t>
      </w:r>
      <w:r w:rsidR="004D5552" w:rsidRPr="00503F5B">
        <w:t xml:space="preserve"> </w:t>
      </w:r>
      <w:r w:rsidRPr="00503F5B">
        <w:t>attract an incidence of fees under proposed regulation 1</w:t>
      </w:r>
      <w:r w:rsidR="001812D0">
        <w:t>7</w:t>
      </w:r>
      <w:r w:rsidRPr="00503F5B">
        <w:t>(1)(a) (i.e. for false alarms where no reasonable excuse had been determined).</w:t>
      </w:r>
    </w:p>
    <w:p w14:paraId="29F7EA5C" w14:textId="123B3949" w:rsidR="007C1AD3" w:rsidRPr="00503F5B" w:rsidRDefault="007C1AD3" w:rsidP="007245FE">
      <w:pPr>
        <w:jc w:val="both"/>
      </w:pPr>
    </w:p>
    <w:p w14:paraId="12196C45" w14:textId="77777777" w:rsidR="00FA61E5" w:rsidRPr="00503F5B" w:rsidRDefault="00FA61E5" w:rsidP="00FA61E5">
      <w:pPr>
        <w:jc w:val="both"/>
      </w:pPr>
    </w:p>
    <w:p w14:paraId="38F829D7" w14:textId="76D32814" w:rsidR="00CE1602" w:rsidRPr="00503F5B" w:rsidRDefault="00CE1602" w:rsidP="00CE1602">
      <w:pPr>
        <w:jc w:val="center"/>
        <w:rPr>
          <w:b/>
          <w:sz w:val="20"/>
          <w:szCs w:val="20"/>
        </w:rPr>
      </w:pPr>
      <w:r w:rsidRPr="00503F5B">
        <w:rPr>
          <w:b/>
          <w:sz w:val="20"/>
          <w:szCs w:val="20"/>
        </w:rPr>
        <w:t>Chart 4: Illustration of relevant hours (primary and support activities) for incidence of fees for CFA integrated stations – 2018-19</w:t>
      </w:r>
    </w:p>
    <w:p w14:paraId="1DB56E4B" w14:textId="77777777" w:rsidR="000368AE" w:rsidRPr="00503F5B" w:rsidRDefault="000368AE" w:rsidP="00CE1602">
      <w:pPr>
        <w:jc w:val="center"/>
        <w:rPr>
          <w:b/>
          <w:sz w:val="20"/>
          <w:szCs w:val="20"/>
        </w:rPr>
      </w:pPr>
    </w:p>
    <w:p w14:paraId="7A2F7095" w14:textId="3D78457B" w:rsidR="00A75329" w:rsidRPr="00503F5B" w:rsidRDefault="00CE1602" w:rsidP="000368AE">
      <w:pPr>
        <w:ind w:firstLine="1843"/>
        <w:jc w:val="both"/>
      </w:pPr>
      <w:r w:rsidRPr="00503F5B">
        <w:rPr>
          <w:noProof/>
        </w:rPr>
        <mc:AlternateContent>
          <mc:Choice Requires="wpg">
            <w:drawing>
              <wp:inline distT="0" distB="0" distL="0" distR="0" wp14:anchorId="665A6F99" wp14:editId="27AD5F0D">
                <wp:extent cx="3048000" cy="2732394"/>
                <wp:effectExtent l="0" t="0" r="0" b="0"/>
                <wp:docPr id="17" name="Group 1"/>
                <wp:cNvGraphicFramePr/>
                <a:graphic xmlns:a="http://schemas.openxmlformats.org/drawingml/2006/main">
                  <a:graphicData uri="http://schemas.microsoft.com/office/word/2010/wordprocessingGroup">
                    <wpg:wgp>
                      <wpg:cNvGrpSpPr/>
                      <wpg:grpSpPr>
                        <a:xfrm>
                          <a:off x="0" y="0"/>
                          <a:ext cx="3048000" cy="2732394"/>
                          <a:chOff x="0" y="0"/>
                          <a:chExt cx="4766310" cy="4228520"/>
                        </a:xfrm>
                      </wpg:grpSpPr>
                      <wps:wsp>
                        <wps:cNvPr id="18" name="Oval 18"/>
                        <wps:cNvSpPr/>
                        <wps:spPr>
                          <a:xfrm>
                            <a:off x="0" y="0"/>
                            <a:ext cx="4766310" cy="4206240"/>
                          </a:xfrm>
                          <a:prstGeom prst="ellipse">
                            <a:avLst/>
                          </a:prstGeom>
                          <a:solidFill>
                            <a:srgbClr val="FFF0C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Oval 19"/>
                        <wps:cNvSpPr/>
                        <wps:spPr>
                          <a:xfrm>
                            <a:off x="845820" y="1428750"/>
                            <a:ext cx="3007995" cy="2777490"/>
                          </a:xfrm>
                          <a:prstGeom prst="ellipse">
                            <a:avLst/>
                          </a:prstGeom>
                          <a:solidFill>
                            <a:srgbClr val="FFE59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Oval 20"/>
                        <wps:cNvSpPr/>
                        <wps:spPr>
                          <a:xfrm>
                            <a:off x="1336358" y="2434784"/>
                            <a:ext cx="1943100" cy="1793736"/>
                          </a:xfrm>
                          <a:prstGeom prst="ellipse">
                            <a:avLst/>
                          </a:prstGeom>
                          <a:solidFill>
                            <a:srgbClr val="ED7C5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TextBox 9"/>
                        <wps:cNvSpPr txBox="1"/>
                        <wps:spPr>
                          <a:xfrm>
                            <a:off x="1020126" y="666629"/>
                            <a:ext cx="2552700" cy="577384"/>
                          </a:xfrm>
                          <a:prstGeom prst="rect">
                            <a:avLst/>
                          </a:prstGeom>
                          <a:noFill/>
                        </wps:spPr>
                        <wps:txbx>
                          <w:txbxContent>
                            <w:p w14:paraId="404CCB97" w14:textId="3F9D1D68" w:rsidR="001A6758" w:rsidRPr="000368AE" w:rsidRDefault="001A6758" w:rsidP="00A75329">
                              <w:pPr>
                                <w:jc w:val="center"/>
                                <w:rPr>
                                  <w:sz w:val="16"/>
                                  <w:szCs w:val="16"/>
                                </w:rPr>
                              </w:pPr>
                              <w:r w:rsidRPr="000368AE">
                                <w:rPr>
                                  <w:rFonts w:asciiTheme="minorHAnsi" w:cstheme="minorBidi"/>
                                  <w:color w:val="000000" w:themeColor="text1"/>
                                  <w:kern w:val="24"/>
                                  <w:sz w:val="16"/>
                                  <w:szCs w:val="16"/>
                                </w:rPr>
                                <w:t xml:space="preserve">35,821 hrs of emergency attendances </w:t>
                              </w:r>
                              <w:r w:rsidRPr="000368AE">
                                <w:rPr>
                                  <w:rFonts w:asciiTheme="minorHAnsi" w:cstheme="minorBidi"/>
                                  <w:b/>
                                  <w:bCs/>
                                  <w:color w:val="000000" w:themeColor="text1"/>
                                  <w:kern w:val="24"/>
                                  <w:sz w:val="16"/>
                                  <w:szCs w:val="16"/>
                                </w:rPr>
                                <w:t>= 100%</w:t>
                              </w:r>
                            </w:p>
                          </w:txbxContent>
                        </wps:txbx>
                        <wps:bodyPr wrap="square" rtlCol="0">
                          <a:noAutofit/>
                        </wps:bodyPr>
                      </wps:wsp>
                      <wps:wsp>
                        <wps:cNvPr id="22" name="TextBox 10"/>
                        <wps:cNvSpPr txBox="1"/>
                        <wps:spPr>
                          <a:xfrm>
                            <a:off x="843388" y="1654668"/>
                            <a:ext cx="3007995" cy="901701"/>
                          </a:xfrm>
                          <a:prstGeom prst="rect">
                            <a:avLst/>
                          </a:prstGeom>
                          <a:noFill/>
                        </wps:spPr>
                        <wps:txbx>
                          <w:txbxContent>
                            <w:p w14:paraId="5D2B47DB" w14:textId="77777777" w:rsidR="001A6758" w:rsidRPr="000368AE" w:rsidRDefault="001A6758" w:rsidP="00A75329">
                              <w:pPr>
                                <w:jc w:val="center"/>
                                <w:rPr>
                                  <w:sz w:val="16"/>
                                  <w:szCs w:val="16"/>
                                </w:rPr>
                              </w:pPr>
                              <w:r w:rsidRPr="000368AE">
                                <w:rPr>
                                  <w:rFonts w:asciiTheme="minorHAnsi" w:cstheme="minorBidi"/>
                                  <w:color w:val="000000" w:themeColor="text1"/>
                                  <w:kern w:val="24"/>
                                  <w:sz w:val="16"/>
                                  <w:szCs w:val="16"/>
                                </w:rPr>
                                <w:t xml:space="preserve">6,467 hrs of emergency </w:t>
                              </w:r>
                            </w:p>
                            <w:p w14:paraId="607091E5" w14:textId="77777777" w:rsidR="001A6758" w:rsidRPr="000368AE" w:rsidRDefault="001A6758" w:rsidP="00A75329">
                              <w:pPr>
                                <w:jc w:val="center"/>
                                <w:rPr>
                                  <w:sz w:val="16"/>
                                  <w:szCs w:val="16"/>
                                </w:rPr>
                              </w:pPr>
                              <w:r w:rsidRPr="000368AE">
                                <w:rPr>
                                  <w:rFonts w:asciiTheme="minorHAnsi" w:cstheme="minorBidi"/>
                                  <w:color w:val="000000" w:themeColor="text1"/>
                                  <w:kern w:val="24"/>
                                  <w:sz w:val="16"/>
                                  <w:szCs w:val="16"/>
                                </w:rPr>
                                <w:t>attendances involving false</w:t>
                              </w:r>
                            </w:p>
                            <w:p w14:paraId="5999E943" w14:textId="77777777" w:rsidR="001A6758" w:rsidRPr="000368AE" w:rsidRDefault="001A6758" w:rsidP="00A75329">
                              <w:pPr>
                                <w:jc w:val="center"/>
                                <w:rPr>
                                  <w:sz w:val="16"/>
                                  <w:szCs w:val="16"/>
                                </w:rPr>
                              </w:pPr>
                              <w:r w:rsidRPr="000368AE">
                                <w:rPr>
                                  <w:rFonts w:asciiTheme="minorHAnsi" w:cstheme="minorBidi"/>
                                  <w:color w:val="000000" w:themeColor="text1"/>
                                  <w:kern w:val="24"/>
                                  <w:sz w:val="16"/>
                                  <w:szCs w:val="16"/>
                                </w:rPr>
                                <w:t xml:space="preserve"> alarms (primary and support) = </w:t>
                              </w:r>
                              <w:r w:rsidRPr="000368AE">
                                <w:rPr>
                                  <w:rFonts w:asciiTheme="minorHAnsi" w:cstheme="minorBidi"/>
                                  <w:b/>
                                  <w:bCs/>
                                  <w:color w:val="000000" w:themeColor="text1"/>
                                  <w:kern w:val="24"/>
                                  <w:sz w:val="16"/>
                                  <w:szCs w:val="16"/>
                                </w:rPr>
                                <w:t>18.05%</w:t>
                              </w:r>
                            </w:p>
                          </w:txbxContent>
                        </wps:txbx>
                        <wps:bodyPr wrap="square" rtlCol="0">
                          <a:noAutofit/>
                        </wps:bodyPr>
                      </wps:wsp>
                      <wps:wsp>
                        <wps:cNvPr id="23" name="TextBox 11"/>
                        <wps:cNvSpPr txBox="1"/>
                        <wps:spPr>
                          <a:xfrm>
                            <a:off x="1467803" y="2556341"/>
                            <a:ext cx="1680210" cy="1649899"/>
                          </a:xfrm>
                          <a:prstGeom prst="rect">
                            <a:avLst/>
                          </a:prstGeom>
                          <a:noFill/>
                        </wps:spPr>
                        <wps:txbx>
                          <w:txbxContent>
                            <w:p w14:paraId="2D583602" w14:textId="4C746EEC" w:rsidR="001A6758" w:rsidRPr="000368AE" w:rsidRDefault="001A6758" w:rsidP="00E015D7">
                              <w:pPr>
                                <w:jc w:val="center"/>
                                <w:rPr>
                                  <w:sz w:val="16"/>
                                  <w:szCs w:val="16"/>
                                </w:rPr>
                              </w:pPr>
                              <w:r>
                                <w:rPr>
                                  <w:rFonts w:asciiTheme="minorHAnsi" w:cstheme="minorBidi"/>
                                  <w:color w:val="FFFFFF" w:themeColor="background1"/>
                                  <w:kern w:val="24"/>
                                  <w:sz w:val="16"/>
                                  <w:szCs w:val="16"/>
                                </w:rPr>
                                <w:t>2,149</w:t>
                              </w:r>
                              <w:r w:rsidRPr="000368AE">
                                <w:rPr>
                                  <w:rFonts w:asciiTheme="minorHAnsi" w:cstheme="minorBidi"/>
                                  <w:color w:val="FFFFFF" w:themeColor="background1"/>
                                  <w:kern w:val="24"/>
                                  <w:sz w:val="16"/>
                                  <w:szCs w:val="16"/>
                                </w:rPr>
                                <w:t xml:space="preserve"> hrs* of emergency attendances involving false alarms where no reasonable excuse was determined = </w:t>
                              </w:r>
                              <w:r>
                                <w:rPr>
                                  <w:rFonts w:asciiTheme="minorHAnsi" w:cstheme="minorBidi"/>
                                  <w:b/>
                                  <w:bCs/>
                                  <w:color w:val="FFFFFF" w:themeColor="background1"/>
                                  <w:kern w:val="24"/>
                                  <w:sz w:val="16"/>
                                  <w:szCs w:val="16"/>
                                </w:rPr>
                                <w:t>6</w:t>
                              </w:r>
                              <w:r w:rsidRPr="000368AE">
                                <w:rPr>
                                  <w:rFonts w:asciiTheme="minorHAnsi" w:cstheme="minorBidi"/>
                                  <w:b/>
                                  <w:bCs/>
                                  <w:color w:val="FFFFFF" w:themeColor="background1"/>
                                  <w:kern w:val="24"/>
                                  <w:sz w:val="16"/>
                                  <w:szCs w:val="16"/>
                                </w:rPr>
                                <w:t>%</w:t>
                              </w:r>
                            </w:p>
                          </w:txbxContent>
                        </wps:txbx>
                        <wps:bodyPr wrap="square" rtlCol="0">
                          <a:noAutofit/>
                        </wps:bodyPr>
                      </wps:wsp>
                    </wpg:wgp>
                  </a:graphicData>
                </a:graphic>
              </wp:inline>
            </w:drawing>
          </mc:Choice>
          <mc:Fallback>
            <w:pict>
              <v:group w14:anchorId="665A6F99" id="_x0000_s1042" style="width:240pt;height:215.15pt;mso-position-horizontal-relative:char;mso-position-vertical-relative:line" coordsize="47663,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">
                <v:oval id="Oval 18" o:spid="_x0000_s1043" style="position:absolute;width:47663;height:42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" fillcolor="#fff0c3" stroked="f" strokeweight="1pt">
                  <v:stroke joinstyle="miter"/>
                </v:oval>
                <v:oval id="Oval 19" o:spid="_x0000_s1044" style="position:absolute;left:8458;top:14287;width:30080;height:27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" fillcolor="#ffe59e" stroked="f" strokeweight="1pt">
                  <v:stroke joinstyle="miter"/>
                </v:oval>
                <v:oval id="Oval 20" o:spid="_x0000_s1045" style="position:absolute;left:13363;top:24347;width:19431;height:17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" fillcolor="#ed7c5d" stroked="f" strokeweight="1pt">
                  <v:stroke joinstyle="miter"/>
                </v:oval>
                <v:shape id="TextBox 9" o:spid="_x0000_s1046" type="#_x0000_t202" style="position:absolute;left:10201;top:6666;width:25527;height:5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04CCB97" w14:textId="3F9D1D68" w:rsidR="001A6758" w:rsidRPr="000368AE" w:rsidRDefault="001A6758" w:rsidP="00A75329">
                        <w:pPr>
                          <w:jc w:val="center"/>
                          <w:rPr>
                            <w:sz w:val="16"/>
                            <w:szCs w:val="16"/>
                          </w:rPr>
                        </w:pPr>
                        <w:r w:rsidRPr="000368AE">
                          <w:rPr>
                            <w:rFonts w:asciiTheme="minorHAnsi" w:cstheme="minorBidi"/>
                            <w:color w:val="000000" w:themeColor="text1"/>
                            <w:kern w:val="24"/>
                            <w:sz w:val="16"/>
                            <w:szCs w:val="16"/>
                          </w:rPr>
                          <w:t xml:space="preserve">35,821 hrs of emergency attendances </w:t>
                        </w:r>
                        <w:r w:rsidRPr="000368AE">
                          <w:rPr>
                            <w:rFonts w:asciiTheme="minorHAnsi" w:cstheme="minorBidi"/>
                            <w:b/>
                            <w:bCs/>
                            <w:color w:val="000000" w:themeColor="text1"/>
                            <w:kern w:val="24"/>
                            <w:sz w:val="16"/>
                            <w:szCs w:val="16"/>
                          </w:rPr>
                          <w:t>= 100%</w:t>
                        </w:r>
                      </w:p>
                    </w:txbxContent>
                  </v:textbox>
                </v:shape>
                <v:shape id="TextBox 10" o:spid="_x0000_s1047" type="#_x0000_t202" style="position:absolute;left:8433;top:16546;width:30080;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D2B47DB" w14:textId="77777777" w:rsidR="001A6758" w:rsidRPr="000368AE" w:rsidRDefault="001A6758" w:rsidP="00A75329">
                        <w:pPr>
                          <w:jc w:val="center"/>
                          <w:rPr>
                            <w:sz w:val="16"/>
                            <w:szCs w:val="16"/>
                          </w:rPr>
                        </w:pPr>
                        <w:r w:rsidRPr="000368AE">
                          <w:rPr>
                            <w:rFonts w:asciiTheme="minorHAnsi" w:cstheme="minorBidi"/>
                            <w:color w:val="000000" w:themeColor="text1"/>
                            <w:kern w:val="24"/>
                            <w:sz w:val="16"/>
                            <w:szCs w:val="16"/>
                          </w:rPr>
                          <w:t xml:space="preserve">6,467 hrs of emergency </w:t>
                        </w:r>
                      </w:p>
                      <w:p w14:paraId="607091E5" w14:textId="77777777" w:rsidR="001A6758" w:rsidRPr="000368AE" w:rsidRDefault="001A6758" w:rsidP="00A75329">
                        <w:pPr>
                          <w:jc w:val="center"/>
                          <w:rPr>
                            <w:sz w:val="16"/>
                            <w:szCs w:val="16"/>
                          </w:rPr>
                        </w:pPr>
                        <w:r w:rsidRPr="000368AE">
                          <w:rPr>
                            <w:rFonts w:asciiTheme="minorHAnsi" w:cstheme="minorBidi"/>
                            <w:color w:val="000000" w:themeColor="text1"/>
                            <w:kern w:val="24"/>
                            <w:sz w:val="16"/>
                            <w:szCs w:val="16"/>
                          </w:rPr>
                          <w:t>attendances involving false</w:t>
                        </w:r>
                      </w:p>
                      <w:p w14:paraId="5999E943" w14:textId="77777777" w:rsidR="001A6758" w:rsidRPr="000368AE" w:rsidRDefault="001A6758" w:rsidP="00A75329">
                        <w:pPr>
                          <w:jc w:val="center"/>
                          <w:rPr>
                            <w:sz w:val="16"/>
                            <w:szCs w:val="16"/>
                          </w:rPr>
                        </w:pPr>
                        <w:r w:rsidRPr="000368AE">
                          <w:rPr>
                            <w:rFonts w:asciiTheme="minorHAnsi" w:cstheme="minorBidi"/>
                            <w:color w:val="000000" w:themeColor="text1"/>
                            <w:kern w:val="24"/>
                            <w:sz w:val="16"/>
                            <w:szCs w:val="16"/>
                          </w:rPr>
                          <w:t xml:space="preserve"> alarms (primary and support) = </w:t>
                        </w:r>
                        <w:r w:rsidRPr="000368AE">
                          <w:rPr>
                            <w:rFonts w:asciiTheme="minorHAnsi" w:cstheme="minorBidi"/>
                            <w:b/>
                            <w:bCs/>
                            <w:color w:val="000000" w:themeColor="text1"/>
                            <w:kern w:val="24"/>
                            <w:sz w:val="16"/>
                            <w:szCs w:val="16"/>
                          </w:rPr>
                          <w:t>18.05%</w:t>
                        </w:r>
                      </w:p>
                    </w:txbxContent>
                  </v:textbox>
                </v:shape>
                <v:shape id="TextBox 11" o:spid="_x0000_s1048" type="#_x0000_t202" style="position:absolute;left:14678;top:25563;width:16802;height:16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D583602" w14:textId="4C746EEC" w:rsidR="001A6758" w:rsidRPr="000368AE" w:rsidRDefault="001A6758" w:rsidP="00E015D7">
                        <w:pPr>
                          <w:jc w:val="center"/>
                          <w:rPr>
                            <w:sz w:val="16"/>
                            <w:szCs w:val="16"/>
                          </w:rPr>
                        </w:pPr>
                        <w:r>
                          <w:rPr>
                            <w:rFonts w:asciiTheme="minorHAnsi" w:cstheme="minorBidi"/>
                            <w:color w:val="FFFFFF" w:themeColor="background1"/>
                            <w:kern w:val="24"/>
                            <w:sz w:val="16"/>
                            <w:szCs w:val="16"/>
                          </w:rPr>
                          <w:t>2,149</w:t>
                        </w:r>
                        <w:r w:rsidRPr="000368AE">
                          <w:rPr>
                            <w:rFonts w:asciiTheme="minorHAnsi" w:cstheme="minorBidi"/>
                            <w:color w:val="FFFFFF" w:themeColor="background1"/>
                            <w:kern w:val="24"/>
                            <w:sz w:val="16"/>
                            <w:szCs w:val="16"/>
                          </w:rPr>
                          <w:t xml:space="preserve"> hrs* of emergency attendances involving false alarms where no reasonable excuse was determined = </w:t>
                        </w:r>
                        <w:r>
                          <w:rPr>
                            <w:rFonts w:asciiTheme="minorHAnsi" w:cstheme="minorBidi"/>
                            <w:b/>
                            <w:bCs/>
                            <w:color w:val="FFFFFF" w:themeColor="background1"/>
                            <w:kern w:val="24"/>
                            <w:sz w:val="16"/>
                            <w:szCs w:val="16"/>
                          </w:rPr>
                          <w:t>6</w:t>
                        </w:r>
                        <w:r w:rsidRPr="000368AE">
                          <w:rPr>
                            <w:rFonts w:asciiTheme="minorHAnsi" w:cstheme="minorBidi"/>
                            <w:b/>
                            <w:bCs/>
                            <w:color w:val="FFFFFF" w:themeColor="background1"/>
                            <w:kern w:val="24"/>
                            <w:sz w:val="16"/>
                            <w:szCs w:val="16"/>
                          </w:rPr>
                          <w:t>%</w:t>
                        </w:r>
                      </w:p>
                    </w:txbxContent>
                  </v:textbox>
                </v:shape>
                <w10:anchorlock/>
              </v:group>
            </w:pict>
          </mc:Fallback>
        </mc:AlternateContent>
      </w:r>
    </w:p>
    <w:p w14:paraId="7DD54238" w14:textId="77777777" w:rsidR="00CE1602" w:rsidRPr="00503F5B" w:rsidRDefault="00CE1602" w:rsidP="00CE1602">
      <w:pPr>
        <w:jc w:val="both"/>
        <w:rPr>
          <w:sz w:val="18"/>
          <w:szCs w:val="18"/>
        </w:rPr>
      </w:pPr>
    </w:p>
    <w:p w14:paraId="73BA0B08" w14:textId="73C4FC89" w:rsidR="00CE1602" w:rsidRPr="00503F5B" w:rsidRDefault="00CE1602" w:rsidP="00CE1602">
      <w:pPr>
        <w:jc w:val="both"/>
      </w:pPr>
      <w:r w:rsidRPr="00503F5B">
        <w:rPr>
          <w:sz w:val="18"/>
          <w:szCs w:val="18"/>
        </w:rPr>
        <w:t>*</w:t>
      </w:r>
      <w:r w:rsidR="00260751" w:rsidRPr="00503F5B">
        <w:rPr>
          <w:sz w:val="18"/>
          <w:szCs w:val="18"/>
        </w:rPr>
        <w:t>Estimate provided by CFA</w:t>
      </w:r>
      <w:r w:rsidRPr="00503F5B">
        <w:rPr>
          <w:sz w:val="18"/>
          <w:szCs w:val="18"/>
        </w:rPr>
        <w:t>.</w:t>
      </w:r>
    </w:p>
    <w:p w14:paraId="2E9E25FA" w14:textId="77777777" w:rsidR="003F215B" w:rsidRPr="00503F5B" w:rsidRDefault="003F215B" w:rsidP="007245FE">
      <w:pPr>
        <w:jc w:val="both"/>
      </w:pPr>
    </w:p>
    <w:p w14:paraId="2B8681A8" w14:textId="50412CAC" w:rsidR="007245FE" w:rsidRPr="00503F5B" w:rsidRDefault="007245FE" w:rsidP="007245FE">
      <w:pPr>
        <w:jc w:val="both"/>
      </w:pPr>
      <w:r w:rsidRPr="00503F5B">
        <w:t>The level of analysis in this RIS is commensurate with the level of expected impact</w:t>
      </w:r>
      <w:r w:rsidR="00453CB4" w:rsidRPr="00503F5B">
        <w:t>.  G</w:t>
      </w:r>
      <w:r w:rsidRPr="00503F5B">
        <w:t>reater rigor is provided with proposed emergency attendance fees</w:t>
      </w:r>
      <w:r w:rsidR="00260751" w:rsidRPr="00503F5B">
        <w:t xml:space="preserve"> for false alarms</w:t>
      </w:r>
      <w:r w:rsidRPr="00503F5B">
        <w:t xml:space="preserve"> where the annual fee impact on the community is approximately $</w:t>
      </w:r>
      <w:r w:rsidR="007C1AD3" w:rsidRPr="00503F5B">
        <w:t>10</w:t>
      </w:r>
      <w:r w:rsidRPr="00503F5B">
        <w:t>.</w:t>
      </w:r>
      <w:r w:rsidR="007C1AD3" w:rsidRPr="00503F5B">
        <w:t>14</w:t>
      </w:r>
      <w:r w:rsidRPr="00503F5B">
        <w:t xml:space="preserve"> million</w:t>
      </w:r>
      <w:r w:rsidR="00A02D43" w:rsidRPr="00503F5B">
        <w:rPr>
          <w:rStyle w:val="FootnoteReference"/>
        </w:rPr>
        <w:footnoteReference w:id="40"/>
      </w:r>
      <w:r w:rsidR="007C1AD3" w:rsidRPr="00503F5B">
        <w:t xml:space="preserve"> and </w:t>
      </w:r>
      <w:r w:rsidR="0044165D" w:rsidRPr="00503F5B">
        <w:t>$2.46 million</w:t>
      </w:r>
      <w:r w:rsidR="00A02D43" w:rsidRPr="00503F5B">
        <w:rPr>
          <w:rStyle w:val="FootnoteReference"/>
        </w:rPr>
        <w:footnoteReference w:id="41"/>
      </w:r>
      <w:r w:rsidR="0044165D" w:rsidRPr="00503F5B">
        <w:t xml:space="preserve"> </w:t>
      </w:r>
      <w:r w:rsidRPr="00503F5B">
        <w:t>in 201</w:t>
      </w:r>
      <w:r w:rsidR="007C1AD3" w:rsidRPr="00503F5B">
        <w:t>8</w:t>
      </w:r>
      <w:r w:rsidRPr="00503F5B">
        <w:t>-1</w:t>
      </w:r>
      <w:r w:rsidR="007C1AD3" w:rsidRPr="00503F5B">
        <w:t>9</w:t>
      </w:r>
      <w:r w:rsidR="0044165D" w:rsidRPr="00503F5B">
        <w:t xml:space="preserve"> as levied by MFB and CFA integrated stations, respectively</w:t>
      </w:r>
      <w:r w:rsidR="007C1AD3" w:rsidRPr="00503F5B">
        <w:t xml:space="preserve">. </w:t>
      </w:r>
      <w:r w:rsidRPr="00503F5B">
        <w:t xml:space="preserve"> The proposed Regulations are therefore, expected to have gross cost impacts of greater than $</w:t>
      </w:r>
      <w:r w:rsidR="0044165D" w:rsidRPr="00503F5B">
        <w:t>12</w:t>
      </w:r>
      <w:r w:rsidRPr="00503F5B">
        <w:t>.</w:t>
      </w:r>
      <w:r w:rsidR="0044165D" w:rsidRPr="00503F5B">
        <w:t>6</w:t>
      </w:r>
      <w:r w:rsidRPr="00503F5B">
        <w:t xml:space="preserve"> million per annum across Victoria, affecting building owners, occupiers and owners corporations in the case of alarm systems resulting in attendance due to a false alarm where </w:t>
      </w:r>
      <w:r w:rsidR="0044165D" w:rsidRPr="00503F5B">
        <w:t>FRV</w:t>
      </w:r>
      <w:r w:rsidRPr="00503F5B">
        <w:t xml:space="preserve"> has determined that there is no ‘reasonable excuse’ (i.e. for around 1</w:t>
      </w:r>
      <w:r w:rsidR="007C1AD3" w:rsidRPr="00503F5B">
        <w:t>1</w:t>
      </w:r>
      <w:r w:rsidRPr="00503F5B">
        <w:t>.</w:t>
      </w:r>
      <w:r w:rsidR="007C1AD3" w:rsidRPr="00503F5B">
        <w:t>17</w:t>
      </w:r>
      <w:r w:rsidR="00391FFF" w:rsidRPr="00503F5B">
        <w:t xml:space="preserve"> per cent</w:t>
      </w:r>
      <w:r w:rsidR="00CE1602" w:rsidRPr="00503F5B">
        <w:t xml:space="preserve"> and </w:t>
      </w:r>
      <w:r w:rsidR="00BB1B7F" w:rsidRPr="00503F5B">
        <w:t>6</w:t>
      </w:r>
      <w:r w:rsidR="00391FFF" w:rsidRPr="00503F5B">
        <w:t xml:space="preserve"> per cent</w:t>
      </w:r>
      <w:r w:rsidRPr="00503F5B">
        <w:t xml:space="preserve"> of time spent by appliances for emergency attendance</w:t>
      </w:r>
      <w:r w:rsidR="0044165D" w:rsidRPr="00503F5B">
        <w:t xml:space="preserve"> by MFB</w:t>
      </w:r>
      <w:r w:rsidR="00CE1602" w:rsidRPr="00503F5B">
        <w:t xml:space="preserve"> and CFA integrated stations, respectively</w:t>
      </w:r>
      <w:r w:rsidRPr="00503F5B">
        <w:t>, as shown in Chart</w:t>
      </w:r>
      <w:r w:rsidR="00CE1602" w:rsidRPr="00503F5B">
        <w:t>s</w:t>
      </w:r>
      <w:r w:rsidRPr="00503F5B">
        <w:t xml:space="preserve"> 3</w:t>
      </w:r>
      <w:r w:rsidR="00CE1602" w:rsidRPr="00503F5B">
        <w:t xml:space="preserve"> and 4</w:t>
      </w:r>
      <w:r w:rsidRPr="00503F5B">
        <w:t>).</w:t>
      </w:r>
    </w:p>
    <w:p w14:paraId="2A361DCF" w14:textId="080DC1E0" w:rsidR="00282DD8" w:rsidRPr="00503F5B" w:rsidRDefault="00282DD8" w:rsidP="001D51D6">
      <w:pPr>
        <w:jc w:val="both"/>
      </w:pPr>
    </w:p>
    <w:p w14:paraId="5F33F5D4" w14:textId="48AFC2BD" w:rsidR="00032075" w:rsidRPr="00503F5B" w:rsidRDefault="00032075" w:rsidP="00032075">
      <w:pPr>
        <w:pStyle w:val="Heading3"/>
      </w:pPr>
      <w:bookmarkStart w:id="67" w:name="_Toc457772524"/>
      <w:bookmarkStart w:id="68" w:name="_Toc35804126"/>
      <w:bookmarkStart w:id="69" w:name="_Toc35804620"/>
      <w:bookmarkStart w:id="70" w:name="_Toc35812664"/>
      <w:r w:rsidRPr="00503F5B">
        <w:t>1.</w:t>
      </w:r>
      <w:r w:rsidR="00BB1B7F" w:rsidRPr="00503F5B">
        <w:t>5</w:t>
      </w:r>
      <w:r w:rsidRPr="00503F5B">
        <w:t>.2 Other non-fee and fee regulations not subject to detailed RIS analysis</w:t>
      </w:r>
      <w:bookmarkEnd w:id="67"/>
      <w:bookmarkEnd w:id="68"/>
      <w:bookmarkEnd w:id="69"/>
      <w:bookmarkEnd w:id="70"/>
    </w:p>
    <w:p w14:paraId="2F19EBF3" w14:textId="3F37FE58" w:rsidR="007245FE" w:rsidRPr="00503F5B" w:rsidRDefault="007245FE" w:rsidP="001D51D6">
      <w:pPr>
        <w:jc w:val="both"/>
      </w:pPr>
    </w:p>
    <w:p w14:paraId="4C5C8AE8" w14:textId="068D08A1" w:rsidR="00032075" w:rsidRPr="00503F5B" w:rsidRDefault="00AC4EC0" w:rsidP="00AC4EC0">
      <w:pPr>
        <w:pStyle w:val="Heading4"/>
      </w:pPr>
      <w:r w:rsidRPr="00503F5B">
        <w:t>1.</w:t>
      </w:r>
      <w:r w:rsidR="00BB1B7F" w:rsidRPr="00503F5B">
        <w:t>5</w:t>
      </w:r>
      <w:r w:rsidRPr="00503F5B">
        <w:t xml:space="preserve">.2.1 </w:t>
      </w:r>
      <w:r w:rsidR="00032075" w:rsidRPr="00503F5B">
        <w:t>Other non-fee regulations not subject to detailed RIS analysis</w:t>
      </w:r>
    </w:p>
    <w:p w14:paraId="1549BA47" w14:textId="77777777" w:rsidR="00032075" w:rsidRPr="00503F5B" w:rsidRDefault="00032075" w:rsidP="00032075"/>
    <w:p w14:paraId="53E49CA5" w14:textId="64C0EFA8" w:rsidR="007245FE" w:rsidRPr="00503F5B" w:rsidRDefault="00032075" w:rsidP="001D51D6">
      <w:pPr>
        <w:jc w:val="both"/>
      </w:pPr>
      <w:r w:rsidRPr="00503F5B">
        <w:t xml:space="preserve">The remaining provisions of the proposed regulations </w:t>
      </w:r>
      <w:r w:rsidR="004D5552" w:rsidRPr="00503F5B">
        <w:t>are</w:t>
      </w:r>
      <w:r w:rsidRPr="00503F5B">
        <w:t xml:space="preserve"> outlined in Table 8</w:t>
      </w:r>
      <w:r w:rsidR="004D5552" w:rsidRPr="00503F5B">
        <w:t xml:space="preserve">.  The </w:t>
      </w:r>
      <w:r w:rsidRPr="00503F5B">
        <w:t>definitions, insignia, long service leave, conditions of employment, the Commission, fire prevention notices and alarm monitoring information</w:t>
      </w:r>
      <w:r w:rsidR="004D5552" w:rsidRPr="00503F5B">
        <w:t xml:space="preserve">, </w:t>
      </w:r>
      <w:r w:rsidRPr="00503F5B">
        <w:t xml:space="preserve">are not deemed to have a material impact or burden (see Appendix 4 for details).  The total incremental annual cost of the non-fee regulations is estimated to be approximately </w:t>
      </w:r>
      <w:r w:rsidRPr="00503F5B">
        <w:rPr>
          <w:b/>
        </w:rPr>
        <w:t>$</w:t>
      </w:r>
      <w:r w:rsidR="00E015D7" w:rsidRPr="00503F5B">
        <w:rPr>
          <w:b/>
        </w:rPr>
        <w:t>154</w:t>
      </w:r>
      <w:r w:rsidRPr="00503F5B">
        <w:rPr>
          <w:b/>
        </w:rPr>
        <w:t>,</w:t>
      </w:r>
      <w:r w:rsidR="00E015D7" w:rsidRPr="00503F5B">
        <w:rPr>
          <w:b/>
        </w:rPr>
        <w:t>742</w:t>
      </w:r>
      <w:r w:rsidRPr="00503F5B">
        <w:rPr>
          <w:b/>
        </w:rPr>
        <w:t xml:space="preserve"> per annum</w:t>
      </w:r>
      <w:r w:rsidRPr="00503F5B">
        <w:t xml:space="preserve">.  The incremental present value cost of the non-fee regulations, as compared to the base case, is estimated to be </w:t>
      </w:r>
      <w:r w:rsidRPr="00503F5B">
        <w:rPr>
          <w:b/>
          <w:i/>
        </w:rPr>
        <w:t>$</w:t>
      </w:r>
      <w:r w:rsidR="00E015D7" w:rsidRPr="00503F5B">
        <w:rPr>
          <w:b/>
          <w:i/>
        </w:rPr>
        <w:t xml:space="preserve">1,409,842 </w:t>
      </w:r>
      <w:r w:rsidRPr="00503F5B">
        <w:rPr>
          <w:b/>
          <w:i/>
        </w:rPr>
        <w:t>over 10 years</w:t>
      </w:r>
      <w:r w:rsidRPr="00503F5B">
        <w:t xml:space="preserve">.  Therefore, in keeping with a proportionate approach to analysis, the effects of these regulations being remade are not analysed in detail.  </w:t>
      </w:r>
    </w:p>
    <w:p w14:paraId="194FDF29" w14:textId="77777777" w:rsidR="007245FE" w:rsidRPr="00503F5B" w:rsidRDefault="007245FE" w:rsidP="001D51D6">
      <w:pPr>
        <w:jc w:val="both"/>
      </w:pPr>
    </w:p>
    <w:p w14:paraId="3E46524D" w14:textId="0C26D543" w:rsidR="00453CB4" w:rsidRPr="00503F5B" w:rsidRDefault="00AC4EC0" w:rsidP="00AC4EC0">
      <w:pPr>
        <w:pStyle w:val="Heading4"/>
      </w:pPr>
      <w:r w:rsidRPr="00503F5B">
        <w:t>1.</w:t>
      </w:r>
      <w:r w:rsidR="00BB1B7F" w:rsidRPr="00503F5B">
        <w:t>5</w:t>
      </w:r>
      <w:r w:rsidRPr="00503F5B">
        <w:t xml:space="preserve">.2.2 </w:t>
      </w:r>
      <w:r w:rsidR="00453CB4" w:rsidRPr="00503F5B">
        <w:t xml:space="preserve">Other fee regulations </w:t>
      </w:r>
      <w:r w:rsidR="00543CAF" w:rsidRPr="00503F5B">
        <w:t>1</w:t>
      </w:r>
      <w:r w:rsidR="00EC4EB3" w:rsidRPr="00503F5B">
        <w:t>8</w:t>
      </w:r>
      <w:r w:rsidR="00543CAF" w:rsidRPr="00503F5B">
        <w:t xml:space="preserve">, </w:t>
      </w:r>
      <w:r w:rsidR="00EC4EB3" w:rsidRPr="00503F5B">
        <w:t>19</w:t>
      </w:r>
      <w:r w:rsidR="00543CAF" w:rsidRPr="00503F5B">
        <w:t>, 2</w:t>
      </w:r>
      <w:r w:rsidR="00EC4EB3" w:rsidRPr="00503F5B">
        <w:t>0</w:t>
      </w:r>
      <w:r w:rsidR="00543CAF" w:rsidRPr="00503F5B">
        <w:t>, and 2</w:t>
      </w:r>
      <w:r w:rsidR="00EC4EB3" w:rsidRPr="00503F5B">
        <w:t>1</w:t>
      </w:r>
      <w:r w:rsidR="00543CAF" w:rsidRPr="00503F5B">
        <w:t xml:space="preserve"> </w:t>
      </w:r>
      <w:r w:rsidR="00453CB4" w:rsidRPr="00503F5B">
        <w:t>not subject to detailed RIS analysis</w:t>
      </w:r>
    </w:p>
    <w:p w14:paraId="2AD0336F" w14:textId="77777777" w:rsidR="00453CB4" w:rsidRPr="00503F5B" w:rsidRDefault="00453CB4" w:rsidP="00453CB4">
      <w:pPr>
        <w:jc w:val="both"/>
      </w:pPr>
    </w:p>
    <w:p w14:paraId="0AB4A814" w14:textId="7285F1BE" w:rsidR="00543CAF" w:rsidRPr="00503F5B" w:rsidRDefault="00543CAF" w:rsidP="00543CAF">
      <w:pPr>
        <w:pStyle w:val="Heading5"/>
      </w:pPr>
      <w:bookmarkStart w:id="71" w:name="_Hlk39040841"/>
      <w:r w:rsidRPr="00503F5B">
        <w:t>Proposed regulation 1</w:t>
      </w:r>
      <w:r w:rsidR="00EC4EB3" w:rsidRPr="00503F5B">
        <w:t>8</w:t>
      </w:r>
      <w:r w:rsidRPr="00503F5B">
        <w:t xml:space="preserve"> – to be set administratively by FRV</w:t>
      </w:r>
    </w:p>
    <w:p w14:paraId="1AF02B2A" w14:textId="77777777" w:rsidR="00543CAF" w:rsidRPr="00503F5B" w:rsidRDefault="00543CAF" w:rsidP="00453CB4">
      <w:pPr>
        <w:jc w:val="both"/>
      </w:pPr>
    </w:p>
    <w:p w14:paraId="1051EC8A" w14:textId="2B1A552C" w:rsidR="00453CB4" w:rsidRPr="00503F5B" w:rsidRDefault="00453CB4" w:rsidP="00453CB4">
      <w:pPr>
        <w:jc w:val="both"/>
        <w:rPr>
          <w:rFonts w:ascii="P%[ˇ" w:hAnsi="P%[ˇ" w:cs="P%[ˇ"/>
        </w:rPr>
      </w:pPr>
      <w:r w:rsidRPr="00503F5B">
        <w:t xml:space="preserve">Fees and charges for additional costs of hazardous materials and toxic fire incidents under </w:t>
      </w:r>
      <w:r w:rsidR="00260751" w:rsidRPr="00503F5B">
        <w:t xml:space="preserve">proposed </w:t>
      </w:r>
      <w:r w:rsidRPr="00503F5B">
        <w:t>regulation 1</w:t>
      </w:r>
      <w:r w:rsidR="00EC4EB3" w:rsidRPr="00503F5B">
        <w:t>8</w:t>
      </w:r>
      <w:r w:rsidRPr="00503F5B">
        <w:t xml:space="preserve"> (where a</w:t>
      </w:r>
      <w:r w:rsidR="004D5552" w:rsidRPr="00503F5B">
        <w:t xml:space="preserve"> property</w:t>
      </w:r>
      <w:r w:rsidRPr="00503F5B">
        <w:t xml:space="preserve"> owner</w:t>
      </w:r>
      <w:r w:rsidR="004D5552" w:rsidRPr="00503F5B">
        <w:t xml:space="preserve"> or occupier, or vehicle owner or driver are liable to pay fees and charges </w:t>
      </w:r>
      <w:r w:rsidRPr="00503F5B">
        <w:t xml:space="preserve">under </w:t>
      </w:r>
      <w:r w:rsidR="00260751" w:rsidRPr="00503F5B">
        <w:t xml:space="preserve">proposed </w:t>
      </w:r>
      <w:r w:rsidRPr="00503F5B">
        <w:t>regulation 1</w:t>
      </w:r>
      <w:r w:rsidR="00EC4EB3" w:rsidRPr="00503F5B">
        <w:t>7</w:t>
      </w:r>
      <w:r w:rsidR="00260751" w:rsidRPr="00503F5B">
        <w:t>(1)</w:t>
      </w:r>
      <w:r w:rsidRPr="00503F5B">
        <w:t>(</w:t>
      </w:r>
      <w:r w:rsidR="004D5552" w:rsidRPr="00503F5B">
        <w:t>d</w:t>
      </w:r>
      <w:r w:rsidRPr="00503F5B">
        <w:t>)</w:t>
      </w:r>
      <w:r w:rsidRPr="00503F5B">
        <w:rPr>
          <w:rStyle w:val="FootnoteReference"/>
        </w:rPr>
        <w:footnoteReference w:id="42"/>
      </w:r>
      <w:r w:rsidR="004D5552" w:rsidRPr="00503F5B">
        <w:t>)</w:t>
      </w:r>
      <w:r w:rsidRPr="00503F5B">
        <w:t xml:space="preserve">, are not analysed in detail as the following costs are </w:t>
      </w:r>
      <w:r w:rsidRPr="00503F5B">
        <w:rPr>
          <w:i/>
        </w:rPr>
        <w:t>highly variable</w:t>
      </w:r>
      <w:r w:rsidRPr="00503F5B">
        <w:t xml:space="preserve"> and </w:t>
      </w:r>
      <w:r w:rsidRPr="00503F5B">
        <w:rPr>
          <w:i/>
        </w:rPr>
        <w:t>cannot be determined in advance</w:t>
      </w:r>
      <w:r w:rsidR="00D366E8" w:rsidRPr="00503F5B">
        <w:rPr>
          <w:i/>
        </w:rPr>
        <w:t xml:space="preserve"> </w:t>
      </w:r>
      <w:r w:rsidR="00D366E8" w:rsidRPr="00503F5B">
        <w:rPr>
          <w:iCs/>
        </w:rPr>
        <w:t>including</w:t>
      </w:r>
      <w:r w:rsidRPr="00503F5B">
        <w:t xml:space="preserve">: </w:t>
      </w:r>
    </w:p>
    <w:p w14:paraId="31EC1AFD" w14:textId="77777777" w:rsidR="00453CB4" w:rsidRPr="00503F5B" w:rsidRDefault="00453CB4" w:rsidP="00453CB4">
      <w:pPr>
        <w:jc w:val="both"/>
      </w:pPr>
    </w:p>
    <w:p w14:paraId="76713F19" w14:textId="7D9C7832" w:rsidR="00D366E8" w:rsidRPr="00503F5B" w:rsidRDefault="00D366E8" w:rsidP="00101EC8">
      <w:pPr>
        <w:pStyle w:val="DraftHeading3"/>
        <w:numPr>
          <w:ilvl w:val="0"/>
          <w:numId w:val="32"/>
        </w:numPr>
        <w:tabs>
          <w:tab w:val="right" w:pos="1757"/>
        </w:tabs>
        <w:rPr>
          <w:rFonts w:asciiTheme="minorHAnsi" w:hAnsiTheme="minorHAnsi" w:cstheme="minorHAnsi"/>
          <w:sz w:val="22"/>
          <w:szCs w:val="22"/>
        </w:rPr>
      </w:pPr>
      <w:r w:rsidRPr="00503F5B">
        <w:rPr>
          <w:rFonts w:asciiTheme="minorHAnsi" w:hAnsiTheme="minorHAnsi" w:cstheme="minorHAnsi"/>
          <w:sz w:val="22"/>
          <w:szCs w:val="22"/>
        </w:rPr>
        <w:t>the cost of obtaining advice as to the chemical analysis and environmental impact of materials involved in the incident or its containment;</w:t>
      </w:r>
    </w:p>
    <w:p w14:paraId="718E9578" w14:textId="4F158C4A" w:rsidR="00D366E8" w:rsidRPr="00503F5B" w:rsidRDefault="00D366E8" w:rsidP="00101EC8">
      <w:pPr>
        <w:pStyle w:val="DraftHeading3"/>
        <w:numPr>
          <w:ilvl w:val="0"/>
          <w:numId w:val="32"/>
        </w:numPr>
        <w:tabs>
          <w:tab w:val="right" w:pos="1757"/>
        </w:tabs>
        <w:rPr>
          <w:rFonts w:asciiTheme="minorHAnsi" w:hAnsiTheme="minorHAnsi" w:cstheme="minorHAnsi"/>
          <w:sz w:val="22"/>
          <w:szCs w:val="22"/>
        </w:rPr>
      </w:pPr>
      <w:r w:rsidRPr="00503F5B">
        <w:rPr>
          <w:rFonts w:asciiTheme="minorHAnsi" w:hAnsiTheme="minorHAnsi" w:cstheme="minorHAnsi"/>
          <w:sz w:val="22"/>
          <w:szCs w:val="22"/>
        </w:rPr>
        <w:t>the cost of testing, cleaning, maintaining, repairing or replacing equipment and protective equipment, including personal protective equipment;</w:t>
      </w:r>
    </w:p>
    <w:p w14:paraId="0609124F" w14:textId="730CBA89" w:rsidR="00D366E8" w:rsidRPr="00503F5B" w:rsidRDefault="00D366E8" w:rsidP="00101EC8">
      <w:pPr>
        <w:pStyle w:val="DraftHeading3"/>
        <w:numPr>
          <w:ilvl w:val="0"/>
          <w:numId w:val="32"/>
        </w:numPr>
        <w:tabs>
          <w:tab w:val="right" w:pos="1757"/>
        </w:tabs>
        <w:rPr>
          <w:rFonts w:asciiTheme="minorHAnsi" w:hAnsiTheme="minorHAnsi" w:cstheme="minorHAnsi"/>
          <w:sz w:val="22"/>
          <w:szCs w:val="22"/>
        </w:rPr>
      </w:pPr>
      <w:r w:rsidRPr="00503F5B">
        <w:rPr>
          <w:rFonts w:asciiTheme="minorHAnsi" w:hAnsiTheme="minorHAnsi" w:cstheme="minorHAnsi"/>
          <w:sz w:val="22"/>
          <w:szCs w:val="22"/>
        </w:rPr>
        <w:t>the cost of products purchased for, or consumed in, neutralising the hazard involved in the incident;</w:t>
      </w:r>
    </w:p>
    <w:p w14:paraId="251021F7" w14:textId="6CCC2477" w:rsidR="00D366E8" w:rsidRPr="00503F5B" w:rsidRDefault="00D366E8" w:rsidP="00101EC8">
      <w:pPr>
        <w:pStyle w:val="DraftHeading3"/>
        <w:numPr>
          <w:ilvl w:val="0"/>
          <w:numId w:val="32"/>
        </w:numPr>
        <w:tabs>
          <w:tab w:val="right" w:pos="1757"/>
        </w:tabs>
        <w:rPr>
          <w:rFonts w:asciiTheme="minorHAnsi" w:hAnsiTheme="minorHAnsi" w:cstheme="minorHAnsi"/>
          <w:sz w:val="22"/>
          <w:szCs w:val="22"/>
        </w:rPr>
      </w:pPr>
      <w:r w:rsidRPr="00503F5B">
        <w:rPr>
          <w:rFonts w:asciiTheme="minorHAnsi" w:hAnsiTheme="minorHAnsi" w:cstheme="minorHAnsi"/>
          <w:sz w:val="22"/>
          <w:szCs w:val="22"/>
        </w:rPr>
        <w:t>the cost of hiring equipment and vehicles to deal with the hazard involved in the incident;</w:t>
      </w:r>
    </w:p>
    <w:p w14:paraId="76F3BC38" w14:textId="6E9FE084" w:rsidR="00D366E8" w:rsidRPr="00503F5B" w:rsidRDefault="00D366E8" w:rsidP="00101EC8">
      <w:pPr>
        <w:pStyle w:val="DraftHeading3"/>
        <w:numPr>
          <w:ilvl w:val="0"/>
          <w:numId w:val="32"/>
        </w:numPr>
        <w:tabs>
          <w:tab w:val="right" w:pos="1985"/>
        </w:tabs>
        <w:rPr>
          <w:rFonts w:asciiTheme="minorHAnsi" w:hAnsiTheme="minorHAnsi" w:cstheme="minorHAnsi"/>
          <w:sz w:val="22"/>
          <w:szCs w:val="22"/>
        </w:rPr>
      </w:pPr>
      <w:r w:rsidRPr="00503F5B">
        <w:rPr>
          <w:rFonts w:asciiTheme="minorHAnsi" w:hAnsiTheme="minorHAnsi" w:cstheme="minorHAnsi"/>
          <w:sz w:val="22"/>
          <w:szCs w:val="22"/>
        </w:rPr>
        <w:lastRenderedPageBreak/>
        <w:t>the cost of removal and disposal of materials;</w:t>
      </w:r>
    </w:p>
    <w:p w14:paraId="7F88B916" w14:textId="06750864" w:rsidR="00D366E8" w:rsidRPr="00503F5B" w:rsidRDefault="00D366E8" w:rsidP="00101EC8">
      <w:pPr>
        <w:pStyle w:val="DraftHeading3"/>
        <w:numPr>
          <w:ilvl w:val="0"/>
          <w:numId w:val="32"/>
        </w:numPr>
        <w:tabs>
          <w:tab w:val="right" w:pos="1985"/>
        </w:tabs>
        <w:rPr>
          <w:rFonts w:asciiTheme="minorHAnsi" w:hAnsiTheme="minorHAnsi" w:cstheme="minorHAnsi"/>
          <w:sz w:val="22"/>
          <w:szCs w:val="22"/>
        </w:rPr>
      </w:pPr>
      <w:r w:rsidRPr="00503F5B">
        <w:rPr>
          <w:rFonts w:asciiTheme="minorHAnsi" w:hAnsiTheme="minorHAnsi" w:cstheme="minorHAnsi"/>
          <w:sz w:val="22"/>
          <w:szCs w:val="22"/>
        </w:rPr>
        <w:t>the cost of medical and like expenses in testing and treating any persons injured, or at risk of injury, in attending the incident in accordance with the Act or regulations;</w:t>
      </w:r>
    </w:p>
    <w:p w14:paraId="3B316DDD" w14:textId="52CF8F1D" w:rsidR="00D366E8" w:rsidRPr="00503F5B" w:rsidRDefault="00D366E8" w:rsidP="00101EC8">
      <w:pPr>
        <w:pStyle w:val="DraftHeading3"/>
        <w:numPr>
          <w:ilvl w:val="0"/>
          <w:numId w:val="32"/>
        </w:numPr>
        <w:tabs>
          <w:tab w:val="right" w:pos="1985"/>
        </w:tabs>
        <w:rPr>
          <w:rFonts w:asciiTheme="minorHAnsi" w:hAnsiTheme="minorHAnsi" w:cstheme="minorHAnsi"/>
          <w:sz w:val="22"/>
          <w:szCs w:val="22"/>
        </w:rPr>
      </w:pPr>
      <w:r w:rsidRPr="00503F5B">
        <w:rPr>
          <w:rFonts w:asciiTheme="minorHAnsi" w:hAnsiTheme="minorHAnsi" w:cstheme="minorHAnsi"/>
          <w:sz w:val="22"/>
          <w:szCs w:val="22"/>
        </w:rPr>
        <w:t>the cost of transporting any persons to deal with the hazard involved in the incident;</w:t>
      </w:r>
    </w:p>
    <w:p w14:paraId="72508E46" w14:textId="7FB21A82" w:rsidR="00D366E8" w:rsidRPr="00503F5B" w:rsidRDefault="00D366E8" w:rsidP="00101EC8">
      <w:pPr>
        <w:pStyle w:val="DraftHeading3"/>
        <w:numPr>
          <w:ilvl w:val="0"/>
          <w:numId w:val="32"/>
        </w:numPr>
        <w:tabs>
          <w:tab w:val="right" w:pos="1985"/>
        </w:tabs>
        <w:rPr>
          <w:rFonts w:asciiTheme="minorHAnsi" w:hAnsiTheme="minorHAnsi" w:cstheme="minorHAnsi"/>
          <w:sz w:val="22"/>
          <w:szCs w:val="22"/>
        </w:rPr>
      </w:pPr>
      <w:r w:rsidRPr="00503F5B">
        <w:rPr>
          <w:rFonts w:asciiTheme="minorHAnsi" w:hAnsiTheme="minorHAnsi" w:cstheme="minorHAnsi"/>
          <w:sz w:val="22"/>
          <w:szCs w:val="22"/>
        </w:rPr>
        <w:t>the cost of any accommodation and meals for any persons attending the incident in accordance with the Act or regulations;</w:t>
      </w:r>
    </w:p>
    <w:p w14:paraId="176F0F37" w14:textId="6EAFD84C" w:rsidR="00D366E8" w:rsidRPr="00503F5B" w:rsidRDefault="00D366E8" w:rsidP="00101EC8">
      <w:pPr>
        <w:pStyle w:val="DraftHeading3"/>
        <w:numPr>
          <w:ilvl w:val="0"/>
          <w:numId w:val="32"/>
        </w:numPr>
        <w:tabs>
          <w:tab w:val="right" w:pos="1985"/>
        </w:tabs>
        <w:rPr>
          <w:rFonts w:asciiTheme="minorHAnsi" w:hAnsiTheme="minorHAnsi" w:cstheme="minorHAnsi"/>
          <w:sz w:val="22"/>
          <w:szCs w:val="22"/>
        </w:rPr>
      </w:pPr>
      <w:r w:rsidRPr="00503F5B">
        <w:rPr>
          <w:rFonts w:asciiTheme="minorHAnsi" w:hAnsiTheme="minorHAnsi" w:cstheme="minorHAnsi"/>
          <w:sz w:val="22"/>
          <w:szCs w:val="22"/>
        </w:rPr>
        <w:t>any other costs incurred by the Authority in attending the incident or dealing with the effects of the incident.</w:t>
      </w:r>
    </w:p>
    <w:bookmarkEnd w:id="71"/>
    <w:p w14:paraId="50BEC8B3" w14:textId="77777777" w:rsidR="00453CB4" w:rsidRPr="00503F5B" w:rsidRDefault="00453CB4" w:rsidP="00453CB4">
      <w:pPr>
        <w:jc w:val="both"/>
      </w:pPr>
    </w:p>
    <w:p w14:paraId="2355EF0B" w14:textId="6A87766A" w:rsidR="00D366E8" w:rsidRPr="00503F5B" w:rsidRDefault="00453CB4" w:rsidP="00D366E8">
      <w:pPr>
        <w:jc w:val="both"/>
      </w:pPr>
      <w:bookmarkStart w:id="72" w:name="_Hlk36573219"/>
      <w:r w:rsidRPr="00503F5B">
        <w:t xml:space="preserve">Fees and charges attendances involving hazardous material and toxic fire incidents with additional </w:t>
      </w:r>
      <w:proofErr w:type="gramStart"/>
      <w:r w:rsidRPr="00503F5B">
        <w:t>aforementioned costs</w:t>
      </w:r>
      <w:proofErr w:type="gramEnd"/>
      <w:r w:rsidRPr="00503F5B">
        <w:t xml:space="preserve"> under regulation 1</w:t>
      </w:r>
      <w:r w:rsidR="00EC4EB3" w:rsidRPr="00503F5B">
        <w:t>8</w:t>
      </w:r>
      <w:r w:rsidRPr="00503F5B">
        <w:t xml:space="preserve"> provided</w:t>
      </w:r>
      <w:r w:rsidR="00E50B5A" w:rsidRPr="00503F5B">
        <w:t xml:space="preserve"> </w:t>
      </w:r>
      <w:r w:rsidRPr="00503F5B">
        <w:t>fee revenue of approximately $</w:t>
      </w:r>
      <w:r w:rsidR="00E50B5A" w:rsidRPr="00503F5B">
        <w:t xml:space="preserve">57,600 </w:t>
      </w:r>
      <w:r w:rsidR="00E50B5A" w:rsidRPr="001812D0">
        <w:t>in 2018-19</w:t>
      </w:r>
      <w:r w:rsidR="00D366E8" w:rsidRPr="001812D0">
        <w:t xml:space="preserve"> for </w:t>
      </w:r>
      <w:r w:rsidR="00595DFB" w:rsidRPr="001812D0">
        <w:t>MFB</w:t>
      </w:r>
      <w:r w:rsidR="00E50B5A" w:rsidRPr="00503F5B">
        <w:t>.</w:t>
      </w:r>
      <w:bookmarkEnd w:id="72"/>
      <w:r w:rsidR="00E50B5A" w:rsidRPr="00503F5B">
        <w:t xml:space="preserve"> This is much lower than the historical $</w:t>
      </w:r>
      <w:r w:rsidRPr="00503F5B">
        <w:t xml:space="preserve">22 million over three years (2012-13 to 2014-15) for </w:t>
      </w:r>
      <w:r w:rsidR="00595DFB" w:rsidRPr="00503F5B">
        <w:t>MFB</w:t>
      </w:r>
      <w:r w:rsidRPr="00503F5B">
        <w:t xml:space="preserve">.  </w:t>
      </w:r>
      <w:r w:rsidR="00D366E8" w:rsidRPr="00503F5B">
        <w:t>This three-year fee revenue (2012-13 to 2014-15) does not include:</w:t>
      </w:r>
    </w:p>
    <w:p w14:paraId="32C03949" w14:textId="77777777" w:rsidR="00D366E8" w:rsidRPr="00503F5B" w:rsidRDefault="00D366E8" w:rsidP="00D366E8">
      <w:pPr>
        <w:jc w:val="both"/>
      </w:pPr>
    </w:p>
    <w:p w14:paraId="13627984" w14:textId="48B0ACFF" w:rsidR="00D366E8" w:rsidRPr="00503F5B" w:rsidRDefault="00D366E8" w:rsidP="00101EC8">
      <w:pPr>
        <w:pStyle w:val="ListParagraph"/>
        <w:numPr>
          <w:ilvl w:val="0"/>
          <w:numId w:val="33"/>
        </w:numPr>
        <w:ind w:left="709" w:hanging="349"/>
        <w:jc w:val="both"/>
      </w:pPr>
      <w:r w:rsidRPr="00503F5B">
        <w:t>one-off additional overtime for MFB services directed towards Hazelwood coal mine fire;</w:t>
      </w:r>
    </w:p>
    <w:p w14:paraId="43DC882E" w14:textId="74FB62C6" w:rsidR="00D366E8" w:rsidRPr="00503F5B" w:rsidRDefault="00D366E8" w:rsidP="00101EC8">
      <w:pPr>
        <w:pStyle w:val="ListParagraph"/>
        <w:numPr>
          <w:ilvl w:val="0"/>
          <w:numId w:val="33"/>
        </w:numPr>
        <w:ind w:left="709" w:hanging="349"/>
        <w:jc w:val="both"/>
      </w:pPr>
      <w:r w:rsidRPr="00503F5B">
        <w:t xml:space="preserve">additional overtime for regional fires outside of the metropolitan district; or </w:t>
      </w:r>
    </w:p>
    <w:p w14:paraId="7E6134A2" w14:textId="47A9C2ED" w:rsidR="00D366E8" w:rsidRPr="00503F5B" w:rsidRDefault="00D366E8" w:rsidP="00101EC8">
      <w:pPr>
        <w:pStyle w:val="ListParagraph"/>
        <w:numPr>
          <w:ilvl w:val="0"/>
          <w:numId w:val="33"/>
        </w:numPr>
        <w:ind w:left="709" w:hanging="349"/>
        <w:jc w:val="both"/>
      </w:pPr>
      <w:r w:rsidRPr="00503F5B">
        <w:t>one-off services provided for asbestos control, removal and remediation at Eastern Hill and Thornbury during 2013-14;</w:t>
      </w:r>
    </w:p>
    <w:p w14:paraId="722D2894" w14:textId="77777777" w:rsidR="00D366E8" w:rsidRPr="00503F5B" w:rsidRDefault="00D366E8" w:rsidP="00D366E8">
      <w:pPr>
        <w:jc w:val="both"/>
      </w:pPr>
    </w:p>
    <w:p w14:paraId="7CBDF7C8" w14:textId="69D6A716" w:rsidR="00D366E8" w:rsidRPr="00503F5B" w:rsidRDefault="00D366E8" w:rsidP="00D366E8">
      <w:pPr>
        <w:jc w:val="both"/>
      </w:pPr>
      <w:r w:rsidRPr="00503F5B">
        <w:t>funded through consolidated revenue. Funding was in the order of $11.4 million for additional services, including $4.7 million for asbestos control/removal/remediation.</w:t>
      </w:r>
    </w:p>
    <w:p w14:paraId="122DB664" w14:textId="7EBAE481" w:rsidR="00F85072" w:rsidRPr="00503F5B" w:rsidRDefault="00F85072" w:rsidP="00D366E8">
      <w:pPr>
        <w:jc w:val="both"/>
      </w:pPr>
    </w:p>
    <w:p w14:paraId="49A73C35" w14:textId="6636E6A7" w:rsidR="00FA7CCA" w:rsidRPr="00503F5B" w:rsidRDefault="00E46BF2" w:rsidP="00FA7CCA">
      <w:pPr>
        <w:jc w:val="both"/>
      </w:pPr>
      <w:r w:rsidRPr="00503F5B">
        <w:t>With respect to charging for attending a hazardous material incident (</w:t>
      </w:r>
      <w:r w:rsidR="005C7E8B" w:rsidRPr="00503F5B">
        <w:t xml:space="preserve">under </w:t>
      </w:r>
      <w:r w:rsidRPr="00503F5B">
        <w:t>regulation 101(5)) – total revenue for 2018-19 for the whole of CFA was $644,978</w:t>
      </w:r>
      <w:r w:rsidR="005C7E8B" w:rsidRPr="00503F5B">
        <w:t>,</w:t>
      </w:r>
      <w:r w:rsidRPr="00503F5B">
        <w:t xml:space="preserve"> however only </w:t>
      </w:r>
      <w:bookmarkStart w:id="73" w:name="_Hlk36573235"/>
      <w:r w:rsidRPr="00503F5B">
        <w:t>$235,363 was generated by CFA integrated stations</w:t>
      </w:r>
      <w:bookmarkEnd w:id="73"/>
      <w:r w:rsidR="00A7735A" w:rsidRPr="00503F5B">
        <w:rPr>
          <w:rStyle w:val="FootnoteReference"/>
        </w:rPr>
        <w:footnoteReference w:id="43"/>
      </w:r>
      <w:r w:rsidRPr="00503F5B">
        <w:t>.</w:t>
      </w:r>
    </w:p>
    <w:p w14:paraId="40C18E75" w14:textId="52CF52FD" w:rsidR="00FA7CCA" w:rsidRPr="00503F5B" w:rsidRDefault="00FA7CCA" w:rsidP="00453CB4">
      <w:pPr>
        <w:jc w:val="both"/>
      </w:pPr>
    </w:p>
    <w:p w14:paraId="76AF9A56" w14:textId="13E25A2D" w:rsidR="00543CAF" w:rsidRPr="00503F5B" w:rsidRDefault="00543CAF" w:rsidP="009917B8">
      <w:pPr>
        <w:pStyle w:val="Heading5"/>
      </w:pPr>
      <w:r w:rsidRPr="00503F5B">
        <w:t xml:space="preserve">Proposed regulations </w:t>
      </w:r>
      <w:r w:rsidR="00EC4EB3" w:rsidRPr="00503F5B">
        <w:t>19</w:t>
      </w:r>
      <w:r w:rsidRPr="00503F5B">
        <w:t xml:space="preserve"> and 2</w:t>
      </w:r>
      <w:r w:rsidR="00EC4EB3" w:rsidRPr="00503F5B">
        <w:t>0</w:t>
      </w:r>
      <w:r w:rsidRPr="00503F5B">
        <w:t xml:space="preserve"> – to be set administratively by FRV</w:t>
      </w:r>
    </w:p>
    <w:p w14:paraId="187B71F4" w14:textId="77777777" w:rsidR="00543CAF" w:rsidRPr="00503F5B" w:rsidRDefault="00543CAF" w:rsidP="00453CB4">
      <w:pPr>
        <w:jc w:val="both"/>
      </w:pPr>
    </w:p>
    <w:p w14:paraId="535F35CF" w14:textId="00433AC5" w:rsidR="00A9282A" w:rsidRPr="00503F5B" w:rsidRDefault="00453CB4" w:rsidP="00A9282A">
      <w:pPr>
        <w:jc w:val="both"/>
      </w:pPr>
      <w:bookmarkStart w:id="74" w:name="_Hlk36573268"/>
      <w:r w:rsidRPr="00503F5B">
        <w:t xml:space="preserve">Charges under regulation </w:t>
      </w:r>
      <w:r w:rsidR="00EC4EB3" w:rsidRPr="00503F5B">
        <w:t>19</w:t>
      </w:r>
      <w:r w:rsidRPr="00503F5B">
        <w:t xml:space="preserve"> for property protection or loss mitigation services </w:t>
      </w:r>
      <w:r w:rsidR="00E50B5A" w:rsidRPr="00503F5B">
        <w:t xml:space="preserve">returned $11,000 in revenue for </w:t>
      </w:r>
      <w:r w:rsidR="00595DFB" w:rsidRPr="00503F5B">
        <w:t>MFB</w:t>
      </w:r>
      <w:r w:rsidR="00E50B5A" w:rsidRPr="00503F5B">
        <w:t xml:space="preserve"> in 2018-19</w:t>
      </w:r>
      <w:r w:rsidR="00F6572A" w:rsidRPr="00503F5B">
        <w:t xml:space="preserve"> </w:t>
      </w:r>
      <w:r w:rsidRPr="00503F5B">
        <w:t>and fees under regulation 2</w:t>
      </w:r>
      <w:r w:rsidR="00EC4EB3" w:rsidRPr="00503F5B">
        <w:t>0</w:t>
      </w:r>
      <w:r w:rsidRPr="00503F5B">
        <w:t xml:space="preserve"> for road accident rescue services, provided</w:t>
      </w:r>
      <w:r w:rsidR="00E50B5A" w:rsidRPr="00503F5B">
        <w:t xml:space="preserve"> annual revenue of $3.9 million in the same year</w:t>
      </w:r>
      <w:bookmarkEnd w:id="74"/>
      <w:r w:rsidR="002F215E" w:rsidRPr="00503F5B">
        <w:rPr>
          <w:rStyle w:val="FootnoteReference"/>
        </w:rPr>
        <w:footnoteReference w:id="44"/>
      </w:r>
      <w:r w:rsidR="00E50B5A" w:rsidRPr="00503F5B">
        <w:t>. This compares to</w:t>
      </w:r>
      <w:r w:rsidRPr="00503F5B">
        <w:t xml:space="preserve"> </w:t>
      </w:r>
      <w:r w:rsidR="00E50B5A" w:rsidRPr="00503F5B">
        <w:t xml:space="preserve">historic </w:t>
      </w:r>
      <w:r w:rsidRPr="00503F5B">
        <w:t>average annual revenues of $</w:t>
      </w:r>
      <w:r w:rsidR="00F6572A" w:rsidRPr="00503F5B">
        <w:t>0.12 million</w:t>
      </w:r>
      <w:r w:rsidRPr="00503F5B">
        <w:t xml:space="preserve"> and $2.35 million, </w:t>
      </w:r>
      <w:r w:rsidR="00E50B5A" w:rsidRPr="00503F5B">
        <w:t xml:space="preserve">under regulations </w:t>
      </w:r>
      <w:r w:rsidR="00EC4EB3" w:rsidRPr="00503F5B">
        <w:t>19</w:t>
      </w:r>
      <w:r w:rsidR="00E50B5A" w:rsidRPr="00503F5B">
        <w:t xml:space="preserve"> and 2</w:t>
      </w:r>
      <w:r w:rsidR="00EC4EB3" w:rsidRPr="00503F5B">
        <w:t>0</w:t>
      </w:r>
      <w:r w:rsidR="00E50B5A" w:rsidRPr="00503F5B">
        <w:t xml:space="preserve"> </w:t>
      </w:r>
      <w:r w:rsidRPr="00503F5B">
        <w:t xml:space="preserve">respectively, over three years (2012-13 to 2014-15) for </w:t>
      </w:r>
      <w:r w:rsidR="00595DFB" w:rsidRPr="00503F5B">
        <w:t>MFB</w:t>
      </w:r>
      <w:r w:rsidRPr="00503F5B">
        <w:t>.</w:t>
      </w:r>
      <w:r w:rsidR="005C7E8B" w:rsidRPr="00503F5B">
        <w:t xml:space="preserve">  </w:t>
      </w:r>
      <w:r w:rsidR="00A9282A" w:rsidRPr="00503F5B">
        <w:t>With respect to charging for property protection services</w:t>
      </w:r>
      <w:r w:rsidR="005C7E8B" w:rsidRPr="00503F5B">
        <w:t xml:space="preserve"> provided</w:t>
      </w:r>
      <w:r w:rsidR="00A9282A" w:rsidRPr="00503F5B">
        <w:t xml:space="preserve"> (</w:t>
      </w:r>
      <w:r w:rsidR="005C7E8B" w:rsidRPr="00503F5B">
        <w:t xml:space="preserve">under </w:t>
      </w:r>
      <w:r w:rsidR="00A9282A" w:rsidRPr="00503F5B">
        <w:t xml:space="preserve">regulation 102) – </w:t>
      </w:r>
      <w:bookmarkStart w:id="75" w:name="_Hlk36573291"/>
      <w:r w:rsidR="00A9282A" w:rsidRPr="00503F5B">
        <w:t>total revenue for 2018-19 for the whole of CFA was $47,681</w:t>
      </w:r>
      <w:bookmarkEnd w:id="75"/>
      <w:r w:rsidR="00A7735A" w:rsidRPr="00503F5B">
        <w:rPr>
          <w:rStyle w:val="FootnoteReference"/>
        </w:rPr>
        <w:footnoteReference w:id="45"/>
      </w:r>
      <w:r w:rsidR="00A9282A" w:rsidRPr="00503F5B">
        <w:t>. Total revenue for the whole of CFA with respect to road accident rescue services provided (</w:t>
      </w:r>
      <w:r w:rsidR="005C7E8B" w:rsidRPr="00503F5B">
        <w:t xml:space="preserve">under </w:t>
      </w:r>
      <w:r w:rsidR="00A9282A" w:rsidRPr="00503F5B">
        <w:t>regulation 103) in 2018-19 was approximately $2.6 million</w:t>
      </w:r>
      <w:r w:rsidR="00A7735A" w:rsidRPr="00503F5B">
        <w:rPr>
          <w:rStyle w:val="FootnoteReference"/>
        </w:rPr>
        <w:footnoteReference w:id="46"/>
      </w:r>
      <w:r w:rsidR="00A9282A" w:rsidRPr="00503F5B">
        <w:t xml:space="preserve">. </w:t>
      </w:r>
    </w:p>
    <w:p w14:paraId="21772D7F" w14:textId="77777777" w:rsidR="00FA1EC4" w:rsidRPr="00503F5B" w:rsidRDefault="00FA1EC4" w:rsidP="00453CB4">
      <w:pPr>
        <w:jc w:val="both"/>
      </w:pPr>
    </w:p>
    <w:p w14:paraId="631D94E9" w14:textId="55375F4D" w:rsidR="00453CB4" w:rsidRPr="00503F5B" w:rsidRDefault="00453CB4" w:rsidP="00453CB4">
      <w:pPr>
        <w:jc w:val="both"/>
      </w:pPr>
      <w:r w:rsidRPr="00503F5B">
        <w:t xml:space="preserve">With respect to regulation </w:t>
      </w:r>
      <w:r w:rsidR="00E4427C">
        <w:t>19</w:t>
      </w:r>
      <w:r w:rsidRPr="00503F5B">
        <w:t xml:space="preserve">, charges to be set by FRV under section 55C of the Act are </w:t>
      </w:r>
      <w:r w:rsidR="00D85DB6" w:rsidRPr="00503F5B">
        <w:t xml:space="preserve">proposed to be </w:t>
      </w:r>
      <w:r w:rsidRPr="00503F5B">
        <w:t xml:space="preserve">those which </w:t>
      </w:r>
      <w:r w:rsidR="00D23B9E" w:rsidRPr="00503F5B">
        <w:t>FRV</w:t>
      </w:r>
      <w:r w:rsidRPr="00503F5B">
        <w:t xml:space="preserve"> thinks fit (subject to any direction by the Minister under section 8 of the Act). </w:t>
      </w:r>
      <w:r w:rsidR="00D85DB6" w:rsidRPr="00503F5B">
        <w:t xml:space="preserve">It is proposed that </w:t>
      </w:r>
      <w:r w:rsidR="00F80AB9" w:rsidRPr="00503F5B">
        <w:t>f</w:t>
      </w:r>
      <w:r w:rsidRPr="00503F5B">
        <w:t xml:space="preserve">ees </w:t>
      </w:r>
      <w:r w:rsidR="00FA7CCA" w:rsidRPr="00503F5B">
        <w:t xml:space="preserve">to be </w:t>
      </w:r>
      <w:r w:rsidRPr="00503F5B">
        <w:t>set by FRV under regulation 2</w:t>
      </w:r>
      <w:r w:rsidR="00EC4EB3" w:rsidRPr="00503F5B">
        <w:t>0</w:t>
      </w:r>
      <w:r w:rsidRPr="00503F5B">
        <w:t xml:space="preserve"> </w:t>
      </w:r>
      <w:r w:rsidR="00FA7CCA" w:rsidRPr="00503F5B">
        <w:t>will be</w:t>
      </w:r>
      <w:r w:rsidRPr="00503F5B">
        <w:t xml:space="preserve"> </w:t>
      </w:r>
      <w:r w:rsidRPr="00503F5B">
        <w:lastRenderedPageBreak/>
        <w:t>done so in agreement with the Transport Accident Commission (TAC)</w:t>
      </w:r>
      <w:r w:rsidRPr="00503F5B">
        <w:rPr>
          <w:rStyle w:val="FootnoteReference"/>
        </w:rPr>
        <w:footnoteReference w:id="47"/>
      </w:r>
      <w:r w:rsidRPr="00503F5B">
        <w:t>; or with persons or bodies</w:t>
      </w:r>
      <w:r w:rsidRPr="00503F5B">
        <w:rPr>
          <w:rStyle w:val="FootnoteReference"/>
        </w:rPr>
        <w:footnoteReference w:id="48"/>
      </w:r>
      <w:r w:rsidRPr="00503F5B">
        <w:t xml:space="preserve"> and will be </w:t>
      </w:r>
      <w:r w:rsidRPr="00503F5B">
        <w:rPr>
          <w:i/>
        </w:rPr>
        <w:t>set administratively by FRV</w:t>
      </w:r>
      <w:r w:rsidR="00D85DB6" w:rsidRPr="00503F5B">
        <w:rPr>
          <w:i/>
        </w:rPr>
        <w:t xml:space="preserve"> – </w:t>
      </w:r>
      <w:r w:rsidR="00D85DB6" w:rsidRPr="00503F5B">
        <w:rPr>
          <w:iCs/>
        </w:rPr>
        <w:t xml:space="preserve">maintaining the </w:t>
      </w:r>
      <w:r w:rsidR="00D85DB6" w:rsidRPr="00503F5B">
        <w:rPr>
          <w:i/>
        </w:rPr>
        <w:t>status quo</w:t>
      </w:r>
      <w:r w:rsidR="00D85DB6" w:rsidRPr="00503F5B">
        <w:rPr>
          <w:iCs/>
        </w:rPr>
        <w:t xml:space="preserve"> in terms of how these fees are currently set in relation to MFB and CFA</w:t>
      </w:r>
      <w:r w:rsidRPr="00503F5B">
        <w:t>.  Given the fact that such unknown future fees and charges will be set administratively, these are not analysed in detail for the purpose of this RIS.</w:t>
      </w:r>
    </w:p>
    <w:p w14:paraId="398C22B7" w14:textId="5A808BFD" w:rsidR="00453CB4" w:rsidRPr="00503F5B" w:rsidRDefault="00453CB4" w:rsidP="00453CB4">
      <w:pPr>
        <w:jc w:val="both"/>
      </w:pPr>
    </w:p>
    <w:p w14:paraId="5FBF6BCB" w14:textId="6B2E2402" w:rsidR="00543CAF" w:rsidRPr="00503F5B" w:rsidRDefault="00543CAF" w:rsidP="00543CAF">
      <w:pPr>
        <w:pStyle w:val="Heading5"/>
      </w:pPr>
      <w:r w:rsidRPr="00503F5B">
        <w:t>Proposed regulations 2</w:t>
      </w:r>
      <w:r w:rsidR="00EC4EB3" w:rsidRPr="00503F5B">
        <w:t>1</w:t>
      </w:r>
      <w:r w:rsidRPr="00503F5B">
        <w:t xml:space="preserve"> - Fire protection charges for statutory and non-billable functions to be administratively set by FRV</w:t>
      </w:r>
    </w:p>
    <w:p w14:paraId="2C785063" w14:textId="4B2877C2" w:rsidR="00453CB4" w:rsidRPr="00503F5B" w:rsidRDefault="00453CB4" w:rsidP="00453CB4">
      <w:pPr>
        <w:jc w:val="both"/>
      </w:pPr>
    </w:p>
    <w:p w14:paraId="2ADE6BD1" w14:textId="7B7A6372" w:rsidR="0046220F" w:rsidRPr="00503F5B" w:rsidRDefault="00BD0D60" w:rsidP="00FF7239">
      <w:pPr>
        <w:jc w:val="both"/>
      </w:pPr>
      <w:r w:rsidRPr="00503F5B">
        <w:t xml:space="preserve">With respect to </w:t>
      </w:r>
      <w:r w:rsidR="004D5552" w:rsidRPr="00503F5B">
        <w:t>proposed new R</w:t>
      </w:r>
      <w:r w:rsidR="007206E5" w:rsidRPr="00503F5B">
        <w:t>egulation 2</w:t>
      </w:r>
      <w:r w:rsidR="00EC4EB3" w:rsidRPr="00503F5B">
        <w:t>1</w:t>
      </w:r>
      <w:r w:rsidR="007206E5" w:rsidRPr="00503F5B">
        <w:t xml:space="preserve">, </w:t>
      </w:r>
      <w:r w:rsidR="007206E5" w:rsidRPr="00503F5B">
        <w:rPr>
          <w:i/>
          <w:iCs/>
        </w:rPr>
        <w:t>Fire protection charges</w:t>
      </w:r>
      <w:r w:rsidR="007206E5" w:rsidRPr="00503F5B">
        <w:t xml:space="preserve">, </w:t>
      </w:r>
      <w:r w:rsidR="004D5552" w:rsidRPr="00503F5B">
        <w:t xml:space="preserve">the aim is to </w:t>
      </w:r>
      <w:r w:rsidR="007206E5" w:rsidRPr="00503F5B">
        <w:t>align</w:t>
      </w:r>
      <w:r w:rsidR="00543CAF" w:rsidRPr="00503F5B">
        <w:t xml:space="preserve"> regulations</w:t>
      </w:r>
      <w:r w:rsidR="007206E5" w:rsidRPr="00503F5B">
        <w:t xml:space="preserve"> with the Country Fire Authority 2014 regulations (namely regulation 100).</w:t>
      </w:r>
      <w:r w:rsidR="00790EBC" w:rsidRPr="00503F5B">
        <w:t xml:space="preserve">   </w:t>
      </w:r>
    </w:p>
    <w:p w14:paraId="64BD728E" w14:textId="77777777" w:rsidR="0046220F" w:rsidRPr="00503F5B" w:rsidRDefault="0046220F" w:rsidP="00FF7239">
      <w:pPr>
        <w:jc w:val="both"/>
      </w:pPr>
    </w:p>
    <w:p w14:paraId="1386F72C" w14:textId="0D8ADBC3" w:rsidR="0046220F" w:rsidRPr="00503F5B" w:rsidRDefault="00790EBC" w:rsidP="00FF7239">
      <w:pPr>
        <w:jc w:val="both"/>
      </w:pPr>
      <w:bookmarkStart w:id="76" w:name="_Hlk38542399"/>
      <w:r w:rsidRPr="00503F5B">
        <w:t xml:space="preserve">CFA </w:t>
      </w:r>
      <w:r w:rsidR="000327EE" w:rsidRPr="00503F5B">
        <w:t xml:space="preserve">currently </w:t>
      </w:r>
      <w:proofErr w:type="gramStart"/>
      <w:r w:rsidR="000327EE" w:rsidRPr="00503F5B">
        <w:t>has the ability to</w:t>
      </w:r>
      <w:proofErr w:type="gramEnd"/>
      <w:r w:rsidR="000327EE" w:rsidRPr="00503F5B">
        <w:t xml:space="preserve"> </w:t>
      </w:r>
      <w:r w:rsidR="006D4144">
        <w:t xml:space="preserve">fix </w:t>
      </w:r>
      <w:r w:rsidR="000327EE" w:rsidRPr="00503F5B">
        <w:t>charge</w:t>
      </w:r>
      <w:r w:rsidR="006D4144">
        <w:t>s</w:t>
      </w:r>
      <w:r w:rsidR="000327EE" w:rsidRPr="00503F5B">
        <w:t xml:space="preserve"> for fire protection services, while </w:t>
      </w:r>
      <w:r w:rsidR="00670687" w:rsidRPr="00503F5B">
        <w:t xml:space="preserve">MFB </w:t>
      </w:r>
      <w:r w:rsidR="000327EE" w:rsidRPr="00503F5B">
        <w:t xml:space="preserve">is currently </w:t>
      </w:r>
      <w:r w:rsidR="00670687" w:rsidRPr="00503F5B">
        <w:t xml:space="preserve">limited in its ability </w:t>
      </w:r>
      <w:r w:rsidR="000327EE" w:rsidRPr="00503F5B">
        <w:t>to do so</w:t>
      </w:r>
      <w:r w:rsidR="00F80AB9" w:rsidRPr="00503F5B">
        <w:t>. The fee for</w:t>
      </w:r>
      <w:r w:rsidR="007206E5" w:rsidRPr="00503F5B">
        <w:t xml:space="preserve"> fire protection </w:t>
      </w:r>
      <w:r w:rsidR="00BD0D60" w:rsidRPr="00503F5B">
        <w:t xml:space="preserve">services </w:t>
      </w:r>
      <w:r w:rsidR="00F80AB9" w:rsidRPr="00503F5B">
        <w:t xml:space="preserve">will be set </w:t>
      </w:r>
      <w:r w:rsidR="007206E5" w:rsidRPr="00503F5B">
        <w:t xml:space="preserve">at the level prescribed by regulation </w:t>
      </w:r>
      <w:r w:rsidR="00BD0D60" w:rsidRPr="00503F5B">
        <w:t>46A</w:t>
      </w:r>
      <w:r w:rsidR="007206E5" w:rsidRPr="00503F5B">
        <w:t xml:space="preserve"> of the Residential Tenancies (Caravan Parks and Moveable Dwellings Registration and Standards) Regulations 2010</w:t>
      </w:r>
      <w:r w:rsidR="00F80AB9" w:rsidRPr="00503F5B">
        <w:t xml:space="preserve">. </w:t>
      </w:r>
      <w:r w:rsidR="00FF7239" w:rsidRPr="00503F5B">
        <w:t xml:space="preserve">Regulation 46A, requires a caravan park owner who is seeking to register the caravan park with the relevant </w:t>
      </w:r>
      <w:r w:rsidR="00576FF0" w:rsidRPr="00503F5B">
        <w:t xml:space="preserve">council to </w:t>
      </w:r>
      <w:r w:rsidR="00FF7239" w:rsidRPr="00503F5B">
        <w:t>develop an emergency management plan (EMP) and consult</w:t>
      </w:r>
      <w:r w:rsidR="00576FF0" w:rsidRPr="00503F5B">
        <w:t xml:space="preserve"> with the relevant fire authority</w:t>
      </w:r>
      <w:r w:rsidR="00FF7239" w:rsidRPr="00503F5B">
        <w:t>.</w:t>
      </w:r>
      <w:r w:rsidR="00543CAF" w:rsidRPr="00503F5B">
        <w:t xml:space="preserve"> </w:t>
      </w:r>
    </w:p>
    <w:p w14:paraId="2BB88A46" w14:textId="77777777" w:rsidR="0046220F" w:rsidRPr="00503F5B" w:rsidRDefault="0046220F" w:rsidP="00FF7239">
      <w:pPr>
        <w:jc w:val="both"/>
      </w:pPr>
    </w:p>
    <w:p w14:paraId="45671974" w14:textId="1FDE5D7E" w:rsidR="007206E5" w:rsidRPr="00503F5B" w:rsidRDefault="00543CAF" w:rsidP="00FF7239">
      <w:pPr>
        <w:jc w:val="both"/>
      </w:pPr>
      <w:r w:rsidRPr="00503F5B">
        <w:t>Regulation 46A which relates to fire authority fees, are currently prescribed as 10 fee units for the first hour and 2</w:t>
      </w:r>
      <w:r w:rsidR="0093326F" w:rsidRPr="00503F5B">
        <w:t>.</w:t>
      </w:r>
      <w:r w:rsidRPr="00503F5B">
        <w:t>5 fee units for each subsequent quarter hour or part.  Despite the Residential Tenancies (Caravan Parks and Moveable Dwellings Registration and Standards) Regulations 2010</w:t>
      </w:r>
      <w:r w:rsidR="0046220F" w:rsidRPr="00503F5B">
        <w:t xml:space="preserve">, </w:t>
      </w:r>
      <w:r w:rsidRPr="00503F5B">
        <w:t>sunsetting in 2020</w:t>
      </w:r>
      <w:r w:rsidR="00F80AB9" w:rsidRPr="00503F5B">
        <w:t xml:space="preserve">, </w:t>
      </w:r>
      <w:bookmarkStart w:id="77" w:name="_Hlk39660439"/>
      <w:r w:rsidR="00A35DA6" w:rsidRPr="00503F5B">
        <w:t xml:space="preserve">this </w:t>
      </w:r>
      <w:r w:rsidR="00F80AB9" w:rsidRPr="00503F5B">
        <w:t xml:space="preserve">fee level </w:t>
      </w:r>
      <w:r w:rsidR="00CE2E9F" w:rsidRPr="00503F5B">
        <w:t xml:space="preserve">is deemed </w:t>
      </w:r>
      <w:r w:rsidR="00A35DA6" w:rsidRPr="00503F5B">
        <w:t xml:space="preserve">to be </w:t>
      </w:r>
      <w:r w:rsidR="00CE2E9F" w:rsidRPr="00503F5B">
        <w:t>appropriate by both organisations</w:t>
      </w:r>
      <w:r w:rsidR="00A35DA6" w:rsidRPr="00503F5B">
        <w:t xml:space="preserve"> and reflective of their resourcing needs</w:t>
      </w:r>
      <w:r w:rsidR="0046220F" w:rsidRPr="00503F5B">
        <w:t xml:space="preserve">, as well as, accommodating </w:t>
      </w:r>
      <w:proofErr w:type="gramStart"/>
      <w:r w:rsidR="0046220F" w:rsidRPr="00503F5B">
        <w:t>sufficient</w:t>
      </w:r>
      <w:proofErr w:type="gramEnd"/>
      <w:r w:rsidR="0046220F" w:rsidRPr="00503F5B">
        <w:t xml:space="preserve"> consideration of the broader public benefit which fire protection services provides.</w:t>
      </w:r>
      <w:bookmarkEnd w:id="77"/>
    </w:p>
    <w:bookmarkEnd w:id="76"/>
    <w:p w14:paraId="70162DE0" w14:textId="77777777" w:rsidR="00A7735A" w:rsidRPr="00503F5B" w:rsidRDefault="00A7735A" w:rsidP="00453CB4">
      <w:pPr>
        <w:jc w:val="both"/>
      </w:pPr>
    </w:p>
    <w:p w14:paraId="79160DFD" w14:textId="186FEEF0" w:rsidR="00BD0D60" w:rsidRPr="00503F5B" w:rsidRDefault="00BD0D60" w:rsidP="00453CB4">
      <w:pPr>
        <w:jc w:val="both"/>
      </w:pPr>
      <w:r w:rsidRPr="00503F5B">
        <w:t xml:space="preserve">Under proposed </w:t>
      </w:r>
      <w:r w:rsidR="004D5552" w:rsidRPr="00503F5B">
        <w:t xml:space="preserve">new </w:t>
      </w:r>
      <w:r w:rsidRPr="00503F5B">
        <w:t>regulation 2</w:t>
      </w:r>
      <w:r w:rsidR="00EC4EB3" w:rsidRPr="00503F5B">
        <w:t>1</w:t>
      </w:r>
      <w:r w:rsidR="004D5552" w:rsidRPr="00503F5B">
        <w:t>:</w:t>
      </w:r>
    </w:p>
    <w:p w14:paraId="2E6A7034" w14:textId="77777777" w:rsidR="00BD0D60" w:rsidRPr="00503F5B" w:rsidRDefault="00BD0D60" w:rsidP="007206E5">
      <w:pPr>
        <w:jc w:val="both"/>
      </w:pPr>
    </w:p>
    <w:p w14:paraId="1912E5C6" w14:textId="79CE6F7A" w:rsidR="007206E5" w:rsidRPr="00503F5B" w:rsidRDefault="007206E5" w:rsidP="00BD0D60">
      <w:pPr>
        <w:jc w:val="both"/>
        <w:rPr>
          <w:sz w:val="20"/>
          <w:szCs w:val="20"/>
        </w:rPr>
      </w:pPr>
      <w:r w:rsidRPr="00503F5B">
        <w:rPr>
          <w:sz w:val="20"/>
          <w:szCs w:val="20"/>
        </w:rPr>
        <w:t>(1)</w:t>
      </w:r>
      <w:r w:rsidRPr="00503F5B">
        <w:rPr>
          <w:sz w:val="20"/>
          <w:szCs w:val="20"/>
        </w:rPr>
        <w:tab/>
        <w:t xml:space="preserve">Fire Rescue Victoria may, from time to time, fix fees and charges for the following </w:t>
      </w:r>
      <w:r w:rsidR="00BD0D60" w:rsidRPr="00503F5B">
        <w:rPr>
          <w:sz w:val="20"/>
          <w:szCs w:val="20"/>
        </w:rPr>
        <w:tab/>
      </w:r>
      <w:r w:rsidRPr="00503F5B">
        <w:rPr>
          <w:sz w:val="20"/>
          <w:szCs w:val="20"/>
        </w:rPr>
        <w:t>services provided by Fire Rescue Victoria—</w:t>
      </w:r>
    </w:p>
    <w:p w14:paraId="04656B28" w14:textId="77777777" w:rsidR="00BD0D60" w:rsidRPr="00503F5B" w:rsidRDefault="007206E5" w:rsidP="00BD0D60">
      <w:pPr>
        <w:jc w:val="both"/>
        <w:rPr>
          <w:sz w:val="20"/>
          <w:szCs w:val="20"/>
        </w:rPr>
      </w:pPr>
      <w:r w:rsidRPr="00503F5B">
        <w:rPr>
          <w:sz w:val="20"/>
          <w:szCs w:val="20"/>
        </w:rPr>
        <w:tab/>
      </w:r>
    </w:p>
    <w:p w14:paraId="05058B77" w14:textId="7974797B" w:rsidR="007206E5" w:rsidRPr="00503F5B" w:rsidRDefault="007206E5" w:rsidP="00BD0D60">
      <w:pPr>
        <w:ind w:firstLine="720"/>
        <w:jc w:val="both"/>
        <w:rPr>
          <w:sz w:val="20"/>
          <w:szCs w:val="20"/>
        </w:rPr>
      </w:pPr>
      <w:r w:rsidRPr="00503F5B">
        <w:rPr>
          <w:sz w:val="20"/>
          <w:szCs w:val="20"/>
        </w:rPr>
        <w:t>(a)</w:t>
      </w:r>
      <w:r w:rsidRPr="00503F5B">
        <w:rPr>
          <w:sz w:val="20"/>
          <w:szCs w:val="20"/>
        </w:rPr>
        <w:tab/>
        <w:t xml:space="preserve">inspections in relation to applications made under the </w:t>
      </w:r>
      <w:r w:rsidRPr="00503F5B">
        <w:rPr>
          <w:b/>
          <w:bCs/>
          <w:sz w:val="20"/>
          <w:szCs w:val="20"/>
        </w:rPr>
        <w:t>Building Act 1993</w:t>
      </w:r>
      <w:r w:rsidRPr="00503F5B">
        <w:rPr>
          <w:sz w:val="20"/>
          <w:szCs w:val="20"/>
        </w:rPr>
        <w:t>;</w:t>
      </w:r>
    </w:p>
    <w:p w14:paraId="40C3FFFD" w14:textId="2E1F3CF0" w:rsidR="007206E5" w:rsidRPr="00503F5B" w:rsidRDefault="007206E5" w:rsidP="00BD0D60">
      <w:pPr>
        <w:jc w:val="both"/>
        <w:rPr>
          <w:sz w:val="20"/>
          <w:szCs w:val="20"/>
        </w:rPr>
      </w:pPr>
      <w:r w:rsidRPr="00503F5B">
        <w:rPr>
          <w:sz w:val="20"/>
          <w:szCs w:val="20"/>
        </w:rPr>
        <w:tab/>
        <w:t>(b)</w:t>
      </w:r>
      <w:r w:rsidRPr="00503F5B">
        <w:rPr>
          <w:sz w:val="20"/>
          <w:szCs w:val="20"/>
        </w:rPr>
        <w:tab/>
        <w:t>the provision of advice on fire prevention and suppression matters;</w:t>
      </w:r>
    </w:p>
    <w:p w14:paraId="3A4069BF" w14:textId="7F719FB8" w:rsidR="007206E5" w:rsidRPr="00503F5B" w:rsidRDefault="007206E5" w:rsidP="00BD0D60">
      <w:pPr>
        <w:ind w:firstLine="720"/>
        <w:jc w:val="both"/>
        <w:rPr>
          <w:sz w:val="20"/>
          <w:szCs w:val="20"/>
        </w:rPr>
      </w:pPr>
      <w:r w:rsidRPr="00503F5B">
        <w:rPr>
          <w:sz w:val="20"/>
          <w:szCs w:val="20"/>
        </w:rPr>
        <w:t>(c)</w:t>
      </w:r>
      <w:r w:rsidRPr="00503F5B">
        <w:rPr>
          <w:sz w:val="20"/>
          <w:szCs w:val="20"/>
        </w:rPr>
        <w:tab/>
        <w:t>the testing and inspection of fire prevention and suppression equipment.</w:t>
      </w:r>
    </w:p>
    <w:p w14:paraId="4509628F" w14:textId="77777777" w:rsidR="00BD0D60" w:rsidRPr="00503F5B" w:rsidRDefault="00BD0D60" w:rsidP="00BD0D60">
      <w:pPr>
        <w:ind w:firstLine="720"/>
        <w:jc w:val="both"/>
        <w:rPr>
          <w:sz w:val="20"/>
          <w:szCs w:val="20"/>
        </w:rPr>
      </w:pPr>
    </w:p>
    <w:p w14:paraId="0E2617D8" w14:textId="32500D6E" w:rsidR="007206E5" w:rsidRPr="00503F5B" w:rsidRDefault="007206E5" w:rsidP="00BD0D60">
      <w:pPr>
        <w:ind w:left="720" w:hanging="720"/>
        <w:jc w:val="both"/>
        <w:rPr>
          <w:sz w:val="20"/>
          <w:szCs w:val="20"/>
        </w:rPr>
      </w:pPr>
      <w:r w:rsidRPr="00503F5B">
        <w:rPr>
          <w:sz w:val="20"/>
          <w:szCs w:val="20"/>
        </w:rPr>
        <w:t>(2)</w:t>
      </w:r>
      <w:r w:rsidRPr="00503F5B">
        <w:rPr>
          <w:sz w:val="20"/>
          <w:szCs w:val="20"/>
        </w:rPr>
        <w:tab/>
        <w:t xml:space="preserve">The person requesting a service referred to in </w:t>
      </w:r>
      <w:proofErr w:type="spellStart"/>
      <w:r w:rsidRPr="00503F5B">
        <w:rPr>
          <w:sz w:val="20"/>
          <w:szCs w:val="20"/>
        </w:rPr>
        <w:t>subregulation</w:t>
      </w:r>
      <w:proofErr w:type="spellEnd"/>
      <w:r w:rsidRPr="00503F5B">
        <w:rPr>
          <w:sz w:val="20"/>
          <w:szCs w:val="20"/>
        </w:rPr>
        <w:t xml:space="preserve"> (1) must pay the fee or charge fixed by Fire Rescue Victoria for the service. </w:t>
      </w:r>
    </w:p>
    <w:p w14:paraId="7E219135" w14:textId="77777777" w:rsidR="00037448" w:rsidRPr="00503F5B" w:rsidRDefault="00037448" w:rsidP="004B330F">
      <w:pPr>
        <w:jc w:val="both"/>
      </w:pPr>
    </w:p>
    <w:p w14:paraId="65C09EBD" w14:textId="029900DE" w:rsidR="008F1269" w:rsidRPr="00503F5B" w:rsidRDefault="00595DFB" w:rsidP="004B330F">
      <w:pPr>
        <w:jc w:val="both"/>
      </w:pPr>
      <w:r w:rsidRPr="00503F5B">
        <w:t>MFB</w:t>
      </w:r>
      <w:r w:rsidR="004B330F" w:rsidRPr="00503F5B">
        <w:t xml:space="preserve"> currently charges a fee of </w:t>
      </w:r>
      <w:r w:rsidR="004B330F" w:rsidRPr="00503F5B">
        <w:rPr>
          <w:i/>
        </w:rPr>
        <w:t>$121 per hour</w:t>
      </w:r>
      <w:r w:rsidR="004B330F" w:rsidRPr="00503F5B">
        <w:t xml:space="preserve"> (including GST) under the Victorian Building Regulations 2018 for the provision of statutory reports (under the </w:t>
      </w:r>
      <w:r w:rsidR="004B330F" w:rsidRPr="00503F5B">
        <w:rPr>
          <w:i/>
          <w:iCs/>
        </w:rPr>
        <w:t>Building Act 1993</w:t>
      </w:r>
      <w:r w:rsidR="004B330F" w:rsidRPr="00503F5B">
        <w:t xml:space="preserve">) </w:t>
      </w:r>
      <w:r w:rsidR="008F1269" w:rsidRPr="00503F5B">
        <w:t>including</w:t>
      </w:r>
      <w:r w:rsidR="00B855FA" w:rsidRPr="00503F5B">
        <w:t>:</w:t>
      </w:r>
    </w:p>
    <w:p w14:paraId="15C04DA6" w14:textId="77777777" w:rsidR="008F1269" w:rsidRPr="00503F5B" w:rsidRDefault="008F1269" w:rsidP="004B330F">
      <w:pPr>
        <w:jc w:val="both"/>
      </w:pPr>
    </w:p>
    <w:p w14:paraId="447B4FE7" w14:textId="63B20877" w:rsidR="008F1269" w:rsidRPr="00503F5B" w:rsidRDefault="00B855FA" w:rsidP="00101EC8">
      <w:pPr>
        <w:pStyle w:val="ListParagraph"/>
        <w:numPr>
          <w:ilvl w:val="0"/>
          <w:numId w:val="21"/>
        </w:numPr>
        <w:jc w:val="both"/>
      </w:pPr>
      <w:bookmarkStart w:id="78" w:name="_Hlk34387695"/>
      <w:r w:rsidRPr="00503F5B">
        <w:t>r</w:t>
      </w:r>
      <w:r w:rsidR="008F1269" w:rsidRPr="00503F5B">
        <w:t>eports in relation to an application for a building permit</w:t>
      </w:r>
      <w:r w:rsidRPr="00503F5B">
        <w:rPr>
          <w:rStyle w:val="FootnoteReference"/>
        </w:rPr>
        <w:footnoteReference w:id="49"/>
      </w:r>
      <w:r w:rsidRPr="00503F5B">
        <w:t>;</w:t>
      </w:r>
      <w:r w:rsidR="00FF7239" w:rsidRPr="00503F5B">
        <w:t xml:space="preserve"> and</w:t>
      </w:r>
    </w:p>
    <w:p w14:paraId="0F94B700" w14:textId="2F6F6F2D" w:rsidR="008F1269" w:rsidRPr="00503F5B" w:rsidRDefault="00B855FA" w:rsidP="00101EC8">
      <w:pPr>
        <w:pStyle w:val="ListParagraph"/>
        <w:numPr>
          <w:ilvl w:val="0"/>
          <w:numId w:val="21"/>
        </w:numPr>
        <w:jc w:val="both"/>
      </w:pPr>
      <w:r w:rsidRPr="00503F5B">
        <w:t>r</w:t>
      </w:r>
      <w:r w:rsidR="008F1269" w:rsidRPr="00503F5B">
        <w:t>eports in relation to an application for an occupancy permit</w:t>
      </w:r>
      <w:r w:rsidRPr="00503F5B">
        <w:rPr>
          <w:rStyle w:val="FootnoteReference"/>
        </w:rPr>
        <w:footnoteReference w:id="50"/>
      </w:r>
    </w:p>
    <w:p w14:paraId="2C1F77A4" w14:textId="77777777" w:rsidR="008F1269" w:rsidRPr="00503F5B" w:rsidRDefault="008F1269" w:rsidP="004B330F">
      <w:pPr>
        <w:jc w:val="both"/>
      </w:pPr>
    </w:p>
    <w:p w14:paraId="4B8E67CE" w14:textId="18255CE3" w:rsidR="004B330F" w:rsidRPr="00503F5B" w:rsidRDefault="004B330F" w:rsidP="004B330F">
      <w:pPr>
        <w:jc w:val="both"/>
      </w:pPr>
      <w:r w:rsidRPr="00503F5B">
        <w:lastRenderedPageBreak/>
        <w:t>where the Chief Officer is satisfied of certain fire safety matters</w:t>
      </w:r>
      <w:r w:rsidRPr="00503F5B">
        <w:rPr>
          <w:rStyle w:val="FootnoteReference"/>
        </w:rPr>
        <w:footnoteReference w:id="51"/>
      </w:r>
      <w:r w:rsidRPr="00503F5B">
        <w:t>.  The fee was set by Gazettal on 7</w:t>
      </w:r>
      <w:r w:rsidR="000F080F" w:rsidRPr="00503F5B">
        <w:t xml:space="preserve"> </w:t>
      </w:r>
      <w:r w:rsidRPr="00503F5B">
        <w:t>May 2007.</w:t>
      </w:r>
    </w:p>
    <w:p w14:paraId="51B7FE43" w14:textId="77777777" w:rsidR="004B330F" w:rsidRPr="00503F5B" w:rsidRDefault="004B330F" w:rsidP="00453CB4">
      <w:pPr>
        <w:jc w:val="both"/>
      </w:pPr>
    </w:p>
    <w:p w14:paraId="1D40BC0F" w14:textId="1A7F81BC" w:rsidR="004B330F" w:rsidRPr="00503F5B" w:rsidRDefault="008F1269" w:rsidP="00453CB4">
      <w:pPr>
        <w:jc w:val="both"/>
      </w:pPr>
      <w:r w:rsidRPr="00503F5B">
        <w:t xml:space="preserve">The various currently </w:t>
      </w:r>
      <w:r w:rsidRPr="00503F5B">
        <w:rPr>
          <w:i/>
          <w:iCs/>
        </w:rPr>
        <w:t>non-billable</w:t>
      </w:r>
      <w:r w:rsidRPr="00503F5B">
        <w:t xml:space="preserve"> functions </w:t>
      </w:r>
      <w:r w:rsidR="00391FFF" w:rsidRPr="00503F5B">
        <w:t>pursuant</w:t>
      </w:r>
      <w:r w:rsidR="004D5552" w:rsidRPr="00503F5B">
        <w:t xml:space="preserve"> to proposed new regulation 2</w:t>
      </w:r>
      <w:r w:rsidR="00EC4EB3" w:rsidRPr="00503F5B">
        <w:t>1</w:t>
      </w:r>
      <w:r w:rsidR="004D5552" w:rsidRPr="00503F5B">
        <w:t xml:space="preserve"> </w:t>
      </w:r>
      <w:r w:rsidRPr="00503F5B">
        <w:t>include those with respect to:</w:t>
      </w:r>
    </w:p>
    <w:p w14:paraId="39F583DE" w14:textId="77777777" w:rsidR="008F1269" w:rsidRPr="00503F5B" w:rsidRDefault="008F1269" w:rsidP="00453CB4">
      <w:pPr>
        <w:jc w:val="both"/>
      </w:pPr>
    </w:p>
    <w:p w14:paraId="4D827A85" w14:textId="30D70CE6" w:rsidR="004B330F" w:rsidRPr="00503F5B" w:rsidRDefault="004B330F" w:rsidP="00101EC8">
      <w:pPr>
        <w:pStyle w:val="ListParagraph"/>
        <w:numPr>
          <w:ilvl w:val="0"/>
          <w:numId w:val="22"/>
        </w:numPr>
        <w:spacing w:after="120"/>
        <w:ind w:left="714" w:hanging="357"/>
        <w:contextualSpacing w:val="0"/>
        <w:rPr>
          <w:rFonts w:eastAsia="Times New Roman" w:cs="Calibri"/>
          <w:color w:val="auto"/>
        </w:rPr>
      </w:pPr>
      <w:r w:rsidRPr="00503F5B">
        <w:rPr>
          <w:i/>
          <w:iCs/>
        </w:rPr>
        <w:t>Dangerous Goods</w:t>
      </w:r>
      <w:r w:rsidR="008F1269" w:rsidRPr="00503F5B">
        <w:rPr>
          <w:i/>
          <w:iCs/>
        </w:rPr>
        <w:t>:</w:t>
      </w:r>
      <w:r w:rsidR="008F1269" w:rsidRPr="00503F5B">
        <w:rPr>
          <w:rFonts w:eastAsia="Times New Roman" w:cs="Calibri"/>
          <w:color w:val="auto"/>
        </w:rPr>
        <w:t xml:space="preserve">  </w:t>
      </w:r>
      <w:r w:rsidRPr="00503F5B">
        <w:t>Reports or letters of advice with regards to placarding; fire protection; emergency procedures</w:t>
      </w:r>
      <w:r w:rsidR="008F1269" w:rsidRPr="00503F5B">
        <w:rPr>
          <w:rStyle w:val="FootnoteReference"/>
        </w:rPr>
        <w:footnoteReference w:id="52"/>
      </w:r>
      <w:r w:rsidRPr="00503F5B">
        <w:t>; explosives</w:t>
      </w:r>
      <w:r w:rsidR="008F1269" w:rsidRPr="00503F5B">
        <w:rPr>
          <w:rStyle w:val="FootnoteReference"/>
        </w:rPr>
        <w:footnoteReference w:id="53"/>
      </w:r>
      <w:r w:rsidRPr="00503F5B">
        <w:t xml:space="preserve">; </w:t>
      </w:r>
      <w:r w:rsidR="008F1269" w:rsidRPr="00503F5B">
        <w:t>major hazard facility</w:t>
      </w:r>
      <w:r w:rsidR="008F1269" w:rsidRPr="00503F5B">
        <w:rPr>
          <w:rStyle w:val="FootnoteReference"/>
        </w:rPr>
        <w:footnoteReference w:id="54"/>
      </w:r>
      <w:r w:rsidR="008F1269" w:rsidRPr="00503F5B">
        <w:t>;</w:t>
      </w:r>
    </w:p>
    <w:p w14:paraId="24D819C8" w14:textId="1AB6CDA7" w:rsidR="00B855FA" w:rsidRPr="00503F5B" w:rsidRDefault="00B855FA" w:rsidP="00101EC8">
      <w:pPr>
        <w:pStyle w:val="ListParagraph"/>
        <w:numPr>
          <w:ilvl w:val="0"/>
          <w:numId w:val="22"/>
        </w:numPr>
        <w:spacing w:after="120"/>
        <w:ind w:left="714" w:hanging="357"/>
        <w:contextualSpacing w:val="0"/>
        <w:rPr>
          <w:rFonts w:eastAsia="Times New Roman" w:cs="Calibri"/>
          <w:i/>
          <w:iCs/>
          <w:color w:val="auto"/>
        </w:rPr>
      </w:pPr>
      <w:r w:rsidRPr="00503F5B">
        <w:rPr>
          <w:rFonts w:eastAsia="Times New Roman" w:cs="Calibri"/>
          <w:i/>
          <w:iCs/>
          <w:color w:val="auto"/>
        </w:rPr>
        <w:t>Building Codes and Audits:</w:t>
      </w:r>
      <w:r w:rsidRPr="00503F5B">
        <w:rPr>
          <w:rFonts w:eastAsia="Times New Roman" w:cs="Calibri"/>
          <w:color w:val="auto"/>
        </w:rPr>
        <w:t xml:space="preserve"> </w:t>
      </w:r>
      <w:r w:rsidR="00D13CE1" w:rsidRPr="00503F5B">
        <w:rPr>
          <w:rFonts w:eastAsia="Times New Roman" w:cs="Calibri"/>
          <w:color w:val="auto"/>
        </w:rPr>
        <w:t xml:space="preserve">a) </w:t>
      </w:r>
      <w:r w:rsidRPr="00503F5B">
        <w:t>Letters of Advice (&amp; pre application review)</w:t>
      </w:r>
      <w:r w:rsidR="00D13CE1" w:rsidRPr="00503F5B">
        <w:t xml:space="preserve"> with regards to g</w:t>
      </w:r>
      <w:r w:rsidRPr="00503F5B">
        <w:t>eneral fire protection correspondence (includes pre application conceptual design review)</w:t>
      </w:r>
      <w:r w:rsidR="00D13CE1" w:rsidRPr="00503F5B">
        <w:t xml:space="preserve"> and b) inspections of buildings, fire protection systems and </w:t>
      </w:r>
      <w:r w:rsidR="007604D9" w:rsidRPr="00503F5B">
        <w:t>perimeter</w:t>
      </w:r>
      <w:r w:rsidR="00D13CE1" w:rsidRPr="00503F5B">
        <w:t xml:space="preserve"> access roads, as well as, c) Building Appeals Board (BAB) referrals (</w:t>
      </w:r>
      <w:r w:rsidR="000F080F" w:rsidRPr="00503F5B">
        <w:t>s</w:t>
      </w:r>
      <w:r w:rsidR="00D13CE1" w:rsidRPr="00503F5B">
        <w:t>ection</w:t>
      </w:r>
      <w:r w:rsidR="000F080F" w:rsidRPr="00503F5B">
        <w:t>s</w:t>
      </w:r>
      <w:r w:rsidR="00D13CE1" w:rsidRPr="00503F5B">
        <w:t xml:space="preserve"> 160 &amp; 160A advice to the BAB);</w:t>
      </w:r>
    </w:p>
    <w:p w14:paraId="6ED650C1" w14:textId="71FC4952" w:rsidR="00D13CE1" w:rsidRPr="00503F5B" w:rsidRDefault="00D13CE1" w:rsidP="00101EC8">
      <w:pPr>
        <w:pStyle w:val="ListParagraph"/>
        <w:numPr>
          <w:ilvl w:val="0"/>
          <w:numId w:val="22"/>
        </w:numPr>
        <w:spacing w:after="120"/>
        <w:ind w:left="714" w:hanging="357"/>
        <w:contextualSpacing w:val="0"/>
        <w:rPr>
          <w:rFonts w:eastAsia="Times New Roman" w:cs="Calibri"/>
          <w:i/>
          <w:iCs/>
          <w:color w:val="auto"/>
        </w:rPr>
      </w:pPr>
      <w:r w:rsidRPr="00503F5B">
        <w:rPr>
          <w:rFonts w:eastAsia="Times New Roman" w:cs="Calibri"/>
          <w:i/>
          <w:iCs/>
          <w:color w:val="auto"/>
        </w:rPr>
        <w:t xml:space="preserve">Community Safety Technical Department: </w:t>
      </w:r>
      <w:r w:rsidRPr="00503F5B">
        <w:t xml:space="preserve">a) reports including the Fire Engineering Brief referrals </w:t>
      </w:r>
      <w:r w:rsidR="000F080F" w:rsidRPr="00503F5B">
        <w:t>–</w:t>
      </w:r>
      <w:r w:rsidRPr="00503F5B">
        <w:t xml:space="preserve"> </w:t>
      </w:r>
      <w:r w:rsidR="000F080F" w:rsidRPr="00503F5B">
        <w:t>International Fire Engineering Guidelines (</w:t>
      </w:r>
      <w:r w:rsidRPr="00503F5B">
        <w:t>IFEG</w:t>
      </w:r>
      <w:r w:rsidR="000F080F" w:rsidRPr="00503F5B">
        <w:t>)</w:t>
      </w:r>
      <w:r w:rsidRPr="00503F5B">
        <w:t xml:space="preserve"> 2005 Stakeholder Consultation</w:t>
      </w:r>
      <w:r w:rsidR="00643E35" w:rsidRPr="00503F5B">
        <w:t>;</w:t>
      </w:r>
      <w:r w:rsidRPr="00503F5B">
        <w:t xml:space="preserve"> and Fire Engineering Report referral and review</w:t>
      </w:r>
      <w:r w:rsidRPr="00503F5B">
        <w:rPr>
          <w:rStyle w:val="FootnoteReference"/>
        </w:rPr>
        <w:footnoteReference w:id="55"/>
      </w:r>
      <w:r w:rsidRPr="00503F5B">
        <w:t xml:space="preserve">; and b) inspections of buildings, </w:t>
      </w:r>
      <w:r w:rsidR="000F080F" w:rsidRPr="00503F5B">
        <w:t>Major Hazard Facilities (</w:t>
      </w:r>
      <w:r w:rsidRPr="00503F5B">
        <w:t>MHFs</w:t>
      </w:r>
      <w:r w:rsidR="000F080F" w:rsidRPr="00503F5B">
        <w:t>)</w:t>
      </w:r>
      <w:r w:rsidRPr="00503F5B">
        <w:t xml:space="preserve">, fire protection infrastructure and perimeter access roads; </w:t>
      </w:r>
      <w:r w:rsidR="006B24C3" w:rsidRPr="00503F5B">
        <w:t>and</w:t>
      </w:r>
    </w:p>
    <w:p w14:paraId="357D9B29" w14:textId="49AAD8FB" w:rsidR="00D13CE1" w:rsidRPr="00503F5B" w:rsidRDefault="00D13CE1" w:rsidP="00101EC8">
      <w:pPr>
        <w:pStyle w:val="ListParagraph"/>
        <w:numPr>
          <w:ilvl w:val="0"/>
          <w:numId w:val="22"/>
        </w:numPr>
        <w:spacing w:after="120"/>
        <w:ind w:left="714" w:hanging="357"/>
        <w:contextualSpacing w:val="0"/>
        <w:rPr>
          <w:rFonts w:eastAsia="Times New Roman" w:cs="Calibri"/>
          <w:color w:val="auto"/>
        </w:rPr>
      </w:pPr>
      <w:r w:rsidRPr="00503F5B">
        <w:rPr>
          <w:rFonts w:eastAsia="Times New Roman" w:cs="Calibri"/>
          <w:i/>
          <w:iCs/>
          <w:color w:val="auto"/>
        </w:rPr>
        <w:t xml:space="preserve">Building Inspection and Compliance: </w:t>
      </w:r>
      <w:r w:rsidRPr="00503F5B">
        <w:rPr>
          <w:rFonts w:eastAsia="Times New Roman" w:cs="Calibri"/>
          <w:color w:val="auto"/>
        </w:rPr>
        <w:t>Place of Public Entertainment inspection (Joint inspection request by municipality issuing Occupancy Permit)</w:t>
      </w:r>
    </w:p>
    <w:bookmarkEnd w:id="78"/>
    <w:p w14:paraId="15DB9820" w14:textId="570D8F68" w:rsidR="00D13CE1" w:rsidRPr="00503F5B" w:rsidRDefault="00D13CE1" w:rsidP="00D13CE1">
      <w:pPr>
        <w:rPr>
          <w:rFonts w:eastAsia="Times New Roman" w:cs="Calibri"/>
          <w:i/>
          <w:iCs/>
          <w:color w:val="auto"/>
        </w:rPr>
      </w:pPr>
    </w:p>
    <w:p w14:paraId="38E01489" w14:textId="180EB228" w:rsidR="00037448" w:rsidRPr="00503F5B" w:rsidRDefault="008F1269" w:rsidP="00453CB4">
      <w:pPr>
        <w:jc w:val="both"/>
      </w:pPr>
      <w:r w:rsidRPr="00503F5B">
        <w:t>Table 9</w:t>
      </w:r>
      <w:r w:rsidR="00C3474D" w:rsidRPr="00503F5B">
        <w:t xml:space="preserve"> </w:t>
      </w:r>
      <w:r w:rsidRPr="00503F5B">
        <w:t>summarises the various statutory and currently non-billable functions to be charged under proposed regulation 2</w:t>
      </w:r>
      <w:r w:rsidR="00EC4EB3" w:rsidRPr="00503F5B">
        <w:t>1</w:t>
      </w:r>
      <w:r w:rsidR="007604D9" w:rsidRPr="00503F5B">
        <w:t>, including</w:t>
      </w:r>
      <w:r w:rsidR="00472954" w:rsidRPr="00503F5B">
        <w:t xml:space="preserve">: </w:t>
      </w:r>
      <w:r w:rsidR="007604D9" w:rsidRPr="00503F5B">
        <w:t>average volume of transactions</w:t>
      </w:r>
      <w:r w:rsidR="00037448" w:rsidRPr="00503F5B">
        <w:t xml:space="preserve"> for both MFB and CFA</w:t>
      </w:r>
      <w:r w:rsidR="00EC4EB3" w:rsidRPr="00503F5B">
        <w:t xml:space="preserve"> </w:t>
      </w:r>
      <w:r w:rsidR="00037448" w:rsidRPr="00503F5B">
        <w:t>integrated stations</w:t>
      </w:r>
      <w:r w:rsidR="007604D9" w:rsidRPr="00503F5B">
        <w:t xml:space="preserve"> </w:t>
      </w:r>
      <w:r w:rsidR="00472954" w:rsidRPr="00503F5B">
        <w:t xml:space="preserve">of around </w:t>
      </w:r>
      <w:r w:rsidR="007340E3">
        <w:t>3,260</w:t>
      </w:r>
      <w:r w:rsidR="00472954" w:rsidRPr="00503F5B">
        <w:t xml:space="preserve"> per annum; </w:t>
      </w:r>
      <w:r w:rsidR="007604D9" w:rsidRPr="00503F5B">
        <w:t>average times taken</w:t>
      </w:r>
      <w:r w:rsidR="008F5D80" w:rsidRPr="00503F5B">
        <w:t xml:space="preserve"> including processing</w:t>
      </w:r>
      <w:r w:rsidR="007604D9" w:rsidRPr="00503F5B">
        <w:t xml:space="preserve"> in hours</w:t>
      </w:r>
      <w:r w:rsidR="00472954" w:rsidRPr="00503F5B">
        <w:t>;</w:t>
      </w:r>
      <w:r w:rsidR="00C01AFD" w:rsidRPr="00503F5B">
        <w:t xml:space="preserve"> and expected fee revenue</w:t>
      </w:r>
      <w:r w:rsidR="00C01AFD" w:rsidRPr="00503F5B">
        <w:rPr>
          <w:b/>
          <w:bCs/>
        </w:rPr>
        <w:t>.</w:t>
      </w:r>
    </w:p>
    <w:p w14:paraId="73877CFB" w14:textId="067F35C0" w:rsidR="004B330F" w:rsidRPr="00503F5B" w:rsidRDefault="00037448" w:rsidP="00037448">
      <w:pPr>
        <w:spacing w:after="160" w:line="259" w:lineRule="auto"/>
      </w:pPr>
      <w:r w:rsidRPr="00503F5B">
        <w:br w:type="page"/>
      </w:r>
    </w:p>
    <w:p w14:paraId="4C69BE66" w14:textId="77777777" w:rsidR="000846F8" w:rsidRPr="00503F5B" w:rsidRDefault="000846F8" w:rsidP="000846F8">
      <w:pPr>
        <w:jc w:val="center"/>
        <w:rPr>
          <w:b/>
          <w:sz w:val="20"/>
          <w:szCs w:val="20"/>
        </w:rPr>
        <w:sectPr w:rsidR="000846F8" w:rsidRPr="00503F5B" w:rsidSect="00E04C6D">
          <w:footerReference w:type="even" r:id="rId17"/>
          <w:footerReference w:type="default" r:id="rId18"/>
          <w:pgSz w:w="11906" w:h="16838"/>
          <w:pgMar w:top="1656" w:right="2244" w:bottom="1440" w:left="1440" w:header="794" w:footer="709" w:gutter="0"/>
          <w:cols w:space="708"/>
          <w:docGrid w:linePitch="360"/>
        </w:sectPr>
      </w:pPr>
    </w:p>
    <w:p w14:paraId="22957EFA" w14:textId="0C3A01E2" w:rsidR="000846F8" w:rsidRPr="00503F5B" w:rsidRDefault="000846F8" w:rsidP="000846F8">
      <w:pPr>
        <w:jc w:val="center"/>
        <w:rPr>
          <w:rFonts w:asciiTheme="minorHAnsi" w:eastAsiaTheme="minorHAnsi" w:hAnsiTheme="minorHAnsi" w:cstheme="minorBidi"/>
          <w:b/>
          <w:color w:val="auto"/>
          <w:sz w:val="20"/>
          <w:szCs w:val="20"/>
        </w:rPr>
      </w:pPr>
      <w:r w:rsidRPr="00503F5B">
        <w:rPr>
          <w:b/>
          <w:sz w:val="20"/>
          <w:szCs w:val="20"/>
        </w:rPr>
        <w:lastRenderedPageBreak/>
        <w:t xml:space="preserve">Table </w:t>
      </w:r>
      <w:r w:rsidR="00617D3A" w:rsidRPr="00503F5B">
        <w:rPr>
          <w:b/>
          <w:sz w:val="20"/>
          <w:szCs w:val="20"/>
        </w:rPr>
        <w:t>9</w:t>
      </w:r>
      <w:r w:rsidRPr="00503F5B">
        <w:rPr>
          <w:b/>
          <w:sz w:val="20"/>
          <w:szCs w:val="20"/>
        </w:rPr>
        <w:t>: Summary of projected annual fee revenue for FRV from fire protection charges</w:t>
      </w:r>
      <w:r w:rsidR="00472954" w:rsidRPr="00503F5B">
        <w:rPr>
          <w:rStyle w:val="FootnoteReference"/>
          <w:b/>
          <w:sz w:val="20"/>
          <w:szCs w:val="20"/>
        </w:rPr>
        <w:footnoteReference w:id="56"/>
      </w:r>
    </w:p>
    <w:p w14:paraId="3A5751A7" w14:textId="42E43E5F" w:rsidR="004B330F" w:rsidRPr="00503F5B" w:rsidRDefault="004B330F" w:rsidP="00453CB4">
      <w:pPr>
        <w:jc w:val="both"/>
      </w:pPr>
    </w:p>
    <w:tbl>
      <w:tblPr>
        <w:tblW w:w="15193" w:type="dxa"/>
        <w:jc w:val="center"/>
        <w:tblLook w:val="04A0" w:firstRow="1" w:lastRow="0" w:firstColumn="1" w:lastColumn="0" w:noHBand="0" w:noVBand="1"/>
      </w:tblPr>
      <w:tblGrid>
        <w:gridCol w:w="5103"/>
        <w:gridCol w:w="1310"/>
        <w:gridCol w:w="1158"/>
        <w:gridCol w:w="1424"/>
        <w:gridCol w:w="1735"/>
        <w:gridCol w:w="1735"/>
        <w:gridCol w:w="1735"/>
        <w:gridCol w:w="993"/>
      </w:tblGrid>
      <w:tr w:rsidR="00472954" w:rsidRPr="00503F5B" w14:paraId="3DC417DB" w14:textId="77777777" w:rsidTr="009917B8">
        <w:trPr>
          <w:trHeight w:val="1545"/>
          <w:tblHeader/>
          <w:jc w:val="center"/>
        </w:trPr>
        <w:tc>
          <w:tcPr>
            <w:tcW w:w="5103" w:type="dxa"/>
            <w:tcBorders>
              <w:top w:val="single" w:sz="8" w:space="0" w:color="ED7C5D"/>
              <w:left w:val="nil"/>
              <w:bottom w:val="double" w:sz="6" w:space="0" w:color="ED7C5D"/>
              <w:right w:val="nil"/>
            </w:tcBorders>
            <w:shd w:val="clear" w:color="000000" w:fill="FFFFFF"/>
            <w:vAlign w:val="center"/>
            <w:hideMark/>
          </w:tcPr>
          <w:p w14:paraId="5C39BDDA" w14:textId="77777777" w:rsidR="0041660B" w:rsidRPr="00503F5B" w:rsidRDefault="0041660B" w:rsidP="0041660B">
            <w:pPr>
              <w:rPr>
                <w:rFonts w:eastAsia="Times New Roman" w:cs="Calibri"/>
                <w:b/>
                <w:bCs/>
                <w:color w:val="BE2A18"/>
                <w:sz w:val="20"/>
                <w:szCs w:val="20"/>
                <w:lang w:eastAsia="en-AU"/>
              </w:rPr>
            </w:pPr>
            <w:r w:rsidRPr="00503F5B">
              <w:rPr>
                <w:rFonts w:eastAsia="Times New Roman" w:cs="Calibri"/>
                <w:b/>
                <w:bCs/>
                <w:color w:val="BE2A18"/>
                <w:sz w:val="20"/>
                <w:szCs w:val="20"/>
                <w:lang w:eastAsia="en-AU"/>
              </w:rPr>
              <w:t xml:space="preserve">Function </w:t>
            </w:r>
          </w:p>
        </w:tc>
        <w:tc>
          <w:tcPr>
            <w:tcW w:w="1310" w:type="dxa"/>
            <w:tcBorders>
              <w:top w:val="single" w:sz="8" w:space="0" w:color="ED7C5D"/>
              <w:left w:val="nil"/>
              <w:bottom w:val="double" w:sz="6" w:space="0" w:color="ED7C5D"/>
              <w:right w:val="nil"/>
            </w:tcBorders>
            <w:shd w:val="clear" w:color="000000" w:fill="FFFFFF"/>
            <w:vAlign w:val="center"/>
            <w:hideMark/>
          </w:tcPr>
          <w:p w14:paraId="2E352BCA" w14:textId="77777777" w:rsidR="0041660B" w:rsidRPr="00503F5B" w:rsidRDefault="0041660B" w:rsidP="0041660B">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Average annual volume of transactions (July 2016 to June 2019)</w:t>
            </w:r>
          </w:p>
        </w:tc>
        <w:tc>
          <w:tcPr>
            <w:tcW w:w="1158" w:type="dxa"/>
            <w:tcBorders>
              <w:top w:val="single" w:sz="8" w:space="0" w:color="ED7C5D"/>
              <w:left w:val="nil"/>
              <w:bottom w:val="double" w:sz="6" w:space="0" w:color="ED7C5D"/>
              <w:right w:val="nil"/>
            </w:tcBorders>
            <w:shd w:val="clear" w:color="000000" w:fill="FFFFFF"/>
            <w:vAlign w:val="center"/>
            <w:hideMark/>
          </w:tcPr>
          <w:p w14:paraId="48DDA4D2" w14:textId="77777777" w:rsidR="0041660B" w:rsidRPr="00503F5B" w:rsidRDefault="0041660B" w:rsidP="0041660B">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Average time taken per transaction (hours)</w:t>
            </w:r>
          </w:p>
        </w:tc>
        <w:tc>
          <w:tcPr>
            <w:tcW w:w="1424" w:type="dxa"/>
            <w:tcBorders>
              <w:top w:val="single" w:sz="8" w:space="0" w:color="ED7C5D"/>
              <w:left w:val="nil"/>
              <w:bottom w:val="double" w:sz="6" w:space="0" w:color="ED7C5D"/>
              <w:right w:val="nil"/>
            </w:tcBorders>
            <w:shd w:val="clear" w:color="000000" w:fill="FFFFFF"/>
            <w:vAlign w:val="center"/>
            <w:hideMark/>
          </w:tcPr>
          <w:p w14:paraId="17AF902F" w14:textId="65EA1520" w:rsidR="0041660B" w:rsidRPr="00503F5B" w:rsidRDefault="000846F8" w:rsidP="0041660B">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T</w:t>
            </w:r>
            <w:r w:rsidR="00037448" w:rsidRPr="00503F5B">
              <w:rPr>
                <w:rFonts w:eastAsia="Times New Roman" w:cs="Calibri"/>
                <w:b/>
                <w:bCs/>
                <w:color w:val="BE2A18"/>
                <w:sz w:val="20"/>
                <w:szCs w:val="20"/>
                <w:lang w:eastAsia="en-AU"/>
              </w:rPr>
              <w:t>ime</w:t>
            </w:r>
            <w:r w:rsidR="0041660B" w:rsidRPr="00503F5B">
              <w:rPr>
                <w:rFonts w:eastAsia="Times New Roman" w:cs="Calibri"/>
                <w:b/>
                <w:bCs/>
                <w:color w:val="BE2A18"/>
                <w:sz w:val="20"/>
                <w:szCs w:val="20"/>
                <w:lang w:eastAsia="en-AU"/>
              </w:rPr>
              <w:t xml:space="preserve"> </w:t>
            </w:r>
            <w:r w:rsidRPr="00503F5B">
              <w:rPr>
                <w:rFonts w:eastAsia="Times New Roman" w:cs="Calibri"/>
                <w:b/>
                <w:bCs/>
                <w:color w:val="BE2A18"/>
                <w:sz w:val="20"/>
                <w:szCs w:val="20"/>
                <w:lang w:eastAsia="en-AU"/>
              </w:rPr>
              <w:t xml:space="preserve">in excess of </w:t>
            </w:r>
            <w:r w:rsidR="0041660B" w:rsidRPr="00503F5B">
              <w:rPr>
                <w:rFonts w:eastAsia="Times New Roman" w:cs="Calibri"/>
                <w:b/>
                <w:bCs/>
                <w:color w:val="BE2A18"/>
                <w:sz w:val="20"/>
                <w:szCs w:val="20"/>
                <w:lang w:eastAsia="en-AU"/>
              </w:rPr>
              <w:t xml:space="preserve">initial </w:t>
            </w:r>
            <w:r w:rsidR="00037448" w:rsidRPr="00503F5B">
              <w:rPr>
                <w:rFonts w:eastAsia="Times New Roman" w:cs="Calibri"/>
                <w:b/>
                <w:bCs/>
                <w:color w:val="BE2A18"/>
                <w:sz w:val="20"/>
                <w:szCs w:val="20"/>
                <w:lang w:eastAsia="en-AU"/>
              </w:rPr>
              <w:t>first hour of time taken per transaction</w:t>
            </w:r>
          </w:p>
          <w:p w14:paraId="7A08EE38" w14:textId="214D6AE0" w:rsidR="000846F8" w:rsidRPr="00503F5B" w:rsidRDefault="000846F8" w:rsidP="0041660B">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(lots of 15 min)</w:t>
            </w:r>
          </w:p>
        </w:tc>
        <w:tc>
          <w:tcPr>
            <w:tcW w:w="1735" w:type="dxa"/>
            <w:tcBorders>
              <w:top w:val="single" w:sz="8" w:space="0" w:color="ED7C5D"/>
              <w:left w:val="nil"/>
              <w:bottom w:val="double" w:sz="6" w:space="0" w:color="ED7C5D"/>
              <w:right w:val="nil"/>
            </w:tcBorders>
            <w:shd w:val="clear" w:color="000000" w:fill="FFFFFF"/>
            <w:vAlign w:val="center"/>
            <w:hideMark/>
          </w:tcPr>
          <w:p w14:paraId="43A7C3B1" w14:textId="67356B4D" w:rsidR="0041660B" w:rsidRPr="00503F5B" w:rsidRDefault="0041660B" w:rsidP="0041660B">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Estimated revenue from first hour (</w:t>
            </w:r>
            <w:r w:rsidR="000846F8" w:rsidRPr="00503F5B">
              <w:rPr>
                <w:rFonts w:eastAsia="Times New Roman" w:cs="Calibri"/>
                <w:b/>
                <w:bCs/>
                <w:color w:val="BE2A18"/>
                <w:sz w:val="20"/>
                <w:szCs w:val="20"/>
                <w:lang w:eastAsia="en-AU"/>
              </w:rPr>
              <w:t>@</w:t>
            </w:r>
            <w:r w:rsidRPr="00503F5B">
              <w:rPr>
                <w:rFonts w:eastAsia="Times New Roman" w:cs="Calibri"/>
                <w:b/>
                <w:bCs/>
                <w:color w:val="BE2A18"/>
                <w:sz w:val="20"/>
                <w:szCs w:val="20"/>
                <w:lang w:eastAsia="en-AU"/>
              </w:rPr>
              <w:t>$148.10 for first hour)</w:t>
            </w:r>
          </w:p>
        </w:tc>
        <w:tc>
          <w:tcPr>
            <w:tcW w:w="1735" w:type="dxa"/>
            <w:tcBorders>
              <w:top w:val="single" w:sz="8" w:space="0" w:color="ED7C5D"/>
              <w:left w:val="nil"/>
              <w:bottom w:val="double" w:sz="6" w:space="0" w:color="ED7C5D"/>
              <w:right w:val="nil"/>
            </w:tcBorders>
            <w:shd w:val="clear" w:color="000000" w:fill="FFFFFF"/>
            <w:vAlign w:val="center"/>
            <w:hideMark/>
          </w:tcPr>
          <w:p w14:paraId="160B4621" w14:textId="07626582" w:rsidR="0041660B" w:rsidRPr="00503F5B" w:rsidRDefault="0041660B" w:rsidP="0041660B">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 xml:space="preserve">Estimated </w:t>
            </w:r>
            <w:r w:rsidR="00C01AFD" w:rsidRPr="00503F5B">
              <w:rPr>
                <w:rFonts w:eastAsia="Times New Roman" w:cs="Calibri"/>
                <w:b/>
                <w:bCs/>
                <w:color w:val="BE2A18"/>
                <w:sz w:val="20"/>
                <w:szCs w:val="20"/>
                <w:lang w:eastAsia="en-AU"/>
              </w:rPr>
              <w:t>revenue for</w:t>
            </w:r>
            <w:r w:rsidRPr="00503F5B">
              <w:rPr>
                <w:rFonts w:eastAsia="Times New Roman" w:cs="Calibri"/>
                <w:b/>
                <w:bCs/>
                <w:color w:val="BE2A18"/>
                <w:sz w:val="20"/>
                <w:szCs w:val="20"/>
                <w:lang w:eastAsia="en-AU"/>
              </w:rPr>
              <w:t xml:space="preserve"> subsequent quarter hours (</w:t>
            </w:r>
            <w:r w:rsidR="000846F8" w:rsidRPr="00503F5B">
              <w:rPr>
                <w:rFonts w:eastAsia="Times New Roman" w:cs="Calibri"/>
                <w:b/>
                <w:bCs/>
                <w:color w:val="BE2A18"/>
                <w:sz w:val="20"/>
                <w:szCs w:val="20"/>
                <w:lang w:eastAsia="en-AU"/>
              </w:rPr>
              <w:t>@</w:t>
            </w:r>
            <w:r w:rsidRPr="00503F5B">
              <w:rPr>
                <w:rFonts w:eastAsia="Times New Roman" w:cs="Calibri"/>
                <w:b/>
                <w:bCs/>
                <w:color w:val="BE2A18"/>
                <w:sz w:val="20"/>
                <w:szCs w:val="20"/>
                <w:lang w:eastAsia="en-AU"/>
              </w:rPr>
              <w:t>$27.03 per 15 min)</w:t>
            </w:r>
          </w:p>
        </w:tc>
        <w:tc>
          <w:tcPr>
            <w:tcW w:w="1735" w:type="dxa"/>
            <w:tcBorders>
              <w:top w:val="single" w:sz="8" w:space="0" w:color="ED7C5D"/>
              <w:left w:val="nil"/>
              <w:bottom w:val="double" w:sz="6" w:space="0" w:color="ED7C5D"/>
              <w:right w:val="nil"/>
            </w:tcBorders>
            <w:shd w:val="clear" w:color="000000" w:fill="FFFFFF"/>
            <w:vAlign w:val="center"/>
            <w:hideMark/>
          </w:tcPr>
          <w:p w14:paraId="498E17E2" w14:textId="77777777" w:rsidR="0041660B" w:rsidRPr="00503F5B" w:rsidRDefault="0041660B" w:rsidP="0041660B">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Total estimated fee revenue</w:t>
            </w:r>
          </w:p>
        </w:tc>
        <w:tc>
          <w:tcPr>
            <w:tcW w:w="993" w:type="dxa"/>
            <w:tcBorders>
              <w:top w:val="single" w:sz="8" w:space="0" w:color="ED7C5D"/>
              <w:left w:val="nil"/>
              <w:bottom w:val="double" w:sz="6" w:space="0" w:color="ED7C5D"/>
              <w:right w:val="nil"/>
            </w:tcBorders>
            <w:shd w:val="clear" w:color="000000" w:fill="FFFFFF"/>
            <w:vAlign w:val="center"/>
            <w:hideMark/>
          </w:tcPr>
          <w:p w14:paraId="6B372645" w14:textId="77777777" w:rsidR="0041660B" w:rsidRPr="00503F5B" w:rsidRDefault="0041660B" w:rsidP="0041660B">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Currently charged for</w:t>
            </w:r>
          </w:p>
        </w:tc>
      </w:tr>
      <w:tr w:rsidR="00472954" w:rsidRPr="00503F5B" w14:paraId="250C8645" w14:textId="77777777" w:rsidTr="009917B8">
        <w:trPr>
          <w:trHeight w:val="315"/>
          <w:jc w:val="center"/>
        </w:trPr>
        <w:tc>
          <w:tcPr>
            <w:tcW w:w="5103" w:type="dxa"/>
            <w:tcBorders>
              <w:top w:val="nil"/>
              <w:left w:val="nil"/>
              <w:bottom w:val="nil"/>
              <w:right w:val="nil"/>
            </w:tcBorders>
            <w:shd w:val="clear" w:color="000000" w:fill="FFFFFF"/>
            <w:vAlign w:val="center"/>
            <w:hideMark/>
          </w:tcPr>
          <w:p w14:paraId="26D410E4" w14:textId="1EA771AF" w:rsidR="0041660B" w:rsidRPr="00503F5B" w:rsidRDefault="0041660B" w:rsidP="0041660B">
            <w:pPr>
              <w:rPr>
                <w:rFonts w:eastAsia="Times New Roman" w:cs="Calibri"/>
                <w:b/>
                <w:bCs/>
                <w:sz w:val="20"/>
                <w:szCs w:val="20"/>
                <w:lang w:eastAsia="en-AU"/>
              </w:rPr>
            </w:pPr>
            <w:r w:rsidRPr="00503F5B">
              <w:rPr>
                <w:rFonts w:eastAsia="Times New Roman" w:cs="Calibri"/>
                <w:b/>
                <w:bCs/>
                <w:sz w:val="20"/>
                <w:szCs w:val="20"/>
                <w:lang w:eastAsia="en-AU"/>
              </w:rPr>
              <w:t xml:space="preserve">Dangerous </w:t>
            </w:r>
            <w:r w:rsidR="002B05B8">
              <w:rPr>
                <w:rFonts w:eastAsia="Times New Roman" w:cs="Calibri"/>
                <w:b/>
                <w:bCs/>
                <w:sz w:val="20"/>
                <w:szCs w:val="20"/>
                <w:lang w:eastAsia="en-AU"/>
              </w:rPr>
              <w:t>G</w:t>
            </w:r>
            <w:r w:rsidRPr="00503F5B">
              <w:rPr>
                <w:rFonts w:eastAsia="Times New Roman" w:cs="Calibri"/>
                <w:b/>
                <w:bCs/>
                <w:sz w:val="20"/>
                <w:szCs w:val="20"/>
                <w:lang w:eastAsia="en-AU"/>
              </w:rPr>
              <w:t>oods</w:t>
            </w:r>
          </w:p>
        </w:tc>
        <w:tc>
          <w:tcPr>
            <w:tcW w:w="1310" w:type="dxa"/>
            <w:tcBorders>
              <w:top w:val="nil"/>
              <w:left w:val="nil"/>
              <w:bottom w:val="nil"/>
              <w:right w:val="nil"/>
            </w:tcBorders>
            <w:shd w:val="clear" w:color="000000" w:fill="FFFFFF"/>
            <w:noWrap/>
            <w:vAlign w:val="center"/>
            <w:hideMark/>
          </w:tcPr>
          <w:p w14:paraId="3098B69F" w14:textId="77777777" w:rsidR="0041660B" w:rsidRPr="00503F5B" w:rsidRDefault="0041660B" w:rsidP="0041660B">
            <w:pPr>
              <w:jc w:val="center"/>
              <w:rPr>
                <w:rFonts w:eastAsia="Times New Roman" w:cs="Calibri"/>
                <w:sz w:val="20"/>
                <w:szCs w:val="20"/>
                <w:lang w:eastAsia="en-AU"/>
              </w:rPr>
            </w:pPr>
            <w:r w:rsidRPr="00503F5B">
              <w:rPr>
                <w:rFonts w:eastAsia="Times New Roman" w:cs="Calibri"/>
                <w:sz w:val="20"/>
                <w:szCs w:val="20"/>
                <w:lang w:eastAsia="en-AU"/>
              </w:rPr>
              <w:t> </w:t>
            </w:r>
          </w:p>
        </w:tc>
        <w:tc>
          <w:tcPr>
            <w:tcW w:w="1158" w:type="dxa"/>
            <w:tcBorders>
              <w:top w:val="nil"/>
              <w:left w:val="nil"/>
              <w:bottom w:val="nil"/>
              <w:right w:val="nil"/>
            </w:tcBorders>
            <w:shd w:val="clear" w:color="000000" w:fill="FFFFFF"/>
            <w:vAlign w:val="center"/>
            <w:hideMark/>
          </w:tcPr>
          <w:p w14:paraId="6DA2C9A6" w14:textId="77777777" w:rsidR="0041660B" w:rsidRPr="00503F5B" w:rsidRDefault="0041660B" w:rsidP="0041660B">
            <w:pPr>
              <w:jc w:val="center"/>
              <w:rPr>
                <w:rFonts w:eastAsia="Times New Roman" w:cs="Calibri"/>
                <w:sz w:val="20"/>
                <w:szCs w:val="20"/>
                <w:lang w:eastAsia="en-AU"/>
              </w:rPr>
            </w:pPr>
            <w:r w:rsidRPr="00503F5B">
              <w:rPr>
                <w:rFonts w:eastAsia="Times New Roman" w:cs="Calibri"/>
                <w:sz w:val="20"/>
                <w:szCs w:val="20"/>
                <w:lang w:eastAsia="en-AU"/>
              </w:rPr>
              <w:t> </w:t>
            </w:r>
          </w:p>
        </w:tc>
        <w:tc>
          <w:tcPr>
            <w:tcW w:w="1424" w:type="dxa"/>
            <w:tcBorders>
              <w:top w:val="nil"/>
              <w:left w:val="nil"/>
              <w:bottom w:val="nil"/>
              <w:right w:val="nil"/>
            </w:tcBorders>
            <w:shd w:val="clear" w:color="000000" w:fill="FFFFFF"/>
            <w:vAlign w:val="center"/>
            <w:hideMark/>
          </w:tcPr>
          <w:p w14:paraId="191EE7FB" w14:textId="77777777" w:rsidR="0041660B" w:rsidRPr="00503F5B" w:rsidRDefault="0041660B" w:rsidP="0041660B">
            <w:pPr>
              <w:jc w:val="center"/>
              <w:rPr>
                <w:rFonts w:eastAsia="Times New Roman" w:cs="Calibri"/>
                <w:sz w:val="20"/>
                <w:szCs w:val="20"/>
                <w:lang w:eastAsia="en-AU"/>
              </w:rPr>
            </w:pPr>
            <w:r w:rsidRPr="00503F5B">
              <w:rPr>
                <w:rFonts w:eastAsia="Times New Roman" w:cs="Calibri"/>
                <w:sz w:val="20"/>
                <w:szCs w:val="20"/>
                <w:lang w:eastAsia="en-AU"/>
              </w:rPr>
              <w:t> </w:t>
            </w:r>
          </w:p>
        </w:tc>
        <w:tc>
          <w:tcPr>
            <w:tcW w:w="1735" w:type="dxa"/>
            <w:tcBorders>
              <w:top w:val="nil"/>
              <w:left w:val="nil"/>
              <w:bottom w:val="nil"/>
              <w:right w:val="nil"/>
            </w:tcBorders>
            <w:shd w:val="clear" w:color="000000" w:fill="FFFFFF"/>
            <w:vAlign w:val="center"/>
            <w:hideMark/>
          </w:tcPr>
          <w:p w14:paraId="51B659A1" w14:textId="77777777" w:rsidR="0041660B" w:rsidRPr="00503F5B" w:rsidRDefault="0041660B" w:rsidP="0041660B">
            <w:pPr>
              <w:jc w:val="center"/>
              <w:rPr>
                <w:rFonts w:eastAsia="Times New Roman" w:cs="Calibri"/>
                <w:sz w:val="20"/>
                <w:szCs w:val="20"/>
                <w:lang w:eastAsia="en-AU"/>
              </w:rPr>
            </w:pPr>
            <w:r w:rsidRPr="00503F5B">
              <w:rPr>
                <w:rFonts w:eastAsia="Times New Roman" w:cs="Calibri"/>
                <w:sz w:val="20"/>
                <w:szCs w:val="20"/>
                <w:lang w:eastAsia="en-AU"/>
              </w:rPr>
              <w:t> </w:t>
            </w:r>
          </w:p>
        </w:tc>
        <w:tc>
          <w:tcPr>
            <w:tcW w:w="1735" w:type="dxa"/>
            <w:tcBorders>
              <w:top w:val="nil"/>
              <w:left w:val="nil"/>
              <w:bottom w:val="nil"/>
              <w:right w:val="nil"/>
            </w:tcBorders>
            <w:shd w:val="clear" w:color="000000" w:fill="FFFFFF"/>
            <w:vAlign w:val="center"/>
            <w:hideMark/>
          </w:tcPr>
          <w:p w14:paraId="5B996056" w14:textId="77777777" w:rsidR="0041660B" w:rsidRPr="00503F5B" w:rsidRDefault="0041660B" w:rsidP="0041660B">
            <w:pPr>
              <w:jc w:val="center"/>
              <w:rPr>
                <w:rFonts w:eastAsia="Times New Roman" w:cs="Calibri"/>
                <w:sz w:val="20"/>
                <w:szCs w:val="20"/>
                <w:lang w:eastAsia="en-AU"/>
              </w:rPr>
            </w:pPr>
            <w:r w:rsidRPr="00503F5B">
              <w:rPr>
                <w:rFonts w:eastAsia="Times New Roman" w:cs="Calibri"/>
                <w:sz w:val="20"/>
                <w:szCs w:val="20"/>
                <w:lang w:eastAsia="en-AU"/>
              </w:rPr>
              <w:t> </w:t>
            </w:r>
          </w:p>
        </w:tc>
        <w:tc>
          <w:tcPr>
            <w:tcW w:w="1735" w:type="dxa"/>
            <w:tcBorders>
              <w:top w:val="nil"/>
              <w:left w:val="nil"/>
              <w:bottom w:val="nil"/>
              <w:right w:val="nil"/>
            </w:tcBorders>
            <w:shd w:val="clear" w:color="000000" w:fill="FFFFFF"/>
            <w:vAlign w:val="center"/>
            <w:hideMark/>
          </w:tcPr>
          <w:p w14:paraId="26119DD5" w14:textId="77777777" w:rsidR="0041660B" w:rsidRPr="00503F5B" w:rsidRDefault="0041660B" w:rsidP="0041660B">
            <w:pPr>
              <w:jc w:val="center"/>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nil"/>
              <w:right w:val="nil"/>
            </w:tcBorders>
            <w:shd w:val="clear" w:color="000000" w:fill="FFFFFF"/>
            <w:vAlign w:val="center"/>
            <w:hideMark/>
          </w:tcPr>
          <w:p w14:paraId="0CE0BF03" w14:textId="77777777" w:rsidR="0041660B" w:rsidRPr="00503F5B" w:rsidRDefault="0041660B" w:rsidP="0041660B">
            <w:pPr>
              <w:jc w:val="center"/>
              <w:rPr>
                <w:rFonts w:eastAsia="Times New Roman" w:cs="Calibri"/>
                <w:sz w:val="20"/>
                <w:szCs w:val="20"/>
                <w:lang w:eastAsia="en-AU"/>
              </w:rPr>
            </w:pPr>
            <w:r w:rsidRPr="00503F5B">
              <w:rPr>
                <w:rFonts w:eastAsia="Times New Roman" w:cs="Calibri"/>
                <w:sz w:val="20"/>
                <w:szCs w:val="20"/>
                <w:lang w:eastAsia="en-AU"/>
              </w:rPr>
              <w:t> </w:t>
            </w:r>
          </w:p>
        </w:tc>
      </w:tr>
      <w:tr w:rsidR="00BD1616" w:rsidRPr="00503F5B" w14:paraId="673433B6" w14:textId="77777777" w:rsidTr="009917B8">
        <w:trPr>
          <w:trHeight w:val="403"/>
          <w:jc w:val="center"/>
        </w:trPr>
        <w:tc>
          <w:tcPr>
            <w:tcW w:w="5103" w:type="dxa"/>
            <w:tcBorders>
              <w:top w:val="nil"/>
              <w:left w:val="nil"/>
              <w:bottom w:val="single" w:sz="8" w:space="0" w:color="ED7C5D"/>
              <w:right w:val="nil"/>
            </w:tcBorders>
            <w:shd w:val="clear" w:color="000000" w:fill="FFFFFF"/>
            <w:vAlign w:val="center"/>
            <w:hideMark/>
          </w:tcPr>
          <w:p w14:paraId="6C87D709" w14:textId="77777777" w:rsidR="00BD1616" w:rsidRPr="00503F5B" w:rsidRDefault="00BD1616" w:rsidP="00BD1616">
            <w:pPr>
              <w:rPr>
                <w:rFonts w:eastAsia="Times New Roman" w:cs="Calibri"/>
                <w:sz w:val="20"/>
                <w:szCs w:val="20"/>
                <w:lang w:eastAsia="en-AU"/>
              </w:rPr>
            </w:pPr>
            <w:r w:rsidRPr="00503F5B">
              <w:rPr>
                <w:rFonts w:eastAsia="Times New Roman" w:cs="Calibri"/>
                <w:sz w:val="18"/>
                <w:szCs w:val="18"/>
                <w:lang w:eastAsia="en-AU"/>
              </w:rPr>
              <w:t>Reports or letters of advice with regards to placarding; fire protection; emergency procedures; explosives; and major hazard facility</w:t>
            </w:r>
          </w:p>
        </w:tc>
        <w:tc>
          <w:tcPr>
            <w:tcW w:w="1310" w:type="dxa"/>
            <w:tcBorders>
              <w:top w:val="nil"/>
              <w:left w:val="nil"/>
              <w:bottom w:val="single" w:sz="8" w:space="0" w:color="ED7C5D"/>
              <w:right w:val="nil"/>
            </w:tcBorders>
            <w:shd w:val="clear" w:color="000000" w:fill="FFFFFF"/>
            <w:noWrap/>
            <w:vAlign w:val="center"/>
            <w:hideMark/>
          </w:tcPr>
          <w:p w14:paraId="32516989"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224</w:t>
            </w:r>
          </w:p>
        </w:tc>
        <w:tc>
          <w:tcPr>
            <w:tcW w:w="1158" w:type="dxa"/>
            <w:tcBorders>
              <w:top w:val="nil"/>
              <w:left w:val="nil"/>
              <w:bottom w:val="single" w:sz="8" w:space="0" w:color="ED7C5D"/>
              <w:right w:val="nil"/>
            </w:tcBorders>
            <w:shd w:val="clear" w:color="000000" w:fill="FFFFFF"/>
            <w:vAlign w:val="center"/>
            <w:hideMark/>
          </w:tcPr>
          <w:p w14:paraId="784A6A95"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5.5</w:t>
            </w:r>
          </w:p>
        </w:tc>
        <w:tc>
          <w:tcPr>
            <w:tcW w:w="1424" w:type="dxa"/>
            <w:tcBorders>
              <w:top w:val="nil"/>
              <w:left w:val="nil"/>
              <w:bottom w:val="single" w:sz="8" w:space="0" w:color="ED7C5D"/>
              <w:right w:val="nil"/>
            </w:tcBorders>
            <w:shd w:val="clear" w:color="000000" w:fill="FFFFFF"/>
            <w:vAlign w:val="center"/>
            <w:hideMark/>
          </w:tcPr>
          <w:p w14:paraId="59E7D0B6"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18</w:t>
            </w:r>
          </w:p>
        </w:tc>
        <w:tc>
          <w:tcPr>
            <w:tcW w:w="1735" w:type="dxa"/>
            <w:tcBorders>
              <w:top w:val="nil"/>
              <w:left w:val="nil"/>
              <w:bottom w:val="single" w:sz="8" w:space="0" w:color="ED7C5D"/>
              <w:right w:val="nil"/>
            </w:tcBorders>
            <w:shd w:val="clear" w:color="000000" w:fill="FFFFFF"/>
            <w:vAlign w:val="center"/>
            <w:hideMark/>
          </w:tcPr>
          <w:p w14:paraId="2D3EB640" w14:textId="4CF7C689" w:rsidR="00BD1616" w:rsidRPr="00503F5B" w:rsidRDefault="00BD1616" w:rsidP="00BD1616">
            <w:pPr>
              <w:jc w:val="right"/>
              <w:rPr>
                <w:rFonts w:eastAsia="Times New Roman" w:cs="Calibri"/>
                <w:sz w:val="20"/>
                <w:szCs w:val="20"/>
                <w:lang w:eastAsia="en-AU"/>
              </w:rPr>
            </w:pPr>
            <w:r w:rsidRPr="00503F5B">
              <w:rPr>
                <w:rFonts w:cs="Calibri"/>
                <w:sz w:val="20"/>
                <w:szCs w:val="20"/>
              </w:rPr>
              <w:t>$33,174</w:t>
            </w:r>
          </w:p>
        </w:tc>
        <w:tc>
          <w:tcPr>
            <w:tcW w:w="1735" w:type="dxa"/>
            <w:tcBorders>
              <w:top w:val="nil"/>
              <w:left w:val="nil"/>
              <w:bottom w:val="single" w:sz="8" w:space="0" w:color="ED7C5D"/>
              <w:right w:val="nil"/>
            </w:tcBorders>
            <w:shd w:val="clear" w:color="000000" w:fill="FFFFFF"/>
            <w:vAlign w:val="center"/>
            <w:hideMark/>
          </w:tcPr>
          <w:p w14:paraId="59E290D0" w14:textId="58884B69" w:rsidR="00BD1616" w:rsidRPr="00503F5B" w:rsidRDefault="00BD1616" w:rsidP="00BD1616">
            <w:pPr>
              <w:jc w:val="right"/>
              <w:rPr>
                <w:rFonts w:eastAsia="Times New Roman" w:cs="Calibri"/>
                <w:sz w:val="20"/>
                <w:szCs w:val="20"/>
                <w:lang w:eastAsia="en-AU"/>
              </w:rPr>
            </w:pPr>
            <w:r w:rsidRPr="00503F5B">
              <w:rPr>
                <w:rFonts w:cs="Calibri"/>
                <w:sz w:val="20"/>
                <w:szCs w:val="20"/>
              </w:rPr>
              <w:t>$108,985</w:t>
            </w:r>
          </w:p>
        </w:tc>
        <w:tc>
          <w:tcPr>
            <w:tcW w:w="1735" w:type="dxa"/>
            <w:tcBorders>
              <w:top w:val="nil"/>
              <w:left w:val="nil"/>
              <w:bottom w:val="single" w:sz="8" w:space="0" w:color="ED7C5D"/>
              <w:right w:val="nil"/>
            </w:tcBorders>
            <w:shd w:val="clear" w:color="000000" w:fill="FFFFFF"/>
            <w:vAlign w:val="center"/>
            <w:hideMark/>
          </w:tcPr>
          <w:p w14:paraId="63DA540D" w14:textId="7FC1EC95" w:rsidR="00BD1616" w:rsidRPr="00503F5B" w:rsidRDefault="00BD1616" w:rsidP="00BD1616">
            <w:pPr>
              <w:jc w:val="right"/>
              <w:rPr>
                <w:rFonts w:eastAsia="Times New Roman" w:cs="Calibri"/>
                <w:sz w:val="20"/>
                <w:szCs w:val="20"/>
                <w:lang w:eastAsia="en-AU"/>
              </w:rPr>
            </w:pPr>
            <w:r w:rsidRPr="00503F5B">
              <w:rPr>
                <w:rFonts w:cs="Calibri"/>
                <w:sz w:val="20"/>
                <w:szCs w:val="20"/>
              </w:rPr>
              <w:t>$142,159</w:t>
            </w:r>
          </w:p>
        </w:tc>
        <w:tc>
          <w:tcPr>
            <w:tcW w:w="993" w:type="dxa"/>
            <w:tcBorders>
              <w:top w:val="nil"/>
              <w:left w:val="nil"/>
              <w:bottom w:val="single" w:sz="8" w:space="0" w:color="ED7C5D"/>
              <w:right w:val="nil"/>
            </w:tcBorders>
            <w:shd w:val="clear" w:color="000000" w:fill="FFFFFF"/>
            <w:vAlign w:val="center"/>
            <w:hideMark/>
          </w:tcPr>
          <w:p w14:paraId="49D7646B" w14:textId="4D9E107B" w:rsidR="00BD1616" w:rsidRPr="00503F5B" w:rsidRDefault="00BD1616" w:rsidP="00BD1616">
            <w:pPr>
              <w:jc w:val="right"/>
              <w:rPr>
                <w:rFonts w:eastAsia="Times New Roman" w:cs="Calibri"/>
                <w:sz w:val="20"/>
                <w:szCs w:val="20"/>
                <w:lang w:eastAsia="en-AU"/>
              </w:rPr>
            </w:pPr>
            <w:r w:rsidRPr="00503F5B">
              <w:rPr>
                <w:rFonts w:cs="Calibri"/>
                <w:sz w:val="20"/>
                <w:szCs w:val="20"/>
              </w:rPr>
              <w:t>No</w:t>
            </w:r>
          </w:p>
        </w:tc>
      </w:tr>
      <w:tr w:rsidR="00472954" w:rsidRPr="00503F5B" w14:paraId="61132886" w14:textId="77777777" w:rsidTr="009917B8">
        <w:trPr>
          <w:trHeight w:val="133"/>
          <w:jc w:val="center"/>
        </w:trPr>
        <w:tc>
          <w:tcPr>
            <w:tcW w:w="5103" w:type="dxa"/>
            <w:tcBorders>
              <w:top w:val="nil"/>
              <w:left w:val="nil"/>
              <w:bottom w:val="nil"/>
              <w:right w:val="nil"/>
            </w:tcBorders>
            <w:shd w:val="clear" w:color="000000" w:fill="FBE4D5"/>
            <w:vAlign w:val="center"/>
            <w:hideMark/>
          </w:tcPr>
          <w:p w14:paraId="58B0BAF6" w14:textId="200D31B6" w:rsidR="0041660B" w:rsidRPr="00503F5B" w:rsidRDefault="002B05B8" w:rsidP="0041660B">
            <w:pPr>
              <w:rPr>
                <w:rFonts w:eastAsia="Times New Roman" w:cs="Calibri"/>
                <w:b/>
                <w:bCs/>
                <w:sz w:val="20"/>
                <w:szCs w:val="20"/>
                <w:lang w:eastAsia="en-AU"/>
              </w:rPr>
            </w:pPr>
            <w:r>
              <w:rPr>
                <w:rFonts w:eastAsia="Times New Roman" w:cs="Calibri"/>
                <w:b/>
                <w:bCs/>
                <w:sz w:val="20"/>
                <w:szCs w:val="20"/>
                <w:lang w:eastAsia="en-AU"/>
              </w:rPr>
              <w:t>Building Codes and Audits</w:t>
            </w:r>
          </w:p>
        </w:tc>
        <w:tc>
          <w:tcPr>
            <w:tcW w:w="1310" w:type="dxa"/>
            <w:tcBorders>
              <w:top w:val="nil"/>
              <w:left w:val="nil"/>
              <w:bottom w:val="nil"/>
              <w:right w:val="nil"/>
            </w:tcBorders>
            <w:shd w:val="clear" w:color="000000" w:fill="FBE4D5"/>
            <w:noWrap/>
            <w:vAlign w:val="center"/>
            <w:hideMark/>
          </w:tcPr>
          <w:p w14:paraId="0F015426" w14:textId="77777777" w:rsidR="0041660B" w:rsidRPr="00503F5B" w:rsidRDefault="0041660B" w:rsidP="00FA1EC4">
            <w:pPr>
              <w:jc w:val="right"/>
              <w:rPr>
                <w:rFonts w:eastAsia="Times New Roman" w:cs="Calibri"/>
                <w:sz w:val="20"/>
                <w:szCs w:val="20"/>
                <w:lang w:eastAsia="en-AU"/>
              </w:rPr>
            </w:pPr>
            <w:r w:rsidRPr="00503F5B">
              <w:rPr>
                <w:rFonts w:eastAsia="Times New Roman" w:cs="Calibri"/>
                <w:sz w:val="20"/>
                <w:szCs w:val="20"/>
                <w:lang w:eastAsia="en-AU"/>
              </w:rPr>
              <w:t> </w:t>
            </w:r>
          </w:p>
        </w:tc>
        <w:tc>
          <w:tcPr>
            <w:tcW w:w="1158" w:type="dxa"/>
            <w:tcBorders>
              <w:top w:val="nil"/>
              <w:left w:val="nil"/>
              <w:bottom w:val="nil"/>
              <w:right w:val="nil"/>
            </w:tcBorders>
            <w:shd w:val="clear" w:color="000000" w:fill="FBE4D5"/>
            <w:vAlign w:val="center"/>
            <w:hideMark/>
          </w:tcPr>
          <w:p w14:paraId="4105F50B" w14:textId="77777777" w:rsidR="0041660B" w:rsidRPr="00503F5B" w:rsidRDefault="0041660B" w:rsidP="00FA1EC4">
            <w:pPr>
              <w:jc w:val="right"/>
              <w:rPr>
                <w:rFonts w:eastAsia="Times New Roman" w:cs="Calibri"/>
                <w:sz w:val="20"/>
                <w:szCs w:val="20"/>
                <w:lang w:eastAsia="en-AU"/>
              </w:rPr>
            </w:pPr>
            <w:r w:rsidRPr="00503F5B">
              <w:rPr>
                <w:rFonts w:eastAsia="Times New Roman" w:cs="Calibri"/>
                <w:sz w:val="20"/>
                <w:szCs w:val="20"/>
                <w:lang w:eastAsia="en-AU"/>
              </w:rPr>
              <w:t> </w:t>
            </w:r>
          </w:p>
        </w:tc>
        <w:tc>
          <w:tcPr>
            <w:tcW w:w="1424" w:type="dxa"/>
            <w:tcBorders>
              <w:top w:val="nil"/>
              <w:left w:val="nil"/>
              <w:bottom w:val="nil"/>
              <w:right w:val="nil"/>
            </w:tcBorders>
            <w:shd w:val="clear" w:color="000000" w:fill="FBE4D5"/>
            <w:vAlign w:val="center"/>
            <w:hideMark/>
          </w:tcPr>
          <w:p w14:paraId="1C968C87" w14:textId="77777777" w:rsidR="0041660B" w:rsidRPr="00503F5B" w:rsidRDefault="0041660B" w:rsidP="00FA1EC4">
            <w:pPr>
              <w:jc w:val="right"/>
              <w:rPr>
                <w:rFonts w:eastAsia="Times New Roman" w:cs="Calibri"/>
                <w:sz w:val="20"/>
                <w:szCs w:val="20"/>
                <w:lang w:eastAsia="en-AU"/>
              </w:rPr>
            </w:pPr>
            <w:r w:rsidRPr="00503F5B">
              <w:rPr>
                <w:rFonts w:eastAsia="Times New Roman" w:cs="Calibri"/>
                <w:sz w:val="20"/>
                <w:szCs w:val="20"/>
                <w:lang w:eastAsia="en-AU"/>
              </w:rPr>
              <w:t> </w:t>
            </w:r>
          </w:p>
        </w:tc>
        <w:tc>
          <w:tcPr>
            <w:tcW w:w="1735" w:type="dxa"/>
            <w:tcBorders>
              <w:top w:val="nil"/>
              <w:left w:val="nil"/>
              <w:bottom w:val="nil"/>
              <w:right w:val="nil"/>
            </w:tcBorders>
            <w:shd w:val="clear" w:color="000000" w:fill="FBE4D5"/>
            <w:vAlign w:val="center"/>
            <w:hideMark/>
          </w:tcPr>
          <w:p w14:paraId="5699CF3D" w14:textId="77777777" w:rsidR="0041660B" w:rsidRPr="00503F5B" w:rsidRDefault="0041660B" w:rsidP="00FA1EC4">
            <w:pPr>
              <w:jc w:val="right"/>
              <w:rPr>
                <w:rFonts w:eastAsia="Times New Roman" w:cs="Calibri"/>
                <w:sz w:val="20"/>
                <w:szCs w:val="20"/>
                <w:lang w:eastAsia="en-AU"/>
              </w:rPr>
            </w:pPr>
            <w:r w:rsidRPr="00503F5B">
              <w:rPr>
                <w:rFonts w:eastAsia="Times New Roman" w:cs="Calibri"/>
                <w:sz w:val="20"/>
                <w:szCs w:val="20"/>
                <w:lang w:eastAsia="en-AU"/>
              </w:rPr>
              <w:t> </w:t>
            </w:r>
          </w:p>
        </w:tc>
        <w:tc>
          <w:tcPr>
            <w:tcW w:w="1735" w:type="dxa"/>
            <w:tcBorders>
              <w:top w:val="nil"/>
              <w:left w:val="nil"/>
              <w:bottom w:val="nil"/>
              <w:right w:val="nil"/>
            </w:tcBorders>
            <w:shd w:val="clear" w:color="000000" w:fill="FBE4D5"/>
            <w:vAlign w:val="center"/>
            <w:hideMark/>
          </w:tcPr>
          <w:p w14:paraId="65B039D7" w14:textId="77777777" w:rsidR="0041660B" w:rsidRPr="00503F5B" w:rsidRDefault="0041660B" w:rsidP="00FA1EC4">
            <w:pPr>
              <w:jc w:val="right"/>
              <w:rPr>
                <w:rFonts w:eastAsia="Times New Roman" w:cs="Calibri"/>
                <w:sz w:val="20"/>
                <w:szCs w:val="20"/>
                <w:lang w:eastAsia="en-AU"/>
              </w:rPr>
            </w:pPr>
            <w:r w:rsidRPr="00503F5B">
              <w:rPr>
                <w:rFonts w:eastAsia="Times New Roman" w:cs="Calibri"/>
                <w:sz w:val="20"/>
                <w:szCs w:val="20"/>
                <w:lang w:eastAsia="en-AU"/>
              </w:rPr>
              <w:t> </w:t>
            </w:r>
          </w:p>
        </w:tc>
        <w:tc>
          <w:tcPr>
            <w:tcW w:w="1735" w:type="dxa"/>
            <w:tcBorders>
              <w:top w:val="nil"/>
              <w:left w:val="nil"/>
              <w:bottom w:val="nil"/>
              <w:right w:val="nil"/>
            </w:tcBorders>
            <w:shd w:val="clear" w:color="000000" w:fill="FBE4D5"/>
            <w:vAlign w:val="center"/>
            <w:hideMark/>
          </w:tcPr>
          <w:p w14:paraId="34A7CF6A" w14:textId="77777777" w:rsidR="0041660B" w:rsidRPr="00503F5B" w:rsidRDefault="0041660B" w:rsidP="00FA1EC4">
            <w:pPr>
              <w:jc w:val="right"/>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nil"/>
              <w:right w:val="nil"/>
            </w:tcBorders>
            <w:shd w:val="clear" w:color="000000" w:fill="FBE4D5"/>
            <w:vAlign w:val="center"/>
            <w:hideMark/>
          </w:tcPr>
          <w:p w14:paraId="24CCD4F9" w14:textId="77777777" w:rsidR="0041660B" w:rsidRPr="00503F5B" w:rsidRDefault="0041660B" w:rsidP="00FA1EC4">
            <w:pPr>
              <w:jc w:val="right"/>
              <w:rPr>
                <w:rFonts w:eastAsia="Times New Roman" w:cs="Calibri"/>
                <w:sz w:val="20"/>
                <w:szCs w:val="20"/>
                <w:lang w:eastAsia="en-AU"/>
              </w:rPr>
            </w:pPr>
            <w:r w:rsidRPr="00503F5B">
              <w:rPr>
                <w:rFonts w:eastAsia="Times New Roman" w:cs="Calibri"/>
                <w:sz w:val="20"/>
                <w:szCs w:val="20"/>
                <w:lang w:eastAsia="en-AU"/>
              </w:rPr>
              <w:t> </w:t>
            </w:r>
          </w:p>
        </w:tc>
      </w:tr>
      <w:tr w:rsidR="00BD1616" w:rsidRPr="00503F5B" w14:paraId="47FFF038" w14:textId="77777777" w:rsidTr="009917B8">
        <w:trPr>
          <w:trHeight w:val="163"/>
          <w:jc w:val="center"/>
        </w:trPr>
        <w:tc>
          <w:tcPr>
            <w:tcW w:w="5103" w:type="dxa"/>
            <w:tcBorders>
              <w:top w:val="nil"/>
              <w:left w:val="nil"/>
              <w:bottom w:val="nil"/>
              <w:right w:val="nil"/>
            </w:tcBorders>
            <w:shd w:val="clear" w:color="000000" w:fill="FBE4D5"/>
            <w:vAlign w:val="center"/>
            <w:hideMark/>
          </w:tcPr>
          <w:p w14:paraId="79EE2C58" w14:textId="77777777" w:rsidR="00BD1616" w:rsidRPr="00503F5B" w:rsidRDefault="00BD1616" w:rsidP="00BD1616">
            <w:pPr>
              <w:rPr>
                <w:rFonts w:eastAsia="Times New Roman" w:cs="Calibri"/>
                <w:sz w:val="18"/>
                <w:szCs w:val="18"/>
                <w:lang w:eastAsia="en-AU"/>
              </w:rPr>
            </w:pPr>
            <w:r w:rsidRPr="00503F5B">
              <w:rPr>
                <w:rFonts w:eastAsia="Times New Roman" w:cs="Calibri"/>
                <w:sz w:val="18"/>
                <w:szCs w:val="18"/>
                <w:lang w:eastAsia="en-AU"/>
              </w:rPr>
              <w:t>Reports in relation to an application for a building permit</w:t>
            </w:r>
          </w:p>
        </w:tc>
        <w:tc>
          <w:tcPr>
            <w:tcW w:w="1310" w:type="dxa"/>
            <w:tcBorders>
              <w:top w:val="nil"/>
              <w:left w:val="nil"/>
              <w:bottom w:val="nil"/>
              <w:right w:val="nil"/>
            </w:tcBorders>
            <w:shd w:val="clear" w:color="000000" w:fill="FCE4D6"/>
            <w:noWrap/>
            <w:vAlign w:val="center"/>
            <w:hideMark/>
          </w:tcPr>
          <w:p w14:paraId="41283337"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528</w:t>
            </w:r>
          </w:p>
        </w:tc>
        <w:tc>
          <w:tcPr>
            <w:tcW w:w="1158" w:type="dxa"/>
            <w:tcBorders>
              <w:top w:val="nil"/>
              <w:left w:val="nil"/>
              <w:bottom w:val="nil"/>
              <w:right w:val="nil"/>
            </w:tcBorders>
            <w:shd w:val="clear" w:color="000000" w:fill="FCE4D6"/>
            <w:noWrap/>
            <w:vAlign w:val="center"/>
            <w:hideMark/>
          </w:tcPr>
          <w:p w14:paraId="3E419993" w14:textId="26414904" w:rsidR="00BD1616" w:rsidRPr="00503F5B" w:rsidRDefault="00BD1616" w:rsidP="00BD1616">
            <w:pPr>
              <w:jc w:val="right"/>
              <w:rPr>
                <w:rFonts w:eastAsia="Times New Roman" w:cs="Calibri"/>
                <w:color w:val="auto"/>
                <w:sz w:val="20"/>
                <w:szCs w:val="20"/>
                <w:lang w:eastAsia="en-AU"/>
              </w:rPr>
            </w:pPr>
            <w:r w:rsidRPr="00503F5B">
              <w:rPr>
                <w:rFonts w:eastAsia="Times New Roman" w:cs="Calibri"/>
                <w:color w:val="auto"/>
                <w:sz w:val="20"/>
                <w:szCs w:val="20"/>
                <w:lang w:eastAsia="en-AU"/>
              </w:rPr>
              <w:t>2.5</w:t>
            </w:r>
            <w:r w:rsidRPr="00503F5B">
              <w:rPr>
                <w:rStyle w:val="FootnoteReference"/>
                <w:sz w:val="20"/>
                <w:szCs w:val="20"/>
              </w:rPr>
              <w:footnoteReference w:id="57"/>
            </w:r>
          </w:p>
        </w:tc>
        <w:tc>
          <w:tcPr>
            <w:tcW w:w="1424" w:type="dxa"/>
            <w:tcBorders>
              <w:top w:val="nil"/>
              <w:left w:val="nil"/>
              <w:bottom w:val="nil"/>
              <w:right w:val="nil"/>
            </w:tcBorders>
            <w:shd w:val="clear" w:color="000000" w:fill="FBE4D5"/>
            <w:vAlign w:val="center"/>
            <w:hideMark/>
          </w:tcPr>
          <w:p w14:paraId="75AD7903"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6</w:t>
            </w:r>
          </w:p>
        </w:tc>
        <w:tc>
          <w:tcPr>
            <w:tcW w:w="1735" w:type="dxa"/>
            <w:tcBorders>
              <w:top w:val="nil"/>
              <w:left w:val="nil"/>
              <w:bottom w:val="nil"/>
              <w:right w:val="nil"/>
            </w:tcBorders>
            <w:shd w:val="clear" w:color="000000" w:fill="FBE4D5"/>
            <w:vAlign w:val="center"/>
            <w:hideMark/>
          </w:tcPr>
          <w:p w14:paraId="1B08556A" w14:textId="2DF8D444" w:rsidR="00BD1616" w:rsidRPr="00503F5B" w:rsidRDefault="00BD1616" w:rsidP="00BD1616">
            <w:pPr>
              <w:jc w:val="right"/>
              <w:rPr>
                <w:rFonts w:eastAsia="Times New Roman" w:cs="Calibri"/>
                <w:sz w:val="20"/>
                <w:szCs w:val="20"/>
                <w:lang w:eastAsia="en-AU"/>
              </w:rPr>
            </w:pPr>
            <w:r w:rsidRPr="00503F5B">
              <w:rPr>
                <w:rFonts w:cs="Calibri"/>
                <w:sz w:val="20"/>
                <w:szCs w:val="20"/>
              </w:rPr>
              <w:t>$78,197</w:t>
            </w:r>
          </w:p>
        </w:tc>
        <w:tc>
          <w:tcPr>
            <w:tcW w:w="1735" w:type="dxa"/>
            <w:tcBorders>
              <w:top w:val="nil"/>
              <w:left w:val="nil"/>
              <w:bottom w:val="nil"/>
              <w:right w:val="nil"/>
            </w:tcBorders>
            <w:shd w:val="clear" w:color="000000" w:fill="FBE4D5"/>
            <w:vAlign w:val="center"/>
            <w:hideMark/>
          </w:tcPr>
          <w:p w14:paraId="29C17796" w14:textId="3DF3FF8F" w:rsidR="00BD1616" w:rsidRPr="00503F5B" w:rsidRDefault="00BD1616" w:rsidP="00BD1616">
            <w:pPr>
              <w:jc w:val="right"/>
              <w:rPr>
                <w:rFonts w:eastAsia="Times New Roman" w:cs="Calibri"/>
                <w:sz w:val="20"/>
                <w:szCs w:val="20"/>
                <w:lang w:eastAsia="en-AU"/>
              </w:rPr>
            </w:pPr>
            <w:r w:rsidRPr="00503F5B">
              <w:rPr>
                <w:rFonts w:cs="Calibri"/>
                <w:sz w:val="20"/>
                <w:szCs w:val="20"/>
              </w:rPr>
              <w:t>$85,631</w:t>
            </w:r>
          </w:p>
        </w:tc>
        <w:tc>
          <w:tcPr>
            <w:tcW w:w="1735" w:type="dxa"/>
            <w:tcBorders>
              <w:top w:val="nil"/>
              <w:left w:val="nil"/>
              <w:bottom w:val="nil"/>
              <w:right w:val="nil"/>
            </w:tcBorders>
            <w:shd w:val="clear" w:color="000000" w:fill="FBE4D5"/>
            <w:vAlign w:val="center"/>
            <w:hideMark/>
          </w:tcPr>
          <w:p w14:paraId="7E15722E" w14:textId="549FD608" w:rsidR="00BD1616" w:rsidRPr="00503F5B" w:rsidRDefault="00BD1616" w:rsidP="00BD1616">
            <w:pPr>
              <w:jc w:val="right"/>
              <w:rPr>
                <w:rFonts w:eastAsia="Times New Roman" w:cs="Calibri"/>
                <w:sz w:val="20"/>
                <w:szCs w:val="20"/>
                <w:lang w:eastAsia="en-AU"/>
              </w:rPr>
            </w:pPr>
            <w:r w:rsidRPr="00503F5B">
              <w:rPr>
                <w:rFonts w:cs="Calibri"/>
                <w:sz w:val="20"/>
                <w:szCs w:val="20"/>
              </w:rPr>
              <w:t>$163,828</w:t>
            </w:r>
          </w:p>
        </w:tc>
        <w:tc>
          <w:tcPr>
            <w:tcW w:w="993" w:type="dxa"/>
            <w:tcBorders>
              <w:top w:val="nil"/>
              <w:left w:val="nil"/>
              <w:bottom w:val="nil"/>
              <w:right w:val="nil"/>
            </w:tcBorders>
            <w:shd w:val="clear" w:color="000000" w:fill="FBE4D5"/>
            <w:vAlign w:val="center"/>
            <w:hideMark/>
          </w:tcPr>
          <w:p w14:paraId="17CA53DC" w14:textId="12E2DCE2" w:rsidR="00BD1616" w:rsidRPr="00503F5B" w:rsidRDefault="00BD1616" w:rsidP="00BD1616">
            <w:pPr>
              <w:jc w:val="right"/>
              <w:rPr>
                <w:rFonts w:eastAsia="Times New Roman" w:cs="Calibri"/>
                <w:sz w:val="20"/>
                <w:szCs w:val="20"/>
                <w:lang w:eastAsia="en-AU"/>
              </w:rPr>
            </w:pPr>
            <w:r w:rsidRPr="00503F5B">
              <w:rPr>
                <w:rFonts w:cs="Calibri"/>
                <w:sz w:val="20"/>
                <w:szCs w:val="20"/>
              </w:rPr>
              <w:t>Yes</w:t>
            </w:r>
          </w:p>
        </w:tc>
      </w:tr>
      <w:tr w:rsidR="00BD1616" w:rsidRPr="00503F5B" w14:paraId="0E2F6AEE" w14:textId="77777777" w:rsidTr="009917B8">
        <w:trPr>
          <w:trHeight w:val="339"/>
          <w:jc w:val="center"/>
        </w:trPr>
        <w:tc>
          <w:tcPr>
            <w:tcW w:w="5103" w:type="dxa"/>
            <w:tcBorders>
              <w:top w:val="nil"/>
              <w:left w:val="nil"/>
              <w:bottom w:val="nil"/>
              <w:right w:val="nil"/>
            </w:tcBorders>
            <w:shd w:val="clear" w:color="000000" w:fill="FBE4D5"/>
            <w:vAlign w:val="center"/>
            <w:hideMark/>
          </w:tcPr>
          <w:p w14:paraId="40AF7141" w14:textId="77777777" w:rsidR="00BD1616" w:rsidRPr="00503F5B" w:rsidRDefault="00BD1616" w:rsidP="00BD1616">
            <w:pPr>
              <w:rPr>
                <w:rFonts w:eastAsia="Times New Roman" w:cs="Calibri"/>
                <w:sz w:val="18"/>
                <w:szCs w:val="18"/>
                <w:lang w:eastAsia="en-AU"/>
              </w:rPr>
            </w:pPr>
            <w:r w:rsidRPr="00503F5B">
              <w:rPr>
                <w:rFonts w:eastAsia="Times New Roman" w:cs="Calibri"/>
                <w:sz w:val="18"/>
                <w:szCs w:val="18"/>
                <w:lang w:eastAsia="en-AU"/>
              </w:rPr>
              <w:t>Reports in relation to an application for an occupancy permit</w:t>
            </w:r>
          </w:p>
        </w:tc>
        <w:tc>
          <w:tcPr>
            <w:tcW w:w="1310" w:type="dxa"/>
            <w:tcBorders>
              <w:top w:val="nil"/>
              <w:left w:val="nil"/>
              <w:bottom w:val="nil"/>
              <w:right w:val="nil"/>
            </w:tcBorders>
            <w:shd w:val="clear" w:color="auto" w:fill="FCE4D6"/>
            <w:noWrap/>
            <w:vAlign w:val="center"/>
            <w:hideMark/>
          </w:tcPr>
          <w:p w14:paraId="2598AD72"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328</w:t>
            </w:r>
          </w:p>
        </w:tc>
        <w:tc>
          <w:tcPr>
            <w:tcW w:w="1158" w:type="dxa"/>
            <w:tcBorders>
              <w:top w:val="nil"/>
              <w:left w:val="nil"/>
              <w:bottom w:val="nil"/>
              <w:right w:val="nil"/>
            </w:tcBorders>
            <w:shd w:val="clear" w:color="000000" w:fill="FCE4D6"/>
            <w:noWrap/>
            <w:vAlign w:val="center"/>
            <w:hideMark/>
          </w:tcPr>
          <w:p w14:paraId="6D42B84A" w14:textId="120F34D7" w:rsidR="00BD1616" w:rsidRPr="00503F5B" w:rsidRDefault="00BD1616" w:rsidP="00BD1616">
            <w:pPr>
              <w:jc w:val="right"/>
              <w:rPr>
                <w:rFonts w:eastAsia="Times New Roman" w:cs="Calibri"/>
                <w:color w:val="auto"/>
                <w:sz w:val="20"/>
                <w:szCs w:val="20"/>
                <w:lang w:eastAsia="en-AU"/>
              </w:rPr>
            </w:pPr>
            <w:r w:rsidRPr="00503F5B">
              <w:rPr>
                <w:rFonts w:eastAsia="Times New Roman" w:cs="Calibri"/>
                <w:color w:val="auto"/>
                <w:sz w:val="20"/>
                <w:szCs w:val="20"/>
                <w:lang w:eastAsia="en-AU"/>
              </w:rPr>
              <w:t>2.5</w:t>
            </w:r>
            <w:r w:rsidRPr="00503F5B">
              <w:rPr>
                <w:rStyle w:val="FootnoteReference"/>
                <w:sz w:val="20"/>
                <w:szCs w:val="20"/>
              </w:rPr>
              <w:footnoteReference w:id="58"/>
            </w:r>
          </w:p>
        </w:tc>
        <w:tc>
          <w:tcPr>
            <w:tcW w:w="1424" w:type="dxa"/>
            <w:tcBorders>
              <w:top w:val="nil"/>
              <w:left w:val="nil"/>
              <w:bottom w:val="nil"/>
              <w:right w:val="nil"/>
            </w:tcBorders>
            <w:shd w:val="clear" w:color="000000" w:fill="FBE4D5"/>
            <w:vAlign w:val="center"/>
            <w:hideMark/>
          </w:tcPr>
          <w:p w14:paraId="33A4F2D5"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6</w:t>
            </w:r>
          </w:p>
        </w:tc>
        <w:tc>
          <w:tcPr>
            <w:tcW w:w="1735" w:type="dxa"/>
            <w:tcBorders>
              <w:top w:val="nil"/>
              <w:left w:val="nil"/>
              <w:bottom w:val="nil"/>
              <w:right w:val="nil"/>
            </w:tcBorders>
            <w:shd w:val="clear" w:color="000000" w:fill="FBE4D5"/>
            <w:vAlign w:val="center"/>
            <w:hideMark/>
          </w:tcPr>
          <w:p w14:paraId="5A04AA45" w14:textId="244073C4" w:rsidR="00BD1616" w:rsidRPr="00503F5B" w:rsidRDefault="00BD1616" w:rsidP="00BD1616">
            <w:pPr>
              <w:jc w:val="right"/>
              <w:rPr>
                <w:rFonts w:eastAsia="Times New Roman" w:cs="Calibri"/>
                <w:sz w:val="20"/>
                <w:szCs w:val="20"/>
                <w:lang w:eastAsia="en-AU"/>
              </w:rPr>
            </w:pPr>
            <w:r w:rsidRPr="00503F5B">
              <w:rPr>
                <w:rFonts w:cs="Calibri"/>
                <w:sz w:val="20"/>
                <w:szCs w:val="20"/>
              </w:rPr>
              <w:t>$48,577</w:t>
            </w:r>
          </w:p>
        </w:tc>
        <w:tc>
          <w:tcPr>
            <w:tcW w:w="1735" w:type="dxa"/>
            <w:tcBorders>
              <w:top w:val="nil"/>
              <w:left w:val="nil"/>
              <w:bottom w:val="nil"/>
              <w:right w:val="nil"/>
            </w:tcBorders>
            <w:shd w:val="clear" w:color="000000" w:fill="FBE4D5"/>
            <w:vAlign w:val="center"/>
            <w:hideMark/>
          </w:tcPr>
          <w:p w14:paraId="0005118E" w14:textId="57A5D961" w:rsidR="00BD1616" w:rsidRPr="00503F5B" w:rsidRDefault="00BD1616" w:rsidP="00BD1616">
            <w:pPr>
              <w:jc w:val="right"/>
              <w:rPr>
                <w:rFonts w:eastAsia="Times New Roman" w:cs="Calibri"/>
                <w:sz w:val="20"/>
                <w:szCs w:val="20"/>
                <w:lang w:eastAsia="en-AU"/>
              </w:rPr>
            </w:pPr>
            <w:r w:rsidRPr="00503F5B">
              <w:rPr>
                <w:rFonts w:cs="Calibri"/>
                <w:sz w:val="20"/>
                <w:szCs w:val="20"/>
              </w:rPr>
              <w:t>$53,195</w:t>
            </w:r>
          </w:p>
        </w:tc>
        <w:tc>
          <w:tcPr>
            <w:tcW w:w="1735" w:type="dxa"/>
            <w:tcBorders>
              <w:top w:val="nil"/>
              <w:left w:val="nil"/>
              <w:bottom w:val="nil"/>
              <w:right w:val="nil"/>
            </w:tcBorders>
            <w:shd w:val="clear" w:color="000000" w:fill="FBE4D5"/>
            <w:vAlign w:val="center"/>
            <w:hideMark/>
          </w:tcPr>
          <w:p w14:paraId="5D7F2B0F" w14:textId="10913A67" w:rsidR="00BD1616" w:rsidRPr="00503F5B" w:rsidRDefault="00BD1616" w:rsidP="00BD1616">
            <w:pPr>
              <w:jc w:val="right"/>
              <w:rPr>
                <w:rFonts w:eastAsia="Times New Roman" w:cs="Calibri"/>
                <w:sz w:val="20"/>
                <w:szCs w:val="20"/>
                <w:lang w:eastAsia="en-AU"/>
              </w:rPr>
            </w:pPr>
            <w:r w:rsidRPr="00503F5B">
              <w:rPr>
                <w:rFonts w:cs="Calibri"/>
                <w:sz w:val="20"/>
                <w:szCs w:val="20"/>
              </w:rPr>
              <w:t>$101,772</w:t>
            </w:r>
          </w:p>
        </w:tc>
        <w:tc>
          <w:tcPr>
            <w:tcW w:w="993" w:type="dxa"/>
            <w:tcBorders>
              <w:top w:val="nil"/>
              <w:left w:val="nil"/>
              <w:bottom w:val="nil"/>
              <w:right w:val="nil"/>
            </w:tcBorders>
            <w:shd w:val="clear" w:color="000000" w:fill="FBE4D5"/>
            <w:vAlign w:val="center"/>
            <w:hideMark/>
          </w:tcPr>
          <w:p w14:paraId="72A3BA4F" w14:textId="2E7A44EE" w:rsidR="00BD1616" w:rsidRPr="00503F5B" w:rsidRDefault="00BD1616" w:rsidP="00BD1616">
            <w:pPr>
              <w:jc w:val="right"/>
              <w:rPr>
                <w:rFonts w:eastAsia="Times New Roman" w:cs="Calibri"/>
                <w:sz w:val="20"/>
                <w:szCs w:val="20"/>
                <w:lang w:eastAsia="en-AU"/>
              </w:rPr>
            </w:pPr>
            <w:r w:rsidRPr="00503F5B">
              <w:rPr>
                <w:rFonts w:cs="Calibri"/>
                <w:sz w:val="20"/>
                <w:szCs w:val="20"/>
              </w:rPr>
              <w:t>Yes</w:t>
            </w:r>
          </w:p>
        </w:tc>
      </w:tr>
      <w:tr w:rsidR="00BD1616" w:rsidRPr="00503F5B" w14:paraId="352FE5D5" w14:textId="77777777" w:rsidTr="009917B8">
        <w:trPr>
          <w:trHeight w:val="412"/>
          <w:jc w:val="center"/>
        </w:trPr>
        <w:tc>
          <w:tcPr>
            <w:tcW w:w="5103" w:type="dxa"/>
            <w:tcBorders>
              <w:top w:val="nil"/>
              <w:left w:val="nil"/>
              <w:bottom w:val="nil"/>
              <w:right w:val="nil"/>
            </w:tcBorders>
            <w:shd w:val="clear" w:color="000000" w:fill="FBE4D5"/>
            <w:vAlign w:val="center"/>
            <w:hideMark/>
          </w:tcPr>
          <w:p w14:paraId="4C25D43F" w14:textId="77777777" w:rsidR="00BD1616" w:rsidRPr="00503F5B" w:rsidRDefault="00BD1616" w:rsidP="00BD1616">
            <w:pPr>
              <w:rPr>
                <w:rFonts w:eastAsia="Times New Roman" w:cs="Calibri"/>
                <w:sz w:val="18"/>
                <w:szCs w:val="18"/>
                <w:lang w:eastAsia="en-AU"/>
              </w:rPr>
            </w:pPr>
            <w:r w:rsidRPr="00503F5B">
              <w:rPr>
                <w:rFonts w:eastAsia="Times New Roman" w:cs="Calibri"/>
                <w:sz w:val="18"/>
                <w:szCs w:val="18"/>
                <w:lang w:eastAsia="en-AU"/>
              </w:rPr>
              <w:t>Letters of Advice (&amp; pre application review) with regards to general fire protection correspondence (includes pre application conceptual design review)</w:t>
            </w:r>
          </w:p>
        </w:tc>
        <w:tc>
          <w:tcPr>
            <w:tcW w:w="1310" w:type="dxa"/>
            <w:tcBorders>
              <w:top w:val="nil"/>
              <w:left w:val="nil"/>
              <w:bottom w:val="nil"/>
              <w:right w:val="nil"/>
            </w:tcBorders>
            <w:shd w:val="clear" w:color="000000" w:fill="FBE4D5"/>
            <w:noWrap/>
            <w:vAlign w:val="center"/>
            <w:hideMark/>
          </w:tcPr>
          <w:p w14:paraId="624C6008" w14:textId="23B32B31"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700</w:t>
            </w:r>
          </w:p>
        </w:tc>
        <w:tc>
          <w:tcPr>
            <w:tcW w:w="1158" w:type="dxa"/>
            <w:tcBorders>
              <w:top w:val="nil"/>
              <w:left w:val="nil"/>
              <w:bottom w:val="nil"/>
              <w:right w:val="nil"/>
            </w:tcBorders>
            <w:shd w:val="clear" w:color="000000" w:fill="FBE4D5"/>
            <w:vAlign w:val="center"/>
            <w:hideMark/>
          </w:tcPr>
          <w:p w14:paraId="270D095F"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2</w:t>
            </w:r>
          </w:p>
        </w:tc>
        <w:tc>
          <w:tcPr>
            <w:tcW w:w="1424" w:type="dxa"/>
            <w:tcBorders>
              <w:top w:val="nil"/>
              <w:left w:val="nil"/>
              <w:bottom w:val="nil"/>
              <w:right w:val="nil"/>
            </w:tcBorders>
            <w:shd w:val="clear" w:color="000000" w:fill="FBE4D5"/>
            <w:vAlign w:val="center"/>
            <w:hideMark/>
          </w:tcPr>
          <w:p w14:paraId="3A2D3BA8"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4</w:t>
            </w:r>
          </w:p>
        </w:tc>
        <w:tc>
          <w:tcPr>
            <w:tcW w:w="1735" w:type="dxa"/>
            <w:tcBorders>
              <w:top w:val="nil"/>
              <w:left w:val="nil"/>
              <w:bottom w:val="nil"/>
              <w:right w:val="nil"/>
            </w:tcBorders>
            <w:shd w:val="clear" w:color="000000" w:fill="FBE4D5"/>
            <w:vAlign w:val="center"/>
            <w:hideMark/>
          </w:tcPr>
          <w:p w14:paraId="74567412" w14:textId="2B8CAA47" w:rsidR="00BD1616" w:rsidRPr="00503F5B" w:rsidRDefault="00BD1616" w:rsidP="00BD1616">
            <w:pPr>
              <w:jc w:val="right"/>
              <w:rPr>
                <w:rFonts w:eastAsia="Times New Roman" w:cs="Calibri"/>
                <w:sz w:val="20"/>
                <w:szCs w:val="20"/>
                <w:lang w:eastAsia="en-AU"/>
              </w:rPr>
            </w:pPr>
            <w:r w:rsidRPr="00503F5B">
              <w:rPr>
                <w:rFonts w:cs="Calibri"/>
                <w:sz w:val="20"/>
                <w:szCs w:val="20"/>
              </w:rPr>
              <w:t>$103,670</w:t>
            </w:r>
          </w:p>
        </w:tc>
        <w:tc>
          <w:tcPr>
            <w:tcW w:w="1735" w:type="dxa"/>
            <w:tcBorders>
              <w:top w:val="nil"/>
              <w:left w:val="nil"/>
              <w:bottom w:val="nil"/>
              <w:right w:val="nil"/>
            </w:tcBorders>
            <w:shd w:val="clear" w:color="000000" w:fill="FBE4D5"/>
            <w:vAlign w:val="center"/>
            <w:hideMark/>
          </w:tcPr>
          <w:p w14:paraId="33AFC0CA" w14:textId="4E6D3777" w:rsidR="00BD1616" w:rsidRPr="00503F5B" w:rsidRDefault="00BD1616" w:rsidP="00BD1616">
            <w:pPr>
              <w:jc w:val="right"/>
              <w:rPr>
                <w:rFonts w:eastAsia="Times New Roman" w:cs="Calibri"/>
                <w:sz w:val="20"/>
                <w:szCs w:val="20"/>
                <w:lang w:eastAsia="en-AU"/>
              </w:rPr>
            </w:pPr>
            <w:r w:rsidRPr="00503F5B">
              <w:rPr>
                <w:rFonts w:cs="Calibri"/>
                <w:sz w:val="20"/>
                <w:szCs w:val="20"/>
              </w:rPr>
              <w:t>$75,684</w:t>
            </w:r>
          </w:p>
        </w:tc>
        <w:tc>
          <w:tcPr>
            <w:tcW w:w="1735" w:type="dxa"/>
            <w:tcBorders>
              <w:top w:val="nil"/>
              <w:left w:val="nil"/>
              <w:bottom w:val="nil"/>
              <w:right w:val="nil"/>
            </w:tcBorders>
            <w:shd w:val="clear" w:color="000000" w:fill="FBE4D5"/>
            <w:vAlign w:val="center"/>
            <w:hideMark/>
          </w:tcPr>
          <w:p w14:paraId="7883CEBC" w14:textId="4EF5A99F" w:rsidR="00BD1616" w:rsidRPr="00503F5B" w:rsidRDefault="00BD1616" w:rsidP="00BD1616">
            <w:pPr>
              <w:jc w:val="right"/>
              <w:rPr>
                <w:rFonts w:eastAsia="Times New Roman" w:cs="Calibri"/>
                <w:sz w:val="20"/>
                <w:szCs w:val="20"/>
                <w:lang w:eastAsia="en-AU"/>
              </w:rPr>
            </w:pPr>
            <w:r w:rsidRPr="00503F5B">
              <w:rPr>
                <w:rFonts w:cs="Calibri"/>
                <w:sz w:val="20"/>
                <w:szCs w:val="20"/>
              </w:rPr>
              <w:t>$179,354</w:t>
            </w:r>
          </w:p>
        </w:tc>
        <w:tc>
          <w:tcPr>
            <w:tcW w:w="993" w:type="dxa"/>
            <w:tcBorders>
              <w:top w:val="nil"/>
              <w:left w:val="nil"/>
              <w:bottom w:val="nil"/>
              <w:right w:val="nil"/>
            </w:tcBorders>
            <w:shd w:val="clear" w:color="000000" w:fill="FBE4D5"/>
            <w:vAlign w:val="center"/>
            <w:hideMark/>
          </w:tcPr>
          <w:p w14:paraId="739EFBD4" w14:textId="417906FD" w:rsidR="00BD1616" w:rsidRPr="00503F5B" w:rsidRDefault="00BD1616" w:rsidP="00BD1616">
            <w:pPr>
              <w:jc w:val="right"/>
              <w:rPr>
                <w:rFonts w:eastAsia="Times New Roman" w:cs="Calibri"/>
                <w:sz w:val="20"/>
                <w:szCs w:val="20"/>
                <w:lang w:eastAsia="en-AU"/>
              </w:rPr>
            </w:pPr>
            <w:r w:rsidRPr="00503F5B">
              <w:rPr>
                <w:rFonts w:cs="Calibri"/>
                <w:sz w:val="20"/>
                <w:szCs w:val="20"/>
              </w:rPr>
              <w:t>No</w:t>
            </w:r>
          </w:p>
        </w:tc>
      </w:tr>
      <w:tr w:rsidR="00BD1616" w:rsidRPr="00503F5B" w14:paraId="73755E89" w14:textId="77777777" w:rsidTr="009917B8">
        <w:trPr>
          <w:trHeight w:val="300"/>
          <w:jc w:val="center"/>
        </w:trPr>
        <w:tc>
          <w:tcPr>
            <w:tcW w:w="5103" w:type="dxa"/>
            <w:tcBorders>
              <w:top w:val="nil"/>
              <w:left w:val="nil"/>
              <w:bottom w:val="nil"/>
              <w:right w:val="nil"/>
            </w:tcBorders>
            <w:shd w:val="clear" w:color="000000" w:fill="FBE4D5"/>
            <w:vAlign w:val="center"/>
            <w:hideMark/>
          </w:tcPr>
          <w:p w14:paraId="0990F2ED" w14:textId="77777777" w:rsidR="00BD1616" w:rsidRPr="00503F5B" w:rsidRDefault="00BD1616" w:rsidP="00BD1616">
            <w:pPr>
              <w:rPr>
                <w:rFonts w:eastAsia="Times New Roman" w:cs="Calibri"/>
                <w:sz w:val="18"/>
                <w:szCs w:val="18"/>
                <w:lang w:eastAsia="en-AU"/>
              </w:rPr>
            </w:pPr>
            <w:r w:rsidRPr="00503F5B">
              <w:rPr>
                <w:rFonts w:eastAsia="Times New Roman" w:cs="Calibri"/>
                <w:sz w:val="18"/>
                <w:szCs w:val="18"/>
                <w:lang w:eastAsia="en-AU"/>
              </w:rPr>
              <w:t>Inspections of buildings, fire protection systems and perimeter access roads</w:t>
            </w:r>
          </w:p>
        </w:tc>
        <w:tc>
          <w:tcPr>
            <w:tcW w:w="1310" w:type="dxa"/>
            <w:tcBorders>
              <w:top w:val="nil"/>
              <w:left w:val="nil"/>
              <w:bottom w:val="nil"/>
              <w:right w:val="nil"/>
            </w:tcBorders>
            <w:shd w:val="clear" w:color="000000" w:fill="FBE4D5"/>
            <w:noWrap/>
            <w:vAlign w:val="center"/>
            <w:hideMark/>
          </w:tcPr>
          <w:p w14:paraId="18C419B5"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328</w:t>
            </w:r>
          </w:p>
        </w:tc>
        <w:tc>
          <w:tcPr>
            <w:tcW w:w="1158" w:type="dxa"/>
            <w:tcBorders>
              <w:top w:val="nil"/>
              <w:left w:val="nil"/>
              <w:bottom w:val="nil"/>
              <w:right w:val="nil"/>
            </w:tcBorders>
            <w:shd w:val="clear" w:color="000000" w:fill="FBE4D5"/>
            <w:vAlign w:val="center"/>
            <w:hideMark/>
          </w:tcPr>
          <w:p w14:paraId="361B03A8"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2.5</w:t>
            </w:r>
          </w:p>
        </w:tc>
        <w:tc>
          <w:tcPr>
            <w:tcW w:w="1424" w:type="dxa"/>
            <w:tcBorders>
              <w:top w:val="nil"/>
              <w:left w:val="nil"/>
              <w:bottom w:val="nil"/>
              <w:right w:val="nil"/>
            </w:tcBorders>
            <w:shd w:val="clear" w:color="000000" w:fill="FBE4D5"/>
            <w:vAlign w:val="center"/>
            <w:hideMark/>
          </w:tcPr>
          <w:p w14:paraId="456801C6"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6</w:t>
            </w:r>
          </w:p>
        </w:tc>
        <w:tc>
          <w:tcPr>
            <w:tcW w:w="1735" w:type="dxa"/>
            <w:tcBorders>
              <w:top w:val="nil"/>
              <w:left w:val="nil"/>
              <w:bottom w:val="nil"/>
              <w:right w:val="nil"/>
            </w:tcBorders>
            <w:shd w:val="clear" w:color="000000" w:fill="FBE4D5"/>
            <w:vAlign w:val="center"/>
            <w:hideMark/>
          </w:tcPr>
          <w:p w14:paraId="4218D62E" w14:textId="5B0DE3A9" w:rsidR="00BD1616" w:rsidRPr="00503F5B" w:rsidRDefault="00BD1616" w:rsidP="00BD1616">
            <w:pPr>
              <w:jc w:val="right"/>
              <w:rPr>
                <w:rFonts w:eastAsia="Times New Roman" w:cs="Calibri"/>
                <w:sz w:val="20"/>
                <w:szCs w:val="20"/>
                <w:lang w:eastAsia="en-AU"/>
              </w:rPr>
            </w:pPr>
            <w:r w:rsidRPr="00503F5B">
              <w:rPr>
                <w:rFonts w:cs="Calibri"/>
                <w:sz w:val="20"/>
                <w:szCs w:val="20"/>
              </w:rPr>
              <w:t>$48,577</w:t>
            </w:r>
          </w:p>
        </w:tc>
        <w:tc>
          <w:tcPr>
            <w:tcW w:w="1735" w:type="dxa"/>
            <w:tcBorders>
              <w:top w:val="nil"/>
              <w:left w:val="nil"/>
              <w:bottom w:val="nil"/>
              <w:right w:val="nil"/>
            </w:tcBorders>
            <w:shd w:val="clear" w:color="000000" w:fill="FBE4D5"/>
            <w:vAlign w:val="center"/>
            <w:hideMark/>
          </w:tcPr>
          <w:p w14:paraId="4DDD86F7" w14:textId="3EE3BCBC" w:rsidR="00BD1616" w:rsidRPr="00503F5B" w:rsidRDefault="00BD1616" w:rsidP="00BD1616">
            <w:pPr>
              <w:jc w:val="right"/>
              <w:rPr>
                <w:rFonts w:eastAsia="Times New Roman" w:cs="Calibri"/>
                <w:sz w:val="20"/>
                <w:szCs w:val="20"/>
                <w:lang w:eastAsia="en-AU"/>
              </w:rPr>
            </w:pPr>
            <w:r w:rsidRPr="00503F5B">
              <w:rPr>
                <w:rFonts w:cs="Calibri"/>
                <w:sz w:val="20"/>
                <w:szCs w:val="20"/>
              </w:rPr>
              <w:t>$53,195</w:t>
            </w:r>
          </w:p>
        </w:tc>
        <w:tc>
          <w:tcPr>
            <w:tcW w:w="1735" w:type="dxa"/>
            <w:tcBorders>
              <w:top w:val="nil"/>
              <w:left w:val="nil"/>
              <w:bottom w:val="nil"/>
              <w:right w:val="nil"/>
            </w:tcBorders>
            <w:shd w:val="clear" w:color="000000" w:fill="FBE4D5"/>
            <w:vAlign w:val="center"/>
            <w:hideMark/>
          </w:tcPr>
          <w:p w14:paraId="468F8CEB" w14:textId="41CC592E" w:rsidR="00BD1616" w:rsidRPr="00503F5B" w:rsidRDefault="00BD1616" w:rsidP="00BD1616">
            <w:pPr>
              <w:jc w:val="right"/>
              <w:rPr>
                <w:rFonts w:eastAsia="Times New Roman" w:cs="Calibri"/>
                <w:sz w:val="20"/>
                <w:szCs w:val="20"/>
                <w:lang w:eastAsia="en-AU"/>
              </w:rPr>
            </w:pPr>
            <w:r w:rsidRPr="00503F5B">
              <w:rPr>
                <w:rFonts w:cs="Calibri"/>
                <w:sz w:val="20"/>
                <w:szCs w:val="20"/>
              </w:rPr>
              <w:t>$101,772</w:t>
            </w:r>
          </w:p>
        </w:tc>
        <w:tc>
          <w:tcPr>
            <w:tcW w:w="993" w:type="dxa"/>
            <w:tcBorders>
              <w:top w:val="nil"/>
              <w:left w:val="nil"/>
              <w:bottom w:val="nil"/>
              <w:right w:val="nil"/>
            </w:tcBorders>
            <w:shd w:val="clear" w:color="000000" w:fill="FBE4D5"/>
            <w:vAlign w:val="center"/>
            <w:hideMark/>
          </w:tcPr>
          <w:p w14:paraId="0C1DEF63" w14:textId="57860E3B" w:rsidR="00BD1616" w:rsidRPr="00503F5B" w:rsidRDefault="00BD1616" w:rsidP="00BD1616">
            <w:pPr>
              <w:jc w:val="right"/>
              <w:rPr>
                <w:rFonts w:eastAsia="Times New Roman" w:cs="Calibri"/>
                <w:sz w:val="20"/>
                <w:szCs w:val="20"/>
                <w:lang w:eastAsia="en-AU"/>
              </w:rPr>
            </w:pPr>
            <w:r w:rsidRPr="00503F5B">
              <w:rPr>
                <w:rFonts w:cs="Calibri"/>
                <w:sz w:val="20"/>
                <w:szCs w:val="20"/>
              </w:rPr>
              <w:t>No</w:t>
            </w:r>
          </w:p>
        </w:tc>
      </w:tr>
      <w:tr w:rsidR="00BD1616" w:rsidRPr="00503F5B" w14:paraId="3129072A" w14:textId="77777777" w:rsidTr="009917B8">
        <w:trPr>
          <w:trHeight w:val="478"/>
          <w:jc w:val="center"/>
        </w:trPr>
        <w:tc>
          <w:tcPr>
            <w:tcW w:w="5103" w:type="dxa"/>
            <w:tcBorders>
              <w:top w:val="nil"/>
              <w:left w:val="nil"/>
              <w:bottom w:val="single" w:sz="8" w:space="0" w:color="ED7C5D"/>
              <w:right w:val="nil"/>
            </w:tcBorders>
            <w:shd w:val="clear" w:color="000000" w:fill="FBE4D5"/>
            <w:vAlign w:val="center"/>
            <w:hideMark/>
          </w:tcPr>
          <w:p w14:paraId="78B8A919" w14:textId="77777777" w:rsidR="00BD1616" w:rsidRPr="00503F5B" w:rsidRDefault="00BD1616" w:rsidP="00BD1616">
            <w:pPr>
              <w:rPr>
                <w:rFonts w:eastAsia="Times New Roman" w:cs="Calibri"/>
                <w:sz w:val="18"/>
                <w:szCs w:val="18"/>
                <w:lang w:eastAsia="en-AU"/>
              </w:rPr>
            </w:pPr>
            <w:r w:rsidRPr="00503F5B">
              <w:rPr>
                <w:rFonts w:eastAsia="Times New Roman" w:cs="Calibri"/>
                <w:sz w:val="18"/>
                <w:szCs w:val="18"/>
                <w:lang w:eastAsia="en-AU"/>
              </w:rPr>
              <w:t>Building Appeals Board (BAB) referrals (Section 160 &amp; 160A advice to the BAB)</w:t>
            </w:r>
          </w:p>
        </w:tc>
        <w:tc>
          <w:tcPr>
            <w:tcW w:w="1310" w:type="dxa"/>
            <w:tcBorders>
              <w:top w:val="nil"/>
              <w:left w:val="nil"/>
              <w:bottom w:val="single" w:sz="8" w:space="0" w:color="ED7C5D"/>
              <w:right w:val="nil"/>
            </w:tcBorders>
            <w:shd w:val="clear" w:color="000000" w:fill="FBE4D5"/>
            <w:noWrap/>
            <w:vAlign w:val="center"/>
            <w:hideMark/>
          </w:tcPr>
          <w:p w14:paraId="5F3C23AF"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51</w:t>
            </w:r>
          </w:p>
        </w:tc>
        <w:tc>
          <w:tcPr>
            <w:tcW w:w="1158" w:type="dxa"/>
            <w:tcBorders>
              <w:top w:val="nil"/>
              <w:left w:val="nil"/>
              <w:bottom w:val="single" w:sz="8" w:space="0" w:color="ED7C5D"/>
              <w:right w:val="nil"/>
            </w:tcBorders>
            <w:shd w:val="clear" w:color="000000" w:fill="FBE4D5"/>
            <w:vAlign w:val="center"/>
            <w:hideMark/>
          </w:tcPr>
          <w:p w14:paraId="2131D74E"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2.5</w:t>
            </w:r>
          </w:p>
        </w:tc>
        <w:tc>
          <w:tcPr>
            <w:tcW w:w="1424" w:type="dxa"/>
            <w:tcBorders>
              <w:top w:val="nil"/>
              <w:left w:val="nil"/>
              <w:bottom w:val="single" w:sz="8" w:space="0" w:color="ED7C5D"/>
              <w:right w:val="nil"/>
            </w:tcBorders>
            <w:shd w:val="clear" w:color="000000" w:fill="FBE4D5"/>
            <w:vAlign w:val="center"/>
            <w:hideMark/>
          </w:tcPr>
          <w:p w14:paraId="101D7FF0"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6</w:t>
            </w:r>
          </w:p>
        </w:tc>
        <w:tc>
          <w:tcPr>
            <w:tcW w:w="1735" w:type="dxa"/>
            <w:tcBorders>
              <w:top w:val="nil"/>
              <w:left w:val="nil"/>
              <w:bottom w:val="single" w:sz="8" w:space="0" w:color="ED7C5D"/>
              <w:right w:val="nil"/>
            </w:tcBorders>
            <w:shd w:val="clear" w:color="000000" w:fill="FBE4D5"/>
            <w:vAlign w:val="center"/>
            <w:hideMark/>
          </w:tcPr>
          <w:p w14:paraId="56C1E14B" w14:textId="4CDCC314" w:rsidR="00BD1616" w:rsidRPr="00503F5B" w:rsidRDefault="00BD1616" w:rsidP="00BD1616">
            <w:pPr>
              <w:jc w:val="right"/>
              <w:rPr>
                <w:rFonts w:eastAsia="Times New Roman" w:cs="Calibri"/>
                <w:sz w:val="20"/>
                <w:szCs w:val="20"/>
                <w:lang w:eastAsia="en-AU"/>
              </w:rPr>
            </w:pPr>
            <w:r w:rsidRPr="00503F5B">
              <w:rPr>
                <w:rFonts w:cs="Calibri"/>
                <w:sz w:val="20"/>
                <w:szCs w:val="20"/>
              </w:rPr>
              <w:t>$7,553</w:t>
            </w:r>
          </w:p>
        </w:tc>
        <w:tc>
          <w:tcPr>
            <w:tcW w:w="1735" w:type="dxa"/>
            <w:tcBorders>
              <w:top w:val="nil"/>
              <w:left w:val="nil"/>
              <w:bottom w:val="single" w:sz="8" w:space="0" w:color="ED7C5D"/>
              <w:right w:val="nil"/>
            </w:tcBorders>
            <w:shd w:val="clear" w:color="000000" w:fill="FBE4D5"/>
            <w:vAlign w:val="center"/>
            <w:hideMark/>
          </w:tcPr>
          <w:p w14:paraId="66ECE28B" w14:textId="4C34A158" w:rsidR="00BD1616" w:rsidRPr="00503F5B" w:rsidRDefault="00BD1616" w:rsidP="00BD1616">
            <w:pPr>
              <w:jc w:val="right"/>
              <w:rPr>
                <w:rFonts w:eastAsia="Times New Roman" w:cs="Calibri"/>
                <w:sz w:val="20"/>
                <w:szCs w:val="20"/>
                <w:lang w:eastAsia="en-AU"/>
              </w:rPr>
            </w:pPr>
            <w:r w:rsidRPr="00503F5B">
              <w:rPr>
                <w:rFonts w:cs="Calibri"/>
                <w:sz w:val="20"/>
                <w:szCs w:val="20"/>
              </w:rPr>
              <w:t>$8,271</w:t>
            </w:r>
          </w:p>
        </w:tc>
        <w:tc>
          <w:tcPr>
            <w:tcW w:w="1735" w:type="dxa"/>
            <w:tcBorders>
              <w:top w:val="nil"/>
              <w:left w:val="nil"/>
              <w:bottom w:val="single" w:sz="8" w:space="0" w:color="ED7C5D"/>
              <w:right w:val="nil"/>
            </w:tcBorders>
            <w:shd w:val="clear" w:color="000000" w:fill="FBE4D5"/>
            <w:vAlign w:val="center"/>
            <w:hideMark/>
          </w:tcPr>
          <w:p w14:paraId="28BBE8B5" w14:textId="1A1E86F6" w:rsidR="00BD1616" w:rsidRPr="00503F5B" w:rsidRDefault="00BD1616" w:rsidP="00BD1616">
            <w:pPr>
              <w:jc w:val="right"/>
              <w:rPr>
                <w:rFonts w:eastAsia="Times New Roman" w:cs="Calibri"/>
                <w:sz w:val="20"/>
                <w:szCs w:val="20"/>
                <w:lang w:eastAsia="en-AU"/>
              </w:rPr>
            </w:pPr>
            <w:r w:rsidRPr="00503F5B">
              <w:rPr>
                <w:rFonts w:cs="Calibri"/>
                <w:sz w:val="20"/>
                <w:szCs w:val="20"/>
              </w:rPr>
              <w:t>$15,824</w:t>
            </w:r>
          </w:p>
        </w:tc>
        <w:tc>
          <w:tcPr>
            <w:tcW w:w="993" w:type="dxa"/>
            <w:tcBorders>
              <w:top w:val="nil"/>
              <w:left w:val="nil"/>
              <w:bottom w:val="single" w:sz="8" w:space="0" w:color="ED7C5D"/>
              <w:right w:val="nil"/>
            </w:tcBorders>
            <w:shd w:val="clear" w:color="000000" w:fill="FBE4D5"/>
            <w:vAlign w:val="center"/>
            <w:hideMark/>
          </w:tcPr>
          <w:p w14:paraId="4BDB250B" w14:textId="202C449D" w:rsidR="00BD1616" w:rsidRPr="00503F5B" w:rsidRDefault="00BD1616" w:rsidP="00BD1616">
            <w:pPr>
              <w:jc w:val="right"/>
              <w:rPr>
                <w:rFonts w:eastAsia="Times New Roman" w:cs="Calibri"/>
                <w:sz w:val="20"/>
                <w:szCs w:val="20"/>
                <w:lang w:eastAsia="en-AU"/>
              </w:rPr>
            </w:pPr>
            <w:r w:rsidRPr="00503F5B">
              <w:rPr>
                <w:rFonts w:cs="Calibri"/>
                <w:sz w:val="20"/>
                <w:szCs w:val="20"/>
              </w:rPr>
              <w:t>No</w:t>
            </w:r>
          </w:p>
        </w:tc>
      </w:tr>
      <w:tr w:rsidR="00472954" w:rsidRPr="00503F5B" w14:paraId="5BA902D7" w14:textId="77777777" w:rsidTr="009917B8">
        <w:trPr>
          <w:trHeight w:val="300"/>
          <w:jc w:val="center"/>
        </w:trPr>
        <w:tc>
          <w:tcPr>
            <w:tcW w:w="5103" w:type="dxa"/>
            <w:tcBorders>
              <w:top w:val="nil"/>
              <w:left w:val="nil"/>
              <w:bottom w:val="nil"/>
              <w:right w:val="nil"/>
            </w:tcBorders>
            <w:shd w:val="clear" w:color="000000" w:fill="FFFFFF"/>
            <w:vAlign w:val="center"/>
            <w:hideMark/>
          </w:tcPr>
          <w:p w14:paraId="0E04ACE1" w14:textId="77777777" w:rsidR="0041660B" w:rsidRPr="00503F5B" w:rsidRDefault="0041660B" w:rsidP="0041660B">
            <w:pPr>
              <w:rPr>
                <w:rFonts w:eastAsia="Times New Roman" w:cs="Calibri"/>
                <w:b/>
                <w:bCs/>
                <w:color w:val="auto"/>
                <w:sz w:val="20"/>
                <w:szCs w:val="20"/>
                <w:lang w:eastAsia="en-AU"/>
              </w:rPr>
            </w:pPr>
            <w:r w:rsidRPr="00503F5B">
              <w:rPr>
                <w:rFonts w:eastAsia="Times New Roman" w:cs="Calibri"/>
                <w:b/>
                <w:bCs/>
                <w:color w:val="auto"/>
                <w:sz w:val="20"/>
                <w:szCs w:val="20"/>
                <w:lang w:eastAsia="en-AU"/>
              </w:rPr>
              <w:t>Community Safety Technical Department</w:t>
            </w:r>
          </w:p>
        </w:tc>
        <w:tc>
          <w:tcPr>
            <w:tcW w:w="1310" w:type="dxa"/>
            <w:tcBorders>
              <w:top w:val="nil"/>
              <w:left w:val="nil"/>
              <w:bottom w:val="nil"/>
              <w:right w:val="nil"/>
            </w:tcBorders>
            <w:shd w:val="clear" w:color="000000" w:fill="FFFFFF"/>
            <w:noWrap/>
            <w:vAlign w:val="center"/>
            <w:hideMark/>
          </w:tcPr>
          <w:p w14:paraId="6468E650" w14:textId="77777777" w:rsidR="0041660B" w:rsidRPr="00503F5B" w:rsidRDefault="0041660B" w:rsidP="00FA1EC4">
            <w:pPr>
              <w:jc w:val="right"/>
              <w:rPr>
                <w:rFonts w:eastAsia="Times New Roman" w:cs="Calibri"/>
                <w:sz w:val="20"/>
                <w:szCs w:val="20"/>
                <w:lang w:eastAsia="en-AU"/>
              </w:rPr>
            </w:pPr>
            <w:r w:rsidRPr="00503F5B">
              <w:rPr>
                <w:rFonts w:eastAsia="Times New Roman" w:cs="Calibri"/>
                <w:sz w:val="20"/>
                <w:szCs w:val="20"/>
                <w:lang w:eastAsia="en-AU"/>
              </w:rPr>
              <w:t> </w:t>
            </w:r>
          </w:p>
        </w:tc>
        <w:tc>
          <w:tcPr>
            <w:tcW w:w="1158" w:type="dxa"/>
            <w:tcBorders>
              <w:top w:val="nil"/>
              <w:left w:val="nil"/>
              <w:bottom w:val="nil"/>
              <w:right w:val="nil"/>
            </w:tcBorders>
            <w:shd w:val="clear" w:color="000000" w:fill="FFFFFF"/>
            <w:vAlign w:val="center"/>
            <w:hideMark/>
          </w:tcPr>
          <w:p w14:paraId="27587C35" w14:textId="77777777" w:rsidR="0041660B" w:rsidRPr="00503F5B" w:rsidRDefault="0041660B" w:rsidP="00FA1EC4">
            <w:pPr>
              <w:jc w:val="right"/>
              <w:rPr>
                <w:rFonts w:eastAsia="Times New Roman" w:cs="Calibri"/>
                <w:sz w:val="20"/>
                <w:szCs w:val="20"/>
                <w:lang w:eastAsia="en-AU"/>
              </w:rPr>
            </w:pPr>
            <w:r w:rsidRPr="00503F5B">
              <w:rPr>
                <w:rFonts w:eastAsia="Times New Roman" w:cs="Calibri"/>
                <w:sz w:val="20"/>
                <w:szCs w:val="20"/>
                <w:lang w:eastAsia="en-AU"/>
              </w:rPr>
              <w:t> </w:t>
            </w:r>
          </w:p>
        </w:tc>
        <w:tc>
          <w:tcPr>
            <w:tcW w:w="1424" w:type="dxa"/>
            <w:tcBorders>
              <w:top w:val="nil"/>
              <w:left w:val="nil"/>
              <w:bottom w:val="nil"/>
              <w:right w:val="nil"/>
            </w:tcBorders>
            <w:shd w:val="clear" w:color="000000" w:fill="FFFFFF"/>
            <w:vAlign w:val="center"/>
            <w:hideMark/>
          </w:tcPr>
          <w:p w14:paraId="08A1BB60" w14:textId="77777777" w:rsidR="0041660B" w:rsidRPr="00503F5B" w:rsidRDefault="0041660B" w:rsidP="00FA1EC4">
            <w:pPr>
              <w:jc w:val="right"/>
              <w:rPr>
                <w:rFonts w:eastAsia="Times New Roman" w:cs="Calibri"/>
                <w:sz w:val="20"/>
                <w:szCs w:val="20"/>
                <w:lang w:eastAsia="en-AU"/>
              </w:rPr>
            </w:pPr>
            <w:r w:rsidRPr="00503F5B">
              <w:rPr>
                <w:rFonts w:eastAsia="Times New Roman" w:cs="Calibri"/>
                <w:sz w:val="20"/>
                <w:szCs w:val="20"/>
                <w:lang w:eastAsia="en-AU"/>
              </w:rPr>
              <w:t> </w:t>
            </w:r>
          </w:p>
        </w:tc>
        <w:tc>
          <w:tcPr>
            <w:tcW w:w="1735" w:type="dxa"/>
            <w:tcBorders>
              <w:top w:val="nil"/>
              <w:left w:val="nil"/>
              <w:bottom w:val="nil"/>
              <w:right w:val="nil"/>
            </w:tcBorders>
            <w:shd w:val="clear" w:color="000000" w:fill="FFFFFF"/>
            <w:vAlign w:val="center"/>
            <w:hideMark/>
          </w:tcPr>
          <w:p w14:paraId="3F9DF53E" w14:textId="77777777" w:rsidR="0041660B" w:rsidRPr="00503F5B" w:rsidRDefault="0041660B" w:rsidP="00FA1EC4">
            <w:pPr>
              <w:jc w:val="right"/>
              <w:rPr>
                <w:rFonts w:eastAsia="Times New Roman" w:cs="Calibri"/>
                <w:sz w:val="20"/>
                <w:szCs w:val="20"/>
                <w:lang w:eastAsia="en-AU"/>
              </w:rPr>
            </w:pPr>
            <w:r w:rsidRPr="00503F5B">
              <w:rPr>
                <w:rFonts w:eastAsia="Times New Roman" w:cs="Calibri"/>
                <w:sz w:val="20"/>
                <w:szCs w:val="20"/>
                <w:lang w:eastAsia="en-AU"/>
              </w:rPr>
              <w:t> </w:t>
            </w:r>
          </w:p>
        </w:tc>
        <w:tc>
          <w:tcPr>
            <w:tcW w:w="1735" w:type="dxa"/>
            <w:tcBorders>
              <w:top w:val="nil"/>
              <w:left w:val="nil"/>
              <w:bottom w:val="nil"/>
              <w:right w:val="nil"/>
            </w:tcBorders>
            <w:shd w:val="clear" w:color="000000" w:fill="FFFFFF"/>
            <w:vAlign w:val="center"/>
            <w:hideMark/>
          </w:tcPr>
          <w:p w14:paraId="29D61B2D" w14:textId="77777777" w:rsidR="0041660B" w:rsidRPr="00503F5B" w:rsidRDefault="0041660B" w:rsidP="00FA1EC4">
            <w:pPr>
              <w:jc w:val="right"/>
              <w:rPr>
                <w:rFonts w:eastAsia="Times New Roman" w:cs="Calibri"/>
                <w:sz w:val="20"/>
                <w:szCs w:val="20"/>
                <w:lang w:eastAsia="en-AU"/>
              </w:rPr>
            </w:pPr>
            <w:r w:rsidRPr="00503F5B">
              <w:rPr>
                <w:rFonts w:eastAsia="Times New Roman" w:cs="Calibri"/>
                <w:sz w:val="20"/>
                <w:szCs w:val="20"/>
                <w:lang w:eastAsia="en-AU"/>
              </w:rPr>
              <w:t> </w:t>
            </w:r>
          </w:p>
        </w:tc>
        <w:tc>
          <w:tcPr>
            <w:tcW w:w="1735" w:type="dxa"/>
            <w:tcBorders>
              <w:top w:val="nil"/>
              <w:left w:val="nil"/>
              <w:bottom w:val="nil"/>
              <w:right w:val="nil"/>
            </w:tcBorders>
            <w:shd w:val="clear" w:color="000000" w:fill="FFFFFF"/>
            <w:vAlign w:val="center"/>
            <w:hideMark/>
          </w:tcPr>
          <w:p w14:paraId="15DD440C" w14:textId="77777777" w:rsidR="0041660B" w:rsidRPr="00503F5B" w:rsidRDefault="0041660B" w:rsidP="00FA1EC4">
            <w:pPr>
              <w:jc w:val="right"/>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nil"/>
              <w:right w:val="nil"/>
            </w:tcBorders>
            <w:shd w:val="clear" w:color="000000" w:fill="FFFFFF"/>
            <w:vAlign w:val="center"/>
            <w:hideMark/>
          </w:tcPr>
          <w:p w14:paraId="64884AC3" w14:textId="77777777" w:rsidR="0041660B" w:rsidRPr="00503F5B" w:rsidRDefault="0041660B" w:rsidP="00FA1EC4">
            <w:pPr>
              <w:jc w:val="right"/>
              <w:rPr>
                <w:rFonts w:eastAsia="Times New Roman" w:cs="Calibri"/>
                <w:sz w:val="20"/>
                <w:szCs w:val="20"/>
                <w:lang w:eastAsia="en-AU"/>
              </w:rPr>
            </w:pPr>
            <w:r w:rsidRPr="00503F5B">
              <w:rPr>
                <w:rFonts w:eastAsia="Times New Roman" w:cs="Calibri"/>
                <w:sz w:val="20"/>
                <w:szCs w:val="20"/>
                <w:lang w:eastAsia="en-AU"/>
              </w:rPr>
              <w:t> </w:t>
            </w:r>
          </w:p>
        </w:tc>
      </w:tr>
      <w:tr w:rsidR="00BD1616" w:rsidRPr="00503F5B" w14:paraId="744E93CC" w14:textId="77777777" w:rsidTr="009917B8">
        <w:trPr>
          <w:trHeight w:val="318"/>
          <w:jc w:val="center"/>
        </w:trPr>
        <w:tc>
          <w:tcPr>
            <w:tcW w:w="5103" w:type="dxa"/>
            <w:tcBorders>
              <w:top w:val="nil"/>
              <w:left w:val="nil"/>
              <w:bottom w:val="nil"/>
              <w:right w:val="nil"/>
            </w:tcBorders>
            <w:shd w:val="clear" w:color="000000" w:fill="FFFFFF"/>
            <w:vAlign w:val="center"/>
            <w:hideMark/>
          </w:tcPr>
          <w:p w14:paraId="7DDED070" w14:textId="77777777" w:rsidR="00BD1616" w:rsidRPr="00503F5B" w:rsidRDefault="00BD1616" w:rsidP="00BD1616">
            <w:pPr>
              <w:rPr>
                <w:rFonts w:eastAsia="Times New Roman" w:cs="Calibri"/>
                <w:color w:val="auto"/>
                <w:sz w:val="18"/>
                <w:szCs w:val="18"/>
                <w:lang w:eastAsia="en-AU"/>
              </w:rPr>
            </w:pPr>
            <w:r w:rsidRPr="00503F5B">
              <w:rPr>
                <w:rFonts w:eastAsia="Times New Roman" w:cs="Calibri"/>
                <w:color w:val="auto"/>
                <w:sz w:val="18"/>
                <w:szCs w:val="18"/>
                <w:lang w:eastAsia="en-AU"/>
              </w:rPr>
              <w:t>Fire Engineering Brief referrals - IFEG 2005 Stakeholder Consultation</w:t>
            </w:r>
          </w:p>
        </w:tc>
        <w:tc>
          <w:tcPr>
            <w:tcW w:w="1310" w:type="dxa"/>
            <w:tcBorders>
              <w:top w:val="nil"/>
              <w:left w:val="nil"/>
              <w:bottom w:val="nil"/>
              <w:right w:val="nil"/>
            </w:tcBorders>
            <w:shd w:val="clear" w:color="000000" w:fill="FFFFFF"/>
            <w:noWrap/>
            <w:vAlign w:val="center"/>
            <w:hideMark/>
          </w:tcPr>
          <w:p w14:paraId="67EF4CD3"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606</w:t>
            </w:r>
          </w:p>
        </w:tc>
        <w:tc>
          <w:tcPr>
            <w:tcW w:w="1158" w:type="dxa"/>
            <w:tcBorders>
              <w:top w:val="nil"/>
              <w:left w:val="nil"/>
              <w:bottom w:val="nil"/>
              <w:right w:val="nil"/>
            </w:tcBorders>
            <w:shd w:val="clear" w:color="000000" w:fill="FFFFFF"/>
            <w:vAlign w:val="center"/>
            <w:hideMark/>
          </w:tcPr>
          <w:p w14:paraId="62632978"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3</w:t>
            </w:r>
          </w:p>
        </w:tc>
        <w:tc>
          <w:tcPr>
            <w:tcW w:w="1424" w:type="dxa"/>
            <w:tcBorders>
              <w:top w:val="nil"/>
              <w:left w:val="nil"/>
              <w:bottom w:val="nil"/>
              <w:right w:val="nil"/>
            </w:tcBorders>
            <w:shd w:val="clear" w:color="000000" w:fill="FFFFFF"/>
            <w:vAlign w:val="center"/>
            <w:hideMark/>
          </w:tcPr>
          <w:p w14:paraId="113AD33D"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8</w:t>
            </w:r>
          </w:p>
        </w:tc>
        <w:tc>
          <w:tcPr>
            <w:tcW w:w="1735" w:type="dxa"/>
            <w:tcBorders>
              <w:top w:val="nil"/>
              <w:left w:val="nil"/>
              <w:bottom w:val="nil"/>
              <w:right w:val="nil"/>
            </w:tcBorders>
            <w:shd w:val="clear" w:color="000000" w:fill="FFFFFF"/>
            <w:vAlign w:val="center"/>
            <w:hideMark/>
          </w:tcPr>
          <w:p w14:paraId="18C67B31" w14:textId="5D510C2E" w:rsidR="00BD1616" w:rsidRPr="00503F5B" w:rsidRDefault="00BD1616" w:rsidP="00BD1616">
            <w:pPr>
              <w:jc w:val="right"/>
              <w:rPr>
                <w:rFonts w:eastAsia="Times New Roman" w:cs="Calibri"/>
                <w:sz w:val="20"/>
                <w:szCs w:val="20"/>
                <w:lang w:eastAsia="en-AU"/>
              </w:rPr>
            </w:pPr>
            <w:r w:rsidRPr="00503F5B">
              <w:rPr>
                <w:rFonts w:cs="Calibri"/>
                <w:sz w:val="20"/>
                <w:szCs w:val="20"/>
              </w:rPr>
              <w:t>$89,749</w:t>
            </w:r>
          </w:p>
        </w:tc>
        <w:tc>
          <w:tcPr>
            <w:tcW w:w="1735" w:type="dxa"/>
            <w:tcBorders>
              <w:top w:val="nil"/>
              <w:left w:val="nil"/>
              <w:bottom w:val="nil"/>
              <w:right w:val="nil"/>
            </w:tcBorders>
            <w:shd w:val="clear" w:color="000000" w:fill="FFFFFF"/>
            <w:vAlign w:val="center"/>
            <w:hideMark/>
          </w:tcPr>
          <w:p w14:paraId="1170CAD7" w14:textId="094D360D" w:rsidR="00BD1616" w:rsidRPr="00503F5B" w:rsidRDefault="00BD1616" w:rsidP="00BD1616">
            <w:pPr>
              <w:jc w:val="right"/>
              <w:rPr>
                <w:rFonts w:eastAsia="Times New Roman" w:cs="Calibri"/>
                <w:sz w:val="20"/>
                <w:szCs w:val="20"/>
                <w:lang w:eastAsia="en-AU"/>
              </w:rPr>
            </w:pPr>
            <w:r w:rsidRPr="00503F5B">
              <w:rPr>
                <w:rFonts w:cs="Calibri"/>
                <w:sz w:val="20"/>
                <w:szCs w:val="20"/>
              </w:rPr>
              <w:t>$131,041</w:t>
            </w:r>
          </w:p>
        </w:tc>
        <w:tc>
          <w:tcPr>
            <w:tcW w:w="1735" w:type="dxa"/>
            <w:tcBorders>
              <w:top w:val="nil"/>
              <w:left w:val="nil"/>
              <w:bottom w:val="nil"/>
              <w:right w:val="nil"/>
            </w:tcBorders>
            <w:shd w:val="clear" w:color="000000" w:fill="FFFFFF"/>
            <w:vAlign w:val="center"/>
            <w:hideMark/>
          </w:tcPr>
          <w:p w14:paraId="2F224AE3" w14:textId="721F556E" w:rsidR="00BD1616" w:rsidRPr="00503F5B" w:rsidRDefault="00BD1616" w:rsidP="00BD1616">
            <w:pPr>
              <w:jc w:val="right"/>
              <w:rPr>
                <w:rFonts w:eastAsia="Times New Roman" w:cs="Calibri"/>
                <w:sz w:val="20"/>
                <w:szCs w:val="20"/>
                <w:lang w:eastAsia="en-AU"/>
              </w:rPr>
            </w:pPr>
            <w:r w:rsidRPr="00503F5B">
              <w:rPr>
                <w:rFonts w:cs="Calibri"/>
                <w:sz w:val="20"/>
                <w:szCs w:val="20"/>
              </w:rPr>
              <w:t>$220,790</w:t>
            </w:r>
          </w:p>
        </w:tc>
        <w:tc>
          <w:tcPr>
            <w:tcW w:w="993" w:type="dxa"/>
            <w:tcBorders>
              <w:top w:val="nil"/>
              <w:left w:val="nil"/>
              <w:bottom w:val="nil"/>
              <w:right w:val="nil"/>
            </w:tcBorders>
            <w:shd w:val="clear" w:color="000000" w:fill="FFFFFF"/>
            <w:vAlign w:val="center"/>
            <w:hideMark/>
          </w:tcPr>
          <w:p w14:paraId="519FA375" w14:textId="371D4C75" w:rsidR="00BD1616" w:rsidRPr="00503F5B" w:rsidRDefault="00BD1616" w:rsidP="00BD1616">
            <w:pPr>
              <w:jc w:val="right"/>
              <w:rPr>
                <w:rFonts w:eastAsia="Times New Roman" w:cs="Calibri"/>
                <w:sz w:val="20"/>
                <w:szCs w:val="20"/>
                <w:lang w:eastAsia="en-AU"/>
              </w:rPr>
            </w:pPr>
            <w:r w:rsidRPr="00503F5B">
              <w:rPr>
                <w:rFonts w:cs="Calibri"/>
                <w:sz w:val="20"/>
                <w:szCs w:val="20"/>
              </w:rPr>
              <w:t>No</w:t>
            </w:r>
          </w:p>
        </w:tc>
      </w:tr>
      <w:tr w:rsidR="00BD1616" w:rsidRPr="00503F5B" w14:paraId="0796DF48" w14:textId="77777777" w:rsidTr="009917B8">
        <w:trPr>
          <w:trHeight w:val="365"/>
          <w:jc w:val="center"/>
        </w:trPr>
        <w:tc>
          <w:tcPr>
            <w:tcW w:w="5103" w:type="dxa"/>
            <w:tcBorders>
              <w:top w:val="nil"/>
              <w:left w:val="nil"/>
              <w:bottom w:val="nil"/>
              <w:right w:val="nil"/>
            </w:tcBorders>
            <w:shd w:val="clear" w:color="000000" w:fill="FFFFFF"/>
            <w:vAlign w:val="center"/>
            <w:hideMark/>
          </w:tcPr>
          <w:p w14:paraId="0588E037" w14:textId="77777777" w:rsidR="00BD1616" w:rsidRPr="00503F5B" w:rsidRDefault="00BD1616" w:rsidP="00BD1616">
            <w:pPr>
              <w:rPr>
                <w:rFonts w:eastAsia="Times New Roman" w:cs="Calibri"/>
                <w:color w:val="auto"/>
                <w:sz w:val="18"/>
                <w:szCs w:val="18"/>
                <w:lang w:eastAsia="en-AU"/>
              </w:rPr>
            </w:pPr>
            <w:r w:rsidRPr="00503F5B">
              <w:rPr>
                <w:rFonts w:eastAsia="Times New Roman" w:cs="Calibri"/>
                <w:color w:val="auto"/>
                <w:sz w:val="18"/>
                <w:szCs w:val="18"/>
                <w:lang w:eastAsia="en-AU"/>
              </w:rPr>
              <w:t xml:space="preserve">Fire Engineering Report referral and review </w:t>
            </w:r>
          </w:p>
        </w:tc>
        <w:tc>
          <w:tcPr>
            <w:tcW w:w="1310" w:type="dxa"/>
            <w:tcBorders>
              <w:top w:val="nil"/>
              <w:left w:val="nil"/>
              <w:bottom w:val="nil"/>
              <w:right w:val="nil"/>
            </w:tcBorders>
            <w:shd w:val="clear" w:color="000000" w:fill="FFFFFF"/>
            <w:noWrap/>
            <w:vAlign w:val="center"/>
            <w:hideMark/>
          </w:tcPr>
          <w:p w14:paraId="6F0E4F0E"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437</w:t>
            </w:r>
          </w:p>
        </w:tc>
        <w:tc>
          <w:tcPr>
            <w:tcW w:w="1158" w:type="dxa"/>
            <w:tcBorders>
              <w:top w:val="nil"/>
              <w:left w:val="nil"/>
              <w:bottom w:val="nil"/>
              <w:right w:val="nil"/>
            </w:tcBorders>
            <w:shd w:val="clear" w:color="000000" w:fill="FFFFFF"/>
            <w:vAlign w:val="center"/>
            <w:hideMark/>
          </w:tcPr>
          <w:p w14:paraId="12FBCB51"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3</w:t>
            </w:r>
          </w:p>
        </w:tc>
        <w:tc>
          <w:tcPr>
            <w:tcW w:w="1424" w:type="dxa"/>
            <w:tcBorders>
              <w:top w:val="nil"/>
              <w:left w:val="nil"/>
              <w:bottom w:val="nil"/>
              <w:right w:val="nil"/>
            </w:tcBorders>
            <w:shd w:val="clear" w:color="000000" w:fill="FFFFFF"/>
            <w:vAlign w:val="center"/>
            <w:hideMark/>
          </w:tcPr>
          <w:p w14:paraId="60B3A662"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8</w:t>
            </w:r>
          </w:p>
        </w:tc>
        <w:tc>
          <w:tcPr>
            <w:tcW w:w="1735" w:type="dxa"/>
            <w:tcBorders>
              <w:top w:val="nil"/>
              <w:left w:val="nil"/>
              <w:bottom w:val="nil"/>
              <w:right w:val="nil"/>
            </w:tcBorders>
            <w:shd w:val="clear" w:color="000000" w:fill="FFFFFF"/>
            <w:vAlign w:val="center"/>
            <w:hideMark/>
          </w:tcPr>
          <w:p w14:paraId="6702F423" w14:textId="7A0AE2C4" w:rsidR="00BD1616" w:rsidRPr="00503F5B" w:rsidRDefault="00BD1616" w:rsidP="00BD1616">
            <w:pPr>
              <w:jc w:val="right"/>
              <w:rPr>
                <w:rFonts w:eastAsia="Times New Roman" w:cs="Calibri"/>
                <w:sz w:val="20"/>
                <w:szCs w:val="20"/>
                <w:lang w:eastAsia="en-AU"/>
              </w:rPr>
            </w:pPr>
            <w:r w:rsidRPr="00503F5B">
              <w:rPr>
                <w:rFonts w:cs="Calibri"/>
                <w:sz w:val="20"/>
                <w:szCs w:val="20"/>
              </w:rPr>
              <w:t>$64,720</w:t>
            </w:r>
          </w:p>
        </w:tc>
        <w:tc>
          <w:tcPr>
            <w:tcW w:w="1735" w:type="dxa"/>
            <w:tcBorders>
              <w:top w:val="nil"/>
              <w:left w:val="nil"/>
              <w:bottom w:val="nil"/>
              <w:right w:val="nil"/>
            </w:tcBorders>
            <w:shd w:val="clear" w:color="000000" w:fill="FFFFFF"/>
            <w:vAlign w:val="center"/>
            <w:hideMark/>
          </w:tcPr>
          <w:p w14:paraId="775CCA30" w14:textId="0EAA773C" w:rsidR="00BD1616" w:rsidRPr="00503F5B" w:rsidRDefault="00BD1616" w:rsidP="00BD1616">
            <w:pPr>
              <w:jc w:val="right"/>
              <w:rPr>
                <w:rFonts w:eastAsia="Times New Roman" w:cs="Calibri"/>
                <w:sz w:val="20"/>
                <w:szCs w:val="20"/>
                <w:lang w:eastAsia="en-AU"/>
              </w:rPr>
            </w:pPr>
            <w:r w:rsidRPr="00503F5B">
              <w:rPr>
                <w:rFonts w:cs="Calibri"/>
                <w:sz w:val="20"/>
                <w:szCs w:val="20"/>
              </w:rPr>
              <w:t>$94,497</w:t>
            </w:r>
          </w:p>
        </w:tc>
        <w:tc>
          <w:tcPr>
            <w:tcW w:w="1735" w:type="dxa"/>
            <w:tcBorders>
              <w:top w:val="nil"/>
              <w:left w:val="nil"/>
              <w:bottom w:val="nil"/>
              <w:right w:val="nil"/>
            </w:tcBorders>
            <w:shd w:val="clear" w:color="000000" w:fill="FFFFFF"/>
            <w:vAlign w:val="center"/>
            <w:hideMark/>
          </w:tcPr>
          <w:p w14:paraId="3DC58DB9" w14:textId="3CAD005B" w:rsidR="00BD1616" w:rsidRPr="00503F5B" w:rsidRDefault="00BD1616" w:rsidP="00BD1616">
            <w:pPr>
              <w:jc w:val="right"/>
              <w:rPr>
                <w:rFonts w:eastAsia="Times New Roman" w:cs="Calibri"/>
                <w:sz w:val="20"/>
                <w:szCs w:val="20"/>
                <w:lang w:eastAsia="en-AU"/>
              </w:rPr>
            </w:pPr>
            <w:r w:rsidRPr="00503F5B">
              <w:rPr>
                <w:rFonts w:cs="Calibri"/>
                <w:sz w:val="20"/>
                <w:szCs w:val="20"/>
              </w:rPr>
              <w:t>$159,217</w:t>
            </w:r>
          </w:p>
        </w:tc>
        <w:tc>
          <w:tcPr>
            <w:tcW w:w="993" w:type="dxa"/>
            <w:tcBorders>
              <w:top w:val="nil"/>
              <w:left w:val="nil"/>
              <w:bottom w:val="nil"/>
              <w:right w:val="nil"/>
            </w:tcBorders>
            <w:shd w:val="clear" w:color="000000" w:fill="FFFFFF"/>
            <w:vAlign w:val="center"/>
            <w:hideMark/>
          </w:tcPr>
          <w:p w14:paraId="5EDAB677" w14:textId="53F36871" w:rsidR="00BD1616" w:rsidRPr="00503F5B" w:rsidRDefault="00BD1616" w:rsidP="00BD1616">
            <w:pPr>
              <w:jc w:val="right"/>
              <w:rPr>
                <w:rFonts w:eastAsia="Times New Roman" w:cs="Calibri"/>
                <w:sz w:val="20"/>
                <w:szCs w:val="20"/>
                <w:lang w:eastAsia="en-AU"/>
              </w:rPr>
            </w:pPr>
            <w:r w:rsidRPr="00503F5B">
              <w:rPr>
                <w:rFonts w:cs="Calibri"/>
                <w:sz w:val="20"/>
                <w:szCs w:val="20"/>
              </w:rPr>
              <w:t>No</w:t>
            </w:r>
          </w:p>
        </w:tc>
      </w:tr>
      <w:tr w:rsidR="00BD1616" w:rsidRPr="00503F5B" w14:paraId="156C3DFE" w14:textId="77777777" w:rsidTr="009917B8">
        <w:trPr>
          <w:trHeight w:val="427"/>
          <w:jc w:val="center"/>
        </w:trPr>
        <w:tc>
          <w:tcPr>
            <w:tcW w:w="5103" w:type="dxa"/>
            <w:tcBorders>
              <w:top w:val="nil"/>
              <w:left w:val="nil"/>
              <w:bottom w:val="single" w:sz="8" w:space="0" w:color="ED7C5D"/>
              <w:right w:val="nil"/>
            </w:tcBorders>
            <w:shd w:val="clear" w:color="000000" w:fill="FFFFFF"/>
            <w:vAlign w:val="center"/>
            <w:hideMark/>
          </w:tcPr>
          <w:p w14:paraId="42007DC9" w14:textId="77777777" w:rsidR="00BD1616" w:rsidRPr="00503F5B" w:rsidRDefault="00BD1616" w:rsidP="00BD1616">
            <w:pPr>
              <w:rPr>
                <w:rFonts w:eastAsia="Times New Roman" w:cs="Calibri"/>
                <w:color w:val="auto"/>
                <w:sz w:val="18"/>
                <w:szCs w:val="18"/>
                <w:lang w:eastAsia="en-AU"/>
              </w:rPr>
            </w:pPr>
            <w:r w:rsidRPr="00503F5B">
              <w:rPr>
                <w:rFonts w:eastAsia="Times New Roman" w:cs="Calibri"/>
                <w:color w:val="auto"/>
                <w:sz w:val="18"/>
                <w:szCs w:val="18"/>
                <w:lang w:eastAsia="en-AU"/>
              </w:rPr>
              <w:t>Inspections of buildings, MHFs, fire protection infrastructure and perimeter access roads</w:t>
            </w:r>
          </w:p>
        </w:tc>
        <w:tc>
          <w:tcPr>
            <w:tcW w:w="1310" w:type="dxa"/>
            <w:tcBorders>
              <w:top w:val="nil"/>
              <w:left w:val="nil"/>
              <w:bottom w:val="single" w:sz="8" w:space="0" w:color="ED7C5D"/>
              <w:right w:val="nil"/>
            </w:tcBorders>
            <w:shd w:val="clear" w:color="000000" w:fill="FFFFFF"/>
            <w:noWrap/>
            <w:vAlign w:val="center"/>
            <w:hideMark/>
          </w:tcPr>
          <w:p w14:paraId="27E65D71"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52</w:t>
            </w:r>
          </w:p>
        </w:tc>
        <w:tc>
          <w:tcPr>
            <w:tcW w:w="1158" w:type="dxa"/>
            <w:tcBorders>
              <w:top w:val="nil"/>
              <w:left w:val="nil"/>
              <w:bottom w:val="single" w:sz="8" w:space="0" w:color="ED7C5D"/>
              <w:right w:val="nil"/>
            </w:tcBorders>
            <w:shd w:val="clear" w:color="000000" w:fill="FFFFFF"/>
            <w:vAlign w:val="center"/>
            <w:hideMark/>
          </w:tcPr>
          <w:p w14:paraId="4B9B6E39"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2.5</w:t>
            </w:r>
          </w:p>
        </w:tc>
        <w:tc>
          <w:tcPr>
            <w:tcW w:w="1424" w:type="dxa"/>
            <w:tcBorders>
              <w:top w:val="nil"/>
              <w:left w:val="nil"/>
              <w:bottom w:val="single" w:sz="8" w:space="0" w:color="ED7C5D"/>
              <w:right w:val="nil"/>
            </w:tcBorders>
            <w:shd w:val="clear" w:color="000000" w:fill="FFFFFF"/>
            <w:vAlign w:val="center"/>
            <w:hideMark/>
          </w:tcPr>
          <w:p w14:paraId="24E06710"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6</w:t>
            </w:r>
          </w:p>
        </w:tc>
        <w:tc>
          <w:tcPr>
            <w:tcW w:w="1735" w:type="dxa"/>
            <w:tcBorders>
              <w:top w:val="nil"/>
              <w:left w:val="nil"/>
              <w:bottom w:val="single" w:sz="8" w:space="0" w:color="ED7C5D"/>
              <w:right w:val="nil"/>
            </w:tcBorders>
            <w:shd w:val="clear" w:color="000000" w:fill="FFFFFF"/>
            <w:vAlign w:val="center"/>
            <w:hideMark/>
          </w:tcPr>
          <w:p w14:paraId="4FDE88EF" w14:textId="3BFA9888" w:rsidR="00BD1616" w:rsidRPr="00503F5B" w:rsidRDefault="00BD1616" w:rsidP="00BD1616">
            <w:pPr>
              <w:jc w:val="right"/>
              <w:rPr>
                <w:rFonts w:eastAsia="Times New Roman" w:cs="Calibri"/>
                <w:sz w:val="20"/>
                <w:szCs w:val="20"/>
                <w:lang w:eastAsia="en-AU"/>
              </w:rPr>
            </w:pPr>
            <w:r w:rsidRPr="00503F5B">
              <w:rPr>
                <w:rFonts w:cs="Calibri"/>
                <w:sz w:val="20"/>
                <w:szCs w:val="20"/>
              </w:rPr>
              <w:t>$7,701</w:t>
            </w:r>
          </w:p>
        </w:tc>
        <w:tc>
          <w:tcPr>
            <w:tcW w:w="1735" w:type="dxa"/>
            <w:tcBorders>
              <w:top w:val="nil"/>
              <w:left w:val="nil"/>
              <w:bottom w:val="single" w:sz="8" w:space="0" w:color="ED7C5D"/>
              <w:right w:val="nil"/>
            </w:tcBorders>
            <w:shd w:val="clear" w:color="000000" w:fill="FFFFFF"/>
            <w:vAlign w:val="center"/>
            <w:hideMark/>
          </w:tcPr>
          <w:p w14:paraId="2738148A" w14:textId="17BA7F50" w:rsidR="00BD1616" w:rsidRPr="00503F5B" w:rsidRDefault="00BD1616" w:rsidP="00BD1616">
            <w:pPr>
              <w:jc w:val="right"/>
              <w:rPr>
                <w:rFonts w:eastAsia="Times New Roman" w:cs="Calibri"/>
                <w:sz w:val="20"/>
                <w:szCs w:val="20"/>
                <w:lang w:eastAsia="en-AU"/>
              </w:rPr>
            </w:pPr>
            <w:r w:rsidRPr="00503F5B">
              <w:rPr>
                <w:rFonts w:cs="Calibri"/>
                <w:sz w:val="20"/>
                <w:szCs w:val="20"/>
              </w:rPr>
              <w:t>$8,433</w:t>
            </w:r>
          </w:p>
        </w:tc>
        <w:tc>
          <w:tcPr>
            <w:tcW w:w="1735" w:type="dxa"/>
            <w:tcBorders>
              <w:top w:val="nil"/>
              <w:left w:val="nil"/>
              <w:bottom w:val="single" w:sz="8" w:space="0" w:color="ED7C5D"/>
              <w:right w:val="nil"/>
            </w:tcBorders>
            <w:shd w:val="clear" w:color="000000" w:fill="FFFFFF"/>
            <w:vAlign w:val="center"/>
            <w:hideMark/>
          </w:tcPr>
          <w:p w14:paraId="2D78B233" w14:textId="68B2D4BC" w:rsidR="00BD1616" w:rsidRPr="00503F5B" w:rsidRDefault="00BD1616" w:rsidP="00BD1616">
            <w:pPr>
              <w:jc w:val="right"/>
              <w:rPr>
                <w:rFonts w:eastAsia="Times New Roman" w:cs="Calibri"/>
                <w:sz w:val="20"/>
                <w:szCs w:val="20"/>
                <w:lang w:eastAsia="en-AU"/>
              </w:rPr>
            </w:pPr>
            <w:r w:rsidRPr="00503F5B">
              <w:rPr>
                <w:rFonts w:cs="Calibri"/>
                <w:sz w:val="20"/>
                <w:szCs w:val="20"/>
              </w:rPr>
              <w:t>$16,135</w:t>
            </w:r>
          </w:p>
        </w:tc>
        <w:tc>
          <w:tcPr>
            <w:tcW w:w="993" w:type="dxa"/>
            <w:tcBorders>
              <w:top w:val="nil"/>
              <w:left w:val="nil"/>
              <w:bottom w:val="single" w:sz="8" w:space="0" w:color="ED7C5D"/>
              <w:right w:val="nil"/>
            </w:tcBorders>
            <w:shd w:val="clear" w:color="000000" w:fill="FFFFFF"/>
            <w:vAlign w:val="center"/>
            <w:hideMark/>
          </w:tcPr>
          <w:p w14:paraId="0A590D9F" w14:textId="2F9824BD" w:rsidR="00BD1616" w:rsidRPr="00503F5B" w:rsidRDefault="00BD1616" w:rsidP="00BD1616">
            <w:pPr>
              <w:jc w:val="right"/>
              <w:rPr>
                <w:rFonts w:eastAsia="Times New Roman" w:cs="Calibri"/>
                <w:sz w:val="20"/>
                <w:szCs w:val="20"/>
                <w:lang w:eastAsia="en-AU"/>
              </w:rPr>
            </w:pPr>
            <w:r w:rsidRPr="00503F5B">
              <w:rPr>
                <w:rFonts w:cs="Calibri"/>
                <w:sz w:val="20"/>
                <w:szCs w:val="20"/>
              </w:rPr>
              <w:t>No</w:t>
            </w:r>
          </w:p>
        </w:tc>
      </w:tr>
      <w:tr w:rsidR="00472954" w:rsidRPr="002B05B8" w14:paraId="36CFB45B" w14:textId="77777777" w:rsidTr="009917B8">
        <w:trPr>
          <w:trHeight w:val="328"/>
          <w:jc w:val="center"/>
        </w:trPr>
        <w:tc>
          <w:tcPr>
            <w:tcW w:w="5103" w:type="dxa"/>
            <w:tcBorders>
              <w:top w:val="nil"/>
              <w:left w:val="nil"/>
              <w:bottom w:val="nil"/>
              <w:right w:val="nil"/>
            </w:tcBorders>
            <w:shd w:val="clear" w:color="auto" w:fill="FCE4D6"/>
            <w:vAlign w:val="center"/>
            <w:hideMark/>
          </w:tcPr>
          <w:p w14:paraId="7492F9B5" w14:textId="77777777" w:rsidR="0041660B" w:rsidRPr="002B05B8" w:rsidRDefault="0041660B" w:rsidP="0041660B">
            <w:pPr>
              <w:rPr>
                <w:rFonts w:eastAsia="Times New Roman" w:cs="Calibri"/>
                <w:b/>
                <w:bCs/>
                <w:color w:val="auto"/>
                <w:sz w:val="20"/>
                <w:szCs w:val="20"/>
                <w:lang w:eastAsia="en-AU"/>
              </w:rPr>
            </w:pPr>
            <w:r w:rsidRPr="002B05B8">
              <w:rPr>
                <w:rFonts w:eastAsia="Times New Roman" w:cs="Calibri"/>
                <w:b/>
                <w:bCs/>
                <w:color w:val="auto"/>
                <w:sz w:val="20"/>
                <w:szCs w:val="20"/>
                <w:lang w:eastAsia="en-AU"/>
              </w:rPr>
              <w:t>Building Inspection and Compliance</w:t>
            </w:r>
          </w:p>
        </w:tc>
        <w:tc>
          <w:tcPr>
            <w:tcW w:w="1310" w:type="dxa"/>
            <w:tcBorders>
              <w:top w:val="nil"/>
              <w:left w:val="nil"/>
              <w:bottom w:val="nil"/>
              <w:right w:val="nil"/>
            </w:tcBorders>
            <w:shd w:val="clear" w:color="auto" w:fill="FCE4D6"/>
            <w:noWrap/>
            <w:vAlign w:val="center"/>
            <w:hideMark/>
          </w:tcPr>
          <w:p w14:paraId="45829D0C" w14:textId="77777777" w:rsidR="0041660B" w:rsidRPr="002B05B8" w:rsidRDefault="0041660B" w:rsidP="00FA1EC4">
            <w:pPr>
              <w:jc w:val="right"/>
              <w:rPr>
                <w:rFonts w:eastAsia="Times New Roman" w:cs="Calibri"/>
                <w:sz w:val="20"/>
                <w:szCs w:val="20"/>
                <w:lang w:eastAsia="en-AU"/>
              </w:rPr>
            </w:pPr>
            <w:r w:rsidRPr="002B05B8">
              <w:rPr>
                <w:rFonts w:eastAsia="Times New Roman" w:cs="Calibri"/>
                <w:sz w:val="20"/>
                <w:szCs w:val="20"/>
                <w:lang w:eastAsia="en-AU"/>
              </w:rPr>
              <w:t> </w:t>
            </w:r>
          </w:p>
        </w:tc>
        <w:tc>
          <w:tcPr>
            <w:tcW w:w="1158" w:type="dxa"/>
            <w:tcBorders>
              <w:top w:val="nil"/>
              <w:left w:val="nil"/>
              <w:bottom w:val="nil"/>
              <w:right w:val="nil"/>
            </w:tcBorders>
            <w:shd w:val="clear" w:color="auto" w:fill="FCE4D6"/>
            <w:vAlign w:val="center"/>
            <w:hideMark/>
          </w:tcPr>
          <w:p w14:paraId="3ECFBEC9" w14:textId="77777777" w:rsidR="0041660B" w:rsidRPr="002B05B8" w:rsidRDefault="0041660B" w:rsidP="00FA1EC4">
            <w:pPr>
              <w:jc w:val="right"/>
              <w:rPr>
                <w:rFonts w:eastAsia="Times New Roman" w:cs="Calibri"/>
                <w:sz w:val="20"/>
                <w:szCs w:val="20"/>
                <w:lang w:eastAsia="en-AU"/>
              </w:rPr>
            </w:pPr>
            <w:r w:rsidRPr="002B05B8">
              <w:rPr>
                <w:rFonts w:eastAsia="Times New Roman" w:cs="Calibri"/>
                <w:sz w:val="20"/>
                <w:szCs w:val="20"/>
                <w:lang w:eastAsia="en-AU"/>
              </w:rPr>
              <w:t> </w:t>
            </w:r>
          </w:p>
        </w:tc>
        <w:tc>
          <w:tcPr>
            <w:tcW w:w="1424" w:type="dxa"/>
            <w:tcBorders>
              <w:top w:val="nil"/>
              <w:left w:val="nil"/>
              <w:bottom w:val="nil"/>
              <w:right w:val="nil"/>
            </w:tcBorders>
            <w:shd w:val="clear" w:color="auto" w:fill="FCE4D6"/>
            <w:vAlign w:val="center"/>
            <w:hideMark/>
          </w:tcPr>
          <w:p w14:paraId="42D6EE4D" w14:textId="77777777" w:rsidR="0041660B" w:rsidRPr="002B05B8" w:rsidRDefault="0041660B" w:rsidP="00FA1EC4">
            <w:pPr>
              <w:jc w:val="right"/>
              <w:rPr>
                <w:rFonts w:eastAsia="Times New Roman" w:cs="Calibri"/>
                <w:sz w:val="20"/>
                <w:szCs w:val="20"/>
                <w:lang w:eastAsia="en-AU"/>
              </w:rPr>
            </w:pPr>
            <w:r w:rsidRPr="002B05B8">
              <w:rPr>
                <w:rFonts w:eastAsia="Times New Roman" w:cs="Calibri"/>
                <w:sz w:val="20"/>
                <w:szCs w:val="20"/>
                <w:lang w:eastAsia="en-AU"/>
              </w:rPr>
              <w:t> </w:t>
            </w:r>
          </w:p>
        </w:tc>
        <w:tc>
          <w:tcPr>
            <w:tcW w:w="1735" w:type="dxa"/>
            <w:tcBorders>
              <w:top w:val="nil"/>
              <w:left w:val="nil"/>
              <w:bottom w:val="nil"/>
              <w:right w:val="nil"/>
            </w:tcBorders>
            <w:shd w:val="clear" w:color="auto" w:fill="FCE4D6"/>
            <w:vAlign w:val="center"/>
            <w:hideMark/>
          </w:tcPr>
          <w:p w14:paraId="4A80CC2D" w14:textId="77777777" w:rsidR="0041660B" w:rsidRPr="002B05B8" w:rsidRDefault="0041660B" w:rsidP="00FA1EC4">
            <w:pPr>
              <w:jc w:val="right"/>
              <w:rPr>
                <w:rFonts w:eastAsia="Times New Roman" w:cs="Calibri"/>
                <w:sz w:val="20"/>
                <w:szCs w:val="20"/>
                <w:lang w:eastAsia="en-AU"/>
              </w:rPr>
            </w:pPr>
            <w:r w:rsidRPr="002B05B8">
              <w:rPr>
                <w:rFonts w:eastAsia="Times New Roman" w:cs="Calibri"/>
                <w:sz w:val="20"/>
                <w:szCs w:val="20"/>
                <w:lang w:eastAsia="en-AU"/>
              </w:rPr>
              <w:t> </w:t>
            </w:r>
          </w:p>
        </w:tc>
        <w:tc>
          <w:tcPr>
            <w:tcW w:w="1735" w:type="dxa"/>
            <w:tcBorders>
              <w:top w:val="nil"/>
              <w:left w:val="nil"/>
              <w:bottom w:val="nil"/>
              <w:right w:val="nil"/>
            </w:tcBorders>
            <w:shd w:val="clear" w:color="auto" w:fill="FCE4D6"/>
            <w:vAlign w:val="center"/>
            <w:hideMark/>
          </w:tcPr>
          <w:p w14:paraId="4A25A9C5" w14:textId="77777777" w:rsidR="0041660B" w:rsidRPr="002B05B8" w:rsidRDefault="0041660B" w:rsidP="00FA1EC4">
            <w:pPr>
              <w:jc w:val="right"/>
              <w:rPr>
                <w:rFonts w:eastAsia="Times New Roman" w:cs="Calibri"/>
                <w:sz w:val="20"/>
                <w:szCs w:val="20"/>
                <w:lang w:eastAsia="en-AU"/>
              </w:rPr>
            </w:pPr>
            <w:r w:rsidRPr="002B05B8">
              <w:rPr>
                <w:rFonts w:eastAsia="Times New Roman" w:cs="Calibri"/>
                <w:sz w:val="20"/>
                <w:szCs w:val="20"/>
                <w:lang w:eastAsia="en-AU"/>
              </w:rPr>
              <w:t> </w:t>
            </w:r>
          </w:p>
        </w:tc>
        <w:tc>
          <w:tcPr>
            <w:tcW w:w="1735" w:type="dxa"/>
            <w:tcBorders>
              <w:top w:val="nil"/>
              <w:left w:val="nil"/>
              <w:bottom w:val="nil"/>
              <w:right w:val="nil"/>
            </w:tcBorders>
            <w:shd w:val="clear" w:color="auto" w:fill="FCE4D6"/>
            <w:vAlign w:val="center"/>
            <w:hideMark/>
          </w:tcPr>
          <w:p w14:paraId="21EED916" w14:textId="77777777" w:rsidR="0041660B" w:rsidRPr="002B05B8" w:rsidRDefault="0041660B" w:rsidP="00FA1EC4">
            <w:pPr>
              <w:jc w:val="right"/>
              <w:rPr>
                <w:rFonts w:eastAsia="Times New Roman" w:cs="Calibri"/>
                <w:sz w:val="20"/>
                <w:szCs w:val="20"/>
                <w:lang w:eastAsia="en-AU"/>
              </w:rPr>
            </w:pPr>
            <w:r w:rsidRPr="002B05B8">
              <w:rPr>
                <w:rFonts w:eastAsia="Times New Roman" w:cs="Calibri"/>
                <w:sz w:val="20"/>
                <w:szCs w:val="20"/>
                <w:lang w:eastAsia="en-AU"/>
              </w:rPr>
              <w:t> </w:t>
            </w:r>
          </w:p>
        </w:tc>
        <w:tc>
          <w:tcPr>
            <w:tcW w:w="993" w:type="dxa"/>
            <w:tcBorders>
              <w:top w:val="nil"/>
              <w:left w:val="nil"/>
              <w:bottom w:val="nil"/>
              <w:right w:val="nil"/>
            </w:tcBorders>
            <w:shd w:val="clear" w:color="auto" w:fill="FCE4D6"/>
            <w:vAlign w:val="center"/>
            <w:hideMark/>
          </w:tcPr>
          <w:p w14:paraId="630AF7C2" w14:textId="77777777" w:rsidR="0041660B" w:rsidRPr="002B05B8" w:rsidRDefault="0041660B" w:rsidP="00FA1EC4">
            <w:pPr>
              <w:jc w:val="right"/>
              <w:rPr>
                <w:rFonts w:eastAsia="Times New Roman" w:cs="Calibri"/>
                <w:sz w:val="20"/>
                <w:szCs w:val="20"/>
                <w:lang w:eastAsia="en-AU"/>
              </w:rPr>
            </w:pPr>
            <w:r w:rsidRPr="002B05B8">
              <w:rPr>
                <w:rFonts w:eastAsia="Times New Roman" w:cs="Calibri"/>
                <w:sz w:val="20"/>
                <w:szCs w:val="20"/>
                <w:lang w:eastAsia="en-AU"/>
              </w:rPr>
              <w:t> </w:t>
            </w:r>
          </w:p>
        </w:tc>
      </w:tr>
      <w:tr w:rsidR="00BD1616" w:rsidRPr="00503F5B" w14:paraId="527B19F2" w14:textId="77777777" w:rsidTr="009917B8">
        <w:trPr>
          <w:trHeight w:val="370"/>
          <w:jc w:val="center"/>
        </w:trPr>
        <w:tc>
          <w:tcPr>
            <w:tcW w:w="5103" w:type="dxa"/>
            <w:tcBorders>
              <w:top w:val="nil"/>
              <w:left w:val="nil"/>
              <w:bottom w:val="single" w:sz="8" w:space="0" w:color="ED7C5D"/>
              <w:right w:val="nil"/>
            </w:tcBorders>
            <w:shd w:val="clear" w:color="auto" w:fill="FCE4D6"/>
            <w:vAlign w:val="center"/>
            <w:hideMark/>
          </w:tcPr>
          <w:p w14:paraId="5946C998" w14:textId="77777777" w:rsidR="00BD1616" w:rsidRPr="00503F5B" w:rsidRDefault="00BD1616" w:rsidP="00BD1616">
            <w:pPr>
              <w:rPr>
                <w:rFonts w:eastAsia="Times New Roman" w:cs="Calibri"/>
                <w:color w:val="auto"/>
                <w:sz w:val="18"/>
                <w:szCs w:val="18"/>
                <w:lang w:eastAsia="en-AU"/>
              </w:rPr>
            </w:pPr>
            <w:r w:rsidRPr="00503F5B">
              <w:rPr>
                <w:rFonts w:eastAsia="Times New Roman" w:cs="Calibri"/>
                <w:color w:val="auto"/>
                <w:sz w:val="18"/>
                <w:szCs w:val="18"/>
                <w:lang w:eastAsia="en-AU"/>
              </w:rPr>
              <w:t>Place of Public Entertainment inspection (Joint inspection request by municipality issuing Occupancy Permit)</w:t>
            </w:r>
          </w:p>
        </w:tc>
        <w:tc>
          <w:tcPr>
            <w:tcW w:w="1310" w:type="dxa"/>
            <w:tcBorders>
              <w:top w:val="nil"/>
              <w:left w:val="nil"/>
              <w:bottom w:val="single" w:sz="8" w:space="0" w:color="ED7C5D"/>
              <w:right w:val="nil"/>
            </w:tcBorders>
            <w:shd w:val="clear" w:color="auto" w:fill="FCE4D6"/>
            <w:noWrap/>
            <w:vAlign w:val="center"/>
            <w:hideMark/>
          </w:tcPr>
          <w:p w14:paraId="0BB0B173"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6</w:t>
            </w:r>
          </w:p>
        </w:tc>
        <w:tc>
          <w:tcPr>
            <w:tcW w:w="1158" w:type="dxa"/>
            <w:tcBorders>
              <w:top w:val="nil"/>
              <w:left w:val="nil"/>
              <w:bottom w:val="single" w:sz="8" w:space="0" w:color="ED7C5D"/>
              <w:right w:val="nil"/>
            </w:tcBorders>
            <w:shd w:val="clear" w:color="auto" w:fill="FCE4D6"/>
            <w:vAlign w:val="center"/>
            <w:hideMark/>
          </w:tcPr>
          <w:p w14:paraId="14944B77"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5</w:t>
            </w:r>
          </w:p>
        </w:tc>
        <w:tc>
          <w:tcPr>
            <w:tcW w:w="1424" w:type="dxa"/>
            <w:tcBorders>
              <w:top w:val="nil"/>
              <w:left w:val="nil"/>
              <w:bottom w:val="single" w:sz="8" w:space="0" w:color="ED7C5D"/>
              <w:right w:val="nil"/>
            </w:tcBorders>
            <w:shd w:val="clear" w:color="auto" w:fill="FCE4D6"/>
            <w:vAlign w:val="center"/>
            <w:hideMark/>
          </w:tcPr>
          <w:p w14:paraId="181FE109" w14:textId="77777777" w:rsidR="00BD1616" w:rsidRPr="00503F5B" w:rsidRDefault="00BD1616" w:rsidP="00BD1616">
            <w:pPr>
              <w:jc w:val="right"/>
              <w:rPr>
                <w:rFonts w:eastAsia="Times New Roman" w:cs="Calibri"/>
                <w:sz w:val="20"/>
                <w:szCs w:val="20"/>
                <w:lang w:eastAsia="en-AU"/>
              </w:rPr>
            </w:pPr>
            <w:r w:rsidRPr="00503F5B">
              <w:rPr>
                <w:rFonts w:eastAsia="Times New Roman" w:cs="Calibri"/>
                <w:sz w:val="20"/>
                <w:szCs w:val="20"/>
                <w:lang w:eastAsia="en-AU"/>
              </w:rPr>
              <w:t>16</w:t>
            </w:r>
          </w:p>
        </w:tc>
        <w:tc>
          <w:tcPr>
            <w:tcW w:w="1735" w:type="dxa"/>
            <w:tcBorders>
              <w:top w:val="nil"/>
              <w:left w:val="nil"/>
              <w:bottom w:val="single" w:sz="8" w:space="0" w:color="ED7C5D"/>
              <w:right w:val="nil"/>
            </w:tcBorders>
            <w:shd w:val="clear" w:color="auto" w:fill="FCE4D6"/>
            <w:vAlign w:val="center"/>
            <w:hideMark/>
          </w:tcPr>
          <w:p w14:paraId="1A08D0B7" w14:textId="7AC62479" w:rsidR="00BD1616" w:rsidRPr="00503F5B" w:rsidRDefault="00BD1616" w:rsidP="00BD1616">
            <w:pPr>
              <w:jc w:val="right"/>
              <w:rPr>
                <w:rFonts w:eastAsia="Times New Roman" w:cs="Calibri"/>
                <w:sz w:val="20"/>
                <w:szCs w:val="20"/>
                <w:lang w:eastAsia="en-AU"/>
              </w:rPr>
            </w:pPr>
            <w:r w:rsidRPr="00503F5B">
              <w:rPr>
                <w:rFonts w:cs="Calibri"/>
                <w:sz w:val="20"/>
                <w:szCs w:val="20"/>
              </w:rPr>
              <w:t>$889</w:t>
            </w:r>
          </w:p>
        </w:tc>
        <w:tc>
          <w:tcPr>
            <w:tcW w:w="1735" w:type="dxa"/>
            <w:tcBorders>
              <w:top w:val="nil"/>
              <w:left w:val="nil"/>
              <w:bottom w:val="single" w:sz="8" w:space="0" w:color="ED7C5D"/>
              <w:right w:val="nil"/>
            </w:tcBorders>
            <w:shd w:val="clear" w:color="auto" w:fill="FCE4D6"/>
            <w:vAlign w:val="center"/>
            <w:hideMark/>
          </w:tcPr>
          <w:p w14:paraId="5F3BCA08" w14:textId="1E72308B" w:rsidR="00BD1616" w:rsidRPr="00503F5B" w:rsidRDefault="00BD1616" w:rsidP="00BD1616">
            <w:pPr>
              <w:jc w:val="right"/>
              <w:rPr>
                <w:rFonts w:eastAsia="Times New Roman" w:cs="Calibri"/>
                <w:sz w:val="20"/>
                <w:szCs w:val="20"/>
                <w:lang w:eastAsia="en-AU"/>
              </w:rPr>
            </w:pPr>
            <w:r w:rsidRPr="00503F5B">
              <w:rPr>
                <w:rFonts w:cs="Calibri"/>
                <w:sz w:val="20"/>
                <w:szCs w:val="20"/>
              </w:rPr>
              <w:t>$2,595</w:t>
            </w:r>
          </w:p>
        </w:tc>
        <w:tc>
          <w:tcPr>
            <w:tcW w:w="1735" w:type="dxa"/>
            <w:tcBorders>
              <w:top w:val="nil"/>
              <w:left w:val="nil"/>
              <w:bottom w:val="single" w:sz="8" w:space="0" w:color="ED7C5D"/>
              <w:right w:val="nil"/>
            </w:tcBorders>
            <w:shd w:val="clear" w:color="auto" w:fill="FCE4D6"/>
            <w:vAlign w:val="center"/>
            <w:hideMark/>
          </w:tcPr>
          <w:p w14:paraId="13C26EAC" w14:textId="1DBCFE45" w:rsidR="00BD1616" w:rsidRPr="00503F5B" w:rsidRDefault="00BD1616" w:rsidP="00BD1616">
            <w:pPr>
              <w:jc w:val="right"/>
              <w:rPr>
                <w:rFonts w:eastAsia="Times New Roman" w:cs="Calibri"/>
                <w:sz w:val="20"/>
                <w:szCs w:val="20"/>
                <w:lang w:eastAsia="en-AU"/>
              </w:rPr>
            </w:pPr>
            <w:r w:rsidRPr="00503F5B">
              <w:rPr>
                <w:rFonts w:cs="Calibri"/>
                <w:sz w:val="20"/>
                <w:szCs w:val="20"/>
              </w:rPr>
              <w:t>$3,483</w:t>
            </w:r>
          </w:p>
        </w:tc>
        <w:tc>
          <w:tcPr>
            <w:tcW w:w="993" w:type="dxa"/>
            <w:tcBorders>
              <w:top w:val="nil"/>
              <w:left w:val="nil"/>
              <w:bottom w:val="single" w:sz="8" w:space="0" w:color="ED7C5D"/>
              <w:right w:val="nil"/>
            </w:tcBorders>
            <w:shd w:val="clear" w:color="auto" w:fill="FCE4D6"/>
            <w:vAlign w:val="center"/>
            <w:hideMark/>
          </w:tcPr>
          <w:p w14:paraId="251C8731" w14:textId="76735243" w:rsidR="00BD1616" w:rsidRPr="00503F5B" w:rsidRDefault="00BD1616" w:rsidP="00BD1616">
            <w:pPr>
              <w:jc w:val="right"/>
              <w:rPr>
                <w:rFonts w:eastAsia="Times New Roman" w:cs="Calibri"/>
                <w:sz w:val="20"/>
                <w:szCs w:val="20"/>
                <w:lang w:eastAsia="en-AU"/>
              </w:rPr>
            </w:pPr>
            <w:r w:rsidRPr="00503F5B">
              <w:rPr>
                <w:rFonts w:cs="Calibri"/>
                <w:sz w:val="20"/>
                <w:szCs w:val="20"/>
              </w:rPr>
              <w:t>No</w:t>
            </w:r>
          </w:p>
        </w:tc>
      </w:tr>
      <w:tr w:rsidR="00472954" w:rsidRPr="00503F5B" w14:paraId="5FD46095" w14:textId="77777777" w:rsidTr="009917B8">
        <w:trPr>
          <w:trHeight w:val="315"/>
          <w:jc w:val="center"/>
        </w:trPr>
        <w:tc>
          <w:tcPr>
            <w:tcW w:w="5103" w:type="dxa"/>
            <w:tcBorders>
              <w:top w:val="nil"/>
              <w:left w:val="nil"/>
              <w:bottom w:val="single" w:sz="8" w:space="0" w:color="ED7C5D"/>
              <w:right w:val="nil"/>
            </w:tcBorders>
            <w:shd w:val="clear" w:color="000000" w:fill="FFFFFF"/>
            <w:vAlign w:val="center"/>
            <w:hideMark/>
          </w:tcPr>
          <w:p w14:paraId="579F4D20" w14:textId="7ACD53E4" w:rsidR="0041660B" w:rsidRPr="00503F5B" w:rsidRDefault="0041660B" w:rsidP="0041660B">
            <w:pPr>
              <w:rPr>
                <w:rFonts w:eastAsia="Times New Roman" w:cs="Calibri"/>
                <w:b/>
                <w:bCs/>
                <w:i/>
                <w:iCs/>
                <w:color w:val="auto"/>
                <w:sz w:val="18"/>
                <w:szCs w:val="18"/>
                <w:lang w:eastAsia="en-AU"/>
              </w:rPr>
            </w:pPr>
            <w:r w:rsidRPr="00503F5B">
              <w:rPr>
                <w:rFonts w:eastAsia="Times New Roman" w:cs="Calibri"/>
                <w:b/>
                <w:bCs/>
                <w:i/>
                <w:iCs/>
                <w:color w:val="auto"/>
                <w:sz w:val="18"/>
                <w:szCs w:val="18"/>
                <w:lang w:eastAsia="en-AU"/>
              </w:rPr>
              <w:t>Total estimated transactions</w:t>
            </w:r>
            <w:r w:rsidR="000846F8" w:rsidRPr="00503F5B">
              <w:rPr>
                <w:rFonts w:eastAsia="Times New Roman" w:cs="Calibri"/>
                <w:b/>
                <w:bCs/>
                <w:i/>
                <w:iCs/>
                <w:color w:val="auto"/>
                <w:sz w:val="18"/>
                <w:szCs w:val="18"/>
                <w:lang w:eastAsia="en-AU"/>
              </w:rPr>
              <w:t>/revenue</w:t>
            </w:r>
            <w:r w:rsidRPr="00503F5B">
              <w:rPr>
                <w:rFonts w:eastAsia="Times New Roman" w:cs="Calibri"/>
                <w:b/>
                <w:bCs/>
                <w:i/>
                <w:iCs/>
                <w:color w:val="auto"/>
                <w:sz w:val="18"/>
                <w:szCs w:val="18"/>
                <w:lang w:eastAsia="en-AU"/>
              </w:rPr>
              <w:t xml:space="preserve"> per annum</w:t>
            </w:r>
          </w:p>
        </w:tc>
        <w:tc>
          <w:tcPr>
            <w:tcW w:w="1310" w:type="dxa"/>
            <w:tcBorders>
              <w:top w:val="nil"/>
              <w:left w:val="nil"/>
              <w:bottom w:val="single" w:sz="8" w:space="0" w:color="ED7C5D"/>
              <w:right w:val="nil"/>
            </w:tcBorders>
            <w:shd w:val="clear" w:color="000000" w:fill="FFFFFF"/>
            <w:noWrap/>
            <w:vAlign w:val="center"/>
            <w:hideMark/>
          </w:tcPr>
          <w:p w14:paraId="155EBA44" w14:textId="2FDDEC92" w:rsidR="0041660B" w:rsidRPr="00503F5B" w:rsidRDefault="00BD1616" w:rsidP="00FA1EC4">
            <w:pPr>
              <w:jc w:val="right"/>
              <w:rPr>
                <w:rFonts w:eastAsia="Times New Roman" w:cs="Calibri"/>
                <w:b/>
                <w:bCs/>
                <w:i/>
                <w:iCs/>
                <w:sz w:val="20"/>
                <w:szCs w:val="20"/>
                <w:lang w:eastAsia="en-AU"/>
              </w:rPr>
            </w:pPr>
            <w:r w:rsidRPr="00503F5B">
              <w:rPr>
                <w:rFonts w:eastAsia="Times New Roman" w:cs="Calibri"/>
                <w:b/>
                <w:bCs/>
                <w:i/>
                <w:iCs/>
                <w:sz w:val="20"/>
                <w:szCs w:val="20"/>
                <w:lang w:eastAsia="en-AU"/>
              </w:rPr>
              <w:t>3</w:t>
            </w:r>
            <w:r w:rsidR="000846F8" w:rsidRPr="00503F5B">
              <w:rPr>
                <w:rFonts w:eastAsia="Times New Roman" w:cs="Calibri"/>
                <w:b/>
                <w:bCs/>
                <w:i/>
                <w:iCs/>
                <w:sz w:val="20"/>
                <w:szCs w:val="20"/>
                <w:lang w:eastAsia="en-AU"/>
              </w:rPr>
              <w:t>,</w:t>
            </w:r>
            <w:r w:rsidRPr="00503F5B">
              <w:rPr>
                <w:rFonts w:eastAsia="Times New Roman" w:cs="Calibri"/>
                <w:b/>
                <w:bCs/>
                <w:i/>
                <w:iCs/>
                <w:sz w:val="20"/>
                <w:szCs w:val="20"/>
                <w:lang w:eastAsia="en-AU"/>
              </w:rPr>
              <w:t>260</w:t>
            </w:r>
          </w:p>
        </w:tc>
        <w:tc>
          <w:tcPr>
            <w:tcW w:w="1158" w:type="dxa"/>
            <w:tcBorders>
              <w:top w:val="nil"/>
              <w:left w:val="nil"/>
              <w:bottom w:val="single" w:sz="8" w:space="0" w:color="ED7C5D"/>
              <w:right w:val="nil"/>
            </w:tcBorders>
            <w:shd w:val="clear" w:color="000000" w:fill="FFFFFF"/>
            <w:vAlign w:val="center"/>
            <w:hideMark/>
          </w:tcPr>
          <w:p w14:paraId="6E1C7CEC" w14:textId="77777777" w:rsidR="0041660B" w:rsidRPr="00503F5B" w:rsidRDefault="0041660B" w:rsidP="00FA1EC4">
            <w:pPr>
              <w:jc w:val="right"/>
              <w:rPr>
                <w:rFonts w:eastAsia="Times New Roman" w:cs="Calibri"/>
                <w:b/>
                <w:bCs/>
                <w:i/>
                <w:iCs/>
                <w:sz w:val="20"/>
                <w:szCs w:val="20"/>
                <w:lang w:eastAsia="en-AU"/>
              </w:rPr>
            </w:pPr>
            <w:r w:rsidRPr="00503F5B">
              <w:rPr>
                <w:rFonts w:eastAsia="Times New Roman" w:cs="Calibri"/>
                <w:b/>
                <w:bCs/>
                <w:i/>
                <w:iCs/>
                <w:sz w:val="20"/>
                <w:szCs w:val="20"/>
                <w:lang w:eastAsia="en-AU"/>
              </w:rPr>
              <w:t> </w:t>
            </w:r>
          </w:p>
        </w:tc>
        <w:tc>
          <w:tcPr>
            <w:tcW w:w="1424" w:type="dxa"/>
            <w:tcBorders>
              <w:top w:val="nil"/>
              <w:left w:val="nil"/>
              <w:bottom w:val="single" w:sz="8" w:space="0" w:color="ED7C5D"/>
              <w:right w:val="nil"/>
            </w:tcBorders>
            <w:shd w:val="clear" w:color="000000" w:fill="FFFFFF"/>
            <w:vAlign w:val="center"/>
            <w:hideMark/>
          </w:tcPr>
          <w:p w14:paraId="55F148BE" w14:textId="77777777" w:rsidR="0041660B" w:rsidRPr="00503F5B" w:rsidRDefault="0041660B" w:rsidP="00FA1EC4">
            <w:pPr>
              <w:jc w:val="right"/>
              <w:rPr>
                <w:rFonts w:eastAsia="Times New Roman" w:cs="Calibri"/>
                <w:b/>
                <w:bCs/>
                <w:i/>
                <w:iCs/>
                <w:sz w:val="20"/>
                <w:szCs w:val="20"/>
                <w:lang w:eastAsia="en-AU"/>
              </w:rPr>
            </w:pPr>
            <w:r w:rsidRPr="00503F5B">
              <w:rPr>
                <w:rFonts w:eastAsia="Times New Roman" w:cs="Calibri"/>
                <w:b/>
                <w:bCs/>
                <w:i/>
                <w:iCs/>
                <w:sz w:val="20"/>
                <w:szCs w:val="20"/>
                <w:lang w:eastAsia="en-AU"/>
              </w:rPr>
              <w:t> </w:t>
            </w:r>
          </w:p>
        </w:tc>
        <w:tc>
          <w:tcPr>
            <w:tcW w:w="1735" w:type="dxa"/>
            <w:tcBorders>
              <w:top w:val="nil"/>
              <w:left w:val="nil"/>
              <w:bottom w:val="single" w:sz="8" w:space="0" w:color="ED7C5D"/>
              <w:right w:val="nil"/>
            </w:tcBorders>
            <w:shd w:val="clear" w:color="000000" w:fill="FFFFFF"/>
            <w:vAlign w:val="center"/>
            <w:hideMark/>
          </w:tcPr>
          <w:p w14:paraId="24808727" w14:textId="77777777" w:rsidR="0041660B" w:rsidRPr="00503F5B" w:rsidRDefault="0041660B" w:rsidP="00FA1EC4">
            <w:pPr>
              <w:jc w:val="right"/>
              <w:rPr>
                <w:rFonts w:eastAsia="Times New Roman" w:cs="Calibri"/>
                <w:b/>
                <w:bCs/>
                <w:i/>
                <w:iCs/>
                <w:sz w:val="20"/>
                <w:szCs w:val="20"/>
                <w:lang w:eastAsia="en-AU"/>
              </w:rPr>
            </w:pPr>
            <w:r w:rsidRPr="00503F5B">
              <w:rPr>
                <w:rFonts w:eastAsia="Times New Roman" w:cs="Calibri"/>
                <w:b/>
                <w:bCs/>
                <w:i/>
                <w:iCs/>
                <w:sz w:val="20"/>
                <w:szCs w:val="20"/>
                <w:lang w:eastAsia="en-AU"/>
              </w:rPr>
              <w:t> </w:t>
            </w:r>
          </w:p>
        </w:tc>
        <w:tc>
          <w:tcPr>
            <w:tcW w:w="1735" w:type="dxa"/>
            <w:tcBorders>
              <w:top w:val="nil"/>
              <w:left w:val="nil"/>
              <w:bottom w:val="single" w:sz="8" w:space="0" w:color="ED7C5D"/>
              <w:right w:val="nil"/>
            </w:tcBorders>
            <w:shd w:val="clear" w:color="000000" w:fill="FFFFFF"/>
            <w:vAlign w:val="center"/>
            <w:hideMark/>
          </w:tcPr>
          <w:p w14:paraId="71CDACBF" w14:textId="77777777" w:rsidR="0041660B" w:rsidRPr="00503F5B" w:rsidRDefault="0041660B" w:rsidP="00FA1EC4">
            <w:pPr>
              <w:jc w:val="right"/>
              <w:rPr>
                <w:rFonts w:eastAsia="Times New Roman" w:cs="Calibri"/>
                <w:b/>
                <w:bCs/>
                <w:i/>
                <w:iCs/>
                <w:sz w:val="20"/>
                <w:szCs w:val="20"/>
                <w:lang w:eastAsia="en-AU"/>
              </w:rPr>
            </w:pPr>
            <w:r w:rsidRPr="00503F5B">
              <w:rPr>
                <w:rFonts w:eastAsia="Times New Roman" w:cs="Calibri"/>
                <w:b/>
                <w:bCs/>
                <w:i/>
                <w:iCs/>
                <w:sz w:val="20"/>
                <w:szCs w:val="20"/>
                <w:lang w:eastAsia="en-AU"/>
              </w:rPr>
              <w:t> </w:t>
            </w:r>
          </w:p>
        </w:tc>
        <w:tc>
          <w:tcPr>
            <w:tcW w:w="1735" w:type="dxa"/>
            <w:tcBorders>
              <w:top w:val="nil"/>
              <w:left w:val="nil"/>
              <w:bottom w:val="single" w:sz="8" w:space="0" w:color="ED7C5D"/>
              <w:right w:val="nil"/>
            </w:tcBorders>
            <w:shd w:val="clear" w:color="000000" w:fill="FFFFFF"/>
            <w:vAlign w:val="center"/>
            <w:hideMark/>
          </w:tcPr>
          <w:p w14:paraId="4EC25B62" w14:textId="77777777" w:rsidR="00BD1616" w:rsidRPr="00503F5B" w:rsidRDefault="00BD1616" w:rsidP="00BD1616">
            <w:pPr>
              <w:jc w:val="right"/>
              <w:rPr>
                <w:rFonts w:eastAsia="Times New Roman" w:cs="Calibri"/>
                <w:b/>
                <w:bCs/>
                <w:i/>
                <w:iCs/>
                <w:sz w:val="20"/>
                <w:szCs w:val="20"/>
                <w:lang w:eastAsia="en-AU"/>
              </w:rPr>
            </w:pPr>
            <w:r w:rsidRPr="00503F5B">
              <w:rPr>
                <w:rFonts w:cs="Calibri"/>
                <w:b/>
                <w:bCs/>
                <w:i/>
                <w:iCs/>
                <w:sz w:val="20"/>
                <w:szCs w:val="20"/>
              </w:rPr>
              <w:t>$1,104,334</w:t>
            </w:r>
          </w:p>
          <w:p w14:paraId="7A690375" w14:textId="6FC97AD9" w:rsidR="0041660B" w:rsidRPr="00503F5B" w:rsidRDefault="0041660B" w:rsidP="00FA1EC4">
            <w:pPr>
              <w:jc w:val="right"/>
              <w:rPr>
                <w:rFonts w:eastAsia="Times New Roman" w:cs="Calibri"/>
                <w:b/>
                <w:bCs/>
                <w:i/>
                <w:iCs/>
                <w:sz w:val="20"/>
                <w:szCs w:val="20"/>
                <w:lang w:eastAsia="en-AU"/>
              </w:rPr>
            </w:pPr>
          </w:p>
        </w:tc>
        <w:tc>
          <w:tcPr>
            <w:tcW w:w="993" w:type="dxa"/>
            <w:tcBorders>
              <w:top w:val="nil"/>
              <w:left w:val="nil"/>
              <w:bottom w:val="single" w:sz="8" w:space="0" w:color="ED7C5D"/>
              <w:right w:val="nil"/>
            </w:tcBorders>
            <w:shd w:val="clear" w:color="000000" w:fill="FFFFFF"/>
            <w:vAlign w:val="center"/>
            <w:hideMark/>
          </w:tcPr>
          <w:p w14:paraId="29B6AB3F" w14:textId="77777777" w:rsidR="0041660B" w:rsidRPr="00503F5B" w:rsidRDefault="0041660B" w:rsidP="00FA1EC4">
            <w:pPr>
              <w:jc w:val="right"/>
              <w:rPr>
                <w:rFonts w:eastAsia="Times New Roman" w:cs="Calibri"/>
                <w:i/>
                <w:iCs/>
                <w:sz w:val="20"/>
                <w:szCs w:val="20"/>
                <w:lang w:eastAsia="en-AU"/>
              </w:rPr>
            </w:pPr>
            <w:r w:rsidRPr="00503F5B">
              <w:rPr>
                <w:rFonts w:eastAsia="Times New Roman" w:cs="Calibri"/>
                <w:i/>
                <w:iCs/>
                <w:sz w:val="20"/>
                <w:szCs w:val="20"/>
                <w:lang w:eastAsia="en-AU"/>
              </w:rPr>
              <w:t> </w:t>
            </w:r>
          </w:p>
        </w:tc>
      </w:tr>
    </w:tbl>
    <w:p w14:paraId="71FC5F2A" w14:textId="77777777" w:rsidR="000846F8" w:rsidRPr="00503F5B" w:rsidRDefault="000846F8" w:rsidP="00453CB4">
      <w:pPr>
        <w:jc w:val="both"/>
        <w:sectPr w:rsidR="000846F8" w:rsidRPr="00503F5B" w:rsidSect="00472954">
          <w:pgSz w:w="16838" w:h="11906" w:orient="landscape"/>
          <w:pgMar w:top="993" w:right="1440" w:bottom="1440" w:left="1656" w:header="794" w:footer="709" w:gutter="0"/>
          <w:cols w:space="708"/>
          <w:docGrid w:linePitch="360"/>
        </w:sectPr>
      </w:pPr>
    </w:p>
    <w:p w14:paraId="2CD3E4FE" w14:textId="0FBA1D22" w:rsidR="004B330F" w:rsidRPr="00503F5B" w:rsidRDefault="004B330F" w:rsidP="00453CB4">
      <w:pPr>
        <w:jc w:val="both"/>
      </w:pPr>
    </w:p>
    <w:p w14:paraId="692E63C3" w14:textId="3660B696" w:rsidR="00873EB1" w:rsidRPr="00503F5B" w:rsidRDefault="006D6BC7" w:rsidP="00873EB1">
      <w:pPr>
        <w:jc w:val="both"/>
      </w:pPr>
      <w:r w:rsidRPr="00503F5B">
        <w:t xml:space="preserve">As shown in Table </w:t>
      </w:r>
      <w:r w:rsidR="00B40DA4" w:rsidRPr="00503F5B">
        <w:t>9</w:t>
      </w:r>
      <w:r w:rsidRPr="00503F5B">
        <w:t xml:space="preserve"> the estimated total </w:t>
      </w:r>
      <w:r w:rsidR="00A61C4D" w:rsidRPr="00503F5B">
        <w:t xml:space="preserve">impact </w:t>
      </w:r>
      <w:r w:rsidRPr="00503F5B">
        <w:t>of</w:t>
      </w:r>
      <w:r w:rsidR="00873EB1" w:rsidRPr="00503F5B">
        <w:t xml:space="preserve"> </w:t>
      </w:r>
      <w:r w:rsidR="00A61C4D" w:rsidRPr="00503F5B">
        <w:t xml:space="preserve">the </w:t>
      </w:r>
      <w:r w:rsidRPr="00503F5B">
        <w:t xml:space="preserve">proposed </w:t>
      </w:r>
      <w:r w:rsidR="00A61C4D" w:rsidRPr="00503F5B">
        <w:t>fire protection charges under regulation 2</w:t>
      </w:r>
      <w:r w:rsidR="00ED46BB" w:rsidRPr="00503F5B">
        <w:t>1</w:t>
      </w:r>
      <w:r w:rsidR="00A61C4D" w:rsidRPr="00503F5B">
        <w:t xml:space="preserve"> on the public, </w:t>
      </w:r>
      <w:r w:rsidRPr="00503F5B">
        <w:t xml:space="preserve">is determined to be approximately </w:t>
      </w:r>
      <w:r w:rsidRPr="00503F5B">
        <w:rPr>
          <w:b/>
          <w:bCs/>
          <w:i/>
        </w:rPr>
        <w:t>$1.</w:t>
      </w:r>
      <w:r w:rsidR="00BD1616" w:rsidRPr="00503F5B">
        <w:rPr>
          <w:b/>
          <w:bCs/>
          <w:i/>
        </w:rPr>
        <w:t>1</w:t>
      </w:r>
      <w:r w:rsidRPr="00503F5B">
        <w:rPr>
          <w:b/>
          <w:bCs/>
          <w:i/>
        </w:rPr>
        <w:t xml:space="preserve"> million per annum</w:t>
      </w:r>
      <w:r w:rsidRPr="00503F5B">
        <w:t xml:space="preserve"> or approximately </w:t>
      </w:r>
      <w:r w:rsidR="00BD1616" w:rsidRPr="00503F5B">
        <w:rPr>
          <w:b/>
          <w:bCs/>
          <w:i/>
          <w:iCs/>
        </w:rPr>
        <w:t>$8</w:t>
      </w:r>
      <w:r w:rsidRPr="00503F5B">
        <w:rPr>
          <w:b/>
          <w:bCs/>
          <w:i/>
          <w:iCs/>
        </w:rPr>
        <w:t>.</w:t>
      </w:r>
      <w:r w:rsidR="00BD1616" w:rsidRPr="00503F5B">
        <w:rPr>
          <w:b/>
          <w:bCs/>
          <w:i/>
          <w:iCs/>
        </w:rPr>
        <w:t>96</w:t>
      </w:r>
      <w:r w:rsidRPr="00503F5B">
        <w:rPr>
          <w:b/>
          <w:bCs/>
          <w:i/>
          <w:iCs/>
        </w:rPr>
        <w:t xml:space="preserve"> million over 10 years</w:t>
      </w:r>
      <w:r w:rsidRPr="00503F5B">
        <w:t xml:space="preserve"> </w:t>
      </w:r>
      <w:r w:rsidR="00873EB1" w:rsidRPr="00503F5B">
        <w:t>–</w:t>
      </w:r>
      <w:r w:rsidR="00A61C4D" w:rsidRPr="00503F5B">
        <w:t xml:space="preserve"> </w:t>
      </w:r>
      <w:r w:rsidRPr="00503F5B">
        <w:t>in present value dollars</w:t>
      </w:r>
      <w:r w:rsidR="00873EB1" w:rsidRPr="00503F5B">
        <w:rPr>
          <w:rStyle w:val="FootnoteReference"/>
        </w:rPr>
        <w:footnoteReference w:id="59"/>
      </w:r>
      <w:r w:rsidR="00A61C4D" w:rsidRPr="00503F5B">
        <w:t xml:space="preserve">. This impact affects a broad section of the public </w:t>
      </w:r>
      <w:proofErr w:type="gramStart"/>
      <w:r w:rsidR="00A35DA6" w:rsidRPr="009374D5">
        <w:t>including</w:t>
      </w:r>
      <w:r w:rsidR="0046220F" w:rsidRPr="009374D5">
        <w:t>:</w:t>
      </w:r>
      <w:proofErr w:type="gramEnd"/>
      <w:r w:rsidR="00A61C4D" w:rsidRPr="00503F5B">
        <w:rPr>
          <w:rFonts w:eastAsia="Times New Roman" w:cs="Calibri"/>
          <w:lang w:eastAsia="en-AU"/>
        </w:rPr>
        <w:t xml:space="preserve"> building surveyors</w:t>
      </w:r>
      <w:r w:rsidR="00BD1616" w:rsidRPr="00503F5B">
        <w:rPr>
          <w:rFonts w:eastAsia="Times New Roman" w:cs="Calibri"/>
          <w:lang w:eastAsia="en-AU"/>
        </w:rPr>
        <w:t>, builders, public entertainment</w:t>
      </w:r>
      <w:r w:rsidR="0046220F" w:rsidRPr="00503F5B">
        <w:rPr>
          <w:rFonts w:eastAsia="Times New Roman" w:cs="Calibri"/>
          <w:lang w:eastAsia="en-AU"/>
        </w:rPr>
        <w:t xml:space="preserve"> venue operators, landlords and others</w:t>
      </w:r>
      <w:r w:rsidRPr="00503F5B">
        <w:t xml:space="preserve">. </w:t>
      </w:r>
      <w:r w:rsidR="00C3474D" w:rsidRPr="00503F5B">
        <w:t xml:space="preserve">It is considered that </w:t>
      </w:r>
      <w:r w:rsidR="00A61C4D" w:rsidRPr="00503F5B">
        <w:t xml:space="preserve">the proposed </w:t>
      </w:r>
      <w:r w:rsidR="00C3474D" w:rsidRPr="00503F5B">
        <w:t xml:space="preserve">new </w:t>
      </w:r>
      <w:r w:rsidR="00A61C4D" w:rsidRPr="00503F5B">
        <w:t>fire protection charges are highly unlikely to</w:t>
      </w:r>
      <w:r w:rsidR="00C3474D" w:rsidRPr="00503F5B">
        <w:t>:</w:t>
      </w:r>
    </w:p>
    <w:p w14:paraId="3F0DE24C" w14:textId="12AF486E" w:rsidR="00A61C4D" w:rsidRPr="00503F5B" w:rsidRDefault="00A61C4D" w:rsidP="00873EB1">
      <w:pPr>
        <w:jc w:val="both"/>
        <w:rPr>
          <w:sz w:val="24"/>
          <w:szCs w:val="24"/>
        </w:rPr>
      </w:pPr>
    </w:p>
    <w:p w14:paraId="4B12BE48" w14:textId="608BFA5F" w:rsidR="00A61C4D" w:rsidRPr="00503F5B" w:rsidRDefault="00A61C4D" w:rsidP="00101EC8">
      <w:pPr>
        <w:pStyle w:val="ListParagraph"/>
        <w:numPr>
          <w:ilvl w:val="0"/>
          <w:numId w:val="23"/>
        </w:numPr>
        <w:jc w:val="both"/>
      </w:pPr>
      <w:r w:rsidRPr="00503F5B">
        <w:t>impose restrictions on entry into, or exit out of, an affected industry;</w:t>
      </w:r>
    </w:p>
    <w:p w14:paraId="291AA98C" w14:textId="134F84E4" w:rsidR="00A61C4D" w:rsidRPr="00503F5B" w:rsidRDefault="00A61C4D" w:rsidP="00101EC8">
      <w:pPr>
        <w:pStyle w:val="ListParagraph"/>
        <w:numPr>
          <w:ilvl w:val="0"/>
          <w:numId w:val="23"/>
        </w:numPr>
        <w:jc w:val="both"/>
      </w:pPr>
      <w:r w:rsidRPr="00503F5B">
        <w:t>alter the ability or incentives for business to compete in an industry;</w:t>
      </w:r>
    </w:p>
    <w:p w14:paraId="7EE72E15" w14:textId="0F9A95FC" w:rsidR="00A61C4D" w:rsidRPr="00503F5B" w:rsidRDefault="00A61C4D" w:rsidP="00101EC8">
      <w:pPr>
        <w:pStyle w:val="ListParagraph"/>
        <w:numPr>
          <w:ilvl w:val="0"/>
          <w:numId w:val="23"/>
        </w:numPr>
        <w:jc w:val="both"/>
      </w:pPr>
      <w:r w:rsidRPr="00503F5B">
        <w:t>require business, community groups or individuals to spend significant additional funds or devote a significant amount of additional time to compliance activities, change current practices or seek external advice (whether the additional resources required are significant will, to some degree, depend on the nature of the businesses or industry affected);</w:t>
      </w:r>
    </w:p>
    <w:p w14:paraId="05DFCDC0" w14:textId="21DC6219" w:rsidR="00A61C4D" w:rsidRPr="00503F5B" w:rsidRDefault="00A61C4D" w:rsidP="00101EC8">
      <w:pPr>
        <w:pStyle w:val="ListParagraph"/>
        <w:numPr>
          <w:ilvl w:val="0"/>
          <w:numId w:val="23"/>
        </w:numPr>
        <w:jc w:val="both"/>
      </w:pPr>
      <w:r w:rsidRPr="00503F5B">
        <w:t>create a significant disincentive to private investment – e.g. by increasing potential delays for approvals;</w:t>
      </w:r>
    </w:p>
    <w:p w14:paraId="75E4E470" w14:textId="53411883" w:rsidR="00A61C4D" w:rsidRPr="00503F5B" w:rsidRDefault="00A61C4D" w:rsidP="00101EC8">
      <w:pPr>
        <w:pStyle w:val="ListParagraph"/>
        <w:numPr>
          <w:ilvl w:val="0"/>
          <w:numId w:val="23"/>
        </w:numPr>
        <w:jc w:val="both"/>
      </w:pPr>
      <w:r w:rsidRPr="00503F5B">
        <w:t>impose significant penalties for non-compliance (either on businesses or individuals);</w:t>
      </w:r>
    </w:p>
    <w:p w14:paraId="691C8489" w14:textId="43F053AE" w:rsidR="00A61C4D" w:rsidRPr="00503F5B" w:rsidRDefault="00A61C4D" w:rsidP="00101EC8">
      <w:pPr>
        <w:pStyle w:val="ListParagraph"/>
        <w:numPr>
          <w:ilvl w:val="0"/>
          <w:numId w:val="23"/>
        </w:numPr>
        <w:jc w:val="both"/>
      </w:pPr>
      <w:r w:rsidRPr="00503F5B">
        <w:t>impose minimum requirements or standards on businesses or individuals, such as building requirements or environmental standards; or</w:t>
      </w:r>
    </w:p>
    <w:p w14:paraId="061572AF" w14:textId="5AA8C87B" w:rsidR="00A61C4D" w:rsidRPr="00503F5B" w:rsidRDefault="00A61C4D" w:rsidP="00101EC8">
      <w:pPr>
        <w:pStyle w:val="ListParagraph"/>
        <w:numPr>
          <w:ilvl w:val="0"/>
          <w:numId w:val="23"/>
        </w:numPr>
        <w:jc w:val="both"/>
      </w:pPr>
      <w:r w:rsidRPr="00503F5B">
        <w:t>significantly affect individual rights and liberties in some other way</w:t>
      </w:r>
      <w:r w:rsidRPr="00503F5B">
        <w:rPr>
          <w:rStyle w:val="FootnoteReference"/>
        </w:rPr>
        <w:footnoteReference w:id="60"/>
      </w:r>
      <w:r w:rsidRPr="00503F5B">
        <w:t>.</w:t>
      </w:r>
    </w:p>
    <w:p w14:paraId="697A526A" w14:textId="14B89E07" w:rsidR="00A61C4D" w:rsidRPr="00503F5B" w:rsidRDefault="00A61C4D" w:rsidP="00873EB1">
      <w:pPr>
        <w:jc w:val="both"/>
        <w:rPr>
          <w:sz w:val="24"/>
          <w:szCs w:val="24"/>
        </w:rPr>
      </w:pPr>
    </w:p>
    <w:p w14:paraId="3A21A4A6" w14:textId="2F3F8948" w:rsidR="00873EB1" w:rsidRPr="00503F5B" w:rsidRDefault="00A35DA6" w:rsidP="009917B8">
      <w:pPr>
        <w:pStyle w:val="CommentText"/>
        <w:jc w:val="both"/>
      </w:pPr>
      <w:r w:rsidRPr="00503F5B">
        <w:rPr>
          <w:sz w:val="22"/>
          <w:szCs w:val="22"/>
        </w:rPr>
        <w:t xml:space="preserve">Importantly, these fees will be administratively set. </w:t>
      </w:r>
      <w:r w:rsidR="001A3678" w:rsidRPr="00503F5B">
        <w:rPr>
          <w:sz w:val="22"/>
          <w:szCs w:val="22"/>
        </w:rPr>
        <w:t xml:space="preserve"> Also, t</w:t>
      </w:r>
      <w:r w:rsidRPr="00503F5B">
        <w:rPr>
          <w:sz w:val="22"/>
          <w:szCs w:val="22"/>
        </w:rPr>
        <w:t>he RIS threshold test is undertaken but modelling suggests that fire protection charges</w:t>
      </w:r>
      <w:r w:rsidR="001A3678" w:rsidRPr="00503F5B">
        <w:rPr>
          <w:sz w:val="22"/>
          <w:szCs w:val="22"/>
        </w:rPr>
        <w:t>, on their own,</w:t>
      </w:r>
      <w:r w:rsidRPr="00503F5B">
        <w:rPr>
          <w:sz w:val="22"/>
          <w:szCs w:val="22"/>
        </w:rPr>
        <w:t xml:space="preserve"> will be unlikely to meet the significant threshold in terms of</w:t>
      </w:r>
      <w:r w:rsidR="00873EB1" w:rsidRPr="00503F5B">
        <w:rPr>
          <w:sz w:val="22"/>
          <w:szCs w:val="22"/>
        </w:rPr>
        <w:t>:</w:t>
      </w:r>
    </w:p>
    <w:p w14:paraId="37B6472D" w14:textId="77777777" w:rsidR="00873EB1" w:rsidRPr="00503F5B" w:rsidRDefault="00873EB1" w:rsidP="00873EB1">
      <w:pPr>
        <w:jc w:val="both"/>
      </w:pPr>
    </w:p>
    <w:p w14:paraId="66D55F23" w14:textId="363596B1" w:rsidR="00873EB1" w:rsidRPr="00503F5B" w:rsidRDefault="00A61C4D" w:rsidP="00101EC8">
      <w:pPr>
        <w:pStyle w:val="ListParagraph"/>
        <w:numPr>
          <w:ilvl w:val="0"/>
          <w:numId w:val="24"/>
        </w:numPr>
        <w:ind w:left="851" w:hanging="425"/>
        <w:jc w:val="both"/>
      </w:pPr>
      <w:r w:rsidRPr="00503F5B">
        <w:t>creating a</w:t>
      </w:r>
      <w:r w:rsidR="00873EB1" w:rsidRPr="00503F5B">
        <w:t xml:space="preserve"> measurable social and/or economic threshold cost to any sector of the </w:t>
      </w:r>
      <w:proofErr w:type="gramStart"/>
      <w:r w:rsidR="00873EB1" w:rsidRPr="00503F5B">
        <w:t>public</w:t>
      </w:r>
      <w:proofErr w:type="gramEnd"/>
      <w:r w:rsidR="00873EB1" w:rsidRPr="00503F5B">
        <w:t xml:space="preserve"> </w:t>
      </w:r>
      <w:r w:rsidRPr="00503F5B">
        <w:t xml:space="preserve">which is </w:t>
      </w:r>
      <w:r w:rsidR="00873EB1" w:rsidRPr="00503F5B">
        <w:t>greater than $2 million per year, compared with the relevant base case</w:t>
      </w:r>
      <w:r w:rsidR="00873EB1" w:rsidRPr="00503F5B">
        <w:rPr>
          <w:rStyle w:val="FootnoteReference"/>
        </w:rPr>
        <w:footnoteReference w:id="61"/>
      </w:r>
      <w:r w:rsidR="00873EB1" w:rsidRPr="00503F5B">
        <w:t>; and/or</w:t>
      </w:r>
    </w:p>
    <w:p w14:paraId="22AFC118" w14:textId="77777777" w:rsidR="00873EB1" w:rsidRPr="00503F5B" w:rsidRDefault="00873EB1" w:rsidP="00A61C4D">
      <w:pPr>
        <w:ind w:left="851" w:hanging="425"/>
        <w:jc w:val="both"/>
      </w:pPr>
    </w:p>
    <w:p w14:paraId="06649216" w14:textId="52432235" w:rsidR="00873EB1" w:rsidRPr="00503F5B" w:rsidRDefault="00873EB1" w:rsidP="00101EC8">
      <w:pPr>
        <w:pStyle w:val="ListParagraph"/>
        <w:numPr>
          <w:ilvl w:val="0"/>
          <w:numId w:val="24"/>
        </w:numPr>
        <w:ind w:left="851" w:hanging="425"/>
        <w:jc w:val="both"/>
      </w:pPr>
      <w:r w:rsidRPr="00503F5B">
        <w:t>imposing a significant burden on a sector of the public even where the proposal imposes quantifiable costs that are less than $2 million per year</w:t>
      </w:r>
      <w:r w:rsidRPr="00503F5B">
        <w:rPr>
          <w:rStyle w:val="FootnoteReference"/>
        </w:rPr>
        <w:footnoteReference w:id="62"/>
      </w:r>
      <w:r w:rsidRPr="00503F5B">
        <w:t>.</w:t>
      </w:r>
    </w:p>
    <w:p w14:paraId="0538135C" w14:textId="77777777" w:rsidR="00873EB1" w:rsidRPr="00503F5B" w:rsidRDefault="00873EB1" w:rsidP="00873EB1">
      <w:pPr>
        <w:jc w:val="both"/>
      </w:pPr>
    </w:p>
    <w:p w14:paraId="034E6342" w14:textId="553E3A1C" w:rsidR="004B330F" w:rsidRPr="00503F5B" w:rsidRDefault="00873EB1" w:rsidP="00453CB4">
      <w:pPr>
        <w:jc w:val="both"/>
      </w:pPr>
      <w:r w:rsidRPr="00503F5B">
        <w:t xml:space="preserve">For this reason, detailed analysis has not been conducted </w:t>
      </w:r>
      <w:r w:rsidR="005D1772" w:rsidRPr="00503F5B">
        <w:t>on proposed regulation 2</w:t>
      </w:r>
      <w:r w:rsidR="00EC4EB3" w:rsidRPr="00503F5B">
        <w:t>1</w:t>
      </w:r>
      <w:r w:rsidR="005D1772" w:rsidRPr="00503F5B">
        <w:t xml:space="preserve"> </w:t>
      </w:r>
      <w:r w:rsidRPr="00503F5B">
        <w:t>as part of the regulatory impact statement process.</w:t>
      </w:r>
    </w:p>
    <w:p w14:paraId="4A42359A" w14:textId="77777777" w:rsidR="00873EB1" w:rsidRPr="00503F5B" w:rsidRDefault="00873EB1" w:rsidP="001D51D6">
      <w:pPr>
        <w:jc w:val="both"/>
      </w:pPr>
    </w:p>
    <w:p w14:paraId="53C0ED6B" w14:textId="0D1AEF24" w:rsidR="00A61C4D" w:rsidRPr="00503F5B" w:rsidRDefault="00CC0AA0" w:rsidP="00CC0AA0">
      <w:pPr>
        <w:pStyle w:val="Heading3"/>
      </w:pPr>
      <w:bookmarkStart w:id="81" w:name="_Toc35804127"/>
      <w:bookmarkStart w:id="82" w:name="_Toc35804621"/>
      <w:bookmarkStart w:id="83" w:name="_Toc35812665"/>
      <w:r w:rsidRPr="00503F5B">
        <w:t>1.</w:t>
      </w:r>
      <w:r w:rsidR="00BB1B7F" w:rsidRPr="00503F5B">
        <w:t>5</w:t>
      </w:r>
      <w:r w:rsidRPr="00503F5B">
        <w:t>.3 Questions to be addressed in the Regulatory Impact Statement</w:t>
      </w:r>
      <w:bookmarkEnd w:id="81"/>
      <w:bookmarkEnd w:id="82"/>
      <w:bookmarkEnd w:id="83"/>
    </w:p>
    <w:p w14:paraId="44239597" w14:textId="77777777" w:rsidR="00A61C4D" w:rsidRPr="00503F5B" w:rsidRDefault="00A61C4D" w:rsidP="001D51D6">
      <w:pPr>
        <w:jc w:val="both"/>
      </w:pPr>
    </w:p>
    <w:p w14:paraId="27D3670E" w14:textId="545B4A8D" w:rsidR="00A61C4D" w:rsidRPr="00503F5B" w:rsidRDefault="00CC0AA0" w:rsidP="001D51D6">
      <w:pPr>
        <w:jc w:val="both"/>
      </w:pPr>
      <w:r w:rsidRPr="00503F5B">
        <w:t>The main questions to be addressed in the Regulatory Impact Statement as required by the latest Victorian Guide to Regulation</w:t>
      </w:r>
      <w:r w:rsidRPr="00503F5B">
        <w:rPr>
          <w:rStyle w:val="FootnoteReference"/>
        </w:rPr>
        <w:footnoteReference w:id="63"/>
      </w:r>
      <w:r w:rsidR="00C3474D" w:rsidRPr="00503F5B">
        <w:t xml:space="preserve"> are</w:t>
      </w:r>
      <w:r w:rsidRPr="00503F5B">
        <w:t>:</w:t>
      </w:r>
    </w:p>
    <w:p w14:paraId="56B6D41B" w14:textId="77777777" w:rsidR="00A61C4D" w:rsidRPr="00503F5B" w:rsidRDefault="00A61C4D" w:rsidP="001D51D6">
      <w:pPr>
        <w:jc w:val="both"/>
      </w:pPr>
    </w:p>
    <w:p w14:paraId="5424B481" w14:textId="6CE230DD" w:rsidR="00CC0AA0" w:rsidRPr="00503F5B" w:rsidRDefault="00CC0AA0" w:rsidP="00101EC8">
      <w:pPr>
        <w:pStyle w:val="ListParagraph"/>
        <w:numPr>
          <w:ilvl w:val="1"/>
          <w:numId w:val="23"/>
        </w:numPr>
        <w:ind w:left="709" w:hanging="425"/>
        <w:jc w:val="both"/>
      </w:pPr>
      <w:r w:rsidRPr="00503F5B">
        <w:t>Why is the Government considering action? (problem analysis)</w:t>
      </w:r>
    </w:p>
    <w:p w14:paraId="1F2D8884" w14:textId="162C91E7" w:rsidR="00CC0AA0" w:rsidRPr="00503F5B" w:rsidRDefault="00CC0AA0" w:rsidP="00101EC8">
      <w:pPr>
        <w:pStyle w:val="ListParagraph"/>
        <w:numPr>
          <w:ilvl w:val="1"/>
          <w:numId w:val="23"/>
        </w:numPr>
        <w:ind w:left="709" w:hanging="425"/>
        <w:jc w:val="both"/>
      </w:pPr>
      <w:r w:rsidRPr="00503F5B">
        <w:t>What outcomes is the Government aiming to achieve? (objectives of action)</w:t>
      </w:r>
    </w:p>
    <w:p w14:paraId="30DAE6A7" w14:textId="387CB319" w:rsidR="00CC0AA0" w:rsidRPr="00503F5B" w:rsidRDefault="00CC0AA0" w:rsidP="00101EC8">
      <w:pPr>
        <w:pStyle w:val="ListParagraph"/>
        <w:numPr>
          <w:ilvl w:val="1"/>
          <w:numId w:val="23"/>
        </w:numPr>
        <w:ind w:left="709" w:hanging="425"/>
        <w:jc w:val="both"/>
      </w:pPr>
      <w:r w:rsidRPr="00503F5B">
        <w:lastRenderedPageBreak/>
        <w:t>What are the possible different courses of action that could be taken? (identify feasible options)</w:t>
      </w:r>
    </w:p>
    <w:p w14:paraId="58CF5F12" w14:textId="52C998A0" w:rsidR="00CC0AA0" w:rsidRPr="00503F5B" w:rsidRDefault="00CC0AA0" w:rsidP="00101EC8">
      <w:pPr>
        <w:pStyle w:val="ListParagraph"/>
        <w:numPr>
          <w:ilvl w:val="1"/>
          <w:numId w:val="23"/>
        </w:numPr>
        <w:ind w:left="709" w:hanging="425"/>
        <w:jc w:val="both"/>
      </w:pPr>
      <w:r w:rsidRPr="00503F5B">
        <w:t>What are the expected impacts (benefits and costs) of feasible options and what is the preferred option? (impact analysis)</w:t>
      </w:r>
    </w:p>
    <w:p w14:paraId="267F1D8B" w14:textId="1F670FAB" w:rsidR="00CC0AA0" w:rsidRPr="00503F5B" w:rsidRDefault="00CC0AA0" w:rsidP="00101EC8">
      <w:pPr>
        <w:pStyle w:val="ListParagraph"/>
        <w:numPr>
          <w:ilvl w:val="1"/>
          <w:numId w:val="23"/>
        </w:numPr>
        <w:ind w:left="709" w:hanging="425"/>
        <w:jc w:val="both"/>
      </w:pPr>
      <w:r w:rsidRPr="00503F5B">
        <w:t>What are the characteristics of the preferred option, including small business and competition impacts? (summarise the preferred option)</w:t>
      </w:r>
    </w:p>
    <w:p w14:paraId="759D1577" w14:textId="578148F9" w:rsidR="00CC0AA0" w:rsidRPr="00503F5B" w:rsidRDefault="00CC0AA0" w:rsidP="00101EC8">
      <w:pPr>
        <w:pStyle w:val="ListParagraph"/>
        <w:numPr>
          <w:ilvl w:val="1"/>
          <w:numId w:val="23"/>
        </w:numPr>
        <w:ind w:left="709" w:hanging="425"/>
        <w:jc w:val="both"/>
      </w:pPr>
      <w:r w:rsidRPr="00503F5B">
        <w:t>How will the preferred option be put into place? (implementation plan)</w:t>
      </w:r>
    </w:p>
    <w:p w14:paraId="3267260E" w14:textId="2612D86B" w:rsidR="00A61C4D" w:rsidRPr="00503F5B" w:rsidRDefault="00CC0AA0" w:rsidP="00101EC8">
      <w:pPr>
        <w:pStyle w:val="ListParagraph"/>
        <w:numPr>
          <w:ilvl w:val="1"/>
          <w:numId w:val="23"/>
        </w:numPr>
        <w:ind w:left="709" w:hanging="425"/>
        <w:jc w:val="both"/>
      </w:pPr>
      <w:r w:rsidRPr="00503F5B">
        <w:t>When (and how) will the Government evaluate the effectiveness of the preferred option in meeting the objectives? (evaluation strategy).</w:t>
      </w:r>
    </w:p>
    <w:p w14:paraId="3BC8D371" w14:textId="77777777" w:rsidR="00A61C4D" w:rsidRPr="00503F5B" w:rsidRDefault="00A61C4D" w:rsidP="001D51D6">
      <w:pPr>
        <w:jc w:val="both"/>
      </w:pPr>
    </w:p>
    <w:p w14:paraId="0275CBE2" w14:textId="073597EC" w:rsidR="00A61C4D" w:rsidRPr="00503F5B" w:rsidRDefault="00CC0AA0" w:rsidP="001D51D6">
      <w:pPr>
        <w:jc w:val="both"/>
      </w:pPr>
      <w:r w:rsidRPr="00503F5B">
        <w:t>These questions will be addressed in the following sections</w:t>
      </w:r>
      <w:r w:rsidR="00E14425" w:rsidRPr="00503F5B">
        <w:t>.</w:t>
      </w:r>
    </w:p>
    <w:p w14:paraId="7B99A4C3" w14:textId="77777777" w:rsidR="008814E0" w:rsidRPr="00503F5B" w:rsidRDefault="008814E0" w:rsidP="00517C6D">
      <w:bookmarkStart w:id="85" w:name="_Toc457772525"/>
      <w:r w:rsidRPr="00503F5B">
        <w:br w:type="page"/>
      </w:r>
    </w:p>
    <w:p w14:paraId="0033D141" w14:textId="4C15CE56" w:rsidR="001D51D6" w:rsidRPr="00503F5B" w:rsidRDefault="001D51D6" w:rsidP="0080683B">
      <w:pPr>
        <w:pStyle w:val="Heading1"/>
      </w:pPr>
      <w:bookmarkStart w:id="86" w:name="_Toc35804128"/>
      <w:bookmarkStart w:id="87" w:name="_Toc35804622"/>
      <w:bookmarkStart w:id="88" w:name="_Toc35812666"/>
      <w:r w:rsidRPr="00503F5B">
        <w:lastRenderedPageBreak/>
        <w:t xml:space="preserve">Section 2: </w:t>
      </w:r>
      <w:bookmarkEnd w:id="85"/>
      <w:r w:rsidR="008814E0" w:rsidRPr="00503F5B">
        <w:t>Identification of the problem</w:t>
      </w:r>
      <w:bookmarkEnd w:id="86"/>
      <w:bookmarkEnd w:id="87"/>
      <w:bookmarkEnd w:id="88"/>
      <w:r w:rsidRPr="00503F5B">
        <w:t xml:space="preserve"> </w:t>
      </w:r>
    </w:p>
    <w:p w14:paraId="66083094" w14:textId="3B4B8579" w:rsidR="00BD540F" w:rsidRPr="00503F5B" w:rsidRDefault="001D51D6" w:rsidP="00BD540F">
      <w:pPr>
        <w:jc w:val="both"/>
      </w:pPr>
      <w:r w:rsidRPr="00503F5B">
        <w:t>Section 2 provide</w:t>
      </w:r>
      <w:r w:rsidR="00CC0AA0" w:rsidRPr="00503F5B">
        <w:t>s</w:t>
      </w:r>
      <w:r w:rsidRPr="00503F5B">
        <w:t xml:space="preserve"> the basis or intervention logic behind the need for the proposed regulations.  Problems identified will relate to non-fee and fee issues.</w:t>
      </w:r>
      <w:r w:rsidR="0046220F" w:rsidRPr="00503F5B">
        <w:t xml:space="preserve">  The underlying p</w:t>
      </w:r>
      <w:r w:rsidR="00F30280" w:rsidRPr="00503F5B">
        <w:t>olicy problem</w:t>
      </w:r>
      <w:r w:rsidR="00BD540F" w:rsidRPr="00503F5B">
        <w:t xml:space="preserve"> lies with the need to provide fire services by government given the ‘public goods’ nature of these services.  That is to say, the benefits of fire services apply to the broader community and the aim of the government is to provide fire services in a way which allows the benefits of such services to be more fully realised.   The proposed regulations will be made to support the objectives of the new Act which is to provide for fire safety, fire suppression and fire prevention services and emergency response services in </w:t>
      </w:r>
      <w:r w:rsidR="00D23B9E" w:rsidRPr="00503F5B">
        <w:t>FRV</w:t>
      </w:r>
      <w:r w:rsidR="00BD540F" w:rsidRPr="00503F5B">
        <w:t xml:space="preserve"> fire district (made up of former MFB fire districts and those relating to CFA integrated stations); and to establish FRV and the role of Fire Rescue Commissioner.</w:t>
      </w:r>
    </w:p>
    <w:p w14:paraId="3372DE5F" w14:textId="58C9B562" w:rsidR="00176814" w:rsidRPr="00503F5B" w:rsidRDefault="00176814" w:rsidP="00BD540F">
      <w:pPr>
        <w:jc w:val="both"/>
      </w:pPr>
    </w:p>
    <w:p w14:paraId="6AF0EEB3" w14:textId="3A637D73" w:rsidR="00176814" w:rsidRPr="00503F5B" w:rsidRDefault="00176814" w:rsidP="00254312">
      <w:pPr>
        <w:jc w:val="both"/>
      </w:pPr>
      <w:r w:rsidRPr="00503F5B">
        <w:t xml:space="preserve">As the current regulations are due to sunset in 2020, the base case will be the situation of ‘no </w:t>
      </w:r>
      <w:proofErr w:type="gramStart"/>
      <w:r w:rsidR="00391FFF" w:rsidRPr="00503F5B">
        <w:t>regulations’</w:t>
      </w:r>
      <w:proofErr w:type="gramEnd"/>
      <w:r w:rsidR="00D23B9E" w:rsidRPr="00503F5B">
        <w:t>. However, this</w:t>
      </w:r>
      <w:r w:rsidRPr="00503F5B">
        <w:t xml:space="preserve"> will include the continuation of </w:t>
      </w:r>
      <w:r w:rsidR="00D23B9E" w:rsidRPr="00503F5B">
        <w:t>the relevant</w:t>
      </w:r>
      <w:r w:rsidR="00BC18A4" w:rsidRPr="00503F5B">
        <w:t xml:space="preserve"> legislation outlined at section 1.4 above.</w:t>
      </w:r>
      <w:r w:rsidR="00BC18A4" w:rsidRPr="00503F5B" w:rsidDel="00BC18A4">
        <w:t xml:space="preserve"> </w:t>
      </w:r>
    </w:p>
    <w:p w14:paraId="507F300F" w14:textId="77777777" w:rsidR="00EC4EB3" w:rsidRPr="00503F5B" w:rsidRDefault="00EC4EB3" w:rsidP="00254312">
      <w:pPr>
        <w:jc w:val="both"/>
      </w:pPr>
    </w:p>
    <w:p w14:paraId="38024662" w14:textId="77777777" w:rsidR="00176814" w:rsidRPr="00503F5B" w:rsidRDefault="00176814" w:rsidP="00176814">
      <w:pPr>
        <w:jc w:val="both"/>
      </w:pPr>
      <w:r w:rsidRPr="00503F5B">
        <w:t>The non-fee and fee related consequences of the base case are outlined in the following sections.</w:t>
      </w:r>
    </w:p>
    <w:p w14:paraId="1D5E8809" w14:textId="77777777" w:rsidR="001D51D6" w:rsidRPr="00503F5B" w:rsidRDefault="001D51D6" w:rsidP="001D51D6">
      <w:pPr>
        <w:pStyle w:val="Heading2"/>
      </w:pPr>
      <w:bookmarkStart w:id="89" w:name="_Toc457772526"/>
      <w:bookmarkStart w:id="90" w:name="_Toc35804129"/>
      <w:bookmarkStart w:id="91" w:name="_Toc35804623"/>
      <w:bookmarkStart w:id="92" w:name="_Toc35812667"/>
      <w:r w:rsidRPr="00503F5B">
        <w:t>2.1 Non-fee related problems</w:t>
      </w:r>
      <w:bookmarkEnd w:id="89"/>
      <w:bookmarkEnd w:id="90"/>
      <w:bookmarkEnd w:id="91"/>
      <w:bookmarkEnd w:id="92"/>
    </w:p>
    <w:p w14:paraId="42314E1D" w14:textId="77777777" w:rsidR="008814E0" w:rsidRPr="00503F5B" w:rsidRDefault="008814E0" w:rsidP="008814E0">
      <w:pPr>
        <w:pStyle w:val="Heading3"/>
      </w:pPr>
      <w:bookmarkStart w:id="93" w:name="_Toc457772527"/>
      <w:bookmarkStart w:id="94" w:name="_Toc35804130"/>
      <w:bookmarkStart w:id="95" w:name="_Toc35804624"/>
      <w:bookmarkStart w:id="96" w:name="_Toc35812668"/>
      <w:bookmarkStart w:id="97" w:name="_Toc457772529"/>
      <w:r w:rsidRPr="00503F5B">
        <w:t>2.1.1 Public safety issues</w:t>
      </w:r>
      <w:bookmarkEnd w:id="93"/>
      <w:bookmarkEnd w:id="94"/>
      <w:bookmarkEnd w:id="95"/>
      <w:bookmarkEnd w:id="96"/>
    </w:p>
    <w:p w14:paraId="788E8F1D" w14:textId="77777777" w:rsidR="008814E0" w:rsidRPr="00503F5B" w:rsidRDefault="008814E0" w:rsidP="008814E0">
      <w:pPr>
        <w:jc w:val="both"/>
      </w:pPr>
    </w:p>
    <w:p w14:paraId="26EE3BAA" w14:textId="1C73AED1" w:rsidR="00176814" w:rsidRPr="00503F5B" w:rsidRDefault="00176814" w:rsidP="00176814">
      <w:pPr>
        <w:jc w:val="both"/>
      </w:pPr>
      <w:r w:rsidRPr="00503F5B">
        <w:t xml:space="preserve">A lack of regulations to prescribe certain measures would entail potential consequences for public safety.  </w:t>
      </w:r>
      <w:proofErr w:type="gramStart"/>
      <w:r w:rsidRPr="00503F5B">
        <w:t>In particular, these</w:t>
      </w:r>
      <w:proofErr w:type="gramEnd"/>
      <w:r w:rsidRPr="00503F5B">
        <w:t xml:space="preserve"> measures relate to fire prevention notices, insignia use and alarm information requirements.  </w:t>
      </w:r>
    </w:p>
    <w:p w14:paraId="1D065B66" w14:textId="77777777" w:rsidR="00176814" w:rsidRPr="00503F5B" w:rsidRDefault="00176814" w:rsidP="00176814">
      <w:pPr>
        <w:jc w:val="both"/>
      </w:pPr>
    </w:p>
    <w:p w14:paraId="101550E9" w14:textId="54453A02" w:rsidR="008814E0" w:rsidRPr="00503F5B" w:rsidRDefault="008814E0" w:rsidP="008814E0">
      <w:pPr>
        <w:jc w:val="both"/>
      </w:pPr>
      <w:r w:rsidRPr="00503F5B">
        <w:t xml:space="preserve">Failure to put in place clear and effective measures directed at preventing fires such as fire prevention notices or controls over the unauthorized use of </w:t>
      </w:r>
      <w:r w:rsidR="00D23B9E" w:rsidRPr="00503F5B">
        <w:t>FRV</w:t>
      </w:r>
      <w:r w:rsidRPr="00503F5B">
        <w:t xml:space="preserve"> insignia (through the impersonation of a</w:t>
      </w:r>
      <w:r w:rsidR="008338C1" w:rsidRPr="00503F5B">
        <w:t>n</w:t>
      </w:r>
      <w:r w:rsidRPr="00503F5B">
        <w:t xml:space="preserve"> FRV staff member</w:t>
      </w:r>
      <w:r w:rsidR="00C3474D" w:rsidRPr="00503F5B">
        <w:t xml:space="preserve"> or communications from or purporting to be endorsed by FRV</w:t>
      </w:r>
      <w:r w:rsidRPr="00503F5B">
        <w:t xml:space="preserve">) could have serious impacts on </w:t>
      </w:r>
      <w:r w:rsidR="00BC18A4" w:rsidRPr="00503F5B">
        <w:t xml:space="preserve">public safety </w:t>
      </w:r>
      <w:r w:rsidRPr="00503F5B">
        <w:t>and property</w:t>
      </w:r>
      <w:r w:rsidR="00C3474D" w:rsidRPr="00503F5B">
        <w:t xml:space="preserve">, </w:t>
      </w:r>
      <w:r w:rsidRPr="00503F5B">
        <w:t xml:space="preserve">and the legitimacy of </w:t>
      </w:r>
      <w:r w:rsidR="00D23B9E" w:rsidRPr="00503F5B">
        <w:t>FRV</w:t>
      </w:r>
      <w:r w:rsidRPr="00503F5B">
        <w:t>.  Moreover, a lack of consistent information around alarms in relation to pre-connection, connection, modification, disconnection, verification and failure reduces the capability to undertake a risk assessment, such as accurately assessing sites for appropriate emergency response. Without such information FRV is less prepared to respond to emergencies where an alarm is in place which increases safety risks for firefighters and the public.</w:t>
      </w:r>
    </w:p>
    <w:p w14:paraId="1769BDE6" w14:textId="77777777" w:rsidR="00176814" w:rsidRPr="00503F5B" w:rsidRDefault="00176814" w:rsidP="00176814">
      <w:pPr>
        <w:jc w:val="both"/>
      </w:pPr>
    </w:p>
    <w:p w14:paraId="4D9EA102" w14:textId="6F88DB09" w:rsidR="00176814" w:rsidRPr="00503F5B" w:rsidRDefault="00176814" w:rsidP="00176814">
      <w:pPr>
        <w:jc w:val="both"/>
      </w:pPr>
      <w:r w:rsidRPr="00503F5B">
        <w:t xml:space="preserve">Under the base case, the Act would continue to specify that fire prevention notices issued by municipal councils or </w:t>
      </w:r>
      <w:r w:rsidR="00D23B9E" w:rsidRPr="00503F5B">
        <w:t>FRV</w:t>
      </w:r>
      <w:r w:rsidRPr="00503F5B">
        <w:t xml:space="preserve">’s Fire Rescue Commissioner must be </w:t>
      </w:r>
      <w:r w:rsidR="00D23B9E" w:rsidRPr="00503F5B">
        <w:t>in</w:t>
      </w:r>
      <w:r w:rsidRPr="00503F5B">
        <w:t xml:space="preserve"> a prescribed form</w:t>
      </w:r>
      <w:r w:rsidR="00D23B9E" w:rsidRPr="00503F5B">
        <w:t xml:space="preserve"> </w:t>
      </w:r>
      <w:r w:rsidR="00E1323B" w:rsidRPr="00503F5B">
        <w:t xml:space="preserve">under </w:t>
      </w:r>
      <w:r w:rsidRPr="00503F5B">
        <w:t>section 87(3)(a)</w:t>
      </w:r>
      <w:r w:rsidR="00E1323B" w:rsidRPr="00503F5B">
        <w:t xml:space="preserve"> </w:t>
      </w:r>
      <w:r w:rsidRPr="00503F5B">
        <w:t xml:space="preserve">and </w:t>
      </w:r>
      <w:r w:rsidR="00E1323B" w:rsidRPr="00503F5B">
        <w:t xml:space="preserve">contain </w:t>
      </w:r>
      <w:r w:rsidRPr="00503F5B">
        <w:t xml:space="preserve">details around serving of fire prevention notices under and section 88(3)(b). However, without the regulations there would be no way to prescribe the form as well as, important prescribed particulars around the substance of the steps to be taken to remove or minimise the threat of fire which are contained in the fire prevention notice; and the date by which the owner or occupier must comply with the fire prevention notice.  Failure to put in place clear and effective measures directed at preventing fires could have serious impacts on </w:t>
      </w:r>
      <w:r w:rsidR="00BC18A4" w:rsidRPr="00503F5B">
        <w:t>public and firefighter safety</w:t>
      </w:r>
      <w:r w:rsidR="00254312" w:rsidRPr="00503F5B">
        <w:t xml:space="preserve"> </w:t>
      </w:r>
      <w:r w:rsidRPr="00503F5B">
        <w:t xml:space="preserve">and </w:t>
      </w:r>
      <w:r w:rsidR="00BC18A4" w:rsidRPr="00503F5B">
        <w:t xml:space="preserve">the protection of </w:t>
      </w:r>
      <w:r w:rsidRPr="00503F5B">
        <w:t>property.</w:t>
      </w:r>
    </w:p>
    <w:p w14:paraId="5993B193" w14:textId="77777777" w:rsidR="00176814" w:rsidRPr="00503F5B" w:rsidRDefault="00176814" w:rsidP="00176814"/>
    <w:p w14:paraId="12104B2B" w14:textId="7047CBFF" w:rsidR="00176814" w:rsidRPr="00503F5B" w:rsidRDefault="00176814" w:rsidP="00176814">
      <w:pPr>
        <w:jc w:val="both"/>
      </w:pPr>
      <w:r w:rsidRPr="00503F5B">
        <w:lastRenderedPageBreak/>
        <w:t xml:space="preserve">Under section 75A of the Act the base case would continue to specify offences for persons using any insignia described or set out in the regulations in any manner contrary to the manner set out in the regulations without the written authority of FRV.  However, without the regulations under the base case, there would be no requirement on how the insignia may be used and by who to identify FRV staff or property.  Nor would </w:t>
      </w:r>
      <w:r w:rsidR="00D23B9E" w:rsidRPr="00503F5B">
        <w:t>FRV</w:t>
      </w:r>
      <w:r w:rsidRPr="00503F5B">
        <w:t xml:space="preserve"> be able to prevent any unauthorized or false representation that might risk</w:t>
      </w:r>
      <w:r w:rsidR="00BC18A4" w:rsidRPr="00503F5B">
        <w:t xml:space="preserve"> public safety</w:t>
      </w:r>
      <w:r w:rsidRPr="00503F5B">
        <w:t xml:space="preserve">, property and the legitimacy of </w:t>
      </w:r>
      <w:r w:rsidR="00D23B9E" w:rsidRPr="00503F5B">
        <w:t>FRV</w:t>
      </w:r>
      <w:r w:rsidRPr="00503F5B">
        <w:t>.</w:t>
      </w:r>
    </w:p>
    <w:p w14:paraId="16206047" w14:textId="77777777" w:rsidR="00176814" w:rsidRPr="00503F5B" w:rsidRDefault="00176814" w:rsidP="00176814"/>
    <w:p w14:paraId="731A4B59" w14:textId="6BC26B69" w:rsidR="00176814" w:rsidRPr="00503F5B" w:rsidRDefault="00176814" w:rsidP="00176814">
      <w:pPr>
        <w:jc w:val="both"/>
      </w:pPr>
      <w:r w:rsidRPr="00503F5B">
        <w:t xml:space="preserve">Section 78 of the Act would continue to allow for the prescription of information that providers of alarm monitoring services must provide to FRV.  However, without regulations the type of information required for different stages of the operation of an alarm </w:t>
      </w:r>
      <w:proofErr w:type="gramStart"/>
      <w:r w:rsidRPr="00503F5B">
        <w:t>including:</w:t>
      </w:r>
      <w:proofErr w:type="gramEnd"/>
      <w:r w:rsidRPr="00503F5B">
        <w:t xml:space="preserve"> pre-connection; connection; modification; disconnection; verification; and failure – would not be prescribed.  This would hamper the accurate risk assessment, of sites for appropriate emergency response. Failing to obtain this information would leave </w:t>
      </w:r>
      <w:r w:rsidR="00D23B9E" w:rsidRPr="00503F5B">
        <w:t>FRV</w:t>
      </w:r>
      <w:r w:rsidRPr="00503F5B">
        <w:t xml:space="preserve"> unprepared to respond to emergencies where an alarm is in place. Without such preparations </w:t>
      </w:r>
      <w:r w:rsidR="00D23B9E" w:rsidRPr="00503F5B">
        <w:t>FRV</w:t>
      </w:r>
      <w:r w:rsidRPr="00503F5B">
        <w:t xml:space="preserve"> would not be able to reduce safety risks for firefighters and the public.</w:t>
      </w:r>
    </w:p>
    <w:p w14:paraId="1CC8529B" w14:textId="77777777" w:rsidR="008814E0" w:rsidRPr="00503F5B" w:rsidRDefault="008814E0" w:rsidP="008814E0">
      <w:pPr>
        <w:jc w:val="both"/>
        <w:rPr>
          <w:i/>
        </w:rPr>
      </w:pPr>
    </w:p>
    <w:p w14:paraId="1CCDBA69" w14:textId="77777777" w:rsidR="008814E0" w:rsidRPr="00503F5B" w:rsidRDefault="008814E0" w:rsidP="008814E0">
      <w:pPr>
        <w:pStyle w:val="Heading3"/>
      </w:pPr>
      <w:bookmarkStart w:id="98" w:name="_Toc457772528"/>
      <w:bookmarkStart w:id="99" w:name="_Toc35804131"/>
      <w:bookmarkStart w:id="100" w:name="_Toc35804625"/>
      <w:bookmarkStart w:id="101" w:name="_Toc35812669"/>
      <w:r w:rsidRPr="00503F5B">
        <w:t>2.1.2 Employment management issues</w:t>
      </w:r>
      <w:bookmarkEnd w:id="98"/>
      <w:bookmarkEnd w:id="99"/>
      <w:bookmarkEnd w:id="100"/>
      <w:bookmarkEnd w:id="101"/>
    </w:p>
    <w:p w14:paraId="1B7517BA" w14:textId="77777777" w:rsidR="008814E0" w:rsidRPr="00503F5B" w:rsidRDefault="008814E0" w:rsidP="008814E0"/>
    <w:p w14:paraId="5E7227C1" w14:textId="1A2B8FAC" w:rsidR="00C45218" w:rsidRPr="00503F5B" w:rsidRDefault="00C45218" w:rsidP="008814E0">
      <w:pPr>
        <w:jc w:val="both"/>
      </w:pPr>
      <w:r w:rsidRPr="00503F5B">
        <w:t xml:space="preserve">Another consequence of the base case would be a lack of being able </w:t>
      </w:r>
      <w:r w:rsidR="00E1323B" w:rsidRPr="00503F5B">
        <w:t xml:space="preserve">to </w:t>
      </w:r>
      <w:r w:rsidRPr="00503F5B">
        <w:t>prescribe certain measures in relation to employment and FRV administratio</w:t>
      </w:r>
      <w:r w:rsidR="00E1323B" w:rsidRPr="00503F5B">
        <w:t xml:space="preserve">n, potentially </w:t>
      </w:r>
      <w:r w:rsidRPr="00503F5B">
        <w:t>leaving it less able to demonstrate accountability and transparency (contrary to governance standards of public sector bodies).</w:t>
      </w:r>
    </w:p>
    <w:p w14:paraId="34974BD9" w14:textId="77777777" w:rsidR="00C45218" w:rsidRPr="00503F5B" w:rsidRDefault="00C45218" w:rsidP="008814E0">
      <w:pPr>
        <w:jc w:val="both"/>
      </w:pPr>
    </w:p>
    <w:p w14:paraId="761BFC48" w14:textId="72FD6E2E" w:rsidR="008814E0" w:rsidRPr="00503F5B" w:rsidRDefault="00D23B9E" w:rsidP="008814E0">
      <w:pPr>
        <w:jc w:val="both"/>
      </w:pPr>
      <w:r w:rsidRPr="00503F5B">
        <w:t>P</w:t>
      </w:r>
      <w:r w:rsidR="008814E0" w:rsidRPr="00503F5B">
        <w:t xml:space="preserve">rocesses </w:t>
      </w:r>
      <w:r w:rsidRPr="00503F5B">
        <w:t xml:space="preserve">and </w:t>
      </w:r>
      <w:r w:rsidR="008814E0" w:rsidRPr="00503F5B">
        <w:t xml:space="preserve">mechanisms to demonstrate adherence to appropriate governance standards around employment management </w:t>
      </w:r>
      <w:r w:rsidRPr="00503F5B">
        <w:t xml:space="preserve">reinforces </w:t>
      </w:r>
      <w:r w:rsidR="008814E0" w:rsidRPr="00503F5B">
        <w:t xml:space="preserve">the accountability and transparency of the administration of </w:t>
      </w:r>
      <w:r w:rsidRPr="00503F5B">
        <w:t>FRV</w:t>
      </w:r>
      <w:r w:rsidR="008814E0" w:rsidRPr="00503F5B">
        <w:t xml:space="preserve">.  </w:t>
      </w:r>
      <w:r w:rsidRPr="00503F5B">
        <w:t>C</w:t>
      </w:r>
      <w:r w:rsidR="008814E0" w:rsidRPr="00503F5B">
        <w:t xml:space="preserve">lear roles, responsibilities and procedures for making decisions and exercising </w:t>
      </w:r>
      <w:r w:rsidR="00391FFF" w:rsidRPr="00503F5B">
        <w:t>power, can</w:t>
      </w:r>
      <w:r w:rsidRPr="00503F5B">
        <w:t xml:space="preserve"> increase </w:t>
      </w:r>
      <w:r w:rsidR="008814E0" w:rsidRPr="00503F5B">
        <w:t xml:space="preserve">public confidence in the brigade’s capacity to deliver essential fire and emergency management services to Victorians.  Operational staff also need to be fit for duty and clarity around the operational requirements are important to ensure ongoing suitability of FRV members. Notwithstanding the benefits of adopting more flexible and innovative internal practices, a lack clarity to employees around processes, combined with the reduced ability to ensure suitability of its members, could ultimately undermine </w:t>
      </w:r>
      <w:r w:rsidRPr="00503F5B">
        <w:t>FRV</w:t>
      </w:r>
      <w:r w:rsidR="008814E0" w:rsidRPr="00503F5B">
        <w:t>’s operational capability.</w:t>
      </w:r>
    </w:p>
    <w:p w14:paraId="643005D4" w14:textId="73AED73A" w:rsidR="00C45218" w:rsidRPr="00503F5B" w:rsidRDefault="00C45218" w:rsidP="008814E0">
      <w:pPr>
        <w:jc w:val="both"/>
      </w:pPr>
    </w:p>
    <w:p w14:paraId="764A5332" w14:textId="32EBC152" w:rsidR="00C45218" w:rsidRPr="00503F5B" w:rsidRDefault="00C45218" w:rsidP="00C45218">
      <w:pPr>
        <w:jc w:val="both"/>
      </w:pPr>
      <w:r w:rsidRPr="00503F5B">
        <w:t xml:space="preserve">Specifically, without regulations, there would be a lack </w:t>
      </w:r>
      <w:r w:rsidR="00254312" w:rsidRPr="00503F5B">
        <w:t xml:space="preserve">of </w:t>
      </w:r>
      <w:r w:rsidRPr="00503F5B">
        <w:t xml:space="preserve">prescribed measures relating to how </w:t>
      </w:r>
      <w:r w:rsidR="00D23B9E" w:rsidRPr="00503F5B">
        <w:t>FRV</w:t>
      </w:r>
      <w:r w:rsidRPr="00503F5B">
        <w:t xml:space="preserve"> might be answerable for decisions and a lack of measures to ensure adherence to appropriate standards in relation to staff training, promotion and discipline.  There would be less clarity around roles, responsibilities and procedures for making decisions, and exercising power. </w:t>
      </w:r>
    </w:p>
    <w:p w14:paraId="1C66AB97" w14:textId="77777777" w:rsidR="00C45218" w:rsidRPr="00503F5B" w:rsidRDefault="00C45218" w:rsidP="00C45218">
      <w:pPr>
        <w:jc w:val="both"/>
      </w:pPr>
    </w:p>
    <w:p w14:paraId="29D16E3D" w14:textId="4492EE60" w:rsidR="00C45218" w:rsidRPr="00503F5B" w:rsidRDefault="00C45218" w:rsidP="00C45218">
      <w:pPr>
        <w:jc w:val="both"/>
      </w:pPr>
      <w:r w:rsidRPr="00503F5B">
        <w:t xml:space="preserve">Without regulations, FRV would be unable to control management-related matters, compromised on regulating appeals processes and less able to ensure the suitability of its members – outcomes which could ultimately undermine </w:t>
      </w:r>
      <w:r w:rsidR="00D23B9E" w:rsidRPr="00503F5B">
        <w:t>FRV</w:t>
      </w:r>
      <w:r w:rsidRPr="00503F5B">
        <w:t>’s operational capability to deliver essential fire and emergency management services to Victorians.</w:t>
      </w:r>
    </w:p>
    <w:p w14:paraId="627EDE58" w14:textId="77777777" w:rsidR="00C45218" w:rsidRPr="00503F5B" w:rsidRDefault="00C45218" w:rsidP="00C45218">
      <w:pPr>
        <w:jc w:val="both"/>
      </w:pPr>
    </w:p>
    <w:p w14:paraId="3824BB0C" w14:textId="0D69ECDA" w:rsidR="00C45218" w:rsidRPr="00503F5B" w:rsidRDefault="00C45218" w:rsidP="00C45218">
      <w:pPr>
        <w:jc w:val="both"/>
      </w:pPr>
      <w:r w:rsidRPr="00503F5B">
        <w:t xml:space="preserve">The </w:t>
      </w:r>
      <w:proofErr w:type="gramStart"/>
      <w:r w:rsidRPr="00503F5B">
        <w:t>aforementioned negative</w:t>
      </w:r>
      <w:proofErr w:type="gramEnd"/>
      <w:r w:rsidRPr="00503F5B">
        <w:t xml:space="preserve"> consequence around operational capability would need to be balanced against the flexibility of not having regulations around internal practices which might make </w:t>
      </w:r>
      <w:r w:rsidR="00D23B9E" w:rsidRPr="00503F5B">
        <w:t>FRV</w:t>
      </w:r>
      <w:r w:rsidRPr="00503F5B">
        <w:t xml:space="preserve"> more efficient because it could potentially resolve issues using current processes and more readily adopt innovative practices.  The efficiency benefits of being </w:t>
      </w:r>
      <w:r w:rsidRPr="00503F5B">
        <w:lastRenderedPageBreak/>
        <w:t xml:space="preserve">flexible (a positive consequence) of the base case would of course depend on the extent of innovative and agile practices in </w:t>
      </w:r>
      <w:r w:rsidR="00D23B9E" w:rsidRPr="00503F5B">
        <w:t>FRV</w:t>
      </w:r>
      <w:r w:rsidRPr="00503F5B">
        <w:t xml:space="preserve"> over time.</w:t>
      </w:r>
    </w:p>
    <w:p w14:paraId="116C4B82" w14:textId="77777777" w:rsidR="001D51D6" w:rsidRPr="00503F5B" w:rsidRDefault="001D51D6" w:rsidP="001D51D6">
      <w:pPr>
        <w:pStyle w:val="Heading2"/>
      </w:pPr>
      <w:bookmarkStart w:id="102" w:name="_Toc35804132"/>
      <w:bookmarkStart w:id="103" w:name="_Toc35804626"/>
      <w:bookmarkStart w:id="104" w:name="_Toc35812670"/>
      <w:r w:rsidRPr="00503F5B">
        <w:t>2.2 Fee-related problems</w:t>
      </w:r>
      <w:bookmarkEnd w:id="97"/>
      <w:bookmarkEnd w:id="102"/>
      <w:bookmarkEnd w:id="103"/>
      <w:bookmarkEnd w:id="104"/>
    </w:p>
    <w:p w14:paraId="3C719DDA" w14:textId="0166F5EE" w:rsidR="008338C1" w:rsidRPr="00503F5B" w:rsidRDefault="008338C1" w:rsidP="008338C1">
      <w:pPr>
        <w:pStyle w:val="Heading3"/>
      </w:pPr>
      <w:bookmarkStart w:id="105" w:name="_Toc457772530"/>
      <w:bookmarkStart w:id="106" w:name="_Toc35804133"/>
      <w:bookmarkStart w:id="107" w:name="_Toc35804627"/>
      <w:bookmarkStart w:id="108" w:name="_Toc35812671"/>
      <w:r w:rsidRPr="00503F5B">
        <w:t>2.2.1 The need for provision of services that gives rise to costs</w:t>
      </w:r>
      <w:bookmarkEnd w:id="105"/>
      <w:bookmarkEnd w:id="106"/>
      <w:bookmarkEnd w:id="107"/>
      <w:bookmarkEnd w:id="108"/>
    </w:p>
    <w:p w14:paraId="14A57D5C" w14:textId="77777777" w:rsidR="008338C1" w:rsidRPr="00503F5B" w:rsidRDefault="008338C1" w:rsidP="001D51D6">
      <w:pPr>
        <w:jc w:val="both"/>
      </w:pPr>
    </w:p>
    <w:p w14:paraId="071589C0" w14:textId="17ED1789" w:rsidR="008338C1" w:rsidRPr="00503F5B" w:rsidRDefault="008338C1" w:rsidP="008338C1">
      <w:pPr>
        <w:pStyle w:val="Heading4"/>
      </w:pPr>
      <w:r w:rsidRPr="00503F5B">
        <w:t>2.2.1.1 Fire protection services</w:t>
      </w:r>
    </w:p>
    <w:p w14:paraId="4D77D0C3" w14:textId="597A33D8" w:rsidR="008338C1" w:rsidRPr="00503F5B" w:rsidRDefault="008338C1" w:rsidP="001D51D6">
      <w:pPr>
        <w:jc w:val="both"/>
      </w:pPr>
    </w:p>
    <w:p w14:paraId="76ADF783" w14:textId="21B718DA" w:rsidR="00617D3A" w:rsidRPr="00503F5B" w:rsidRDefault="008338C1" w:rsidP="008338C1">
      <w:pPr>
        <w:jc w:val="both"/>
      </w:pPr>
      <w:r w:rsidRPr="00503F5B">
        <w:t xml:space="preserve">FRV will continue to provide various </w:t>
      </w:r>
      <w:r w:rsidR="00BC18A4" w:rsidRPr="00503F5B">
        <w:t xml:space="preserve">services </w:t>
      </w:r>
      <w:r w:rsidRPr="00503F5B">
        <w:t>around inspections and certifications/permits involving certain fire safety matters</w:t>
      </w:r>
      <w:r w:rsidR="00617D3A" w:rsidRPr="00503F5B">
        <w:t xml:space="preserve"> as shown in Table 10</w:t>
      </w:r>
      <w:r w:rsidR="008638F5" w:rsidRPr="00503F5B">
        <w:t xml:space="preserve"> and currently provided by </w:t>
      </w:r>
      <w:r w:rsidR="00595DFB" w:rsidRPr="00503F5B">
        <w:t>MFB</w:t>
      </w:r>
      <w:r w:rsidR="008638F5" w:rsidRPr="00503F5B">
        <w:t xml:space="preserve"> and CFA</w:t>
      </w:r>
      <w:r w:rsidR="00617D3A" w:rsidRPr="00503F5B">
        <w:t xml:space="preserve">. </w:t>
      </w:r>
      <w:r w:rsidRPr="00503F5B">
        <w:t xml:space="preserve">These costs arise because </w:t>
      </w:r>
      <w:r w:rsidR="00BC18A4" w:rsidRPr="00503F5B">
        <w:t xml:space="preserve">this </w:t>
      </w:r>
      <w:r w:rsidRPr="00503F5B">
        <w:t>work is mandated</w:t>
      </w:r>
      <w:r w:rsidR="00643E35" w:rsidRPr="00503F5B">
        <w:t xml:space="preserve"> by</w:t>
      </w:r>
      <w:r w:rsidR="00617D3A" w:rsidRPr="00503F5B">
        <w:t xml:space="preserve"> </w:t>
      </w:r>
      <w:r w:rsidR="00643E35" w:rsidRPr="00503F5B">
        <w:t>legislation</w:t>
      </w:r>
      <w:r w:rsidR="00617D3A" w:rsidRPr="00503F5B">
        <w:t xml:space="preserve"> as summarised in Table 10.</w:t>
      </w:r>
    </w:p>
    <w:p w14:paraId="0925AE22" w14:textId="05961576" w:rsidR="00617D3A" w:rsidRPr="00503F5B" w:rsidRDefault="00617D3A" w:rsidP="008338C1">
      <w:pPr>
        <w:jc w:val="both"/>
      </w:pPr>
    </w:p>
    <w:p w14:paraId="026523E3" w14:textId="6C8594AF" w:rsidR="00617D3A" w:rsidRPr="00503F5B" w:rsidRDefault="00AA5835" w:rsidP="00AA5835">
      <w:pPr>
        <w:jc w:val="center"/>
        <w:rPr>
          <w:b/>
          <w:bCs/>
          <w:sz w:val="20"/>
          <w:szCs w:val="20"/>
        </w:rPr>
      </w:pPr>
      <w:r w:rsidRPr="00503F5B">
        <w:rPr>
          <w:b/>
          <w:bCs/>
          <w:sz w:val="20"/>
          <w:szCs w:val="20"/>
        </w:rPr>
        <w:t>Table 10:  Summary of mandated fire protection services which give rise to costs</w:t>
      </w:r>
    </w:p>
    <w:p w14:paraId="04EAA585" w14:textId="38DC8CCC" w:rsidR="00617D3A" w:rsidRPr="00503F5B" w:rsidRDefault="00617D3A" w:rsidP="008338C1">
      <w:pPr>
        <w:jc w:val="both"/>
      </w:pP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835"/>
      </w:tblGrid>
      <w:tr w:rsidR="00617D3A" w:rsidRPr="00503F5B" w14:paraId="45B9D7D3" w14:textId="77777777" w:rsidTr="009917B8">
        <w:trPr>
          <w:trHeight w:val="52"/>
          <w:tblHeader/>
        </w:trPr>
        <w:tc>
          <w:tcPr>
            <w:tcW w:w="5245" w:type="dxa"/>
            <w:tcBorders>
              <w:top w:val="single" w:sz="4" w:space="0" w:color="ED7C5D"/>
              <w:bottom w:val="double" w:sz="4" w:space="0" w:color="ED7C5D"/>
            </w:tcBorders>
            <w:hideMark/>
          </w:tcPr>
          <w:p w14:paraId="1AC526B1" w14:textId="13D92A29" w:rsidR="00617D3A" w:rsidRPr="00503F5B" w:rsidRDefault="00617D3A" w:rsidP="00E6069B">
            <w:pPr>
              <w:jc w:val="both"/>
              <w:rPr>
                <w:b/>
                <w:color w:val="BE2A18"/>
                <w:sz w:val="20"/>
                <w:szCs w:val="20"/>
                <w:lang w:val="en-AU"/>
              </w:rPr>
            </w:pPr>
            <w:r w:rsidRPr="00503F5B">
              <w:rPr>
                <w:b/>
                <w:color w:val="BE2A18"/>
                <w:sz w:val="20"/>
                <w:szCs w:val="20"/>
                <w:lang w:val="en-AU"/>
              </w:rPr>
              <w:t>Functions</w:t>
            </w:r>
          </w:p>
        </w:tc>
        <w:tc>
          <w:tcPr>
            <w:tcW w:w="2835" w:type="dxa"/>
            <w:tcBorders>
              <w:top w:val="single" w:sz="4" w:space="0" w:color="ED7C5D"/>
              <w:bottom w:val="double" w:sz="4" w:space="0" w:color="ED7C5D"/>
            </w:tcBorders>
            <w:noWrap/>
            <w:hideMark/>
          </w:tcPr>
          <w:p w14:paraId="5C7D15CA" w14:textId="3D41F422" w:rsidR="00617D3A" w:rsidRPr="00503F5B" w:rsidRDefault="00617D3A" w:rsidP="00E6069B">
            <w:pPr>
              <w:jc w:val="center"/>
              <w:rPr>
                <w:b/>
                <w:color w:val="BE2A18"/>
                <w:sz w:val="20"/>
                <w:szCs w:val="20"/>
                <w:lang w:val="en-AU"/>
              </w:rPr>
            </w:pPr>
            <w:r w:rsidRPr="00503F5B">
              <w:rPr>
                <w:b/>
                <w:color w:val="BE2A18"/>
                <w:sz w:val="20"/>
                <w:szCs w:val="20"/>
                <w:lang w:val="en-AU"/>
              </w:rPr>
              <w:t>Regulation mandating function</w:t>
            </w:r>
          </w:p>
        </w:tc>
      </w:tr>
      <w:tr w:rsidR="00617D3A" w:rsidRPr="00503F5B" w14:paraId="0911F941" w14:textId="77777777" w:rsidTr="00AA5835">
        <w:trPr>
          <w:trHeight w:val="621"/>
        </w:trPr>
        <w:tc>
          <w:tcPr>
            <w:tcW w:w="5245" w:type="dxa"/>
            <w:tcBorders>
              <w:top w:val="double" w:sz="4" w:space="0" w:color="ED7C5D"/>
            </w:tcBorders>
            <w:vAlign w:val="center"/>
          </w:tcPr>
          <w:p w14:paraId="059993A5" w14:textId="55CFBFCE" w:rsidR="00617D3A" w:rsidRPr="00503F5B" w:rsidRDefault="00617D3A" w:rsidP="00101EC8">
            <w:pPr>
              <w:pStyle w:val="ListParagraph"/>
              <w:numPr>
                <w:ilvl w:val="0"/>
                <w:numId w:val="26"/>
              </w:numPr>
              <w:ind w:left="321" w:hanging="321"/>
              <w:rPr>
                <w:sz w:val="18"/>
                <w:szCs w:val="18"/>
                <w:lang w:val="en-AU"/>
              </w:rPr>
            </w:pPr>
            <w:r w:rsidRPr="00503F5B">
              <w:rPr>
                <w:sz w:val="18"/>
                <w:szCs w:val="18"/>
                <w:lang w:val="en-AU"/>
              </w:rPr>
              <w:t>Reports or letters of advice with regards to placarding; fire protection and emergency procedures</w:t>
            </w:r>
          </w:p>
        </w:tc>
        <w:tc>
          <w:tcPr>
            <w:tcW w:w="2835" w:type="dxa"/>
            <w:tcBorders>
              <w:top w:val="double" w:sz="4" w:space="0" w:color="ED7C5D"/>
            </w:tcBorders>
            <w:noWrap/>
            <w:vAlign w:val="center"/>
          </w:tcPr>
          <w:p w14:paraId="6CDA2D8A" w14:textId="2DC50373" w:rsidR="00617D3A" w:rsidRPr="00503F5B" w:rsidRDefault="00617D3A" w:rsidP="00643E35">
            <w:pPr>
              <w:rPr>
                <w:sz w:val="20"/>
                <w:szCs w:val="20"/>
                <w:lang w:val="en-AU"/>
              </w:rPr>
            </w:pPr>
            <w:r w:rsidRPr="00503F5B">
              <w:rPr>
                <w:sz w:val="18"/>
                <w:szCs w:val="18"/>
                <w:lang w:val="en-AU"/>
              </w:rPr>
              <w:t>Reg</w:t>
            </w:r>
            <w:r w:rsidR="00643E35" w:rsidRPr="00503F5B">
              <w:rPr>
                <w:sz w:val="18"/>
                <w:szCs w:val="18"/>
                <w:lang w:val="en-AU"/>
              </w:rPr>
              <w:t>.</w:t>
            </w:r>
            <w:r w:rsidRPr="00503F5B">
              <w:rPr>
                <w:sz w:val="18"/>
                <w:szCs w:val="18"/>
                <w:lang w:val="en-AU"/>
              </w:rPr>
              <w:t>49</w:t>
            </w:r>
            <w:r w:rsidR="00643E35" w:rsidRPr="00503F5B">
              <w:rPr>
                <w:sz w:val="18"/>
                <w:szCs w:val="18"/>
                <w:lang w:val="en-AU"/>
              </w:rPr>
              <w:t>,</w:t>
            </w:r>
            <w:r w:rsidRPr="00503F5B">
              <w:rPr>
                <w:sz w:val="18"/>
                <w:szCs w:val="18"/>
                <w:lang w:val="en-AU"/>
              </w:rPr>
              <w:t xml:space="preserve"> Dangerous Goods (Storage &amp; Handling Regulations) 2012</w:t>
            </w:r>
          </w:p>
        </w:tc>
      </w:tr>
      <w:tr w:rsidR="00617D3A" w:rsidRPr="00503F5B" w14:paraId="4416C531" w14:textId="77777777" w:rsidTr="00AA5835">
        <w:trPr>
          <w:trHeight w:val="574"/>
        </w:trPr>
        <w:tc>
          <w:tcPr>
            <w:tcW w:w="5245" w:type="dxa"/>
            <w:vAlign w:val="center"/>
          </w:tcPr>
          <w:p w14:paraId="77B95A3F" w14:textId="161769FC" w:rsidR="00617D3A" w:rsidRPr="00503F5B" w:rsidRDefault="00617D3A" w:rsidP="00101EC8">
            <w:pPr>
              <w:pStyle w:val="ListParagraph"/>
              <w:numPr>
                <w:ilvl w:val="0"/>
                <w:numId w:val="26"/>
              </w:numPr>
              <w:ind w:left="321" w:hanging="321"/>
              <w:rPr>
                <w:sz w:val="18"/>
                <w:szCs w:val="18"/>
                <w:lang w:val="en-AU"/>
              </w:rPr>
            </w:pPr>
            <w:r w:rsidRPr="00503F5B">
              <w:rPr>
                <w:sz w:val="18"/>
                <w:szCs w:val="18"/>
                <w:lang w:val="en-AU"/>
              </w:rPr>
              <w:t>Reports or letters of advice with regards to explosives</w:t>
            </w:r>
          </w:p>
        </w:tc>
        <w:tc>
          <w:tcPr>
            <w:tcW w:w="2835" w:type="dxa"/>
            <w:noWrap/>
            <w:vAlign w:val="center"/>
          </w:tcPr>
          <w:p w14:paraId="1CC81D3F" w14:textId="150B5B4D" w:rsidR="00617D3A" w:rsidRPr="00503F5B" w:rsidRDefault="00643E35" w:rsidP="00643E35">
            <w:pPr>
              <w:rPr>
                <w:sz w:val="18"/>
                <w:szCs w:val="18"/>
                <w:lang w:val="en-AU"/>
              </w:rPr>
            </w:pPr>
            <w:r w:rsidRPr="00503F5B">
              <w:rPr>
                <w:sz w:val="18"/>
                <w:szCs w:val="18"/>
                <w:lang w:val="en-AU"/>
              </w:rPr>
              <w:t>Dangerous Goods (Explosives) Regulations 2011</w:t>
            </w:r>
          </w:p>
        </w:tc>
      </w:tr>
      <w:tr w:rsidR="00617D3A" w:rsidRPr="00503F5B" w14:paraId="2E51977F" w14:textId="77777777" w:rsidTr="009917B8">
        <w:trPr>
          <w:trHeight w:val="454"/>
        </w:trPr>
        <w:tc>
          <w:tcPr>
            <w:tcW w:w="5245" w:type="dxa"/>
            <w:vAlign w:val="center"/>
          </w:tcPr>
          <w:p w14:paraId="4FFD3772" w14:textId="1DFE220C" w:rsidR="00617D3A" w:rsidRPr="00503F5B" w:rsidRDefault="00617D3A" w:rsidP="00101EC8">
            <w:pPr>
              <w:pStyle w:val="ListParagraph"/>
              <w:numPr>
                <w:ilvl w:val="0"/>
                <w:numId w:val="26"/>
              </w:numPr>
              <w:ind w:left="321" w:hanging="321"/>
              <w:rPr>
                <w:sz w:val="18"/>
                <w:szCs w:val="18"/>
                <w:lang w:val="en-AU"/>
              </w:rPr>
            </w:pPr>
            <w:r w:rsidRPr="00503F5B">
              <w:rPr>
                <w:sz w:val="18"/>
                <w:szCs w:val="18"/>
                <w:lang w:val="en-AU"/>
              </w:rPr>
              <w:t>Reports or letters of advice with regards to major hazard facility</w:t>
            </w:r>
          </w:p>
        </w:tc>
        <w:tc>
          <w:tcPr>
            <w:tcW w:w="2835" w:type="dxa"/>
            <w:noWrap/>
            <w:vAlign w:val="center"/>
          </w:tcPr>
          <w:p w14:paraId="4044E6A8" w14:textId="7B504935" w:rsidR="00617D3A" w:rsidRPr="00503F5B" w:rsidRDefault="00643E35" w:rsidP="00643E35">
            <w:pPr>
              <w:rPr>
                <w:sz w:val="18"/>
                <w:szCs w:val="18"/>
                <w:lang w:val="en-AU"/>
              </w:rPr>
            </w:pPr>
            <w:r w:rsidRPr="00503F5B">
              <w:rPr>
                <w:sz w:val="18"/>
                <w:szCs w:val="18"/>
                <w:lang w:val="en-AU"/>
              </w:rPr>
              <w:t>Occupational Health and Safety Regulations 2017</w:t>
            </w:r>
          </w:p>
        </w:tc>
      </w:tr>
      <w:tr w:rsidR="00617D3A" w:rsidRPr="00503F5B" w14:paraId="5C4CFE74" w14:textId="77777777" w:rsidTr="009917B8">
        <w:trPr>
          <w:trHeight w:val="560"/>
        </w:trPr>
        <w:tc>
          <w:tcPr>
            <w:tcW w:w="5245" w:type="dxa"/>
            <w:vAlign w:val="center"/>
          </w:tcPr>
          <w:p w14:paraId="5FA92F67" w14:textId="1037F7E0" w:rsidR="00617D3A" w:rsidRPr="00503F5B" w:rsidRDefault="00617D3A" w:rsidP="00101EC8">
            <w:pPr>
              <w:pStyle w:val="ListParagraph"/>
              <w:numPr>
                <w:ilvl w:val="0"/>
                <w:numId w:val="26"/>
              </w:numPr>
              <w:ind w:left="321" w:hanging="321"/>
              <w:rPr>
                <w:sz w:val="18"/>
                <w:szCs w:val="18"/>
                <w:lang w:val="en-AU"/>
              </w:rPr>
            </w:pPr>
            <w:r w:rsidRPr="00503F5B">
              <w:rPr>
                <w:sz w:val="18"/>
                <w:szCs w:val="18"/>
                <w:lang w:val="en-AU"/>
              </w:rPr>
              <w:t>Reports in relation to an application for a building permit</w:t>
            </w:r>
          </w:p>
        </w:tc>
        <w:tc>
          <w:tcPr>
            <w:tcW w:w="2835" w:type="dxa"/>
            <w:noWrap/>
            <w:vAlign w:val="center"/>
          </w:tcPr>
          <w:p w14:paraId="52D1F912" w14:textId="11150106" w:rsidR="00617D3A" w:rsidRPr="00503F5B" w:rsidRDefault="00643E35" w:rsidP="00643E35">
            <w:pPr>
              <w:rPr>
                <w:sz w:val="20"/>
                <w:szCs w:val="20"/>
                <w:lang w:val="en-AU"/>
              </w:rPr>
            </w:pPr>
            <w:r w:rsidRPr="00503F5B">
              <w:rPr>
                <w:sz w:val="18"/>
                <w:szCs w:val="18"/>
                <w:lang w:val="en-AU"/>
              </w:rPr>
              <w:t>Reg.129, Building Regulations 2018</w:t>
            </w:r>
          </w:p>
        </w:tc>
      </w:tr>
      <w:tr w:rsidR="00617D3A" w:rsidRPr="00503F5B" w14:paraId="67034674" w14:textId="77777777" w:rsidTr="00AA5835">
        <w:trPr>
          <w:trHeight w:val="259"/>
        </w:trPr>
        <w:tc>
          <w:tcPr>
            <w:tcW w:w="5245" w:type="dxa"/>
            <w:vAlign w:val="center"/>
          </w:tcPr>
          <w:p w14:paraId="10CA9CF5" w14:textId="4E2D0326" w:rsidR="00617D3A" w:rsidRPr="00503F5B" w:rsidRDefault="00617D3A" w:rsidP="00101EC8">
            <w:pPr>
              <w:pStyle w:val="ListParagraph"/>
              <w:numPr>
                <w:ilvl w:val="0"/>
                <w:numId w:val="26"/>
              </w:numPr>
              <w:ind w:left="321" w:hanging="321"/>
              <w:rPr>
                <w:sz w:val="18"/>
                <w:szCs w:val="18"/>
                <w:lang w:val="en-AU"/>
              </w:rPr>
            </w:pPr>
            <w:r w:rsidRPr="00503F5B">
              <w:rPr>
                <w:sz w:val="18"/>
                <w:szCs w:val="18"/>
                <w:lang w:val="en-AU"/>
              </w:rPr>
              <w:t>Reports in relation to an application for an occupancy permit</w:t>
            </w:r>
          </w:p>
        </w:tc>
        <w:tc>
          <w:tcPr>
            <w:tcW w:w="2835" w:type="dxa"/>
            <w:noWrap/>
            <w:vAlign w:val="center"/>
          </w:tcPr>
          <w:p w14:paraId="68DFA67F" w14:textId="2BC45720" w:rsidR="00617D3A" w:rsidRPr="00503F5B" w:rsidRDefault="00643E35" w:rsidP="00643E35">
            <w:pPr>
              <w:rPr>
                <w:sz w:val="20"/>
                <w:szCs w:val="20"/>
                <w:lang w:val="en-AU"/>
              </w:rPr>
            </w:pPr>
            <w:r w:rsidRPr="00503F5B">
              <w:rPr>
                <w:sz w:val="18"/>
                <w:szCs w:val="18"/>
                <w:lang w:val="en-AU"/>
              </w:rPr>
              <w:t>Reg.187(1), Building Regulations 2018</w:t>
            </w:r>
          </w:p>
        </w:tc>
      </w:tr>
      <w:tr w:rsidR="00617D3A" w:rsidRPr="00503F5B" w14:paraId="004D5F76" w14:textId="77777777" w:rsidTr="00AA5835">
        <w:trPr>
          <w:trHeight w:val="827"/>
        </w:trPr>
        <w:tc>
          <w:tcPr>
            <w:tcW w:w="5245" w:type="dxa"/>
            <w:vAlign w:val="center"/>
          </w:tcPr>
          <w:p w14:paraId="03B2B4B3" w14:textId="2FDE9A2E" w:rsidR="00617D3A" w:rsidRPr="00503F5B" w:rsidRDefault="00617D3A" w:rsidP="00101EC8">
            <w:pPr>
              <w:pStyle w:val="ListParagraph"/>
              <w:numPr>
                <w:ilvl w:val="0"/>
                <w:numId w:val="26"/>
              </w:numPr>
              <w:ind w:left="321" w:hanging="321"/>
              <w:rPr>
                <w:sz w:val="18"/>
                <w:szCs w:val="18"/>
                <w:lang w:val="en-AU"/>
              </w:rPr>
            </w:pPr>
            <w:r w:rsidRPr="00503F5B">
              <w:rPr>
                <w:sz w:val="18"/>
                <w:szCs w:val="18"/>
                <w:lang w:val="en-AU"/>
              </w:rPr>
              <w:t>Letters of Advice (&amp; pre application review) with regards to general fire protection correspondence (includes pre application conceptual design review)</w:t>
            </w:r>
          </w:p>
        </w:tc>
        <w:tc>
          <w:tcPr>
            <w:tcW w:w="2835" w:type="dxa"/>
            <w:noWrap/>
            <w:vAlign w:val="center"/>
          </w:tcPr>
          <w:p w14:paraId="32F87280" w14:textId="65D3FBC7" w:rsidR="00617D3A" w:rsidRPr="00503F5B" w:rsidRDefault="00A96809" w:rsidP="00643E35">
            <w:pPr>
              <w:rPr>
                <w:sz w:val="18"/>
                <w:szCs w:val="18"/>
                <w:lang w:val="en-AU"/>
              </w:rPr>
            </w:pPr>
            <w:r w:rsidRPr="00503F5B">
              <w:rPr>
                <w:sz w:val="18"/>
                <w:szCs w:val="18"/>
                <w:lang w:val="en-AU"/>
              </w:rPr>
              <w:t>Ancillary function to Regulations 121(c) and 129, Building Regulations 2018</w:t>
            </w:r>
          </w:p>
        </w:tc>
      </w:tr>
      <w:tr w:rsidR="00184BCC" w:rsidRPr="00503F5B" w14:paraId="434E4235" w14:textId="77777777" w:rsidTr="00AA5835">
        <w:trPr>
          <w:trHeight w:val="712"/>
        </w:trPr>
        <w:tc>
          <w:tcPr>
            <w:tcW w:w="5245" w:type="dxa"/>
            <w:vAlign w:val="center"/>
          </w:tcPr>
          <w:p w14:paraId="3353E5DE" w14:textId="09CD943B" w:rsidR="00184BCC" w:rsidRPr="00503F5B" w:rsidRDefault="00184BCC" w:rsidP="00101EC8">
            <w:pPr>
              <w:pStyle w:val="ListParagraph"/>
              <w:numPr>
                <w:ilvl w:val="0"/>
                <w:numId w:val="26"/>
              </w:numPr>
              <w:ind w:left="321" w:hanging="321"/>
              <w:rPr>
                <w:sz w:val="18"/>
                <w:szCs w:val="18"/>
                <w:lang w:val="en-AU"/>
              </w:rPr>
            </w:pPr>
            <w:r w:rsidRPr="00503F5B">
              <w:rPr>
                <w:sz w:val="18"/>
                <w:szCs w:val="18"/>
                <w:lang w:val="en-AU"/>
              </w:rPr>
              <w:t>Inspections of buildings, fire protection systems and perimeter access roads</w:t>
            </w:r>
          </w:p>
        </w:tc>
        <w:tc>
          <w:tcPr>
            <w:tcW w:w="2835" w:type="dxa"/>
            <w:noWrap/>
            <w:vAlign w:val="center"/>
          </w:tcPr>
          <w:p w14:paraId="22C38EE9" w14:textId="0EC12BF6" w:rsidR="00184BCC" w:rsidRPr="00503F5B" w:rsidRDefault="00A96809" w:rsidP="00184BCC">
            <w:pPr>
              <w:rPr>
                <w:sz w:val="18"/>
                <w:szCs w:val="18"/>
                <w:lang w:val="en-AU"/>
              </w:rPr>
            </w:pPr>
            <w:r w:rsidRPr="00503F5B">
              <w:rPr>
                <w:sz w:val="18"/>
                <w:szCs w:val="18"/>
                <w:lang w:val="en-AU"/>
              </w:rPr>
              <w:t>S</w:t>
            </w:r>
            <w:r w:rsidR="00184BCC" w:rsidRPr="00503F5B">
              <w:rPr>
                <w:sz w:val="18"/>
                <w:szCs w:val="18"/>
                <w:lang w:val="en-AU"/>
              </w:rPr>
              <w:t xml:space="preserve">ection 227E </w:t>
            </w:r>
            <w:r w:rsidR="00184BCC" w:rsidRPr="00503F5B">
              <w:rPr>
                <w:i/>
                <w:iCs/>
                <w:sz w:val="18"/>
                <w:szCs w:val="18"/>
                <w:lang w:val="en-AU"/>
              </w:rPr>
              <w:t>Building Act 1993</w:t>
            </w:r>
            <w:r w:rsidR="00184BCC" w:rsidRPr="00503F5B">
              <w:rPr>
                <w:sz w:val="18"/>
                <w:szCs w:val="18"/>
                <w:lang w:val="en-AU"/>
              </w:rPr>
              <w:t>)</w:t>
            </w:r>
            <w:r w:rsidRPr="00503F5B">
              <w:rPr>
                <w:sz w:val="18"/>
                <w:szCs w:val="18"/>
                <w:lang w:val="en-AU"/>
              </w:rPr>
              <w:t xml:space="preserve"> and Reg</w:t>
            </w:r>
            <w:r w:rsidR="0001639D" w:rsidRPr="00503F5B">
              <w:rPr>
                <w:sz w:val="18"/>
                <w:szCs w:val="18"/>
                <w:lang w:val="en-AU"/>
              </w:rPr>
              <w:t>.</w:t>
            </w:r>
            <w:r w:rsidRPr="00503F5B">
              <w:rPr>
                <w:sz w:val="18"/>
                <w:szCs w:val="18"/>
                <w:lang w:val="en-AU"/>
              </w:rPr>
              <w:t>187(1), Building Regulations 2018</w:t>
            </w:r>
          </w:p>
        </w:tc>
      </w:tr>
      <w:tr w:rsidR="00184BCC" w:rsidRPr="00503F5B" w14:paraId="12341C1E" w14:textId="77777777" w:rsidTr="00AA5835">
        <w:trPr>
          <w:trHeight w:val="736"/>
        </w:trPr>
        <w:tc>
          <w:tcPr>
            <w:tcW w:w="5245" w:type="dxa"/>
            <w:vAlign w:val="center"/>
          </w:tcPr>
          <w:p w14:paraId="2C4EC29F" w14:textId="2EBC53C8" w:rsidR="00184BCC" w:rsidRPr="00503F5B" w:rsidRDefault="00184BCC" w:rsidP="00101EC8">
            <w:pPr>
              <w:pStyle w:val="ListParagraph"/>
              <w:numPr>
                <w:ilvl w:val="0"/>
                <w:numId w:val="26"/>
              </w:numPr>
              <w:ind w:left="321" w:hanging="321"/>
              <w:rPr>
                <w:sz w:val="18"/>
                <w:szCs w:val="18"/>
                <w:lang w:val="en-AU"/>
              </w:rPr>
            </w:pPr>
            <w:r w:rsidRPr="00503F5B">
              <w:rPr>
                <w:sz w:val="18"/>
                <w:szCs w:val="18"/>
                <w:lang w:val="en-AU"/>
              </w:rPr>
              <w:t>Building Appeals Board (BAB) referrals (Section 160 &amp; 160A advice to the BAB)</w:t>
            </w:r>
          </w:p>
        </w:tc>
        <w:tc>
          <w:tcPr>
            <w:tcW w:w="2835" w:type="dxa"/>
            <w:noWrap/>
            <w:vAlign w:val="center"/>
          </w:tcPr>
          <w:p w14:paraId="63A37E60" w14:textId="15CDE8EE" w:rsidR="00184BCC" w:rsidRPr="00503F5B" w:rsidRDefault="00A96809" w:rsidP="00184BCC">
            <w:pPr>
              <w:rPr>
                <w:sz w:val="18"/>
                <w:szCs w:val="18"/>
                <w:lang w:val="en-AU"/>
              </w:rPr>
            </w:pPr>
            <w:r w:rsidRPr="00503F5B">
              <w:rPr>
                <w:sz w:val="18"/>
                <w:szCs w:val="18"/>
                <w:lang w:val="en-AU"/>
              </w:rPr>
              <w:t>Building Act 1993, Part 10 -Division 4</w:t>
            </w:r>
          </w:p>
        </w:tc>
      </w:tr>
      <w:tr w:rsidR="00184BCC" w:rsidRPr="00503F5B" w14:paraId="184D75B6" w14:textId="77777777" w:rsidTr="00AA5835">
        <w:trPr>
          <w:trHeight w:val="562"/>
        </w:trPr>
        <w:tc>
          <w:tcPr>
            <w:tcW w:w="5245" w:type="dxa"/>
            <w:vAlign w:val="center"/>
          </w:tcPr>
          <w:p w14:paraId="74276C4F" w14:textId="09E6E9EA" w:rsidR="00184BCC" w:rsidRPr="00503F5B" w:rsidRDefault="00184BCC" w:rsidP="00101EC8">
            <w:pPr>
              <w:pStyle w:val="ListParagraph"/>
              <w:numPr>
                <w:ilvl w:val="0"/>
                <w:numId w:val="26"/>
              </w:numPr>
              <w:ind w:left="321" w:hanging="321"/>
              <w:rPr>
                <w:sz w:val="18"/>
                <w:szCs w:val="18"/>
                <w:lang w:val="en-AU"/>
              </w:rPr>
            </w:pPr>
            <w:r w:rsidRPr="00503F5B">
              <w:rPr>
                <w:sz w:val="18"/>
                <w:szCs w:val="18"/>
                <w:lang w:val="en-AU"/>
              </w:rPr>
              <w:t>Fire Engineering Brief referrals - IFEG 2005 Stakeholder Consultation</w:t>
            </w:r>
          </w:p>
        </w:tc>
        <w:tc>
          <w:tcPr>
            <w:tcW w:w="2835" w:type="dxa"/>
            <w:noWrap/>
            <w:vAlign w:val="center"/>
          </w:tcPr>
          <w:p w14:paraId="0B3F5931" w14:textId="2EA32497" w:rsidR="00184BCC" w:rsidRPr="00503F5B" w:rsidRDefault="00A96809" w:rsidP="00184BCC">
            <w:pPr>
              <w:rPr>
                <w:sz w:val="18"/>
                <w:szCs w:val="18"/>
                <w:lang w:val="en-AU"/>
              </w:rPr>
            </w:pPr>
            <w:r w:rsidRPr="00503F5B">
              <w:rPr>
                <w:sz w:val="18"/>
                <w:szCs w:val="18"/>
                <w:lang w:val="en-AU"/>
              </w:rPr>
              <w:t>Ancillary function to Regulation 121(c), Building Regulations 2018</w:t>
            </w:r>
          </w:p>
        </w:tc>
      </w:tr>
      <w:tr w:rsidR="00184BCC" w:rsidRPr="00503F5B" w14:paraId="11172E13" w14:textId="77777777" w:rsidTr="00AA5835">
        <w:trPr>
          <w:trHeight w:val="726"/>
        </w:trPr>
        <w:tc>
          <w:tcPr>
            <w:tcW w:w="5245" w:type="dxa"/>
            <w:vAlign w:val="center"/>
          </w:tcPr>
          <w:p w14:paraId="6EA98778" w14:textId="7AA869B5" w:rsidR="00184BCC" w:rsidRPr="00503F5B" w:rsidRDefault="00184BCC" w:rsidP="00101EC8">
            <w:pPr>
              <w:pStyle w:val="ListParagraph"/>
              <w:numPr>
                <w:ilvl w:val="0"/>
                <w:numId w:val="26"/>
              </w:numPr>
              <w:ind w:left="321" w:hanging="321"/>
              <w:rPr>
                <w:sz w:val="18"/>
                <w:szCs w:val="18"/>
                <w:lang w:val="en-AU"/>
              </w:rPr>
            </w:pPr>
            <w:r w:rsidRPr="00503F5B">
              <w:rPr>
                <w:sz w:val="18"/>
                <w:szCs w:val="18"/>
                <w:lang w:val="en-AU"/>
              </w:rPr>
              <w:t xml:space="preserve">Fire Engineering Report referral and review </w:t>
            </w:r>
          </w:p>
        </w:tc>
        <w:tc>
          <w:tcPr>
            <w:tcW w:w="2835" w:type="dxa"/>
            <w:noWrap/>
            <w:vAlign w:val="center"/>
          </w:tcPr>
          <w:p w14:paraId="0734D68A" w14:textId="3D930C2A" w:rsidR="00184BCC" w:rsidRPr="00503F5B" w:rsidRDefault="00184BCC" w:rsidP="00184BCC">
            <w:pPr>
              <w:rPr>
                <w:sz w:val="18"/>
                <w:szCs w:val="18"/>
                <w:lang w:val="en-AU"/>
              </w:rPr>
            </w:pPr>
            <w:r w:rsidRPr="00503F5B">
              <w:rPr>
                <w:sz w:val="18"/>
                <w:szCs w:val="18"/>
                <w:lang w:val="en-AU"/>
              </w:rPr>
              <w:t>Ancillary function of Reg.129, Building Regulations 2018</w:t>
            </w:r>
          </w:p>
        </w:tc>
      </w:tr>
      <w:tr w:rsidR="00184BCC" w:rsidRPr="00503F5B" w14:paraId="581B395E" w14:textId="77777777" w:rsidTr="00C152DA">
        <w:trPr>
          <w:trHeight w:val="2025"/>
        </w:trPr>
        <w:tc>
          <w:tcPr>
            <w:tcW w:w="5245" w:type="dxa"/>
            <w:vAlign w:val="center"/>
          </w:tcPr>
          <w:p w14:paraId="414F3C62" w14:textId="29EC2B55" w:rsidR="00184BCC" w:rsidRPr="00503F5B" w:rsidRDefault="00184BCC" w:rsidP="00101EC8">
            <w:pPr>
              <w:pStyle w:val="ListParagraph"/>
              <w:numPr>
                <w:ilvl w:val="0"/>
                <w:numId w:val="26"/>
              </w:numPr>
              <w:ind w:left="321" w:hanging="321"/>
              <w:rPr>
                <w:sz w:val="18"/>
                <w:szCs w:val="18"/>
                <w:lang w:val="en-AU"/>
              </w:rPr>
            </w:pPr>
            <w:r w:rsidRPr="00503F5B">
              <w:rPr>
                <w:sz w:val="18"/>
                <w:szCs w:val="18"/>
                <w:lang w:val="en-AU"/>
              </w:rPr>
              <w:t>Inspections of buildings, MHFs, fire protection infrastructure and perimeter access roads</w:t>
            </w:r>
          </w:p>
        </w:tc>
        <w:tc>
          <w:tcPr>
            <w:tcW w:w="2835" w:type="dxa"/>
            <w:noWrap/>
            <w:vAlign w:val="center"/>
          </w:tcPr>
          <w:p w14:paraId="42AF3F46" w14:textId="4A918673" w:rsidR="00184BCC" w:rsidRPr="00503F5B" w:rsidRDefault="00FE137D" w:rsidP="00184BCC">
            <w:pPr>
              <w:rPr>
                <w:sz w:val="18"/>
                <w:szCs w:val="18"/>
                <w:lang w:val="en-AU"/>
              </w:rPr>
            </w:pPr>
            <w:r w:rsidRPr="00503F5B">
              <w:rPr>
                <w:sz w:val="18"/>
                <w:szCs w:val="18"/>
                <w:lang w:val="en-AU"/>
              </w:rPr>
              <w:t xml:space="preserve">Reg.49, Dangerous Goods (Storage &amp; Handling Regulations) 2012, Dangerous Goods (Explosives) Regulations 2011, Occupational Health and Safety Regulations 2017 and Section 227E </w:t>
            </w:r>
            <w:r w:rsidRPr="00503F5B">
              <w:rPr>
                <w:i/>
                <w:iCs/>
                <w:sz w:val="18"/>
                <w:szCs w:val="18"/>
                <w:lang w:val="en-AU"/>
              </w:rPr>
              <w:t>Building Act 1993</w:t>
            </w:r>
            <w:r w:rsidRPr="00503F5B">
              <w:rPr>
                <w:sz w:val="18"/>
                <w:szCs w:val="18"/>
                <w:lang w:val="en-AU"/>
              </w:rPr>
              <w:t>) and Reg</w:t>
            </w:r>
            <w:r w:rsidR="0001639D" w:rsidRPr="00503F5B">
              <w:rPr>
                <w:sz w:val="18"/>
                <w:szCs w:val="18"/>
                <w:lang w:val="en-AU"/>
              </w:rPr>
              <w:t>.</w:t>
            </w:r>
            <w:r w:rsidRPr="00503F5B">
              <w:rPr>
                <w:sz w:val="18"/>
                <w:szCs w:val="18"/>
                <w:lang w:val="en-AU"/>
              </w:rPr>
              <w:t>187(1), Building Regulations 2018</w:t>
            </w:r>
          </w:p>
        </w:tc>
      </w:tr>
      <w:tr w:rsidR="00184BCC" w:rsidRPr="00503F5B" w14:paraId="28767015" w14:textId="77777777" w:rsidTr="00AA5835">
        <w:trPr>
          <w:trHeight w:val="554"/>
        </w:trPr>
        <w:tc>
          <w:tcPr>
            <w:tcW w:w="5245" w:type="dxa"/>
            <w:tcBorders>
              <w:bottom w:val="single" w:sz="4" w:space="0" w:color="ED7C5D"/>
            </w:tcBorders>
            <w:vAlign w:val="center"/>
          </w:tcPr>
          <w:p w14:paraId="2774BC4B" w14:textId="644728FA" w:rsidR="00184BCC" w:rsidRPr="00503F5B" w:rsidRDefault="00184BCC" w:rsidP="00101EC8">
            <w:pPr>
              <w:pStyle w:val="ListParagraph"/>
              <w:numPr>
                <w:ilvl w:val="0"/>
                <w:numId w:val="26"/>
              </w:numPr>
              <w:ind w:left="321" w:hanging="321"/>
              <w:rPr>
                <w:b/>
                <w:sz w:val="18"/>
                <w:szCs w:val="18"/>
                <w:lang w:val="en-AU"/>
              </w:rPr>
            </w:pPr>
            <w:r w:rsidRPr="00503F5B">
              <w:rPr>
                <w:sz w:val="18"/>
                <w:szCs w:val="18"/>
                <w:lang w:val="en-AU"/>
              </w:rPr>
              <w:t>Place of Public Entertainment inspection (Joint inspection request by municipality issuing Occupancy Permit)</w:t>
            </w:r>
          </w:p>
        </w:tc>
        <w:tc>
          <w:tcPr>
            <w:tcW w:w="2835" w:type="dxa"/>
            <w:tcBorders>
              <w:bottom w:val="single" w:sz="4" w:space="0" w:color="ED7C5D"/>
            </w:tcBorders>
            <w:noWrap/>
            <w:vAlign w:val="center"/>
          </w:tcPr>
          <w:p w14:paraId="16968B9B" w14:textId="7C563F5D" w:rsidR="00184BCC" w:rsidRPr="00503F5B" w:rsidRDefault="00A96809" w:rsidP="00184BCC">
            <w:pPr>
              <w:rPr>
                <w:b/>
                <w:i/>
                <w:sz w:val="18"/>
                <w:szCs w:val="18"/>
                <w:lang w:val="en-AU"/>
              </w:rPr>
            </w:pPr>
            <w:r w:rsidRPr="00503F5B">
              <w:rPr>
                <w:sz w:val="18"/>
                <w:szCs w:val="18"/>
                <w:lang w:val="en-AU"/>
              </w:rPr>
              <w:t xml:space="preserve">Section 227E </w:t>
            </w:r>
            <w:r w:rsidRPr="00503F5B">
              <w:rPr>
                <w:i/>
                <w:iCs/>
                <w:sz w:val="18"/>
                <w:szCs w:val="18"/>
                <w:lang w:val="en-AU"/>
              </w:rPr>
              <w:t>Building Act 1993</w:t>
            </w:r>
            <w:r w:rsidRPr="00503F5B">
              <w:rPr>
                <w:sz w:val="18"/>
                <w:szCs w:val="18"/>
                <w:lang w:val="en-AU"/>
              </w:rPr>
              <w:t>) and Regulation 187(1), Building Regulations 2018</w:t>
            </w:r>
          </w:p>
        </w:tc>
      </w:tr>
    </w:tbl>
    <w:p w14:paraId="001251C5" w14:textId="59D79602" w:rsidR="00617D3A" w:rsidRPr="00503F5B" w:rsidRDefault="00617D3A" w:rsidP="008338C1">
      <w:pPr>
        <w:jc w:val="both"/>
      </w:pPr>
    </w:p>
    <w:p w14:paraId="62A2369C" w14:textId="298FA45D" w:rsidR="008338C1" w:rsidRPr="00503F5B" w:rsidRDefault="008338C1" w:rsidP="008338C1">
      <w:pPr>
        <w:jc w:val="both"/>
      </w:pPr>
      <w:r w:rsidRPr="00503F5B">
        <w:t xml:space="preserve">Details of work provided under section 227E under the </w:t>
      </w:r>
      <w:r w:rsidRPr="00503F5B">
        <w:rPr>
          <w:i/>
          <w:iCs/>
        </w:rPr>
        <w:t>Building Act 1993</w:t>
      </w:r>
      <w:r w:rsidRPr="00503F5B">
        <w:t xml:space="preserve"> include:</w:t>
      </w:r>
    </w:p>
    <w:p w14:paraId="0415F91C" w14:textId="77777777" w:rsidR="008338C1" w:rsidRPr="00503F5B" w:rsidRDefault="008338C1" w:rsidP="008338C1">
      <w:pPr>
        <w:jc w:val="both"/>
      </w:pPr>
    </w:p>
    <w:p w14:paraId="5A025301" w14:textId="77777777" w:rsidR="008338C1" w:rsidRPr="00503F5B" w:rsidRDefault="008338C1" w:rsidP="00101EC8">
      <w:pPr>
        <w:pStyle w:val="ListParagraph"/>
        <w:numPr>
          <w:ilvl w:val="0"/>
          <w:numId w:val="25"/>
        </w:numPr>
        <w:jc w:val="both"/>
        <w:rPr>
          <w:sz w:val="20"/>
          <w:szCs w:val="20"/>
        </w:rPr>
      </w:pPr>
      <w:r w:rsidRPr="00503F5B">
        <w:rPr>
          <w:sz w:val="20"/>
          <w:szCs w:val="20"/>
        </w:rPr>
        <w:t>the inspection of any safety or emergency installations, equipment or services in a building or place of public entertainment to determine whether they are performing and being maintained in accordance with the building regulations or any relevant occupancy permit (including any records or reports relating to their operation and maintenance); and</w:t>
      </w:r>
    </w:p>
    <w:p w14:paraId="2637312B" w14:textId="77777777" w:rsidR="008338C1" w:rsidRPr="00503F5B" w:rsidRDefault="008338C1" w:rsidP="008338C1">
      <w:pPr>
        <w:jc w:val="both"/>
        <w:rPr>
          <w:sz w:val="9"/>
          <w:szCs w:val="20"/>
        </w:rPr>
      </w:pPr>
      <w:r w:rsidRPr="00503F5B">
        <w:rPr>
          <w:sz w:val="20"/>
          <w:szCs w:val="20"/>
        </w:rPr>
        <w:t xml:space="preserve">  </w:t>
      </w:r>
    </w:p>
    <w:p w14:paraId="2E66165D" w14:textId="77777777" w:rsidR="008338C1" w:rsidRPr="00503F5B" w:rsidRDefault="008338C1" w:rsidP="00101EC8">
      <w:pPr>
        <w:pStyle w:val="ListParagraph"/>
        <w:numPr>
          <w:ilvl w:val="0"/>
          <w:numId w:val="25"/>
        </w:numPr>
        <w:jc w:val="both"/>
        <w:rPr>
          <w:sz w:val="20"/>
          <w:szCs w:val="20"/>
        </w:rPr>
      </w:pPr>
      <w:r w:rsidRPr="00503F5B">
        <w:rPr>
          <w:sz w:val="20"/>
          <w:szCs w:val="20"/>
        </w:rPr>
        <w:t>the provision by the Chief Officer with a report of the inspection to the municipal building surveyor within 5 business days of that inspection.</w:t>
      </w:r>
    </w:p>
    <w:p w14:paraId="6342A7F5" w14:textId="0F3252ED" w:rsidR="008338C1" w:rsidRPr="00503F5B" w:rsidRDefault="008338C1" w:rsidP="008338C1">
      <w:pPr>
        <w:jc w:val="both"/>
      </w:pPr>
    </w:p>
    <w:p w14:paraId="630F090D" w14:textId="5D2D4596" w:rsidR="00AA5835" w:rsidRPr="00503F5B" w:rsidRDefault="00AA5835" w:rsidP="00AA5835">
      <w:pPr>
        <w:jc w:val="both"/>
      </w:pPr>
      <w:r w:rsidRPr="00503F5B">
        <w:t>The total costs for these activities per annum is summarised in Table 11 (See Table A</w:t>
      </w:r>
      <w:r w:rsidR="00384F25" w:rsidRPr="00503F5B">
        <w:t>5.1</w:t>
      </w:r>
      <w:r w:rsidRPr="00503F5B">
        <w:t xml:space="preserve"> of Appendix </w:t>
      </w:r>
      <w:r w:rsidR="00AC30BF" w:rsidRPr="00503F5B">
        <w:t>5</w:t>
      </w:r>
      <w:r w:rsidRPr="00503F5B">
        <w:t xml:space="preserve"> for source of estimates) and estimated to be </w:t>
      </w:r>
      <w:r w:rsidR="00384F25" w:rsidRPr="00503F5B">
        <w:t xml:space="preserve">around </w:t>
      </w:r>
      <w:r w:rsidRPr="00503F5B">
        <w:rPr>
          <w:b/>
          <w:i/>
        </w:rPr>
        <w:t>$</w:t>
      </w:r>
      <w:r w:rsidR="00384F25" w:rsidRPr="00503F5B">
        <w:rPr>
          <w:b/>
          <w:i/>
        </w:rPr>
        <w:t>1.61</w:t>
      </w:r>
      <w:r w:rsidRPr="00503F5B">
        <w:rPr>
          <w:b/>
          <w:i/>
        </w:rPr>
        <w:t xml:space="preserve"> million</w:t>
      </w:r>
      <w:r w:rsidR="00384F25" w:rsidRPr="00503F5B">
        <w:t xml:space="preserve"> per annum.</w:t>
      </w:r>
    </w:p>
    <w:p w14:paraId="57962605" w14:textId="363D83D4" w:rsidR="00384F25" w:rsidRPr="00503F5B" w:rsidRDefault="00384F25" w:rsidP="001D51D6">
      <w:pPr>
        <w:jc w:val="both"/>
      </w:pPr>
    </w:p>
    <w:p w14:paraId="21027523" w14:textId="298E084B" w:rsidR="00384F25" w:rsidRPr="00503F5B" w:rsidRDefault="00384F25" w:rsidP="00384F25">
      <w:pPr>
        <w:jc w:val="center"/>
        <w:rPr>
          <w:b/>
          <w:bCs/>
          <w:sz w:val="20"/>
          <w:szCs w:val="20"/>
        </w:rPr>
      </w:pPr>
      <w:r w:rsidRPr="00503F5B">
        <w:rPr>
          <w:b/>
          <w:bCs/>
          <w:sz w:val="20"/>
          <w:szCs w:val="20"/>
        </w:rPr>
        <w:t>Table 11:  Summary of fire protection service costs</w:t>
      </w:r>
      <w:r w:rsidR="00607A91">
        <w:rPr>
          <w:rStyle w:val="FootnoteReference"/>
          <w:b/>
          <w:bCs/>
          <w:sz w:val="20"/>
          <w:szCs w:val="20"/>
        </w:rPr>
        <w:footnoteReference w:id="64"/>
      </w:r>
    </w:p>
    <w:p w14:paraId="70F73913" w14:textId="57557EAB" w:rsidR="00384F25" w:rsidRPr="00503F5B" w:rsidRDefault="00384F25" w:rsidP="001D51D6">
      <w:pPr>
        <w:jc w:val="both"/>
      </w:pPr>
    </w:p>
    <w:tbl>
      <w:tblPr>
        <w:tblW w:w="7997" w:type="dxa"/>
        <w:tblLook w:val="04A0" w:firstRow="1" w:lastRow="0" w:firstColumn="1" w:lastColumn="0" w:noHBand="0" w:noVBand="1"/>
      </w:tblPr>
      <w:tblGrid>
        <w:gridCol w:w="6521"/>
        <w:gridCol w:w="1476"/>
      </w:tblGrid>
      <w:tr w:rsidR="00790DB6" w:rsidRPr="00503F5B" w14:paraId="66496AE2" w14:textId="77777777" w:rsidTr="009917B8">
        <w:trPr>
          <w:trHeight w:val="315"/>
        </w:trPr>
        <w:tc>
          <w:tcPr>
            <w:tcW w:w="6521" w:type="dxa"/>
            <w:tcBorders>
              <w:top w:val="single" w:sz="4" w:space="0" w:color="C00000"/>
              <w:left w:val="nil"/>
              <w:bottom w:val="double" w:sz="6" w:space="0" w:color="C00000"/>
              <w:right w:val="nil"/>
            </w:tcBorders>
            <w:shd w:val="clear" w:color="auto" w:fill="auto"/>
            <w:vAlign w:val="center"/>
            <w:hideMark/>
          </w:tcPr>
          <w:p w14:paraId="41B54CC5" w14:textId="77777777" w:rsidR="00790DB6" w:rsidRPr="00503F5B" w:rsidRDefault="00790DB6" w:rsidP="00790DB6">
            <w:pPr>
              <w:rPr>
                <w:rFonts w:eastAsia="Times New Roman" w:cs="Calibri"/>
                <w:b/>
                <w:bCs/>
                <w:color w:val="C00000"/>
                <w:sz w:val="20"/>
                <w:szCs w:val="20"/>
                <w:lang w:eastAsia="en-AU"/>
              </w:rPr>
            </w:pPr>
            <w:r w:rsidRPr="00503F5B">
              <w:rPr>
                <w:rFonts w:eastAsia="Times New Roman" w:cs="Calibri"/>
                <w:b/>
                <w:bCs/>
                <w:color w:val="C00000"/>
                <w:sz w:val="20"/>
                <w:szCs w:val="20"/>
                <w:lang w:eastAsia="en-AU"/>
              </w:rPr>
              <w:t>Area/Function</w:t>
            </w:r>
          </w:p>
        </w:tc>
        <w:tc>
          <w:tcPr>
            <w:tcW w:w="1476" w:type="dxa"/>
            <w:tcBorders>
              <w:top w:val="single" w:sz="4" w:space="0" w:color="C00000"/>
              <w:left w:val="nil"/>
              <w:bottom w:val="double" w:sz="6" w:space="0" w:color="C00000"/>
              <w:right w:val="nil"/>
            </w:tcBorders>
            <w:shd w:val="clear" w:color="000000" w:fill="FFFFFF"/>
            <w:noWrap/>
            <w:vAlign w:val="center"/>
            <w:hideMark/>
          </w:tcPr>
          <w:p w14:paraId="634EEF91" w14:textId="77777777" w:rsidR="00790DB6" w:rsidRPr="00503F5B" w:rsidRDefault="00790DB6" w:rsidP="00790DB6">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Annual cost</w:t>
            </w:r>
          </w:p>
        </w:tc>
      </w:tr>
      <w:tr w:rsidR="00790DB6" w:rsidRPr="00503F5B" w14:paraId="44B17A4E" w14:textId="77777777" w:rsidTr="009917B8">
        <w:trPr>
          <w:trHeight w:val="35"/>
        </w:trPr>
        <w:tc>
          <w:tcPr>
            <w:tcW w:w="6521" w:type="dxa"/>
            <w:tcBorders>
              <w:top w:val="nil"/>
              <w:left w:val="nil"/>
              <w:bottom w:val="single" w:sz="4" w:space="0" w:color="C00000"/>
              <w:right w:val="nil"/>
            </w:tcBorders>
            <w:shd w:val="clear" w:color="000000" w:fill="FDE9D9"/>
            <w:vAlign w:val="bottom"/>
            <w:hideMark/>
          </w:tcPr>
          <w:p w14:paraId="29965ECF" w14:textId="77777777" w:rsidR="00790DB6" w:rsidRPr="00503F5B" w:rsidRDefault="00790DB6" w:rsidP="00790DB6">
            <w:pPr>
              <w:rPr>
                <w:rFonts w:eastAsia="Times New Roman" w:cs="Calibri"/>
                <w:b/>
                <w:bCs/>
                <w:sz w:val="20"/>
                <w:szCs w:val="20"/>
                <w:lang w:eastAsia="en-AU"/>
              </w:rPr>
            </w:pPr>
            <w:r w:rsidRPr="00503F5B">
              <w:rPr>
                <w:rFonts w:eastAsia="Times New Roman" w:cs="Calibri"/>
                <w:b/>
                <w:bCs/>
                <w:sz w:val="20"/>
                <w:szCs w:val="20"/>
                <w:lang w:eastAsia="en-AU"/>
              </w:rPr>
              <w:t>Community Safety Technical Department</w:t>
            </w:r>
          </w:p>
        </w:tc>
        <w:tc>
          <w:tcPr>
            <w:tcW w:w="1476" w:type="dxa"/>
            <w:tcBorders>
              <w:top w:val="nil"/>
              <w:left w:val="nil"/>
              <w:bottom w:val="single" w:sz="4" w:space="0" w:color="C00000"/>
              <w:right w:val="nil"/>
            </w:tcBorders>
            <w:shd w:val="clear" w:color="000000" w:fill="FDE9D9"/>
            <w:noWrap/>
            <w:vAlign w:val="bottom"/>
            <w:hideMark/>
          </w:tcPr>
          <w:p w14:paraId="08BFE499" w14:textId="77777777" w:rsidR="00790DB6" w:rsidRPr="00503F5B" w:rsidRDefault="00790DB6" w:rsidP="00790DB6">
            <w:pPr>
              <w:jc w:val="center"/>
              <w:rPr>
                <w:rFonts w:eastAsia="Times New Roman" w:cs="Calibri"/>
                <w:b/>
                <w:bCs/>
                <w:sz w:val="20"/>
                <w:szCs w:val="20"/>
                <w:lang w:eastAsia="en-AU"/>
              </w:rPr>
            </w:pPr>
            <w:r w:rsidRPr="00503F5B">
              <w:rPr>
                <w:rFonts w:eastAsia="Times New Roman" w:cs="Calibri"/>
                <w:b/>
                <w:bCs/>
                <w:sz w:val="20"/>
                <w:szCs w:val="20"/>
                <w:lang w:eastAsia="en-AU"/>
              </w:rPr>
              <w:t> </w:t>
            </w:r>
          </w:p>
        </w:tc>
      </w:tr>
      <w:tr w:rsidR="00790DB6" w:rsidRPr="00503F5B" w14:paraId="67532B16" w14:textId="77777777" w:rsidTr="009917B8">
        <w:trPr>
          <w:trHeight w:val="300"/>
        </w:trPr>
        <w:tc>
          <w:tcPr>
            <w:tcW w:w="6521" w:type="dxa"/>
            <w:tcBorders>
              <w:top w:val="nil"/>
              <w:left w:val="nil"/>
              <w:bottom w:val="nil"/>
              <w:right w:val="nil"/>
            </w:tcBorders>
            <w:shd w:val="clear" w:color="000000" w:fill="FFFFFF"/>
            <w:vAlign w:val="bottom"/>
            <w:hideMark/>
          </w:tcPr>
          <w:p w14:paraId="67ADC911" w14:textId="77777777" w:rsidR="00790DB6" w:rsidRPr="00503F5B" w:rsidRDefault="00790DB6" w:rsidP="00790DB6">
            <w:pPr>
              <w:rPr>
                <w:rFonts w:eastAsia="Times New Roman" w:cs="Calibri"/>
                <w:sz w:val="20"/>
                <w:szCs w:val="20"/>
                <w:lang w:eastAsia="en-AU"/>
              </w:rPr>
            </w:pPr>
            <w:r w:rsidRPr="00503F5B">
              <w:rPr>
                <w:rFonts w:eastAsia="Times New Roman" w:cs="Calibri"/>
                <w:sz w:val="20"/>
                <w:szCs w:val="20"/>
                <w:lang w:eastAsia="en-AU"/>
              </w:rPr>
              <w:t>Fire Engineering Briefs (IFEG 2005 Stakeholder Consultation)</w:t>
            </w:r>
          </w:p>
        </w:tc>
        <w:tc>
          <w:tcPr>
            <w:tcW w:w="1476" w:type="dxa"/>
            <w:tcBorders>
              <w:top w:val="nil"/>
              <w:left w:val="nil"/>
              <w:bottom w:val="nil"/>
              <w:right w:val="nil"/>
            </w:tcBorders>
            <w:shd w:val="clear" w:color="000000" w:fill="FFFFFF"/>
            <w:noWrap/>
            <w:vAlign w:val="bottom"/>
            <w:hideMark/>
          </w:tcPr>
          <w:p w14:paraId="11077D00" w14:textId="77777777" w:rsidR="00790DB6" w:rsidRPr="00503F5B" w:rsidRDefault="00790DB6" w:rsidP="00790DB6">
            <w:pPr>
              <w:jc w:val="right"/>
              <w:rPr>
                <w:rFonts w:eastAsia="Times New Roman" w:cs="Calibri"/>
                <w:b/>
                <w:bCs/>
                <w:sz w:val="20"/>
                <w:szCs w:val="20"/>
                <w:lang w:eastAsia="en-AU"/>
              </w:rPr>
            </w:pPr>
            <w:r w:rsidRPr="00503F5B">
              <w:rPr>
                <w:rFonts w:eastAsia="Times New Roman" w:cs="Calibri"/>
                <w:b/>
                <w:bCs/>
                <w:sz w:val="20"/>
                <w:szCs w:val="20"/>
                <w:lang w:eastAsia="en-AU"/>
              </w:rPr>
              <w:t>$368,385</w:t>
            </w:r>
          </w:p>
        </w:tc>
      </w:tr>
      <w:tr w:rsidR="00790DB6" w:rsidRPr="00503F5B" w14:paraId="7CBB3185" w14:textId="77777777" w:rsidTr="009917B8">
        <w:trPr>
          <w:trHeight w:val="300"/>
        </w:trPr>
        <w:tc>
          <w:tcPr>
            <w:tcW w:w="6521" w:type="dxa"/>
            <w:tcBorders>
              <w:top w:val="nil"/>
              <w:left w:val="nil"/>
              <w:bottom w:val="nil"/>
              <w:right w:val="nil"/>
            </w:tcBorders>
            <w:shd w:val="clear" w:color="000000" w:fill="FFFFFF"/>
            <w:vAlign w:val="bottom"/>
            <w:hideMark/>
          </w:tcPr>
          <w:p w14:paraId="7CA8CCC5" w14:textId="77777777" w:rsidR="00790DB6" w:rsidRPr="00503F5B" w:rsidRDefault="00790DB6" w:rsidP="00790DB6">
            <w:pPr>
              <w:rPr>
                <w:rFonts w:eastAsia="Times New Roman" w:cs="Calibri"/>
                <w:sz w:val="20"/>
                <w:szCs w:val="20"/>
                <w:lang w:eastAsia="en-AU"/>
              </w:rPr>
            </w:pPr>
            <w:r w:rsidRPr="00503F5B">
              <w:rPr>
                <w:rFonts w:eastAsia="Times New Roman" w:cs="Calibri"/>
                <w:sz w:val="20"/>
                <w:szCs w:val="20"/>
                <w:lang w:eastAsia="en-AU"/>
              </w:rPr>
              <w:t>Fire Engineering Reports/DG Risk Assessment Reports</w:t>
            </w:r>
          </w:p>
        </w:tc>
        <w:tc>
          <w:tcPr>
            <w:tcW w:w="1476" w:type="dxa"/>
            <w:tcBorders>
              <w:top w:val="nil"/>
              <w:left w:val="nil"/>
              <w:bottom w:val="nil"/>
              <w:right w:val="nil"/>
            </w:tcBorders>
            <w:shd w:val="clear" w:color="000000" w:fill="FFFFFF"/>
            <w:noWrap/>
            <w:vAlign w:val="bottom"/>
            <w:hideMark/>
          </w:tcPr>
          <w:p w14:paraId="72C4A357" w14:textId="77777777" w:rsidR="00790DB6" w:rsidRPr="00503F5B" w:rsidRDefault="00790DB6" w:rsidP="00790DB6">
            <w:pPr>
              <w:jc w:val="right"/>
              <w:rPr>
                <w:rFonts w:eastAsia="Times New Roman" w:cs="Calibri"/>
                <w:b/>
                <w:bCs/>
                <w:sz w:val="20"/>
                <w:szCs w:val="20"/>
                <w:lang w:eastAsia="en-AU"/>
              </w:rPr>
            </w:pPr>
            <w:r w:rsidRPr="00503F5B">
              <w:rPr>
                <w:rFonts w:eastAsia="Times New Roman" w:cs="Calibri"/>
                <w:b/>
                <w:bCs/>
                <w:sz w:val="20"/>
                <w:szCs w:val="20"/>
                <w:lang w:eastAsia="en-AU"/>
              </w:rPr>
              <w:t>$170,318</w:t>
            </w:r>
          </w:p>
        </w:tc>
      </w:tr>
      <w:tr w:rsidR="00790DB6" w:rsidRPr="00503F5B" w14:paraId="7C8D9809" w14:textId="77777777" w:rsidTr="009917B8">
        <w:trPr>
          <w:trHeight w:val="300"/>
        </w:trPr>
        <w:tc>
          <w:tcPr>
            <w:tcW w:w="6521" w:type="dxa"/>
            <w:tcBorders>
              <w:top w:val="nil"/>
              <w:left w:val="nil"/>
              <w:bottom w:val="nil"/>
              <w:right w:val="nil"/>
            </w:tcBorders>
            <w:shd w:val="clear" w:color="000000" w:fill="FFFFFF"/>
            <w:vAlign w:val="bottom"/>
            <w:hideMark/>
          </w:tcPr>
          <w:p w14:paraId="3467B154" w14:textId="77777777" w:rsidR="00790DB6" w:rsidRPr="00503F5B" w:rsidRDefault="00790DB6" w:rsidP="00790DB6">
            <w:pPr>
              <w:rPr>
                <w:rFonts w:eastAsia="Times New Roman" w:cs="Calibri"/>
                <w:sz w:val="20"/>
                <w:szCs w:val="20"/>
                <w:lang w:eastAsia="en-AU"/>
              </w:rPr>
            </w:pPr>
            <w:r w:rsidRPr="00503F5B">
              <w:rPr>
                <w:rFonts w:eastAsia="Times New Roman" w:cs="Calibri"/>
                <w:sz w:val="20"/>
                <w:szCs w:val="20"/>
                <w:lang w:eastAsia="en-AU"/>
              </w:rPr>
              <w:t>Inspections – Building or DG sites</w:t>
            </w:r>
          </w:p>
        </w:tc>
        <w:tc>
          <w:tcPr>
            <w:tcW w:w="1476" w:type="dxa"/>
            <w:tcBorders>
              <w:top w:val="nil"/>
              <w:left w:val="nil"/>
              <w:bottom w:val="nil"/>
              <w:right w:val="nil"/>
            </w:tcBorders>
            <w:shd w:val="clear" w:color="000000" w:fill="FFFFFF"/>
            <w:noWrap/>
            <w:vAlign w:val="center"/>
            <w:hideMark/>
          </w:tcPr>
          <w:p w14:paraId="090AC0A8" w14:textId="77777777" w:rsidR="00790DB6" w:rsidRPr="00503F5B" w:rsidRDefault="00790DB6" w:rsidP="00790DB6">
            <w:pPr>
              <w:jc w:val="right"/>
              <w:rPr>
                <w:rFonts w:eastAsia="Times New Roman" w:cs="Calibri"/>
                <w:b/>
                <w:bCs/>
                <w:sz w:val="20"/>
                <w:szCs w:val="20"/>
                <w:lang w:eastAsia="en-AU"/>
              </w:rPr>
            </w:pPr>
            <w:r w:rsidRPr="00503F5B">
              <w:rPr>
                <w:rFonts w:eastAsia="Times New Roman" w:cs="Calibri"/>
                <w:b/>
                <w:bCs/>
                <w:sz w:val="20"/>
                <w:szCs w:val="20"/>
                <w:lang w:eastAsia="en-AU"/>
              </w:rPr>
              <w:t>$14,306</w:t>
            </w:r>
          </w:p>
        </w:tc>
      </w:tr>
      <w:tr w:rsidR="00790DB6" w:rsidRPr="00503F5B" w14:paraId="58D06719" w14:textId="77777777" w:rsidTr="009917B8">
        <w:trPr>
          <w:trHeight w:val="300"/>
        </w:trPr>
        <w:tc>
          <w:tcPr>
            <w:tcW w:w="6521" w:type="dxa"/>
            <w:tcBorders>
              <w:top w:val="nil"/>
              <w:left w:val="nil"/>
              <w:bottom w:val="nil"/>
              <w:right w:val="nil"/>
            </w:tcBorders>
            <w:shd w:val="clear" w:color="000000" w:fill="FFFFFF"/>
            <w:vAlign w:val="bottom"/>
            <w:hideMark/>
          </w:tcPr>
          <w:p w14:paraId="5F0E9B83" w14:textId="77777777" w:rsidR="00790DB6" w:rsidRPr="00503F5B" w:rsidRDefault="00790DB6" w:rsidP="00790DB6">
            <w:pPr>
              <w:rPr>
                <w:rFonts w:eastAsia="Times New Roman" w:cs="Calibri"/>
                <w:sz w:val="20"/>
                <w:szCs w:val="20"/>
                <w:lang w:eastAsia="en-AU"/>
              </w:rPr>
            </w:pPr>
            <w:r w:rsidRPr="00503F5B">
              <w:rPr>
                <w:rFonts w:eastAsia="Times New Roman" w:cs="Calibri"/>
                <w:sz w:val="20"/>
                <w:szCs w:val="20"/>
                <w:lang w:eastAsia="en-AU"/>
              </w:rPr>
              <w:t>MHF Safety Case Reviews</w:t>
            </w:r>
          </w:p>
        </w:tc>
        <w:tc>
          <w:tcPr>
            <w:tcW w:w="1476" w:type="dxa"/>
            <w:tcBorders>
              <w:top w:val="nil"/>
              <w:left w:val="nil"/>
              <w:bottom w:val="nil"/>
              <w:right w:val="nil"/>
            </w:tcBorders>
            <w:shd w:val="clear" w:color="000000" w:fill="FFFFFF"/>
            <w:noWrap/>
            <w:vAlign w:val="bottom"/>
            <w:hideMark/>
          </w:tcPr>
          <w:p w14:paraId="4E70CF60" w14:textId="77777777" w:rsidR="00790DB6" w:rsidRPr="00503F5B" w:rsidRDefault="00790DB6" w:rsidP="00790DB6">
            <w:pPr>
              <w:jc w:val="right"/>
              <w:rPr>
                <w:rFonts w:eastAsia="Times New Roman" w:cs="Calibri"/>
                <w:b/>
                <w:bCs/>
                <w:sz w:val="20"/>
                <w:szCs w:val="20"/>
                <w:lang w:eastAsia="en-AU"/>
              </w:rPr>
            </w:pPr>
            <w:r w:rsidRPr="00503F5B">
              <w:rPr>
                <w:rFonts w:eastAsia="Times New Roman" w:cs="Calibri"/>
                <w:b/>
                <w:bCs/>
                <w:sz w:val="20"/>
                <w:szCs w:val="20"/>
                <w:lang w:eastAsia="en-AU"/>
              </w:rPr>
              <w:t>$13,756</w:t>
            </w:r>
          </w:p>
        </w:tc>
      </w:tr>
      <w:tr w:rsidR="00790DB6" w:rsidRPr="00503F5B" w14:paraId="16135ADC" w14:textId="77777777" w:rsidTr="009917B8">
        <w:trPr>
          <w:trHeight w:val="70"/>
        </w:trPr>
        <w:tc>
          <w:tcPr>
            <w:tcW w:w="6521" w:type="dxa"/>
            <w:tcBorders>
              <w:top w:val="single" w:sz="4" w:space="0" w:color="C00000"/>
              <w:left w:val="nil"/>
              <w:bottom w:val="single" w:sz="4" w:space="0" w:color="C00000"/>
              <w:right w:val="nil"/>
            </w:tcBorders>
            <w:shd w:val="clear" w:color="000000" w:fill="FDE9D9"/>
            <w:vAlign w:val="bottom"/>
            <w:hideMark/>
          </w:tcPr>
          <w:p w14:paraId="4E100006" w14:textId="77777777" w:rsidR="00790DB6" w:rsidRPr="00503F5B" w:rsidRDefault="00790DB6" w:rsidP="00790DB6">
            <w:pPr>
              <w:rPr>
                <w:rFonts w:eastAsia="Times New Roman" w:cs="Calibri"/>
                <w:b/>
                <w:bCs/>
                <w:sz w:val="20"/>
                <w:szCs w:val="20"/>
                <w:lang w:eastAsia="en-AU"/>
              </w:rPr>
            </w:pPr>
            <w:r w:rsidRPr="00503F5B">
              <w:rPr>
                <w:rFonts w:eastAsia="Times New Roman" w:cs="Calibri"/>
                <w:b/>
                <w:bCs/>
                <w:sz w:val="20"/>
                <w:szCs w:val="20"/>
                <w:lang w:eastAsia="en-AU"/>
              </w:rPr>
              <w:t>BCA</w:t>
            </w:r>
          </w:p>
        </w:tc>
        <w:tc>
          <w:tcPr>
            <w:tcW w:w="1476" w:type="dxa"/>
            <w:tcBorders>
              <w:top w:val="single" w:sz="4" w:space="0" w:color="C00000"/>
              <w:left w:val="nil"/>
              <w:bottom w:val="single" w:sz="4" w:space="0" w:color="C00000"/>
              <w:right w:val="nil"/>
            </w:tcBorders>
            <w:shd w:val="clear" w:color="000000" w:fill="FDE9D9"/>
            <w:noWrap/>
            <w:vAlign w:val="bottom"/>
            <w:hideMark/>
          </w:tcPr>
          <w:p w14:paraId="56DDCD21" w14:textId="77777777" w:rsidR="00790DB6" w:rsidRPr="00503F5B" w:rsidRDefault="00790DB6" w:rsidP="00790DB6">
            <w:pPr>
              <w:rPr>
                <w:rFonts w:eastAsia="Times New Roman" w:cs="Calibri"/>
                <w:sz w:val="20"/>
                <w:szCs w:val="20"/>
                <w:lang w:eastAsia="en-AU"/>
              </w:rPr>
            </w:pPr>
            <w:r w:rsidRPr="00503F5B">
              <w:rPr>
                <w:rFonts w:eastAsia="Times New Roman" w:cs="Calibri"/>
                <w:sz w:val="20"/>
                <w:szCs w:val="20"/>
                <w:lang w:eastAsia="en-AU"/>
              </w:rPr>
              <w:t> </w:t>
            </w:r>
          </w:p>
        </w:tc>
      </w:tr>
      <w:tr w:rsidR="00790DB6" w:rsidRPr="00503F5B" w14:paraId="46B34F6E" w14:textId="77777777" w:rsidTr="009917B8">
        <w:trPr>
          <w:trHeight w:val="300"/>
        </w:trPr>
        <w:tc>
          <w:tcPr>
            <w:tcW w:w="6521" w:type="dxa"/>
            <w:tcBorders>
              <w:top w:val="nil"/>
              <w:left w:val="nil"/>
              <w:bottom w:val="nil"/>
              <w:right w:val="nil"/>
            </w:tcBorders>
            <w:shd w:val="clear" w:color="000000" w:fill="FFFFFF"/>
            <w:vAlign w:val="bottom"/>
            <w:hideMark/>
          </w:tcPr>
          <w:p w14:paraId="7F9164A9" w14:textId="77777777" w:rsidR="00790DB6" w:rsidRPr="00503F5B" w:rsidRDefault="00790DB6" w:rsidP="00790DB6">
            <w:pPr>
              <w:rPr>
                <w:rFonts w:eastAsia="Times New Roman" w:cs="Calibri"/>
                <w:sz w:val="20"/>
                <w:szCs w:val="20"/>
                <w:lang w:eastAsia="en-AU"/>
              </w:rPr>
            </w:pPr>
            <w:r w:rsidRPr="00503F5B">
              <w:rPr>
                <w:rFonts w:eastAsia="Times New Roman" w:cs="Calibri"/>
                <w:sz w:val="20"/>
                <w:szCs w:val="20"/>
                <w:lang w:eastAsia="en-AU"/>
              </w:rPr>
              <w:t xml:space="preserve">Fire Protection report – Reg 309/129 Building Regulations 2018       </w:t>
            </w:r>
          </w:p>
        </w:tc>
        <w:tc>
          <w:tcPr>
            <w:tcW w:w="1476" w:type="dxa"/>
            <w:tcBorders>
              <w:top w:val="nil"/>
              <w:left w:val="nil"/>
              <w:bottom w:val="nil"/>
              <w:right w:val="nil"/>
            </w:tcBorders>
            <w:shd w:val="clear" w:color="000000" w:fill="FFFFFF"/>
            <w:noWrap/>
            <w:vAlign w:val="bottom"/>
            <w:hideMark/>
          </w:tcPr>
          <w:p w14:paraId="07CFB730" w14:textId="77777777" w:rsidR="00790DB6" w:rsidRPr="00503F5B" w:rsidRDefault="00790DB6" w:rsidP="00790DB6">
            <w:pPr>
              <w:jc w:val="right"/>
              <w:rPr>
                <w:rFonts w:eastAsia="Times New Roman" w:cs="Calibri"/>
                <w:b/>
                <w:bCs/>
                <w:sz w:val="20"/>
                <w:szCs w:val="20"/>
                <w:lang w:eastAsia="en-AU"/>
              </w:rPr>
            </w:pPr>
            <w:r w:rsidRPr="00503F5B">
              <w:rPr>
                <w:rFonts w:eastAsia="Times New Roman" w:cs="Calibri"/>
                <w:b/>
                <w:bCs/>
                <w:sz w:val="20"/>
                <w:szCs w:val="20"/>
                <w:lang w:eastAsia="en-AU"/>
              </w:rPr>
              <w:t>$274,965</w:t>
            </w:r>
          </w:p>
        </w:tc>
      </w:tr>
      <w:tr w:rsidR="00790DB6" w:rsidRPr="00503F5B" w14:paraId="0AE5FE91" w14:textId="77777777" w:rsidTr="009917B8">
        <w:trPr>
          <w:trHeight w:val="300"/>
        </w:trPr>
        <w:tc>
          <w:tcPr>
            <w:tcW w:w="6521" w:type="dxa"/>
            <w:tcBorders>
              <w:top w:val="nil"/>
              <w:left w:val="nil"/>
              <w:bottom w:val="nil"/>
              <w:right w:val="nil"/>
            </w:tcBorders>
            <w:shd w:val="clear" w:color="000000" w:fill="FFFFFF"/>
            <w:vAlign w:val="bottom"/>
            <w:hideMark/>
          </w:tcPr>
          <w:p w14:paraId="67FB0221" w14:textId="77777777" w:rsidR="00790DB6" w:rsidRPr="00503F5B" w:rsidRDefault="00790DB6" w:rsidP="00790DB6">
            <w:pPr>
              <w:rPr>
                <w:rFonts w:eastAsia="Times New Roman" w:cs="Calibri"/>
                <w:sz w:val="20"/>
                <w:szCs w:val="20"/>
                <w:lang w:eastAsia="en-AU"/>
              </w:rPr>
            </w:pPr>
            <w:r w:rsidRPr="00503F5B">
              <w:rPr>
                <w:rFonts w:eastAsia="Times New Roman" w:cs="Calibri"/>
                <w:sz w:val="20"/>
                <w:szCs w:val="20"/>
                <w:lang w:eastAsia="en-AU"/>
              </w:rPr>
              <w:t>Fire Protection report – Reg 1003/187 Building Regulations 2018</w:t>
            </w:r>
          </w:p>
        </w:tc>
        <w:tc>
          <w:tcPr>
            <w:tcW w:w="1476" w:type="dxa"/>
            <w:tcBorders>
              <w:top w:val="nil"/>
              <w:left w:val="nil"/>
              <w:bottom w:val="nil"/>
              <w:right w:val="nil"/>
            </w:tcBorders>
            <w:shd w:val="clear" w:color="000000" w:fill="FFFFFF"/>
            <w:noWrap/>
            <w:vAlign w:val="bottom"/>
            <w:hideMark/>
          </w:tcPr>
          <w:p w14:paraId="238D9DA8" w14:textId="77777777" w:rsidR="00790DB6" w:rsidRPr="00503F5B" w:rsidRDefault="00790DB6" w:rsidP="00790DB6">
            <w:pPr>
              <w:jc w:val="right"/>
              <w:rPr>
                <w:rFonts w:eastAsia="Times New Roman" w:cs="Calibri"/>
                <w:b/>
                <w:bCs/>
                <w:sz w:val="20"/>
                <w:szCs w:val="20"/>
                <w:lang w:eastAsia="en-AU"/>
              </w:rPr>
            </w:pPr>
            <w:r w:rsidRPr="00503F5B">
              <w:rPr>
                <w:rFonts w:eastAsia="Times New Roman" w:cs="Calibri"/>
                <w:b/>
                <w:bCs/>
                <w:sz w:val="20"/>
                <w:szCs w:val="20"/>
                <w:lang w:eastAsia="en-AU"/>
              </w:rPr>
              <w:t>$178,870</w:t>
            </w:r>
          </w:p>
        </w:tc>
      </w:tr>
      <w:tr w:rsidR="00790DB6" w:rsidRPr="00503F5B" w14:paraId="5802641E" w14:textId="77777777" w:rsidTr="009917B8">
        <w:trPr>
          <w:trHeight w:val="300"/>
        </w:trPr>
        <w:tc>
          <w:tcPr>
            <w:tcW w:w="6521" w:type="dxa"/>
            <w:tcBorders>
              <w:top w:val="nil"/>
              <w:left w:val="nil"/>
              <w:bottom w:val="nil"/>
              <w:right w:val="nil"/>
            </w:tcBorders>
            <w:shd w:val="clear" w:color="000000" w:fill="FFFFFF"/>
            <w:vAlign w:val="bottom"/>
            <w:hideMark/>
          </w:tcPr>
          <w:p w14:paraId="3463AD8F" w14:textId="77777777" w:rsidR="00790DB6" w:rsidRPr="00503F5B" w:rsidRDefault="00790DB6" w:rsidP="00790DB6">
            <w:pPr>
              <w:rPr>
                <w:rFonts w:eastAsia="Times New Roman" w:cs="Calibri"/>
                <w:sz w:val="20"/>
                <w:szCs w:val="20"/>
                <w:lang w:eastAsia="en-AU"/>
              </w:rPr>
            </w:pPr>
            <w:r w:rsidRPr="00503F5B">
              <w:rPr>
                <w:rFonts w:eastAsia="Times New Roman" w:cs="Calibri"/>
                <w:sz w:val="20"/>
                <w:szCs w:val="20"/>
                <w:lang w:eastAsia="en-AU"/>
              </w:rPr>
              <w:t>Letters of Advice (&amp; pre application review) with regards to general fire protection correspondence</w:t>
            </w:r>
          </w:p>
        </w:tc>
        <w:tc>
          <w:tcPr>
            <w:tcW w:w="1476" w:type="dxa"/>
            <w:tcBorders>
              <w:top w:val="nil"/>
              <w:left w:val="nil"/>
              <w:bottom w:val="nil"/>
              <w:right w:val="nil"/>
            </w:tcBorders>
            <w:shd w:val="clear" w:color="000000" w:fill="FFFFFF"/>
            <w:noWrap/>
            <w:vAlign w:val="center"/>
            <w:hideMark/>
          </w:tcPr>
          <w:p w14:paraId="6F061938" w14:textId="77777777" w:rsidR="00790DB6" w:rsidRPr="00503F5B" w:rsidRDefault="00790DB6" w:rsidP="00790DB6">
            <w:pPr>
              <w:jc w:val="right"/>
              <w:rPr>
                <w:rFonts w:eastAsia="Times New Roman" w:cs="Calibri"/>
                <w:b/>
                <w:bCs/>
                <w:sz w:val="20"/>
                <w:szCs w:val="20"/>
                <w:lang w:eastAsia="en-AU"/>
              </w:rPr>
            </w:pPr>
            <w:r w:rsidRPr="00503F5B">
              <w:rPr>
                <w:rFonts w:eastAsia="Times New Roman" w:cs="Calibri"/>
                <w:b/>
                <w:bCs/>
                <w:sz w:val="20"/>
                <w:szCs w:val="20"/>
                <w:lang w:eastAsia="en-AU"/>
              </w:rPr>
              <w:t>$120,065</w:t>
            </w:r>
          </w:p>
        </w:tc>
      </w:tr>
      <w:tr w:rsidR="00790DB6" w:rsidRPr="00503F5B" w14:paraId="7A97CB3B" w14:textId="77777777" w:rsidTr="009917B8">
        <w:trPr>
          <w:trHeight w:val="300"/>
        </w:trPr>
        <w:tc>
          <w:tcPr>
            <w:tcW w:w="6521" w:type="dxa"/>
            <w:tcBorders>
              <w:top w:val="nil"/>
              <w:left w:val="nil"/>
              <w:bottom w:val="nil"/>
              <w:right w:val="nil"/>
            </w:tcBorders>
            <w:shd w:val="clear" w:color="000000" w:fill="FFFFFF"/>
            <w:vAlign w:val="bottom"/>
            <w:hideMark/>
          </w:tcPr>
          <w:p w14:paraId="6EC7A697" w14:textId="77777777" w:rsidR="00790DB6" w:rsidRPr="00503F5B" w:rsidRDefault="00790DB6" w:rsidP="00790DB6">
            <w:pPr>
              <w:rPr>
                <w:rFonts w:eastAsia="Times New Roman" w:cs="Calibri"/>
                <w:sz w:val="20"/>
                <w:szCs w:val="20"/>
                <w:lang w:eastAsia="en-AU"/>
              </w:rPr>
            </w:pPr>
            <w:r w:rsidRPr="00503F5B">
              <w:rPr>
                <w:rFonts w:eastAsia="Times New Roman" w:cs="Calibri"/>
                <w:sz w:val="20"/>
                <w:szCs w:val="20"/>
                <w:lang w:eastAsia="en-AU"/>
              </w:rPr>
              <w:t>Inspections of buildings, fire protection systems and perimeter access roads</w:t>
            </w:r>
          </w:p>
        </w:tc>
        <w:tc>
          <w:tcPr>
            <w:tcW w:w="1476" w:type="dxa"/>
            <w:tcBorders>
              <w:top w:val="nil"/>
              <w:left w:val="nil"/>
              <w:bottom w:val="nil"/>
              <w:right w:val="nil"/>
            </w:tcBorders>
            <w:shd w:val="clear" w:color="000000" w:fill="FFFFFF"/>
            <w:noWrap/>
            <w:vAlign w:val="bottom"/>
            <w:hideMark/>
          </w:tcPr>
          <w:p w14:paraId="7C4EEAEF" w14:textId="77777777" w:rsidR="00790DB6" w:rsidRPr="00503F5B" w:rsidRDefault="00790DB6" w:rsidP="00790DB6">
            <w:pPr>
              <w:jc w:val="right"/>
              <w:rPr>
                <w:rFonts w:eastAsia="Times New Roman" w:cs="Calibri"/>
                <w:b/>
                <w:bCs/>
                <w:sz w:val="20"/>
                <w:szCs w:val="20"/>
                <w:lang w:eastAsia="en-AU"/>
              </w:rPr>
            </w:pPr>
            <w:r w:rsidRPr="00503F5B">
              <w:rPr>
                <w:rFonts w:eastAsia="Times New Roman" w:cs="Calibri"/>
                <w:b/>
                <w:bCs/>
                <w:sz w:val="20"/>
                <w:szCs w:val="20"/>
                <w:lang w:eastAsia="en-AU"/>
              </w:rPr>
              <w:t>$180,097</w:t>
            </w:r>
          </w:p>
        </w:tc>
      </w:tr>
      <w:tr w:rsidR="00790DB6" w:rsidRPr="00503F5B" w14:paraId="320F8769" w14:textId="77777777" w:rsidTr="009917B8">
        <w:trPr>
          <w:trHeight w:val="532"/>
        </w:trPr>
        <w:tc>
          <w:tcPr>
            <w:tcW w:w="6521" w:type="dxa"/>
            <w:tcBorders>
              <w:top w:val="nil"/>
              <w:left w:val="nil"/>
              <w:bottom w:val="nil"/>
              <w:right w:val="nil"/>
            </w:tcBorders>
            <w:shd w:val="clear" w:color="000000" w:fill="FFFFFF"/>
            <w:vAlign w:val="bottom"/>
            <w:hideMark/>
          </w:tcPr>
          <w:p w14:paraId="2C5C92BE" w14:textId="2CBCB8A2" w:rsidR="00790DB6" w:rsidRPr="00503F5B" w:rsidRDefault="00790DB6" w:rsidP="00790DB6">
            <w:pPr>
              <w:rPr>
                <w:rFonts w:eastAsia="Times New Roman" w:cs="Calibri"/>
                <w:color w:val="auto"/>
                <w:sz w:val="20"/>
                <w:szCs w:val="20"/>
                <w:lang w:eastAsia="en-AU"/>
              </w:rPr>
            </w:pPr>
            <w:r w:rsidRPr="00503F5B">
              <w:rPr>
                <w:rFonts w:eastAsia="Times New Roman" w:cs="Calibri"/>
                <w:color w:val="auto"/>
                <w:sz w:val="20"/>
                <w:szCs w:val="20"/>
                <w:lang w:eastAsia="en-AU"/>
              </w:rPr>
              <w:t>Modification Section 160a Building Act 1993-MFB response to Building appeals Board (incl. Cladding related BAB applications)</w:t>
            </w:r>
          </w:p>
        </w:tc>
        <w:tc>
          <w:tcPr>
            <w:tcW w:w="1476" w:type="dxa"/>
            <w:tcBorders>
              <w:top w:val="nil"/>
              <w:left w:val="nil"/>
              <w:bottom w:val="nil"/>
              <w:right w:val="nil"/>
            </w:tcBorders>
            <w:shd w:val="clear" w:color="000000" w:fill="FFFFFF"/>
            <w:noWrap/>
            <w:vAlign w:val="bottom"/>
            <w:hideMark/>
          </w:tcPr>
          <w:p w14:paraId="767643AF" w14:textId="77777777" w:rsidR="00790DB6" w:rsidRPr="00503F5B" w:rsidRDefault="00790DB6" w:rsidP="00790DB6">
            <w:pPr>
              <w:jc w:val="right"/>
              <w:rPr>
                <w:rFonts w:eastAsia="Times New Roman" w:cs="Calibri"/>
                <w:b/>
                <w:bCs/>
                <w:sz w:val="20"/>
                <w:szCs w:val="20"/>
                <w:lang w:eastAsia="en-AU"/>
              </w:rPr>
            </w:pPr>
            <w:r w:rsidRPr="00503F5B">
              <w:rPr>
                <w:rFonts w:eastAsia="Times New Roman" w:cs="Calibri"/>
                <w:b/>
                <w:bCs/>
                <w:sz w:val="20"/>
                <w:szCs w:val="20"/>
                <w:lang w:eastAsia="en-AU"/>
              </w:rPr>
              <w:t>$75,913</w:t>
            </w:r>
          </w:p>
        </w:tc>
      </w:tr>
      <w:tr w:rsidR="00790DB6" w:rsidRPr="00503F5B" w14:paraId="61E531EC" w14:textId="77777777" w:rsidTr="009917B8">
        <w:trPr>
          <w:trHeight w:val="70"/>
        </w:trPr>
        <w:tc>
          <w:tcPr>
            <w:tcW w:w="6521" w:type="dxa"/>
            <w:tcBorders>
              <w:top w:val="single" w:sz="4" w:space="0" w:color="C00000"/>
              <w:left w:val="nil"/>
              <w:bottom w:val="single" w:sz="4" w:space="0" w:color="C00000"/>
              <w:right w:val="nil"/>
            </w:tcBorders>
            <w:shd w:val="clear" w:color="000000" w:fill="FDE9D9"/>
            <w:vAlign w:val="bottom"/>
            <w:hideMark/>
          </w:tcPr>
          <w:p w14:paraId="18CAA448" w14:textId="77777777" w:rsidR="00790DB6" w:rsidRPr="00503F5B" w:rsidRDefault="00790DB6" w:rsidP="00790DB6">
            <w:pPr>
              <w:rPr>
                <w:rFonts w:eastAsia="Times New Roman" w:cs="Calibri"/>
                <w:b/>
                <w:bCs/>
                <w:sz w:val="20"/>
                <w:szCs w:val="20"/>
                <w:lang w:eastAsia="en-AU"/>
              </w:rPr>
            </w:pPr>
            <w:r w:rsidRPr="00503F5B">
              <w:rPr>
                <w:rFonts w:eastAsia="Times New Roman" w:cs="Calibri"/>
                <w:b/>
                <w:bCs/>
                <w:sz w:val="20"/>
                <w:szCs w:val="20"/>
                <w:lang w:eastAsia="en-AU"/>
              </w:rPr>
              <w:t>Dangerous Goods</w:t>
            </w:r>
          </w:p>
        </w:tc>
        <w:tc>
          <w:tcPr>
            <w:tcW w:w="1476" w:type="dxa"/>
            <w:tcBorders>
              <w:top w:val="single" w:sz="4" w:space="0" w:color="C00000"/>
              <w:left w:val="nil"/>
              <w:bottom w:val="single" w:sz="4" w:space="0" w:color="C00000"/>
              <w:right w:val="nil"/>
            </w:tcBorders>
            <w:shd w:val="clear" w:color="000000" w:fill="FDE9D9"/>
            <w:noWrap/>
            <w:vAlign w:val="bottom"/>
            <w:hideMark/>
          </w:tcPr>
          <w:p w14:paraId="310D2F88" w14:textId="77777777" w:rsidR="00790DB6" w:rsidRPr="00503F5B" w:rsidRDefault="00790DB6" w:rsidP="00790DB6">
            <w:pPr>
              <w:rPr>
                <w:rFonts w:eastAsia="Times New Roman" w:cs="Calibri"/>
                <w:sz w:val="20"/>
                <w:szCs w:val="20"/>
                <w:lang w:eastAsia="en-AU"/>
              </w:rPr>
            </w:pPr>
            <w:r w:rsidRPr="00503F5B">
              <w:rPr>
                <w:rFonts w:eastAsia="Times New Roman" w:cs="Calibri"/>
                <w:sz w:val="20"/>
                <w:szCs w:val="20"/>
                <w:lang w:eastAsia="en-AU"/>
              </w:rPr>
              <w:t> </w:t>
            </w:r>
          </w:p>
        </w:tc>
      </w:tr>
      <w:tr w:rsidR="00790DB6" w:rsidRPr="00503F5B" w14:paraId="78078E2F" w14:textId="77777777" w:rsidTr="009917B8">
        <w:trPr>
          <w:trHeight w:val="300"/>
        </w:trPr>
        <w:tc>
          <w:tcPr>
            <w:tcW w:w="6521" w:type="dxa"/>
            <w:tcBorders>
              <w:top w:val="nil"/>
              <w:left w:val="nil"/>
              <w:bottom w:val="nil"/>
              <w:right w:val="nil"/>
            </w:tcBorders>
            <w:shd w:val="clear" w:color="000000" w:fill="FFFFFF"/>
            <w:vAlign w:val="bottom"/>
            <w:hideMark/>
          </w:tcPr>
          <w:p w14:paraId="30B90972" w14:textId="77777777" w:rsidR="00790DB6" w:rsidRPr="00503F5B" w:rsidRDefault="00790DB6" w:rsidP="00790DB6">
            <w:pPr>
              <w:rPr>
                <w:rFonts w:eastAsia="Times New Roman" w:cs="Calibri"/>
                <w:sz w:val="20"/>
                <w:szCs w:val="20"/>
                <w:lang w:eastAsia="en-AU"/>
              </w:rPr>
            </w:pPr>
            <w:r w:rsidRPr="00503F5B">
              <w:rPr>
                <w:rFonts w:eastAsia="Times New Roman" w:cs="Calibri"/>
                <w:sz w:val="20"/>
                <w:szCs w:val="20"/>
                <w:lang w:eastAsia="en-AU"/>
              </w:rPr>
              <w:t>Reports or letters of advice</w:t>
            </w:r>
          </w:p>
        </w:tc>
        <w:tc>
          <w:tcPr>
            <w:tcW w:w="1476" w:type="dxa"/>
            <w:tcBorders>
              <w:top w:val="nil"/>
              <w:left w:val="nil"/>
              <w:bottom w:val="single" w:sz="4" w:space="0" w:color="C00000"/>
              <w:right w:val="nil"/>
            </w:tcBorders>
            <w:shd w:val="clear" w:color="000000" w:fill="FFFFFF"/>
            <w:noWrap/>
            <w:vAlign w:val="bottom"/>
            <w:hideMark/>
          </w:tcPr>
          <w:p w14:paraId="45AC24AB" w14:textId="77777777" w:rsidR="00790DB6" w:rsidRPr="00503F5B" w:rsidRDefault="00790DB6" w:rsidP="00790DB6">
            <w:pPr>
              <w:jc w:val="right"/>
              <w:rPr>
                <w:rFonts w:eastAsia="Times New Roman" w:cs="Calibri"/>
                <w:b/>
                <w:bCs/>
                <w:sz w:val="20"/>
                <w:szCs w:val="20"/>
                <w:lang w:eastAsia="en-AU"/>
              </w:rPr>
            </w:pPr>
            <w:r w:rsidRPr="00503F5B">
              <w:rPr>
                <w:rFonts w:eastAsia="Times New Roman" w:cs="Calibri"/>
                <w:b/>
                <w:bCs/>
                <w:sz w:val="20"/>
                <w:szCs w:val="20"/>
                <w:lang w:eastAsia="en-AU"/>
              </w:rPr>
              <w:t>$207,040</w:t>
            </w:r>
          </w:p>
        </w:tc>
      </w:tr>
      <w:tr w:rsidR="00790DB6" w:rsidRPr="00503F5B" w14:paraId="28E501E3" w14:textId="77777777" w:rsidTr="009917B8">
        <w:trPr>
          <w:trHeight w:val="70"/>
        </w:trPr>
        <w:tc>
          <w:tcPr>
            <w:tcW w:w="6521" w:type="dxa"/>
            <w:tcBorders>
              <w:top w:val="single" w:sz="4" w:space="0" w:color="C00000"/>
              <w:left w:val="nil"/>
              <w:bottom w:val="single" w:sz="4" w:space="0" w:color="C00000"/>
              <w:right w:val="nil"/>
            </w:tcBorders>
            <w:shd w:val="clear" w:color="000000" w:fill="FDE9D9"/>
            <w:vAlign w:val="bottom"/>
            <w:hideMark/>
          </w:tcPr>
          <w:p w14:paraId="54E687A6" w14:textId="77777777" w:rsidR="00790DB6" w:rsidRPr="00503F5B" w:rsidRDefault="00790DB6" w:rsidP="00790DB6">
            <w:pPr>
              <w:rPr>
                <w:rFonts w:eastAsia="Times New Roman" w:cs="Calibri"/>
                <w:b/>
                <w:bCs/>
                <w:sz w:val="20"/>
                <w:szCs w:val="20"/>
                <w:lang w:eastAsia="en-AU"/>
              </w:rPr>
            </w:pPr>
            <w:r w:rsidRPr="00503F5B">
              <w:rPr>
                <w:rFonts w:eastAsia="Times New Roman" w:cs="Calibri"/>
                <w:b/>
                <w:bCs/>
                <w:sz w:val="20"/>
                <w:szCs w:val="20"/>
                <w:lang w:eastAsia="en-AU"/>
              </w:rPr>
              <w:t xml:space="preserve">Building Inspection and Compliance unit </w:t>
            </w:r>
          </w:p>
        </w:tc>
        <w:tc>
          <w:tcPr>
            <w:tcW w:w="1476" w:type="dxa"/>
            <w:tcBorders>
              <w:top w:val="nil"/>
              <w:left w:val="nil"/>
              <w:bottom w:val="single" w:sz="4" w:space="0" w:color="C00000"/>
              <w:right w:val="nil"/>
            </w:tcBorders>
            <w:shd w:val="clear" w:color="000000" w:fill="FDE9D9"/>
            <w:noWrap/>
            <w:vAlign w:val="bottom"/>
            <w:hideMark/>
          </w:tcPr>
          <w:p w14:paraId="2AEEDEC5" w14:textId="77777777" w:rsidR="00790DB6" w:rsidRPr="00503F5B" w:rsidRDefault="00790DB6" w:rsidP="00790DB6">
            <w:pPr>
              <w:rPr>
                <w:rFonts w:eastAsia="Times New Roman" w:cs="Calibri"/>
                <w:sz w:val="20"/>
                <w:szCs w:val="20"/>
                <w:lang w:eastAsia="en-AU"/>
              </w:rPr>
            </w:pPr>
            <w:r w:rsidRPr="00503F5B">
              <w:rPr>
                <w:rFonts w:eastAsia="Times New Roman" w:cs="Calibri"/>
                <w:sz w:val="20"/>
                <w:szCs w:val="20"/>
                <w:lang w:eastAsia="en-AU"/>
              </w:rPr>
              <w:t> </w:t>
            </w:r>
          </w:p>
        </w:tc>
      </w:tr>
      <w:tr w:rsidR="00790DB6" w:rsidRPr="00503F5B" w14:paraId="4894DD40" w14:textId="77777777" w:rsidTr="009917B8">
        <w:trPr>
          <w:trHeight w:val="70"/>
        </w:trPr>
        <w:tc>
          <w:tcPr>
            <w:tcW w:w="6521" w:type="dxa"/>
            <w:tcBorders>
              <w:top w:val="nil"/>
              <w:left w:val="nil"/>
              <w:bottom w:val="nil"/>
              <w:right w:val="nil"/>
            </w:tcBorders>
            <w:shd w:val="clear" w:color="000000" w:fill="FFFFFF"/>
            <w:vAlign w:val="bottom"/>
            <w:hideMark/>
          </w:tcPr>
          <w:p w14:paraId="74861E87" w14:textId="77777777" w:rsidR="00790DB6" w:rsidRPr="00503F5B" w:rsidRDefault="00790DB6" w:rsidP="00790DB6">
            <w:pPr>
              <w:rPr>
                <w:rFonts w:eastAsia="Times New Roman" w:cs="Calibri"/>
                <w:sz w:val="20"/>
                <w:szCs w:val="20"/>
                <w:lang w:eastAsia="en-AU"/>
              </w:rPr>
            </w:pPr>
            <w:r w:rsidRPr="00503F5B">
              <w:rPr>
                <w:rFonts w:eastAsia="Times New Roman" w:cs="Calibri"/>
                <w:sz w:val="20"/>
                <w:szCs w:val="20"/>
                <w:lang w:eastAsia="en-AU"/>
              </w:rPr>
              <w:t>Inspections at Places of Public Entertainment (POPEs)</w:t>
            </w:r>
          </w:p>
        </w:tc>
        <w:tc>
          <w:tcPr>
            <w:tcW w:w="1476" w:type="dxa"/>
            <w:tcBorders>
              <w:top w:val="nil"/>
              <w:left w:val="nil"/>
              <w:bottom w:val="single" w:sz="4" w:space="0" w:color="C00000"/>
              <w:right w:val="nil"/>
            </w:tcBorders>
            <w:shd w:val="clear" w:color="000000" w:fill="FFFFFF"/>
            <w:noWrap/>
            <w:vAlign w:val="bottom"/>
            <w:hideMark/>
          </w:tcPr>
          <w:p w14:paraId="584E22AB" w14:textId="77777777" w:rsidR="00790DB6" w:rsidRPr="00503F5B" w:rsidRDefault="00790DB6" w:rsidP="00790DB6">
            <w:pPr>
              <w:jc w:val="right"/>
              <w:rPr>
                <w:rFonts w:eastAsia="Times New Roman" w:cs="Calibri"/>
                <w:b/>
                <w:bCs/>
                <w:sz w:val="20"/>
                <w:szCs w:val="20"/>
                <w:lang w:eastAsia="en-AU"/>
              </w:rPr>
            </w:pPr>
            <w:r w:rsidRPr="00503F5B">
              <w:rPr>
                <w:rFonts w:eastAsia="Times New Roman" w:cs="Calibri"/>
                <w:b/>
                <w:bCs/>
                <w:sz w:val="20"/>
                <w:szCs w:val="20"/>
                <w:lang w:eastAsia="en-AU"/>
              </w:rPr>
              <w:t>$7,204</w:t>
            </w:r>
          </w:p>
        </w:tc>
      </w:tr>
      <w:tr w:rsidR="00790DB6" w:rsidRPr="00503F5B" w14:paraId="5B66688C" w14:textId="77777777" w:rsidTr="009917B8">
        <w:trPr>
          <w:trHeight w:val="177"/>
        </w:trPr>
        <w:tc>
          <w:tcPr>
            <w:tcW w:w="6521" w:type="dxa"/>
            <w:tcBorders>
              <w:top w:val="single" w:sz="4" w:space="0" w:color="C00000"/>
              <w:left w:val="nil"/>
              <w:bottom w:val="single" w:sz="4" w:space="0" w:color="C00000"/>
              <w:right w:val="nil"/>
            </w:tcBorders>
            <w:shd w:val="clear" w:color="auto" w:fill="D9D9D9" w:themeFill="background1" w:themeFillShade="D9"/>
            <w:vAlign w:val="bottom"/>
            <w:hideMark/>
          </w:tcPr>
          <w:p w14:paraId="11F8C601" w14:textId="77777777" w:rsidR="00790DB6" w:rsidRPr="00503F5B" w:rsidRDefault="00790DB6" w:rsidP="00790DB6">
            <w:pPr>
              <w:rPr>
                <w:rFonts w:eastAsia="Times New Roman" w:cs="Calibri"/>
                <w:b/>
                <w:bCs/>
                <w:i/>
                <w:iCs/>
                <w:color w:val="auto"/>
                <w:sz w:val="20"/>
                <w:szCs w:val="20"/>
                <w:lang w:eastAsia="en-AU"/>
              </w:rPr>
            </w:pPr>
            <w:r w:rsidRPr="00503F5B">
              <w:rPr>
                <w:rFonts w:eastAsia="Times New Roman" w:cs="Calibri"/>
                <w:b/>
                <w:bCs/>
                <w:i/>
                <w:iCs/>
                <w:color w:val="auto"/>
                <w:sz w:val="20"/>
                <w:szCs w:val="20"/>
                <w:lang w:eastAsia="en-AU"/>
              </w:rPr>
              <w:t>Total annual cost</w:t>
            </w:r>
          </w:p>
        </w:tc>
        <w:tc>
          <w:tcPr>
            <w:tcW w:w="1476" w:type="dxa"/>
            <w:tcBorders>
              <w:top w:val="nil"/>
              <w:left w:val="nil"/>
              <w:bottom w:val="single" w:sz="4" w:space="0" w:color="C00000"/>
              <w:right w:val="nil"/>
            </w:tcBorders>
            <w:shd w:val="clear" w:color="auto" w:fill="D9D9D9" w:themeFill="background1" w:themeFillShade="D9"/>
            <w:noWrap/>
            <w:vAlign w:val="bottom"/>
            <w:hideMark/>
          </w:tcPr>
          <w:p w14:paraId="0FD0E178" w14:textId="77777777" w:rsidR="00790DB6" w:rsidRPr="00503F5B" w:rsidRDefault="00790DB6" w:rsidP="00790DB6">
            <w:pPr>
              <w:jc w:val="right"/>
              <w:rPr>
                <w:rFonts w:eastAsia="Times New Roman" w:cs="Calibri"/>
                <w:b/>
                <w:bCs/>
                <w:i/>
                <w:iCs/>
                <w:color w:val="auto"/>
                <w:sz w:val="20"/>
                <w:szCs w:val="20"/>
                <w:lang w:eastAsia="en-AU"/>
              </w:rPr>
            </w:pPr>
            <w:r w:rsidRPr="00503F5B">
              <w:rPr>
                <w:rFonts w:eastAsia="Times New Roman" w:cs="Calibri"/>
                <w:b/>
                <w:bCs/>
                <w:i/>
                <w:iCs/>
                <w:color w:val="auto"/>
                <w:sz w:val="20"/>
                <w:szCs w:val="20"/>
                <w:lang w:eastAsia="en-AU"/>
              </w:rPr>
              <w:t>$1,610,917</w:t>
            </w:r>
          </w:p>
        </w:tc>
      </w:tr>
    </w:tbl>
    <w:p w14:paraId="419D58A5" w14:textId="4C5E7BF8" w:rsidR="00384F25" w:rsidRPr="00503F5B" w:rsidRDefault="00384F25" w:rsidP="001D51D6">
      <w:pPr>
        <w:jc w:val="both"/>
      </w:pPr>
    </w:p>
    <w:p w14:paraId="2914EC59" w14:textId="58B85D10" w:rsidR="00D23B9E" w:rsidRPr="00503F5B" w:rsidRDefault="00D23B9E">
      <w:pPr>
        <w:spacing w:after="160" w:line="259" w:lineRule="auto"/>
        <w:rPr>
          <w:rFonts w:asciiTheme="majorHAnsi" w:eastAsiaTheme="majorEastAsia" w:hAnsiTheme="majorHAnsi" w:cstheme="majorBidi"/>
          <w:b/>
          <w:color w:val="ED7C5D"/>
        </w:rPr>
      </w:pPr>
      <w:r w:rsidRPr="00503F5B">
        <w:br w:type="page"/>
      </w:r>
    </w:p>
    <w:p w14:paraId="2769FAE2" w14:textId="00EC7022" w:rsidR="008638F5" w:rsidRPr="00503F5B" w:rsidRDefault="008638F5" w:rsidP="008638F5">
      <w:pPr>
        <w:pStyle w:val="Heading4"/>
      </w:pPr>
      <w:r w:rsidRPr="00503F5B">
        <w:lastRenderedPageBreak/>
        <w:t>2.2.1.</w:t>
      </w:r>
      <w:r w:rsidR="00E1323B" w:rsidRPr="00503F5B">
        <w:t>2</w:t>
      </w:r>
      <w:r w:rsidRPr="00503F5B">
        <w:t xml:space="preserve"> F</w:t>
      </w:r>
      <w:r w:rsidR="00EF4BE1" w:rsidRPr="00503F5B">
        <w:t>alse alarm attendances</w:t>
      </w:r>
    </w:p>
    <w:p w14:paraId="5F179989" w14:textId="77777777" w:rsidR="008638F5" w:rsidRPr="00503F5B" w:rsidRDefault="008638F5" w:rsidP="008638F5">
      <w:pPr>
        <w:jc w:val="both"/>
      </w:pPr>
    </w:p>
    <w:p w14:paraId="61788351" w14:textId="5ED1EBA4" w:rsidR="00C45218" w:rsidRPr="00503F5B" w:rsidRDefault="00C45218" w:rsidP="00C45218">
      <w:pPr>
        <w:jc w:val="both"/>
      </w:pPr>
      <w:r w:rsidRPr="00503F5B">
        <w:t>Under the base case, and in the absence of the proposed regulations</w:t>
      </w:r>
      <w:r w:rsidR="00E1323B" w:rsidRPr="00503F5B">
        <w:t>,</w:t>
      </w:r>
      <w:r w:rsidRPr="00503F5B">
        <w:t xml:space="preserve"> the requirements of the Act around emergency attendance services as discussed in 2.1.1 of this RIS would continue.  Under sections 32B (1) and (2) of the Act the Fire Rescue Commissioner would continue to be required to determine the operational response to an alarm of fire and require specified fire fighters to attend an alarm of fire with “all practical speed”</w:t>
      </w:r>
      <w:r w:rsidRPr="00503F5B">
        <w:rPr>
          <w:rStyle w:val="FootnoteReference"/>
        </w:rPr>
        <w:footnoteReference w:id="65"/>
      </w:r>
      <w:r w:rsidRPr="00503F5B">
        <w:t>. Section 31A of the Act allows for the powers of the Fire Rescue Commissioner to be delegated. The Fire Rescue Commissioner would still be required to complete all requirements set out in the Act as discussed in 2.1.1 of this RIS.</w:t>
      </w:r>
    </w:p>
    <w:p w14:paraId="6752B6CE" w14:textId="77777777" w:rsidR="00C45218" w:rsidRPr="00503F5B" w:rsidRDefault="00C45218" w:rsidP="00C45218">
      <w:pPr>
        <w:jc w:val="both"/>
      </w:pPr>
    </w:p>
    <w:p w14:paraId="6B3BEAC1" w14:textId="7C1AE96B" w:rsidR="00C45218" w:rsidRPr="00503F5B" w:rsidRDefault="00C45218" w:rsidP="00C45218">
      <w:pPr>
        <w:jc w:val="both"/>
      </w:pPr>
      <w:r w:rsidRPr="00503F5B">
        <w:t xml:space="preserve">However, FRV would not be able to charge fees and recover any portion of the cost of emergency attendance services for false alarms – estimated to be $123.76 million per annum (see section A3.2.1 of Appendix 3 for source of estimate).  Under the base case, the emergency attendance services would continue to be provided, however funding arrangements would be such that </w:t>
      </w:r>
      <w:r w:rsidRPr="00503F5B">
        <w:rPr>
          <w:i/>
        </w:rPr>
        <w:t>all</w:t>
      </w:r>
      <w:r w:rsidRPr="00503F5B">
        <w:t xml:space="preserve"> the emergency attendance activities of </w:t>
      </w:r>
      <w:r w:rsidR="00D23B9E" w:rsidRPr="00503F5B">
        <w:t>FRV</w:t>
      </w:r>
      <w:r w:rsidRPr="00503F5B">
        <w:t xml:space="preserve"> in accordance with the Act would be funded via general tax revenue</w:t>
      </w:r>
      <w:r w:rsidR="00ED3877" w:rsidRPr="00503F5B">
        <w:t xml:space="preserve"> (FSPL)</w:t>
      </w:r>
      <w:r w:rsidRPr="00503F5B">
        <w:t xml:space="preserve">, resulting in cross-subsidisation, with the costs associated with possibly negligent property owners being paid for by all taxpayers.  </w:t>
      </w:r>
    </w:p>
    <w:p w14:paraId="74A9D9DB" w14:textId="77777777" w:rsidR="00C45218" w:rsidRPr="00503F5B" w:rsidRDefault="00C45218" w:rsidP="00C45218">
      <w:pPr>
        <w:jc w:val="both"/>
      </w:pPr>
    </w:p>
    <w:p w14:paraId="3317AE8E" w14:textId="043E5CFE" w:rsidR="00C45218" w:rsidRPr="00503F5B" w:rsidRDefault="00E1323B" w:rsidP="00C45218">
      <w:pPr>
        <w:jc w:val="both"/>
      </w:pPr>
      <w:bookmarkStart w:id="109" w:name="_Hlk39042718"/>
      <w:r w:rsidRPr="00503F5B">
        <w:t>A</w:t>
      </w:r>
      <w:r w:rsidR="00C45218" w:rsidRPr="00503F5B">
        <w:t xml:space="preserve"> lack of fees for emergenc</w:t>
      </w:r>
      <w:r w:rsidR="00D64E8A" w:rsidRPr="00503F5B">
        <w:t>y</w:t>
      </w:r>
      <w:r w:rsidR="00C45218" w:rsidRPr="00503F5B">
        <w:t xml:space="preserve"> attendances for false alarm calls where no reasonable excuse is determined </w:t>
      </w:r>
      <w:r w:rsidR="00ED3877" w:rsidRPr="00503F5B">
        <w:t xml:space="preserve">is likely to </w:t>
      </w:r>
      <w:r w:rsidR="00C45218" w:rsidRPr="00503F5B">
        <w:t>result in a reduction in the proactive management and maintenance of alarm systems leading to greater false alarm calls.  This would result in more FRV resources being diverted to less efficient uses and a higher risk of complacency around ‘real’ fire incidents by the public.</w:t>
      </w:r>
    </w:p>
    <w:bookmarkEnd w:id="109"/>
    <w:p w14:paraId="72C8A148" w14:textId="77777777" w:rsidR="00C45218" w:rsidRPr="00503F5B" w:rsidRDefault="00C45218" w:rsidP="008638F5">
      <w:pPr>
        <w:jc w:val="both"/>
      </w:pPr>
    </w:p>
    <w:p w14:paraId="03743570" w14:textId="38322EB7" w:rsidR="008638F5" w:rsidRPr="00503F5B" w:rsidRDefault="008638F5" w:rsidP="008638F5">
      <w:pPr>
        <w:jc w:val="both"/>
      </w:pPr>
      <w:r w:rsidRPr="00503F5B">
        <w:t xml:space="preserve">Fire service organisations, including </w:t>
      </w:r>
      <w:r w:rsidR="00595DFB" w:rsidRPr="00503F5B">
        <w:t>MFB</w:t>
      </w:r>
      <w:r w:rsidRPr="00503F5B">
        <w:t xml:space="preserve"> and CFA, are required by legislation to respond to all calls and investigate the site prior to determining a false alarm</w:t>
      </w:r>
      <w:r w:rsidRPr="00503F5B">
        <w:rPr>
          <w:rStyle w:val="FootnoteReference"/>
        </w:rPr>
        <w:footnoteReference w:id="66"/>
      </w:r>
      <w:r w:rsidRPr="00503F5B">
        <w:t>. The main component of the monitored</w:t>
      </w:r>
      <w:r w:rsidRPr="00503F5B">
        <w:rPr>
          <w:rStyle w:val="FootnoteReference"/>
        </w:rPr>
        <w:footnoteReference w:id="67"/>
      </w:r>
      <w:r w:rsidRPr="00503F5B">
        <w:t xml:space="preserve"> fire alarm system is the Alarm </w:t>
      </w:r>
      <w:r w:rsidR="000E0408" w:rsidRPr="00503F5B">
        <w:t>Signalling</w:t>
      </w:r>
      <w:r w:rsidRPr="00503F5B">
        <w:t xml:space="preserve"> Equipment (ASE), as illustrated in Figure </w:t>
      </w:r>
      <w:r w:rsidR="00D35C72" w:rsidRPr="00503F5B">
        <w:t>1</w:t>
      </w:r>
      <w:r w:rsidRPr="00503F5B">
        <w:t xml:space="preserve">. </w:t>
      </w:r>
      <w:bookmarkStart w:id="110" w:name="_Hlk39496023"/>
      <w:r w:rsidRPr="00503F5B">
        <w:t xml:space="preserve">There were </w:t>
      </w:r>
      <w:r w:rsidR="00311E08" w:rsidRPr="00503F5B">
        <w:t>8,567</w:t>
      </w:r>
      <w:r w:rsidR="00311E08" w:rsidRPr="00503F5B">
        <w:rPr>
          <w:rStyle w:val="FootnoteReference"/>
        </w:rPr>
        <w:footnoteReference w:id="68"/>
      </w:r>
      <w:r w:rsidR="00311E08" w:rsidRPr="00503F5B">
        <w:t xml:space="preserve"> </w:t>
      </w:r>
      <w:r w:rsidRPr="00503F5B">
        <w:t xml:space="preserve">ASEs operating in Victoria </w:t>
      </w:r>
      <w:r w:rsidR="00311E08" w:rsidRPr="00503F5B">
        <w:t>during February 2020</w:t>
      </w:r>
      <w:r w:rsidRPr="00503F5B">
        <w:t>.</w:t>
      </w:r>
      <w:bookmarkEnd w:id="110"/>
    </w:p>
    <w:p w14:paraId="1C32C063" w14:textId="77777777" w:rsidR="008638F5" w:rsidRPr="00503F5B" w:rsidRDefault="008638F5" w:rsidP="008638F5">
      <w:pPr>
        <w:jc w:val="both"/>
      </w:pPr>
    </w:p>
    <w:p w14:paraId="620B605E" w14:textId="67822A34" w:rsidR="008638F5" w:rsidRPr="00503F5B" w:rsidRDefault="008638F5" w:rsidP="008638F5">
      <w:pPr>
        <w:jc w:val="both"/>
      </w:pPr>
      <w:r w:rsidRPr="00503F5B">
        <w:t xml:space="preserve">At the time of an activation, the ASE sends a signal to the </w:t>
      </w:r>
      <w:r w:rsidR="00ED030F" w:rsidRPr="00503F5B">
        <w:t>dispatch</w:t>
      </w:r>
      <w:r w:rsidRPr="00503F5B">
        <w:t xml:space="preserve"> centre via the monitoring provider, and fire appliances will be turned out to the site according to </w:t>
      </w:r>
      <w:r w:rsidR="00ED3877" w:rsidRPr="00503F5B">
        <w:t xml:space="preserve">pre-determined </w:t>
      </w:r>
      <w:r w:rsidRPr="00503F5B">
        <w:t xml:space="preserve">turnout requirements, as shown in Figure </w:t>
      </w:r>
      <w:r w:rsidR="00EF4BE1" w:rsidRPr="00503F5B">
        <w:t>1</w:t>
      </w:r>
      <w:r w:rsidRPr="00503F5B">
        <w:t xml:space="preserve">.  </w:t>
      </w:r>
    </w:p>
    <w:p w14:paraId="697CDE26" w14:textId="77777777" w:rsidR="008638F5" w:rsidRPr="00503F5B" w:rsidRDefault="008638F5" w:rsidP="008638F5">
      <w:pPr>
        <w:jc w:val="both"/>
      </w:pPr>
    </w:p>
    <w:p w14:paraId="7A66B565" w14:textId="77777777" w:rsidR="00D23B9E" w:rsidRPr="00503F5B" w:rsidRDefault="00D23B9E">
      <w:pPr>
        <w:spacing w:after="160" w:line="259" w:lineRule="auto"/>
        <w:rPr>
          <w:b/>
          <w:sz w:val="21"/>
        </w:rPr>
      </w:pPr>
      <w:r w:rsidRPr="00503F5B">
        <w:rPr>
          <w:b/>
          <w:sz w:val="21"/>
        </w:rPr>
        <w:br w:type="page"/>
      </w:r>
    </w:p>
    <w:p w14:paraId="76633623" w14:textId="7920CD08" w:rsidR="008638F5" w:rsidRPr="00503F5B" w:rsidRDefault="008638F5" w:rsidP="008638F5">
      <w:pPr>
        <w:jc w:val="center"/>
        <w:rPr>
          <w:b/>
          <w:sz w:val="21"/>
        </w:rPr>
      </w:pPr>
      <w:r w:rsidRPr="00503F5B">
        <w:rPr>
          <w:b/>
          <w:sz w:val="21"/>
        </w:rPr>
        <w:lastRenderedPageBreak/>
        <w:t xml:space="preserve">Figure </w:t>
      </w:r>
      <w:r w:rsidR="00EF4BE1" w:rsidRPr="00503F5B">
        <w:rPr>
          <w:b/>
          <w:sz w:val="21"/>
        </w:rPr>
        <w:t>1</w:t>
      </w:r>
      <w:r w:rsidRPr="00503F5B">
        <w:rPr>
          <w:b/>
          <w:sz w:val="21"/>
        </w:rPr>
        <w:t>: Monitored fire alarm system</w:t>
      </w:r>
    </w:p>
    <w:p w14:paraId="5720D0DA" w14:textId="77777777" w:rsidR="008638F5" w:rsidRPr="00503F5B" w:rsidRDefault="008638F5" w:rsidP="008638F5">
      <w:pPr>
        <w:jc w:val="both"/>
      </w:pPr>
    </w:p>
    <w:p w14:paraId="20F92A04" w14:textId="77777777" w:rsidR="008638F5" w:rsidRPr="00503F5B" w:rsidRDefault="008638F5" w:rsidP="009917B8">
      <w:pPr>
        <w:ind w:firstLine="142"/>
        <w:jc w:val="center"/>
      </w:pPr>
      <w:r w:rsidRPr="00503F5B">
        <w:rPr>
          <w:noProof/>
        </w:rPr>
        <w:drawing>
          <wp:inline distT="0" distB="0" distL="0" distR="0" wp14:anchorId="39A33C94" wp14:editId="7A32C33B">
            <wp:extent cx="5114925" cy="3143250"/>
            <wp:effectExtent l="0" t="0" r="123825" b="1143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95525" cy="3192781"/>
                    </a:xfrm>
                    <a:prstGeom prst="rect">
                      <a:avLst/>
                    </a:prstGeom>
                    <a:effectLst>
                      <a:outerShdw blurRad="50800" dist="76200" dir="2700000" algn="tl" rotWithShape="0">
                        <a:prstClr val="black">
                          <a:alpha val="40000"/>
                        </a:prstClr>
                      </a:outerShdw>
                    </a:effectLst>
                  </pic:spPr>
                </pic:pic>
              </a:graphicData>
            </a:graphic>
          </wp:inline>
        </w:drawing>
      </w:r>
    </w:p>
    <w:p w14:paraId="11CDA7BC" w14:textId="77777777" w:rsidR="008638F5" w:rsidRPr="00503F5B" w:rsidRDefault="008638F5" w:rsidP="008638F5">
      <w:pPr>
        <w:jc w:val="both"/>
        <w:rPr>
          <w:sz w:val="18"/>
          <w:szCs w:val="18"/>
        </w:rPr>
      </w:pPr>
      <w:r w:rsidRPr="00503F5B">
        <w:rPr>
          <w:sz w:val="18"/>
          <w:szCs w:val="18"/>
        </w:rPr>
        <w:t>Source: http://www.mfb.vic.gov.au/Industry/Managing-False-Alarms/Direct-Automatic-Alarms/How-a-Typical-System-Works-.html</w:t>
      </w:r>
    </w:p>
    <w:p w14:paraId="19A88754" w14:textId="77777777" w:rsidR="008638F5" w:rsidRPr="00503F5B" w:rsidRDefault="008638F5" w:rsidP="008638F5">
      <w:pPr>
        <w:jc w:val="both"/>
        <w:rPr>
          <w:sz w:val="18"/>
          <w:szCs w:val="18"/>
        </w:rPr>
      </w:pPr>
    </w:p>
    <w:p w14:paraId="715C658C" w14:textId="7D3FE2A3" w:rsidR="008638F5" w:rsidRPr="00503F5B" w:rsidRDefault="00311E08" w:rsidP="008638F5">
      <w:pPr>
        <w:jc w:val="both"/>
      </w:pPr>
      <w:r w:rsidRPr="00503F5B">
        <w:t>Currently i</w:t>
      </w:r>
      <w:r w:rsidR="008638F5" w:rsidRPr="00503F5B">
        <w:t>n Victoria</w:t>
      </w:r>
      <w:r w:rsidRPr="00503F5B">
        <w:t>,</w:t>
      </w:r>
      <w:r w:rsidR="008638F5" w:rsidRPr="00503F5B">
        <w:t xml:space="preserve"> the Chief Officer determines the operational response to an alarm of fire and requires specified fire fighters to attend an alarm of fire with “all practical speed”</w:t>
      </w:r>
      <w:r w:rsidR="008638F5" w:rsidRPr="00503F5B">
        <w:rPr>
          <w:rStyle w:val="FootnoteReference"/>
        </w:rPr>
        <w:footnoteReference w:id="69"/>
      </w:r>
      <w:r w:rsidR="008638F5" w:rsidRPr="00503F5B">
        <w:t>, which gives rise</w:t>
      </w:r>
      <w:r w:rsidR="00D23B9E" w:rsidRPr="00503F5B">
        <w:t xml:space="preserve"> to </w:t>
      </w:r>
      <w:r w:rsidR="008638F5" w:rsidRPr="00503F5B">
        <w:t>the need for cost recovery.</w:t>
      </w:r>
    </w:p>
    <w:p w14:paraId="00B0A95E" w14:textId="77777777" w:rsidR="008638F5" w:rsidRPr="00503F5B" w:rsidRDefault="008638F5" w:rsidP="008638F5">
      <w:pPr>
        <w:jc w:val="both"/>
      </w:pPr>
    </w:p>
    <w:p w14:paraId="145E3838" w14:textId="77777777" w:rsidR="008638F5" w:rsidRPr="00503F5B" w:rsidRDefault="008638F5" w:rsidP="008638F5">
      <w:pPr>
        <w:ind w:firstLine="1134"/>
        <w:jc w:val="both"/>
      </w:pPr>
      <w:r w:rsidRPr="00503F5B">
        <w:rPr>
          <w:noProof/>
        </w:rPr>
        <w:drawing>
          <wp:inline distT="0" distB="0" distL="0" distR="0" wp14:anchorId="30CB4516" wp14:editId="645CDF40">
            <wp:extent cx="3771900" cy="342900"/>
            <wp:effectExtent l="0" t="0" r="114300" b="1143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1900" cy="342900"/>
                    </a:xfrm>
                    <a:prstGeom prst="rect">
                      <a:avLst/>
                    </a:prstGeom>
                    <a:effectLst>
                      <a:outerShdw blurRad="50800" dist="76200" dir="2700000" algn="tl" rotWithShape="0">
                        <a:prstClr val="black">
                          <a:alpha val="40000"/>
                        </a:prstClr>
                      </a:outerShdw>
                    </a:effectLst>
                  </pic:spPr>
                </pic:pic>
              </a:graphicData>
            </a:graphic>
          </wp:inline>
        </w:drawing>
      </w:r>
    </w:p>
    <w:p w14:paraId="7D9F713E" w14:textId="77777777" w:rsidR="008638F5" w:rsidRPr="00503F5B" w:rsidRDefault="008638F5" w:rsidP="008638F5">
      <w:pPr>
        <w:widowControl w:val="0"/>
        <w:autoSpaceDE w:val="0"/>
        <w:autoSpaceDN w:val="0"/>
        <w:adjustRightInd w:val="0"/>
        <w:jc w:val="both"/>
      </w:pPr>
    </w:p>
    <w:p w14:paraId="68C84601" w14:textId="16E6798F" w:rsidR="008638F5" w:rsidRPr="00503F5B" w:rsidRDefault="008638F5" w:rsidP="008638F5">
      <w:pPr>
        <w:widowControl w:val="0"/>
        <w:autoSpaceDE w:val="0"/>
        <w:autoSpaceDN w:val="0"/>
        <w:adjustRightInd w:val="0"/>
        <w:jc w:val="both"/>
      </w:pPr>
      <w:r w:rsidRPr="00503F5B">
        <w:t xml:space="preserve">The total direct and indirect cost of false alarm attendances for </w:t>
      </w:r>
      <w:r w:rsidR="00595DFB" w:rsidRPr="00503F5B">
        <w:t>MFB</w:t>
      </w:r>
      <w:r w:rsidR="006A444F" w:rsidRPr="00503F5B">
        <w:t xml:space="preserve"> </w:t>
      </w:r>
      <w:r w:rsidRPr="00503F5B">
        <w:t xml:space="preserve">have been estimated to be approximately </w:t>
      </w:r>
      <w:r w:rsidR="006A444F" w:rsidRPr="00503F5B">
        <w:t>$98.13 million</w:t>
      </w:r>
      <w:r w:rsidRPr="00503F5B">
        <w:t xml:space="preserve"> for 201</w:t>
      </w:r>
      <w:r w:rsidR="006A444F" w:rsidRPr="00503F5B">
        <w:t>8</w:t>
      </w:r>
      <w:r w:rsidRPr="00503F5B">
        <w:t>-1</w:t>
      </w:r>
      <w:r w:rsidR="006A444F" w:rsidRPr="00503F5B">
        <w:t>9</w:t>
      </w:r>
      <w:r w:rsidRPr="00503F5B">
        <w:t xml:space="preserve"> (see Table A1.3 of Appendix 1 for source of estimate).  Dividing this total cost by the average total number of hours spent by appliances for false alarm incidents over </w:t>
      </w:r>
      <w:r w:rsidR="006A444F" w:rsidRPr="00503F5B">
        <w:t>8</w:t>
      </w:r>
      <w:r w:rsidRPr="00503F5B">
        <w:t xml:space="preserve"> years in Table </w:t>
      </w:r>
      <w:r w:rsidR="006A444F" w:rsidRPr="00503F5B">
        <w:t>6</w:t>
      </w:r>
      <w:r w:rsidRPr="00503F5B">
        <w:t xml:space="preserve"> (i.e. </w:t>
      </w:r>
      <w:r w:rsidR="006A444F" w:rsidRPr="00503F5B">
        <w:t>9,514</w:t>
      </w:r>
      <w:r w:rsidRPr="00503F5B">
        <w:t xml:space="preserve"> hours) provides an estimated </w:t>
      </w:r>
      <w:r w:rsidRPr="00503F5B">
        <w:rPr>
          <w:b/>
        </w:rPr>
        <w:t>hourly</w:t>
      </w:r>
      <w:r w:rsidR="005F1899" w:rsidRPr="00503F5B">
        <w:rPr>
          <w:b/>
        </w:rPr>
        <w:t xml:space="preserve"> attendance </w:t>
      </w:r>
      <w:r w:rsidRPr="00503F5B">
        <w:rPr>
          <w:b/>
        </w:rPr>
        <w:t xml:space="preserve">cost per appliance of </w:t>
      </w:r>
      <w:r w:rsidR="006A444F" w:rsidRPr="00503F5B">
        <w:rPr>
          <w:b/>
        </w:rPr>
        <w:t>$10,314.27</w:t>
      </w:r>
      <w:r w:rsidR="005F1899" w:rsidRPr="00503F5B">
        <w:rPr>
          <w:b/>
        </w:rPr>
        <w:t xml:space="preserve"> (or a quarterly hour cost of $2,578.57)</w:t>
      </w:r>
      <w:r w:rsidRPr="00503F5B">
        <w:t>.  The breakup of direct and indirect cost components is provided in Table 1</w:t>
      </w:r>
      <w:r w:rsidR="00D13833" w:rsidRPr="00503F5B">
        <w:t>2</w:t>
      </w:r>
      <w:r w:rsidRPr="00503F5B">
        <w:t>.   The largest component of cost is with respect to direct costs of operational staff ($</w:t>
      </w:r>
      <w:r w:rsidR="0022235D" w:rsidRPr="00503F5B">
        <w:t>7</w:t>
      </w:r>
      <w:r w:rsidRPr="00503F5B">
        <w:t>,</w:t>
      </w:r>
      <w:r w:rsidR="0022235D" w:rsidRPr="00503F5B">
        <w:t>531</w:t>
      </w:r>
      <w:r w:rsidRPr="00503F5B">
        <w:t xml:space="preserve"> per appliance) followed by indirect costs of administrative support ($1,</w:t>
      </w:r>
      <w:r w:rsidR="0022235D" w:rsidRPr="00503F5B">
        <w:t>348</w:t>
      </w:r>
      <w:r w:rsidRPr="00503F5B">
        <w:t xml:space="preserve"> per appliance) comprising 7</w:t>
      </w:r>
      <w:r w:rsidR="0022235D" w:rsidRPr="00503F5B">
        <w:t>3</w:t>
      </w:r>
      <w:r w:rsidRPr="00503F5B">
        <w:t>.</w:t>
      </w:r>
      <w:r w:rsidR="0022235D" w:rsidRPr="00503F5B">
        <w:t>02</w:t>
      </w:r>
      <w:r w:rsidR="00DE39B1" w:rsidRPr="00503F5B">
        <w:t xml:space="preserve"> percent</w:t>
      </w:r>
      <w:r w:rsidRPr="00503F5B">
        <w:t xml:space="preserve"> and </w:t>
      </w:r>
      <w:r w:rsidR="0022235D" w:rsidRPr="00503F5B">
        <w:t>13.07</w:t>
      </w:r>
      <w:r w:rsidR="00DE39B1" w:rsidRPr="00503F5B">
        <w:t xml:space="preserve"> percent</w:t>
      </w:r>
      <w:r w:rsidRPr="00503F5B">
        <w:t xml:space="preserve"> of the overall cost, respectively.</w:t>
      </w:r>
    </w:p>
    <w:p w14:paraId="165477B1" w14:textId="41807F7E" w:rsidR="008338C1" w:rsidRPr="00503F5B" w:rsidRDefault="008338C1" w:rsidP="001D51D6">
      <w:pPr>
        <w:jc w:val="both"/>
      </w:pPr>
    </w:p>
    <w:p w14:paraId="1CAD98C2" w14:textId="77777777" w:rsidR="00D23B9E" w:rsidRPr="00503F5B" w:rsidRDefault="00D23B9E">
      <w:pPr>
        <w:spacing w:after="160" w:line="259" w:lineRule="auto"/>
        <w:rPr>
          <w:b/>
          <w:sz w:val="20"/>
          <w:szCs w:val="20"/>
        </w:rPr>
      </w:pPr>
      <w:r w:rsidRPr="00503F5B">
        <w:rPr>
          <w:b/>
          <w:sz w:val="20"/>
          <w:szCs w:val="20"/>
        </w:rPr>
        <w:br w:type="page"/>
      </w:r>
    </w:p>
    <w:p w14:paraId="1DA01536" w14:textId="1D673D76" w:rsidR="0022235D" w:rsidRPr="00503F5B" w:rsidRDefault="0022235D" w:rsidP="0022235D">
      <w:pPr>
        <w:jc w:val="center"/>
        <w:rPr>
          <w:b/>
          <w:sz w:val="20"/>
          <w:szCs w:val="20"/>
        </w:rPr>
      </w:pPr>
      <w:r w:rsidRPr="00503F5B">
        <w:rPr>
          <w:b/>
          <w:sz w:val="20"/>
          <w:szCs w:val="20"/>
        </w:rPr>
        <w:lastRenderedPageBreak/>
        <w:t>Table</w:t>
      </w:r>
      <w:r w:rsidR="00D13833" w:rsidRPr="00503F5B">
        <w:rPr>
          <w:b/>
          <w:sz w:val="20"/>
          <w:szCs w:val="20"/>
        </w:rPr>
        <w:t xml:space="preserve"> 12</w:t>
      </w:r>
      <w:r w:rsidRPr="00503F5B">
        <w:rPr>
          <w:b/>
          <w:sz w:val="20"/>
          <w:szCs w:val="20"/>
        </w:rPr>
        <w:t>: Hourly cost per appliance for false alarm attendances by MFB – 2018-19</w:t>
      </w:r>
      <w:r w:rsidR="00D13833" w:rsidRPr="00503F5B">
        <w:rPr>
          <w:rStyle w:val="FootnoteReference"/>
          <w:b/>
          <w:sz w:val="20"/>
          <w:szCs w:val="20"/>
        </w:rPr>
        <w:footnoteReference w:id="70"/>
      </w:r>
    </w:p>
    <w:p w14:paraId="215A796F" w14:textId="77777777" w:rsidR="0022235D" w:rsidRPr="00503F5B" w:rsidRDefault="0022235D" w:rsidP="0022235D">
      <w:pPr>
        <w:jc w:val="both"/>
      </w:pPr>
    </w:p>
    <w:tbl>
      <w:tblPr>
        <w:tblW w:w="8222" w:type="dxa"/>
        <w:jc w:val="center"/>
        <w:tblLook w:val="04A0" w:firstRow="1" w:lastRow="0" w:firstColumn="1" w:lastColumn="0" w:noHBand="0" w:noVBand="1"/>
      </w:tblPr>
      <w:tblGrid>
        <w:gridCol w:w="5812"/>
        <w:gridCol w:w="2410"/>
      </w:tblGrid>
      <w:tr w:rsidR="0022235D" w:rsidRPr="00503F5B" w14:paraId="243BDC2A" w14:textId="77777777" w:rsidTr="005F1899">
        <w:trPr>
          <w:trHeight w:val="320"/>
          <w:tblHeader/>
          <w:jc w:val="center"/>
        </w:trPr>
        <w:tc>
          <w:tcPr>
            <w:tcW w:w="5812" w:type="dxa"/>
            <w:tcBorders>
              <w:top w:val="single" w:sz="4" w:space="0" w:color="ED7C5D"/>
              <w:bottom w:val="double" w:sz="4" w:space="0" w:color="ED7C5D"/>
            </w:tcBorders>
            <w:noWrap/>
            <w:hideMark/>
          </w:tcPr>
          <w:p w14:paraId="26F14F5F" w14:textId="77777777" w:rsidR="0022235D" w:rsidRPr="00503F5B" w:rsidRDefault="0022235D" w:rsidP="00E6069B">
            <w:pPr>
              <w:rPr>
                <w:b/>
                <w:bCs/>
                <w:color w:val="BE2A18"/>
                <w:sz w:val="20"/>
                <w:szCs w:val="20"/>
              </w:rPr>
            </w:pPr>
            <w:r w:rsidRPr="00503F5B">
              <w:rPr>
                <w:b/>
                <w:bCs/>
                <w:color w:val="BE2A18"/>
                <w:sz w:val="20"/>
                <w:szCs w:val="20"/>
              </w:rPr>
              <w:t>Direct and indirect cost category</w:t>
            </w:r>
          </w:p>
        </w:tc>
        <w:tc>
          <w:tcPr>
            <w:tcW w:w="2410" w:type="dxa"/>
            <w:tcBorders>
              <w:top w:val="single" w:sz="4" w:space="0" w:color="ED7C5D"/>
              <w:bottom w:val="double" w:sz="4" w:space="0" w:color="ED7C5D"/>
            </w:tcBorders>
            <w:noWrap/>
            <w:hideMark/>
          </w:tcPr>
          <w:p w14:paraId="127EC442" w14:textId="0782643F" w:rsidR="0022235D" w:rsidRPr="00503F5B" w:rsidRDefault="0022235D" w:rsidP="00E6069B">
            <w:pPr>
              <w:jc w:val="center"/>
              <w:rPr>
                <w:b/>
                <w:bCs/>
                <w:color w:val="BE2A18"/>
                <w:sz w:val="20"/>
                <w:szCs w:val="20"/>
              </w:rPr>
            </w:pPr>
            <w:r w:rsidRPr="00503F5B">
              <w:rPr>
                <w:b/>
                <w:bCs/>
                <w:color w:val="BE2A18"/>
                <w:sz w:val="20"/>
                <w:szCs w:val="20"/>
              </w:rPr>
              <w:t xml:space="preserve"> Hourly cost of attendance per appliance for false alarms</w:t>
            </w:r>
          </w:p>
        </w:tc>
      </w:tr>
      <w:tr w:rsidR="0022235D" w:rsidRPr="00503F5B" w14:paraId="4260B215" w14:textId="77777777" w:rsidTr="005F1899">
        <w:trPr>
          <w:trHeight w:val="70"/>
          <w:jc w:val="center"/>
        </w:trPr>
        <w:tc>
          <w:tcPr>
            <w:tcW w:w="5812" w:type="dxa"/>
            <w:tcBorders>
              <w:top w:val="double" w:sz="4" w:space="0" w:color="ED7C5D"/>
            </w:tcBorders>
            <w:noWrap/>
            <w:hideMark/>
          </w:tcPr>
          <w:p w14:paraId="2779F5FA" w14:textId="77777777" w:rsidR="0022235D" w:rsidRPr="00503F5B" w:rsidRDefault="0022235D" w:rsidP="00E6069B">
            <w:pPr>
              <w:rPr>
                <w:b/>
                <w:sz w:val="20"/>
                <w:szCs w:val="20"/>
              </w:rPr>
            </w:pPr>
            <w:r w:rsidRPr="00503F5B">
              <w:rPr>
                <w:b/>
                <w:sz w:val="20"/>
                <w:szCs w:val="20"/>
              </w:rPr>
              <w:t>Direct costs</w:t>
            </w:r>
          </w:p>
        </w:tc>
        <w:tc>
          <w:tcPr>
            <w:tcW w:w="2410" w:type="dxa"/>
            <w:tcBorders>
              <w:top w:val="double" w:sz="4" w:space="0" w:color="ED7C5D"/>
            </w:tcBorders>
            <w:noWrap/>
            <w:hideMark/>
          </w:tcPr>
          <w:p w14:paraId="0CDE2C93" w14:textId="77777777" w:rsidR="0022235D" w:rsidRPr="00503F5B" w:rsidRDefault="0022235D" w:rsidP="00E6069B">
            <w:pPr>
              <w:jc w:val="both"/>
              <w:rPr>
                <w:sz w:val="20"/>
                <w:szCs w:val="20"/>
              </w:rPr>
            </w:pPr>
            <w:r w:rsidRPr="00503F5B">
              <w:rPr>
                <w:sz w:val="20"/>
                <w:szCs w:val="20"/>
              </w:rPr>
              <w:t> </w:t>
            </w:r>
          </w:p>
        </w:tc>
      </w:tr>
      <w:tr w:rsidR="0022235D" w:rsidRPr="00503F5B" w14:paraId="254F8905" w14:textId="77777777" w:rsidTr="005F1899">
        <w:trPr>
          <w:trHeight w:val="80"/>
          <w:jc w:val="center"/>
        </w:trPr>
        <w:tc>
          <w:tcPr>
            <w:tcW w:w="5812" w:type="dxa"/>
            <w:noWrap/>
            <w:hideMark/>
          </w:tcPr>
          <w:p w14:paraId="129CAFB1" w14:textId="77777777" w:rsidR="0022235D" w:rsidRPr="00503F5B" w:rsidRDefault="0022235D" w:rsidP="00E6069B">
            <w:pPr>
              <w:rPr>
                <w:sz w:val="20"/>
                <w:szCs w:val="20"/>
              </w:rPr>
            </w:pPr>
            <w:r w:rsidRPr="00503F5B">
              <w:rPr>
                <w:sz w:val="20"/>
                <w:szCs w:val="20"/>
              </w:rPr>
              <w:t>Appliance operational staffing</w:t>
            </w:r>
          </w:p>
        </w:tc>
        <w:tc>
          <w:tcPr>
            <w:tcW w:w="2410" w:type="dxa"/>
            <w:noWrap/>
            <w:hideMark/>
          </w:tcPr>
          <w:p w14:paraId="200CC789" w14:textId="77777777" w:rsidR="0022235D" w:rsidRPr="00503F5B" w:rsidRDefault="0022235D" w:rsidP="00E6069B">
            <w:pPr>
              <w:jc w:val="right"/>
              <w:rPr>
                <w:sz w:val="20"/>
                <w:szCs w:val="20"/>
              </w:rPr>
            </w:pPr>
            <w:r w:rsidRPr="00503F5B">
              <w:rPr>
                <w:rFonts w:cs="Calibri"/>
                <w:sz w:val="20"/>
                <w:szCs w:val="20"/>
              </w:rPr>
              <w:t>$7,531</w:t>
            </w:r>
          </w:p>
        </w:tc>
      </w:tr>
      <w:tr w:rsidR="0022235D" w:rsidRPr="00503F5B" w14:paraId="4590AA7C" w14:textId="77777777" w:rsidTr="005F1899">
        <w:trPr>
          <w:trHeight w:val="70"/>
          <w:jc w:val="center"/>
        </w:trPr>
        <w:tc>
          <w:tcPr>
            <w:tcW w:w="5812" w:type="dxa"/>
            <w:noWrap/>
            <w:hideMark/>
          </w:tcPr>
          <w:p w14:paraId="77484BC5" w14:textId="77777777" w:rsidR="0022235D" w:rsidRPr="00503F5B" w:rsidRDefault="0022235D" w:rsidP="00E6069B">
            <w:pPr>
              <w:rPr>
                <w:sz w:val="20"/>
                <w:szCs w:val="20"/>
              </w:rPr>
            </w:pPr>
            <w:r w:rsidRPr="00503F5B">
              <w:rPr>
                <w:sz w:val="20"/>
                <w:szCs w:val="20"/>
              </w:rPr>
              <w:t>Appliance fuel</w:t>
            </w:r>
          </w:p>
        </w:tc>
        <w:tc>
          <w:tcPr>
            <w:tcW w:w="2410" w:type="dxa"/>
            <w:noWrap/>
            <w:hideMark/>
          </w:tcPr>
          <w:p w14:paraId="2B8FC54B" w14:textId="77777777" w:rsidR="0022235D" w:rsidRPr="00503F5B" w:rsidRDefault="0022235D" w:rsidP="00E6069B">
            <w:pPr>
              <w:jc w:val="right"/>
              <w:rPr>
                <w:sz w:val="20"/>
                <w:szCs w:val="20"/>
              </w:rPr>
            </w:pPr>
            <w:r w:rsidRPr="00503F5B">
              <w:rPr>
                <w:rFonts w:cs="Calibri"/>
                <w:sz w:val="20"/>
                <w:szCs w:val="20"/>
              </w:rPr>
              <w:t>$24</w:t>
            </w:r>
          </w:p>
        </w:tc>
      </w:tr>
      <w:tr w:rsidR="0022235D" w:rsidRPr="00503F5B" w14:paraId="30FDBA85" w14:textId="77777777" w:rsidTr="005F1899">
        <w:trPr>
          <w:trHeight w:val="70"/>
          <w:jc w:val="center"/>
        </w:trPr>
        <w:tc>
          <w:tcPr>
            <w:tcW w:w="5812" w:type="dxa"/>
            <w:noWrap/>
            <w:hideMark/>
          </w:tcPr>
          <w:p w14:paraId="59E92186" w14:textId="77777777" w:rsidR="0022235D" w:rsidRPr="00503F5B" w:rsidRDefault="0022235D" w:rsidP="00E6069B">
            <w:pPr>
              <w:rPr>
                <w:sz w:val="20"/>
                <w:szCs w:val="20"/>
              </w:rPr>
            </w:pPr>
            <w:r w:rsidRPr="00503F5B">
              <w:rPr>
                <w:sz w:val="20"/>
                <w:szCs w:val="20"/>
              </w:rPr>
              <w:t>Appliance maintenance</w:t>
            </w:r>
          </w:p>
        </w:tc>
        <w:tc>
          <w:tcPr>
            <w:tcW w:w="2410" w:type="dxa"/>
            <w:noWrap/>
            <w:hideMark/>
          </w:tcPr>
          <w:p w14:paraId="5FB800A6" w14:textId="77777777" w:rsidR="0022235D" w:rsidRPr="00503F5B" w:rsidRDefault="0022235D" w:rsidP="00E6069B">
            <w:pPr>
              <w:jc w:val="right"/>
              <w:rPr>
                <w:sz w:val="20"/>
                <w:szCs w:val="20"/>
              </w:rPr>
            </w:pPr>
            <w:r w:rsidRPr="00503F5B">
              <w:rPr>
                <w:rFonts w:cs="Calibri"/>
                <w:sz w:val="20"/>
                <w:szCs w:val="20"/>
              </w:rPr>
              <w:t>$170</w:t>
            </w:r>
          </w:p>
        </w:tc>
      </w:tr>
      <w:tr w:rsidR="0022235D" w:rsidRPr="00503F5B" w14:paraId="3D8B5756" w14:textId="77777777" w:rsidTr="005F1899">
        <w:trPr>
          <w:trHeight w:val="70"/>
          <w:jc w:val="center"/>
        </w:trPr>
        <w:tc>
          <w:tcPr>
            <w:tcW w:w="5812" w:type="dxa"/>
            <w:tcBorders>
              <w:bottom w:val="single" w:sz="4" w:space="0" w:color="ED7C5D"/>
            </w:tcBorders>
            <w:noWrap/>
            <w:hideMark/>
          </w:tcPr>
          <w:p w14:paraId="10E94E78" w14:textId="77777777" w:rsidR="0022235D" w:rsidRPr="00503F5B" w:rsidRDefault="0022235D" w:rsidP="00E6069B">
            <w:pPr>
              <w:rPr>
                <w:sz w:val="20"/>
                <w:szCs w:val="20"/>
              </w:rPr>
            </w:pPr>
            <w:r w:rsidRPr="00503F5B">
              <w:rPr>
                <w:sz w:val="20"/>
                <w:szCs w:val="20"/>
              </w:rPr>
              <w:t>Appliance fee</w:t>
            </w:r>
          </w:p>
        </w:tc>
        <w:tc>
          <w:tcPr>
            <w:tcW w:w="2410" w:type="dxa"/>
            <w:tcBorders>
              <w:bottom w:val="single" w:sz="4" w:space="0" w:color="ED7C5D"/>
            </w:tcBorders>
            <w:noWrap/>
            <w:hideMark/>
          </w:tcPr>
          <w:p w14:paraId="61741660" w14:textId="77777777" w:rsidR="0022235D" w:rsidRPr="00503F5B" w:rsidRDefault="0022235D" w:rsidP="00E6069B">
            <w:pPr>
              <w:jc w:val="right"/>
              <w:rPr>
                <w:sz w:val="20"/>
                <w:szCs w:val="20"/>
              </w:rPr>
            </w:pPr>
            <w:r w:rsidRPr="00503F5B">
              <w:rPr>
                <w:rFonts w:cs="Calibri"/>
                <w:sz w:val="20"/>
                <w:szCs w:val="20"/>
              </w:rPr>
              <w:t>$9</w:t>
            </w:r>
          </w:p>
        </w:tc>
      </w:tr>
      <w:tr w:rsidR="0022235D" w:rsidRPr="00503F5B" w14:paraId="347906A2" w14:textId="77777777" w:rsidTr="005F1899">
        <w:trPr>
          <w:trHeight w:val="70"/>
          <w:jc w:val="center"/>
        </w:trPr>
        <w:tc>
          <w:tcPr>
            <w:tcW w:w="5812" w:type="dxa"/>
            <w:tcBorders>
              <w:top w:val="single" w:sz="4" w:space="0" w:color="ED7C5D"/>
              <w:bottom w:val="single" w:sz="4" w:space="0" w:color="ED7C5D"/>
            </w:tcBorders>
            <w:noWrap/>
            <w:hideMark/>
          </w:tcPr>
          <w:p w14:paraId="25A25EC0" w14:textId="77777777" w:rsidR="0022235D" w:rsidRPr="00503F5B" w:rsidRDefault="0022235D" w:rsidP="00E6069B">
            <w:pPr>
              <w:rPr>
                <w:b/>
                <w:sz w:val="20"/>
                <w:szCs w:val="20"/>
              </w:rPr>
            </w:pPr>
            <w:r w:rsidRPr="00503F5B">
              <w:rPr>
                <w:b/>
                <w:sz w:val="20"/>
                <w:szCs w:val="20"/>
              </w:rPr>
              <w:t>Sub-total direct hourly cost per appliance</w:t>
            </w:r>
          </w:p>
        </w:tc>
        <w:tc>
          <w:tcPr>
            <w:tcW w:w="2410" w:type="dxa"/>
            <w:tcBorders>
              <w:top w:val="single" w:sz="4" w:space="0" w:color="ED7C5D"/>
              <w:bottom w:val="single" w:sz="4" w:space="0" w:color="ED7C5D"/>
            </w:tcBorders>
            <w:noWrap/>
            <w:hideMark/>
          </w:tcPr>
          <w:p w14:paraId="6119C3CA" w14:textId="77777777" w:rsidR="0022235D" w:rsidRPr="00503F5B" w:rsidRDefault="0022235D" w:rsidP="00E6069B">
            <w:pPr>
              <w:jc w:val="right"/>
              <w:rPr>
                <w:b/>
                <w:sz w:val="20"/>
                <w:szCs w:val="20"/>
              </w:rPr>
            </w:pPr>
            <w:r w:rsidRPr="00503F5B">
              <w:rPr>
                <w:rFonts w:cs="Calibri"/>
                <w:b/>
                <w:bCs/>
                <w:sz w:val="20"/>
                <w:szCs w:val="20"/>
              </w:rPr>
              <w:t>$7,734</w:t>
            </w:r>
          </w:p>
        </w:tc>
      </w:tr>
      <w:tr w:rsidR="0022235D" w:rsidRPr="00503F5B" w14:paraId="4C2A2F1E" w14:textId="77777777" w:rsidTr="005F1899">
        <w:trPr>
          <w:trHeight w:val="70"/>
          <w:jc w:val="center"/>
        </w:trPr>
        <w:tc>
          <w:tcPr>
            <w:tcW w:w="5812" w:type="dxa"/>
            <w:tcBorders>
              <w:top w:val="single" w:sz="4" w:space="0" w:color="ED7C5D"/>
            </w:tcBorders>
            <w:noWrap/>
            <w:hideMark/>
          </w:tcPr>
          <w:p w14:paraId="22003E0F" w14:textId="77777777" w:rsidR="0022235D" w:rsidRPr="00503F5B" w:rsidRDefault="0022235D" w:rsidP="00E6069B">
            <w:pPr>
              <w:rPr>
                <w:b/>
                <w:sz w:val="20"/>
                <w:szCs w:val="20"/>
              </w:rPr>
            </w:pPr>
            <w:r w:rsidRPr="00503F5B">
              <w:rPr>
                <w:b/>
                <w:sz w:val="20"/>
                <w:szCs w:val="20"/>
              </w:rPr>
              <w:t>Indirect costs</w:t>
            </w:r>
          </w:p>
        </w:tc>
        <w:tc>
          <w:tcPr>
            <w:tcW w:w="2410" w:type="dxa"/>
            <w:tcBorders>
              <w:top w:val="single" w:sz="4" w:space="0" w:color="ED7C5D"/>
            </w:tcBorders>
            <w:noWrap/>
            <w:hideMark/>
          </w:tcPr>
          <w:p w14:paraId="7E598AAE" w14:textId="77777777" w:rsidR="0022235D" w:rsidRPr="00503F5B" w:rsidRDefault="0022235D" w:rsidP="00E6069B">
            <w:pPr>
              <w:jc w:val="right"/>
              <w:rPr>
                <w:sz w:val="20"/>
                <w:szCs w:val="20"/>
              </w:rPr>
            </w:pPr>
            <w:r w:rsidRPr="00503F5B">
              <w:rPr>
                <w:rFonts w:cs="Calibri"/>
                <w:sz w:val="20"/>
                <w:szCs w:val="20"/>
              </w:rPr>
              <w:t> </w:t>
            </w:r>
          </w:p>
        </w:tc>
      </w:tr>
      <w:tr w:rsidR="0022235D" w:rsidRPr="00503F5B" w14:paraId="24552F88" w14:textId="77777777" w:rsidTr="005F1899">
        <w:trPr>
          <w:trHeight w:val="70"/>
          <w:jc w:val="center"/>
        </w:trPr>
        <w:tc>
          <w:tcPr>
            <w:tcW w:w="5812" w:type="dxa"/>
            <w:noWrap/>
            <w:hideMark/>
          </w:tcPr>
          <w:p w14:paraId="095E801F" w14:textId="77777777" w:rsidR="0022235D" w:rsidRPr="001812D0" w:rsidRDefault="0022235D" w:rsidP="00E6069B">
            <w:pPr>
              <w:rPr>
                <w:sz w:val="20"/>
                <w:szCs w:val="20"/>
              </w:rPr>
            </w:pPr>
            <w:r w:rsidRPr="001812D0">
              <w:rPr>
                <w:sz w:val="20"/>
                <w:szCs w:val="20"/>
              </w:rPr>
              <w:t>Overtime and allowances for station personnel</w:t>
            </w:r>
          </w:p>
        </w:tc>
        <w:tc>
          <w:tcPr>
            <w:tcW w:w="2410" w:type="dxa"/>
            <w:noWrap/>
            <w:hideMark/>
          </w:tcPr>
          <w:p w14:paraId="0965E029" w14:textId="77777777" w:rsidR="0022235D" w:rsidRPr="00503F5B" w:rsidRDefault="0022235D" w:rsidP="00E6069B">
            <w:pPr>
              <w:jc w:val="right"/>
              <w:rPr>
                <w:sz w:val="20"/>
                <w:szCs w:val="20"/>
              </w:rPr>
            </w:pPr>
            <w:r w:rsidRPr="001812D0">
              <w:rPr>
                <w:rFonts w:cs="Calibri"/>
                <w:sz w:val="20"/>
                <w:szCs w:val="20"/>
              </w:rPr>
              <w:t>$1,141</w:t>
            </w:r>
          </w:p>
        </w:tc>
      </w:tr>
      <w:tr w:rsidR="0022235D" w:rsidRPr="00503F5B" w14:paraId="0501959C" w14:textId="77777777" w:rsidTr="005F1899">
        <w:trPr>
          <w:trHeight w:val="70"/>
          <w:jc w:val="center"/>
        </w:trPr>
        <w:tc>
          <w:tcPr>
            <w:tcW w:w="5812" w:type="dxa"/>
            <w:noWrap/>
            <w:hideMark/>
          </w:tcPr>
          <w:p w14:paraId="730D3571" w14:textId="77777777" w:rsidR="0022235D" w:rsidRPr="00503F5B" w:rsidRDefault="0022235D" w:rsidP="00E6069B">
            <w:pPr>
              <w:rPr>
                <w:sz w:val="20"/>
                <w:szCs w:val="20"/>
              </w:rPr>
            </w:pPr>
            <w:r w:rsidRPr="00503F5B">
              <w:rPr>
                <w:sz w:val="20"/>
                <w:szCs w:val="20"/>
              </w:rPr>
              <w:t>Personal protective equipment</w:t>
            </w:r>
          </w:p>
        </w:tc>
        <w:tc>
          <w:tcPr>
            <w:tcW w:w="2410" w:type="dxa"/>
            <w:noWrap/>
            <w:hideMark/>
          </w:tcPr>
          <w:p w14:paraId="5CC8235D" w14:textId="77777777" w:rsidR="0022235D" w:rsidRPr="00503F5B" w:rsidRDefault="0022235D" w:rsidP="00E6069B">
            <w:pPr>
              <w:jc w:val="right"/>
              <w:rPr>
                <w:sz w:val="20"/>
                <w:szCs w:val="20"/>
              </w:rPr>
            </w:pPr>
            <w:r w:rsidRPr="00503F5B">
              <w:rPr>
                <w:rFonts w:cs="Calibri"/>
                <w:sz w:val="20"/>
                <w:szCs w:val="20"/>
              </w:rPr>
              <w:t>$73</w:t>
            </w:r>
          </w:p>
        </w:tc>
      </w:tr>
      <w:tr w:rsidR="0022235D" w:rsidRPr="00503F5B" w14:paraId="3B097780" w14:textId="77777777" w:rsidTr="005F1899">
        <w:trPr>
          <w:trHeight w:val="70"/>
          <w:jc w:val="center"/>
        </w:trPr>
        <w:tc>
          <w:tcPr>
            <w:tcW w:w="5812" w:type="dxa"/>
            <w:noWrap/>
            <w:hideMark/>
          </w:tcPr>
          <w:p w14:paraId="28D52796" w14:textId="77777777" w:rsidR="0022235D" w:rsidRPr="00503F5B" w:rsidRDefault="0022235D" w:rsidP="00E6069B">
            <w:pPr>
              <w:rPr>
                <w:sz w:val="20"/>
                <w:szCs w:val="20"/>
              </w:rPr>
            </w:pPr>
            <w:r w:rsidRPr="00503F5B">
              <w:rPr>
                <w:sz w:val="20"/>
                <w:szCs w:val="20"/>
              </w:rPr>
              <w:t>Training</w:t>
            </w:r>
          </w:p>
        </w:tc>
        <w:tc>
          <w:tcPr>
            <w:tcW w:w="2410" w:type="dxa"/>
            <w:noWrap/>
            <w:hideMark/>
          </w:tcPr>
          <w:p w14:paraId="145C7BE3" w14:textId="77777777" w:rsidR="0022235D" w:rsidRPr="00503F5B" w:rsidRDefault="0022235D" w:rsidP="00E6069B">
            <w:pPr>
              <w:jc w:val="right"/>
              <w:rPr>
                <w:sz w:val="20"/>
                <w:szCs w:val="20"/>
              </w:rPr>
            </w:pPr>
            <w:r w:rsidRPr="00503F5B">
              <w:rPr>
                <w:rFonts w:cs="Calibri"/>
                <w:sz w:val="20"/>
                <w:szCs w:val="20"/>
              </w:rPr>
              <w:t>$18</w:t>
            </w:r>
          </w:p>
        </w:tc>
      </w:tr>
      <w:tr w:rsidR="0022235D" w:rsidRPr="00503F5B" w14:paraId="534CC344" w14:textId="77777777" w:rsidTr="005F1899">
        <w:trPr>
          <w:trHeight w:val="70"/>
          <w:jc w:val="center"/>
        </w:trPr>
        <w:tc>
          <w:tcPr>
            <w:tcW w:w="5812" w:type="dxa"/>
            <w:tcBorders>
              <w:bottom w:val="single" w:sz="4" w:space="0" w:color="ED7C5D"/>
            </w:tcBorders>
            <w:noWrap/>
            <w:hideMark/>
          </w:tcPr>
          <w:p w14:paraId="753A40A4" w14:textId="77777777" w:rsidR="0022235D" w:rsidRPr="00503F5B" w:rsidRDefault="0022235D" w:rsidP="00E6069B">
            <w:pPr>
              <w:rPr>
                <w:sz w:val="20"/>
                <w:szCs w:val="20"/>
              </w:rPr>
            </w:pPr>
            <w:r w:rsidRPr="00503F5B">
              <w:rPr>
                <w:sz w:val="20"/>
                <w:szCs w:val="20"/>
              </w:rPr>
              <w:t>Administrative support</w:t>
            </w:r>
          </w:p>
        </w:tc>
        <w:tc>
          <w:tcPr>
            <w:tcW w:w="2410" w:type="dxa"/>
            <w:tcBorders>
              <w:bottom w:val="single" w:sz="4" w:space="0" w:color="ED7C5D"/>
            </w:tcBorders>
            <w:noWrap/>
            <w:hideMark/>
          </w:tcPr>
          <w:p w14:paraId="56CEB6EF" w14:textId="77777777" w:rsidR="0022235D" w:rsidRPr="00503F5B" w:rsidRDefault="0022235D" w:rsidP="00E6069B">
            <w:pPr>
              <w:jc w:val="right"/>
              <w:rPr>
                <w:sz w:val="20"/>
                <w:szCs w:val="20"/>
              </w:rPr>
            </w:pPr>
            <w:r w:rsidRPr="00503F5B">
              <w:rPr>
                <w:rFonts w:cs="Calibri"/>
                <w:sz w:val="20"/>
                <w:szCs w:val="20"/>
              </w:rPr>
              <w:t>$1,348</w:t>
            </w:r>
          </w:p>
        </w:tc>
      </w:tr>
      <w:tr w:rsidR="0022235D" w:rsidRPr="00503F5B" w14:paraId="62196852" w14:textId="77777777" w:rsidTr="005F1899">
        <w:trPr>
          <w:trHeight w:val="70"/>
          <w:jc w:val="center"/>
        </w:trPr>
        <w:tc>
          <w:tcPr>
            <w:tcW w:w="5812" w:type="dxa"/>
            <w:tcBorders>
              <w:top w:val="single" w:sz="4" w:space="0" w:color="ED7C5D"/>
              <w:bottom w:val="single" w:sz="4" w:space="0" w:color="ED7C5D"/>
            </w:tcBorders>
            <w:noWrap/>
            <w:hideMark/>
          </w:tcPr>
          <w:p w14:paraId="42EBFCBE" w14:textId="77777777" w:rsidR="0022235D" w:rsidRPr="00503F5B" w:rsidRDefault="0022235D" w:rsidP="00E6069B">
            <w:pPr>
              <w:rPr>
                <w:b/>
                <w:sz w:val="20"/>
                <w:szCs w:val="20"/>
              </w:rPr>
            </w:pPr>
            <w:r w:rsidRPr="00503F5B">
              <w:rPr>
                <w:b/>
                <w:sz w:val="20"/>
                <w:szCs w:val="20"/>
              </w:rPr>
              <w:t>Sub-total indirect hourly cost per appliance</w:t>
            </w:r>
          </w:p>
        </w:tc>
        <w:tc>
          <w:tcPr>
            <w:tcW w:w="2410" w:type="dxa"/>
            <w:tcBorders>
              <w:top w:val="single" w:sz="4" w:space="0" w:color="ED7C5D"/>
              <w:bottom w:val="single" w:sz="4" w:space="0" w:color="ED7C5D"/>
            </w:tcBorders>
            <w:noWrap/>
            <w:hideMark/>
          </w:tcPr>
          <w:p w14:paraId="724BD438" w14:textId="77777777" w:rsidR="0022235D" w:rsidRPr="00503F5B" w:rsidRDefault="0022235D" w:rsidP="00E6069B">
            <w:pPr>
              <w:jc w:val="right"/>
              <w:rPr>
                <w:b/>
                <w:sz w:val="20"/>
                <w:szCs w:val="20"/>
              </w:rPr>
            </w:pPr>
            <w:r w:rsidRPr="00503F5B">
              <w:rPr>
                <w:rFonts w:cs="Calibri"/>
                <w:b/>
                <w:bCs/>
                <w:sz w:val="20"/>
                <w:szCs w:val="20"/>
              </w:rPr>
              <w:t>$2,580</w:t>
            </w:r>
          </w:p>
        </w:tc>
      </w:tr>
      <w:tr w:rsidR="0022235D" w:rsidRPr="00503F5B" w14:paraId="4BD8B5BA" w14:textId="77777777" w:rsidTr="009917B8">
        <w:trPr>
          <w:trHeight w:val="80"/>
          <w:jc w:val="center"/>
        </w:trPr>
        <w:tc>
          <w:tcPr>
            <w:tcW w:w="5812" w:type="dxa"/>
            <w:tcBorders>
              <w:top w:val="single" w:sz="4" w:space="0" w:color="ED7C5D"/>
              <w:bottom w:val="single" w:sz="4" w:space="0" w:color="ED7C5D"/>
            </w:tcBorders>
            <w:shd w:val="clear" w:color="auto" w:fill="D9D9D9" w:themeFill="background1" w:themeFillShade="D9"/>
            <w:noWrap/>
            <w:hideMark/>
          </w:tcPr>
          <w:p w14:paraId="03C3F4EC" w14:textId="77777777" w:rsidR="0022235D" w:rsidRPr="00503F5B" w:rsidRDefault="0022235D" w:rsidP="00E6069B">
            <w:pPr>
              <w:rPr>
                <w:b/>
                <w:bCs/>
                <w:i/>
                <w:sz w:val="20"/>
                <w:szCs w:val="20"/>
              </w:rPr>
            </w:pPr>
            <w:r w:rsidRPr="00503F5B">
              <w:rPr>
                <w:b/>
                <w:bCs/>
                <w:i/>
                <w:sz w:val="20"/>
                <w:szCs w:val="20"/>
              </w:rPr>
              <w:t>Total hourly direct and indirect cost per appliance</w:t>
            </w:r>
          </w:p>
        </w:tc>
        <w:tc>
          <w:tcPr>
            <w:tcW w:w="2410" w:type="dxa"/>
            <w:tcBorders>
              <w:top w:val="single" w:sz="4" w:space="0" w:color="ED7C5D"/>
              <w:bottom w:val="single" w:sz="4" w:space="0" w:color="ED7C5D"/>
            </w:tcBorders>
            <w:shd w:val="clear" w:color="auto" w:fill="D9D9D9" w:themeFill="background1" w:themeFillShade="D9"/>
            <w:noWrap/>
            <w:hideMark/>
          </w:tcPr>
          <w:p w14:paraId="0F97C121" w14:textId="77777777" w:rsidR="0022235D" w:rsidRPr="00503F5B" w:rsidRDefault="0022235D" w:rsidP="00E6069B">
            <w:pPr>
              <w:jc w:val="right"/>
              <w:rPr>
                <w:b/>
                <w:i/>
                <w:sz w:val="20"/>
                <w:szCs w:val="20"/>
              </w:rPr>
            </w:pPr>
            <w:r w:rsidRPr="00503F5B">
              <w:rPr>
                <w:rFonts w:cs="Calibri"/>
                <w:b/>
                <w:bCs/>
                <w:i/>
                <w:iCs/>
                <w:sz w:val="20"/>
                <w:szCs w:val="20"/>
              </w:rPr>
              <w:t>$10,314</w:t>
            </w:r>
          </w:p>
        </w:tc>
      </w:tr>
    </w:tbl>
    <w:p w14:paraId="79A7EC79" w14:textId="3A27C6C8" w:rsidR="008338C1" w:rsidRPr="00503F5B" w:rsidRDefault="008338C1" w:rsidP="001D51D6">
      <w:pPr>
        <w:jc w:val="both"/>
      </w:pPr>
    </w:p>
    <w:p w14:paraId="7BC4686E" w14:textId="4ACEEE48" w:rsidR="00D13833" w:rsidRDefault="00D13833" w:rsidP="00D13833">
      <w:pPr>
        <w:jc w:val="both"/>
        <w:rPr>
          <w:rFonts w:cs="Calibri"/>
          <w:color w:val="auto"/>
        </w:rPr>
      </w:pPr>
      <w:r w:rsidRPr="00503F5B">
        <w:t>The total direct and indirect cost</w:t>
      </w:r>
      <w:r w:rsidR="00D23B9E" w:rsidRPr="00503F5B">
        <w:t>s</w:t>
      </w:r>
      <w:r w:rsidRPr="00503F5B">
        <w:t xml:space="preserve"> of false alarm attendances for CFA integrated stations have been estimated to be approximately </w:t>
      </w:r>
      <w:r w:rsidR="00D86E69" w:rsidRPr="00503F5B">
        <w:t>$25.63</w:t>
      </w:r>
      <w:r w:rsidRPr="00503F5B">
        <w:t xml:space="preserve"> million for 2018-19 (see </w:t>
      </w:r>
      <w:r w:rsidR="005F1899" w:rsidRPr="00503F5B">
        <w:t xml:space="preserve">Section </w:t>
      </w:r>
      <w:r w:rsidRPr="00503F5B">
        <w:t>A</w:t>
      </w:r>
      <w:r w:rsidR="005F1899" w:rsidRPr="00503F5B">
        <w:t>2</w:t>
      </w:r>
      <w:r w:rsidRPr="00503F5B">
        <w:t xml:space="preserve">.3 of Appendix </w:t>
      </w:r>
      <w:r w:rsidR="005F1899" w:rsidRPr="00503F5B">
        <w:t>2</w:t>
      </w:r>
      <w:r w:rsidRPr="00503F5B">
        <w:t xml:space="preserve"> for source of estimate).  Dividing this total cost by the average total number of hours spent by appliances for false alarm incidents over 4 years in Table 7 (i.e. </w:t>
      </w:r>
      <w:r w:rsidR="005F1899" w:rsidRPr="00503F5B">
        <w:t>3,751</w:t>
      </w:r>
      <w:r w:rsidRPr="00503F5B">
        <w:t xml:space="preserve"> hours) provides an estimated </w:t>
      </w:r>
      <w:r w:rsidRPr="00503F5B">
        <w:rPr>
          <w:b/>
        </w:rPr>
        <w:t xml:space="preserve">hourly </w:t>
      </w:r>
      <w:r w:rsidR="005F1899" w:rsidRPr="00503F5B">
        <w:rPr>
          <w:b/>
        </w:rPr>
        <w:t xml:space="preserve">attendance </w:t>
      </w:r>
      <w:r w:rsidRPr="00503F5B">
        <w:rPr>
          <w:b/>
        </w:rPr>
        <w:t xml:space="preserve">cost per appliance of </w:t>
      </w:r>
      <w:r w:rsidR="005F1899" w:rsidRPr="00503F5B">
        <w:rPr>
          <w:b/>
          <w:bCs/>
        </w:rPr>
        <w:t xml:space="preserve">$6,833.43 (or a quarterly hour cost of </w:t>
      </w:r>
      <w:r w:rsidR="00EF2AAB" w:rsidRPr="00503F5B">
        <w:rPr>
          <w:b/>
          <w:bCs/>
        </w:rPr>
        <w:t>$1,708.36)</w:t>
      </w:r>
      <w:r w:rsidRPr="00503F5B">
        <w:t>.  The breakup of direct and indirect cost components is provided in Table 1</w:t>
      </w:r>
      <w:r w:rsidR="005F1899" w:rsidRPr="00503F5B">
        <w:t>3</w:t>
      </w:r>
      <w:r w:rsidRPr="00503F5B">
        <w:t xml:space="preserve">.  </w:t>
      </w:r>
      <w:r w:rsidR="001F22AB" w:rsidRPr="00503F5B">
        <w:rPr>
          <w:rFonts w:cs="Calibri"/>
          <w:color w:val="auto"/>
        </w:rPr>
        <w:t>The largest proportion of costs (i.e. 72.72</w:t>
      </w:r>
      <w:r w:rsidR="00DE39B1" w:rsidRPr="00503F5B">
        <w:rPr>
          <w:rFonts w:cs="Calibri"/>
          <w:color w:val="auto"/>
        </w:rPr>
        <w:t xml:space="preserve"> per cent</w:t>
      </w:r>
      <w:r w:rsidR="001F22AB" w:rsidRPr="00503F5B">
        <w:rPr>
          <w:rFonts w:cs="Calibri"/>
          <w:color w:val="auto"/>
        </w:rPr>
        <w:t xml:space="preserve"> of overall costs) is represented by direct staffing including operational staffing costs, followed by estimated indirect costs (i.e. 25.02</w:t>
      </w:r>
      <w:r w:rsidR="00DE39B1" w:rsidRPr="00503F5B">
        <w:rPr>
          <w:rFonts w:cs="Calibri"/>
          <w:color w:val="auto"/>
        </w:rPr>
        <w:t xml:space="preserve"> per cent</w:t>
      </w:r>
      <w:r w:rsidR="001F22AB" w:rsidRPr="00503F5B">
        <w:rPr>
          <w:rFonts w:cs="Calibri"/>
          <w:color w:val="auto"/>
        </w:rPr>
        <w:t xml:space="preserve"> of overall costs).</w:t>
      </w:r>
      <w:r w:rsidR="00EE196E" w:rsidRPr="00503F5B">
        <w:rPr>
          <w:rFonts w:cs="Calibri"/>
          <w:color w:val="auto"/>
        </w:rPr>
        <w:t xml:space="preserve"> </w:t>
      </w:r>
      <w:r w:rsidR="00C45218" w:rsidRPr="00503F5B">
        <w:rPr>
          <w:rFonts w:cs="Calibri"/>
          <w:color w:val="auto"/>
        </w:rPr>
        <w:t>C</w:t>
      </w:r>
      <w:r w:rsidR="00EE196E" w:rsidRPr="00503F5B">
        <w:rPr>
          <w:rFonts w:cs="Calibri"/>
          <w:color w:val="auto"/>
        </w:rPr>
        <w:t xml:space="preserve">ost estimates allow for a multiplier of 4.89 (reflecting firefighters when they are not on shift) or, in other words – costs reflect 19 firefighters to account for the manning of appliances by 4 firefighters at any one time.  </w:t>
      </w:r>
      <w:r w:rsidR="00001E4A">
        <w:rPr>
          <w:rFonts w:cs="Calibri"/>
          <w:color w:val="auto"/>
        </w:rPr>
        <w:t xml:space="preserve"> </w:t>
      </w:r>
      <w:bookmarkStart w:id="111" w:name="_Hlk39661383"/>
      <w:r w:rsidR="000F598A">
        <w:rPr>
          <w:rFonts w:cs="Calibri"/>
          <w:color w:val="auto"/>
        </w:rPr>
        <w:t xml:space="preserve">Differences between CFA and MFB hourly alarm charges </w:t>
      </w:r>
      <w:r w:rsidR="00FF7386">
        <w:rPr>
          <w:rFonts w:cs="Calibri"/>
          <w:color w:val="auto"/>
        </w:rPr>
        <w:t>can be attributable to attendance of CFA volunteers in integrated stations, and appliance maintenance and servicing costs.</w:t>
      </w:r>
      <w:bookmarkEnd w:id="111"/>
    </w:p>
    <w:p w14:paraId="7F981280" w14:textId="77777777" w:rsidR="009374D5" w:rsidRPr="00503F5B" w:rsidRDefault="009374D5" w:rsidP="00D13833">
      <w:pPr>
        <w:jc w:val="both"/>
      </w:pPr>
    </w:p>
    <w:p w14:paraId="2258C7D5" w14:textId="77777777" w:rsidR="005F1899" w:rsidRPr="00503F5B" w:rsidRDefault="00D13833" w:rsidP="00D13833">
      <w:pPr>
        <w:jc w:val="center"/>
        <w:rPr>
          <w:b/>
          <w:sz w:val="20"/>
          <w:szCs w:val="20"/>
        </w:rPr>
      </w:pPr>
      <w:r w:rsidRPr="00503F5B">
        <w:rPr>
          <w:b/>
          <w:sz w:val="20"/>
          <w:szCs w:val="20"/>
        </w:rPr>
        <w:t>Table</w:t>
      </w:r>
      <w:r w:rsidR="005F1899" w:rsidRPr="00503F5B">
        <w:rPr>
          <w:b/>
          <w:sz w:val="20"/>
          <w:szCs w:val="20"/>
        </w:rPr>
        <w:t xml:space="preserve"> 13</w:t>
      </w:r>
      <w:r w:rsidRPr="00503F5B">
        <w:rPr>
          <w:b/>
          <w:sz w:val="20"/>
          <w:szCs w:val="20"/>
        </w:rPr>
        <w:t xml:space="preserve">: Hourly cost per appliance for false alarm attendances by CFA integrated stations </w:t>
      </w:r>
    </w:p>
    <w:p w14:paraId="38E7509A" w14:textId="48208345" w:rsidR="00D13833" w:rsidRPr="00503F5B" w:rsidRDefault="00D13833" w:rsidP="00D13833">
      <w:pPr>
        <w:jc w:val="center"/>
        <w:rPr>
          <w:b/>
          <w:sz w:val="20"/>
          <w:szCs w:val="20"/>
        </w:rPr>
      </w:pPr>
      <w:r w:rsidRPr="00503F5B">
        <w:rPr>
          <w:b/>
          <w:sz w:val="20"/>
          <w:szCs w:val="20"/>
        </w:rPr>
        <w:t>– 2018-19</w:t>
      </w:r>
    </w:p>
    <w:p w14:paraId="1D0BFB8A" w14:textId="77777777" w:rsidR="00D13833" w:rsidRPr="00503F5B" w:rsidRDefault="00D13833" w:rsidP="00D13833">
      <w:pPr>
        <w:jc w:val="both"/>
      </w:pPr>
    </w:p>
    <w:tbl>
      <w:tblPr>
        <w:tblW w:w="8186" w:type="dxa"/>
        <w:jc w:val="center"/>
        <w:tblLook w:val="04A0" w:firstRow="1" w:lastRow="0" w:firstColumn="1" w:lastColumn="0" w:noHBand="0" w:noVBand="1"/>
      </w:tblPr>
      <w:tblGrid>
        <w:gridCol w:w="6521"/>
        <w:gridCol w:w="1665"/>
      </w:tblGrid>
      <w:tr w:rsidR="00D13833" w:rsidRPr="00503F5B" w14:paraId="7B67D284" w14:textId="77777777" w:rsidTr="005F1899">
        <w:trPr>
          <w:trHeight w:val="70"/>
          <w:tblHeader/>
          <w:jc w:val="center"/>
        </w:trPr>
        <w:tc>
          <w:tcPr>
            <w:tcW w:w="6521" w:type="dxa"/>
            <w:tcBorders>
              <w:top w:val="single" w:sz="4" w:space="0" w:color="ED7C5D"/>
              <w:left w:val="nil"/>
              <w:bottom w:val="double" w:sz="4" w:space="0" w:color="ED7C5D"/>
              <w:right w:val="nil"/>
            </w:tcBorders>
            <w:shd w:val="clear" w:color="000000" w:fill="FFFFFF"/>
            <w:noWrap/>
            <w:hideMark/>
          </w:tcPr>
          <w:p w14:paraId="6FBD9D92" w14:textId="77777777" w:rsidR="00D13833" w:rsidRPr="00503F5B" w:rsidRDefault="00D13833" w:rsidP="00E6069B">
            <w:pPr>
              <w:rPr>
                <w:rFonts w:eastAsia="Times New Roman" w:cs="Calibri"/>
                <w:b/>
                <w:bCs/>
                <w:color w:val="C00000"/>
                <w:sz w:val="20"/>
                <w:szCs w:val="20"/>
                <w:lang w:eastAsia="en-AU"/>
              </w:rPr>
            </w:pPr>
            <w:r w:rsidRPr="00503F5B">
              <w:rPr>
                <w:rFonts w:eastAsia="Times New Roman" w:cs="Calibri"/>
                <w:b/>
                <w:bCs/>
                <w:color w:val="C00000"/>
                <w:sz w:val="20"/>
                <w:szCs w:val="20"/>
                <w:lang w:eastAsia="en-AU"/>
              </w:rPr>
              <w:t>Direct and Indirect hourly costs</w:t>
            </w:r>
          </w:p>
        </w:tc>
        <w:tc>
          <w:tcPr>
            <w:tcW w:w="1665" w:type="dxa"/>
            <w:tcBorders>
              <w:top w:val="single" w:sz="4" w:space="0" w:color="ED7C5D"/>
              <w:left w:val="nil"/>
              <w:bottom w:val="double" w:sz="4" w:space="0" w:color="ED7C5D"/>
              <w:right w:val="nil"/>
            </w:tcBorders>
            <w:shd w:val="clear" w:color="000000" w:fill="FFFFFF"/>
            <w:noWrap/>
            <w:hideMark/>
          </w:tcPr>
          <w:p w14:paraId="5852CBF8" w14:textId="77777777" w:rsidR="00D13833" w:rsidRPr="00503F5B" w:rsidRDefault="00D13833" w:rsidP="00E6069B">
            <w:pPr>
              <w:jc w:val="right"/>
              <w:rPr>
                <w:rFonts w:eastAsia="Times New Roman" w:cs="Calibri"/>
                <w:b/>
                <w:bCs/>
                <w:color w:val="C00000"/>
                <w:sz w:val="20"/>
                <w:szCs w:val="20"/>
                <w:lang w:eastAsia="en-AU"/>
              </w:rPr>
            </w:pPr>
            <w:r w:rsidRPr="00503F5B">
              <w:rPr>
                <w:rFonts w:eastAsia="Times New Roman" w:cs="Calibri"/>
                <w:b/>
                <w:bCs/>
                <w:color w:val="C00000"/>
                <w:sz w:val="20"/>
                <w:szCs w:val="20"/>
                <w:lang w:eastAsia="en-AU"/>
              </w:rPr>
              <w:t>Hourly cost per appliance for false alarm attendances</w:t>
            </w:r>
          </w:p>
        </w:tc>
      </w:tr>
      <w:tr w:rsidR="00D13833" w:rsidRPr="00503F5B" w14:paraId="5C82AC2F" w14:textId="77777777" w:rsidTr="005F1899">
        <w:trPr>
          <w:trHeight w:val="35"/>
          <w:jc w:val="center"/>
        </w:trPr>
        <w:tc>
          <w:tcPr>
            <w:tcW w:w="6521" w:type="dxa"/>
            <w:tcBorders>
              <w:top w:val="double" w:sz="4" w:space="0" w:color="ED7C5D"/>
              <w:left w:val="nil"/>
              <w:bottom w:val="nil"/>
              <w:right w:val="nil"/>
            </w:tcBorders>
            <w:shd w:val="clear" w:color="000000" w:fill="FFFFFF"/>
            <w:noWrap/>
            <w:hideMark/>
          </w:tcPr>
          <w:p w14:paraId="59040198" w14:textId="77777777" w:rsidR="00D13833" w:rsidRPr="00503F5B" w:rsidRDefault="00D13833" w:rsidP="00E6069B">
            <w:pPr>
              <w:rPr>
                <w:rFonts w:eastAsia="Times New Roman" w:cs="Calibri"/>
                <w:sz w:val="20"/>
                <w:szCs w:val="20"/>
                <w:lang w:eastAsia="en-AU"/>
              </w:rPr>
            </w:pPr>
            <w:r w:rsidRPr="00503F5B">
              <w:rPr>
                <w:rFonts w:eastAsia="Times New Roman" w:cs="Calibri"/>
                <w:sz w:val="20"/>
                <w:szCs w:val="20"/>
                <w:lang w:eastAsia="en-AU"/>
              </w:rPr>
              <w:t>Appliance maintenance and support</w:t>
            </w:r>
          </w:p>
        </w:tc>
        <w:tc>
          <w:tcPr>
            <w:tcW w:w="1665" w:type="dxa"/>
            <w:tcBorders>
              <w:top w:val="double" w:sz="4" w:space="0" w:color="ED7C5D"/>
              <w:left w:val="nil"/>
              <w:bottom w:val="nil"/>
              <w:right w:val="nil"/>
            </w:tcBorders>
            <w:shd w:val="clear" w:color="000000" w:fill="FFFFFF"/>
            <w:noWrap/>
            <w:vAlign w:val="bottom"/>
            <w:hideMark/>
          </w:tcPr>
          <w:p w14:paraId="09BE16F0" w14:textId="77777777" w:rsidR="00D13833" w:rsidRPr="00503F5B" w:rsidRDefault="00D13833" w:rsidP="00E6069B">
            <w:pPr>
              <w:jc w:val="right"/>
              <w:rPr>
                <w:rFonts w:eastAsia="Times New Roman" w:cs="Calibri"/>
                <w:sz w:val="20"/>
                <w:szCs w:val="20"/>
                <w:lang w:eastAsia="en-AU"/>
              </w:rPr>
            </w:pPr>
            <w:r w:rsidRPr="00503F5B">
              <w:rPr>
                <w:rFonts w:cs="Calibri"/>
                <w:sz w:val="20"/>
                <w:szCs w:val="20"/>
              </w:rPr>
              <w:t>$37</w:t>
            </w:r>
          </w:p>
        </w:tc>
      </w:tr>
      <w:tr w:rsidR="00D13833" w:rsidRPr="00503F5B" w14:paraId="4FA01073" w14:textId="77777777" w:rsidTr="005F1899">
        <w:trPr>
          <w:trHeight w:val="80"/>
          <w:jc w:val="center"/>
        </w:trPr>
        <w:tc>
          <w:tcPr>
            <w:tcW w:w="6521" w:type="dxa"/>
            <w:tcBorders>
              <w:top w:val="nil"/>
              <w:left w:val="nil"/>
              <w:bottom w:val="nil"/>
              <w:right w:val="nil"/>
            </w:tcBorders>
            <w:shd w:val="clear" w:color="000000" w:fill="FFFFFF"/>
            <w:noWrap/>
            <w:hideMark/>
          </w:tcPr>
          <w:p w14:paraId="1C146D5B" w14:textId="77777777" w:rsidR="00D13833" w:rsidRPr="00503F5B" w:rsidRDefault="00D13833" w:rsidP="00E6069B">
            <w:pPr>
              <w:rPr>
                <w:rFonts w:eastAsia="Times New Roman" w:cs="Calibri"/>
                <w:sz w:val="20"/>
                <w:szCs w:val="20"/>
                <w:lang w:eastAsia="en-AU"/>
              </w:rPr>
            </w:pPr>
            <w:r w:rsidRPr="00503F5B">
              <w:rPr>
                <w:rFonts w:eastAsia="Times New Roman" w:cs="Calibri"/>
                <w:sz w:val="20"/>
                <w:szCs w:val="20"/>
                <w:lang w:eastAsia="en-AU"/>
              </w:rPr>
              <w:t>Appliance licencing</w:t>
            </w:r>
          </w:p>
        </w:tc>
        <w:tc>
          <w:tcPr>
            <w:tcW w:w="1665" w:type="dxa"/>
            <w:tcBorders>
              <w:top w:val="nil"/>
              <w:left w:val="nil"/>
              <w:bottom w:val="nil"/>
              <w:right w:val="nil"/>
            </w:tcBorders>
            <w:shd w:val="clear" w:color="000000" w:fill="FFFFFF"/>
            <w:noWrap/>
            <w:vAlign w:val="bottom"/>
            <w:hideMark/>
          </w:tcPr>
          <w:p w14:paraId="56B3ED36" w14:textId="77777777" w:rsidR="00D13833" w:rsidRPr="00503F5B" w:rsidRDefault="00D13833" w:rsidP="00E6069B">
            <w:pPr>
              <w:jc w:val="right"/>
              <w:rPr>
                <w:rFonts w:eastAsia="Times New Roman" w:cs="Calibri"/>
                <w:sz w:val="20"/>
                <w:szCs w:val="20"/>
                <w:lang w:eastAsia="en-AU"/>
              </w:rPr>
            </w:pPr>
            <w:r w:rsidRPr="00503F5B">
              <w:rPr>
                <w:rFonts w:cs="Calibri"/>
                <w:sz w:val="20"/>
                <w:szCs w:val="20"/>
              </w:rPr>
              <w:t>$2</w:t>
            </w:r>
          </w:p>
        </w:tc>
      </w:tr>
      <w:tr w:rsidR="00D13833" w:rsidRPr="00503F5B" w14:paraId="0EC0E81C" w14:textId="77777777" w:rsidTr="005F1899">
        <w:trPr>
          <w:trHeight w:val="80"/>
          <w:jc w:val="center"/>
        </w:trPr>
        <w:tc>
          <w:tcPr>
            <w:tcW w:w="6521" w:type="dxa"/>
            <w:tcBorders>
              <w:top w:val="nil"/>
              <w:left w:val="nil"/>
              <w:bottom w:val="single" w:sz="4" w:space="0" w:color="ED7C5D"/>
              <w:right w:val="nil"/>
            </w:tcBorders>
            <w:shd w:val="clear" w:color="000000" w:fill="FFFFFF"/>
            <w:noWrap/>
            <w:hideMark/>
          </w:tcPr>
          <w:p w14:paraId="4AA3F1D4" w14:textId="77777777" w:rsidR="00D13833" w:rsidRPr="00503F5B" w:rsidRDefault="00D13833" w:rsidP="00E6069B">
            <w:pPr>
              <w:rPr>
                <w:rFonts w:eastAsia="Times New Roman" w:cs="Calibri"/>
                <w:sz w:val="20"/>
                <w:szCs w:val="20"/>
                <w:lang w:eastAsia="en-AU"/>
              </w:rPr>
            </w:pPr>
            <w:r w:rsidRPr="00503F5B">
              <w:rPr>
                <w:rFonts w:eastAsia="Times New Roman" w:cs="Calibri"/>
                <w:sz w:val="20"/>
                <w:szCs w:val="20"/>
                <w:lang w:eastAsia="en-AU"/>
              </w:rPr>
              <w:t>Vehicle direct costs (external Inc. Fuel) SAP</w:t>
            </w:r>
          </w:p>
        </w:tc>
        <w:tc>
          <w:tcPr>
            <w:tcW w:w="1665" w:type="dxa"/>
            <w:tcBorders>
              <w:top w:val="nil"/>
              <w:left w:val="nil"/>
              <w:bottom w:val="single" w:sz="4" w:space="0" w:color="ED7C5D"/>
              <w:right w:val="nil"/>
            </w:tcBorders>
            <w:shd w:val="clear" w:color="000000" w:fill="FFFFFF"/>
            <w:noWrap/>
            <w:vAlign w:val="bottom"/>
            <w:hideMark/>
          </w:tcPr>
          <w:p w14:paraId="0E813AFE" w14:textId="77777777" w:rsidR="00D13833" w:rsidRPr="00503F5B" w:rsidRDefault="00D13833" w:rsidP="00E6069B">
            <w:pPr>
              <w:jc w:val="right"/>
              <w:rPr>
                <w:rFonts w:eastAsia="Times New Roman" w:cs="Calibri"/>
                <w:sz w:val="20"/>
                <w:szCs w:val="20"/>
                <w:lang w:eastAsia="en-AU"/>
              </w:rPr>
            </w:pPr>
            <w:r w:rsidRPr="00503F5B">
              <w:rPr>
                <w:rFonts w:cs="Calibri"/>
                <w:sz w:val="20"/>
                <w:szCs w:val="20"/>
              </w:rPr>
              <w:t>$18</w:t>
            </w:r>
          </w:p>
        </w:tc>
      </w:tr>
      <w:tr w:rsidR="00D13833" w:rsidRPr="00503F5B" w14:paraId="1C382A08" w14:textId="77777777" w:rsidTr="005F1899">
        <w:trPr>
          <w:trHeight w:val="70"/>
          <w:jc w:val="center"/>
        </w:trPr>
        <w:tc>
          <w:tcPr>
            <w:tcW w:w="6521" w:type="dxa"/>
            <w:tcBorders>
              <w:top w:val="single" w:sz="4" w:space="0" w:color="ED7C5D"/>
              <w:left w:val="nil"/>
              <w:bottom w:val="single" w:sz="4" w:space="0" w:color="ED7C5D"/>
              <w:right w:val="nil"/>
            </w:tcBorders>
            <w:shd w:val="clear" w:color="000000" w:fill="FFFFFF"/>
            <w:noWrap/>
            <w:hideMark/>
          </w:tcPr>
          <w:p w14:paraId="199538BD" w14:textId="77777777" w:rsidR="00D13833" w:rsidRPr="00503F5B" w:rsidRDefault="00D13833" w:rsidP="00E6069B">
            <w:pPr>
              <w:rPr>
                <w:rFonts w:eastAsia="Times New Roman" w:cs="Calibri"/>
                <w:b/>
                <w:bCs/>
                <w:sz w:val="20"/>
                <w:szCs w:val="20"/>
                <w:lang w:eastAsia="en-AU"/>
              </w:rPr>
            </w:pPr>
            <w:r w:rsidRPr="00503F5B">
              <w:rPr>
                <w:rFonts w:eastAsia="Times New Roman" w:cs="Calibri"/>
                <w:b/>
                <w:bCs/>
                <w:sz w:val="20"/>
                <w:szCs w:val="20"/>
                <w:lang w:eastAsia="en-AU"/>
              </w:rPr>
              <w:t>Sub-total direct hourly appliance costs</w:t>
            </w:r>
          </w:p>
        </w:tc>
        <w:tc>
          <w:tcPr>
            <w:tcW w:w="1665" w:type="dxa"/>
            <w:tcBorders>
              <w:top w:val="single" w:sz="4" w:space="0" w:color="ED7C5D"/>
              <w:left w:val="nil"/>
              <w:bottom w:val="single" w:sz="4" w:space="0" w:color="ED7C5D"/>
              <w:right w:val="nil"/>
            </w:tcBorders>
            <w:shd w:val="clear" w:color="000000" w:fill="FFFFFF"/>
            <w:noWrap/>
            <w:vAlign w:val="bottom"/>
            <w:hideMark/>
          </w:tcPr>
          <w:p w14:paraId="0CAE77D7" w14:textId="77777777" w:rsidR="00D13833" w:rsidRPr="00503F5B" w:rsidRDefault="00D13833" w:rsidP="00E6069B">
            <w:pPr>
              <w:jc w:val="right"/>
              <w:rPr>
                <w:rFonts w:eastAsia="Times New Roman" w:cs="Calibri"/>
                <w:b/>
                <w:bCs/>
                <w:sz w:val="20"/>
                <w:szCs w:val="20"/>
                <w:lang w:eastAsia="en-AU"/>
              </w:rPr>
            </w:pPr>
            <w:r w:rsidRPr="00503F5B">
              <w:rPr>
                <w:rFonts w:cs="Calibri"/>
                <w:b/>
                <w:bCs/>
                <w:sz w:val="20"/>
                <w:szCs w:val="20"/>
              </w:rPr>
              <w:t>$56</w:t>
            </w:r>
          </w:p>
        </w:tc>
      </w:tr>
      <w:tr w:rsidR="00D13833" w:rsidRPr="00503F5B" w14:paraId="21EFCDD7" w14:textId="77777777" w:rsidTr="00203BDA">
        <w:trPr>
          <w:trHeight w:val="70"/>
          <w:jc w:val="center"/>
        </w:trPr>
        <w:tc>
          <w:tcPr>
            <w:tcW w:w="6521" w:type="dxa"/>
            <w:tcBorders>
              <w:top w:val="single" w:sz="4" w:space="0" w:color="ED7C5D"/>
              <w:left w:val="nil"/>
              <w:right w:val="nil"/>
            </w:tcBorders>
            <w:shd w:val="clear" w:color="000000" w:fill="FFFFFF"/>
            <w:noWrap/>
            <w:hideMark/>
          </w:tcPr>
          <w:p w14:paraId="31B12DDA" w14:textId="77777777" w:rsidR="00D13833" w:rsidRPr="00503F5B" w:rsidRDefault="00D13833" w:rsidP="00E6069B">
            <w:pPr>
              <w:rPr>
                <w:rFonts w:eastAsia="Times New Roman" w:cs="Calibri"/>
                <w:sz w:val="20"/>
                <w:szCs w:val="20"/>
                <w:lang w:eastAsia="en-AU"/>
              </w:rPr>
            </w:pPr>
            <w:r w:rsidRPr="00503F5B">
              <w:rPr>
                <w:rFonts w:eastAsia="Times New Roman" w:cs="Calibri"/>
                <w:sz w:val="20"/>
                <w:szCs w:val="20"/>
                <w:lang w:eastAsia="en-AU"/>
              </w:rPr>
              <w:t>Salaries and on-costs (including operational staff)</w:t>
            </w:r>
          </w:p>
        </w:tc>
        <w:tc>
          <w:tcPr>
            <w:tcW w:w="1665" w:type="dxa"/>
            <w:tcBorders>
              <w:top w:val="single" w:sz="4" w:space="0" w:color="ED7C5D"/>
              <w:left w:val="nil"/>
              <w:right w:val="nil"/>
            </w:tcBorders>
            <w:shd w:val="clear" w:color="000000" w:fill="FFFFFF"/>
            <w:noWrap/>
            <w:vAlign w:val="bottom"/>
            <w:hideMark/>
          </w:tcPr>
          <w:p w14:paraId="7538DFD4" w14:textId="2C74EA05" w:rsidR="00D13833" w:rsidRPr="00503F5B" w:rsidRDefault="00D13833" w:rsidP="00E6069B">
            <w:pPr>
              <w:jc w:val="right"/>
              <w:rPr>
                <w:rFonts w:eastAsia="Times New Roman" w:cs="Calibri"/>
                <w:sz w:val="20"/>
                <w:szCs w:val="20"/>
                <w:lang w:eastAsia="en-AU"/>
              </w:rPr>
            </w:pPr>
            <w:r w:rsidRPr="00503F5B">
              <w:rPr>
                <w:rFonts w:cs="Calibri"/>
                <w:sz w:val="20"/>
                <w:szCs w:val="20"/>
              </w:rPr>
              <w:t>$</w:t>
            </w:r>
            <w:r w:rsidR="00435388">
              <w:rPr>
                <w:rFonts w:cs="Calibri"/>
                <w:sz w:val="20"/>
                <w:szCs w:val="20"/>
              </w:rPr>
              <w:t>4,726</w:t>
            </w:r>
          </w:p>
        </w:tc>
      </w:tr>
      <w:tr w:rsidR="00D13833" w:rsidRPr="00503F5B" w14:paraId="4E5837AF" w14:textId="77777777" w:rsidTr="005F1899">
        <w:trPr>
          <w:trHeight w:val="80"/>
          <w:jc w:val="center"/>
        </w:trPr>
        <w:tc>
          <w:tcPr>
            <w:tcW w:w="6521" w:type="dxa"/>
            <w:tcBorders>
              <w:top w:val="nil"/>
              <w:left w:val="nil"/>
              <w:bottom w:val="single" w:sz="4" w:space="0" w:color="ED7C5D"/>
              <w:right w:val="nil"/>
            </w:tcBorders>
            <w:shd w:val="clear" w:color="000000" w:fill="FFFFFF"/>
            <w:noWrap/>
            <w:hideMark/>
          </w:tcPr>
          <w:p w14:paraId="07B87478" w14:textId="77777777" w:rsidR="00D13833" w:rsidRPr="00503F5B" w:rsidRDefault="00D13833" w:rsidP="00E6069B">
            <w:pPr>
              <w:rPr>
                <w:rFonts w:eastAsia="Times New Roman" w:cs="Calibri"/>
                <w:sz w:val="20"/>
                <w:szCs w:val="20"/>
                <w:lang w:eastAsia="en-AU"/>
              </w:rPr>
            </w:pPr>
            <w:r w:rsidRPr="00503F5B">
              <w:rPr>
                <w:rFonts w:eastAsia="Times New Roman" w:cs="Calibri"/>
                <w:sz w:val="20"/>
                <w:szCs w:val="20"/>
                <w:lang w:eastAsia="en-AU"/>
              </w:rPr>
              <w:t>Other employee expenses</w:t>
            </w:r>
          </w:p>
        </w:tc>
        <w:tc>
          <w:tcPr>
            <w:tcW w:w="1665" w:type="dxa"/>
            <w:tcBorders>
              <w:top w:val="nil"/>
              <w:left w:val="nil"/>
              <w:bottom w:val="single" w:sz="4" w:space="0" w:color="ED7C5D"/>
              <w:right w:val="nil"/>
            </w:tcBorders>
            <w:shd w:val="clear" w:color="000000" w:fill="FFFFFF"/>
            <w:noWrap/>
            <w:vAlign w:val="bottom"/>
            <w:hideMark/>
          </w:tcPr>
          <w:p w14:paraId="4A58DE62" w14:textId="77777777" w:rsidR="00D13833" w:rsidRPr="00503F5B" w:rsidRDefault="00D13833" w:rsidP="00E6069B">
            <w:pPr>
              <w:jc w:val="right"/>
              <w:rPr>
                <w:rFonts w:eastAsia="Times New Roman" w:cs="Calibri"/>
                <w:sz w:val="20"/>
                <w:szCs w:val="20"/>
                <w:lang w:eastAsia="en-AU"/>
              </w:rPr>
            </w:pPr>
            <w:r w:rsidRPr="00503F5B">
              <w:rPr>
                <w:rFonts w:cs="Calibri"/>
                <w:sz w:val="20"/>
                <w:szCs w:val="20"/>
              </w:rPr>
              <w:t>$243</w:t>
            </w:r>
          </w:p>
        </w:tc>
      </w:tr>
      <w:tr w:rsidR="00D13833" w:rsidRPr="00503F5B" w14:paraId="13E3E71D" w14:textId="77777777" w:rsidTr="005F1899">
        <w:trPr>
          <w:trHeight w:val="70"/>
          <w:jc w:val="center"/>
        </w:trPr>
        <w:tc>
          <w:tcPr>
            <w:tcW w:w="6521" w:type="dxa"/>
            <w:tcBorders>
              <w:top w:val="single" w:sz="4" w:space="0" w:color="ED7C5D"/>
              <w:left w:val="nil"/>
              <w:bottom w:val="single" w:sz="4" w:space="0" w:color="ED7C5D"/>
              <w:right w:val="nil"/>
            </w:tcBorders>
            <w:shd w:val="clear" w:color="000000" w:fill="FFFFFF"/>
            <w:noWrap/>
            <w:hideMark/>
          </w:tcPr>
          <w:p w14:paraId="295D0580" w14:textId="77777777" w:rsidR="00D13833" w:rsidRPr="00503F5B" w:rsidRDefault="00D13833" w:rsidP="00E6069B">
            <w:pPr>
              <w:rPr>
                <w:rFonts w:eastAsia="Times New Roman" w:cs="Calibri"/>
                <w:b/>
                <w:bCs/>
                <w:sz w:val="20"/>
                <w:szCs w:val="20"/>
                <w:lang w:eastAsia="en-AU"/>
              </w:rPr>
            </w:pPr>
            <w:r w:rsidRPr="00503F5B">
              <w:rPr>
                <w:rFonts w:eastAsia="Times New Roman" w:cs="Calibri"/>
                <w:b/>
                <w:bCs/>
                <w:sz w:val="20"/>
                <w:szCs w:val="20"/>
                <w:lang w:eastAsia="en-AU"/>
              </w:rPr>
              <w:t>Sub-total direct hourly staffing costs</w:t>
            </w:r>
          </w:p>
        </w:tc>
        <w:tc>
          <w:tcPr>
            <w:tcW w:w="1665" w:type="dxa"/>
            <w:tcBorders>
              <w:top w:val="single" w:sz="4" w:space="0" w:color="ED7C5D"/>
              <w:left w:val="nil"/>
              <w:bottom w:val="single" w:sz="4" w:space="0" w:color="ED7C5D"/>
              <w:right w:val="nil"/>
            </w:tcBorders>
            <w:shd w:val="clear" w:color="000000" w:fill="FFFFFF"/>
            <w:noWrap/>
            <w:vAlign w:val="bottom"/>
            <w:hideMark/>
          </w:tcPr>
          <w:p w14:paraId="70A8B991" w14:textId="77777777" w:rsidR="00D13833" w:rsidRPr="00503F5B" w:rsidRDefault="00D13833" w:rsidP="00E6069B">
            <w:pPr>
              <w:jc w:val="right"/>
              <w:rPr>
                <w:rFonts w:eastAsia="Times New Roman" w:cs="Calibri"/>
                <w:b/>
                <w:bCs/>
                <w:sz w:val="20"/>
                <w:szCs w:val="20"/>
                <w:lang w:eastAsia="en-AU"/>
              </w:rPr>
            </w:pPr>
            <w:r w:rsidRPr="00503F5B">
              <w:rPr>
                <w:rFonts w:cs="Calibri"/>
                <w:b/>
                <w:bCs/>
                <w:sz w:val="20"/>
                <w:szCs w:val="20"/>
              </w:rPr>
              <w:t>$4,969</w:t>
            </w:r>
          </w:p>
        </w:tc>
      </w:tr>
      <w:tr w:rsidR="00D13833" w:rsidRPr="00503F5B" w14:paraId="6A27DF0D" w14:textId="77777777" w:rsidTr="005F1899">
        <w:trPr>
          <w:trHeight w:val="70"/>
          <w:jc w:val="center"/>
        </w:trPr>
        <w:tc>
          <w:tcPr>
            <w:tcW w:w="6521" w:type="dxa"/>
            <w:tcBorders>
              <w:top w:val="single" w:sz="4" w:space="0" w:color="ED7C5D"/>
              <w:left w:val="nil"/>
              <w:bottom w:val="nil"/>
              <w:right w:val="nil"/>
            </w:tcBorders>
            <w:shd w:val="clear" w:color="000000" w:fill="FFFFFF"/>
            <w:noWrap/>
            <w:hideMark/>
          </w:tcPr>
          <w:p w14:paraId="29260BB1" w14:textId="77777777" w:rsidR="00D13833" w:rsidRPr="00503F5B" w:rsidRDefault="00D13833" w:rsidP="00E6069B">
            <w:pPr>
              <w:rPr>
                <w:rFonts w:eastAsia="Times New Roman" w:cs="Calibri"/>
                <w:sz w:val="20"/>
                <w:szCs w:val="20"/>
                <w:lang w:eastAsia="en-AU"/>
              </w:rPr>
            </w:pPr>
            <w:r w:rsidRPr="00503F5B">
              <w:rPr>
                <w:rFonts w:eastAsia="Times New Roman" w:cs="Calibri"/>
                <w:sz w:val="20"/>
                <w:szCs w:val="20"/>
                <w:lang w:eastAsia="en-AU"/>
              </w:rPr>
              <w:t>Land and buildings maintenance (external Suppliers)</w:t>
            </w:r>
          </w:p>
        </w:tc>
        <w:tc>
          <w:tcPr>
            <w:tcW w:w="1665" w:type="dxa"/>
            <w:tcBorders>
              <w:top w:val="single" w:sz="4" w:space="0" w:color="ED7C5D"/>
              <w:left w:val="nil"/>
              <w:bottom w:val="nil"/>
              <w:right w:val="nil"/>
            </w:tcBorders>
            <w:shd w:val="clear" w:color="000000" w:fill="FFFFFF"/>
            <w:noWrap/>
            <w:vAlign w:val="bottom"/>
            <w:hideMark/>
          </w:tcPr>
          <w:p w14:paraId="339B5C12" w14:textId="77777777" w:rsidR="00D13833" w:rsidRPr="00503F5B" w:rsidRDefault="00D13833" w:rsidP="00E6069B">
            <w:pPr>
              <w:jc w:val="right"/>
              <w:rPr>
                <w:rFonts w:eastAsia="Times New Roman" w:cs="Calibri"/>
                <w:sz w:val="20"/>
                <w:szCs w:val="20"/>
                <w:lang w:eastAsia="en-AU"/>
              </w:rPr>
            </w:pPr>
            <w:r w:rsidRPr="00503F5B">
              <w:rPr>
                <w:rFonts w:cs="Calibri"/>
                <w:sz w:val="20"/>
                <w:szCs w:val="20"/>
              </w:rPr>
              <w:t>$38</w:t>
            </w:r>
          </w:p>
        </w:tc>
      </w:tr>
      <w:tr w:rsidR="00D13833" w:rsidRPr="00503F5B" w14:paraId="0C31F8F7" w14:textId="77777777" w:rsidTr="005F1899">
        <w:trPr>
          <w:trHeight w:val="80"/>
          <w:jc w:val="center"/>
        </w:trPr>
        <w:tc>
          <w:tcPr>
            <w:tcW w:w="6521" w:type="dxa"/>
            <w:tcBorders>
              <w:top w:val="nil"/>
              <w:left w:val="nil"/>
              <w:bottom w:val="nil"/>
              <w:right w:val="nil"/>
            </w:tcBorders>
            <w:shd w:val="clear" w:color="000000" w:fill="FFFFFF"/>
            <w:noWrap/>
            <w:hideMark/>
          </w:tcPr>
          <w:p w14:paraId="16A4DEA0" w14:textId="77777777" w:rsidR="00D13833" w:rsidRPr="00503F5B" w:rsidRDefault="00D13833" w:rsidP="00E6069B">
            <w:pPr>
              <w:rPr>
                <w:rFonts w:eastAsia="Times New Roman" w:cs="Calibri"/>
                <w:sz w:val="20"/>
                <w:szCs w:val="20"/>
                <w:lang w:eastAsia="en-AU"/>
              </w:rPr>
            </w:pPr>
            <w:r w:rsidRPr="00503F5B">
              <w:rPr>
                <w:rFonts w:eastAsia="Times New Roman" w:cs="Calibri"/>
                <w:sz w:val="20"/>
                <w:szCs w:val="20"/>
                <w:lang w:eastAsia="en-AU"/>
              </w:rPr>
              <w:t>Plant and equipment maintenance (external Suppliers)</w:t>
            </w:r>
          </w:p>
        </w:tc>
        <w:tc>
          <w:tcPr>
            <w:tcW w:w="1665" w:type="dxa"/>
            <w:tcBorders>
              <w:top w:val="nil"/>
              <w:left w:val="nil"/>
              <w:bottom w:val="nil"/>
              <w:right w:val="nil"/>
            </w:tcBorders>
            <w:shd w:val="clear" w:color="000000" w:fill="FFFFFF"/>
            <w:noWrap/>
            <w:vAlign w:val="bottom"/>
            <w:hideMark/>
          </w:tcPr>
          <w:p w14:paraId="4DFD5EFD" w14:textId="77777777" w:rsidR="00D13833" w:rsidRPr="00503F5B" w:rsidRDefault="00D13833" w:rsidP="00E6069B">
            <w:pPr>
              <w:jc w:val="right"/>
              <w:rPr>
                <w:rFonts w:eastAsia="Times New Roman" w:cs="Calibri"/>
                <w:sz w:val="20"/>
                <w:szCs w:val="20"/>
                <w:lang w:eastAsia="en-AU"/>
              </w:rPr>
            </w:pPr>
            <w:r w:rsidRPr="00503F5B">
              <w:rPr>
                <w:rFonts w:cs="Calibri"/>
                <w:sz w:val="20"/>
                <w:szCs w:val="20"/>
              </w:rPr>
              <w:t>$23</w:t>
            </w:r>
          </w:p>
        </w:tc>
      </w:tr>
      <w:tr w:rsidR="00D13833" w:rsidRPr="00503F5B" w14:paraId="58886583" w14:textId="77777777" w:rsidTr="005F1899">
        <w:trPr>
          <w:trHeight w:val="80"/>
          <w:jc w:val="center"/>
        </w:trPr>
        <w:tc>
          <w:tcPr>
            <w:tcW w:w="6521" w:type="dxa"/>
            <w:tcBorders>
              <w:top w:val="nil"/>
              <w:left w:val="nil"/>
              <w:bottom w:val="nil"/>
              <w:right w:val="nil"/>
            </w:tcBorders>
            <w:shd w:val="clear" w:color="000000" w:fill="FFFFFF"/>
            <w:noWrap/>
            <w:hideMark/>
          </w:tcPr>
          <w:p w14:paraId="7428C22A" w14:textId="77777777" w:rsidR="00D13833" w:rsidRPr="00503F5B" w:rsidRDefault="00D13833" w:rsidP="00E6069B">
            <w:pPr>
              <w:rPr>
                <w:rFonts w:eastAsia="Times New Roman" w:cs="Calibri"/>
                <w:sz w:val="20"/>
                <w:szCs w:val="20"/>
                <w:lang w:eastAsia="en-AU"/>
              </w:rPr>
            </w:pPr>
            <w:r w:rsidRPr="00503F5B">
              <w:rPr>
                <w:rFonts w:eastAsia="Times New Roman" w:cs="Calibri"/>
                <w:sz w:val="20"/>
                <w:szCs w:val="20"/>
                <w:lang w:eastAsia="en-AU"/>
              </w:rPr>
              <w:t>General expenses (external suppliers)</w:t>
            </w:r>
          </w:p>
        </w:tc>
        <w:tc>
          <w:tcPr>
            <w:tcW w:w="1665" w:type="dxa"/>
            <w:tcBorders>
              <w:top w:val="nil"/>
              <w:left w:val="nil"/>
              <w:bottom w:val="nil"/>
              <w:right w:val="nil"/>
            </w:tcBorders>
            <w:shd w:val="clear" w:color="000000" w:fill="FFFFFF"/>
            <w:noWrap/>
            <w:vAlign w:val="bottom"/>
            <w:hideMark/>
          </w:tcPr>
          <w:p w14:paraId="5AADCC6D" w14:textId="77777777" w:rsidR="00D13833" w:rsidRPr="00503F5B" w:rsidRDefault="00D13833" w:rsidP="00E6069B">
            <w:pPr>
              <w:jc w:val="right"/>
              <w:rPr>
                <w:rFonts w:eastAsia="Times New Roman" w:cs="Calibri"/>
                <w:sz w:val="20"/>
                <w:szCs w:val="20"/>
                <w:lang w:eastAsia="en-AU"/>
              </w:rPr>
            </w:pPr>
            <w:r w:rsidRPr="00503F5B">
              <w:rPr>
                <w:rFonts w:cs="Calibri"/>
                <w:sz w:val="20"/>
                <w:szCs w:val="20"/>
              </w:rPr>
              <w:t>$15</w:t>
            </w:r>
          </w:p>
        </w:tc>
      </w:tr>
      <w:tr w:rsidR="00D13833" w:rsidRPr="00503F5B" w14:paraId="74D33B59" w14:textId="77777777" w:rsidTr="005F1899">
        <w:trPr>
          <w:trHeight w:val="80"/>
          <w:jc w:val="center"/>
        </w:trPr>
        <w:tc>
          <w:tcPr>
            <w:tcW w:w="6521" w:type="dxa"/>
            <w:tcBorders>
              <w:top w:val="nil"/>
              <w:left w:val="nil"/>
              <w:bottom w:val="single" w:sz="4" w:space="0" w:color="ED7C5D"/>
              <w:right w:val="nil"/>
            </w:tcBorders>
            <w:shd w:val="clear" w:color="000000" w:fill="FFFFFF"/>
            <w:noWrap/>
            <w:hideMark/>
          </w:tcPr>
          <w:p w14:paraId="03AB2C5C" w14:textId="77777777" w:rsidR="00D13833" w:rsidRPr="00503F5B" w:rsidRDefault="00D13833" w:rsidP="00E6069B">
            <w:pPr>
              <w:rPr>
                <w:rFonts w:eastAsia="Times New Roman" w:cs="Calibri"/>
                <w:sz w:val="20"/>
                <w:szCs w:val="20"/>
                <w:lang w:eastAsia="en-AU"/>
              </w:rPr>
            </w:pPr>
            <w:r w:rsidRPr="00503F5B">
              <w:rPr>
                <w:rFonts w:eastAsia="Times New Roman" w:cs="Calibri"/>
                <w:sz w:val="20"/>
                <w:szCs w:val="20"/>
                <w:lang w:eastAsia="en-AU"/>
              </w:rPr>
              <w:t>Land and buildings - CFA internal maintenance costs</w:t>
            </w:r>
          </w:p>
        </w:tc>
        <w:tc>
          <w:tcPr>
            <w:tcW w:w="1665" w:type="dxa"/>
            <w:tcBorders>
              <w:top w:val="nil"/>
              <w:left w:val="nil"/>
              <w:bottom w:val="single" w:sz="4" w:space="0" w:color="ED7C5D"/>
              <w:right w:val="nil"/>
            </w:tcBorders>
            <w:shd w:val="clear" w:color="000000" w:fill="FFFFFF"/>
            <w:noWrap/>
            <w:vAlign w:val="bottom"/>
            <w:hideMark/>
          </w:tcPr>
          <w:p w14:paraId="58D169C3" w14:textId="77777777" w:rsidR="00D13833" w:rsidRPr="00503F5B" w:rsidRDefault="00D13833" w:rsidP="00E6069B">
            <w:pPr>
              <w:jc w:val="right"/>
              <w:rPr>
                <w:rFonts w:eastAsia="Times New Roman" w:cs="Calibri"/>
                <w:sz w:val="20"/>
                <w:szCs w:val="20"/>
                <w:lang w:eastAsia="en-AU"/>
              </w:rPr>
            </w:pPr>
            <w:r w:rsidRPr="00503F5B">
              <w:rPr>
                <w:rFonts w:cs="Calibri"/>
                <w:sz w:val="20"/>
                <w:szCs w:val="20"/>
              </w:rPr>
              <w:t>$23</w:t>
            </w:r>
          </w:p>
        </w:tc>
      </w:tr>
      <w:tr w:rsidR="00D13833" w:rsidRPr="00503F5B" w14:paraId="4FD57BCE" w14:textId="77777777" w:rsidTr="005F1899">
        <w:trPr>
          <w:trHeight w:val="70"/>
          <w:jc w:val="center"/>
        </w:trPr>
        <w:tc>
          <w:tcPr>
            <w:tcW w:w="6521" w:type="dxa"/>
            <w:tcBorders>
              <w:top w:val="single" w:sz="4" w:space="0" w:color="ED7C5D"/>
              <w:left w:val="nil"/>
              <w:bottom w:val="single" w:sz="4" w:space="0" w:color="ED7C5D"/>
              <w:right w:val="nil"/>
            </w:tcBorders>
            <w:shd w:val="clear" w:color="000000" w:fill="FFFFFF"/>
            <w:noWrap/>
            <w:hideMark/>
          </w:tcPr>
          <w:p w14:paraId="6698B98B" w14:textId="77777777" w:rsidR="00D13833" w:rsidRPr="00503F5B" w:rsidRDefault="00D13833" w:rsidP="00E6069B">
            <w:pPr>
              <w:rPr>
                <w:rFonts w:eastAsia="Times New Roman" w:cs="Calibri"/>
                <w:b/>
                <w:bCs/>
                <w:sz w:val="20"/>
                <w:szCs w:val="20"/>
                <w:lang w:eastAsia="en-AU"/>
              </w:rPr>
            </w:pPr>
            <w:r w:rsidRPr="00503F5B">
              <w:rPr>
                <w:rFonts w:eastAsia="Times New Roman" w:cs="Calibri"/>
                <w:b/>
                <w:bCs/>
                <w:sz w:val="20"/>
                <w:szCs w:val="20"/>
                <w:lang w:eastAsia="en-AU"/>
              </w:rPr>
              <w:lastRenderedPageBreak/>
              <w:t>Sub-total direct hourly station costs</w:t>
            </w:r>
          </w:p>
        </w:tc>
        <w:tc>
          <w:tcPr>
            <w:tcW w:w="1665" w:type="dxa"/>
            <w:tcBorders>
              <w:top w:val="single" w:sz="4" w:space="0" w:color="ED7C5D"/>
              <w:left w:val="nil"/>
              <w:bottom w:val="single" w:sz="4" w:space="0" w:color="ED7C5D"/>
              <w:right w:val="nil"/>
            </w:tcBorders>
            <w:shd w:val="clear" w:color="000000" w:fill="FFFFFF"/>
            <w:noWrap/>
            <w:vAlign w:val="bottom"/>
            <w:hideMark/>
          </w:tcPr>
          <w:p w14:paraId="0C12FF36" w14:textId="77777777" w:rsidR="00D13833" w:rsidRPr="00503F5B" w:rsidRDefault="00D13833" w:rsidP="00E6069B">
            <w:pPr>
              <w:jc w:val="right"/>
              <w:rPr>
                <w:rFonts w:eastAsia="Times New Roman" w:cs="Calibri"/>
                <w:b/>
                <w:bCs/>
                <w:sz w:val="20"/>
                <w:szCs w:val="20"/>
                <w:lang w:eastAsia="en-AU"/>
              </w:rPr>
            </w:pPr>
            <w:r w:rsidRPr="00503F5B">
              <w:rPr>
                <w:rFonts w:cs="Calibri"/>
                <w:b/>
                <w:bCs/>
                <w:sz w:val="20"/>
                <w:szCs w:val="20"/>
              </w:rPr>
              <w:t>$99</w:t>
            </w:r>
          </w:p>
        </w:tc>
      </w:tr>
      <w:tr w:rsidR="00D13833" w:rsidRPr="00503F5B" w14:paraId="5CB0772C" w14:textId="77777777" w:rsidTr="005F1899">
        <w:trPr>
          <w:trHeight w:val="70"/>
          <w:jc w:val="center"/>
        </w:trPr>
        <w:tc>
          <w:tcPr>
            <w:tcW w:w="6521" w:type="dxa"/>
            <w:tcBorders>
              <w:top w:val="single" w:sz="4" w:space="0" w:color="ED7C5D"/>
              <w:left w:val="nil"/>
              <w:bottom w:val="single" w:sz="4" w:space="0" w:color="ED7C5D"/>
              <w:right w:val="nil"/>
            </w:tcBorders>
            <w:shd w:val="clear" w:color="000000" w:fill="FFFFFF"/>
            <w:noWrap/>
            <w:hideMark/>
          </w:tcPr>
          <w:p w14:paraId="4BFB68B9" w14:textId="77777777" w:rsidR="00D13833" w:rsidRPr="00503F5B" w:rsidRDefault="00D13833" w:rsidP="00E6069B">
            <w:pPr>
              <w:rPr>
                <w:rFonts w:eastAsia="Times New Roman" w:cs="Calibri"/>
                <w:b/>
                <w:bCs/>
                <w:sz w:val="20"/>
                <w:szCs w:val="20"/>
                <w:lang w:eastAsia="en-AU"/>
              </w:rPr>
            </w:pPr>
            <w:r w:rsidRPr="00503F5B">
              <w:rPr>
                <w:rFonts w:eastAsia="Times New Roman" w:cs="Calibri"/>
                <w:b/>
                <w:bCs/>
                <w:sz w:val="20"/>
                <w:szCs w:val="20"/>
                <w:lang w:eastAsia="en-AU"/>
              </w:rPr>
              <w:t>Sub-total indirect hourly cost</w:t>
            </w:r>
          </w:p>
        </w:tc>
        <w:tc>
          <w:tcPr>
            <w:tcW w:w="1665" w:type="dxa"/>
            <w:tcBorders>
              <w:top w:val="single" w:sz="4" w:space="0" w:color="ED7C5D"/>
              <w:left w:val="nil"/>
              <w:bottom w:val="single" w:sz="4" w:space="0" w:color="ED7C5D"/>
              <w:right w:val="nil"/>
            </w:tcBorders>
            <w:shd w:val="clear" w:color="000000" w:fill="FFFFFF"/>
            <w:noWrap/>
            <w:vAlign w:val="bottom"/>
            <w:hideMark/>
          </w:tcPr>
          <w:p w14:paraId="06ED67B6" w14:textId="77777777" w:rsidR="00D13833" w:rsidRPr="00503F5B" w:rsidRDefault="00D13833" w:rsidP="00E6069B">
            <w:pPr>
              <w:jc w:val="right"/>
              <w:rPr>
                <w:rFonts w:eastAsia="Times New Roman" w:cs="Calibri"/>
                <w:b/>
                <w:bCs/>
                <w:sz w:val="20"/>
                <w:szCs w:val="20"/>
                <w:lang w:eastAsia="en-AU"/>
              </w:rPr>
            </w:pPr>
            <w:r w:rsidRPr="00503F5B">
              <w:rPr>
                <w:rFonts w:cs="Calibri"/>
                <w:b/>
                <w:bCs/>
                <w:sz w:val="20"/>
                <w:szCs w:val="20"/>
              </w:rPr>
              <w:t>$1,710</w:t>
            </w:r>
          </w:p>
        </w:tc>
      </w:tr>
      <w:tr w:rsidR="00D13833" w:rsidRPr="00503F5B" w14:paraId="2F6BA4EE" w14:textId="77777777" w:rsidTr="009917B8">
        <w:trPr>
          <w:trHeight w:val="70"/>
          <w:jc w:val="center"/>
        </w:trPr>
        <w:tc>
          <w:tcPr>
            <w:tcW w:w="6521" w:type="dxa"/>
            <w:tcBorders>
              <w:top w:val="single" w:sz="4" w:space="0" w:color="ED7C5D"/>
              <w:left w:val="nil"/>
              <w:bottom w:val="single" w:sz="4" w:space="0" w:color="ED7C5D"/>
              <w:right w:val="nil"/>
            </w:tcBorders>
            <w:shd w:val="clear" w:color="auto" w:fill="D9D9D9" w:themeFill="background1" w:themeFillShade="D9"/>
            <w:noWrap/>
            <w:hideMark/>
          </w:tcPr>
          <w:p w14:paraId="78D8CCD1" w14:textId="77777777" w:rsidR="00D13833" w:rsidRPr="00503F5B" w:rsidRDefault="00D13833" w:rsidP="00E6069B">
            <w:pPr>
              <w:rPr>
                <w:rFonts w:eastAsia="Times New Roman" w:cs="Calibri"/>
                <w:b/>
                <w:bCs/>
                <w:i/>
                <w:iCs/>
                <w:sz w:val="20"/>
                <w:szCs w:val="20"/>
                <w:lang w:eastAsia="en-AU"/>
              </w:rPr>
            </w:pPr>
            <w:r w:rsidRPr="00503F5B">
              <w:rPr>
                <w:rFonts w:eastAsia="Times New Roman" w:cs="Calibri"/>
                <w:b/>
                <w:bCs/>
                <w:i/>
                <w:iCs/>
                <w:sz w:val="20"/>
                <w:szCs w:val="20"/>
                <w:lang w:eastAsia="en-AU"/>
              </w:rPr>
              <w:t>Total hourly direct and indirect hourly costs per appliance</w:t>
            </w:r>
          </w:p>
        </w:tc>
        <w:tc>
          <w:tcPr>
            <w:tcW w:w="1665" w:type="dxa"/>
            <w:tcBorders>
              <w:top w:val="single" w:sz="4" w:space="0" w:color="ED7C5D"/>
              <w:left w:val="nil"/>
              <w:bottom w:val="single" w:sz="4" w:space="0" w:color="ED7C5D"/>
              <w:right w:val="nil"/>
            </w:tcBorders>
            <w:shd w:val="clear" w:color="auto" w:fill="D9D9D9" w:themeFill="background1" w:themeFillShade="D9"/>
            <w:noWrap/>
            <w:vAlign w:val="bottom"/>
            <w:hideMark/>
          </w:tcPr>
          <w:p w14:paraId="3036551A" w14:textId="77777777" w:rsidR="00D13833" w:rsidRPr="00503F5B" w:rsidRDefault="00D13833" w:rsidP="00E6069B">
            <w:pPr>
              <w:jc w:val="right"/>
              <w:rPr>
                <w:rFonts w:eastAsia="Times New Roman" w:cs="Calibri"/>
                <w:b/>
                <w:bCs/>
                <w:i/>
                <w:iCs/>
                <w:sz w:val="20"/>
                <w:szCs w:val="20"/>
                <w:lang w:eastAsia="en-AU"/>
              </w:rPr>
            </w:pPr>
            <w:r w:rsidRPr="00503F5B">
              <w:rPr>
                <w:rFonts w:cs="Calibri"/>
                <w:b/>
                <w:bCs/>
                <w:i/>
                <w:iCs/>
                <w:sz w:val="20"/>
                <w:szCs w:val="20"/>
              </w:rPr>
              <w:t>$6,833</w:t>
            </w:r>
          </w:p>
        </w:tc>
      </w:tr>
    </w:tbl>
    <w:p w14:paraId="4FA31A2C" w14:textId="77777777" w:rsidR="00D13833" w:rsidRPr="00503F5B" w:rsidRDefault="00D13833" w:rsidP="00D13833"/>
    <w:p w14:paraId="28A7E585" w14:textId="71C718DA" w:rsidR="005F1899" w:rsidRPr="00503F5B" w:rsidRDefault="005F1899" w:rsidP="005F1899">
      <w:pPr>
        <w:jc w:val="both"/>
      </w:pPr>
      <w:r w:rsidRPr="00503F5B">
        <w:t>The volume of ‘quarterly-hour’ transactions for CFA integrated station</w:t>
      </w:r>
      <w:r w:rsidR="00D23B9E" w:rsidRPr="00503F5B">
        <w:t>s</w:t>
      </w:r>
      <w:r w:rsidRPr="00503F5B">
        <w:t xml:space="preserve"> for emergency attendances for false alarms at protected premises is estimated to be</w:t>
      </w:r>
      <w:r w:rsidRPr="00503F5B">
        <w:rPr>
          <w:b/>
          <w:bCs/>
        </w:rPr>
        <w:t xml:space="preserve"> 7.85</w:t>
      </w:r>
      <w:r w:rsidR="00DE39B1" w:rsidRPr="00503F5B">
        <w:rPr>
          <w:b/>
          <w:bCs/>
        </w:rPr>
        <w:t xml:space="preserve"> per cent</w:t>
      </w:r>
      <w:r w:rsidRPr="00503F5B">
        <w:t xml:space="preserve"> of the total 10-year volume projected for FRV (see Table A3.4 of Appendix 3 in this RIS</w:t>
      </w:r>
      <w:r w:rsidR="00EF2AAB" w:rsidRPr="00503F5B">
        <w:t xml:space="preserve"> for the source of this estimate</w:t>
      </w:r>
      <w:r w:rsidRPr="00503F5B">
        <w:t>).</w:t>
      </w:r>
      <w:r w:rsidR="00EF2AAB" w:rsidRPr="00503F5B">
        <w:t xml:space="preserve">  </w:t>
      </w:r>
      <w:r w:rsidRPr="00503F5B">
        <w:t xml:space="preserve">Based on this share of 10-year activity, MFB and CFA integrated station quarterly hour costs have been commensurately weighted - providing a </w:t>
      </w:r>
      <w:r w:rsidRPr="00503F5B">
        <w:rPr>
          <w:b/>
          <w:bCs/>
          <w:i/>
          <w:iCs/>
        </w:rPr>
        <w:t xml:space="preserve">weighted ‘full quarterly hour’ cost of attendance per appliance for FRV </w:t>
      </w:r>
      <w:proofErr w:type="gramStart"/>
      <w:r w:rsidRPr="00503F5B">
        <w:rPr>
          <w:b/>
          <w:bCs/>
          <w:i/>
          <w:iCs/>
        </w:rPr>
        <w:t>as a whole of</w:t>
      </w:r>
      <w:proofErr w:type="gramEnd"/>
      <w:r w:rsidRPr="00503F5B">
        <w:rPr>
          <w:b/>
          <w:bCs/>
          <w:i/>
          <w:iCs/>
        </w:rPr>
        <w:t xml:space="preserve"> $2,510.29</w:t>
      </w:r>
      <w:r w:rsidR="00EF2AAB" w:rsidRPr="00503F5B">
        <w:t xml:space="preserve"> as summarised in Table 14.</w:t>
      </w:r>
      <w:r w:rsidR="001F22AB" w:rsidRPr="00503F5B">
        <w:t xml:space="preserve"> </w:t>
      </w:r>
    </w:p>
    <w:p w14:paraId="4C1CE97F" w14:textId="77777777" w:rsidR="005F1899" w:rsidRPr="00503F5B" w:rsidRDefault="005F1899" w:rsidP="005F1899">
      <w:pPr>
        <w:jc w:val="both"/>
      </w:pPr>
    </w:p>
    <w:p w14:paraId="03823F3E" w14:textId="76F722B5" w:rsidR="00EF2AAB" w:rsidRPr="00503F5B" w:rsidRDefault="00EF2AAB" w:rsidP="00EF2AAB">
      <w:pPr>
        <w:jc w:val="center"/>
        <w:rPr>
          <w:b/>
          <w:sz w:val="20"/>
          <w:szCs w:val="20"/>
        </w:rPr>
      </w:pPr>
      <w:r w:rsidRPr="00503F5B">
        <w:rPr>
          <w:b/>
          <w:sz w:val="20"/>
          <w:szCs w:val="20"/>
        </w:rPr>
        <w:t xml:space="preserve">Table 14: Estimated </w:t>
      </w:r>
      <w:r w:rsidR="00A7735A" w:rsidRPr="00503F5B">
        <w:rPr>
          <w:b/>
          <w:sz w:val="20"/>
          <w:szCs w:val="20"/>
        </w:rPr>
        <w:t xml:space="preserve">‘weighted’ </w:t>
      </w:r>
      <w:r w:rsidRPr="00503F5B">
        <w:rPr>
          <w:b/>
          <w:sz w:val="20"/>
          <w:szCs w:val="20"/>
        </w:rPr>
        <w:t xml:space="preserve">average </w:t>
      </w:r>
      <w:r w:rsidR="00A7735A" w:rsidRPr="00503F5B">
        <w:rPr>
          <w:b/>
          <w:sz w:val="20"/>
          <w:szCs w:val="20"/>
        </w:rPr>
        <w:t xml:space="preserve">quarterly hour </w:t>
      </w:r>
      <w:r w:rsidRPr="00503F5B">
        <w:rPr>
          <w:b/>
          <w:sz w:val="20"/>
          <w:szCs w:val="20"/>
        </w:rPr>
        <w:t>cost per emergency attendance for false alarms where no reasonable excuse has been provided for FRV</w:t>
      </w:r>
      <w:r w:rsidR="001F22AB" w:rsidRPr="00503F5B">
        <w:rPr>
          <w:rStyle w:val="FootnoteReference"/>
          <w:b/>
          <w:sz w:val="20"/>
          <w:szCs w:val="20"/>
        </w:rPr>
        <w:footnoteReference w:id="71"/>
      </w:r>
    </w:p>
    <w:p w14:paraId="27D65908" w14:textId="77777777" w:rsidR="001F22AB" w:rsidRPr="00503F5B" w:rsidRDefault="001F22AB" w:rsidP="00EF2AAB">
      <w:pPr>
        <w:jc w:val="center"/>
        <w:rPr>
          <w:b/>
          <w:sz w:val="20"/>
          <w:szCs w:val="20"/>
        </w:rPr>
      </w:pPr>
    </w:p>
    <w:tbl>
      <w:tblPr>
        <w:tblW w:w="8505" w:type="dxa"/>
        <w:jc w:val="center"/>
        <w:tblLook w:val="04A0" w:firstRow="1" w:lastRow="0" w:firstColumn="1" w:lastColumn="0" w:noHBand="0" w:noVBand="1"/>
      </w:tblPr>
      <w:tblGrid>
        <w:gridCol w:w="5103"/>
        <w:gridCol w:w="1560"/>
        <w:gridCol w:w="1842"/>
      </w:tblGrid>
      <w:tr w:rsidR="00EF2AAB" w:rsidRPr="00503F5B" w14:paraId="3914D8E8" w14:textId="77777777" w:rsidTr="001F22AB">
        <w:trPr>
          <w:trHeight w:val="272"/>
          <w:tblHeader/>
          <w:jc w:val="center"/>
        </w:trPr>
        <w:tc>
          <w:tcPr>
            <w:tcW w:w="5103" w:type="dxa"/>
            <w:tcBorders>
              <w:top w:val="single" w:sz="4" w:space="0" w:color="ED7C5D"/>
              <w:left w:val="nil"/>
              <w:bottom w:val="single" w:sz="4" w:space="0" w:color="ED7C5D"/>
              <w:right w:val="nil"/>
            </w:tcBorders>
            <w:shd w:val="clear" w:color="000000" w:fill="FFFFFF"/>
            <w:noWrap/>
            <w:hideMark/>
          </w:tcPr>
          <w:p w14:paraId="2216FC92" w14:textId="77777777" w:rsidR="00EF2AAB" w:rsidRPr="00503F5B" w:rsidRDefault="00EF2AAB" w:rsidP="00E6069B">
            <w:pPr>
              <w:rPr>
                <w:rFonts w:eastAsia="Times New Roman" w:cs="Calibri"/>
                <w:b/>
                <w:bCs/>
                <w:color w:val="BE2A18"/>
                <w:sz w:val="20"/>
                <w:szCs w:val="20"/>
                <w:lang w:eastAsia="en-AU"/>
              </w:rPr>
            </w:pPr>
            <w:r w:rsidRPr="00503F5B">
              <w:rPr>
                <w:rFonts w:eastAsia="Times New Roman" w:cs="Calibri"/>
                <w:b/>
                <w:bCs/>
                <w:color w:val="BE2A18"/>
                <w:sz w:val="20"/>
                <w:szCs w:val="20"/>
                <w:lang w:eastAsia="en-AU"/>
              </w:rPr>
              <w:t>Direct and indirect cost category</w:t>
            </w:r>
          </w:p>
        </w:tc>
        <w:tc>
          <w:tcPr>
            <w:tcW w:w="1560" w:type="dxa"/>
            <w:tcBorders>
              <w:top w:val="single" w:sz="4" w:space="0" w:color="ED7C5D"/>
              <w:left w:val="nil"/>
              <w:bottom w:val="single" w:sz="4" w:space="0" w:color="ED7C5D"/>
              <w:right w:val="nil"/>
            </w:tcBorders>
            <w:shd w:val="clear" w:color="000000" w:fill="FFFFFF"/>
            <w:hideMark/>
          </w:tcPr>
          <w:p w14:paraId="66E41E91" w14:textId="77777777" w:rsidR="00EF2AAB" w:rsidRPr="00503F5B" w:rsidRDefault="00EF2AAB" w:rsidP="00E6069B">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 xml:space="preserve"> Quarterly hour cost per appliance </w:t>
            </w:r>
          </w:p>
        </w:tc>
        <w:tc>
          <w:tcPr>
            <w:tcW w:w="1842" w:type="dxa"/>
            <w:tcBorders>
              <w:top w:val="single" w:sz="4" w:space="0" w:color="ED7C5D"/>
              <w:left w:val="nil"/>
              <w:bottom w:val="single" w:sz="4" w:space="0" w:color="ED7C5D"/>
              <w:right w:val="nil"/>
            </w:tcBorders>
            <w:shd w:val="clear" w:color="000000" w:fill="FFFFFF"/>
            <w:hideMark/>
          </w:tcPr>
          <w:p w14:paraId="58757CFC" w14:textId="77777777" w:rsidR="00EF2AAB" w:rsidRPr="00503F5B" w:rsidRDefault="00EF2AAB" w:rsidP="00E6069B">
            <w:pPr>
              <w:jc w:val="center"/>
              <w:rPr>
                <w:rFonts w:eastAsia="Times New Roman" w:cs="Calibri"/>
                <w:b/>
                <w:bCs/>
                <w:color w:val="BE2A18"/>
                <w:sz w:val="20"/>
                <w:szCs w:val="20"/>
                <w:lang w:eastAsia="en-AU"/>
              </w:rPr>
            </w:pPr>
            <w:r w:rsidRPr="00503F5B">
              <w:rPr>
                <w:rFonts w:eastAsia="Times New Roman" w:cs="Calibri"/>
                <w:b/>
                <w:bCs/>
                <w:i/>
                <w:iCs/>
                <w:color w:val="BE2A18"/>
                <w:sz w:val="20"/>
                <w:szCs w:val="20"/>
                <w:lang w:eastAsia="en-AU"/>
              </w:rPr>
              <w:t xml:space="preserve">Weighted </w:t>
            </w:r>
            <w:r w:rsidRPr="00503F5B">
              <w:rPr>
                <w:rFonts w:eastAsia="Times New Roman" w:cs="Calibri"/>
                <w:b/>
                <w:bCs/>
                <w:color w:val="BE2A18"/>
                <w:sz w:val="20"/>
                <w:szCs w:val="20"/>
                <w:lang w:eastAsia="en-AU"/>
              </w:rPr>
              <w:t xml:space="preserve">quarterly hour cost per appliance </w:t>
            </w:r>
          </w:p>
        </w:tc>
      </w:tr>
      <w:tr w:rsidR="00EF2AAB" w:rsidRPr="00503F5B" w14:paraId="6F6740B2" w14:textId="77777777" w:rsidTr="001F22AB">
        <w:trPr>
          <w:trHeight w:val="70"/>
          <w:jc w:val="center"/>
        </w:trPr>
        <w:tc>
          <w:tcPr>
            <w:tcW w:w="5103" w:type="dxa"/>
            <w:tcBorders>
              <w:top w:val="single" w:sz="4" w:space="0" w:color="ED7C5D"/>
              <w:left w:val="nil"/>
              <w:bottom w:val="double" w:sz="6" w:space="0" w:color="C65911"/>
              <w:right w:val="nil"/>
            </w:tcBorders>
            <w:shd w:val="clear" w:color="000000" w:fill="FDE9D9"/>
            <w:noWrap/>
            <w:hideMark/>
          </w:tcPr>
          <w:p w14:paraId="6FD216DE" w14:textId="77777777" w:rsidR="00EF2AAB" w:rsidRPr="00503F5B" w:rsidRDefault="00EF2AAB" w:rsidP="00E6069B">
            <w:pPr>
              <w:rPr>
                <w:rFonts w:eastAsia="Times New Roman" w:cs="Calibri"/>
                <w:b/>
                <w:bCs/>
                <w:sz w:val="20"/>
                <w:szCs w:val="20"/>
                <w:lang w:eastAsia="en-AU"/>
              </w:rPr>
            </w:pPr>
            <w:r w:rsidRPr="00503F5B">
              <w:rPr>
                <w:rFonts w:eastAsia="Times New Roman" w:cs="Calibri"/>
                <w:b/>
                <w:bCs/>
                <w:sz w:val="20"/>
                <w:szCs w:val="20"/>
                <w:lang w:eastAsia="en-AU"/>
              </w:rPr>
              <w:t>MFB</w:t>
            </w:r>
          </w:p>
        </w:tc>
        <w:tc>
          <w:tcPr>
            <w:tcW w:w="1560" w:type="dxa"/>
            <w:tcBorders>
              <w:top w:val="single" w:sz="4" w:space="0" w:color="ED7C5D"/>
              <w:left w:val="nil"/>
              <w:bottom w:val="double" w:sz="6" w:space="0" w:color="C65911"/>
              <w:right w:val="nil"/>
            </w:tcBorders>
            <w:shd w:val="clear" w:color="000000" w:fill="FDE9D9"/>
            <w:noWrap/>
            <w:vAlign w:val="center"/>
            <w:hideMark/>
          </w:tcPr>
          <w:p w14:paraId="69C433A3" w14:textId="77777777" w:rsidR="00EF2AAB" w:rsidRPr="00503F5B" w:rsidRDefault="00EF2AAB" w:rsidP="00E6069B">
            <w:pPr>
              <w:jc w:val="both"/>
              <w:rPr>
                <w:rFonts w:eastAsia="Times New Roman" w:cs="Calibri"/>
                <w:sz w:val="20"/>
                <w:szCs w:val="20"/>
                <w:lang w:eastAsia="en-AU"/>
              </w:rPr>
            </w:pPr>
            <w:r w:rsidRPr="00503F5B">
              <w:rPr>
                <w:rFonts w:eastAsia="Times New Roman" w:cs="Calibri"/>
                <w:sz w:val="20"/>
                <w:szCs w:val="20"/>
                <w:lang w:eastAsia="en-AU"/>
              </w:rPr>
              <w:t> </w:t>
            </w:r>
          </w:p>
        </w:tc>
        <w:tc>
          <w:tcPr>
            <w:tcW w:w="1842" w:type="dxa"/>
            <w:tcBorders>
              <w:top w:val="single" w:sz="4" w:space="0" w:color="ED7C5D"/>
              <w:left w:val="nil"/>
              <w:bottom w:val="double" w:sz="6" w:space="0" w:color="C65911"/>
              <w:right w:val="nil"/>
            </w:tcBorders>
            <w:shd w:val="clear" w:color="000000" w:fill="FDE9D9"/>
            <w:noWrap/>
            <w:vAlign w:val="bottom"/>
            <w:hideMark/>
          </w:tcPr>
          <w:p w14:paraId="26FDF11F"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 </w:t>
            </w:r>
          </w:p>
        </w:tc>
      </w:tr>
      <w:tr w:rsidR="00EF2AAB" w:rsidRPr="00503F5B" w14:paraId="66EDAE23" w14:textId="77777777" w:rsidTr="001F22AB">
        <w:trPr>
          <w:trHeight w:val="80"/>
          <w:jc w:val="center"/>
        </w:trPr>
        <w:tc>
          <w:tcPr>
            <w:tcW w:w="5103" w:type="dxa"/>
            <w:tcBorders>
              <w:top w:val="nil"/>
              <w:left w:val="nil"/>
              <w:bottom w:val="nil"/>
              <w:right w:val="nil"/>
            </w:tcBorders>
            <w:shd w:val="clear" w:color="000000" w:fill="FFFFFF"/>
            <w:noWrap/>
            <w:hideMark/>
          </w:tcPr>
          <w:p w14:paraId="6729D0D7"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Appliance operational staffing</w:t>
            </w:r>
          </w:p>
        </w:tc>
        <w:tc>
          <w:tcPr>
            <w:tcW w:w="1560" w:type="dxa"/>
            <w:tcBorders>
              <w:top w:val="nil"/>
              <w:left w:val="nil"/>
              <w:bottom w:val="nil"/>
              <w:right w:val="nil"/>
            </w:tcBorders>
            <w:shd w:val="clear" w:color="000000" w:fill="FFFFFF"/>
            <w:noWrap/>
            <w:hideMark/>
          </w:tcPr>
          <w:p w14:paraId="4A3DC2C3"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$1,883</w:t>
            </w:r>
          </w:p>
        </w:tc>
        <w:tc>
          <w:tcPr>
            <w:tcW w:w="1842" w:type="dxa"/>
            <w:tcBorders>
              <w:top w:val="nil"/>
              <w:left w:val="nil"/>
              <w:bottom w:val="nil"/>
              <w:right w:val="nil"/>
            </w:tcBorders>
            <w:shd w:val="clear" w:color="000000" w:fill="FFFFFF"/>
            <w:noWrap/>
            <w:hideMark/>
          </w:tcPr>
          <w:p w14:paraId="3E6599F1"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$1,735</w:t>
            </w:r>
          </w:p>
        </w:tc>
      </w:tr>
      <w:tr w:rsidR="00EF2AAB" w:rsidRPr="00503F5B" w14:paraId="6984F911" w14:textId="77777777" w:rsidTr="001F22AB">
        <w:trPr>
          <w:trHeight w:val="80"/>
          <w:jc w:val="center"/>
        </w:trPr>
        <w:tc>
          <w:tcPr>
            <w:tcW w:w="5103" w:type="dxa"/>
            <w:tcBorders>
              <w:top w:val="nil"/>
              <w:left w:val="nil"/>
              <w:bottom w:val="nil"/>
              <w:right w:val="nil"/>
            </w:tcBorders>
            <w:shd w:val="clear" w:color="000000" w:fill="FFFFFF"/>
            <w:noWrap/>
            <w:hideMark/>
          </w:tcPr>
          <w:p w14:paraId="473E5EE3"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Appliance fuel</w:t>
            </w:r>
          </w:p>
        </w:tc>
        <w:tc>
          <w:tcPr>
            <w:tcW w:w="1560" w:type="dxa"/>
            <w:tcBorders>
              <w:top w:val="nil"/>
              <w:left w:val="nil"/>
              <w:bottom w:val="nil"/>
              <w:right w:val="nil"/>
            </w:tcBorders>
            <w:shd w:val="clear" w:color="000000" w:fill="FFFFFF"/>
            <w:noWrap/>
            <w:hideMark/>
          </w:tcPr>
          <w:p w14:paraId="3ECB1311"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$6</w:t>
            </w:r>
          </w:p>
        </w:tc>
        <w:tc>
          <w:tcPr>
            <w:tcW w:w="1842" w:type="dxa"/>
            <w:tcBorders>
              <w:top w:val="nil"/>
              <w:left w:val="nil"/>
              <w:bottom w:val="nil"/>
              <w:right w:val="nil"/>
            </w:tcBorders>
            <w:shd w:val="clear" w:color="000000" w:fill="FFFFFF"/>
            <w:noWrap/>
            <w:hideMark/>
          </w:tcPr>
          <w:p w14:paraId="0FA73C89"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$6</w:t>
            </w:r>
          </w:p>
        </w:tc>
      </w:tr>
      <w:tr w:rsidR="00EF2AAB" w:rsidRPr="00503F5B" w14:paraId="67F51FA6" w14:textId="77777777" w:rsidTr="001F22AB">
        <w:trPr>
          <w:trHeight w:val="80"/>
          <w:jc w:val="center"/>
        </w:trPr>
        <w:tc>
          <w:tcPr>
            <w:tcW w:w="5103" w:type="dxa"/>
            <w:tcBorders>
              <w:top w:val="nil"/>
              <w:left w:val="nil"/>
              <w:bottom w:val="nil"/>
              <w:right w:val="nil"/>
            </w:tcBorders>
            <w:shd w:val="clear" w:color="000000" w:fill="FFFFFF"/>
            <w:noWrap/>
            <w:hideMark/>
          </w:tcPr>
          <w:p w14:paraId="2D53F012"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Appliance maintenance</w:t>
            </w:r>
          </w:p>
        </w:tc>
        <w:tc>
          <w:tcPr>
            <w:tcW w:w="1560" w:type="dxa"/>
            <w:tcBorders>
              <w:top w:val="nil"/>
              <w:left w:val="nil"/>
              <w:bottom w:val="nil"/>
              <w:right w:val="nil"/>
            </w:tcBorders>
            <w:shd w:val="clear" w:color="000000" w:fill="FFFFFF"/>
            <w:noWrap/>
            <w:hideMark/>
          </w:tcPr>
          <w:p w14:paraId="082DB5CA"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$42</w:t>
            </w:r>
          </w:p>
        </w:tc>
        <w:tc>
          <w:tcPr>
            <w:tcW w:w="1842" w:type="dxa"/>
            <w:tcBorders>
              <w:top w:val="nil"/>
              <w:left w:val="nil"/>
              <w:bottom w:val="nil"/>
              <w:right w:val="nil"/>
            </w:tcBorders>
            <w:shd w:val="clear" w:color="000000" w:fill="FFFFFF"/>
            <w:noWrap/>
            <w:hideMark/>
          </w:tcPr>
          <w:p w14:paraId="5CA3B24A"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$39</w:t>
            </w:r>
          </w:p>
        </w:tc>
      </w:tr>
      <w:tr w:rsidR="00EF2AAB" w:rsidRPr="00503F5B" w14:paraId="068A1739" w14:textId="77777777" w:rsidTr="001F22AB">
        <w:trPr>
          <w:trHeight w:val="80"/>
          <w:jc w:val="center"/>
        </w:trPr>
        <w:tc>
          <w:tcPr>
            <w:tcW w:w="5103" w:type="dxa"/>
            <w:tcBorders>
              <w:top w:val="nil"/>
              <w:left w:val="nil"/>
              <w:bottom w:val="single" w:sz="4" w:space="0" w:color="ED7C5D"/>
              <w:right w:val="nil"/>
            </w:tcBorders>
            <w:shd w:val="clear" w:color="000000" w:fill="FFFFFF"/>
            <w:noWrap/>
            <w:hideMark/>
          </w:tcPr>
          <w:p w14:paraId="41CC186B"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Appliance fee</w:t>
            </w:r>
          </w:p>
        </w:tc>
        <w:tc>
          <w:tcPr>
            <w:tcW w:w="1560" w:type="dxa"/>
            <w:tcBorders>
              <w:top w:val="nil"/>
              <w:left w:val="nil"/>
              <w:bottom w:val="single" w:sz="4" w:space="0" w:color="ED7C5D"/>
              <w:right w:val="nil"/>
            </w:tcBorders>
            <w:shd w:val="clear" w:color="000000" w:fill="FFFFFF"/>
            <w:noWrap/>
            <w:hideMark/>
          </w:tcPr>
          <w:p w14:paraId="4DD1970A"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$2</w:t>
            </w:r>
          </w:p>
        </w:tc>
        <w:tc>
          <w:tcPr>
            <w:tcW w:w="1842" w:type="dxa"/>
            <w:tcBorders>
              <w:top w:val="nil"/>
              <w:left w:val="nil"/>
              <w:bottom w:val="single" w:sz="4" w:space="0" w:color="ED7C5D"/>
              <w:right w:val="nil"/>
            </w:tcBorders>
            <w:shd w:val="clear" w:color="000000" w:fill="FFFFFF"/>
            <w:noWrap/>
            <w:hideMark/>
          </w:tcPr>
          <w:p w14:paraId="7C9C301F"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$2</w:t>
            </w:r>
          </w:p>
        </w:tc>
      </w:tr>
      <w:tr w:rsidR="00EF2AAB" w:rsidRPr="00503F5B" w14:paraId="512B0EAE" w14:textId="77777777" w:rsidTr="001F22AB">
        <w:trPr>
          <w:trHeight w:val="70"/>
          <w:jc w:val="center"/>
        </w:trPr>
        <w:tc>
          <w:tcPr>
            <w:tcW w:w="5103" w:type="dxa"/>
            <w:tcBorders>
              <w:top w:val="single" w:sz="4" w:space="0" w:color="ED7C5D"/>
              <w:left w:val="nil"/>
              <w:bottom w:val="single" w:sz="4" w:space="0" w:color="ED7C5D"/>
              <w:right w:val="nil"/>
            </w:tcBorders>
            <w:shd w:val="clear" w:color="000000" w:fill="FFFFFF"/>
            <w:noWrap/>
            <w:hideMark/>
          </w:tcPr>
          <w:p w14:paraId="7AA99E33" w14:textId="77777777" w:rsidR="00EF2AAB" w:rsidRPr="00503F5B" w:rsidRDefault="00EF2AAB" w:rsidP="00E6069B">
            <w:pPr>
              <w:rPr>
                <w:rFonts w:eastAsia="Times New Roman" w:cs="Calibri"/>
                <w:b/>
                <w:bCs/>
                <w:sz w:val="20"/>
                <w:szCs w:val="20"/>
                <w:lang w:eastAsia="en-AU"/>
              </w:rPr>
            </w:pPr>
            <w:r w:rsidRPr="00503F5B">
              <w:rPr>
                <w:rFonts w:eastAsia="Times New Roman" w:cs="Calibri"/>
                <w:b/>
                <w:bCs/>
                <w:sz w:val="20"/>
                <w:szCs w:val="20"/>
                <w:lang w:eastAsia="en-AU"/>
              </w:rPr>
              <w:t>Sub-total direct cost per for MFB</w:t>
            </w:r>
          </w:p>
        </w:tc>
        <w:tc>
          <w:tcPr>
            <w:tcW w:w="1560" w:type="dxa"/>
            <w:tcBorders>
              <w:top w:val="single" w:sz="4" w:space="0" w:color="ED7C5D"/>
              <w:left w:val="nil"/>
              <w:bottom w:val="single" w:sz="4" w:space="0" w:color="ED7C5D"/>
              <w:right w:val="nil"/>
            </w:tcBorders>
            <w:shd w:val="clear" w:color="000000" w:fill="FFFFFF"/>
            <w:noWrap/>
            <w:hideMark/>
          </w:tcPr>
          <w:p w14:paraId="58270915" w14:textId="77777777" w:rsidR="00EF2AAB" w:rsidRPr="00503F5B" w:rsidRDefault="00EF2AAB" w:rsidP="00E6069B">
            <w:pPr>
              <w:jc w:val="right"/>
              <w:rPr>
                <w:rFonts w:eastAsia="Times New Roman" w:cs="Calibri"/>
                <w:b/>
                <w:bCs/>
                <w:sz w:val="20"/>
                <w:szCs w:val="20"/>
                <w:lang w:eastAsia="en-AU"/>
              </w:rPr>
            </w:pPr>
            <w:r w:rsidRPr="00503F5B">
              <w:rPr>
                <w:rFonts w:eastAsia="Times New Roman" w:cs="Calibri"/>
                <w:b/>
                <w:bCs/>
                <w:sz w:val="20"/>
                <w:szCs w:val="20"/>
                <w:lang w:eastAsia="en-AU"/>
              </w:rPr>
              <w:t>$1,933</w:t>
            </w:r>
          </w:p>
        </w:tc>
        <w:tc>
          <w:tcPr>
            <w:tcW w:w="1842" w:type="dxa"/>
            <w:tcBorders>
              <w:top w:val="single" w:sz="4" w:space="0" w:color="ED7C5D"/>
              <w:left w:val="nil"/>
              <w:bottom w:val="single" w:sz="4" w:space="0" w:color="ED7C5D"/>
              <w:right w:val="nil"/>
            </w:tcBorders>
            <w:shd w:val="clear" w:color="000000" w:fill="FFFFFF"/>
            <w:noWrap/>
            <w:hideMark/>
          </w:tcPr>
          <w:p w14:paraId="6C943C86" w14:textId="77777777" w:rsidR="00EF2AAB" w:rsidRPr="00503F5B" w:rsidRDefault="00EF2AAB" w:rsidP="00E6069B">
            <w:pPr>
              <w:jc w:val="right"/>
              <w:rPr>
                <w:rFonts w:eastAsia="Times New Roman" w:cs="Calibri"/>
                <w:b/>
                <w:bCs/>
                <w:sz w:val="20"/>
                <w:szCs w:val="20"/>
                <w:lang w:eastAsia="en-AU"/>
              </w:rPr>
            </w:pPr>
            <w:r w:rsidRPr="00503F5B">
              <w:rPr>
                <w:rFonts w:eastAsia="Times New Roman" w:cs="Calibri"/>
                <w:b/>
                <w:bCs/>
                <w:sz w:val="20"/>
                <w:szCs w:val="20"/>
                <w:lang w:eastAsia="en-AU"/>
              </w:rPr>
              <w:t>$1,782</w:t>
            </w:r>
          </w:p>
        </w:tc>
      </w:tr>
      <w:tr w:rsidR="00EF2AAB" w:rsidRPr="00503F5B" w14:paraId="5103A34A" w14:textId="77777777" w:rsidTr="001F22AB">
        <w:trPr>
          <w:trHeight w:val="80"/>
          <w:jc w:val="center"/>
        </w:trPr>
        <w:tc>
          <w:tcPr>
            <w:tcW w:w="5103" w:type="dxa"/>
            <w:tcBorders>
              <w:top w:val="single" w:sz="4" w:space="0" w:color="ED7C5D"/>
              <w:left w:val="nil"/>
              <w:bottom w:val="nil"/>
              <w:right w:val="nil"/>
            </w:tcBorders>
            <w:shd w:val="clear" w:color="000000" w:fill="FFFFFF"/>
            <w:noWrap/>
            <w:hideMark/>
          </w:tcPr>
          <w:p w14:paraId="7BDF1C73"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Overtime and allowances for station personnel</w:t>
            </w:r>
          </w:p>
        </w:tc>
        <w:tc>
          <w:tcPr>
            <w:tcW w:w="1560" w:type="dxa"/>
            <w:tcBorders>
              <w:top w:val="single" w:sz="4" w:space="0" w:color="ED7C5D"/>
              <w:left w:val="nil"/>
              <w:bottom w:val="nil"/>
              <w:right w:val="nil"/>
            </w:tcBorders>
            <w:shd w:val="clear" w:color="000000" w:fill="FFFFFF"/>
            <w:noWrap/>
            <w:hideMark/>
          </w:tcPr>
          <w:p w14:paraId="39534F8E"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$285</w:t>
            </w:r>
          </w:p>
        </w:tc>
        <w:tc>
          <w:tcPr>
            <w:tcW w:w="1842" w:type="dxa"/>
            <w:tcBorders>
              <w:top w:val="single" w:sz="4" w:space="0" w:color="ED7C5D"/>
              <w:left w:val="nil"/>
              <w:bottom w:val="nil"/>
              <w:right w:val="nil"/>
            </w:tcBorders>
            <w:shd w:val="clear" w:color="000000" w:fill="FFFFFF"/>
            <w:noWrap/>
            <w:hideMark/>
          </w:tcPr>
          <w:p w14:paraId="4C1FC417"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$263</w:t>
            </w:r>
          </w:p>
        </w:tc>
      </w:tr>
      <w:tr w:rsidR="00EF2AAB" w:rsidRPr="00503F5B" w14:paraId="31E4B35A" w14:textId="77777777" w:rsidTr="001F22AB">
        <w:trPr>
          <w:trHeight w:val="80"/>
          <w:jc w:val="center"/>
        </w:trPr>
        <w:tc>
          <w:tcPr>
            <w:tcW w:w="5103" w:type="dxa"/>
            <w:tcBorders>
              <w:top w:val="nil"/>
              <w:left w:val="nil"/>
              <w:bottom w:val="nil"/>
              <w:right w:val="nil"/>
            </w:tcBorders>
            <w:shd w:val="clear" w:color="000000" w:fill="FFFFFF"/>
            <w:noWrap/>
            <w:hideMark/>
          </w:tcPr>
          <w:p w14:paraId="139C3D9B"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Personal protective equipment</w:t>
            </w:r>
          </w:p>
        </w:tc>
        <w:tc>
          <w:tcPr>
            <w:tcW w:w="1560" w:type="dxa"/>
            <w:tcBorders>
              <w:top w:val="nil"/>
              <w:left w:val="nil"/>
              <w:bottom w:val="nil"/>
              <w:right w:val="nil"/>
            </w:tcBorders>
            <w:shd w:val="clear" w:color="000000" w:fill="FFFFFF"/>
            <w:noWrap/>
            <w:hideMark/>
          </w:tcPr>
          <w:p w14:paraId="6BF4101D"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$18</w:t>
            </w:r>
          </w:p>
        </w:tc>
        <w:tc>
          <w:tcPr>
            <w:tcW w:w="1842" w:type="dxa"/>
            <w:tcBorders>
              <w:top w:val="nil"/>
              <w:left w:val="nil"/>
              <w:bottom w:val="nil"/>
              <w:right w:val="nil"/>
            </w:tcBorders>
            <w:shd w:val="clear" w:color="000000" w:fill="FFFFFF"/>
            <w:noWrap/>
            <w:hideMark/>
          </w:tcPr>
          <w:p w14:paraId="0D1B1A34"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$17</w:t>
            </w:r>
          </w:p>
        </w:tc>
      </w:tr>
      <w:tr w:rsidR="00EF2AAB" w:rsidRPr="00503F5B" w14:paraId="0B736CDB" w14:textId="77777777" w:rsidTr="001F22AB">
        <w:trPr>
          <w:trHeight w:val="80"/>
          <w:jc w:val="center"/>
        </w:trPr>
        <w:tc>
          <w:tcPr>
            <w:tcW w:w="5103" w:type="dxa"/>
            <w:tcBorders>
              <w:top w:val="nil"/>
              <w:left w:val="nil"/>
              <w:bottom w:val="nil"/>
              <w:right w:val="nil"/>
            </w:tcBorders>
            <w:shd w:val="clear" w:color="000000" w:fill="FFFFFF"/>
            <w:noWrap/>
            <w:hideMark/>
          </w:tcPr>
          <w:p w14:paraId="2DC151D9"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Training</w:t>
            </w:r>
          </w:p>
        </w:tc>
        <w:tc>
          <w:tcPr>
            <w:tcW w:w="1560" w:type="dxa"/>
            <w:tcBorders>
              <w:top w:val="nil"/>
              <w:left w:val="nil"/>
              <w:bottom w:val="nil"/>
              <w:right w:val="nil"/>
            </w:tcBorders>
            <w:shd w:val="clear" w:color="000000" w:fill="FFFFFF"/>
            <w:noWrap/>
            <w:hideMark/>
          </w:tcPr>
          <w:p w14:paraId="6C6DB69D"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$5</w:t>
            </w:r>
          </w:p>
        </w:tc>
        <w:tc>
          <w:tcPr>
            <w:tcW w:w="1842" w:type="dxa"/>
            <w:tcBorders>
              <w:top w:val="nil"/>
              <w:left w:val="nil"/>
              <w:bottom w:val="nil"/>
              <w:right w:val="nil"/>
            </w:tcBorders>
            <w:shd w:val="clear" w:color="000000" w:fill="FFFFFF"/>
            <w:noWrap/>
            <w:hideMark/>
          </w:tcPr>
          <w:p w14:paraId="48039B7F"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$4</w:t>
            </w:r>
          </w:p>
        </w:tc>
      </w:tr>
      <w:tr w:rsidR="00EF2AAB" w:rsidRPr="00503F5B" w14:paraId="22D97E90" w14:textId="77777777" w:rsidTr="001F22AB">
        <w:trPr>
          <w:trHeight w:val="80"/>
          <w:jc w:val="center"/>
        </w:trPr>
        <w:tc>
          <w:tcPr>
            <w:tcW w:w="5103" w:type="dxa"/>
            <w:tcBorders>
              <w:top w:val="nil"/>
              <w:left w:val="nil"/>
              <w:bottom w:val="single" w:sz="4" w:space="0" w:color="ED7C5D"/>
              <w:right w:val="nil"/>
            </w:tcBorders>
            <w:shd w:val="clear" w:color="000000" w:fill="FFFFFF"/>
            <w:noWrap/>
            <w:hideMark/>
          </w:tcPr>
          <w:p w14:paraId="6623CD52"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Administrative support</w:t>
            </w:r>
          </w:p>
        </w:tc>
        <w:tc>
          <w:tcPr>
            <w:tcW w:w="1560" w:type="dxa"/>
            <w:tcBorders>
              <w:top w:val="nil"/>
              <w:left w:val="nil"/>
              <w:bottom w:val="single" w:sz="4" w:space="0" w:color="ED7C5D"/>
              <w:right w:val="nil"/>
            </w:tcBorders>
            <w:shd w:val="clear" w:color="000000" w:fill="FFFFFF"/>
            <w:noWrap/>
            <w:hideMark/>
          </w:tcPr>
          <w:p w14:paraId="0688B2BC"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$337</w:t>
            </w:r>
          </w:p>
        </w:tc>
        <w:tc>
          <w:tcPr>
            <w:tcW w:w="1842" w:type="dxa"/>
            <w:tcBorders>
              <w:top w:val="nil"/>
              <w:left w:val="nil"/>
              <w:bottom w:val="single" w:sz="4" w:space="0" w:color="ED7C5D"/>
              <w:right w:val="nil"/>
            </w:tcBorders>
            <w:shd w:val="clear" w:color="000000" w:fill="FFFFFF"/>
            <w:noWrap/>
            <w:hideMark/>
          </w:tcPr>
          <w:p w14:paraId="453D9802"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$311</w:t>
            </w:r>
          </w:p>
        </w:tc>
      </w:tr>
      <w:tr w:rsidR="00EF2AAB" w:rsidRPr="00503F5B" w14:paraId="5422F780" w14:textId="77777777" w:rsidTr="001F22AB">
        <w:trPr>
          <w:trHeight w:val="70"/>
          <w:jc w:val="center"/>
        </w:trPr>
        <w:tc>
          <w:tcPr>
            <w:tcW w:w="5103" w:type="dxa"/>
            <w:tcBorders>
              <w:top w:val="single" w:sz="4" w:space="0" w:color="ED7C5D"/>
              <w:left w:val="nil"/>
              <w:bottom w:val="single" w:sz="4" w:space="0" w:color="ED7C5D"/>
              <w:right w:val="nil"/>
            </w:tcBorders>
            <w:shd w:val="clear" w:color="000000" w:fill="FFFFFF"/>
            <w:noWrap/>
            <w:hideMark/>
          </w:tcPr>
          <w:p w14:paraId="0CD922FF" w14:textId="77777777" w:rsidR="00EF2AAB" w:rsidRPr="00503F5B" w:rsidRDefault="00EF2AAB" w:rsidP="00E6069B">
            <w:pPr>
              <w:rPr>
                <w:rFonts w:eastAsia="Times New Roman" w:cs="Calibri"/>
                <w:b/>
                <w:bCs/>
                <w:sz w:val="20"/>
                <w:szCs w:val="20"/>
                <w:lang w:eastAsia="en-AU"/>
              </w:rPr>
            </w:pPr>
            <w:r w:rsidRPr="00503F5B">
              <w:rPr>
                <w:rFonts w:eastAsia="Times New Roman" w:cs="Calibri"/>
                <w:b/>
                <w:bCs/>
                <w:sz w:val="20"/>
                <w:szCs w:val="20"/>
                <w:lang w:eastAsia="en-AU"/>
              </w:rPr>
              <w:t>Sub-total indirect cost for MFB</w:t>
            </w:r>
          </w:p>
        </w:tc>
        <w:tc>
          <w:tcPr>
            <w:tcW w:w="1560" w:type="dxa"/>
            <w:tcBorders>
              <w:top w:val="single" w:sz="4" w:space="0" w:color="ED7C5D"/>
              <w:left w:val="nil"/>
              <w:bottom w:val="single" w:sz="4" w:space="0" w:color="ED7C5D"/>
              <w:right w:val="nil"/>
            </w:tcBorders>
            <w:shd w:val="clear" w:color="000000" w:fill="FFFFFF"/>
            <w:noWrap/>
            <w:hideMark/>
          </w:tcPr>
          <w:p w14:paraId="01204B76" w14:textId="77777777" w:rsidR="00EF2AAB" w:rsidRPr="00503F5B" w:rsidRDefault="00EF2AAB" w:rsidP="00E6069B">
            <w:pPr>
              <w:jc w:val="right"/>
              <w:rPr>
                <w:rFonts w:eastAsia="Times New Roman" w:cs="Calibri"/>
                <w:b/>
                <w:bCs/>
                <w:sz w:val="20"/>
                <w:szCs w:val="20"/>
                <w:lang w:eastAsia="en-AU"/>
              </w:rPr>
            </w:pPr>
            <w:r w:rsidRPr="00503F5B">
              <w:rPr>
                <w:rFonts w:eastAsia="Times New Roman" w:cs="Calibri"/>
                <w:b/>
                <w:bCs/>
                <w:sz w:val="20"/>
                <w:szCs w:val="20"/>
                <w:lang w:eastAsia="en-AU"/>
              </w:rPr>
              <w:t>$645</w:t>
            </w:r>
          </w:p>
        </w:tc>
        <w:tc>
          <w:tcPr>
            <w:tcW w:w="1842" w:type="dxa"/>
            <w:tcBorders>
              <w:top w:val="single" w:sz="4" w:space="0" w:color="ED7C5D"/>
              <w:left w:val="nil"/>
              <w:bottom w:val="single" w:sz="4" w:space="0" w:color="ED7C5D"/>
              <w:right w:val="nil"/>
            </w:tcBorders>
            <w:shd w:val="clear" w:color="000000" w:fill="FFFFFF"/>
            <w:noWrap/>
            <w:hideMark/>
          </w:tcPr>
          <w:p w14:paraId="4EFB9188" w14:textId="77777777" w:rsidR="00EF2AAB" w:rsidRPr="00503F5B" w:rsidRDefault="00EF2AAB" w:rsidP="00E6069B">
            <w:pPr>
              <w:jc w:val="right"/>
              <w:rPr>
                <w:rFonts w:eastAsia="Times New Roman" w:cs="Calibri"/>
                <w:b/>
                <w:bCs/>
                <w:sz w:val="20"/>
                <w:szCs w:val="20"/>
                <w:lang w:eastAsia="en-AU"/>
              </w:rPr>
            </w:pPr>
            <w:r w:rsidRPr="00503F5B">
              <w:rPr>
                <w:rFonts w:eastAsia="Times New Roman" w:cs="Calibri"/>
                <w:b/>
                <w:bCs/>
                <w:sz w:val="20"/>
                <w:szCs w:val="20"/>
                <w:lang w:eastAsia="en-AU"/>
              </w:rPr>
              <w:t>$594</w:t>
            </w:r>
          </w:p>
        </w:tc>
      </w:tr>
      <w:tr w:rsidR="00EF2AAB" w:rsidRPr="00503F5B" w14:paraId="26910789" w14:textId="77777777" w:rsidTr="001F22AB">
        <w:trPr>
          <w:trHeight w:val="70"/>
          <w:jc w:val="center"/>
        </w:trPr>
        <w:tc>
          <w:tcPr>
            <w:tcW w:w="5103" w:type="dxa"/>
            <w:tcBorders>
              <w:top w:val="single" w:sz="4" w:space="0" w:color="ED7C5D"/>
              <w:left w:val="nil"/>
              <w:bottom w:val="single" w:sz="4" w:space="0" w:color="ED7C5D"/>
              <w:right w:val="nil"/>
            </w:tcBorders>
            <w:shd w:val="clear" w:color="000000" w:fill="FFFFFF"/>
            <w:noWrap/>
            <w:hideMark/>
          </w:tcPr>
          <w:p w14:paraId="5C7DD3BF" w14:textId="77777777" w:rsidR="00EF2AAB" w:rsidRPr="00503F5B" w:rsidRDefault="00EF2AAB" w:rsidP="00E6069B">
            <w:pPr>
              <w:rPr>
                <w:rFonts w:eastAsia="Times New Roman" w:cs="Calibri"/>
                <w:b/>
                <w:bCs/>
                <w:i/>
                <w:iCs/>
                <w:sz w:val="20"/>
                <w:szCs w:val="20"/>
                <w:lang w:eastAsia="en-AU"/>
              </w:rPr>
            </w:pPr>
            <w:r w:rsidRPr="00503F5B">
              <w:rPr>
                <w:rFonts w:eastAsia="Times New Roman" w:cs="Calibri"/>
                <w:b/>
                <w:bCs/>
                <w:i/>
                <w:iCs/>
                <w:sz w:val="20"/>
                <w:szCs w:val="20"/>
                <w:lang w:eastAsia="en-AU"/>
              </w:rPr>
              <w:t>Total direct and indirect cost for MFB</w:t>
            </w:r>
          </w:p>
        </w:tc>
        <w:tc>
          <w:tcPr>
            <w:tcW w:w="1560" w:type="dxa"/>
            <w:tcBorders>
              <w:top w:val="single" w:sz="4" w:space="0" w:color="ED7C5D"/>
              <w:left w:val="nil"/>
              <w:bottom w:val="single" w:sz="4" w:space="0" w:color="ED7C5D"/>
              <w:right w:val="nil"/>
            </w:tcBorders>
            <w:shd w:val="clear" w:color="000000" w:fill="FFFFFF"/>
            <w:noWrap/>
            <w:hideMark/>
          </w:tcPr>
          <w:p w14:paraId="623135F4" w14:textId="77777777" w:rsidR="00EF2AAB" w:rsidRPr="00503F5B" w:rsidRDefault="00EF2AAB" w:rsidP="00E6069B">
            <w:pPr>
              <w:jc w:val="right"/>
              <w:rPr>
                <w:rFonts w:eastAsia="Times New Roman" w:cs="Calibri"/>
                <w:b/>
                <w:bCs/>
                <w:i/>
                <w:iCs/>
                <w:sz w:val="20"/>
                <w:szCs w:val="20"/>
                <w:lang w:eastAsia="en-AU"/>
              </w:rPr>
            </w:pPr>
            <w:r w:rsidRPr="00503F5B">
              <w:rPr>
                <w:rFonts w:eastAsia="Times New Roman" w:cs="Calibri"/>
                <w:b/>
                <w:bCs/>
                <w:i/>
                <w:iCs/>
                <w:sz w:val="20"/>
                <w:szCs w:val="20"/>
                <w:lang w:eastAsia="en-AU"/>
              </w:rPr>
              <w:t>$2,579</w:t>
            </w:r>
          </w:p>
        </w:tc>
        <w:tc>
          <w:tcPr>
            <w:tcW w:w="1842" w:type="dxa"/>
            <w:tcBorders>
              <w:top w:val="single" w:sz="4" w:space="0" w:color="ED7C5D"/>
              <w:left w:val="nil"/>
              <w:bottom w:val="single" w:sz="4" w:space="0" w:color="ED7C5D"/>
              <w:right w:val="nil"/>
            </w:tcBorders>
            <w:shd w:val="clear" w:color="000000" w:fill="FFFFFF"/>
            <w:noWrap/>
            <w:hideMark/>
          </w:tcPr>
          <w:p w14:paraId="14EFBD3E" w14:textId="77777777" w:rsidR="00EF2AAB" w:rsidRPr="00503F5B" w:rsidRDefault="00EF2AAB" w:rsidP="00E6069B">
            <w:pPr>
              <w:jc w:val="right"/>
              <w:rPr>
                <w:rFonts w:eastAsia="Times New Roman" w:cs="Calibri"/>
                <w:b/>
                <w:bCs/>
                <w:i/>
                <w:iCs/>
                <w:sz w:val="20"/>
                <w:szCs w:val="20"/>
                <w:lang w:eastAsia="en-AU"/>
              </w:rPr>
            </w:pPr>
            <w:r w:rsidRPr="00503F5B">
              <w:rPr>
                <w:rFonts w:eastAsia="Times New Roman" w:cs="Calibri"/>
                <w:b/>
                <w:bCs/>
                <w:i/>
                <w:iCs/>
                <w:sz w:val="20"/>
                <w:szCs w:val="20"/>
                <w:lang w:eastAsia="en-AU"/>
              </w:rPr>
              <w:t>$2,376</w:t>
            </w:r>
          </w:p>
        </w:tc>
      </w:tr>
      <w:tr w:rsidR="00EF2AAB" w:rsidRPr="00503F5B" w14:paraId="758A2A24" w14:textId="77777777" w:rsidTr="001F22AB">
        <w:trPr>
          <w:trHeight w:val="70"/>
          <w:jc w:val="center"/>
        </w:trPr>
        <w:tc>
          <w:tcPr>
            <w:tcW w:w="5103" w:type="dxa"/>
            <w:tcBorders>
              <w:top w:val="single" w:sz="4" w:space="0" w:color="ED7C5D"/>
              <w:left w:val="nil"/>
              <w:bottom w:val="double" w:sz="4" w:space="0" w:color="ED7C5D"/>
              <w:right w:val="nil"/>
            </w:tcBorders>
            <w:shd w:val="clear" w:color="000000" w:fill="FDE9D9"/>
            <w:noWrap/>
            <w:hideMark/>
          </w:tcPr>
          <w:p w14:paraId="24DAED0F" w14:textId="77777777" w:rsidR="00EF2AAB" w:rsidRPr="00503F5B" w:rsidRDefault="00EF2AAB" w:rsidP="00E6069B">
            <w:pPr>
              <w:rPr>
                <w:rFonts w:eastAsia="Times New Roman" w:cs="Calibri"/>
                <w:b/>
                <w:bCs/>
                <w:sz w:val="20"/>
                <w:szCs w:val="20"/>
                <w:lang w:eastAsia="en-AU"/>
              </w:rPr>
            </w:pPr>
            <w:r w:rsidRPr="00503F5B">
              <w:rPr>
                <w:rFonts w:eastAsia="Times New Roman" w:cs="Calibri"/>
                <w:b/>
                <w:bCs/>
                <w:sz w:val="20"/>
                <w:szCs w:val="20"/>
                <w:lang w:eastAsia="en-AU"/>
              </w:rPr>
              <w:t>CFA Integrated stations</w:t>
            </w:r>
          </w:p>
        </w:tc>
        <w:tc>
          <w:tcPr>
            <w:tcW w:w="1560" w:type="dxa"/>
            <w:tcBorders>
              <w:top w:val="single" w:sz="4" w:space="0" w:color="ED7C5D"/>
              <w:left w:val="nil"/>
              <w:bottom w:val="double" w:sz="4" w:space="0" w:color="ED7C5D"/>
              <w:right w:val="nil"/>
            </w:tcBorders>
            <w:shd w:val="clear" w:color="000000" w:fill="FDE9D9"/>
            <w:noWrap/>
            <w:hideMark/>
          </w:tcPr>
          <w:p w14:paraId="7DC52D90"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 </w:t>
            </w:r>
          </w:p>
        </w:tc>
        <w:tc>
          <w:tcPr>
            <w:tcW w:w="1842" w:type="dxa"/>
            <w:tcBorders>
              <w:top w:val="single" w:sz="4" w:space="0" w:color="ED7C5D"/>
              <w:left w:val="nil"/>
              <w:bottom w:val="double" w:sz="4" w:space="0" w:color="ED7C5D"/>
              <w:right w:val="nil"/>
            </w:tcBorders>
            <w:shd w:val="clear" w:color="000000" w:fill="FDE9D9"/>
            <w:noWrap/>
            <w:hideMark/>
          </w:tcPr>
          <w:p w14:paraId="1071FAB5"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 </w:t>
            </w:r>
          </w:p>
        </w:tc>
      </w:tr>
      <w:tr w:rsidR="00EF2AAB" w:rsidRPr="00503F5B" w14:paraId="67FE06CB" w14:textId="77777777" w:rsidTr="001F22AB">
        <w:trPr>
          <w:trHeight w:val="35"/>
          <w:jc w:val="center"/>
        </w:trPr>
        <w:tc>
          <w:tcPr>
            <w:tcW w:w="5103" w:type="dxa"/>
            <w:tcBorders>
              <w:top w:val="double" w:sz="4" w:space="0" w:color="ED7C5D"/>
              <w:left w:val="nil"/>
              <w:bottom w:val="nil"/>
              <w:right w:val="nil"/>
            </w:tcBorders>
            <w:shd w:val="clear" w:color="000000" w:fill="FFFFFF"/>
            <w:noWrap/>
            <w:hideMark/>
          </w:tcPr>
          <w:p w14:paraId="507F8CE8"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Appliance maintenance and support</w:t>
            </w:r>
          </w:p>
        </w:tc>
        <w:tc>
          <w:tcPr>
            <w:tcW w:w="1560" w:type="dxa"/>
            <w:tcBorders>
              <w:top w:val="double" w:sz="4" w:space="0" w:color="ED7C5D"/>
              <w:left w:val="nil"/>
              <w:bottom w:val="nil"/>
              <w:right w:val="nil"/>
            </w:tcBorders>
            <w:shd w:val="clear" w:color="000000" w:fill="FFFFFF"/>
            <w:noWrap/>
            <w:hideMark/>
          </w:tcPr>
          <w:p w14:paraId="484D746D"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$9</w:t>
            </w:r>
          </w:p>
        </w:tc>
        <w:tc>
          <w:tcPr>
            <w:tcW w:w="1842" w:type="dxa"/>
            <w:tcBorders>
              <w:top w:val="double" w:sz="4" w:space="0" w:color="ED7C5D"/>
              <w:left w:val="nil"/>
              <w:bottom w:val="nil"/>
              <w:right w:val="nil"/>
            </w:tcBorders>
            <w:shd w:val="clear" w:color="000000" w:fill="FFFFFF"/>
            <w:noWrap/>
            <w:hideMark/>
          </w:tcPr>
          <w:p w14:paraId="5E7852C3"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$1</w:t>
            </w:r>
          </w:p>
        </w:tc>
      </w:tr>
      <w:tr w:rsidR="00EF2AAB" w:rsidRPr="00503F5B" w14:paraId="40018149" w14:textId="77777777" w:rsidTr="001F22AB">
        <w:trPr>
          <w:trHeight w:val="80"/>
          <w:jc w:val="center"/>
        </w:trPr>
        <w:tc>
          <w:tcPr>
            <w:tcW w:w="5103" w:type="dxa"/>
            <w:tcBorders>
              <w:top w:val="nil"/>
              <w:left w:val="nil"/>
              <w:bottom w:val="nil"/>
              <w:right w:val="nil"/>
            </w:tcBorders>
            <w:shd w:val="clear" w:color="000000" w:fill="FFFFFF"/>
            <w:noWrap/>
            <w:hideMark/>
          </w:tcPr>
          <w:p w14:paraId="17578AF7"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Appliance licencing</w:t>
            </w:r>
          </w:p>
        </w:tc>
        <w:tc>
          <w:tcPr>
            <w:tcW w:w="1560" w:type="dxa"/>
            <w:tcBorders>
              <w:top w:val="nil"/>
              <w:left w:val="nil"/>
              <w:bottom w:val="nil"/>
              <w:right w:val="nil"/>
            </w:tcBorders>
            <w:shd w:val="clear" w:color="000000" w:fill="FFFFFF"/>
            <w:noWrap/>
            <w:hideMark/>
          </w:tcPr>
          <w:p w14:paraId="147AEAD1"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$0</w:t>
            </w:r>
          </w:p>
        </w:tc>
        <w:tc>
          <w:tcPr>
            <w:tcW w:w="1842" w:type="dxa"/>
            <w:tcBorders>
              <w:top w:val="nil"/>
              <w:left w:val="nil"/>
              <w:bottom w:val="nil"/>
              <w:right w:val="nil"/>
            </w:tcBorders>
            <w:shd w:val="clear" w:color="000000" w:fill="FFFFFF"/>
            <w:noWrap/>
            <w:hideMark/>
          </w:tcPr>
          <w:p w14:paraId="4A8F1989"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$0</w:t>
            </w:r>
          </w:p>
        </w:tc>
      </w:tr>
      <w:tr w:rsidR="00EF2AAB" w:rsidRPr="00503F5B" w14:paraId="48E6E09D" w14:textId="77777777" w:rsidTr="001F22AB">
        <w:trPr>
          <w:trHeight w:val="80"/>
          <w:jc w:val="center"/>
        </w:trPr>
        <w:tc>
          <w:tcPr>
            <w:tcW w:w="5103" w:type="dxa"/>
            <w:tcBorders>
              <w:top w:val="nil"/>
              <w:left w:val="nil"/>
              <w:bottom w:val="single" w:sz="4" w:space="0" w:color="ED7C5D"/>
              <w:right w:val="nil"/>
            </w:tcBorders>
            <w:shd w:val="clear" w:color="000000" w:fill="FFFFFF"/>
            <w:noWrap/>
            <w:hideMark/>
          </w:tcPr>
          <w:p w14:paraId="14C9A9C2"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Vehicle direct costs (external Inc. Fuel) SAP</w:t>
            </w:r>
          </w:p>
        </w:tc>
        <w:tc>
          <w:tcPr>
            <w:tcW w:w="1560" w:type="dxa"/>
            <w:tcBorders>
              <w:top w:val="nil"/>
              <w:left w:val="nil"/>
              <w:bottom w:val="single" w:sz="4" w:space="0" w:color="ED7C5D"/>
              <w:right w:val="nil"/>
            </w:tcBorders>
            <w:shd w:val="clear" w:color="000000" w:fill="FFFFFF"/>
            <w:noWrap/>
            <w:hideMark/>
          </w:tcPr>
          <w:p w14:paraId="178241F5"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$4</w:t>
            </w:r>
          </w:p>
        </w:tc>
        <w:tc>
          <w:tcPr>
            <w:tcW w:w="1842" w:type="dxa"/>
            <w:tcBorders>
              <w:top w:val="nil"/>
              <w:left w:val="nil"/>
              <w:bottom w:val="single" w:sz="4" w:space="0" w:color="ED7C5D"/>
              <w:right w:val="nil"/>
            </w:tcBorders>
            <w:shd w:val="clear" w:color="000000" w:fill="FFFFFF"/>
            <w:noWrap/>
            <w:hideMark/>
          </w:tcPr>
          <w:p w14:paraId="7B291C9B"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$0</w:t>
            </w:r>
          </w:p>
        </w:tc>
      </w:tr>
      <w:tr w:rsidR="00EF2AAB" w:rsidRPr="00503F5B" w14:paraId="4402132E" w14:textId="77777777" w:rsidTr="001F22AB">
        <w:trPr>
          <w:trHeight w:val="70"/>
          <w:jc w:val="center"/>
        </w:trPr>
        <w:tc>
          <w:tcPr>
            <w:tcW w:w="5103" w:type="dxa"/>
            <w:tcBorders>
              <w:top w:val="single" w:sz="4" w:space="0" w:color="ED7C5D"/>
              <w:left w:val="nil"/>
              <w:bottom w:val="single" w:sz="4" w:space="0" w:color="ED7C5D"/>
              <w:right w:val="nil"/>
            </w:tcBorders>
            <w:shd w:val="clear" w:color="000000" w:fill="FFFFFF"/>
            <w:noWrap/>
            <w:hideMark/>
          </w:tcPr>
          <w:p w14:paraId="5C43D242" w14:textId="77777777" w:rsidR="00EF2AAB" w:rsidRPr="00503F5B" w:rsidRDefault="00EF2AAB" w:rsidP="00E6069B">
            <w:pPr>
              <w:rPr>
                <w:rFonts w:eastAsia="Times New Roman" w:cs="Calibri"/>
                <w:b/>
                <w:bCs/>
                <w:sz w:val="20"/>
                <w:szCs w:val="20"/>
                <w:lang w:eastAsia="en-AU"/>
              </w:rPr>
            </w:pPr>
            <w:r w:rsidRPr="00503F5B">
              <w:rPr>
                <w:rFonts w:eastAsia="Times New Roman" w:cs="Calibri"/>
                <w:b/>
                <w:bCs/>
                <w:sz w:val="20"/>
                <w:szCs w:val="20"/>
                <w:lang w:eastAsia="en-AU"/>
              </w:rPr>
              <w:t>Sub-total direct appliance costs CFA integrated stations</w:t>
            </w:r>
          </w:p>
        </w:tc>
        <w:tc>
          <w:tcPr>
            <w:tcW w:w="1560" w:type="dxa"/>
            <w:tcBorders>
              <w:top w:val="single" w:sz="4" w:space="0" w:color="ED7C5D"/>
              <w:left w:val="nil"/>
              <w:bottom w:val="single" w:sz="4" w:space="0" w:color="ED7C5D"/>
              <w:right w:val="nil"/>
            </w:tcBorders>
            <w:shd w:val="clear" w:color="000000" w:fill="FFFFFF"/>
            <w:noWrap/>
            <w:hideMark/>
          </w:tcPr>
          <w:p w14:paraId="30E6050B" w14:textId="77777777" w:rsidR="00EF2AAB" w:rsidRPr="00503F5B" w:rsidRDefault="00EF2AAB" w:rsidP="00E6069B">
            <w:pPr>
              <w:jc w:val="right"/>
              <w:rPr>
                <w:rFonts w:eastAsia="Times New Roman" w:cs="Calibri"/>
                <w:b/>
                <w:bCs/>
                <w:sz w:val="20"/>
                <w:szCs w:val="20"/>
                <w:lang w:eastAsia="en-AU"/>
              </w:rPr>
            </w:pPr>
            <w:r w:rsidRPr="00503F5B">
              <w:rPr>
                <w:rFonts w:eastAsia="Times New Roman" w:cs="Calibri"/>
                <w:b/>
                <w:bCs/>
                <w:sz w:val="20"/>
                <w:szCs w:val="20"/>
                <w:lang w:eastAsia="en-AU"/>
              </w:rPr>
              <w:t>$14</w:t>
            </w:r>
          </w:p>
        </w:tc>
        <w:tc>
          <w:tcPr>
            <w:tcW w:w="1842" w:type="dxa"/>
            <w:tcBorders>
              <w:top w:val="single" w:sz="4" w:space="0" w:color="ED7C5D"/>
              <w:left w:val="nil"/>
              <w:bottom w:val="single" w:sz="4" w:space="0" w:color="ED7C5D"/>
              <w:right w:val="nil"/>
            </w:tcBorders>
            <w:shd w:val="clear" w:color="000000" w:fill="FFFFFF"/>
            <w:noWrap/>
            <w:hideMark/>
          </w:tcPr>
          <w:p w14:paraId="035C5363" w14:textId="77777777" w:rsidR="00EF2AAB" w:rsidRPr="00503F5B" w:rsidRDefault="00EF2AAB" w:rsidP="00E6069B">
            <w:pPr>
              <w:jc w:val="right"/>
              <w:rPr>
                <w:rFonts w:eastAsia="Times New Roman" w:cs="Calibri"/>
                <w:b/>
                <w:bCs/>
                <w:sz w:val="20"/>
                <w:szCs w:val="20"/>
                <w:lang w:eastAsia="en-AU"/>
              </w:rPr>
            </w:pPr>
            <w:r w:rsidRPr="00503F5B">
              <w:rPr>
                <w:rFonts w:eastAsia="Times New Roman" w:cs="Calibri"/>
                <w:b/>
                <w:bCs/>
                <w:sz w:val="20"/>
                <w:szCs w:val="20"/>
                <w:lang w:eastAsia="en-AU"/>
              </w:rPr>
              <w:t>$1</w:t>
            </w:r>
          </w:p>
        </w:tc>
      </w:tr>
      <w:tr w:rsidR="00EF2AAB" w:rsidRPr="00503F5B" w14:paraId="4689D059" w14:textId="77777777" w:rsidTr="00203BDA">
        <w:trPr>
          <w:trHeight w:val="70"/>
          <w:jc w:val="center"/>
        </w:trPr>
        <w:tc>
          <w:tcPr>
            <w:tcW w:w="5103" w:type="dxa"/>
            <w:tcBorders>
              <w:top w:val="single" w:sz="4" w:space="0" w:color="ED7C5D"/>
              <w:left w:val="nil"/>
              <w:right w:val="nil"/>
            </w:tcBorders>
            <w:shd w:val="clear" w:color="000000" w:fill="FFFFFF"/>
            <w:noWrap/>
            <w:hideMark/>
          </w:tcPr>
          <w:p w14:paraId="1EA6A6AD"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Salaries and on-costs (including operational staff)</w:t>
            </w:r>
          </w:p>
        </w:tc>
        <w:tc>
          <w:tcPr>
            <w:tcW w:w="1560" w:type="dxa"/>
            <w:tcBorders>
              <w:top w:val="single" w:sz="4" w:space="0" w:color="ED7C5D"/>
              <w:left w:val="nil"/>
              <w:right w:val="nil"/>
            </w:tcBorders>
            <w:shd w:val="clear" w:color="000000" w:fill="FFFFFF"/>
            <w:noWrap/>
            <w:hideMark/>
          </w:tcPr>
          <w:p w14:paraId="7A5501F4" w14:textId="055226A3"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w:t>
            </w:r>
            <w:r w:rsidR="00203BDA">
              <w:rPr>
                <w:rFonts w:eastAsia="Times New Roman" w:cs="Calibri"/>
                <w:sz w:val="20"/>
                <w:szCs w:val="20"/>
                <w:lang w:eastAsia="en-AU"/>
              </w:rPr>
              <w:t>945</w:t>
            </w:r>
          </w:p>
        </w:tc>
        <w:tc>
          <w:tcPr>
            <w:tcW w:w="1842" w:type="dxa"/>
            <w:tcBorders>
              <w:top w:val="single" w:sz="4" w:space="0" w:color="ED7C5D"/>
              <w:left w:val="nil"/>
              <w:right w:val="nil"/>
            </w:tcBorders>
            <w:shd w:val="clear" w:color="000000" w:fill="FFFFFF"/>
            <w:noWrap/>
            <w:hideMark/>
          </w:tcPr>
          <w:p w14:paraId="2A38D5F1" w14:textId="038E729F"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w:t>
            </w:r>
            <w:r w:rsidR="00435388">
              <w:rPr>
                <w:rFonts w:eastAsia="Times New Roman" w:cs="Calibri"/>
                <w:sz w:val="20"/>
                <w:szCs w:val="20"/>
                <w:lang w:eastAsia="en-AU"/>
              </w:rPr>
              <w:t>93</w:t>
            </w:r>
          </w:p>
        </w:tc>
      </w:tr>
      <w:tr w:rsidR="00EF2AAB" w:rsidRPr="00503F5B" w14:paraId="5D78DDA7" w14:textId="77777777" w:rsidTr="001F22AB">
        <w:trPr>
          <w:trHeight w:val="80"/>
          <w:jc w:val="center"/>
        </w:trPr>
        <w:tc>
          <w:tcPr>
            <w:tcW w:w="5103" w:type="dxa"/>
            <w:tcBorders>
              <w:top w:val="nil"/>
              <w:left w:val="nil"/>
              <w:bottom w:val="single" w:sz="4" w:space="0" w:color="ED7C5D"/>
              <w:right w:val="nil"/>
            </w:tcBorders>
            <w:shd w:val="clear" w:color="000000" w:fill="FFFFFF"/>
            <w:noWrap/>
            <w:hideMark/>
          </w:tcPr>
          <w:p w14:paraId="300AB023"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Other employee expenses</w:t>
            </w:r>
          </w:p>
        </w:tc>
        <w:tc>
          <w:tcPr>
            <w:tcW w:w="1560" w:type="dxa"/>
            <w:tcBorders>
              <w:top w:val="nil"/>
              <w:left w:val="nil"/>
              <w:bottom w:val="single" w:sz="4" w:space="0" w:color="ED7C5D"/>
              <w:right w:val="nil"/>
            </w:tcBorders>
            <w:shd w:val="clear" w:color="000000" w:fill="FFFFFF"/>
            <w:noWrap/>
            <w:hideMark/>
          </w:tcPr>
          <w:p w14:paraId="25140555"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$61</w:t>
            </w:r>
          </w:p>
        </w:tc>
        <w:tc>
          <w:tcPr>
            <w:tcW w:w="1842" w:type="dxa"/>
            <w:tcBorders>
              <w:top w:val="nil"/>
              <w:left w:val="nil"/>
              <w:bottom w:val="single" w:sz="4" w:space="0" w:color="ED7C5D"/>
              <w:right w:val="nil"/>
            </w:tcBorders>
            <w:shd w:val="clear" w:color="000000" w:fill="FFFFFF"/>
            <w:noWrap/>
            <w:hideMark/>
          </w:tcPr>
          <w:p w14:paraId="0C1D66D3"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$5</w:t>
            </w:r>
          </w:p>
        </w:tc>
      </w:tr>
      <w:tr w:rsidR="00EF2AAB" w:rsidRPr="00503F5B" w14:paraId="3C5898AF" w14:textId="77777777" w:rsidTr="001F22AB">
        <w:trPr>
          <w:trHeight w:val="70"/>
          <w:jc w:val="center"/>
        </w:trPr>
        <w:tc>
          <w:tcPr>
            <w:tcW w:w="5103" w:type="dxa"/>
            <w:tcBorders>
              <w:top w:val="single" w:sz="4" w:space="0" w:color="ED7C5D"/>
              <w:left w:val="nil"/>
              <w:bottom w:val="single" w:sz="4" w:space="0" w:color="ED7C5D"/>
              <w:right w:val="nil"/>
            </w:tcBorders>
            <w:shd w:val="clear" w:color="000000" w:fill="FFFFFF"/>
            <w:noWrap/>
            <w:hideMark/>
          </w:tcPr>
          <w:p w14:paraId="00DC3FC4" w14:textId="77777777" w:rsidR="00EF2AAB" w:rsidRPr="00503F5B" w:rsidRDefault="00EF2AAB" w:rsidP="00E6069B">
            <w:pPr>
              <w:rPr>
                <w:rFonts w:eastAsia="Times New Roman" w:cs="Calibri"/>
                <w:b/>
                <w:bCs/>
                <w:sz w:val="20"/>
                <w:szCs w:val="20"/>
                <w:lang w:eastAsia="en-AU"/>
              </w:rPr>
            </w:pPr>
            <w:r w:rsidRPr="00503F5B">
              <w:rPr>
                <w:rFonts w:eastAsia="Times New Roman" w:cs="Calibri"/>
                <w:b/>
                <w:bCs/>
                <w:sz w:val="20"/>
                <w:szCs w:val="20"/>
                <w:lang w:eastAsia="en-AU"/>
              </w:rPr>
              <w:t>Sub-total direct staffing costs for CFA integrated stations</w:t>
            </w:r>
          </w:p>
        </w:tc>
        <w:tc>
          <w:tcPr>
            <w:tcW w:w="1560" w:type="dxa"/>
            <w:tcBorders>
              <w:top w:val="single" w:sz="4" w:space="0" w:color="ED7C5D"/>
              <w:left w:val="nil"/>
              <w:bottom w:val="single" w:sz="4" w:space="0" w:color="ED7C5D"/>
              <w:right w:val="nil"/>
            </w:tcBorders>
            <w:shd w:val="clear" w:color="000000" w:fill="FFFFFF"/>
            <w:noWrap/>
            <w:hideMark/>
          </w:tcPr>
          <w:p w14:paraId="1C86EB7E" w14:textId="77777777" w:rsidR="00EF2AAB" w:rsidRPr="00503F5B" w:rsidRDefault="00EF2AAB" w:rsidP="00E6069B">
            <w:pPr>
              <w:jc w:val="right"/>
              <w:rPr>
                <w:rFonts w:eastAsia="Times New Roman" w:cs="Calibri"/>
                <w:b/>
                <w:bCs/>
                <w:sz w:val="20"/>
                <w:szCs w:val="20"/>
                <w:lang w:eastAsia="en-AU"/>
              </w:rPr>
            </w:pPr>
            <w:r w:rsidRPr="00503F5B">
              <w:rPr>
                <w:rFonts w:eastAsia="Times New Roman" w:cs="Calibri"/>
                <w:b/>
                <w:bCs/>
                <w:sz w:val="20"/>
                <w:szCs w:val="20"/>
                <w:lang w:eastAsia="en-AU"/>
              </w:rPr>
              <w:t>$1,242</w:t>
            </w:r>
          </w:p>
        </w:tc>
        <w:tc>
          <w:tcPr>
            <w:tcW w:w="1842" w:type="dxa"/>
            <w:tcBorders>
              <w:top w:val="single" w:sz="4" w:space="0" w:color="ED7C5D"/>
              <w:left w:val="nil"/>
              <w:bottom w:val="single" w:sz="4" w:space="0" w:color="ED7C5D"/>
              <w:right w:val="nil"/>
            </w:tcBorders>
            <w:shd w:val="clear" w:color="000000" w:fill="FFFFFF"/>
            <w:noWrap/>
            <w:hideMark/>
          </w:tcPr>
          <w:p w14:paraId="7F04F778" w14:textId="77777777" w:rsidR="00EF2AAB" w:rsidRPr="00503F5B" w:rsidRDefault="00EF2AAB" w:rsidP="00E6069B">
            <w:pPr>
              <w:jc w:val="right"/>
              <w:rPr>
                <w:rFonts w:eastAsia="Times New Roman" w:cs="Calibri"/>
                <w:b/>
                <w:bCs/>
                <w:sz w:val="20"/>
                <w:szCs w:val="20"/>
                <w:lang w:eastAsia="en-AU"/>
              </w:rPr>
            </w:pPr>
            <w:r w:rsidRPr="00503F5B">
              <w:rPr>
                <w:rFonts w:eastAsia="Times New Roman" w:cs="Calibri"/>
                <w:b/>
                <w:bCs/>
                <w:sz w:val="20"/>
                <w:szCs w:val="20"/>
                <w:lang w:eastAsia="en-AU"/>
              </w:rPr>
              <w:t>$97</w:t>
            </w:r>
          </w:p>
        </w:tc>
      </w:tr>
      <w:tr w:rsidR="00EF2AAB" w:rsidRPr="00503F5B" w14:paraId="088855A9" w14:textId="77777777" w:rsidTr="001F22AB">
        <w:trPr>
          <w:trHeight w:val="70"/>
          <w:jc w:val="center"/>
        </w:trPr>
        <w:tc>
          <w:tcPr>
            <w:tcW w:w="5103" w:type="dxa"/>
            <w:tcBorders>
              <w:top w:val="single" w:sz="4" w:space="0" w:color="ED7C5D"/>
              <w:left w:val="nil"/>
              <w:bottom w:val="nil"/>
              <w:right w:val="nil"/>
            </w:tcBorders>
            <w:shd w:val="clear" w:color="000000" w:fill="FFFFFF"/>
            <w:noWrap/>
            <w:hideMark/>
          </w:tcPr>
          <w:p w14:paraId="2DE647AB"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Land and buildings maintenance (external Suppliers)</w:t>
            </w:r>
          </w:p>
        </w:tc>
        <w:tc>
          <w:tcPr>
            <w:tcW w:w="1560" w:type="dxa"/>
            <w:tcBorders>
              <w:top w:val="single" w:sz="4" w:space="0" w:color="ED7C5D"/>
              <w:left w:val="nil"/>
              <w:bottom w:val="nil"/>
              <w:right w:val="nil"/>
            </w:tcBorders>
            <w:shd w:val="clear" w:color="000000" w:fill="FFFFFF"/>
            <w:noWrap/>
            <w:hideMark/>
          </w:tcPr>
          <w:p w14:paraId="765839A5"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$9</w:t>
            </w:r>
          </w:p>
        </w:tc>
        <w:tc>
          <w:tcPr>
            <w:tcW w:w="1842" w:type="dxa"/>
            <w:tcBorders>
              <w:top w:val="single" w:sz="4" w:space="0" w:color="ED7C5D"/>
              <w:left w:val="nil"/>
              <w:bottom w:val="nil"/>
              <w:right w:val="nil"/>
            </w:tcBorders>
            <w:shd w:val="clear" w:color="000000" w:fill="FFFFFF"/>
            <w:noWrap/>
            <w:hideMark/>
          </w:tcPr>
          <w:p w14:paraId="31A85692"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$1</w:t>
            </w:r>
          </w:p>
        </w:tc>
      </w:tr>
      <w:tr w:rsidR="00EF2AAB" w:rsidRPr="00503F5B" w14:paraId="358CE7D2" w14:textId="77777777" w:rsidTr="001F22AB">
        <w:trPr>
          <w:trHeight w:val="80"/>
          <w:jc w:val="center"/>
        </w:trPr>
        <w:tc>
          <w:tcPr>
            <w:tcW w:w="5103" w:type="dxa"/>
            <w:tcBorders>
              <w:top w:val="nil"/>
              <w:left w:val="nil"/>
              <w:bottom w:val="nil"/>
              <w:right w:val="nil"/>
            </w:tcBorders>
            <w:shd w:val="clear" w:color="000000" w:fill="FFFFFF"/>
            <w:noWrap/>
            <w:hideMark/>
          </w:tcPr>
          <w:p w14:paraId="714AF6B4"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Plant and equipment maintenance (external Suppliers)</w:t>
            </w:r>
          </w:p>
        </w:tc>
        <w:tc>
          <w:tcPr>
            <w:tcW w:w="1560" w:type="dxa"/>
            <w:tcBorders>
              <w:top w:val="nil"/>
              <w:left w:val="nil"/>
              <w:bottom w:val="nil"/>
              <w:right w:val="nil"/>
            </w:tcBorders>
            <w:shd w:val="clear" w:color="000000" w:fill="FFFFFF"/>
            <w:noWrap/>
            <w:hideMark/>
          </w:tcPr>
          <w:p w14:paraId="63E74E13"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$6</w:t>
            </w:r>
          </w:p>
        </w:tc>
        <w:tc>
          <w:tcPr>
            <w:tcW w:w="1842" w:type="dxa"/>
            <w:tcBorders>
              <w:top w:val="nil"/>
              <w:left w:val="nil"/>
              <w:bottom w:val="nil"/>
              <w:right w:val="nil"/>
            </w:tcBorders>
            <w:shd w:val="clear" w:color="000000" w:fill="FFFFFF"/>
            <w:noWrap/>
            <w:hideMark/>
          </w:tcPr>
          <w:p w14:paraId="3BAB2451"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$0</w:t>
            </w:r>
          </w:p>
        </w:tc>
      </w:tr>
      <w:tr w:rsidR="00EF2AAB" w:rsidRPr="00503F5B" w14:paraId="287C6488" w14:textId="77777777" w:rsidTr="001F22AB">
        <w:trPr>
          <w:trHeight w:val="80"/>
          <w:jc w:val="center"/>
        </w:trPr>
        <w:tc>
          <w:tcPr>
            <w:tcW w:w="5103" w:type="dxa"/>
            <w:tcBorders>
              <w:top w:val="nil"/>
              <w:left w:val="nil"/>
              <w:bottom w:val="nil"/>
              <w:right w:val="nil"/>
            </w:tcBorders>
            <w:shd w:val="clear" w:color="000000" w:fill="FFFFFF"/>
            <w:noWrap/>
            <w:hideMark/>
          </w:tcPr>
          <w:p w14:paraId="79A621ED"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General expenses (external suppliers)</w:t>
            </w:r>
          </w:p>
        </w:tc>
        <w:tc>
          <w:tcPr>
            <w:tcW w:w="1560" w:type="dxa"/>
            <w:tcBorders>
              <w:top w:val="nil"/>
              <w:left w:val="nil"/>
              <w:bottom w:val="nil"/>
              <w:right w:val="nil"/>
            </w:tcBorders>
            <w:shd w:val="clear" w:color="000000" w:fill="FFFFFF"/>
            <w:noWrap/>
            <w:hideMark/>
          </w:tcPr>
          <w:p w14:paraId="75707B9A"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$4</w:t>
            </w:r>
          </w:p>
        </w:tc>
        <w:tc>
          <w:tcPr>
            <w:tcW w:w="1842" w:type="dxa"/>
            <w:tcBorders>
              <w:top w:val="nil"/>
              <w:left w:val="nil"/>
              <w:bottom w:val="nil"/>
              <w:right w:val="nil"/>
            </w:tcBorders>
            <w:shd w:val="clear" w:color="000000" w:fill="FFFFFF"/>
            <w:noWrap/>
            <w:hideMark/>
          </w:tcPr>
          <w:p w14:paraId="7742C28C"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$0</w:t>
            </w:r>
          </w:p>
        </w:tc>
      </w:tr>
      <w:tr w:rsidR="00EF2AAB" w:rsidRPr="00503F5B" w14:paraId="50A08533" w14:textId="77777777" w:rsidTr="001F22AB">
        <w:trPr>
          <w:trHeight w:val="80"/>
          <w:jc w:val="center"/>
        </w:trPr>
        <w:tc>
          <w:tcPr>
            <w:tcW w:w="5103" w:type="dxa"/>
            <w:tcBorders>
              <w:top w:val="nil"/>
              <w:left w:val="nil"/>
              <w:bottom w:val="single" w:sz="4" w:space="0" w:color="ED7C5D"/>
              <w:right w:val="nil"/>
            </w:tcBorders>
            <w:shd w:val="clear" w:color="000000" w:fill="FFFFFF"/>
            <w:noWrap/>
            <w:hideMark/>
          </w:tcPr>
          <w:p w14:paraId="4729837B" w14:textId="77777777" w:rsidR="00EF2AAB" w:rsidRPr="00503F5B" w:rsidRDefault="00EF2AAB" w:rsidP="00E6069B">
            <w:pPr>
              <w:rPr>
                <w:rFonts w:eastAsia="Times New Roman" w:cs="Calibri"/>
                <w:sz w:val="20"/>
                <w:szCs w:val="20"/>
                <w:lang w:eastAsia="en-AU"/>
              </w:rPr>
            </w:pPr>
            <w:r w:rsidRPr="00503F5B">
              <w:rPr>
                <w:rFonts w:eastAsia="Times New Roman" w:cs="Calibri"/>
                <w:sz w:val="20"/>
                <w:szCs w:val="20"/>
                <w:lang w:eastAsia="en-AU"/>
              </w:rPr>
              <w:t>Land and buildings - CFA internal maintenance costs</w:t>
            </w:r>
          </w:p>
        </w:tc>
        <w:tc>
          <w:tcPr>
            <w:tcW w:w="1560" w:type="dxa"/>
            <w:tcBorders>
              <w:top w:val="nil"/>
              <w:left w:val="nil"/>
              <w:bottom w:val="single" w:sz="4" w:space="0" w:color="ED7C5D"/>
              <w:right w:val="nil"/>
            </w:tcBorders>
            <w:shd w:val="clear" w:color="000000" w:fill="FFFFFF"/>
            <w:noWrap/>
            <w:hideMark/>
          </w:tcPr>
          <w:p w14:paraId="1EA5E9DD"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$6</w:t>
            </w:r>
          </w:p>
        </w:tc>
        <w:tc>
          <w:tcPr>
            <w:tcW w:w="1842" w:type="dxa"/>
            <w:tcBorders>
              <w:top w:val="nil"/>
              <w:left w:val="nil"/>
              <w:bottom w:val="single" w:sz="4" w:space="0" w:color="ED7C5D"/>
              <w:right w:val="nil"/>
            </w:tcBorders>
            <w:shd w:val="clear" w:color="000000" w:fill="FFFFFF"/>
            <w:noWrap/>
            <w:hideMark/>
          </w:tcPr>
          <w:p w14:paraId="5E099781" w14:textId="77777777" w:rsidR="00EF2AAB" w:rsidRPr="00503F5B" w:rsidRDefault="00EF2AAB" w:rsidP="00E6069B">
            <w:pPr>
              <w:jc w:val="right"/>
              <w:rPr>
                <w:rFonts w:eastAsia="Times New Roman" w:cs="Calibri"/>
                <w:sz w:val="20"/>
                <w:szCs w:val="20"/>
                <w:lang w:eastAsia="en-AU"/>
              </w:rPr>
            </w:pPr>
            <w:r w:rsidRPr="00503F5B">
              <w:rPr>
                <w:rFonts w:eastAsia="Times New Roman" w:cs="Calibri"/>
                <w:sz w:val="20"/>
                <w:szCs w:val="20"/>
                <w:lang w:eastAsia="en-AU"/>
              </w:rPr>
              <w:t>$0</w:t>
            </w:r>
          </w:p>
        </w:tc>
      </w:tr>
      <w:tr w:rsidR="00EF2AAB" w:rsidRPr="00503F5B" w14:paraId="3A9F47CC" w14:textId="77777777" w:rsidTr="001F22AB">
        <w:trPr>
          <w:trHeight w:val="70"/>
          <w:jc w:val="center"/>
        </w:trPr>
        <w:tc>
          <w:tcPr>
            <w:tcW w:w="5103" w:type="dxa"/>
            <w:tcBorders>
              <w:top w:val="single" w:sz="4" w:space="0" w:color="ED7C5D"/>
              <w:left w:val="nil"/>
              <w:bottom w:val="single" w:sz="4" w:space="0" w:color="ED7C5D"/>
              <w:right w:val="nil"/>
            </w:tcBorders>
            <w:shd w:val="clear" w:color="000000" w:fill="FFFFFF"/>
            <w:noWrap/>
            <w:hideMark/>
          </w:tcPr>
          <w:p w14:paraId="3922CE05" w14:textId="77777777" w:rsidR="00EF2AAB" w:rsidRPr="00503F5B" w:rsidRDefault="00EF2AAB" w:rsidP="00E6069B">
            <w:pPr>
              <w:rPr>
                <w:rFonts w:eastAsia="Times New Roman" w:cs="Calibri"/>
                <w:b/>
                <w:bCs/>
                <w:sz w:val="20"/>
                <w:szCs w:val="20"/>
                <w:lang w:eastAsia="en-AU"/>
              </w:rPr>
            </w:pPr>
            <w:r w:rsidRPr="00503F5B">
              <w:rPr>
                <w:rFonts w:eastAsia="Times New Roman" w:cs="Calibri"/>
                <w:b/>
                <w:bCs/>
                <w:sz w:val="20"/>
                <w:szCs w:val="20"/>
                <w:lang w:eastAsia="en-AU"/>
              </w:rPr>
              <w:t>Sub-total direct station costs for CFA integrated stations</w:t>
            </w:r>
          </w:p>
        </w:tc>
        <w:tc>
          <w:tcPr>
            <w:tcW w:w="1560" w:type="dxa"/>
            <w:tcBorders>
              <w:top w:val="single" w:sz="4" w:space="0" w:color="ED7C5D"/>
              <w:left w:val="nil"/>
              <w:bottom w:val="single" w:sz="4" w:space="0" w:color="ED7C5D"/>
              <w:right w:val="nil"/>
            </w:tcBorders>
            <w:shd w:val="clear" w:color="000000" w:fill="FFFFFF"/>
            <w:noWrap/>
            <w:hideMark/>
          </w:tcPr>
          <w:p w14:paraId="07465D27" w14:textId="77777777" w:rsidR="00EF2AAB" w:rsidRPr="00503F5B" w:rsidRDefault="00EF2AAB" w:rsidP="00E6069B">
            <w:pPr>
              <w:jc w:val="right"/>
              <w:rPr>
                <w:rFonts w:eastAsia="Times New Roman" w:cs="Calibri"/>
                <w:b/>
                <w:bCs/>
                <w:sz w:val="20"/>
                <w:szCs w:val="20"/>
                <w:lang w:eastAsia="en-AU"/>
              </w:rPr>
            </w:pPr>
            <w:r w:rsidRPr="00503F5B">
              <w:rPr>
                <w:rFonts w:eastAsia="Times New Roman" w:cs="Calibri"/>
                <w:b/>
                <w:bCs/>
                <w:sz w:val="20"/>
                <w:szCs w:val="20"/>
                <w:lang w:eastAsia="en-AU"/>
              </w:rPr>
              <w:t>$25</w:t>
            </w:r>
          </w:p>
        </w:tc>
        <w:tc>
          <w:tcPr>
            <w:tcW w:w="1842" w:type="dxa"/>
            <w:tcBorders>
              <w:top w:val="single" w:sz="4" w:space="0" w:color="ED7C5D"/>
              <w:left w:val="nil"/>
              <w:bottom w:val="single" w:sz="4" w:space="0" w:color="ED7C5D"/>
              <w:right w:val="nil"/>
            </w:tcBorders>
            <w:shd w:val="clear" w:color="000000" w:fill="FFFFFF"/>
            <w:noWrap/>
            <w:hideMark/>
          </w:tcPr>
          <w:p w14:paraId="317051A6" w14:textId="77777777" w:rsidR="00EF2AAB" w:rsidRPr="00503F5B" w:rsidRDefault="00EF2AAB" w:rsidP="00E6069B">
            <w:pPr>
              <w:jc w:val="right"/>
              <w:rPr>
                <w:rFonts w:eastAsia="Times New Roman" w:cs="Calibri"/>
                <w:b/>
                <w:bCs/>
                <w:sz w:val="20"/>
                <w:szCs w:val="20"/>
                <w:lang w:eastAsia="en-AU"/>
              </w:rPr>
            </w:pPr>
            <w:r w:rsidRPr="00503F5B">
              <w:rPr>
                <w:rFonts w:eastAsia="Times New Roman" w:cs="Calibri"/>
                <w:b/>
                <w:bCs/>
                <w:sz w:val="20"/>
                <w:szCs w:val="20"/>
                <w:lang w:eastAsia="en-AU"/>
              </w:rPr>
              <w:t>$2</w:t>
            </w:r>
          </w:p>
        </w:tc>
      </w:tr>
      <w:tr w:rsidR="00EF2AAB" w:rsidRPr="00503F5B" w14:paraId="17530505" w14:textId="77777777" w:rsidTr="001F22AB">
        <w:trPr>
          <w:trHeight w:val="70"/>
          <w:jc w:val="center"/>
        </w:trPr>
        <w:tc>
          <w:tcPr>
            <w:tcW w:w="5103" w:type="dxa"/>
            <w:tcBorders>
              <w:top w:val="single" w:sz="4" w:space="0" w:color="ED7C5D"/>
              <w:left w:val="nil"/>
              <w:bottom w:val="single" w:sz="4" w:space="0" w:color="ED7C5D"/>
              <w:right w:val="nil"/>
            </w:tcBorders>
            <w:shd w:val="clear" w:color="000000" w:fill="FFFFFF"/>
            <w:noWrap/>
            <w:hideMark/>
          </w:tcPr>
          <w:p w14:paraId="0B9242B7" w14:textId="77777777" w:rsidR="00EF2AAB" w:rsidRPr="00503F5B" w:rsidRDefault="00EF2AAB" w:rsidP="00E6069B">
            <w:pPr>
              <w:rPr>
                <w:rFonts w:eastAsia="Times New Roman" w:cs="Calibri"/>
                <w:b/>
                <w:bCs/>
                <w:sz w:val="20"/>
                <w:szCs w:val="20"/>
                <w:lang w:eastAsia="en-AU"/>
              </w:rPr>
            </w:pPr>
            <w:r w:rsidRPr="00503F5B">
              <w:rPr>
                <w:rFonts w:eastAsia="Times New Roman" w:cs="Calibri"/>
                <w:b/>
                <w:bCs/>
                <w:sz w:val="20"/>
                <w:szCs w:val="20"/>
                <w:lang w:eastAsia="en-AU"/>
              </w:rPr>
              <w:t>Sub-total indirect cost for CFA integrated stations</w:t>
            </w:r>
          </w:p>
        </w:tc>
        <w:tc>
          <w:tcPr>
            <w:tcW w:w="1560" w:type="dxa"/>
            <w:tcBorders>
              <w:top w:val="single" w:sz="4" w:space="0" w:color="ED7C5D"/>
              <w:left w:val="nil"/>
              <w:bottom w:val="single" w:sz="4" w:space="0" w:color="ED7C5D"/>
              <w:right w:val="nil"/>
            </w:tcBorders>
            <w:shd w:val="clear" w:color="000000" w:fill="FFFFFF"/>
            <w:noWrap/>
            <w:hideMark/>
          </w:tcPr>
          <w:p w14:paraId="051625A6" w14:textId="77777777" w:rsidR="00EF2AAB" w:rsidRPr="00503F5B" w:rsidRDefault="00EF2AAB" w:rsidP="00E6069B">
            <w:pPr>
              <w:jc w:val="right"/>
              <w:rPr>
                <w:rFonts w:eastAsia="Times New Roman" w:cs="Calibri"/>
                <w:b/>
                <w:bCs/>
                <w:sz w:val="20"/>
                <w:szCs w:val="20"/>
                <w:lang w:eastAsia="en-AU"/>
              </w:rPr>
            </w:pPr>
            <w:r w:rsidRPr="00503F5B">
              <w:rPr>
                <w:rFonts w:eastAsia="Times New Roman" w:cs="Calibri"/>
                <w:b/>
                <w:bCs/>
                <w:sz w:val="20"/>
                <w:szCs w:val="20"/>
                <w:lang w:eastAsia="en-AU"/>
              </w:rPr>
              <w:t>$427</w:t>
            </w:r>
          </w:p>
        </w:tc>
        <w:tc>
          <w:tcPr>
            <w:tcW w:w="1842" w:type="dxa"/>
            <w:tcBorders>
              <w:top w:val="single" w:sz="4" w:space="0" w:color="ED7C5D"/>
              <w:left w:val="nil"/>
              <w:bottom w:val="single" w:sz="4" w:space="0" w:color="ED7C5D"/>
              <w:right w:val="nil"/>
            </w:tcBorders>
            <w:shd w:val="clear" w:color="000000" w:fill="FFFFFF"/>
            <w:noWrap/>
            <w:hideMark/>
          </w:tcPr>
          <w:p w14:paraId="3DAF0980" w14:textId="77777777" w:rsidR="00EF2AAB" w:rsidRPr="00503F5B" w:rsidRDefault="00EF2AAB" w:rsidP="00E6069B">
            <w:pPr>
              <w:jc w:val="right"/>
              <w:rPr>
                <w:rFonts w:eastAsia="Times New Roman" w:cs="Calibri"/>
                <w:b/>
                <w:bCs/>
                <w:sz w:val="20"/>
                <w:szCs w:val="20"/>
                <w:lang w:eastAsia="en-AU"/>
              </w:rPr>
            </w:pPr>
            <w:r w:rsidRPr="00503F5B">
              <w:rPr>
                <w:rFonts w:eastAsia="Times New Roman" w:cs="Calibri"/>
                <w:b/>
                <w:bCs/>
                <w:sz w:val="20"/>
                <w:szCs w:val="20"/>
                <w:lang w:eastAsia="en-AU"/>
              </w:rPr>
              <w:t>$34</w:t>
            </w:r>
          </w:p>
        </w:tc>
      </w:tr>
      <w:tr w:rsidR="00EF2AAB" w:rsidRPr="00503F5B" w14:paraId="50A0D7F8" w14:textId="77777777" w:rsidTr="001F22AB">
        <w:trPr>
          <w:trHeight w:val="70"/>
          <w:jc w:val="center"/>
        </w:trPr>
        <w:tc>
          <w:tcPr>
            <w:tcW w:w="5103" w:type="dxa"/>
            <w:tcBorders>
              <w:top w:val="single" w:sz="4" w:space="0" w:color="ED7C5D"/>
              <w:left w:val="nil"/>
              <w:bottom w:val="single" w:sz="4" w:space="0" w:color="ED7C5D"/>
              <w:right w:val="nil"/>
            </w:tcBorders>
            <w:shd w:val="clear" w:color="000000" w:fill="FFFFFF"/>
            <w:noWrap/>
            <w:hideMark/>
          </w:tcPr>
          <w:p w14:paraId="66F45047" w14:textId="77777777" w:rsidR="00EF2AAB" w:rsidRPr="00503F5B" w:rsidRDefault="00EF2AAB" w:rsidP="00E6069B">
            <w:pPr>
              <w:rPr>
                <w:rFonts w:eastAsia="Times New Roman" w:cs="Calibri"/>
                <w:b/>
                <w:bCs/>
                <w:i/>
                <w:iCs/>
                <w:sz w:val="20"/>
                <w:szCs w:val="20"/>
                <w:lang w:eastAsia="en-AU"/>
              </w:rPr>
            </w:pPr>
            <w:r w:rsidRPr="00503F5B">
              <w:rPr>
                <w:rFonts w:eastAsia="Times New Roman" w:cs="Calibri"/>
                <w:b/>
                <w:bCs/>
                <w:i/>
                <w:iCs/>
                <w:sz w:val="20"/>
                <w:szCs w:val="20"/>
                <w:lang w:eastAsia="en-AU"/>
              </w:rPr>
              <w:t>Total direct and indirect costs for CFA integrated stations</w:t>
            </w:r>
          </w:p>
        </w:tc>
        <w:tc>
          <w:tcPr>
            <w:tcW w:w="1560" w:type="dxa"/>
            <w:tcBorders>
              <w:top w:val="single" w:sz="4" w:space="0" w:color="ED7C5D"/>
              <w:left w:val="nil"/>
              <w:bottom w:val="single" w:sz="4" w:space="0" w:color="ED7C5D"/>
              <w:right w:val="nil"/>
            </w:tcBorders>
            <w:shd w:val="clear" w:color="000000" w:fill="FFFFFF"/>
            <w:noWrap/>
            <w:hideMark/>
          </w:tcPr>
          <w:p w14:paraId="45B8AE3A" w14:textId="77777777" w:rsidR="00EF2AAB" w:rsidRPr="00503F5B" w:rsidRDefault="00EF2AAB" w:rsidP="00E6069B">
            <w:pPr>
              <w:jc w:val="right"/>
              <w:rPr>
                <w:rFonts w:eastAsia="Times New Roman" w:cs="Calibri"/>
                <w:b/>
                <w:bCs/>
                <w:i/>
                <w:iCs/>
                <w:sz w:val="20"/>
                <w:szCs w:val="20"/>
                <w:lang w:eastAsia="en-AU"/>
              </w:rPr>
            </w:pPr>
            <w:r w:rsidRPr="00503F5B">
              <w:rPr>
                <w:rFonts w:eastAsia="Times New Roman" w:cs="Calibri"/>
                <w:b/>
                <w:bCs/>
                <w:i/>
                <w:iCs/>
                <w:sz w:val="20"/>
                <w:szCs w:val="20"/>
                <w:lang w:eastAsia="en-AU"/>
              </w:rPr>
              <w:t>$1,708</w:t>
            </w:r>
          </w:p>
        </w:tc>
        <w:tc>
          <w:tcPr>
            <w:tcW w:w="1842" w:type="dxa"/>
            <w:tcBorders>
              <w:top w:val="single" w:sz="4" w:space="0" w:color="ED7C5D"/>
              <w:left w:val="nil"/>
              <w:bottom w:val="single" w:sz="4" w:space="0" w:color="ED7C5D"/>
              <w:right w:val="nil"/>
            </w:tcBorders>
            <w:shd w:val="clear" w:color="000000" w:fill="FFFFFF"/>
            <w:noWrap/>
            <w:hideMark/>
          </w:tcPr>
          <w:p w14:paraId="5900B944" w14:textId="77777777" w:rsidR="00EF2AAB" w:rsidRPr="00503F5B" w:rsidRDefault="00EF2AAB" w:rsidP="00E6069B">
            <w:pPr>
              <w:jc w:val="right"/>
              <w:rPr>
                <w:rFonts w:eastAsia="Times New Roman" w:cs="Calibri"/>
                <w:b/>
                <w:bCs/>
                <w:i/>
                <w:iCs/>
                <w:sz w:val="20"/>
                <w:szCs w:val="20"/>
                <w:lang w:eastAsia="en-AU"/>
              </w:rPr>
            </w:pPr>
            <w:r w:rsidRPr="00503F5B">
              <w:rPr>
                <w:rFonts w:eastAsia="Times New Roman" w:cs="Calibri"/>
                <w:b/>
                <w:bCs/>
                <w:i/>
                <w:iCs/>
                <w:sz w:val="20"/>
                <w:szCs w:val="20"/>
                <w:lang w:eastAsia="en-AU"/>
              </w:rPr>
              <w:t>$134</w:t>
            </w:r>
          </w:p>
        </w:tc>
      </w:tr>
      <w:tr w:rsidR="00EF2AAB" w:rsidRPr="00503F5B" w14:paraId="3FC9015D" w14:textId="77777777" w:rsidTr="009917B8">
        <w:trPr>
          <w:trHeight w:val="117"/>
          <w:jc w:val="center"/>
        </w:trPr>
        <w:tc>
          <w:tcPr>
            <w:tcW w:w="5103" w:type="dxa"/>
            <w:tcBorders>
              <w:top w:val="single" w:sz="4" w:space="0" w:color="ED7C5D"/>
              <w:left w:val="nil"/>
              <w:bottom w:val="single" w:sz="4" w:space="0" w:color="ED7C5D"/>
              <w:right w:val="nil"/>
            </w:tcBorders>
            <w:shd w:val="clear" w:color="auto" w:fill="D9D9D9" w:themeFill="background1" w:themeFillShade="D9"/>
            <w:noWrap/>
            <w:hideMark/>
          </w:tcPr>
          <w:p w14:paraId="458A1378" w14:textId="4E09C8D2" w:rsidR="00EF2AAB" w:rsidRPr="00503F5B" w:rsidRDefault="00EF2AAB" w:rsidP="00E6069B">
            <w:pPr>
              <w:rPr>
                <w:rFonts w:eastAsia="Times New Roman" w:cs="Calibri"/>
                <w:b/>
                <w:bCs/>
                <w:i/>
                <w:iCs/>
                <w:color w:val="auto"/>
                <w:sz w:val="20"/>
                <w:szCs w:val="20"/>
                <w:lang w:eastAsia="en-AU"/>
              </w:rPr>
            </w:pPr>
            <w:r w:rsidRPr="00503F5B">
              <w:rPr>
                <w:rFonts w:eastAsia="Times New Roman" w:cs="Calibri"/>
                <w:b/>
                <w:bCs/>
                <w:i/>
                <w:iCs/>
                <w:color w:val="auto"/>
                <w:sz w:val="20"/>
                <w:szCs w:val="20"/>
                <w:lang w:eastAsia="en-AU"/>
              </w:rPr>
              <w:t>Total direct and indirect</w:t>
            </w:r>
            <w:r w:rsidR="00A7735A" w:rsidRPr="00503F5B">
              <w:rPr>
                <w:rFonts w:eastAsia="Times New Roman" w:cs="Calibri"/>
                <w:b/>
                <w:bCs/>
                <w:i/>
                <w:iCs/>
                <w:color w:val="auto"/>
                <w:sz w:val="20"/>
                <w:szCs w:val="20"/>
                <w:lang w:eastAsia="en-AU"/>
              </w:rPr>
              <w:t xml:space="preserve"> </w:t>
            </w:r>
            <w:r w:rsidRPr="00503F5B">
              <w:rPr>
                <w:rFonts w:eastAsia="Times New Roman" w:cs="Calibri"/>
                <w:b/>
                <w:bCs/>
                <w:i/>
                <w:iCs/>
                <w:color w:val="auto"/>
                <w:sz w:val="20"/>
                <w:szCs w:val="20"/>
                <w:lang w:eastAsia="en-AU"/>
              </w:rPr>
              <w:t>quarterly hour cost</w:t>
            </w:r>
          </w:p>
        </w:tc>
        <w:tc>
          <w:tcPr>
            <w:tcW w:w="1560" w:type="dxa"/>
            <w:tcBorders>
              <w:top w:val="single" w:sz="4" w:space="0" w:color="ED7C5D"/>
              <w:left w:val="nil"/>
              <w:bottom w:val="single" w:sz="4" w:space="0" w:color="ED7C5D"/>
              <w:right w:val="nil"/>
            </w:tcBorders>
            <w:shd w:val="clear" w:color="auto" w:fill="D9D9D9" w:themeFill="background1" w:themeFillShade="D9"/>
            <w:noWrap/>
            <w:hideMark/>
          </w:tcPr>
          <w:p w14:paraId="5D19BC48" w14:textId="77777777" w:rsidR="00EF2AAB" w:rsidRPr="00503F5B" w:rsidRDefault="00EF2AAB" w:rsidP="00E6069B">
            <w:pPr>
              <w:rPr>
                <w:rFonts w:eastAsia="Times New Roman" w:cs="Calibri"/>
                <w:b/>
                <w:bCs/>
                <w:i/>
                <w:iCs/>
                <w:color w:val="auto"/>
                <w:sz w:val="20"/>
                <w:szCs w:val="20"/>
                <w:lang w:eastAsia="en-AU"/>
              </w:rPr>
            </w:pPr>
            <w:r w:rsidRPr="00503F5B">
              <w:rPr>
                <w:rFonts w:eastAsia="Times New Roman" w:cs="Calibri"/>
                <w:b/>
                <w:bCs/>
                <w:i/>
                <w:iCs/>
                <w:color w:val="auto"/>
                <w:sz w:val="20"/>
                <w:szCs w:val="20"/>
                <w:lang w:eastAsia="en-AU"/>
              </w:rPr>
              <w:t> </w:t>
            </w:r>
          </w:p>
        </w:tc>
        <w:tc>
          <w:tcPr>
            <w:tcW w:w="1842" w:type="dxa"/>
            <w:tcBorders>
              <w:top w:val="single" w:sz="4" w:space="0" w:color="ED7C5D"/>
              <w:left w:val="nil"/>
              <w:bottom w:val="single" w:sz="4" w:space="0" w:color="ED7C5D"/>
              <w:right w:val="nil"/>
            </w:tcBorders>
            <w:shd w:val="clear" w:color="auto" w:fill="D9D9D9" w:themeFill="background1" w:themeFillShade="D9"/>
            <w:noWrap/>
            <w:hideMark/>
          </w:tcPr>
          <w:p w14:paraId="3F590041" w14:textId="77777777" w:rsidR="00EF2AAB" w:rsidRPr="00503F5B" w:rsidRDefault="00EF2AAB" w:rsidP="00E6069B">
            <w:pPr>
              <w:jc w:val="right"/>
              <w:rPr>
                <w:rFonts w:eastAsia="Times New Roman" w:cs="Calibri"/>
                <w:b/>
                <w:bCs/>
                <w:i/>
                <w:iCs/>
                <w:color w:val="auto"/>
                <w:sz w:val="20"/>
                <w:szCs w:val="20"/>
                <w:lang w:eastAsia="en-AU"/>
              </w:rPr>
            </w:pPr>
            <w:r w:rsidRPr="00503F5B">
              <w:rPr>
                <w:rFonts w:eastAsia="Times New Roman" w:cs="Calibri"/>
                <w:b/>
                <w:bCs/>
                <w:i/>
                <w:iCs/>
                <w:color w:val="auto"/>
                <w:sz w:val="20"/>
                <w:szCs w:val="20"/>
                <w:lang w:eastAsia="en-AU"/>
              </w:rPr>
              <w:t>$2,510</w:t>
            </w:r>
          </w:p>
        </w:tc>
      </w:tr>
    </w:tbl>
    <w:p w14:paraId="2B30046C" w14:textId="77777777" w:rsidR="002B7953" w:rsidRPr="00503F5B" w:rsidRDefault="002B7953" w:rsidP="00EF2AAB">
      <w:pPr>
        <w:jc w:val="both"/>
      </w:pPr>
    </w:p>
    <w:p w14:paraId="644E6D08" w14:textId="7E1156F5" w:rsidR="00EF2AAB" w:rsidRPr="00503F5B" w:rsidRDefault="00EF2AAB" w:rsidP="00EF2AAB">
      <w:pPr>
        <w:jc w:val="both"/>
      </w:pPr>
      <w:r w:rsidRPr="00503F5B">
        <w:lastRenderedPageBreak/>
        <w:t xml:space="preserve">Based on a projected </w:t>
      </w:r>
      <w:r w:rsidR="00FB0F54" w:rsidRPr="00503F5B">
        <w:t>22</w:t>
      </w:r>
      <w:r w:rsidRPr="00503F5B">
        <w:t>,</w:t>
      </w:r>
      <w:r w:rsidR="00FB0F54" w:rsidRPr="00503F5B">
        <w:t>721</w:t>
      </w:r>
      <w:r w:rsidRPr="00503F5B">
        <w:t xml:space="preserve"> quarterly hour transactions for false alarms (where no reasonable excuse has been provided) for 2020-21 and a ‘weighted’ quarterly hour cost per appliance of $2,510.29</w:t>
      </w:r>
      <w:r w:rsidR="00D23B9E" w:rsidRPr="00503F5B">
        <w:t xml:space="preserve">, </w:t>
      </w:r>
      <w:bookmarkStart w:id="112" w:name="_Hlk39043970"/>
      <w:r w:rsidRPr="00503F5B">
        <w:t xml:space="preserve">it is estimated that the annual </w:t>
      </w:r>
      <w:r w:rsidR="005036D8" w:rsidRPr="00503F5B">
        <w:t xml:space="preserve">full </w:t>
      </w:r>
      <w:r w:rsidRPr="00503F5B">
        <w:t xml:space="preserve">cost of providing attendance services for false alarms would be around </w:t>
      </w:r>
      <w:r w:rsidRPr="00503F5B">
        <w:rPr>
          <w:b/>
          <w:bCs/>
          <w:i/>
          <w:iCs/>
        </w:rPr>
        <w:t>$</w:t>
      </w:r>
      <w:r w:rsidR="00FB0F54" w:rsidRPr="00503F5B">
        <w:rPr>
          <w:b/>
          <w:bCs/>
          <w:i/>
          <w:iCs/>
        </w:rPr>
        <w:t>57</w:t>
      </w:r>
      <w:r w:rsidRPr="00503F5B">
        <w:rPr>
          <w:b/>
          <w:bCs/>
          <w:i/>
          <w:iCs/>
        </w:rPr>
        <w:t>.</w:t>
      </w:r>
      <w:r w:rsidR="00FB0F54" w:rsidRPr="00503F5B">
        <w:rPr>
          <w:b/>
          <w:bCs/>
          <w:i/>
          <w:iCs/>
        </w:rPr>
        <w:t>04</w:t>
      </w:r>
      <w:r w:rsidRPr="00503F5B">
        <w:rPr>
          <w:b/>
          <w:bCs/>
          <w:i/>
          <w:iCs/>
        </w:rPr>
        <w:t xml:space="preserve"> million per annum</w:t>
      </w:r>
      <w:r w:rsidRPr="00503F5B">
        <w:t xml:space="preserve"> (see Table A3.</w:t>
      </w:r>
      <w:r w:rsidR="005036D8" w:rsidRPr="00503F5B">
        <w:t>6</w:t>
      </w:r>
      <w:r w:rsidRPr="00503F5B">
        <w:t xml:space="preserve"> of Appendix 3).</w:t>
      </w:r>
    </w:p>
    <w:bookmarkEnd w:id="112"/>
    <w:p w14:paraId="14F723CC" w14:textId="68251319" w:rsidR="008338C1" w:rsidRPr="00503F5B" w:rsidRDefault="008338C1" w:rsidP="001D51D6">
      <w:pPr>
        <w:jc w:val="both"/>
      </w:pPr>
    </w:p>
    <w:p w14:paraId="3999C05A" w14:textId="1C84F88D" w:rsidR="00A31B1C" w:rsidRPr="00503F5B" w:rsidRDefault="00A31B1C" w:rsidP="00A31B1C">
      <w:pPr>
        <w:pStyle w:val="Heading3"/>
      </w:pPr>
      <w:bookmarkStart w:id="113" w:name="_Toc457772531"/>
      <w:bookmarkStart w:id="114" w:name="_Toc35804134"/>
      <w:bookmarkStart w:id="115" w:name="_Toc35804628"/>
      <w:bookmarkStart w:id="116" w:name="_Toc35812672"/>
      <w:r w:rsidRPr="00503F5B">
        <w:t>2.2.2 Shortfall in revenue for fire protection services</w:t>
      </w:r>
      <w:bookmarkEnd w:id="113"/>
      <w:bookmarkEnd w:id="114"/>
      <w:bookmarkEnd w:id="115"/>
      <w:bookmarkEnd w:id="116"/>
    </w:p>
    <w:p w14:paraId="6D3DDF59" w14:textId="79AE50B1" w:rsidR="008338C1" w:rsidRPr="00503F5B" w:rsidRDefault="008338C1" w:rsidP="001D51D6">
      <w:pPr>
        <w:jc w:val="both"/>
      </w:pPr>
    </w:p>
    <w:p w14:paraId="7D7FE51C" w14:textId="3AE855A9" w:rsidR="00C45218" w:rsidRPr="00503F5B" w:rsidRDefault="00C45218" w:rsidP="00C45218">
      <w:pPr>
        <w:jc w:val="both"/>
      </w:pPr>
      <w:bookmarkStart w:id="117" w:name="_Hlk39652792"/>
      <w:r w:rsidRPr="00503F5B">
        <w:t xml:space="preserve">With regards to providing fire protection services, those relating to the Building Code of Australia, under the base case would continue to have their fee set by gazette at around $121 per hour plus GST.  Such services would need to continue to be provided under </w:t>
      </w:r>
      <w:r w:rsidR="00E1323B" w:rsidRPr="00503F5B">
        <w:t>s</w:t>
      </w:r>
      <w:r w:rsidRPr="00503F5B">
        <w:t>ection</w:t>
      </w:r>
      <w:r w:rsidR="00E1323B" w:rsidRPr="00503F5B">
        <w:t xml:space="preserve"> </w:t>
      </w:r>
      <w:r w:rsidRPr="00503F5B">
        <w:t xml:space="preserve">227E </w:t>
      </w:r>
      <w:r w:rsidRPr="00503F5B">
        <w:rPr>
          <w:i/>
          <w:iCs/>
        </w:rPr>
        <w:t>Building Act 1993</w:t>
      </w:r>
      <w:r w:rsidRPr="00503F5B">
        <w:t xml:space="preserve">.  However, this is estimated to generate only $0.5 million towards recovering the total costs of fire protection </w:t>
      </w:r>
      <w:r w:rsidR="00A9414A" w:rsidRPr="00503F5B">
        <w:t xml:space="preserve">services </w:t>
      </w:r>
      <w:r w:rsidRPr="00503F5B">
        <w:t>(estimated to be $1.61 million</w:t>
      </w:r>
      <w:r w:rsidRPr="00503F5B">
        <w:rPr>
          <w:rStyle w:val="FootnoteReference"/>
        </w:rPr>
        <w:footnoteReference w:id="72"/>
      </w:r>
      <w:r w:rsidRPr="00503F5B">
        <w:t xml:space="preserve">) resulting in a shortfall of around $1.1 million per annum or $8.99 million over 10 years in present value dollars. </w:t>
      </w:r>
      <w:bookmarkEnd w:id="117"/>
      <w:r w:rsidRPr="00503F5B">
        <w:t xml:space="preserve">Under the current fee arrangement, </w:t>
      </w:r>
      <w:r w:rsidRPr="001812D0">
        <w:t xml:space="preserve">the broader taxpaying community would continue subsidising fire protection services by </w:t>
      </w:r>
      <w:r w:rsidR="00D23B9E" w:rsidRPr="001812D0">
        <w:t>FRV</w:t>
      </w:r>
      <w:r w:rsidRPr="001812D0">
        <w:t>.</w:t>
      </w:r>
      <w:r w:rsidRPr="00503F5B">
        <w:t xml:space="preserve"> </w:t>
      </w:r>
    </w:p>
    <w:p w14:paraId="7EA79158" w14:textId="77777777" w:rsidR="00C45218" w:rsidRPr="00503F5B" w:rsidRDefault="00C45218" w:rsidP="00A31B1C">
      <w:pPr>
        <w:jc w:val="both"/>
      </w:pPr>
    </w:p>
    <w:p w14:paraId="13F822F7" w14:textId="608E71AE" w:rsidR="00A31B1C" w:rsidRPr="00503F5B" w:rsidRDefault="00A31B1C" w:rsidP="00A31B1C">
      <w:pPr>
        <w:jc w:val="both"/>
      </w:pPr>
      <w:r w:rsidRPr="00503F5B">
        <w:t xml:space="preserve">Under the current legislative framework, only fees for BCA related fire protection services would continue to be set by gazettal under the Building Regulations.  Current fees are set at $121 per hour (excluding GST).  Under this current arrangement </w:t>
      </w:r>
      <w:r w:rsidR="00D23B9E" w:rsidRPr="00503F5B">
        <w:t>FRV</w:t>
      </w:r>
      <w:r w:rsidRPr="00503F5B">
        <w:t xml:space="preserve"> would only recover $0.5 million</w:t>
      </w:r>
      <w:r w:rsidRPr="00503F5B">
        <w:rPr>
          <w:rStyle w:val="FootnoteReference"/>
        </w:rPr>
        <w:footnoteReference w:id="73"/>
      </w:r>
      <w:r w:rsidRPr="00503F5B">
        <w:t xml:space="preserve"> out of the $</w:t>
      </w:r>
      <w:r w:rsidR="007E1391" w:rsidRPr="00503F5B">
        <w:t>0.75</w:t>
      </w:r>
      <w:r w:rsidRPr="00503F5B">
        <w:t xml:space="preserve"> million annual cost</w:t>
      </w:r>
      <w:r w:rsidR="007E1391" w:rsidRPr="00503F5B">
        <w:rPr>
          <w:rStyle w:val="FootnoteReference"/>
        </w:rPr>
        <w:footnoteReference w:id="74"/>
      </w:r>
      <w:r w:rsidRPr="00503F5B">
        <w:t xml:space="preserve"> – leaving a revenue shortfall of $</w:t>
      </w:r>
      <w:r w:rsidR="007E1391" w:rsidRPr="00503F5B">
        <w:t>0.25</w:t>
      </w:r>
      <w:r w:rsidRPr="00503F5B">
        <w:t xml:space="preserve"> million per annum or $</w:t>
      </w:r>
      <w:r w:rsidR="007E1391" w:rsidRPr="00503F5B">
        <w:t>2.04</w:t>
      </w:r>
      <w:r w:rsidRPr="00503F5B">
        <w:t xml:space="preserve"> million over 10 years in present value dollars.</w:t>
      </w:r>
    </w:p>
    <w:p w14:paraId="2CE85B51" w14:textId="77777777" w:rsidR="00C45218" w:rsidRPr="00503F5B" w:rsidRDefault="00C45218" w:rsidP="00A31B1C">
      <w:pPr>
        <w:jc w:val="both"/>
      </w:pPr>
    </w:p>
    <w:p w14:paraId="58AB5A5F" w14:textId="7994784A" w:rsidR="00A31B1C" w:rsidRPr="00503F5B" w:rsidRDefault="00A31B1C" w:rsidP="00A31B1C">
      <w:pPr>
        <w:jc w:val="center"/>
        <w:rPr>
          <w:b/>
          <w:bCs/>
          <w:sz w:val="20"/>
          <w:szCs w:val="20"/>
        </w:rPr>
      </w:pPr>
      <w:r w:rsidRPr="00503F5B">
        <w:rPr>
          <w:b/>
          <w:bCs/>
          <w:sz w:val="20"/>
          <w:szCs w:val="20"/>
        </w:rPr>
        <w:t>Table 15: Average Transactions, annual revenue and average hours per transaction for BCA related fire protection services – 2016-17 to 2018-19</w:t>
      </w:r>
      <w:r w:rsidR="00B93B59" w:rsidRPr="00503F5B">
        <w:rPr>
          <w:rStyle w:val="FootnoteReference"/>
          <w:b/>
          <w:bCs/>
          <w:sz w:val="20"/>
          <w:szCs w:val="20"/>
        </w:rPr>
        <w:footnoteReference w:id="75"/>
      </w:r>
    </w:p>
    <w:p w14:paraId="4CC45EC4" w14:textId="77777777" w:rsidR="00A31B1C" w:rsidRPr="00503F5B" w:rsidRDefault="00A31B1C" w:rsidP="001D51D6">
      <w:pPr>
        <w:jc w:val="both"/>
      </w:pPr>
    </w:p>
    <w:tbl>
      <w:tblPr>
        <w:tblW w:w="5670" w:type="dxa"/>
        <w:jc w:val="center"/>
        <w:tblLook w:val="04A0" w:firstRow="1" w:lastRow="0" w:firstColumn="1" w:lastColumn="0" w:noHBand="0" w:noVBand="1"/>
      </w:tblPr>
      <w:tblGrid>
        <w:gridCol w:w="1418"/>
        <w:gridCol w:w="1317"/>
        <w:gridCol w:w="1134"/>
        <w:gridCol w:w="1801"/>
      </w:tblGrid>
      <w:tr w:rsidR="00A31B1C" w:rsidRPr="00503F5B" w14:paraId="373304C6" w14:textId="77777777" w:rsidTr="00CD39EA">
        <w:trPr>
          <w:trHeight w:val="780"/>
          <w:jc w:val="center"/>
        </w:trPr>
        <w:tc>
          <w:tcPr>
            <w:tcW w:w="1418" w:type="dxa"/>
            <w:tcBorders>
              <w:top w:val="single" w:sz="8" w:space="0" w:color="ED7C5D"/>
              <w:left w:val="nil"/>
              <w:bottom w:val="double" w:sz="6" w:space="0" w:color="ED7C5D"/>
              <w:right w:val="nil"/>
            </w:tcBorders>
            <w:shd w:val="clear" w:color="auto" w:fill="auto"/>
            <w:vAlign w:val="center"/>
            <w:hideMark/>
          </w:tcPr>
          <w:p w14:paraId="5BA9758C" w14:textId="77777777" w:rsidR="00A31B1C" w:rsidRPr="00503F5B" w:rsidRDefault="00A31B1C" w:rsidP="00A31B1C">
            <w:pPr>
              <w:jc w:val="both"/>
              <w:rPr>
                <w:rFonts w:eastAsia="Times New Roman" w:cs="Calibri"/>
                <w:b/>
                <w:bCs/>
                <w:color w:val="BE2A18"/>
                <w:sz w:val="20"/>
                <w:szCs w:val="20"/>
                <w:lang w:eastAsia="en-AU"/>
              </w:rPr>
            </w:pPr>
            <w:r w:rsidRPr="00503F5B">
              <w:rPr>
                <w:rFonts w:eastAsia="Times New Roman" w:cs="Calibri"/>
                <w:b/>
                <w:bCs/>
                <w:color w:val="BE2A18"/>
                <w:sz w:val="20"/>
                <w:szCs w:val="20"/>
                <w:lang w:eastAsia="en-AU"/>
              </w:rPr>
              <w:t>Financial year</w:t>
            </w:r>
          </w:p>
        </w:tc>
        <w:tc>
          <w:tcPr>
            <w:tcW w:w="1317" w:type="dxa"/>
            <w:tcBorders>
              <w:top w:val="single" w:sz="8" w:space="0" w:color="ED7C5D"/>
              <w:left w:val="nil"/>
              <w:bottom w:val="double" w:sz="6" w:space="0" w:color="ED7C5D"/>
              <w:right w:val="nil"/>
            </w:tcBorders>
            <w:shd w:val="clear" w:color="auto" w:fill="auto"/>
            <w:vAlign w:val="center"/>
            <w:hideMark/>
          </w:tcPr>
          <w:p w14:paraId="0F0F6B48" w14:textId="77777777" w:rsidR="00A31B1C" w:rsidRPr="00503F5B" w:rsidRDefault="00A31B1C" w:rsidP="00A31B1C">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Transactions</w:t>
            </w:r>
          </w:p>
        </w:tc>
        <w:tc>
          <w:tcPr>
            <w:tcW w:w="1134" w:type="dxa"/>
            <w:tcBorders>
              <w:top w:val="single" w:sz="8" w:space="0" w:color="ED7C5D"/>
              <w:left w:val="nil"/>
              <w:bottom w:val="double" w:sz="6" w:space="0" w:color="ED7C5D"/>
              <w:right w:val="nil"/>
            </w:tcBorders>
            <w:shd w:val="clear" w:color="auto" w:fill="auto"/>
            <w:vAlign w:val="center"/>
            <w:hideMark/>
          </w:tcPr>
          <w:p w14:paraId="5D936074" w14:textId="77777777" w:rsidR="00A31B1C" w:rsidRPr="00503F5B" w:rsidRDefault="00A31B1C" w:rsidP="00A31B1C">
            <w:pPr>
              <w:jc w:val="both"/>
              <w:rPr>
                <w:rFonts w:eastAsia="Times New Roman" w:cs="Calibri"/>
                <w:b/>
                <w:bCs/>
                <w:color w:val="BE2A18"/>
                <w:sz w:val="20"/>
                <w:szCs w:val="20"/>
                <w:lang w:eastAsia="en-AU"/>
              </w:rPr>
            </w:pPr>
            <w:r w:rsidRPr="00503F5B">
              <w:rPr>
                <w:rFonts w:eastAsia="Times New Roman" w:cs="Calibri"/>
                <w:b/>
                <w:bCs/>
                <w:color w:val="BE2A18"/>
                <w:sz w:val="20"/>
                <w:szCs w:val="20"/>
                <w:lang w:eastAsia="en-AU"/>
              </w:rPr>
              <w:t>Revenue</w:t>
            </w:r>
          </w:p>
        </w:tc>
        <w:tc>
          <w:tcPr>
            <w:tcW w:w="1801" w:type="dxa"/>
            <w:tcBorders>
              <w:top w:val="single" w:sz="8" w:space="0" w:color="ED7C5D"/>
              <w:left w:val="nil"/>
              <w:bottom w:val="double" w:sz="6" w:space="0" w:color="ED7C5D"/>
              <w:right w:val="nil"/>
            </w:tcBorders>
            <w:shd w:val="clear" w:color="auto" w:fill="auto"/>
            <w:vAlign w:val="center"/>
            <w:hideMark/>
          </w:tcPr>
          <w:p w14:paraId="6426951A" w14:textId="77777777" w:rsidR="00A31B1C" w:rsidRPr="00503F5B" w:rsidRDefault="00A31B1C" w:rsidP="00A31B1C">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Estimated average hours per transaction</w:t>
            </w:r>
          </w:p>
        </w:tc>
      </w:tr>
      <w:tr w:rsidR="00A31B1C" w:rsidRPr="00503F5B" w14:paraId="34A50FF2" w14:textId="77777777" w:rsidTr="00CD39EA">
        <w:trPr>
          <w:trHeight w:val="315"/>
          <w:jc w:val="center"/>
        </w:trPr>
        <w:tc>
          <w:tcPr>
            <w:tcW w:w="1418" w:type="dxa"/>
            <w:tcBorders>
              <w:top w:val="nil"/>
              <w:left w:val="nil"/>
              <w:bottom w:val="nil"/>
              <w:right w:val="nil"/>
            </w:tcBorders>
            <w:shd w:val="clear" w:color="auto" w:fill="auto"/>
            <w:vAlign w:val="center"/>
            <w:hideMark/>
          </w:tcPr>
          <w:p w14:paraId="3B4B0336" w14:textId="77777777" w:rsidR="00A31B1C" w:rsidRPr="00503F5B" w:rsidRDefault="00A31B1C" w:rsidP="00A31B1C">
            <w:pPr>
              <w:jc w:val="both"/>
              <w:rPr>
                <w:rFonts w:eastAsia="Times New Roman" w:cs="Calibri"/>
                <w:color w:val="auto"/>
                <w:sz w:val="20"/>
                <w:szCs w:val="20"/>
                <w:lang w:eastAsia="en-AU"/>
              </w:rPr>
            </w:pPr>
            <w:r w:rsidRPr="00503F5B">
              <w:rPr>
                <w:rFonts w:eastAsia="Times New Roman" w:cs="Calibri"/>
                <w:color w:val="auto"/>
                <w:sz w:val="20"/>
                <w:szCs w:val="20"/>
                <w:lang w:eastAsia="en-AU"/>
              </w:rPr>
              <w:t>2018-19</w:t>
            </w:r>
          </w:p>
        </w:tc>
        <w:tc>
          <w:tcPr>
            <w:tcW w:w="1317" w:type="dxa"/>
            <w:tcBorders>
              <w:top w:val="nil"/>
              <w:left w:val="nil"/>
              <w:bottom w:val="nil"/>
              <w:right w:val="nil"/>
            </w:tcBorders>
            <w:shd w:val="clear" w:color="auto" w:fill="auto"/>
            <w:vAlign w:val="center"/>
            <w:hideMark/>
          </w:tcPr>
          <w:p w14:paraId="47C6FBF1" w14:textId="77777777" w:rsidR="00A31B1C" w:rsidRPr="00503F5B" w:rsidRDefault="00A31B1C" w:rsidP="00A31B1C">
            <w:pPr>
              <w:jc w:val="center"/>
              <w:rPr>
                <w:rFonts w:eastAsia="Times New Roman" w:cs="Calibri"/>
                <w:color w:val="auto"/>
                <w:sz w:val="20"/>
                <w:szCs w:val="20"/>
                <w:lang w:eastAsia="en-AU"/>
              </w:rPr>
            </w:pPr>
            <w:r w:rsidRPr="00503F5B">
              <w:rPr>
                <w:rFonts w:eastAsia="Times New Roman" w:cs="Calibri"/>
                <w:color w:val="auto"/>
                <w:sz w:val="20"/>
                <w:szCs w:val="20"/>
                <w:lang w:eastAsia="en-AU"/>
              </w:rPr>
              <w:t>1649</w:t>
            </w:r>
          </w:p>
        </w:tc>
        <w:tc>
          <w:tcPr>
            <w:tcW w:w="1134" w:type="dxa"/>
            <w:tcBorders>
              <w:top w:val="nil"/>
              <w:left w:val="nil"/>
              <w:bottom w:val="nil"/>
              <w:right w:val="nil"/>
            </w:tcBorders>
            <w:shd w:val="clear" w:color="000000" w:fill="FFFFFF"/>
            <w:vAlign w:val="center"/>
            <w:hideMark/>
          </w:tcPr>
          <w:p w14:paraId="37BC37C6" w14:textId="77777777" w:rsidR="00A31B1C" w:rsidRPr="00503F5B" w:rsidRDefault="00A31B1C" w:rsidP="00A31B1C">
            <w:pPr>
              <w:jc w:val="both"/>
              <w:rPr>
                <w:rFonts w:eastAsia="Times New Roman" w:cs="Calibri"/>
                <w:color w:val="auto"/>
                <w:sz w:val="20"/>
                <w:szCs w:val="20"/>
                <w:lang w:eastAsia="en-AU"/>
              </w:rPr>
            </w:pPr>
            <w:r w:rsidRPr="00503F5B">
              <w:rPr>
                <w:rFonts w:eastAsia="Times New Roman" w:cs="Calibri"/>
                <w:color w:val="auto"/>
                <w:sz w:val="20"/>
                <w:szCs w:val="20"/>
                <w:lang w:eastAsia="en-AU"/>
              </w:rPr>
              <w:t xml:space="preserve">$471,515 </w:t>
            </w:r>
          </w:p>
        </w:tc>
        <w:tc>
          <w:tcPr>
            <w:tcW w:w="1801" w:type="dxa"/>
            <w:tcBorders>
              <w:top w:val="nil"/>
              <w:left w:val="nil"/>
              <w:bottom w:val="nil"/>
              <w:right w:val="nil"/>
            </w:tcBorders>
            <w:shd w:val="clear" w:color="000000" w:fill="FFFFFF"/>
            <w:vAlign w:val="center"/>
            <w:hideMark/>
          </w:tcPr>
          <w:p w14:paraId="3C6CCA98" w14:textId="77777777" w:rsidR="00A31B1C" w:rsidRPr="00503F5B" w:rsidRDefault="00A31B1C" w:rsidP="00A31B1C">
            <w:pPr>
              <w:jc w:val="center"/>
              <w:rPr>
                <w:rFonts w:eastAsia="Times New Roman" w:cs="Calibri"/>
                <w:sz w:val="20"/>
                <w:szCs w:val="20"/>
                <w:lang w:eastAsia="en-AU"/>
              </w:rPr>
            </w:pPr>
            <w:r w:rsidRPr="00503F5B">
              <w:rPr>
                <w:rFonts w:eastAsia="Times New Roman" w:cs="Calibri"/>
                <w:sz w:val="20"/>
                <w:szCs w:val="20"/>
                <w:lang w:eastAsia="en-AU"/>
              </w:rPr>
              <w:t>2.4</w:t>
            </w:r>
          </w:p>
        </w:tc>
      </w:tr>
      <w:tr w:rsidR="00A31B1C" w:rsidRPr="00503F5B" w14:paraId="74733D68" w14:textId="77777777" w:rsidTr="00CD39EA">
        <w:trPr>
          <w:trHeight w:val="300"/>
          <w:jc w:val="center"/>
        </w:trPr>
        <w:tc>
          <w:tcPr>
            <w:tcW w:w="1418" w:type="dxa"/>
            <w:tcBorders>
              <w:top w:val="nil"/>
              <w:left w:val="nil"/>
              <w:bottom w:val="nil"/>
              <w:right w:val="nil"/>
            </w:tcBorders>
            <w:shd w:val="clear" w:color="000000" w:fill="FFFFFF"/>
            <w:vAlign w:val="center"/>
            <w:hideMark/>
          </w:tcPr>
          <w:p w14:paraId="3B6191E1" w14:textId="77777777" w:rsidR="00A31B1C" w:rsidRPr="00503F5B" w:rsidRDefault="00A31B1C" w:rsidP="00A31B1C">
            <w:pPr>
              <w:jc w:val="both"/>
              <w:rPr>
                <w:rFonts w:eastAsia="Times New Roman" w:cs="Calibri"/>
                <w:sz w:val="20"/>
                <w:szCs w:val="20"/>
                <w:lang w:eastAsia="en-AU"/>
              </w:rPr>
            </w:pPr>
            <w:r w:rsidRPr="00503F5B">
              <w:rPr>
                <w:rFonts w:eastAsia="Times New Roman" w:cs="Calibri"/>
                <w:sz w:val="20"/>
                <w:szCs w:val="20"/>
                <w:lang w:eastAsia="en-AU"/>
              </w:rPr>
              <w:t>2017-18</w:t>
            </w:r>
          </w:p>
        </w:tc>
        <w:tc>
          <w:tcPr>
            <w:tcW w:w="1317" w:type="dxa"/>
            <w:tcBorders>
              <w:top w:val="nil"/>
              <w:left w:val="nil"/>
              <w:bottom w:val="nil"/>
              <w:right w:val="nil"/>
            </w:tcBorders>
            <w:shd w:val="clear" w:color="auto" w:fill="auto"/>
            <w:vAlign w:val="center"/>
            <w:hideMark/>
          </w:tcPr>
          <w:p w14:paraId="29262BD9" w14:textId="77777777" w:rsidR="00A31B1C" w:rsidRPr="00503F5B" w:rsidRDefault="00A31B1C" w:rsidP="00A31B1C">
            <w:pPr>
              <w:jc w:val="center"/>
              <w:rPr>
                <w:rFonts w:eastAsia="Times New Roman" w:cs="Calibri"/>
                <w:color w:val="auto"/>
                <w:sz w:val="20"/>
                <w:szCs w:val="20"/>
                <w:lang w:eastAsia="en-AU"/>
              </w:rPr>
            </w:pPr>
            <w:r w:rsidRPr="00503F5B">
              <w:rPr>
                <w:rFonts w:eastAsia="Times New Roman" w:cs="Calibri"/>
                <w:color w:val="auto"/>
                <w:sz w:val="20"/>
                <w:szCs w:val="20"/>
                <w:lang w:eastAsia="en-AU"/>
              </w:rPr>
              <w:t>1772</w:t>
            </w:r>
          </w:p>
        </w:tc>
        <w:tc>
          <w:tcPr>
            <w:tcW w:w="1134" w:type="dxa"/>
            <w:tcBorders>
              <w:top w:val="nil"/>
              <w:left w:val="nil"/>
              <w:bottom w:val="nil"/>
              <w:right w:val="nil"/>
            </w:tcBorders>
            <w:shd w:val="clear" w:color="000000" w:fill="FFFFFF"/>
            <w:vAlign w:val="center"/>
            <w:hideMark/>
          </w:tcPr>
          <w:p w14:paraId="386CE5C5" w14:textId="77777777" w:rsidR="00A31B1C" w:rsidRPr="00503F5B" w:rsidRDefault="00A31B1C" w:rsidP="00A31B1C">
            <w:pPr>
              <w:jc w:val="both"/>
              <w:rPr>
                <w:rFonts w:eastAsia="Times New Roman" w:cs="Calibri"/>
                <w:color w:val="auto"/>
                <w:sz w:val="20"/>
                <w:szCs w:val="20"/>
                <w:lang w:eastAsia="en-AU"/>
              </w:rPr>
            </w:pPr>
            <w:r w:rsidRPr="00503F5B">
              <w:rPr>
                <w:rFonts w:eastAsia="Times New Roman" w:cs="Calibri"/>
                <w:color w:val="auto"/>
                <w:sz w:val="20"/>
                <w:szCs w:val="20"/>
                <w:lang w:eastAsia="en-AU"/>
              </w:rPr>
              <w:t xml:space="preserve">$537,350 </w:t>
            </w:r>
          </w:p>
        </w:tc>
        <w:tc>
          <w:tcPr>
            <w:tcW w:w="1801" w:type="dxa"/>
            <w:tcBorders>
              <w:top w:val="nil"/>
              <w:left w:val="nil"/>
              <w:bottom w:val="nil"/>
              <w:right w:val="nil"/>
            </w:tcBorders>
            <w:shd w:val="clear" w:color="000000" w:fill="FFFFFF"/>
            <w:vAlign w:val="center"/>
            <w:hideMark/>
          </w:tcPr>
          <w:p w14:paraId="1F289F48" w14:textId="77777777" w:rsidR="00A31B1C" w:rsidRPr="00503F5B" w:rsidRDefault="00A31B1C" w:rsidP="00A31B1C">
            <w:pPr>
              <w:jc w:val="center"/>
              <w:rPr>
                <w:rFonts w:eastAsia="Times New Roman" w:cs="Calibri"/>
                <w:sz w:val="20"/>
                <w:szCs w:val="20"/>
                <w:lang w:eastAsia="en-AU"/>
              </w:rPr>
            </w:pPr>
            <w:r w:rsidRPr="00503F5B">
              <w:rPr>
                <w:rFonts w:eastAsia="Times New Roman" w:cs="Calibri"/>
                <w:sz w:val="20"/>
                <w:szCs w:val="20"/>
                <w:lang w:eastAsia="en-AU"/>
              </w:rPr>
              <w:t>2.5</w:t>
            </w:r>
          </w:p>
        </w:tc>
      </w:tr>
      <w:tr w:rsidR="00A31B1C" w:rsidRPr="00503F5B" w14:paraId="5663F9AB" w14:textId="77777777" w:rsidTr="00CD39EA">
        <w:trPr>
          <w:trHeight w:val="300"/>
          <w:jc w:val="center"/>
        </w:trPr>
        <w:tc>
          <w:tcPr>
            <w:tcW w:w="1418" w:type="dxa"/>
            <w:tcBorders>
              <w:top w:val="nil"/>
              <w:left w:val="nil"/>
              <w:bottom w:val="single" w:sz="4" w:space="0" w:color="ED7C5D"/>
              <w:right w:val="nil"/>
            </w:tcBorders>
            <w:shd w:val="clear" w:color="000000" w:fill="FFFFFF"/>
            <w:vAlign w:val="center"/>
            <w:hideMark/>
          </w:tcPr>
          <w:p w14:paraId="0407BE17" w14:textId="77777777" w:rsidR="00A31B1C" w:rsidRPr="00503F5B" w:rsidRDefault="00A31B1C" w:rsidP="00A31B1C">
            <w:pPr>
              <w:jc w:val="both"/>
              <w:rPr>
                <w:rFonts w:eastAsia="Times New Roman" w:cs="Calibri"/>
                <w:sz w:val="20"/>
                <w:szCs w:val="20"/>
                <w:lang w:eastAsia="en-AU"/>
              </w:rPr>
            </w:pPr>
            <w:r w:rsidRPr="00503F5B">
              <w:rPr>
                <w:rFonts w:eastAsia="Times New Roman" w:cs="Calibri"/>
                <w:sz w:val="20"/>
                <w:szCs w:val="20"/>
                <w:lang w:eastAsia="en-AU"/>
              </w:rPr>
              <w:t>2016-17</w:t>
            </w:r>
          </w:p>
        </w:tc>
        <w:tc>
          <w:tcPr>
            <w:tcW w:w="1317" w:type="dxa"/>
            <w:tcBorders>
              <w:top w:val="nil"/>
              <w:left w:val="nil"/>
              <w:bottom w:val="single" w:sz="4" w:space="0" w:color="ED7C5D"/>
              <w:right w:val="nil"/>
            </w:tcBorders>
            <w:shd w:val="clear" w:color="auto" w:fill="auto"/>
            <w:vAlign w:val="center"/>
            <w:hideMark/>
          </w:tcPr>
          <w:p w14:paraId="38141CD9" w14:textId="77777777" w:rsidR="00A31B1C" w:rsidRPr="00503F5B" w:rsidRDefault="00A31B1C" w:rsidP="00A31B1C">
            <w:pPr>
              <w:jc w:val="center"/>
              <w:rPr>
                <w:rFonts w:eastAsia="Times New Roman" w:cs="Calibri"/>
                <w:color w:val="auto"/>
                <w:sz w:val="20"/>
                <w:szCs w:val="20"/>
                <w:lang w:eastAsia="en-AU"/>
              </w:rPr>
            </w:pPr>
            <w:r w:rsidRPr="00503F5B">
              <w:rPr>
                <w:rFonts w:eastAsia="Times New Roman" w:cs="Calibri"/>
                <w:color w:val="auto"/>
                <w:sz w:val="20"/>
                <w:szCs w:val="20"/>
                <w:lang w:eastAsia="en-AU"/>
              </w:rPr>
              <w:t>1566</w:t>
            </w:r>
          </w:p>
        </w:tc>
        <w:tc>
          <w:tcPr>
            <w:tcW w:w="1134" w:type="dxa"/>
            <w:tcBorders>
              <w:top w:val="nil"/>
              <w:left w:val="nil"/>
              <w:bottom w:val="single" w:sz="4" w:space="0" w:color="ED7C5D"/>
              <w:right w:val="nil"/>
            </w:tcBorders>
            <w:shd w:val="clear" w:color="000000" w:fill="FFFFFF"/>
            <w:vAlign w:val="center"/>
            <w:hideMark/>
          </w:tcPr>
          <w:p w14:paraId="76A375EA" w14:textId="77777777" w:rsidR="00A31B1C" w:rsidRPr="00503F5B" w:rsidRDefault="00A31B1C" w:rsidP="00A31B1C">
            <w:pPr>
              <w:jc w:val="both"/>
              <w:rPr>
                <w:rFonts w:eastAsia="Times New Roman" w:cs="Calibri"/>
                <w:color w:val="auto"/>
                <w:sz w:val="20"/>
                <w:szCs w:val="20"/>
                <w:lang w:eastAsia="en-AU"/>
              </w:rPr>
            </w:pPr>
            <w:r w:rsidRPr="00503F5B">
              <w:rPr>
                <w:rFonts w:eastAsia="Times New Roman" w:cs="Calibri"/>
                <w:color w:val="auto"/>
                <w:sz w:val="20"/>
                <w:szCs w:val="20"/>
                <w:lang w:eastAsia="en-AU"/>
              </w:rPr>
              <w:t xml:space="preserve">$471,598 </w:t>
            </w:r>
          </w:p>
        </w:tc>
        <w:tc>
          <w:tcPr>
            <w:tcW w:w="1801" w:type="dxa"/>
            <w:tcBorders>
              <w:top w:val="nil"/>
              <w:left w:val="nil"/>
              <w:bottom w:val="single" w:sz="4" w:space="0" w:color="ED7C5D"/>
              <w:right w:val="nil"/>
            </w:tcBorders>
            <w:shd w:val="clear" w:color="000000" w:fill="FFFFFF"/>
            <w:vAlign w:val="center"/>
            <w:hideMark/>
          </w:tcPr>
          <w:p w14:paraId="35E968BD" w14:textId="77777777" w:rsidR="00A31B1C" w:rsidRPr="00503F5B" w:rsidRDefault="00A31B1C" w:rsidP="00A31B1C">
            <w:pPr>
              <w:jc w:val="center"/>
              <w:rPr>
                <w:rFonts w:eastAsia="Times New Roman" w:cs="Calibri"/>
                <w:sz w:val="20"/>
                <w:szCs w:val="20"/>
                <w:lang w:eastAsia="en-AU"/>
              </w:rPr>
            </w:pPr>
            <w:r w:rsidRPr="00503F5B">
              <w:rPr>
                <w:rFonts w:eastAsia="Times New Roman" w:cs="Calibri"/>
                <w:sz w:val="20"/>
                <w:szCs w:val="20"/>
                <w:lang w:eastAsia="en-AU"/>
              </w:rPr>
              <w:t>2.5</w:t>
            </w:r>
          </w:p>
        </w:tc>
      </w:tr>
      <w:tr w:rsidR="00A31B1C" w:rsidRPr="00503F5B" w14:paraId="779DD85C" w14:textId="77777777" w:rsidTr="00CD39EA">
        <w:trPr>
          <w:trHeight w:val="300"/>
          <w:jc w:val="center"/>
        </w:trPr>
        <w:tc>
          <w:tcPr>
            <w:tcW w:w="1418" w:type="dxa"/>
            <w:tcBorders>
              <w:top w:val="single" w:sz="4" w:space="0" w:color="ED7C5D"/>
              <w:left w:val="nil"/>
              <w:bottom w:val="single" w:sz="4" w:space="0" w:color="ED7C5D"/>
              <w:right w:val="nil"/>
            </w:tcBorders>
            <w:shd w:val="clear" w:color="000000" w:fill="FFFFFF"/>
            <w:vAlign w:val="center"/>
          </w:tcPr>
          <w:p w14:paraId="622AE9FD" w14:textId="3DA6547F" w:rsidR="00A31B1C" w:rsidRPr="00503F5B" w:rsidRDefault="00A31B1C" w:rsidP="00A31B1C">
            <w:pPr>
              <w:jc w:val="both"/>
              <w:rPr>
                <w:rFonts w:eastAsia="Times New Roman" w:cs="Calibri"/>
                <w:b/>
                <w:bCs/>
                <w:i/>
                <w:iCs/>
                <w:sz w:val="20"/>
                <w:szCs w:val="20"/>
                <w:lang w:eastAsia="en-AU"/>
              </w:rPr>
            </w:pPr>
            <w:r w:rsidRPr="00503F5B">
              <w:rPr>
                <w:rFonts w:cs="Calibri"/>
                <w:b/>
                <w:bCs/>
                <w:i/>
                <w:iCs/>
                <w:sz w:val="20"/>
                <w:szCs w:val="20"/>
              </w:rPr>
              <w:t>Average</w:t>
            </w:r>
          </w:p>
        </w:tc>
        <w:tc>
          <w:tcPr>
            <w:tcW w:w="1317" w:type="dxa"/>
            <w:tcBorders>
              <w:top w:val="single" w:sz="4" w:space="0" w:color="ED7C5D"/>
              <w:left w:val="nil"/>
              <w:bottom w:val="single" w:sz="4" w:space="0" w:color="ED7C5D"/>
              <w:right w:val="nil"/>
            </w:tcBorders>
            <w:shd w:val="clear" w:color="auto" w:fill="auto"/>
            <w:vAlign w:val="center"/>
          </w:tcPr>
          <w:p w14:paraId="235F6920" w14:textId="0709873A" w:rsidR="00A31B1C" w:rsidRPr="00503F5B" w:rsidRDefault="00A31B1C" w:rsidP="00A31B1C">
            <w:pPr>
              <w:jc w:val="center"/>
              <w:rPr>
                <w:rFonts w:eastAsia="Times New Roman" w:cs="Calibri"/>
                <w:b/>
                <w:bCs/>
                <w:i/>
                <w:iCs/>
                <w:color w:val="auto"/>
                <w:sz w:val="20"/>
                <w:szCs w:val="20"/>
                <w:lang w:eastAsia="en-AU"/>
              </w:rPr>
            </w:pPr>
            <w:r w:rsidRPr="00503F5B">
              <w:rPr>
                <w:rFonts w:cs="Calibri"/>
                <w:b/>
                <w:bCs/>
                <w:i/>
                <w:iCs/>
                <w:sz w:val="20"/>
                <w:szCs w:val="20"/>
              </w:rPr>
              <w:t>1,662</w:t>
            </w:r>
          </w:p>
        </w:tc>
        <w:tc>
          <w:tcPr>
            <w:tcW w:w="1134" w:type="dxa"/>
            <w:tcBorders>
              <w:top w:val="single" w:sz="4" w:space="0" w:color="ED7C5D"/>
              <w:left w:val="nil"/>
              <w:bottom w:val="single" w:sz="4" w:space="0" w:color="ED7C5D"/>
              <w:right w:val="nil"/>
            </w:tcBorders>
            <w:shd w:val="clear" w:color="000000" w:fill="FFFFFF"/>
            <w:vAlign w:val="center"/>
          </w:tcPr>
          <w:p w14:paraId="1E50BEC7" w14:textId="12D9E1B3" w:rsidR="00A31B1C" w:rsidRPr="00503F5B" w:rsidRDefault="00A31B1C" w:rsidP="00A31B1C">
            <w:pPr>
              <w:jc w:val="both"/>
              <w:rPr>
                <w:rFonts w:eastAsia="Times New Roman" w:cs="Calibri"/>
                <w:b/>
                <w:bCs/>
                <w:i/>
                <w:iCs/>
                <w:color w:val="auto"/>
                <w:sz w:val="20"/>
                <w:szCs w:val="20"/>
                <w:lang w:eastAsia="en-AU"/>
              </w:rPr>
            </w:pPr>
            <w:r w:rsidRPr="00503F5B">
              <w:rPr>
                <w:rFonts w:cs="Calibri"/>
                <w:b/>
                <w:bCs/>
                <w:i/>
                <w:iCs/>
                <w:sz w:val="20"/>
                <w:szCs w:val="20"/>
              </w:rPr>
              <w:t>$493,488</w:t>
            </w:r>
          </w:p>
        </w:tc>
        <w:tc>
          <w:tcPr>
            <w:tcW w:w="1801" w:type="dxa"/>
            <w:tcBorders>
              <w:top w:val="single" w:sz="4" w:space="0" w:color="ED7C5D"/>
              <w:left w:val="nil"/>
              <w:bottom w:val="single" w:sz="4" w:space="0" w:color="ED7C5D"/>
              <w:right w:val="nil"/>
            </w:tcBorders>
            <w:shd w:val="clear" w:color="000000" w:fill="FFFFFF"/>
            <w:vAlign w:val="center"/>
          </w:tcPr>
          <w:p w14:paraId="1AB39D14" w14:textId="4BB44C0B" w:rsidR="00A31B1C" w:rsidRPr="00503F5B" w:rsidRDefault="00A31B1C" w:rsidP="00A31B1C">
            <w:pPr>
              <w:jc w:val="center"/>
              <w:rPr>
                <w:rFonts w:eastAsia="Times New Roman" w:cs="Calibri"/>
                <w:b/>
                <w:bCs/>
                <w:i/>
                <w:iCs/>
                <w:sz w:val="20"/>
                <w:szCs w:val="20"/>
                <w:lang w:eastAsia="en-AU"/>
              </w:rPr>
            </w:pPr>
            <w:r w:rsidRPr="00503F5B">
              <w:rPr>
                <w:rFonts w:cs="Calibri"/>
                <w:b/>
                <w:bCs/>
                <w:i/>
                <w:iCs/>
                <w:sz w:val="20"/>
                <w:szCs w:val="20"/>
              </w:rPr>
              <w:t>2.5</w:t>
            </w:r>
          </w:p>
        </w:tc>
      </w:tr>
    </w:tbl>
    <w:p w14:paraId="0D8F551D" w14:textId="37338684" w:rsidR="008338C1" w:rsidRPr="00503F5B" w:rsidRDefault="008338C1" w:rsidP="001D51D6">
      <w:pPr>
        <w:jc w:val="both"/>
      </w:pPr>
    </w:p>
    <w:p w14:paraId="28F7B44D" w14:textId="77777777" w:rsidR="00C6534A" w:rsidRPr="00503F5B" w:rsidRDefault="00C6534A" w:rsidP="00C6534A">
      <w:pPr>
        <w:pStyle w:val="Heading3"/>
      </w:pPr>
      <w:bookmarkStart w:id="118" w:name="_Toc457772532"/>
      <w:bookmarkStart w:id="119" w:name="_Toc35804135"/>
      <w:bookmarkStart w:id="120" w:name="_Toc35804629"/>
      <w:bookmarkStart w:id="121" w:name="_Toc35812673"/>
      <w:r w:rsidRPr="00503F5B">
        <w:t>2.2.3 Risk of increase in false alarms calls</w:t>
      </w:r>
      <w:bookmarkEnd w:id="118"/>
      <w:bookmarkEnd w:id="119"/>
      <w:bookmarkEnd w:id="120"/>
      <w:bookmarkEnd w:id="121"/>
    </w:p>
    <w:p w14:paraId="4EBC4D8B" w14:textId="77777777" w:rsidR="00C6534A" w:rsidRPr="00503F5B" w:rsidRDefault="00C6534A" w:rsidP="001D51D6">
      <w:pPr>
        <w:jc w:val="both"/>
      </w:pPr>
    </w:p>
    <w:p w14:paraId="15CEAC5D" w14:textId="2BFC9688" w:rsidR="003E489B" w:rsidRPr="00503F5B" w:rsidRDefault="003E489B" w:rsidP="003E489B">
      <w:pPr>
        <w:jc w:val="both"/>
      </w:pPr>
      <w:r w:rsidRPr="00503F5B">
        <w:t>Under the base case, and in the absence of the proposed regulations – the requirements of the Act around emergency attendance services as discussed in 2.1.1 of this RIS would continue.  Under sections 32B (1) and (2) of the Act the Fire Rescue Commissioner would continue to be required to determine the operational response to an alarm of fire and requires specified fire fighters to attend an alarm of fire with “all practical speed”</w:t>
      </w:r>
      <w:r w:rsidRPr="00503F5B">
        <w:rPr>
          <w:rStyle w:val="FootnoteReference"/>
        </w:rPr>
        <w:footnoteReference w:id="76"/>
      </w:r>
      <w:r w:rsidRPr="00503F5B">
        <w:t xml:space="preserve">. ‘Fire Rescue Commissioner’ is defined in section 3.  Section 31A of the Act allows for the powers </w:t>
      </w:r>
      <w:r w:rsidRPr="00503F5B">
        <w:lastRenderedPageBreak/>
        <w:t>of the Fire Rescue Commissioner to be delegated. The Fire Rescue Commissioner would still be required to complete all requirements set out in the Act as discussed in 2.1.1 of this RIS.</w:t>
      </w:r>
    </w:p>
    <w:p w14:paraId="34B7172B" w14:textId="77777777" w:rsidR="003E489B" w:rsidRPr="00503F5B" w:rsidRDefault="003E489B" w:rsidP="003E489B">
      <w:pPr>
        <w:jc w:val="both"/>
      </w:pPr>
    </w:p>
    <w:p w14:paraId="6F00ACFA" w14:textId="196E9594" w:rsidR="003E489B" w:rsidRPr="00503F5B" w:rsidRDefault="003E489B" w:rsidP="003E489B">
      <w:pPr>
        <w:jc w:val="both"/>
      </w:pPr>
      <w:r w:rsidRPr="00503F5B">
        <w:t xml:space="preserve">However, FRV would not be able to charge fees and recover any portion of the cost of emergency attendance services for false alarms – estimated to be $123.76 million per annum (see section A3.2.1 of Appendix 3 for source of estimate).  Under the base case, the emergency attendance services would continue to be provided, however funding arrangements would be such that </w:t>
      </w:r>
      <w:r w:rsidRPr="00503F5B">
        <w:rPr>
          <w:i/>
        </w:rPr>
        <w:t>all</w:t>
      </w:r>
      <w:r w:rsidRPr="00503F5B">
        <w:t xml:space="preserve"> the emergency attendance activities of </w:t>
      </w:r>
      <w:r w:rsidR="00D23B9E" w:rsidRPr="00503F5B">
        <w:t>FRV</w:t>
      </w:r>
      <w:r w:rsidRPr="00503F5B">
        <w:t xml:space="preserve"> in accordance with the Act would be funded via general tax revenue, resulting in cross-subsidisation, with the costs associated with possibly negligent property owners being paid for by all taxpayers.  </w:t>
      </w:r>
    </w:p>
    <w:p w14:paraId="07F8E34B" w14:textId="77777777" w:rsidR="003E489B" w:rsidRPr="00503F5B" w:rsidRDefault="003E489B" w:rsidP="003E489B">
      <w:pPr>
        <w:jc w:val="both"/>
      </w:pPr>
    </w:p>
    <w:p w14:paraId="72345A15" w14:textId="77777777" w:rsidR="003E489B" w:rsidRPr="00503F5B" w:rsidRDefault="003E489B" w:rsidP="003E489B">
      <w:pPr>
        <w:jc w:val="both"/>
      </w:pPr>
      <w:r w:rsidRPr="00503F5B">
        <w:t>Furthermore, a lack of fees for emergence attendances for false alarm calls where no reasonable excuse is determined will result in a reduction in the proactive management and maintenance of alarm systems leading to greater false alarm calls.  This would result in more FRV resources being diverted to less efficient uses and a higher risk of complacency around ‘real’ fire incidents by the public.</w:t>
      </w:r>
    </w:p>
    <w:p w14:paraId="0EB71B1A" w14:textId="77777777" w:rsidR="003E489B" w:rsidRPr="00503F5B" w:rsidRDefault="003E489B" w:rsidP="00C6534A">
      <w:pPr>
        <w:widowControl w:val="0"/>
        <w:autoSpaceDE w:val="0"/>
        <w:autoSpaceDN w:val="0"/>
        <w:adjustRightInd w:val="0"/>
        <w:jc w:val="both"/>
      </w:pPr>
    </w:p>
    <w:p w14:paraId="3D2E58AB" w14:textId="0CB90A6B" w:rsidR="00C6534A" w:rsidRPr="00503F5B" w:rsidRDefault="00C6534A" w:rsidP="00C6534A">
      <w:pPr>
        <w:widowControl w:val="0"/>
        <w:autoSpaceDE w:val="0"/>
        <w:autoSpaceDN w:val="0"/>
        <w:adjustRightInd w:val="0"/>
        <w:jc w:val="both"/>
        <w:rPr>
          <w:rFonts w:cs="P˘Í^ˇ"/>
        </w:rPr>
      </w:pPr>
      <w:r w:rsidRPr="00503F5B">
        <w:t>A significant proportion of calls for assistance are found upon investigation to be false alarms</w:t>
      </w:r>
      <w:r w:rsidRPr="00503F5B">
        <w:rPr>
          <w:rStyle w:val="FootnoteReference"/>
        </w:rPr>
        <w:footnoteReference w:id="77"/>
      </w:r>
      <w:r w:rsidRPr="00503F5B">
        <w:t xml:space="preserve">.  As shown in Table 5 in Section 1.2.4 of this RIS, ‘false alarms’ represented 26.28 per cent of total annual appliance hours dedicated by MFB on average over 8 years (between 2011-12 and 2018-19). </w:t>
      </w:r>
      <w:r w:rsidRPr="00503F5B">
        <w:rPr>
          <w:rFonts w:cs="P˘Í^ˇ"/>
        </w:rPr>
        <w:t xml:space="preserve"> </w:t>
      </w:r>
      <w:r w:rsidR="00114D0A" w:rsidRPr="00503F5B">
        <w:rPr>
          <w:rFonts w:cs="P˘Í^ˇ"/>
        </w:rPr>
        <w:t>‘False alarms’ represented 11.8</w:t>
      </w:r>
      <w:r w:rsidR="00DE39B1" w:rsidRPr="00503F5B">
        <w:rPr>
          <w:rFonts w:cs="P˘Í^ˇ"/>
        </w:rPr>
        <w:t xml:space="preserve"> per cent</w:t>
      </w:r>
      <w:r w:rsidR="00CE76D0" w:rsidRPr="00503F5B">
        <w:rPr>
          <w:rStyle w:val="FootnoteReference"/>
          <w:rFonts w:cs="P˘Í^ˇ"/>
        </w:rPr>
        <w:footnoteReference w:id="78"/>
      </w:r>
      <w:r w:rsidR="00114D0A" w:rsidRPr="00503F5B">
        <w:rPr>
          <w:rFonts w:cs="P˘Í^ˇ"/>
        </w:rPr>
        <w:t xml:space="preserve"> of total annual appliance hours dedicated by CFA integrated stations on average over 4 years (</w:t>
      </w:r>
      <w:r w:rsidR="00CE76D0" w:rsidRPr="00503F5B">
        <w:rPr>
          <w:rFonts w:cs="P˘Í^ˇ"/>
        </w:rPr>
        <w:t>2015-16 to 2018-19)</w:t>
      </w:r>
    </w:p>
    <w:p w14:paraId="161260D4" w14:textId="77777777" w:rsidR="00C6534A" w:rsidRPr="00503F5B" w:rsidRDefault="00C6534A" w:rsidP="00C6534A">
      <w:pPr>
        <w:widowControl w:val="0"/>
        <w:autoSpaceDE w:val="0"/>
        <w:autoSpaceDN w:val="0"/>
        <w:adjustRightInd w:val="0"/>
        <w:jc w:val="both"/>
        <w:rPr>
          <w:rFonts w:cs="P˘Í^ˇ"/>
        </w:rPr>
      </w:pPr>
    </w:p>
    <w:p w14:paraId="48834A1A" w14:textId="5FD0737B" w:rsidR="00C6534A" w:rsidRPr="00503F5B" w:rsidRDefault="00C6534A" w:rsidP="00C6534A">
      <w:pPr>
        <w:widowControl w:val="0"/>
        <w:autoSpaceDE w:val="0"/>
        <w:autoSpaceDN w:val="0"/>
        <w:adjustRightInd w:val="0"/>
        <w:jc w:val="both"/>
        <w:rPr>
          <w:rFonts w:cs="P˘Í^ˇ"/>
        </w:rPr>
      </w:pPr>
      <w:r w:rsidRPr="00503F5B">
        <w:rPr>
          <w:rFonts w:cs="P˘Í^ˇ"/>
        </w:rPr>
        <w:t xml:space="preserve">Although </w:t>
      </w:r>
      <w:r w:rsidR="00595DFB" w:rsidRPr="00503F5B">
        <w:rPr>
          <w:rFonts w:cs="P˘Í^ˇ"/>
        </w:rPr>
        <w:t>MFB</w:t>
      </w:r>
      <w:r w:rsidRPr="00503F5B">
        <w:rPr>
          <w:rFonts w:cs="P˘Í^ˇ"/>
        </w:rPr>
        <w:t xml:space="preserve"> has attended false alarms since its establishment, the number of false alarms had increased significantly during the 1980s and reached unprecedented levels by 1988/89 (i.e. 28,461 false alarm calls). It was estimated that by 1988-89 false alarms accounted for approximately 68 per cent of all </w:t>
      </w:r>
      <w:proofErr w:type="gramStart"/>
      <w:r w:rsidRPr="00503F5B">
        <w:rPr>
          <w:rFonts w:cs="P˘Í^ˇ"/>
        </w:rPr>
        <w:t>call-outs</w:t>
      </w:r>
      <w:proofErr w:type="gramEnd"/>
      <w:r w:rsidRPr="00503F5B">
        <w:rPr>
          <w:rFonts w:cs="P˘Í^ˇ"/>
        </w:rPr>
        <w:t xml:space="preserve"> and that the average number of false alarms per monitoring device was 3.89</w:t>
      </w:r>
      <w:r w:rsidRPr="00503F5B">
        <w:rPr>
          <w:rStyle w:val="FootnoteReference"/>
          <w:rFonts w:cs="P˘Í^ˇ"/>
        </w:rPr>
        <w:footnoteReference w:id="79"/>
      </w:r>
      <w:r w:rsidRPr="00503F5B">
        <w:rPr>
          <w:rFonts w:cs="P˘Í^ˇ"/>
        </w:rPr>
        <w:t xml:space="preserve">. </w:t>
      </w:r>
      <w:r w:rsidR="004952E6" w:rsidRPr="00503F5B">
        <w:rPr>
          <w:rFonts w:cs="P˘Í^ˇ"/>
        </w:rPr>
        <w:t xml:space="preserve">  At this time the Board was not provided with a mechanism to levy fees and charges </w:t>
      </w:r>
      <w:r w:rsidR="009307B3" w:rsidRPr="00503F5B">
        <w:rPr>
          <w:rFonts w:cs="P˘Í^ˇ"/>
        </w:rPr>
        <w:t xml:space="preserve">to </w:t>
      </w:r>
      <w:r w:rsidR="004952E6" w:rsidRPr="00503F5B">
        <w:rPr>
          <w:rFonts w:cs="P˘Í^ˇ"/>
        </w:rPr>
        <w:t xml:space="preserve">those </w:t>
      </w:r>
      <w:r w:rsidR="009307B3" w:rsidRPr="00503F5B">
        <w:rPr>
          <w:rFonts w:cs="P˘Í^ˇ"/>
        </w:rPr>
        <w:t>giving rise to the need for the deployment of appliances to emergency attendances for false alarms.</w:t>
      </w:r>
    </w:p>
    <w:p w14:paraId="6FBE9AFD" w14:textId="77777777" w:rsidR="00C6534A" w:rsidRPr="00503F5B" w:rsidRDefault="00C6534A" w:rsidP="00C6534A">
      <w:pPr>
        <w:widowControl w:val="0"/>
        <w:autoSpaceDE w:val="0"/>
        <w:autoSpaceDN w:val="0"/>
        <w:adjustRightInd w:val="0"/>
        <w:jc w:val="both"/>
        <w:rPr>
          <w:rFonts w:cs="P˘Í^ˇ"/>
        </w:rPr>
      </w:pPr>
    </w:p>
    <w:p w14:paraId="7E4CCA0D" w14:textId="2C084C7C" w:rsidR="00C6534A" w:rsidRPr="00503F5B" w:rsidRDefault="009E0057" w:rsidP="00C6534A">
      <w:pPr>
        <w:widowControl w:val="0"/>
        <w:autoSpaceDE w:val="0"/>
        <w:autoSpaceDN w:val="0"/>
        <w:adjustRightInd w:val="0"/>
        <w:jc w:val="both"/>
        <w:rPr>
          <w:rFonts w:cs="P˘Í^ˇ"/>
        </w:rPr>
      </w:pPr>
      <w:r w:rsidRPr="00503F5B">
        <w:rPr>
          <w:rFonts w:cs="P˘Í^ˇ"/>
        </w:rPr>
        <w:t xml:space="preserve">The </w:t>
      </w:r>
      <w:r w:rsidR="00595DFB" w:rsidRPr="00503F5B">
        <w:rPr>
          <w:rFonts w:cs="P˘Í^ˇ"/>
        </w:rPr>
        <w:t>MFB</w:t>
      </w:r>
      <w:r w:rsidR="00C6534A" w:rsidRPr="00503F5B">
        <w:rPr>
          <w:rFonts w:cs="P˘Í^ˇ"/>
        </w:rPr>
        <w:t xml:space="preserve"> Act was amended at th</w:t>
      </w:r>
      <w:r w:rsidR="00D23B9E" w:rsidRPr="00503F5B">
        <w:rPr>
          <w:rFonts w:cs="P˘Í^ˇ"/>
        </w:rPr>
        <w:t>at</w:t>
      </w:r>
      <w:r w:rsidR="00C6534A" w:rsidRPr="00503F5B">
        <w:rPr>
          <w:rFonts w:cs="P˘Í^ˇ"/>
        </w:rPr>
        <w:t xml:space="preserve"> time to allow the Board to levy fees and charges for attendances at false alarm </w:t>
      </w:r>
      <w:proofErr w:type="gramStart"/>
      <w:r w:rsidR="00C6534A" w:rsidRPr="00503F5B">
        <w:rPr>
          <w:rFonts w:cs="P˘Í^ˇ"/>
        </w:rPr>
        <w:t>call-outs</w:t>
      </w:r>
      <w:proofErr w:type="gramEnd"/>
      <w:r w:rsidR="00C6534A" w:rsidRPr="00503F5B">
        <w:rPr>
          <w:rFonts w:cs="P˘Í^ˇ"/>
        </w:rPr>
        <w:t xml:space="preserve"> where the owner or occupier of the premises or property did not have a ‘reasonable excuse’ for the false alarm. The purpose was to promote the effective management and maintenance of automated fire alarm systems</w:t>
      </w:r>
      <w:r w:rsidR="00C6534A" w:rsidRPr="00503F5B">
        <w:rPr>
          <w:rStyle w:val="FootnoteReference"/>
          <w:rFonts w:cs="P˘Í^ˇ"/>
        </w:rPr>
        <w:footnoteReference w:id="80"/>
      </w:r>
      <w:r w:rsidR="00C6534A" w:rsidRPr="00503F5B">
        <w:rPr>
          <w:rFonts w:cs="P˘Í^ˇ"/>
        </w:rPr>
        <w:t xml:space="preserve"> and minimise the growth of false alarms and drain on MFB resources and to reduce complacency towards genuine alarms</w:t>
      </w:r>
      <w:r w:rsidR="00CE76D0" w:rsidRPr="00503F5B">
        <w:rPr>
          <w:rFonts w:cs="P˘Í^ˇ"/>
        </w:rPr>
        <w:t xml:space="preserve"> -</w:t>
      </w:r>
      <w:r w:rsidR="00C6534A" w:rsidRPr="00503F5B">
        <w:rPr>
          <w:rFonts w:cs="P˘Í^ˇ"/>
        </w:rPr>
        <w:t xml:space="preserve"> which ha</w:t>
      </w:r>
      <w:r w:rsidR="00CE76D0" w:rsidRPr="00503F5B">
        <w:rPr>
          <w:rFonts w:cs="P˘Í^ˇ"/>
        </w:rPr>
        <w:t>s</w:t>
      </w:r>
      <w:r w:rsidR="00C6534A" w:rsidRPr="00503F5B">
        <w:rPr>
          <w:rFonts w:cs="P˘Í^ˇ"/>
        </w:rPr>
        <w:t xml:space="preserve"> the potential to lead to serious injury or deaths.  Unwanted and unnecessary calls also increase the risk of accident and injury to firefighters and the general public</w:t>
      </w:r>
      <w:r w:rsidR="00D23B9E" w:rsidRPr="00503F5B">
        <w:rPr>
          <w:rFonts w:cs="P˘Í^ˇ"/>
        </w:rPr>
        <w:t>,</w:t>
      </w:r>
      <w:r w:rsidR="00C6534A" w:rsidRPr="00503F5B">
        <w:rPr>
          <w:rFonts w:cs="P˘Í^ˇ"/>
        </w:rPr>
        <w:t xml:space="preserve"> as firefighters will attend under sirens and lights. Furthermore, response times to real emergencies can be delayed through attendance at false alarms.  </w:t>
      </w:r>
    </w:p>
    <w:p w14:paraId="62F05586" w14:textId="77777777" w:rsidR="00C6534A" w:rsidRPr="00503F5B" w:rsidRDefault="00C6534A" w:rsidP="00C6534A">
      <w:pPr>
        <w:widowControl w:val="0"/>
        <w:autoSpaceDE w:val="0"/>
        <w:autoSpaceDN w:val="0"/>
        <w:adjustRightInd w:val="0"/>
        <w:jc w:val="both"/>
        <w:rPr>
          <w:rFonts w:cs="P˘Í^ˇ"/>
        </w:rPr>
      </w:pPr>
    </w:p>
    <w:p w14:paraId="6704AE03" w14:textId="313AE519" w:rsidR="00AC30BF" w:rsidRPr="00503F5B" w:rsidRDefault="00D23B9E" w:rsidP="00C6534A">
      <w:pPr>
        <w:widowControl w:val="0"/>
        <w:autoSpaceDE w:val="0"/>
        <w:autoSpaceDN w:val="0"/>
        <w:adjustRightInd w:val="0"/>
        <w:jc w:val="both"/>
        <w:rPr>
          <w:rFonts w:cs="P˘Í^ˇ"/>
        </w:rPr>
      </w:pPr>
      <w:r w:rsidRPr="00503F5B">
        <w:rPr>
          <w:rFonts w:cs="P˘Í^ˇ"/>
        </w:rPr>
        <w:t>A</w:t>
      </w:r>
      <w:r w:rsidR="00C6534A" w:rsidRPr="00503F5B">
        <w:rPr>
          <w:rFonts w:cs="P˘Í^ˇ"/>
        </w:rPr>
        <w:t xml:space="preserve">s shown in Chart </w:t>
      </w:r>
      <w:r w:rsidR="00CE76D0" w:rsidRPr="00503F5B">
        <w:rPr>
          <w:rFonts w:cs="P˘Í^ˇ"/>
        </w:rPr>
        <w:t>5</w:t>
      </w:r>
      <w:r w:rsidR="00C6534A" w:rsidRPr="00503F5B">
        <w:rPr>
          <w:rFonts w:cs="P˘Í^ˇ"/>
        </w:rPr>
        <w:t xml:space="preserve">, </w:t>
      </w:r>
      <w:r w:rsidR="009307B3" w:rsidRPr="00503F5B">
        <w:rPr>
          <w:rFonts w:cs="P˘Í^ˇ"/>
        </w:rPr>
        <w:t xml:space="preserve">and based on available data, </w:t>
      </w:r>
      <w:r w:rsidR="00C6534A" w:rsidRPr="00503F5B">
        <w:rPr>
          <w:rFonts w:cs="P˘Í^ˇ"/>
        </w:rPr>
        <w:t xml:space="preserve">the average number of false alarms per ASE per annum for </w:t>
      </w:r>
      <w:r w:rsidR="00595DFB" w:rsidRPr="00503F5B">
        <w:rPr>
          <w:rFonts w:cs="P˘Í^ˇ"/>
        </w:rPr>
        <w:t>MFB</w:t>
      </w:r>
      <w:r w:rsidR="00C6534A" w:rsidRPr="00503F5B">
        <w:rPr>
          <w:rFonts w:cs="P˘Í^ˇ"/>
        </w:rPr>
        <w:t xml:space="preserve"> fell to 1.4 in 201</w:t>
      </w:r>
      <w:r w:rsidR="00B97ACA" w:rsidRPr="00503F5B">
        <w:rPr>
          <w:rFonts w:cs="P˘Í^ˇ"/>
        </w:rPr>
        <w:t>8</w:t>
      </w:r>
      <w:r w:rsidR="00C6534A" w:rsidRPr="00503F5B">
        <w:rPr>
          <w:rFonts w:cs="P˘Í^ˇ"/>
        </w:rPr>
        <w:t>-1</w:t>
      </w:r>
      <w:r w:rsidR="00B97ACA" w:rsidRPr="00503F5B">
        <w:rPr>
          <w:rFonts w:cs="P˘Í^ˇ"/>
        </w:rPr>
        <w:t>9 compared to 1.44 in 2013-14</w:t>
      </w:r>
      <w:r w:rsidR="00C6534A" w:rsidRPr="00503F5B">
        <w:rPr>
          <w:rFonts w:cs="P˘Í^ˇ"/>
        </w:rPr>
        <w:t xml:space="preserve"> – the lowest number of calls per ASE in the Australasian Fire and Emergency Service Authorities Council group.  </w:t>
      </w:r>
    </w:p>
    <w:p w14:paraId="16E4B749" w14:textId="77777777" w:rsidR="00AC30BF" w:rsidRPr="00503F5B" w:rsidRDefault="00AC30BF" w:rsidP="00C6534A">
      <w:pPr>
        <w:widowControl w:val="0"/>
        <w:autoSpaceDE w:val="0"/>
        <w:autoSpaceDN w:val="0"/>
        <w:adjustRightInd w:val="0"/>
        <w:jc w:val="both"/>
        <w:rPr>
          <w:rFonts w:cs="P˘Í^ˇ"/>
        </w:rPr>
      </w:pPr>
    </w:p>
    <w:p w14:paraId="27D06012" w14:textId="4A9DF9AF" w:rsidR="00CD39EA" w:rsidRPr="00503F5B" w:rsidRDefault="00CD39EA" w:rsidP="00CD39EA">
      <w:pPr>
        <w:jc w:val="center"/>
        <w:rPr>
          <w:b/>
          <w:sz w:val="20"/>
          <w:szCs w:val="20"/>
        </w:rPr>
      </w:pPr>
      <w:r w:rsidRPr="00503F5B">
        <w:rPr>
          <w:b/>
          <w:sz w:val="20"/>
          <w:szCs w:val="20"/>
        </w:rPr>
        <w:t xml:space="preserve">Chart </w:t>
      </w:r>
      <w:r w:rsidR="00BA70F8" w:rsidRPr="00503F5B">
        <w:rPr>
          <w:b/>
          <w:sz w:val="20"/>
          <w:szCs w:val="20"/>
        </w:rPr>
        <w:t>5</w:t>
      </w:r>
      <w:r w:rsidRPr="00503F5B">
        <w:rPr>
          <w:b/>
          <w:sz w:val="20"/>
          <w:szCs w:val="20"/>
        </w:rPr>
        <w:t xml:space="preserve">: False Alarm calls per ASE – Comparison across national fire services – </w:t>
      </w:r>
      <w:r w:rsidR="00BA70F8" w:rsidRPr="00503F5B">
        <w:rPr>
          <w:b/>
          <w:sz w:val="20"/>
          <w:szCs w:val="20"/>
        </w:rPr>
        <w:t xml:space="preserve">2013-14 and </w:t>
      </w:r>
      <w:r w:rsidRPr="00503F5B">
        <w:rPr>
          <w:b/>
          <w:sz w:val="20"/>
          <w:szCs w:val="20"/>
        </w:rPr>
        <w:t>2018-19</w:t>
      </w:r>
    </w:p>
    <w:p w14:paraId="1E37939F" w14:textId="16B7FDD9" w:rsidR="00F542F1" w:rsidRPr="00503F5B" w:rsidRDefault="00F542F1" w:rsidP="00C6534A">
      <w:pPr>
        <w:widowControl w:val="0"/>
        <w:autoSpaceDE w:val="0"/>
        <w:autoSpaceDN w:val="0"/>
        <w:adjustRightInd w:val="0"/>
        <w:jc w:val="both"/>
        <w:rPr>
          <w:rFonts w:cs="P˘Í^ˇ"/>
        </w:rPr>
      </w:pPr>
    </w:p>
    <w:p w14:paraId="7DFBB44C" w14:textId="4D7149FB" w:rsidR="003763A2" w:rsidRPr="00503F5B" w:rsidRDefault="003763A2" w:rsidP="003763A2">
      <w:pPr>
        <w:widowControl w:val="0"/>
        <w:autoSpaceDE w:val="0"/>
        <w:autoSpaceDN w:val="0"/>
        <w:adjustRightInd w:val="0"/>
        <w:jc w:val="center"/>
      </w:pPr>
      <w:r w:rsidRPr="00503F5B">
        <w:rPr>
          <w:noProof/>
        </w:rPr>
        <w:drawing>
          <wp:inline distT="0" distB="0" distL="0" distR="0" wp14:anchorId="7F83946D" wp14:editId="75E21826">
            <wp:extent cx="4419600" cy="2743200"/>
            <wp:effectExtent l="0" t="0" r="0" b="0"/>
            <wp:docPr id="8" name="Chart 8">
              <a:extLst xmlns:a="http://schemas.openxmlformats.org/drawingml/2006/main">
                <a:ext uri="{FF2B5EF4-FFF2-40B4-BE49-F238E27FC236}">
                  <a16:creationId xmlns:a16="http://schemas.microsoft.com/office/drawing/2014/main" id="{22736BA9-C951-4884-88D0-6D7251E84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52C932" w14:textId="6060354F" w:rsidR="00F542F1" w:rsidRPr="00503F5B" w:rsidRDefault="00BA70F8" w:rsidP="003763A2">
      <w:pPr>
        <w:widowControl w:val="0"/>
        <w:autoSpaceDE w:val="0"/>
        <w:autoSpaceDN w:val="0"/>
        <w:adjustRightInd w:val="0"/>
        <w:ind w:firstLine="720"/>
        <w:jc w:val="both"/>
        <w:rPr>
          <w:rFonts w:cs="P˘Í^ˇ"/>
          <w:sz w:val="18"/>
          <w:szCs w:val="18"/>
        </w:rPr>
      </w:pPr>
      <w:r w:rsidRPr="00503F5B">
        <w:rPr>
          <w:rFonts w:cs="P˘Í^ˇ"/>
          <w:sz w:val="18"/>
          <w:szCs w:val="18"/>
        </w:rPr>
        <w:t>Source</w:t>
      </w:r>
      <w:r w:rsidR="003763A2" w:rsidRPr="00503F5B">
        <w:rPr>
          <w:rFonts w:cs="P˘Í^ˇ"/>
          <w:sz w:val="18"/>
          <w:szCs w:val="18"/>
        </w:rPr>
        <w:t>:</w:t>
      </w:r>
      <w:r w:rsidRPr="00503F5B">
        <w:rPr>
          <w:rFonts w:cs="P˘Í^ˇ"/>
          <w:sz w:val="18"/>
          <w:szCs w:val="18"/>
        </w:rPr>
        <w:t xml:space="preserve"> MFB </w:t>
      </w:r>
    </w:p>
    <w:p w14:paraId="74CDD955" w14:textId="77777777" w:rsidR="00A67990" w:rsidRPr="00503F5B" w:rsidRDefault="00A67990" w:rsidP="00C6534A">
      <w:pPr>
        <w:widowControl w:val="0"/>
        <w:autoSpaceDE w:val="0"/>
        <w:autoSpaceDN w:val="0"/>
        <w:adjustRightInd w:val="0"/>
        <w:jc w:val="both"/>
        <w:rPr>
          <w:rFonts w:cs="P˘Í^ˇ"/>
        </w:rPr>
      </w:pPr>
    </w:p>
    <w:p w14:paraId="50FE28C9" w14:textId="66EC4A10" w:rsidR="009307B3" w:rsidRPr="00503F5B" w:rsidRDefault="00C6534A" w:rsidP="009917B8">
      <w:pPr>
        <w:pStyle w:val="CommentText"/>
        <w:jc w:val="both"/>
        <w:rPr>
          <w:sz w:val="22"/>
          <w:szCs w:val="22"/>
        </w:rPr>
      </w:pPr>
      <w:r w:rsidRPr="00503F5B">
        <w:rPr>
          <w:rFonts w:cs="P˘Í^ˇ"/>
          <w:sz w:val="22"/>
          <w:szCs w:val="22"/>
        </w:rPr>
        <w:t xml:space="preserve">This indicates that, while </w:t>
      </w:r>
      <w:r w:rsidR="00595DFB" w:rsidRPr="00503F5B">
        <w:rPr>
          <w:rFonts w:cs="P˘Í^ˇ"/>
          <w:sz w:val="22"/>
          <w:szCs w:val="22"/>
        </w:rPr>
        <w:t>MFB</w:t>
      </w:r>
      <w:r w:rsidRPr="00503F5B">
        <w:rPr>
          <w:rFonts w:cs="P˘Í^ˇ"/>
          <w:sz w:val="22"/>
          <w:szCs w:val="22"/>
        </w:rPr>
        <w:t xml:space="preserve"> </w:t>
      </w:r>
      <w:r w:rsidR="00CE76D0" w:rsidRPr="00503F5B">
        <w:rPr>
          <w:rFonts w:cs="P˘Í^ˇ"/>
          <w:sz w:val="22"/>
          <w:szCs w:val="22"/>
        </w:rPr>
        <w:t xml:space="preserve">and CFA integrated </w:t>
      </w:r>
      <w:r w:rsidR="00D23B9E" w:rsidRPr="00503F5B">
        <w:rPr>
          <w:rFonts w:cs="P˘Í^ˇ"/>
          <w:sz w:val="22"/>
          <w:szCs w:val="22"/>
        </w:rPr>
        <w:t xml:space="preserve">stations </w:t>
      </w:r>
      <w:r w:rsidRPr="00503F5B">
        <w:rPr>
          <w:rFonts w:cs="P˘Í^ˇ"/>
          <w:sz w:val="22"/>
          <w:szCs w:val="22"/>
        </w:rPr>
        <w:t>may have the highest false alarm charges</w:t>
      </w:r>
      <w:r w:rsidR="00CE76D0" w:rsidRPr="00503F5B">
        <w:rPr>
          <w:rFonts w:cs="P˘Í^ˇ"/>
          <w:sz w:val="22"/>
          <w:szCs w:val="22"/>
        </w:rPr>
        <w:t xml:space="preserve"> </w:t>
      </w:r>
      <w:r w:rsidR="009307B3" w:rsidRPr="00503F5B">
        <w:rPr>
          <w:rFonts w:cs="P˘Í^ˇ"/>
          <w:sz w:val="22"/>
          <w:szCs w:val="22"/>
        </w:rPr>
        <w:t xml:space="preserve">in terms of attendance, </w:t>
      </w:r>
      <w:r w:rsidR="00CE76D0" w:rsidRPr="00503F5B">
        <w:rPr>
          <w:rFonts w:cs="P˘Í^ˇ"/>
          <w:sz w:val="22"/>
          <w:szCs w:val="22"/>
        </w:rPr>
        <w:t>as shown in Table 16</w:t>
      </w:r>
      <w:r w:rsidRPr="00503F5B">
        <w:rPr>
          <w:rFonts w:cs="P˘Í^ˇ"/>
          <w:sz w:val="22"/>
          <w:szCs w:val="22"/>
        </w:rPr>
        <w:t xml:space="preserve">, this is deterring false fire alarms attendances, when compared to similar statistics in other Australian jurisdictions.  </w:t>
      </w:r>
      <w:r w:rsidR="009307B3" w:rsidRPr="00503F5B">
        <w:rPr>
          <w:rFonts w:cs="P˘Í^ˇ"/>
          <w:sz w:val="22"/>
          <w:szCs w:val="22"/>
        </w:rPr>
        <w:t>F</w:t>
      </w:r>
      <w:r w:rsidR="009307B3" w:rsidRPr="00503F5B">
        <w:rPr>
          <w:sz w:val="22"/>
          <w:szCs w:val="22"/>
        </w:rPr>
        <w:t>or example, NSW has a fixed at fee of $1,600 whereas in Victoria the effective fee is $578.48 by 4 lots of 15 minutes for 1.285 average appliance hours per attendance – or around $2,97</w:t>
      </w:r>
      <w:r w:rsidR="00391FFF" w:rsidRPr="00503F5B">
        <w:rPr>
          <w:sz w:val="22"/>
          <w:szCs w:val="22"/>
        </w:rPr>
        <w:t>7</w:t>
      </w:r>
      <w:r w:rsidR="009307B3" w:rsidRPr="00503F5B">
        <w:rPr>
          <w:sz w:val="22"/>
          <w:szCs w:val="22"/>
        </w:rPr>
        <w:t xml:space="preserve"> on average.</w:t>
      </w:r>
    </w:p>
    <w:p w14:paraId="390DD8D0" w14:textId="62026C54" w:rsidR="00C6534A" w:rsidRPr="00503F5B" w:rsidRDefault="009307B3" w:rsidP="00C6534A">
      <w:pPr>
        <w:widowControl w:val="0"/>
        <w:autoSpaceDE w:val="0"/>
        <w:autoSpaceDN w:val="0"/>
        <w:adjustRightInd w:val="0"/>
        <w:jc w:val="both"/>
        <w:rPr>
          <w:rFonts w:cs="P˘Í^ˇ"/>
        </w:rPr>
      </w:pPr>
      <w:r w:rsidRPr="00503F5B" w:rsidDel="009307B3">
        <w:rPr>
          <w:rStyle w:val="CommentReference"/>
        </w:rPr>
        <w:t xml:space="preserve"> </w:t>
      </w:r>
    </w:p>
    <w:p w14:paraId="2A716DF1" w14:textId="3A4224C2" w:rsidR="00AC30BF" w:rsidRPr="00503F5B" w:rsidRDefault="00AC30BF" w:rsidP="00AC30BF">
      <w:pPr>
        <w:jc w:val="center"/>
        <w:rPr>
          <w:b/>
        </w:rPr>
      </w:pPr>
      <w:r w:rsidRPr="00503F5B">
        <w:rPr>
          <w:b/>
        </w:rPr>
        <w:t xml:space="preserve">Table </w:t>
      </w:r>
      <w:r w:rsidR="00F542F1" w:rsidRPr="00503F5B">
        <w:rPr>
          <w:b/>
        </w:rPr>
        <w:t>16</w:t>
      </w:r>
      <w:r w:rsidRPr="00503F5B">
        <w:rPr>
          <w:b/>
        </w:rPr>
        <w:t>: Summary of false alarm charges - other Australian Jurisdictions</w:t>
      </w:r>
      <w:r w:rsidRPr="00503F5B">
        <w:rPr>
          <w:rStyle w:val="FootnoteReference"/>
          <w:b/>
        </w:rPr>
        <w:footnoteReference w:id="81"/>
      </w:r>
    </w:p>
    <w:p w14:paraId="5C938F0A" w14:textId="77777777" w:rsidR="00AC30BF" w:rsidRPr="00503F5B" w:rsidRDefault="00AC30BF" w:rsidP="00AC30BF">
      <w:pPr>
        <w:jc w:val="both"/>
      </w:pPr>
    </w:p>
    <w:tbl>
      <w:tblPr>
        <w:tblW w:w="9214" w:type="dxa"/>
        <w:jc w:val="center"/>
        <w:tblLayout w:type="fixed"/>
        <w:tblLook w:val="04A0" w:firstRow="1" w:lastRow="0" w:firstColumn="1" w:lastColumn="0" w:noHBand="0" w:noVBand="1"/>
      </w:tblPr>
      <w:tblGrid>
        <w:gridCol w:w="993"/>
        <w:gridCol w:w="1842"/>
        <w:gridCol w:w="6379"/>
      </w:tblGrid>
      <w:tr w:rsidR="00AC30BF" w:rsidRPr="00503F5B" w14:paraId="60C95D44" w14:textId="77777777" w:rsidTr="008A47B0">
        <w:trPr>
          <w:tblHeader/>
          <w:jc w:val="center"/>
        </w:trPr>
        <w:tc>
          <w:tcPr>
            <w:tcW w:w="993" w:type="dxa"/>
            <w:tcBorders>
              <w:top w:val="single" w:sz="4" w:space="0" w:color="ED7C5D"/>
              <w:bottom w:val="double" w:sz="4" w:space="0" w:color="ED7C5D"/>
            </w:tcBorders>
          </w:tcPr>
          <w:p w14:paraId="23E36054" w14:textId="77777777" w:rsidR="00AC30BF" w:rsidRPr="00503F5B" w:rsidRDefault="00AC30BF" w:rsidP="009307B3">
            <w:pPr>
              <w:jc w:val="both"/>
              <w:rPr>
                <w:b/>
                <w:color w:val="BE2A18"/>
                <w:sz w:val="20"/>
                <w:szCs w:val="20"/>
              </w:rPr>
            </w:pPr>
            <w:r w:rsidRPr="00503F5B">
              <w:rPr>
                <w:b/>
                <w:color w:val="BE2A18"/>
                <w:sz w:val="20"/>
                <w:szCs w:val="20"/>
              </w:rPr>
              <w:t>State/</w:t>
            </w:r>
          </w:p>
          <w:p w14:paraId="64F34D5B" w14:textId="77777777" w:rsidR="00AC30BF" w:rsidRPr="00503F5B" w:rsidRDefault="00AC30BF" w:rsidP="009307B3">
            <w:pPr>
              <w:jc w:val="both"/>
              <w:rPr>
                <w:b/>
                <w:color w:val="BE2A18"/>
                <w:sz w:val="20"/>
                <w:szCs w:val="20"/>
              </w:rPr>
            </w:pPr>
            <w:r w:rsidRPr="00503F5B">
              <w:rPr>
                <w:b/>
                <w:color w:val="BE2A18"/>
                <w:sz w:val="20"/>
                <w:szCs w:val="20"/>
              </w:rPr>
              <w:t>Territory</w:t>
            </w:r>
          </w:p>
        </w:tc>
        <w:tc>
          <w:tcPr>
            <w:tcW w:w="1842" w:type="dxa"/>
            <w:tcBorders>
              <w:top w:val="single" w:sz="4" w:space="0" w:color="ED7C5D"/>
              <w:bottom w:val="double" w:sz="4" w:space="0" w:color="ED7C5D"/>
            </w:tcBorders>
          </w:tcPr>
          <w:p w14:paraId="64EB89E7" w14:textId="77777777" w:rsidR="00AC30BF" w:rsidRPr="00503F5B" w:rsidRDefault="00AC30BF" w:rsidP="009307B3">
            <w:pPr>
              <w:jc w:val="center"/>
              <w:rPr>
                <w:b/>
                <w:color w:val="BE2A18"/>
                <w:sz w:val="20"/>
                <w:szCs w:val="20"/>
              </w:rPr>
            </w:pPr>
            <w:r w:rsidRPr="00503F5B">
              <w:rPr>
                <w:b/>
                <w:color w:val="BE2A18"/>
                <w:sz w:val="20"/>
                <w:szCs w:val="20"/>
              </w:rPr>
              <w:t>False alarm charge/fee</w:t>
            </w:r>
            <w:r w:rsidRPr="00503F5B">
              <w:rPr>
                <w:rStyle w:val="FootnoteReference"/>
                <w:b/>
                <w:color w:val="BE2A18"/>
                <w:sz w:val="20"/>
                <w:szCs w:val="20"/>
              </w:rPr>
              <w:footnoteReference w:id="82"/>
            </w:r>
            <w:r w:rsidRPr="00503F5B">
              <w:rPr>
                <w:b/>
                <w:color w:val="BE2A18"/>
                <w:sz w:val="20"/>
                <w:szCs w:val="20"/>
              </w:rPr>
              <w:t xml:space="preserve">  </w:t>
            </w:r>
          </w:p>
        </w:tc>
        <w:tc>
          <w:tcPr>
            <w:tcW w:w="6379" w:type="dxa"/>
            <w:tcBorders>
              <w:top w:val="single" w:sz="4" w:space="0" w:color="ED7C5D"/>
              <w:bottom w:val="double" w:sz="4" w:space="0" w:color="ED7C5D"/>
            </w:tcBorders>
          </w:tcPr>
          <w:p w14:paraId="3B1647B2" w14:textId="77777777" w:rsidR="00AC30BF" w:rsidRPr="00503F5B" w:rsidRDefault="00AC30BF" w:rsidP="009307B3">
            <w:pPr>
              <w:jc w:val="center"/>
              <w:rPr>
                <w:b/>
                <w:color w:val="BE2A18"/>
                <w:sz w:val="20"/>
                <w:szCs w:val="20"/>
              </w:rPr>
            </w:pPr>
            <w:r w:rsidRPr="00503F5B">
              <w:rPr>
                <w:b/>
                <w:color w:val="BE2A18"/>
                <w:sz w:val="20"/>
                <w:szCs w:val="20"/>
              </w:rPr>
              <w:t>Additional detail around false alarm charges</w:t>
            </w:r>
          </w:p>
        </w:tc>
      </w:tr>
      <w:tr w:rsidR="00AC30BF" w:rsidRPr="00503F5B" w14:paraId="1733E3B1" w14:textId="77777777" w:rsidTr="008A47B0">
        <w:trPr>
          <w:jc w:val="center"/>
        </w:trPr>
        <w:tc>
          <w:tcPr>
            <w:tcW w:w="993" w:type="dxa"/>
            <w:tcBorders>
              <w:top w:val="double" w:sz="4" w:space="0" w:color="ED7C5D"/>
              <w:bottom w:val="single" w:sz="4" w:space="0" w:color="ED7C5D"/>
            </w:tcBorders>
            <w:vAlign w:val="center"/>
          </w:tcPr>
          <w:p w14:paraId="48A88D04" w14:textId="1912B7A1" w:rsidR="00AC30BF" w:rsidRPr="00503F5B" w:rsidRDefault="00AC30BF" w:rsidP="009307B3">
            <w:pPr>
              <w:jc w:val="center"/>
              <w:rPr>
                <w:sz w:val="20"/>
                <w:szCs w:val="20"/>
              </w:rPr>
            </w:pPr>
            <w:r w:rsidRPr="00503F5B">
              <w:rPr>
                <w:sz w:val="20"/>
                <w:szCs w:val="20"/>
              </w:rPr>
              <w:t>VIC</w:t>
            </w:r>
          </w:p>
        </w:tc>
        <w:tc>
          <w:tcPr>
            <w:tcW w:w="1842" w:type="dxa"/>
            <w:tcBorders>
              <w:top w:val="double" w:sz="4" w:space="0" w:color="ED7C5D"/>
              <w:bottom w:val="single" w:sz="4" w:space="0" w:color="ED7C5D"/>
            </w:tcBorders>
            <w:vAlign w:val="center"/>
          </w:tcPr>
          <w:p w14:paraId="67E893FF" w14:textId="77777777" w:rsidR="00AC30BF" w:rsidRPr="00503F5B" w:rsidRDefault="00AC30BF" w:rsidP="009307B3">
            <w:pPr>
              <w:jc w:val="center"/>
              <w:rPr>
                <w:bCs/>
                <w:sz w:val="20"/>
                <w:szCs w:val="20"/>
              </w:rPr>
            </w:pPr>
            <w:r w:rsidRPr="00503F5B">
              <w:rPr>
                <w:b/>
                <w:sz w:val="20"/>
                <w:szCs w:val="20"/>
              </w:rPr>
              <w:t xml:space="preserve">$578.48 </w:t>
            </w:r>
            <w:r w:rsidRPr="00503F5B">
              <w:rPr>
                <w:bCs/>
                <w:sz w:val="20"/>
                <w:szCs w:val="20"/>
              </w:rPr>
              <w:t>(MFB)</w:t>
            </w:r>
          </w:p>
          <w:p w14:paraId="05369B36" w14:textId="11E23C54" w:rsidR="00AC30BF" w:rsidRPr="00503F5B" w:rsidRDefault="00AC30BF" w:rsidP="009307B3">
            <w:pPr>
              <w:jc w:val="center"/>
              <w:rPr>
                <w:b/>
                <w:sz w:val="20"/>
                <w:szCs w:val="20"/>
              </w:rPr>
            </w:pPr>
            <w:r w:rsidRPr="00503F5B">
              <w:rPr>
                <w:b/>
                <w:sz w:val="20"/>
                <w:szCs w:val="20"/>
              </w:rPr>
              <w:t xml:space="preserve">$584.25 </w:t>
            </w:r>
            <w:r w:rsidRPr="00503F5B">
              <w:rPr>
                <w:bCs/>
                <w:sz w:val="20"/>
                <w:szCs w:val="20"/>
              </w:rPr>
              <w:t>(CFA)</w:t>
            </w:r>
          </w:p>
        </w:tc>
        <w:tc>
          <w:tcPr>
            <w:tcW w:w="6379" w:type="dxa"/>
            <w:tcBorders>
              <w:top w:val="double" w:sz="4" w:space="0" w:color="ED7C5D"/>
              <w:bottom w:val="single" w:sz="4" w:space="0" w:color="ED7C5D"/>
            </w:tcBorders>
            <w:vAlign w:val="center"/>
          </w:tcPr>
          <w:p w14:paraId="1AED2868" w14:textId="0BFFEC1D" w:rsidR="00AC30BF" w:rsidRPr="00503F5B" w:rsidRDefault="00AC30BF" w:rsidP="00E6069B">
            <w:pPr>
              <w:rPr>
                <w:sz w:val="20"/>
                <w:szCs w:val="20"/>
              </w:rPr>
            </w:pPr>
            <w:r w:rsidRPr="00503F5B">
              <w:rPr>
                <w:sz w:val="20"/>
                <w:szCs w:val="20"/>
              </w:rPr>
              <w:t>Per quarterly hour where no reasonable excuse has been given.</w:t>
            </w:r>
          </w:p>
        </w:tc>
      </w:tr>
      <w:tr w:rsidR="00AC30BF" w:rsidRPr="00503F5B" w14:paraId="5CFC2DBD" w14:textId="77777777" w:rsidTr="008A47B0">
        <w:trPr>
          <w:jc w:val="center"/>
        </w:trPr>
        <w:tc>
          <w:tcPr>
            <w:tcW w:w="993" w:type="dxa"/>
            <w:tcBorders>
              <w:top w:val="single" w:sz="4" w:space="0" w:color="ED7C5D"/>
              <w:bottom w:val="single" w:sz="4" w:space="0" w:color="ED7C5D"/>
            </w:tcBorders>
            <w:vAlign w:val="center"/>
          </w:tcPr>
          <w:p w14:paraId="280BDF3C" w14:textId="77777777" w:rsidR="00AC30BF" w:rsidRPr="00503F5B" w:rsidRDefault="00AC30BF" w:rsidP="00E6069B">
            <w:pPr>
              <w:jc w:val="center"/>
              <w:rPr>
                <w:sz w:val="20"/>
                <w:szCs w:val="20"/>
              </w:rPr>
            </w:pPr>
            <w:r w:rsidRPr="00503F5B">
              <w:rPr>
                <w:sz w:val="20"/>
                <w:szCs w:val="20"/>
              </w:rPr>
              <w:t>NSW</w:t>
            </w:r>
          </w:p>
        </w:tc>
        <w:tc>
          <w:tcPr>
            <w:tcW w:w="1842" w:type="dxa"/>
            <w:tcBorders>
              <w:top w:val="single" w:sz="4" w:space="0" w:color="ED7C5D"/>
              <w:bottom w:val="single" w:sz="4" w:space="0" w:color="ED7C5D"/>
            </w:tcBorders>
            <w:vAlign w:val="center"/>
          </w:tcPr>
          <w:p w14:paraId="6A7FB8FE" w14:textId="77777777" w:rsidR="00AC30BF" w:rsidRPr="00503F5B" w:rsidRDefault="00AC30BF" w:rsidP="00E6069B">
            <w:pPr>
              <w:jc w:val="center"/>
              <w:rPr>
                <w:b/>
                <w:sz w:val="20"/>
                <w:szCs w:val="20"/>
              </w:rPr>
            </w:pPr>
            <w:r w:rsidRPr="00503F5B">
              <w:rPr>
                <w:b/>
                <w:sz w:val="20"/>
                <w:szCs w:val="20"/>
              </w:rPr>
              <w:t>$1,600</w:t>
            </w:r>
          </w:p>
          <w:p w14:paraId="40E8CAF4" w14:textId="77777777" w:rsidR="00AC30BF" w:rsidRPr="00503F5B" w:rsidRDefault="00AC30BF" w:rsidP="00E6069B">
            <w:pPr>
              <w:jc w:val="center"/>
              <w:rPr>
                <w:sz w:val="20"/>
                <w:szCs w:val="20"/>
              </w:rPr>
            </w:pPr>
            <w:r w:rsidRPr="00503F5B">
              <w:rPr>
                <w:sz w:val="20"/>
                <w:szCs w:val="20"/>
              </w:rPr>
              <w:t>(2016-17)</w:t>
            </w:r>
          </w:p>
        </w:tc>
        <w:tc>
          <w:tcPr>
            <w:tcW w:w="6379" w:type="dxa"/>
            <w:tcBorders>
              <w:top w:val="single" w:sz="4" w:space="0" w:color="ED7C5D"/>
              <w:bottom w:val="single" w:sz="4" w:space="0" w:color="ED7C5D"/>
            </w:tcBorders>
            <w:vAlign w:val="center"/>
          </w:tcPr>
          <w:p w14:paraId="3DBED4F2" w14:textId="77777777" w:rsidR="00AC30BF" w:rsidRPr="00503F5B" w:rsidRDefault="00AC30BF" w:rsidP="00E6069B">
            <w:pPr>
              <w:rPr>
                <w:sz w:val="20"/>
                <w:szCs w:val="20"/>
              </w:rPr>
            </w:pPr>
            <w:r w:rsidRPr="00503F5B">
              <w:rPr>
                <w:sz w:val="20"/>
                <w:szCs w:val="20"/>
              </w:rPr>
              <w:t xml:space="preserve">No charges, if the alarm beyond control of owner. No charge for one false alarm within 60-day period. Charges for subsequent false alarms occurring within 60 days of the first alarm. Only first alarm is charged for within 24 hours.  Multiple false alarms within </w:t>
            </w:r>
            <w:proofErr w:type="gramStart"/>
            <w:r w:rsidRPr="00503F5B">
              <w:rPr>
                <w:sz w:val="20"/>
                <w:szCs w:val="20"/>
              </w:rPr>
              <w:t>24 hour</w:t>
            </w:r>
            <w:proofErr w:type="gramEnd"/>
            <w:r w:rsidRPr="00503F5B">
              <w:rPr>
                <w:sz w:val="20"/>
                <w:szCs w:val="20"/>
              </w:rPr>
              <w:t xml:space="preserve"> period considered one off event allowing owner/manager time to rectify alarm system.</w:t>
            </w:r>
          </w:p>
        </w:tc>
      </w:tr>
      <w:tr w:rsidR="00AC30BF" w:rsidRPr="00503F5B" w14:paraId="4DA8C1B6" w14:textId="77777777" w:rsidTr="008A47B0">
        <w:trPr>
          <w:jc w:val="center"/>
        </w:trPr>
        <w:tc>
          <w:tcPr>
            <w:tcW w:w="993" w:type="dxa"/>
            <w:tcBorders>
              <w:top w:val="single" w:sz="4" w:space="0" w:color="ED7C5D"/>
              <w:bottom w:val="single" w:sz="4" w:space="0" w:color="ED7C5D"/>
            </w:tcBorders>
            <w:vAlign w:val="center"/>
          </w:tcPr>
          <w:p w14:paraId="5173A618" w14:textId="77777777" w:rsidR="00AC30BF" w:rsidRPr="00503F5B" w:rsidRDefault="00AC30BF" w:rsidP="00E6069B">
            <w:pPr>
              <w:jc w:val="center"/>
              <w:rPr>
                <w:sz w:val="20"/>
                <w:szCs w:val="20"/>
              </w:rPr>
            </w:pPr>
            <w:r w:rsidRPr="00503F5B">
              <w:rPr>
                <w:sz w:val="20"/>
                <w:szCs w:val="20"/>
              </w:rPr>
              <w:t>QLD</w:t>
            </w:r>
          </w:p>
        </w:tc>
        <w:tc>
          <w:tcPr>
            <w:tcW w:w="1842" w:type="dxa"/>
            <w:tcBorders>
              <w:top w:val="single" w:sz="4" w:space="0" w:color="ED7C5D"/>
              <w:bottom w:val="single" w:sz="4" w:space="0" w:color="ED7C5D"/>
            </w:tcBorders>
            <w:vAlign w:val="center"/>
          </w:tcPr>
          <w:p w14:paraId="5CB7B8EA" w14:textId="77777777" w:rsidR="00AC30BF" w:rsidRPr="00503F5B" w:rsidRDefault="00AC30BF" w:rsidP="00E6069B">
            <w:pPr>
              <w:jc w:val="center"/>
              <w:rPr>
                <w:sz w:val="20"/>
                <w:szCs w:val="20"/>
              </w:rPr>
            </w:pPr>
            <w:r w:rsidRPr="00503F5B">
              <w:rPr>
                <w:b/>
                <w:sz w:val="20"/>
                <w:szCs w:val="20"/>
              </w:rPr>
              <w:t>$1,327.15</w:t>
            </w:r>
          </w:p>
          <w:p w14:paraId="0F3DCCD1" w14:textId="77777777" w:rsidR="00AC30BF" w:rsidRPr="00503F5B" w:rsidRDefault="00AC30BF" w:rsidP="00E6069B">
            <w:pPr>
              <w:jc w:val="center"/>
              <w:rPr>
                <w:sz w:val="20"/>
                <w:szCs w:val="20"/>
              </w:rPr>
            </w:pPr>
            <w:r w:rsidRPr="00503F5B">
              <w:rPr>
                <w:sz w:val="20"/>
                <w:szCs w:val="20"/>
              </w:rPr>
              <w:t>(current as at 1 July 2019)</w:t>
            </w:r>
          </w:p>
        </w:tc>
        <w:tc>
          <w:tcPr>
            <w:tcW w:w="6379" w:type="dxa"/>
            <w:tcBorders>
              <w:top w:val="single" w:sz="4" w:space="0" w:color="ED7C5D"/>
              <w:bottom w:val="single" w:sz="4" w:space="0" w:color="ED7C5D"/>
            </w:tcBorders>
            <w:vAlign w:val="center"/>
          </w:tcPr>
          <w:p w14:paraId="50E71F4E" w14:textId="77777777" w:rsidR="00AC30BF" w:rsidRPr="00503F5B" w:rsidRDefault="00AC30BF" w:rsidP="00E6069B">
            <w:pPr>
              <w:rPr>
                <w:sz w:val="20"/>
                <w:szCs w:val="20"/>
              </w:rPr>
            </w:pPr>
            <w:r w:rsidRPr="00503F5B">
              <w:rPr>
                <w:sz w:val="20"/>
                <w:szCs w:val="20"/>
              </w:rPr>
              <w:t>First response within 60-days - no charge. Second and subsequent response within 60-days, or first and subsequent response to fire alarm system monitored by provider other than Queensland Fire and Emergency Services, charged for.</w:t>
            </w:r>
          </w:p>
        </w:tc>
      </w:tr>
      <w:tr w:rsidR="00AC30BF" w:rsidRPr="00503F5B" w14:paraId="55C9D6ED" w14:textId="77777777" w:rsidTr="008A47B0">
        <w:trPr>
          <w:jc w:val="center"/>
        </w:trPr>
        <w:tc>
          <w:tcPr>
            <w:tcW w:w="993" w:type="dxa"/>
            <w:tcBorders>
              <w:top w:val="single" w:sz="4" w:space="0" w:color="ED7C5D"/>
              <w:bottom w:val="single" w:sz="4" w:space="0" w:color="ED7C5D"/>
            </w:tcBorders>
            <w:vAlign w:val="center"/>
          </w:tcPr>
          <w:p w14:paraId="5E1C3CCE" w14:textId="77777777" w:rsidR="00AC30BF" w:rsidRPr="00503F5B" w:rsidRDefault="00AC30BF" w:rsidP="00E6069B">
            <w:pPr>
              <w:jc w:val="center"/>
              <w:rPr>
                <w:sz w:val="20"/>
                <w:szCs w:val="20"/>
              </w:rPr>
            </w:pPr>
            <w:r w:rsidRPr="00503F5B">
              <w:rPr>
                <w:sz w:val="20"/>
                <w:szCs w:val="20"/>
              </w:rPr>
              <w:t>WA</w:t>
            </w:r>
          </w:p>
        </w:tc>
        <w:tc>
          <w:tcPr>
            <w:tcW w:w="1842" w:type="dxa"/>
            <w:tcBorders>
              <w:top w:val="single" w:sz="4" w:space="0" w:color="ED7C5D"/>
              <w:bottom w:val="single" w:sz="4" w:space="0" w:color="ED7C5D"/>
            </w:tcBorders>
            <w:vAlign w:val="center"/>
          </w:tcPr>
          <w:p w14:paraId="7C5594EE" w14:textId="77777777" w:rsidR="00AC30BF" w:rsidRPr="00503F5B" w:rsidRDefault="00AC30BF" w:rsidP="00E6069B">
            <w:pPr>
              <w:jc w:val="center"/>
              <w:rPr>
                <w:b/>
                <w:sz w:val="20"/>
                <w:szCs w:val="20"/>
              </w:rPr>
            </w:pPr>
            <w:r w:rsidRPr="00503F5B">
              <w:rPr>
                <w:b/>
                <w:sz w:val="20"/>
                <w:szCs w:val="20"/>
              </w:rPr>
              <w:t>$920</w:t>
            </w:r>
          </w:p>
          <w:p w14:paraId="7A3F7674" w14:textId="77777777" w:rsidR="00AC30BF" w:rsidRPr="00503F5B" w:rsidRDefault="00AC30BF" w:rsidP="00E6069B">
            <w:pPr>
              <w:jc w:val="center"/>
              <w:rPr>
                <w:sz w:val="20"/>
                <w:szCs w:val="20"/>
              </w:rPr>
            </w:pPr>
            <w:r w:rsidRPr="00503F5B">
              <w:rPr>
                <w:sz w:val="20"/>
                <w:szCs w:val="20"/>
              </w:rPr>
              <w:t>(current)</w:t>
            </w:r>
          </w:p>
        </w:tc>
        <w:tc>
          <w:tcPr>
            <w:tcW w:w="6379" w:type="dxa"/>
            <w:tcBorders>
              <w:top w:val="single" w:sz="4" w:space="0" w:color="ED7C5D"/>
              <w:bottom w:val="single" w:sz="4" w:space="0" w:color="ED7C5D"/>
            </w:tcBorders>
            <w:vAlign w:val="center"/>
          </w:tcPr>
          <w:p w14:paraId="6FB0340D" w14:textId="7FD80351" w:rsidR="00AC30BF" w:rsidRPr="00503F5B" w:rsidRDefault="00AC30BF" w:rsidP="00E6069B">
            <w:pPr>
              <w:rPr>
                <w:sz w:val="20"/>
                <w:szCs w:val="20"/>
              </w:rPr>
            </w:pPr>
            <w:r w:rsidRPr="00503F5B">
              <w:rPr>
                <w:sz w:val="20"/>
                <w:szCs w:val="20"/>
              </w:rPr>
              <w:t xml:space="preserve">Applies after the third false fire alarm attendance to a </w:t>
            </w:r>
            <w:proofErr w:type="gramStart"/>
            <w:r w:rsidR="008A47B0" w:rsidRPr="00503F5B">
              <w:rPr>
                <w:sz w:val="20"/>
                <w:szCs w:val="20"/>
              </w:rPr>
              <w:t>premises</w:t>
            </w:r>
            <w:proofErr w:type="gramEnd"/>
            <w:r w:rsidRPr="00503F5B">
              <w:rPr>
                <w:sz w:val="20"/>
                <w:szCs w:val="20"/>
              </w:rPr>
              <w:t xml:space="preserve"> in a financial year with invoice issued on fourth false fire alarm attendance and every false fire alarm attendance thereafter.</w:t>
            </w:r>
          </w:p>
        </w:tc>
      </w:tr>
      <w:tr w:rsidR="00AC30BF" w:rsidRPr="00503F5B" w14:paraId="136991E0" w14:textId="77777777" w:rsidTr="008A47B0">
        <w:trPr>
          <w:jc w:val="center"/>
        </w:trPr>
        <w:tc>
          <w:tcPr>
            <w:tcW w:w="993" w:type="dxa"/>
            <w:tcBorders>
              <w:top w:val="single" w:sz="4" w:space="0" w:color="ED7C5D"/>
              <w:bottom w:val="single" w:sz="4" w:space="0" w:color="ED7C5D"/>
            </w:tcBorders>
            <w:vAlign w:val="center"/>
          </w:tcPr>
          <w:p w14:paraId="3B4713D8" w14:textId="77777777" w:rsidR="00AC30BF" w:rsidRPr="00503F5B" w:rsidRDefault="00AC30BF" w:rsidP="00E6069B">
            <w:pPr>
              <w:jc w:val="center"/>
              <w:rPr>
                <w:sz w:val="20"/>
                <w:szCs w:val="20"/>
              </w:rPr>
            </w:pPr>
            <w:r w:rsidRPr="00503F5B">
              <w:rPr>
                <w:sz w:val="20"/>
                <w:szCs w:val="20"/>
              </w:rPr>
              <w:t>SA</w:t>
            </w:r>
          </w:p>
        </w:tc>
        <w:tc>
          <w:tcPr>
            <w:tcW w:w="1842" w:type="dxa"/>
            <w:tcBorders>
              <w:top w:val="single" w:sz="4" w:space="0" w:color="ED7C5D"/>
              <w:bottom w:val="single" w:sz="4" w:space="0" w:color="ED7C5D"/>
            </w:tcBorders>
            <w:vAlign w:val="center"/>
          </w:tcPr>
          <w:p w14:paraId="30D125D4" w14:textId="77777777" w:rsidR="00AC30BF" w:rsidRPr="00503F5B" w:rsidRDefault="00AC30BF" w:rsidP="00E6069B">
            <w:pPr>
              <w:jc w:val="center"/>
              <w:rPr>
                <w:sz w:val="20"/>
                <w:szCs w:val="20"/>
              </w:rPr>
            </w:pPr>
            <w:r w:rsidRPr="00503F5B">
              <w:rPr>
                <w:sz w:val="20"/>
                <w:szCs w:val="20"/>
              </w:rPr>
              <w:t xml:space="preserve">A Class </w:t>
            </w:r>
            <w:r w:rsidRPr="00503F5B">
              <w:rPr>
                <w:b/>
                <w:sz w:val="20"/>
                <w:szCs w:val="20"/>
              </w:rPr>
              <w:t>$869</w:t>
            </w:r>
          </w:p>
          <w:p w14:paraId="62A5001E" w14:textId="77777777" w:rsidR="00AC30BF" w:rsidRPr="00503F5B" w:rsidRDefault="00AC30BF" w:rsidP="00E6069B">
            <w:pPr>
              <w:jc w:val="center"/>
              <w:rPr>
                <w:sz w:val="20"/>
                <w:szCs w:val="20"/>
              </w:rPr>
            </w:pPr>
            <w:r w:rsidRPr="00503F5B">
              <w:rPr>
                <w:sz w:val="20"/>
                <w:szCs w:val="20"/>
              </w:rPr>
              <w:t xml:space="preserve">B Class </w:t>
            </w:r>
            <w:r w:rsidRPr="00503F5B">
              <w:rPr>
                <w:b/>
                <w:sz w:val="20"/>
                <w:szCs w:val="20"/>
              </w:rPr>
              <w:t>$621</w:t>
            </w:r>
          </w:p>
          <w:p w14:paraId="6F027163" w14:textId="77777777" w:rsidR="00AC30BF" w:rsidRPr="00503F5B" w:rsidRDefault="00AC30BF" w:rsidP="00E6069B">
            <w:pPr>
              <w:jc w:val="center"/>
              <w:rPr>
                <w:sz w:val="20"/>
                <w:szCs w:val="20"/>
              </w:rPr>
            </w:pPr>
            <w:r w:rsidRPr="00503F5B">
              <w:rPr>
                <w:sz w:val="20"/>
                <w:szCs w:val="20"/>
              </w:rPr>
              <w:t xml:space="preserve">C Class </w:t>
            </w:r>
            <w:r w:rsidRPr="00503F5B">
              <w:rPr>
                <w:b/>
                <w:sz w:val="20"/>
                <w:szCs w:val="20"/>
              </w:rPr>
              <w:t>$444</w:t>
            </w:r>
          </w:p>
          <w:p w14:paraId="4BC4D1C9" w14:textId="77777777" w:rsidR="00AC30BF" w:rsidRPr="00503F5B" w:rsidRDefault="00AC30BF" w:rsidP="00E6069B">
            <w:pPr>
              <w:jc w:val="center"/>
              <w:rPr>
                <w:sz w:val="20"/>
                <w:szCs w:val="20"/>
              </w:rPr>
            </w:pPr>
            <w:r w:rsidRPr="00503F5B">
              <w:rPr>
                <w:sz w:val="20"/>
                <w:szCs w:val="20"/>
              </w:rPr>
              <w:lastRenderedPageBreak/>
              <w:t>(current as at 1 July 2019)</w:t>
            </w:r>
          </w:p>
        </w:tc>
        <w:tc>
          <w:tcPr>
            <w:tcW w:w="6379" w:type="dxa"/>
            <w:tcBorders>
              <w:top w:val="single" w:sz="4" w:space="0" w:color="ED7C5D"/>
              <w:bottom w:val="single" w:sz="4" w:space="0" w:color="ED7C5D"/>
            </w:tcBorders>
            <w:vAlign w:val="center"/>
          </w:tcPr>
          <w:p w14:paraId="58B0D85F" w14:textId="77777777" w:rsidR="00AC30BF" w:rsidRPr="00503F5B" w:rsidRDefault="00AC30BF" w:rsidP="00E6069B">
            <w:pPr>
              <w:rPr>
                <w:sz w:val="20"/>
                <w:szCs w:val="20"/>
              </w:rPr>
            </w:pPr>
            <w:r w:rsidRPr="00503F5B">
              <w:rPr>
                <w:b/>
                <w:sz w:val="20"/>
                <w:szCs w:val="20"/>
              </w:rPr>
              <w:lastRenderedPageBreak/>
              <w:t xml:space="preserve">A Class </w:t>
            </w:r>
            <w:r w:rsidRPr="00503F5B">
              <w:rPr>
                <w:bCs/>
                <w:sz w:val="20"/>
                <w:szCs w:val="20"/>
              </w:rPr>
              <w:t>(very high risk)</w:t>
            </w:r>
            <w:r w:rsidRPr="00503F5B">
              <w:rPr>
                <w:sz w:val="20"/>
                <w:szCs w:val="20"/>
              </w:rPr>
              <w:t xml:space="preserve">: All areas/buildings, four floors and above; Oil and gas refineries/installations; Special target (very high hazard industrial/commercial/life risks). </w:t>
            </w:r>
            <w:r w:rsidRPr="00503F5B">
              <w:rPr>
                <w:b/>
                <w:sz w:val="20"/>
                <w:szCs w:val="20"/>
              </w:rPr>
              <w:t>B Class</w:t>
            </w:r>
            <w:r w:rsidRPr="00503F5B">
              <w:rPr>
                <w:bCs/>
                <w:sz w:val="20"/>
                <w:szCs w:val="20"/>
              </w:rPr>
              <w:t xml:space="preserve"> (high risk):</w:t>
            </w:r>
            <w:r w:rsidRPr="00503F5B">
              <w:rPr>
                <w:sz w:val="20"/>
                <w:szCs w:val="20"/>
              </w:rPr>
              <w:t xml:space="preserve"> Industrial buildings/complexes not in A; Large shopping/commercial </w:t>
            </w:r>
            <w:r w:rsidRPr="00503F5B">
              <w:rPr>
                <w:sz w:val="20"/>
                <w:szCs w:val="20"/>
              </w:rPr>
              <w:lastRenderedPageBreak/>
              <w:t xml:space="preserve">centres/supermarkets; Health Care Facilities not in A; Public buildings/grandstands/hotels/cinemas. </w:t>
            </w:r>
            <w:r w:rsidRPr="00503F5B">
              <w:rPr>
                <w:b/>
                <w:sz w:val="20"/>
                <w:szCs w:val="20"/>
              </w:rPr>
              <w:t xml:space="preserve">C Class </w:t>
            </w:r>
            <w:r w:rsidRPr="00503F5B">
              <w:rPr>
                <w:bCs/>
                <w:sz w:val="20"/>
                <w:szCs w:val="20"/>
              </w:rPr>
              <w:t xml:space="preserve">(significant, medium, low risk): </w:t>
            </w:r>
            <w:r w:rsidRPr="00503F5B">
              <w:rPr>
                <w:sz w:val="20"/>
                <w:szCs w:val="20"/>
              </w:rPr>
              <w:t>Residential buildings; Small shopping/commercial buildings; Small industrial/public buildings up to 150 square metres; Brush fence fires.</w:t>
            </w:r>
          </w:p>
        </w:tc>
      </w:tr>
      <w:tr w:rsidR="00AC30BF" w:rsidRPr="00503F5B" w14:paraId="118F4685" w14:textId="77777777" w:rsidTr="008A47B0">
        <w:trPr>
          <w:trHeight w:val="249"/>
          <w:jc w:val="center"/>
        </w:trPr>
        <w:tc>
          <w:tcPr>
            <w:tcW w:w="993" w:type="dxa"/>
            <w:tcBorders>
              <w:top w:val="single" w:sz="4" w:space="0" w:color="ED7C5D"/>
              <w:bottom w:val="single" w:sz="4" w:space="0" w:color="ED7C5D"/>
            </w:tcBorders>
            <w:vAlign w:val="center"/>
          </w:tcPr>
          <w:p w14:paraId="540DFE4A" w14:textId="77777777" w:rsidR="00AC30BF" w:rsidRPr="00503F5B" w:rsidRDefault="00AC30BF" w:rsidP="00E6069B">
            <w:pPr>
              <w:jc w:val="center"/>
              <w:rPr>
                <w:sz w:val="20"/>
                <w:szCs w:val="20"/>
              </w:rPr>
            </w:pPr>
            <w:r w:rsidRPr="00503F5B">
              <w:rPr>
                <w:sz w:val="20"/>
                <w:szCs w:val="20"/>
              </w:rPr>
              <w:lastRenderedPageBreak/>
              <w:t>NT</w:t>
            </w:r>
          </w:p>
        </w:tc>
        <w:tc>
          <w:tcPr>
            <w:tcW w:w="1842" w:type="dxa"/>
            <w:tcBorders>
              <w:top w:val="single" w:sz="4" w:space="0" w:color="ED7C5D"/>
              <w:bottom w:val="single" w:sz="4" w:space="0" w:color="ED7C5D"/>
            </w:tcBorders>
            <w:vAlign w:val="center"/>
          </w:tcPr>
          <w:p w14:paraId="37E13466" w14:textId="77777777" w:rsidR="00AC30BF" w:rsidRPr="00503F5B" w:rsidRDefault="00AC30BF" w:rsidP="00E6069B">
            <w:pPr>
              <w:jc w:val="center"/>
              <w:rPr>
                <w:sz w:val="20"/>
                <w:szCs w:val="20"/>
              </w:rPr>
            </w:pPr>
            <w:r w:rsidRPr="00503F5B">
              <w:rPr>
                <w:b/>
                <w:sz w:val="20"/>
                <w:szCs w:val="20"/>
              </w:rPr>
              <w:t>$1,118</w:t>
            </w:r>
            <w:r w:rsidRPr="00503F5B">
              <w:rPr>
                <w:sz w:val="20"/>
                <w:szCs w:val="20"/>
              </w:rPr>
              <w:t xml:space="preserve"> (current as at 1 July 2019)</w:t>
            </w:r>
          </w:p>
        </w:tc>
        <w:tc>
          <w:tcPr>
            <w:tcW w:w="6379" w:type="dxa"/>
            <w:tcBorders>
              <w:top w:val="single" w:sz="4" w:space="0" w:color="ED7C5D"/>
              <w:bottom w:val="single" w:sz="4" w:space="0" w:color="ED7C5D"/>
            </w:tcBorders>
            <w:vAlign w:val="center"/>
          </w:tcPr>
          <w:p w14:paraId="55A40CE3" w14:textId="77777777" w:rsidR="00AC30BF" w:rsidRPr="00503F5B" w:rsidRDefault="00AC30BF" w:rsidP="00E6069B">
            <w:pPr>
              <w:rPr>
                <w:sz w:val="20"/>
                <w:szCs w:val="20"/>
              </w:rPr>
            </w:pPr>
            <w:r w:rsidRPr="00503F5B">
              <w:rPr>
                <w:sz w:val="20"/>
                <w:szCs w:val="20"/>
              </w:rPr>
              <w:t>Applies to all alarms.  A waiver can be applied for if the owner believes the alarm could not reasonably have been avoided.</w:t>
            </w:r>
          </w:p>
        </w:tc>
      </w:tr>
      <w:tr w:rsidR="00AC30BF" w:rsidRPr="00503F5B" w14:paraId="55E6D0F7" w14:textId="77777777" w:rsidTr="008A47B0">
        <w:trPr>
          <w:jc w:val="center"/>
        </w:trPr>
        <w:tc>
          <w:tcPr>
            <w:tcW w:w="993" w:type="dxa"/>
            <w:tcBorders>
              <w:top w:val="single" w:sz="4" w:space="0" w:color="ED7C5D"/>
              <w:bottom w:val="single" w:sz="4" w:space="0" w:color="ED7C5D"/>
            </w:tcBorders>
            <w:vAlign w:val="center"/>
          </w:tcPr>
          <w:p w14:paraId="40911EEE" w14:textId="77777777" w:rsidR="00AC30BF" w:rsidRPr="00503F5B" w:rsidRDefault="00AC30BF" w:rsidP="00E6069B">
            <w:pPr>
              <w:jc w:val="center"/>
              <w:rPr>
                <w:sz w:val="20"/>
                <w:szCs w:val="20"/>
              </w:rPr>
            </w:pPr>
            <w:r w:rsidRPr="00503F5B">
              <w:rPr>
                <w:sz w:val="20"/>
                <w:szCs w:val="20"/>
              </w:rPr>
              <w:t>ACT</w:t>
            </w:r>
          </w:p>
        </w:tc>
        <w:tc>
          <w:tcPr>
            <w:tcW w:w="1842" w:type="dxa"/>
            <w:tcBorders>
              <w:top w:val="single" w:sz="4" w:space="0" w:color="ED7C5D"/>
              <w:bottom w:val="single" w:sz="4" w:space="0" w:color="ED7C5D"/>
            </w:tcBorders>
            <w:vAlign w:val="center"/>
          </w:tcPr>
          <w:p w14:paraId="1A5C564C" w14:textId="77777777" w:rsidR="00AC30BF" w:rsidRPr="00503F5B" w:rsidRDefault="00AC30BF" w:rsidP="00E6069B">
            <w:pPr>
              <w:jc w:val="center"/>
              <w:rPr>
                <w:sz w:val="20"/>
                <w:szCs w:val="20"/>
              </w:rPr>
            </w:pPr>
            <w:r w:rsidRPr="00503F5B">
              <w:rPr>
                <w:sz w:val="20"/>
                <w:szCs w:val="20"/>
              </w:rPr>
              <w:t>Residential</w:t>
            </w:r>
            <w:r w:rsidRPr="00503F5B">
              <w:rPr>
                <w:b/>
                <w:sz w:val="20"/>
                <w:szCs w:val="20"/>
              </w:rPr>
              <w:t xml:space="preserve"> $280</w:t>
            </w:r>
          </w:p>
          <w:p w14:paraId="6367602C" w14:textId="77777777" w:rsidR="00AC30BF" w:rsidRPr="00503F5B" w:rsidRDefault="00AC30BF" w:rsidP="00E6069B">
            <w:pPr>
              <w:jc w:val="center"/>
              <w:rPr>
                <w:sz w:val="20"/>
                <w:szCs w:val="20"/>
              </w:rPr>
            </w:pPr>
            <w:r w:rsidRPr="00503F5B">
              <w:rPr>
                <w:sz w:val="20"/>
                <w:szCs w:val="20"/>
              </w:rPr>
              <w:t>‘Other’</w:t>
            </w:r>
            <w:r w:rsidRPr="00503F5B">
              <w:rPr>
                <w:b/>
                <w:sz w:val="20"/>
                <w:szCs w:val="20"/>
              </w:rPr>
              <w:t xml:space="preserve"> $1,397 </w:t>
            </w:r>
            <w:r w:rsidRPr="00503F5B">
              <w:rPr>
                <w:sz w:val="20"/>
                <w:szCs w:val="20"/>
              </w:rPr>
              <w:t>(current as at 1 July 2019)</w:t>
            </w:r>
          </w:p>
        </w:tc>
        <w:tc>
          <w:tcPr>
            <w:tcW w:w="6379" w:type="dxa"/>
            <w:tcBorders>
              <w:top w:val="single" w:sz="4" w:space="0" w:color="ED7C5D"/>
              <w:bottom w:val="single" w:sz="4" w:space="0" w:color="ED7C5D"/>
            </w:tcBorders>
            <w:vAlign w:val="center"/>
          </w:tcPr>
          <w:p w14:paraId="0FE16B87" w14:textId="77777777" w:rsidR="00AC30BF" w:rsidRPr="00503F5B" w:rsidRDefault="00AC30BF" w:rsidP="00E6069B">
            <w:pPr>
              <w:rPr>
                <w:rFonts w:cs="Calibri"/>
                <w:sz w:val="20"/>
                <w:szCs w:val="20"/>
              </w:rPr>
            </w:pPr>
            <w:r w:rsidRPr="00503F5B">
              <w:rPr>
                <w:rFonts w:cs="Calibri"/>
                <w:sz w:val="20"/>
                <w:szCs w:val="20"/>
              </w:rPr>
              <w:t>One false alarm within 60-day period not charged for. Subsequent false alarms occurring within 60 days of the first alarm are charged for.</w:t>
            </w:r>
            <w:r w:rsidRPr="00503F5B">
              <w:rPr>
                <w:rFonts w:cs="Calibri"/>
                <w:sz w:val="20"/>
                <w:szCs w:val="20"/>
              </w:rPr>
              <w:br/>
              <w:t>Fee is not payable where the alarm could not have been prevented by reasonable maintenance of the alarm system.</w:t>
            </w:r>
            <w:r w:rsidRPr="00503F5B">
              <w:rPr>
                <w:rFonts w:cs="Calibri"/>
                <w:sz w:val="20"/>
                <w:szCs w:val="20"/>
              </w:rPr>
              <w:br/>
              <w:t>Fee is not payable where the alarm was activated by a circumstance beyond the reasonable control of the owner</w:t>
            </w:r>
            <w:r w:rsidRPr="00503F5B">
              <w:rPr>
                <w:sz w:val="20"/>
                <w:szCs w:val="20"/>
              </w:rPr>
              <w:t>.</w:t>
            </w:r>
          </w:p>
        </w:tc>
      </w:tr>
      <w:tr w:rsidR="00AC30BF" w:rsidRPr="00503F5B" w14:paraId="3A794E67" w14:textId="77777777" w:rsidTr="008A47B0">
        <w:trPr>
          <w:trHeight w:val="69"/>
          <w:jc w:val="center"/>
        </w:trPr>
        <w:tc>
          <w:tcPr>
            <w:tcW w:w="993" w:type="dxa"/>
            <w:tcBorders>
              <w:top w:val="single" w:sz="4" w:space="0" w:color="ED7C5D"/>
              <w:bottom w:val="single" w:sz="4" w:space="0" w:color="ED7C5D"/>
            </w:tcBorders>
            <w:vAlign w:val="center"/>
          </w:tcPr>
          <w:p w14:paraId="12EB730B" w14:textId="77777777" w:rsidR="00AC30BF" w:rsidRPr="00503F5B" w:rsidRDefault="00AC30BF" w:rsidP="00E6069B">
            <w:pPr>
              <w:jc w:val="center"/>
              <w:rPr>
                <w:sz w:val="20"/>
                <w:szCs w:val="20"/>
              </w:rPr>
            </w:pPr>
            <w:r w:rsidRPr="00503F5B">
              <w:rPr>
                <w:sz w:val="20"/>
                <w:szCs w:val="20"/>
              </w:rPr>
              <w:t>TAS</w:t>
            </w:r>
          </w:p>
        </w:tc>
        <w:tc>
          <w:tcPr>
            <w:tcW w:w="1842" w:type="dxa"/>
            <w:tcBorders>
              <w:top w:val="single" w:sz="4" w:space="0" w:color="ED7C5D"/>
              <w:bottom w:val="single" w:sz="4" w:space="0" w:color="ED7C5D"/>
            </w:tcBorders>
          </w:tcPr>
          <w:p w14:paraId="6DA92245" w14:textId="77777777" w:rsidR="00AC30BF" w:rsidRPr="00503F5B" w:rsidRDefault="00AC30BF" w:rsidP="00E6069B">
            <w:pPr>
              <w:jc w:val="center"/>
              <w:rPr>
                <w:b/>
                <w:sz w:val="20"/>
                <w:szCs w:val="20"/>
              </w:rPr>
            </w:pPr>
            <w:r w:rsidRPr="00503F5B">
              <w:rPr>
                <w:b/>
                <w:sz w:val="20"/>
                <w:szCs w:val="20"/>
              </w:rPr>
              <w:t>$294.55</w:t>
            </w:r>
            <w:r w:rsidRPr="00503F5B">
              <w:rPr>
                <w:sz w:val="20"/>
                <w:szCs w:val="20"/>
              </w:rPr>
              <w:t xml:space="preserve"> (current as at 1 July 2019)</w:t>
            </w:r>
          </w:p>
        </w:tc>
        <w:tc>
          <w:tcPr>
            <w:tcW w:w="6379" w:type="dxa"/>
            <w:tcBorders>
              <w:top w:val="single" w:sz="4" w:space="0" w:color="ED7C5D"/>
              <w:bottom w:val="single" w:sz="4" w:space="0" w:color="ED7C5D"/>
            </w:tcBorders>
            <w:vAlign w:val="center"/>
          </w:tcPr>
          <w:p w14:paraId="0C949087" w14:textId="77777777" w:rsidR="00AC30BF" w:rsidRPr="00503F5B" w:rsidRDefault="00AC30BF" w:rsidP="00E6069B">
            <w:pPr>
              <w:rPr>
                <w:sz w:val="20"/>
                <w:szCs w:val="20"/>
              </w:rPr>
            </w:pPr>
            <w:r w:rsidRPr="00503F5B">
              <w:rPr>
                <w:sz w:val="20"/>
                <w:szCs w:val="20"/>
              </w:rPr>
              <w:t xml:space="preserve">Payable for third false alarm within 60 days. </w:t>
            </w:r>
          </w:p>
        </w:tc>
      </w:tr>
    </w:tbl>
    <w:p w14:paraId="5AC1AA92" w14:textId="135CA16A" w:rsidR="00AC30BF" w:rsidRPr="00503F5B" w:rsidRDefault="00AC30BF" w:rsidP="00A67990"/>
    <w:p w14:paraId="4987A8C5" w14:textId="449DFE20" w:rsidR="00A67990" w:rsidRPr="00503F5B" w:rsidRDefault="00A67990" w:rsidP="00A67990">
      <w:pPr>
        <w:jc w:val="both"/>
      </w:pPr>
      <w:r w:rsidRPr="00503F5B">
        <w:t>Furthermore, from a high of 69</w:t>
      </w:r>
      <w:r w:rsidR="00DE39B1" w:rsidRPr="00503F5B">
        <w:t xml:space="preserve"> per cent</w:t>
      </w:r>
      <w:r w:rsidR="00D23B9E" w:rsidRPr="00503F5B">
        <w:t xml:space="preserve"> </w:t>
      </w:r>
      <w:r w:rsidRPr="00503F5B">
        <w:t>in 1988-89</w:t>
      </w:r>
      <w:r w:rsidR="00D23B9E" w:rsidRPr="00503F5B">
        <w:t>,</w:t>
      </w:r>
      <w:r w:rsidRPr="00503F5B">
        <w:t xml:space="preserve"> the percentage of false alarm calls to all calls </w:t>
      </w:r>
      <w:r w:rsidR="00C74244">
        <w:t xml:space="preserve">(MFB) </w:t>
      </w:r>
      <w:r w:rsidRPr="00503F5B">
        <w:t>has fallen to around 42</w:t>
      </w:r>
      <w:r w:rsidR="00DE39B1" w:rsidRPr="00503F5B">
        <w:t xml:space="preserve"> per cent</w:t>
      </w:r>
      <w:r w:rsidRPr="00503F5B">
        <w:t xml:space="preserve"> with invoicing as shown in Chart 6 (see Appendix 6 for detailed source of estimates). </w:t>
      </w:r>
    </w:p>
    <w:p w14:paraId="746278B6" w14:textId="77777777" w:rsidR="00A67990" w:rsidRPr="00503F5B" w:rsidRDefault="00A67990" w:rsidP="00A67990">
      <w:pPr>
        <w:jc w:val="both"/>
        <w:rPr>
          <w:sz w:val="21"/>
        </w:rPr>
      </w:pPr>
    </w:p>
    <w:p w14:paraId="00BDD495" w14:textId="5A3825B0" w:rsidR="00A67990" w:rsidRPr="00503F5B" w:rsidRDefault="00A67990" w:rsidP="00A67990">
      <w:pPr>
        <w:jc w:val="center"/>
        <w:rPr>
          <w:b/>
          <w:sz w:val="20"/>
          <w:szCs w:val="20"/>
        </w:rPr>
      </w:pPr>
      <w:r w:rsidRPr="00503F5B">
        <w:rPr>
          <w:b/>
          <w:sz w:val="20"/>
          <w:szCs w:val="20"/>
        </w:rPr>
        <w:t>Chart 6: False Alarm calls and All calls</w:t>
      </w:r>
      <w:r w:rsidR="00A647CA" w:rsidRPr="00503F5B">
        <w:rPr>
          <w:b/>
          <w:sz w:val="20"/>
          <w:szCs w:val="20"/>
        </w:rPr>
        <w:t xml:space="preserve"> MFB</w:t>
      </w:r>
      <w:r w:rsidRPr="00503F5B">
        <w:rPr>
          <w:b/>
          <w:sz w:val="20"/>
          <w:szCs w:val="20"/>
        </w:rPr>
        <w:t xml:space="preserve"> – 1984-85 to 2018-19</w:t>
      </w:r>
    </w:p>
    <w:p w14:paraId="7A28B731" w14:textId="0708D195" w:rsidR="008338C1" w:rsidRPr="00503F5B" w:rsidRDefault="008338C1" w:rsidP="001D51D6">
      <w:pPr>
        <w:jc w:val="both"/>
      </w:pPr>
    </w:p>
    <w:p w14:paraId="785D017D" w14:textId="1F7FAE35" w:rsidR="008338C1" w:rsidRPr="00503F5B" w:rsidRDefault="008A47B0" w:rsidP="001D51D6">
      <w:pPr>
        <w:jc w:val="both"/>
      </w:pPr>
      <w:r w:rsidRPr="00503F5B">
        <w:rPr>
          <w:noProof/>
        </w:rPr>
        <w:drawing>
          <wp:inline distT="0" distB="0" distL="0" distR="0" wp14:anchorId="004AE96B" wp14:editId="612099B6">
            <wp:extent cx="5220335" cy="3218815"/>
            <wp:effectExtent l="0" t="0" r="18415" b="635"/>
            <wp:docPr id="9" name="Chart 9">
              <a:extLst xmlns:a="http://schemas.openxmlformats.org/drawingml/2006/main">
                <a:ext uri="{FF2B5EF4-FFF2-40B4-BE49-F238E27FC236}">
                  <a16:creationId xmlns:a16="http://schemas.microsoft.com/office/drawing/2014/main" id="{B23A4587-0D43-46F9-8E11-BAB57965F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F7F477" w14:textId="77777777" w:rsidR="008A47B0" w:rsidRPr="00503F5B" w:rsidRDefault="008A47B0" w:rsidP="008A47B0">
      <w:pPr>
        <w:widowControl w:val="0"/>
        <w:autoSpaceDE w:val="0"/>
        <w:autoSpaceDN w:val="0"/>
        <w:adjustRightInd w:val="0"/>
        <w:jc w:val="both"/>
        <w:rPr>
          <w:rFonts w:cs="P˘Í^ˇ"/>
          <w:sz w:val="18"/>
          <w:szCs w:val="18"/>
        </w:rPr>
      </w:pPr>
      <w:r w:rsidRPr="00503F5B">
        <w:rPr>
          <w:rFonts w:cs="P˘Í^ˇ"/>
          <w:sz w:val="18"/>
          <w:szCs w:val="18"/>
        </w:rPr>
        <w:t xml:space="preserve">Source: MFB </w:t>
      </w:r>
    </w:p>
    <w:p w14:paraId="155B2EEB" w14:textId="6623BD3E" w:rsidR="008338C1" w:rsidRPr="00503F5B" w:rsidRDefault="008338C1" w:rsidP="001D51D6">
      <w:pPr>
        <w:jc w:val="both"/>
      </w:pPr>
    </w:p>
    <w:p w14:paraId="041FE57E" w14:textId="3025D140" w:rsidR="008338C1" w:rsidRPr="00503F5B" w:rsidRDefault="00DE39B1" w:rsidP="001D51D6">
      <w:pPr>
        <w:jc w:val="both"/>
      </w:pPr>
      <w:r w:rsidRPr="00503F5B">
        <w:t>Despite the</w:t>
      </w:r>
      <w:r w:rsidR="00D23B9E" w:rsidRPr="00503F5B">
        <w:t xml:space="preserve"> increase in the</w:t>
      </w:r>
      <w:r w:rsidRPr="00503F5B">
        <w:t xml:space="preserve"> percentage of false alarm calls to all calls increasing for CFA integrated stations</w:t>
      </w:r>
      <w:r w:rsidR="00D23B9E" w:rsidRPr="00503F5B">
        <w:t>,</w:t>
      </w:r>
      <w:r w:rsidRPr="00503F5B">
        <w:t xml:space="preserve"> from 11 per cent in 2015-16 to 14 per cent 2018-19 as shown in Chart 7 (see Appendix 6 for detailed source of estimates)</w:t>
      </w:r>
      <w:r w:rsidR="00D23B9E" w:rsidRPr="00503F5B">
        <w:t xml:space="preserve">, </w:t>
      </w:r>
      <w:r w:rsidRPr="00503F5B">
        <w:t>this percentage remains low compared to other jurisdictions.</w:t>
      </w:r>
    </w:p>
    <w:p w14:paraId="4B5EA4B0" w14:textId="08E0C7B6" w:rsidR="008338C1" w:rsidRPr="00503F5B" w:rsidRDefault="008338C1" w:rsidP="001D51D6">
      <w:pPr>
        <w:jc w:val="both"/>
      </w:pPr>
    </w:p>
    <w:p w14:paraId="7C577863" w14:textId="77777777" w:rsidR="00527283" w:rsidRPr="00503F5B" w:rsidRDefault="00527283">
      <w:pPr>
        <w:spacing w:after="160" w:line="259" w:lineRule="auto"/>
        <w:rPr>
          <w:b/>
          <w:sz w:val="20"/>
          <w:szCs w:val="20"/>
        </w:rPr>
      </w:pPr>
      <w:r w:rsidRPr="00503F5B">
        <w:rPr>
          <w:b/>
          <w:sz w:val="20"/>
          <w:szCs w:val="20"/>
        </w:rPr>
        <w:br w:type="page"/>
      </w:r>
    </w:p>
    <w:p w14:paraId="00246B2A" w14:textId="6B321B8A" w:rsidR="00A647CA" w:rsidRPr="00503F5B" w:rsidRDefault="00A647CA" w:rsidP="00A647CA">
      <w:pPr>
        <w:jc w:val="center"/>
        <w:rPr>
          <w:b/>
          <w:sz w:val="20"/>
          <w:szCs w:val="20"/>
        </w:rPr>
      </w:pPr>
      <w:r w:rsidRPr="00503F5B">
        <w:rPr>
          <w:b/>
          <w:sz w:val="20"/>
          <w:szCs w:val="20"/>
        </w:rPr>
        <w:lastRenderedPageBreak/>
        <w:t>Chart 7: False Alarm calls and All calls CFA Integrated stations – 2015-16 to 2018-19</w:t>
      </w:r>
    </w:p>
    <w:p w14:paraId="325A4771" w14:textId="4C7387FA" w:rsidR="008338C1" w:rsidRPr="00503F5B" w:rsidRDefault="008338C1" w:rsidP="001D51D6">
      <w:pPr>
        <w:jc w:val="both"/>
      </w:pPr>
    </w:p>
    <w:p w14:paraId="07345811" w14:textId="35D9491C" w:rsidR="008338C1" w:rsidRPr="00503F5B" w:rsidRDefault="005E0FC5" w:rsidP="00A647CA">
      <w:pPr>
        <w:jc w:val="center"/>
      </w:pPr>
      <w:r w:rsidRPr="00503F5B">
        <w:rPr>
          <w:noProof/>
        </w:rPr>
        <w:drawing>
          <wp:inline distT="0" distB="0" distL="0" distR="0" wp14:anchorId="5EA3E525" wp14:editId="509AB740">
            <wp:extent cx="4572000" cy="2743200"/>
            <wp:effectExtent l="0" t="0" r="0" b="0"/>
            <wp:docPr id="6" name="Chart 6">
              <a:extLst xmlns:a="http://schemas.openxmlformats.org/drawingml/2006/main">
                <a:ext uri="{FF2B5EF4-FFF2-40B4-BE49-F238E27FC236}">
                  <a16:creationId xmlns:a16="http://schemas.microsoft.com/office/drawing/2014/main" id="{C1F38E22-4AC7-402E-8AA5-849A0ABCF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8C0E01" w14:textId="2BBD649C" w:rsidR="00A647CA" w:rsidRPr="00503F5B" w:rsidRDefault="00A647CA" w:rsidP="00A647CA">
      <w:pPr>
        <w:widowControl w:val="0"/>
        <w:autoSpaceDE w:val="0"/>
        <w:autoSpaceDN w:val="0"/>
        <w:adjustRightInd w:val="0"/>
        <w:ind w:firstLine="720"/>
        <w:jc w:val="both"/>
        <w:rPr>
          <w:rFonts w:cs="P˘Í^ˇ"/>
          <w:sz w:val="18"/>
          <w:szCs w:val="18"/>
        </w:rPr>
      </w:pPr>
      <w:r w:rsidRPr="00503F5B">
        <w:rPr>
          <w:rFonts w:cs="P˘Í^ˇ"/>
          <w:sz w:val="18"/>
          <w:szCs w:val="18"/>
        </w:rPr>
        <w:t>Source: CFA</w:t>
      </w:r>
    </w:p>
    <w:p w14:paraId="287F6ED1" w14:textId="3BCB043E" w:rsidR="008338C1" w:rsidRPr="00503F5B" w:rsidRDefault="008338C1" w:rsidP="001D51D6">
      <w:pPr>
        <w:jc w:val="both"/>
      </w:pPr>
    </w:p>
    <w:p w14:paraId="766EA0D4" w14:textId="69BD0BCD" w:rsidR="008338C1" w:rsidRPr="00503F5B" w:rsidRDefault="008A1F1F" w:rsidP="001D51D6">
      <w:pPr>
        <w:jc w:val="both"/>
      </w:pPr>
      <w:r w:rsidRPr="00503F5B">
        <w:t xml:space="preserve">Between October 2015 and </w:t>
      </w:r>
      <w:r w:rsidR="001812D0">
        <w:t xml:space="preserve">30 </w:t>
      </w:r>
      <w:r w:rsidRPr="00503F5B">
        <w:t xml:space="preserve">June 2016, MFB data shows a 12 per cent increase in the proportion of false alarm calls to all calls, where </w:t>
      </w:r>
      <w:r w:rsidR="00595DFB" w:rsidRPr="00503F5B">
        <w:t>MFB</w:t>
      </w:r>
      <w:r w:rsidRPr="00503F5B">
        <w:t xml:space="preserve"> had not been invoicing (despite there being no reasonable excuse), as shown in Chart 8.</w:t>
      </w:r>
      <w:r w:rsidR="00ED46BB" w:rsidRPr="00503F5B">
        <w:t xml:space="preserve"> The evidence of a link between charging fees for false alarms and the proper maintenance of alarm systems is also borne out by the experience of periods when invoicing has ceased, with a correlating increase in false alarm calls.</w:t>
      </w:r>
    </w:p>
    <w:p w14:paraId="1D519837" w14:textId="5E4927CE" w:rsidR="008338C1" w:rsidRPr="00503F5B" w:rsidRDefault="008338C1" w:rsidP="001D51D6">
      <w:pPr>
        <w:jc w:val="both"/>
      </w:pPr>
    </w:p>
    <w:p w14:paraId="7BE9CE48" w14:textId="0936C8B3" w:rsidR="00945841" w:rsidRPr="00503F5B" w:rsidRDefault="00945841" w:rsidP="00945841">
      <w:pPr>
        <w:jc w:val="center"/>
        <w:rPr>
          <w:b/>
          <w:sz w:val="20"/>
        </w:rPr>
      </w:pPr>
      <w:r w:rsidRPr="00503F5B">
        <w:rPr>
          <w:b/>
          <w:sz w:val="20"/>
        </w:rPr>
        <w:t>Chart 8: Increase in the proportion of false alarm calls to all calls due to non-invoicing 2015-16</w:t>
      </w:r>
    </w:p>
    <w:p w14:paraId="539BA4A1" w14:textId="77777777" w:rsidR="00945841" w:rsidRPr="00503F5B" w:rsidRDefault="00945841" w:rsidP="00945841">
      <w:pPr>
        <w:jc w:val="both"/>
      </w:pPr>
    </w:p>
    <w:p w14:paraId="150793BA" w14:textId="77777777" w:rsidR="00945841" w:rsidRPr="00503F5B" w:rsidRDefault="00945841" w:rsidP="00945841">
      <w:pPr>
        <w:jc w:val="center"/>
      </w:pPr>
      <w:r w:rsidRPr="00503F5B">
        <w:rPr>
          <w:noProof/>
        </w:rPr>
        <w:drawing>
          <wp:inline distT="0" distB="0" distL="0" distR="0" wp14:anchorId="533731D7" wp14:editId="077FDFD9">
            <wp:extent cx="4730115" cy="284131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0115" cy="2841314"/>
                    </a:xfrm>
                    <a:prstGeom prst="rect">
                      <a:avLst/>
                    </a:prstGeom>
                    <a:noFill/>
                    <a:ln>
                      <a:noFill/>
                    </a:ln>
                  </pic:spPr>
                </pic:pic>
              </a:graphicData>
            </a:graphic>
          </wp:inline>
        </w:drawing>
      </w:r>
    </w:p>
    <w:p w14:paraId="455118F4" w14:textId="77777777" w:rsidR="00945841" w:rsidRPr="00503F5B" w:rsidRDefault="00945841" w:rsidP="00945841">
      <w:pPr>
        <w:ind w:firstLine="720"/>
        <w:jc w:val="both"/>
        <w:rPr>
          <w:sz w:val="18"/>
          <w:szCs w:val="18"/>
        </w:rPr>
      </w:pPr>
      <w:r w:rsidRPr="00503F5B">
        <w:rPr>
          <w:sz w:val="18"/>
          <w:szCs w:val="18"/>
        </w:rPr>
        <w:t>Source: MFB</w:t>
      </w:r>
    </w:p>
    <w:p w14:paraId="37890206" w14:textId="1DE7B213" w:rsidR="008338C1" w:rsidRPr="00503F5B" w:rsidRDefault="008338C1" w:rsidP="00945841">
      <w:pPr>
        <w:jc w:val="center"/>
      </w:pPr>
    </w:p>
    <w:p w14:paraId="4E4159F1" w14:textId="427ADE4E" w:rsidR="00945841" w:rsidRPr="00503F5B" w:rsidRDefault="00945841" w:rsidP="00945841">
      <w:pPr>
        <w:jc w:val="both"/>
      </w:pPr>
      <w:r w:rsidRPr="00503F5B">
        <w:t xml:space="preserve">Given this historical data and behaviour around false alarm calls, it is highly likely that </w:t>
      </w:r>
      <w:r w:rsidRPr="00503F5B">
        <w:rPr>
          <w:i/>
          <w:iCs/>
        </w:rPr>
        <w:t>not having an effective charge</w:t>
      </w:r>
      <w:r w:rsidRPr="00503F5B">
        <w:t xml:space="preserve"> for false attendances would result in a significant increase (high consequence) in the number of false alarm calls in Victoria</w:t>
      </w:r>
      <w:r w:rsidR="00D23B9E" w:rsidRPr="00503F5B">
        <w:t>,</w:t>
      </w:r>
      <w:r w:rsidRPr="00503F5B">
        <w:t xml:space="preserve"> with up to a 184.29</w:t>
      </w:r>
      <w:r w:rsidR="00391FFF" w:rsidRPr="00503F5B">
        <w:t xml:space="preserve"> per cent</w:t>
      </w:r>
      <w:r w:rsidRPr="00503F5B">
        <w:t xml:space="preserve"> </w:t>
      </w:r>
      <w:r w:rsidRPr="00503F5B">
        <w:lastRenderedPageBreak/>
        <w:t>increase (from 1.4 to 3.98) in the ratio of false alarm calls per ASE over 10 or more years.</w:t>
      </w:r>
      <w:r w:rsidR="00E73698" w:rsidRPr="00503F5B">
        <w:t xml:space="preserve">  This increase would be reflective of the ratio of false alarm calls in </w:t>
      </w:r>
      <w:r w:rsidR="00E73698" w:rsidRPr="00503F5B">
        <w:rPr>
          <w:rFonts w:cs="P˘Í^ˇ"/>
        </w:rPr>
        <w:t xml:space="preserve">1988-89 (see Chart 6) </w:t>
      </w:r>
      <w:r w:rsidR="00E73698" w:rsidRPr="00503F5B">
        <w:t xml:space="preserve">before, MFB was given the ability to levy a charge through legislation. </w:t>
      </w:r>
      <w:r w:rsidRPr="00503F5B">
        <w:t xml:space="preserve">  As shown in Figure 3, this would mean that there is at least a medium if not high risk of false alarms increasing and, with it, issues around misallocated </w:t>
      </w:r>
      <w:r w:rsidR="00C74244">
        <w:t xml:space="preserve">FRV </w:t>
      </w:r>
      <w:r w:rsidRPr="00503F5B">
        <w:t>resources and complacency around real emergencies.</w:t>
      </w:r>
    </w:p>
    <w:p w14:paraId="3C246378" w14:textId="77777777" w:rsidR="00945841" w:rsidRPr="00503F5B" w:rsidRDefault="00945841" w:rsidP="00945841">
      <w:pPr>
        <w:jc w:val="both"/>
      </w:pPr>
    </w:p>
    <w:p w14:paraId="5B08C22B" w14:textId="77777777" w:rsidR="00945841" w:rsidRPr="00503F5B" w:rsidRDefault="00945841" w:rsidP="00945841">
      <w:pPr>
        <w:jc w:val="center"/>
      </w:pPr>
      <w:r w:rsidRPr="00503F5B">
        <w:rPr>
          <w:b/>
          <w:sz w:val="20"/>
          <w:szCs w:val="20"/>
        </w:rPr>
        <w:t>Figure 3: Risk Matrix</w:t>
      </w:r>
    </w:p>
    <w:p w14:paraId="7A0DC1B6" w14:textId="77777777" w:rsidR="00945841" w:rsidRPr="00503F5B" w:rsidRDefault="00945841" w:rsidP="00945841">
      <w:pPr>
        <w:jc w:val="both"/>
      </w:pPr>
    </w:p>
    <w:p w14:paraId="7CCD5800" w14:textId="2A971E37" w:rsidR="00945841" w:rsidRPr="00503F5B" w:rsidRDefault="00945841" w:rsidP="00945841">
      <w:pPr>
        <w:ind w:firstLine="709"/>
        <w:jc w:val="both"/>
      </w:pPr>
      <w:r w:rsidRPr="00503F5B">
        <w:rPr>
          <w:noProof/>
        </w:rPr>
        <w:drawing>
          <wp:inline distT="0" distB="0" distL="0" distR="0" wp14:anchorId="1E109CD8" wp14:editId="7E5DCD87">
            <wp:extent cx="3441700" cy="1879600"/>
            <wp:effectExtent l="0" t="0" r="1270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41700" cy="1879600"/>
                    </a:xfrm>
                    <a:prstGeom prst="rect">
                      <a:avLst/>
                    </a:prstGeom>
                  </pic:spPr>
                </pic:pic>
              </a:graphicData>
            </a:graphic>
          </wp:inline>
        </w:drawing>
      </w:r>
    </w:p>
    <w:p w14:paraId="28CABDCC" w14:textId="77777777" w:rsidR="002660F3" w:rsidRPr="00503F5B" w:rsidRDefault="002660F3" w:rsidP="00945841">
      <w:pPr>
        <w:ind w:firstLine="709"/>
        <w:jc w:val="both"/>
      </w:pPr>
    </w:p>
    <w:p w14:paraId="758BECAE" w14:textId="29E089F3" w:rsidR="00E6069B" w:rsidRPr="00503F5B" w:rsidRDefault="00E6069B" w:rsidP="00E6069B">
      <w:pPr>
        <w:pBdr>
          <w:top w:val="single" w:sz="4" w:space="1" w:color="auto"/>
          <w:left w:val="single" w:sz="4" w:space="4" w:color="auto"/>
          <w:bottom w:val="single" w:sz="4" w:space="1" w:color="auto"/>
          <w:right w:val="single" w:sz="4" w:space="4" w:color="auto"/>
        </w:pBdr>
        <w:shd w:val="clear" w:color="auto" w:fill="FFF0C3"/>
        <w:jc w:val="both"/>
        <w:rPr>
          <w:b/>
        </w:rPr>
      </w:pPr>
      <w:r w:rsidRPr="00503F5B">
        <w:rPr>
          <w:b/>
        </w:rPr>
        <w:t>Problem statement:</w:t>
      </w:r>
    </w:p>
    <w:p w14:paraId="1403C779" w14:textId="77777777" w:rsidR="00E6069B" w:rsidRPr="00503F5B" w:rsidRDefault="00E6069B" w:rsidP="00E6069B">
      <w:pPr>
        <w:pBdr>
          <w:top w:val="single" w:sz="4" w:space="1" w:color="auto"/>
          <w:left w:val="single" w:sz="4" w:space="4" w:color="auto"/>
          <w:bottom w:val="single" w:sz="4" w:space="1" w:color="auto"/>
          <w:right w:val="single" w:sz="4" w:space="4" w:color="auto"/>
        </w:pBdr>
        <w:shd w:val="clear" w:color="auto" w:fill="FFF0C3"/>
        <w:jc w:val="both"/>
        <w:rPr>
          <w:b/>
        </w:rPr>
      </w:pPr>
    </w:p>
    <w:p w14:paraId="700834F6" w14:textId="4957063D" w:rsidR="00E6069B" w:rsidRPr="00503F5B" w:rsidRDefault="00E6069B" w:rsidP="00E6069B">
      <w:pPr>
        <w:pBdr>
          <w:top w:val="single" w:sz="4" w:space="1" w:color="auto"/>
          <w:left w:val="single" w:sz="4" w:space="4" w:color="auto"/>
          <w:bottom w:val="single" w:sz="4" w:space="1" w:color="auto"/>
          <w:right w:val="single" w:sz="4" w:space="4" w:color="auto"/>
        </w:pBdr>
        <w:shd w:val="clear" w:color="auto" w:fill="FFF0C3"/>
        <w:jc w:val="both"/>
        <w:rPr>
          <w:b/>
          <w:i/>
        </w:rPr>
      </w:pPr>
      <w:r w:rsidRPr="00503F5B">
        <w:rPr>
          <w:b/>
          <w:i/>
        </w:rPr>
        <w:t>Shortfall in fire protection services revenue</w:t>
      </w:r>
    </w:p>
    <w:p w14:paraId="05E4B091" w14:textId="77777777" w:rsidR="00E6069B" w:rsidRPr="00503F5B" w:rsidRDefault="00E6069B" w:rsidP="00E6069B">
      <w:pPr>
        <w:pBdr>
          <w:top w:val="single" w:sz="4" w:space="1" w:color="auto"/>
          <w:left w:val="single" w:sz="4" w:space="4" w:color="auto"/>
          <w:bottom w:val="single" w:sz="4" w:space="1" w:color="auto"/>
          <w:right w:val="single" w:sz="4" w:space="4" w:color="auto"/>
        </w:pBdr>
        <w:shd w:val="clear" w:color="auto" w:fill="FFF0C3"/>
        <w:jc w:val="both"/>
        <w:rPr>
          <w:b/>
          <w:i/>
        </w:rPr>
      </w:pPr>
    </w:p>
    <w:p w14:paraId="31564D12" w14:textId="111F3966" w:rsidR="00E6069B" w:rsidRPr="00503F5B" w:rsidRDefault="00E6069B" w:rsidP="00E6069B">
      <w:pPr>
        <w:pBdr>
          <w:top w:val="single" w:sz="4" w:space="1" w:color="auto"/>
          <w:left w:val="single" w:sz="4" w:space="4" w:color="auto"/>
          <w:bottom w:val="single" w:sz="4" w:space="1" w:color="auto"/>
          <w:right w:val="single" w:sz="4" w:space="4" w:color="auto"/>
        </w:pBdr>
        <w:shd w:val="clear" w:color="auto" w:fill="FFF0C3"/>
        <w:jc w:val="both"/>
      </w:pPr>
      <w:r w:rsidRPr="00503F5B">
        <w:t xml:space="preserve">As shown in Table </w:t>
      </w:r>
      <w:r w:rsidR="00E73698" w:rsidRPr="00503F5B">
        <w:t>11</w:t>
      </w:r>
      <w:r w:rsidRPr="00503F5B">
        <w:t xml:space="preserve">, the total cost of providing fire protection services in 2018-19 was </w:t>
      </w:r>
      <w:r w:rsidR="00E73698" w:rsidRPr="00503F5B">
        <w:t xml:space="preserve">estimated to be </w:t>
      </w:r>
      <w:r w:rsidRPr="00503F5B">
        <w:t>$</w:t>
      </w:r>
      <w:r w:rsidR="00E73698" w:rsidRPr="00503F5B">
        <w:t>1.61</w:t>
      </w:r>
      <w:r w:rsidRPr="00503F5B">
        <w:t xml:space="preserve"> million.  Under the current fee of $121 (excluding GST) the estimated revenue would be $0.5 million per annum resulting in $</w:t>
      </w:r>
      <w:r w:rsidR="00E73698" w:rsidRPr="00503F5B">
        <w:t>1.1</w:t>
      </w:r>
      <w:r w:rsidRPr="00503F5B">
        <w:t xml:space="preserve"> million per annum to be covered by consolidated revenue. Under the current arrangement the broader taxpaying community would continue subsidising fire protection services by </w:t>
      </w:r>
      <w:r w:rsidR="00D23B9E" w:rsidRPr="00503F5B">
        <w:t>FRV</w:t>
      </w:r>
      <w:r w:rsidRPr="00503F5B">
        <w:t>.</w:t>
      </w:r>
    </w:p>
    <w:p w14:paraId="56D76D53" w14:textId="574C3C90" w:rsidR="00E6069B" w:rsidRPr="00503F5B" w:rsidRDefault="00E6069B" w:rsidP="00E6069B">
      <w:pPr>
        <w:pBdr>
          <w:top w:val="single" w:sz="4" w:space="1" w:color="auto"/>
          <w:left w:val="single" w:sz="4" w:space="4" w:color="auto"/>
          <w:bottom w:val="single" w:sz="4" w:space="1" w:color="auto"/>
          <w:right w:val="single" w:sz="4" w:space="4" w:color="auto"/>
        </w:pBdr>
        <w:shd w:val="clear" w:color="auto" w:fill="FFF0C3"/>
        <w:jc w:val="both"/>
      </w:pPr>
    </w:p>
    <w:p w14:paraId="2189F56D" w14:textId="77777777" w:rsidR="00E6069B" w:rsidRPr="00503F5B" w:rsidRDefault="00E6069B" w:rsidP="00E6069B">
      <w:pPr>
        <w:pBdr>
          <w:top w:val="single" w:sz="4" w:space="1" w:color="auto"/>
          <w:left w:val="single" w:sz="4" w:space="4" w:color="auto"/>
          <w:bottom w:val="single" w:sz="4" w:space="1" w:color="auto"/>
          <w:right w:val="single" w:sz="4" w:space="4" w:color="auto"/>
        </w:pBdr>
        <w:shd w:val="clear" w:color="auto" w:fill="FFF0C3"/>
        <w:jc w:val="both"/>
        <w:rPr>
          <w:b/>
          <w:i/>
        </w:rPr>
      </w:pPr>
      <w:r w:rsidRPr="00503F5B">
        <w:rPr>
          <w:b/>
          <w:i/>
        </w:rPr>
        <w:t>Shortfall in false alarms attendance revenue</w:t>
      </w:r>
    </w:p>
    <w:p w14:paraId="44991C22" w14:textId="77777777" w:rsidR="00E6069B" w:rsidRPr="00503F5B" w:rsidRDefault="00E6069B" w:rsidP="00E6069B">
      <w:pPr>
        <w:pBdr>
          <w:top w:val="single" w:sz="4" w:space="1" w:color="auto"/>
          <w:left w:val="single" w:sz="4" w:space="4" w:color="auto"/>
          <w:bottom w:val="single" w:sz="4" w:space="1" w:color="auto"/>
          <w:right w:val="single" w:sz="4" w:space="4" w:color="auto"/>
        </w:pBdr>
        <w:shd w:val="clear" w:color="auto" w:fill="FFF0C3"/>
        <w:jc w:val="both"/>
      </w:pPr>
    </w:p>
    <w:p w14:paraId="40D90D68" w14:textId="474BBD5C" w:rsidR="00E6069B" w:rsidRPr="00503F5B" w:rsidRDefault="00E6069B" w:rsidP="00E6069B">
      <w:pPr>
        <w:pBdr>
          <w:top w:val="single" w:sz="4" w:space="1" w:color="auto"/>
          <w:left w:val="single" w:sz="4" w:space="4" w:color="auto"/>
          <w:bottom w:val="single" w:sz="4" w:space="1" w:color="auto"/>
          <w:right w:val="single" w:sz="4" w:space="4" w:color="auto"/>
        </w:pBdr>
        <w:shd w:val="clear" w:color="auto" w:fill="FFF0C3"/>
        <w:jc w:val="both"/>
      </w:pPr>
      <w:r w:rsidRPr="00503F5B">
        <w:t xml:space="preserve">As shown in Table 2 of this RIS, the amount of revenue obtained from fees in 2018-19 was $10.14 million for </w:t>
      </w:r>
      <w:r w:rsidR="00595DFB" w:rsidRPr="00503F5B">
        <w:t>MFB</w:t>
      </w:r>
      <w:r w:rsidRPr="00503F5B">
        <w:t xml:space="preserve"> and $4.31 million for CFA</w:t>
      </w:r>
      <w:r w:rsidR="005424B0" w:rsidRPr="00503F5B">
        <w:t xml:space="preserve"> ($2.46 million for CFA integrated stations)</w:t>
      </w:r>
      <w:r w:rsidRPr="00503F5B">
        <w:t xml:space="preserve"> </w:t>
      </w:r>
      <w:r w:rsidR="005424B0" w:rsidRPr="00503F5B">
        <w:t xml:space="preserve">and </w:t>
      </w:r>
      <w:r w:rsidRPr="00503F5B">
        <w:t>representing charges for false alarm attendances where no reasonable excuse was provided.  This fee</w:t>
      </w:r>
      <w:r w:rsidR="00B327FB" w:rsidRPr="00503F5B">
        <w:t xml:space="preserve"> revenue</w:t>
      </w:r>
      <w:r w:rsidRPr="00503F5B">
        <w:t xml:space="preserve"> is projected to be around $</w:t>
      </w:r>
      <w:r w:rsidR="005424B0" w:rsidRPr="00503F5B">
        <w:t>13</w:t>
      </w:r>
      <w:r w:rsidRPr="00503F5B">
        <w:t xml:space="preserve"> million in 20</w:t>
      </w:r>
      <w:r w:rsidR="00B327FB" w:rsidRPr="00503F5B">
        <w:t>19</w:t>
      </w:r>
      <w:r w:rsidRPr="00503F5B">
        <w:t>-</w:t>
      </w:r>
      <w:r w:rsidR="00B327FB" w:rsidRPr="00503F5B">
        <w:t>20</w:t>
      </w:r>
      <w:r w:rsidRPr="00503F5B">
        <w:t>.</w:t>
      </w:r>
      <w:r w:rsidRPr="00503F5B">
        <w:rPr>
          <w:rStyle w:val="FootnoteReference"/>
        </w:rPr>
        <w:footnoteReference w:id="83"/>
      </w:r>
      <w:r w:rsidRPr="00503F5B">
        <w:t xml:space="preserve">  It is estimated that in 201</w:t>
      </w:r>
      <w:r w:rsidR="00B327FB" w:rsidRPr="00503F5B">
        <w:t>8</w:t>
      </w:r>
      <w:r w:rsidRPr="00503F5B">
        <w:t>-1</w:t>
      </w:r>
      <w:r w:rsidR="00B327FB" w:rsidRPr="00503F5B">
        <w:t>9</w:t>
      </w:r>
      <w:r w:rsidRPr="00503F5B">
        <w:t>, 1</w:t>
      </w:r>
      <w:r w:rsidR="00E275DA" w:rsidRPr="00503F5B">
        <w:t>0</w:t>
      </w:r>
      <w:r w:rsidRPr="00503F5B">
        <w:t>.1</w:t>
      </w:r>
      <w:r w:rsidR="00E275DA" w:rsidRPr="00503F5B">
        <w:t>8</w:t>
      </w:r>
      <w:r w:rsidR="00D77630" w:rsidRPr="00503F5B">
        <w:t xml:space="preserve"> per cent</w:t>
      </w:r>
      <w:r w:rsidRPr="00503F5B">
        <w:rPr>
          <w:rStyle w:val="FootnoteReference"/>
        </w:rPr>
        <w:footnoteReference w:id="84"/>
      </w:r>
      <w:r w:rsidRPr="00503F5B">
        <w:t xml:space="preserve"> of false alarm attendances involved false alarms where no reasonable excuse was determined by </w:t>
      </w:r>
      <w:r w:rsidR="00C74244">
        <w:t xml:space="preserve">the </w:t>
      </w:r>
      <w:r w:rsidR="00595DFB" w:rsidRPr="00503F5B">
        <w:t>MFB</w:t>
      </w:r>
      <w:r w:rsidR="00D77630" w:rsidRPr="00503F5B">
        <w:t xml:space="preserve"> or CFA </w:t>
      </w:r>
      <w:r w:rsidR="00C74244">
        <w:t xml:space="preserve">(in relation to </w:t>
      </w:r>
      <w:r w:rsidR="00D77630" w:rsidRPr="00503F5B">
        <w:t>integrated stations</w:t>
      </w:r>
      <w:r w:rsidR="00C74244">
        <w:t>)</w:t>
      </w:r>
      <w:r w:rsidRPr="00503F5B">
        <w:t xml:space="preserve">.  Not charging for attendances of false alarms in the case of no reasonable excuse, means </w:t>
      </w:r>
      <w:r w:rsidR="00D23B9E" w:rsidRPr="00503F5B">
        <w:t>FRV</w:t>
      </w:r>
      <w:r w:rsidRPr="00503F5B">
        <w:t xml:space="preserve"> would have to rely on other sources of revenue (see Table </w:t>
      </w:r>
      <w:r w:rsidR="00B327FB" w:rsidRPr="00503F5B">
        <w:t>2</w:t>
      </w:r>
      <w:r w:rsidRPr="00503F5B">
        <w:t xml:space="preserve"> in this RIS) to deliver these additional services above the fire services currently covered by the levy (see section 1.2.3 of this RIS for further discussion). Under this situation, taxpayers would need to cover the total cost of false alarm attendances without reasonable excuses (estimated to be around </w:t>
      </w:r>
      <w:r w:rsidR="00B327FB" w:rsidRPr="00503F5B">
        <w:t xml:space="preserve">$57.04 </w:t>
      </w:r>
      <w:r w:rsidR="00B327FB" w:rsidRPr="00503F5B">
        <w:lastRenderedPageBreak/>
        <w:t>million</w:t>
      </w:r>
      <w:r w:rsidRPr="00503F5B">
        <w:t xml:space="preserve"> annually in 20</w:t>
      </w:r>
      <w:r w:rsidR="00B327FB" w:rsidRPr="00503F5B">
        <w:t>20</w:t>
      </w:r>
      <w:r w:rsidRPr="00503F5B">
        <w:t>-</w:t>
      </w:r>
      <w:r w:rsidR="00B327FB" w:rsidRPr="00503F5B">
        <w:t>21</w:t>
      </w:r>
      <w:r w:rsidRPr="00503F5B">
        <w:t xml:space="preserve"> in Section 2.1.1 of this RIS) – and may be subsidising the cost of negligent property owners.</w:t>
      </w:r>
    </w:p>
    <w:p w14:paraId="61E42C71" w14:textId="77777777" w:rsidR="00E6069B" w:rsidRPr="00503F5B" w:rsidRDefault="00E6069B" w:rsidP="00E6069B">
      <w:pPr>
        <w:pBdr>
          <w:top w:val="single" w:sz="4" w:space="1" w:color="auto"/>
          <w:left w:val="single" w:sz="4" w:space="4" w:color="auto"/>
          <w:bottom w:val="single" w:sz="4" w:space="1" w:color="auto"/>
          <w:right w:val="single" w:sz="4" w:space="4" w:color="auto"/>
        </w:pBdr>
        <w:shd w:val="clear" w:color="auto" w:fill="FFF0C3"/>
        <w:jc w:val="both"/>
      </w:pPr>
    </w:p>
    <w:p w14:paraId="0989C6D7" w14:textId="77777777" w:rsidR="00E6069B" w:rsidRPr="00503F5B" w:rsidRDefault="00E6069B" w:rsidP="00E6069B">
      <w:pPr>
        <w:pBdr>
          <w:top w:val="single" w:sz="4" w:space="1" w:color="auto"/>
          <w:left w:val="single" w:sz="4" w:space="4" w:color="auto"/>
          <w:bottom w:val="single" w:sz="4" w:space="1" w:color="auto"/>
          <w:right w:val="single" w:sz="4" w:space="4" w:color="auto"/>
        </w:pBdr>
        <w:shd w:val="clear" w:color="auto" w:fill="FFF0C3"/>
        <w:jc w:val="both"/>
        <w:rPr>
          <w:b/>
          <w:i/>
        </w:rPr>
      </w:pPr>
      <w:r w:rsidRPr="00503F5B">
        <w:rPr>
          <w:b/>
          <w:i/>
        </w:rPr>
        <w:t>Increase in false fire alarms</w:t>
      </w:r>
    </w:p>
    <w:p w14:paraId="059DED24" w14:textId="77777777" w:rsidR="00E6069B" w:rsidRPr="00503F5B" w:rsidRDefault="00E6069B" w:rsidP="00E6069B">
      <w:pPr>
        <w:pBdr>
          <w:top w:val="single" w:sz="4" w:space="1" w:color="auto"/>
          <w:left w:val="single" w:sz="4" w:space="4" w:color="auto"/>
          <w:bottom w:val="single" w:sz="4" w:space="1" w:color="auto"/>
          <w:right w:val="single" w:sz="4" w:space="4" w:color="auto"/>
        </w:pBdr>
        <w:shd w:val="clear" w:color="auto" w:fill="FFF0C3"/>
        <w:jc w:val="both"/>
      </w:pPr>
    </w:p>
    <w:p w14:paraId="169F390D" w14:textId="129F3EC6" w:rsidR="00E6069B" w:rsidRPr="00503F5B" w:rsidRDefault="00E6069B" w:rsidP="00E6069B">
      <w:pPr>
        <w:pBdr>
          <w:top w:val="single" w:sz="4" w:space="1" w:color="auto"/>
          <w:left w:val="single" w:sz="4" w:space="4" w:color="auto"/>
          <w:bottom w:val="single" w:sz="4" w:space="1" w:color="auto"/>
          <w:right w:val="single" w:sz="4" w:space="4" w:color="auto"/>
        </w:pBdr>
        <w:shd w:val="clear" w:color="auto" w:fill="FFF0C3"/>
        <w:jc w:val="both"/>
      </w:pPr>
      <w:r w:rsidRPr="00503F5B">
        <w:t>The cost of attendance of appliances to false alarms is significant. False alarm calls increased year to year reaching a peak of 28,461 until fees were introduced in 1988-89. Failing to charge emergency attendance fees</w:t>
      </w:r>
      <w:r w:rsidR="00D23B9E" w:rsidRPr="00503F5B">
        <w:t xml:space="preserve"> </w:t>
      </w:r>
      <w:r w:rsidRPr="00503F5B">
        <w:t>would discourage property owners from proactively managing and maintaining their alarm systems to reduce such occurrences, thereby increasing false alarm attendances and leading to: an inefficient use of FRV resources; complacency in the event of real emergencies</w:t>
      </w:r>
      <w:r w:rsidRPr="00503F5B">
        <w:rPr>
          <w:rFonts w:cs="P˘Í^ˇ"/>
        </w:rPr>
        <w:t>; increased risk of accident and injury to firefighters and the general public as firefighters will attend under sirens and lights; and reduced response times to real emergencies due to diversions to attend false alarms.</w:t>
      </w:r>
    </w:p>
    <w:p w14:paraId="1E2870C6" w14:textId="107B2729" w:rsidR="00B72407" w:rsidRPr="00503F5B" w:rsidRDefault="00B72407" w:rsidP="00B72407">
      <w:pPr>
        <w:jc w:val="both"/>
      </w:pPr>
      <w:bookmarkStart w:id="123" w:name="_Toc457772536"/>
    </w:p>
    <w:p w14:paraId="74C7F428" w14:textId="77777777" w:rsidR="00B72407" w:rsidRPr="00503F5B" w:rsidRDefault="00B72407" w:rsidP="00517C6D">
      <w:bookmarkStart w:id="124" w:name="_Toc457772535"/>
      <w:r w:rsidRPr="00503F5B">
        <w:br w:type="page"/>
      </w:r>
    </w:p>
    <w:p w14:paraId="4DD8CF0A" w14:textId="24C3A588" w:rsidR="002E4764" w:rsidRPr="00503F5B" w:rsidRDefault="002E4764" w:rsidP="002E4764">
      <w:pPr>
        <w:pStyle w:val="Heading2"/>
      </w:pPr>
      <w:bookmarkStart w:id="125" w:name="_Toc35804136"/>
      <w:bookmarkStart w:id="126" w:name="_Toc35804630"/>
      <w:bookmarkStart w:id="127" w:name="_Toc35812674"/>
      <w:bookmarkEnd w:id="124"/>
      <w:r w:rsidRPr="00503F5B">
        <w:lastRenderedPageBreak/>
        <w:t>2.</w:t>
      </w:r>
      <w:r w:rsidR="003E489B" w:rsidRPr="00503F5B">
        <w:t>3</w:t>
      </w:r>
      <w:r w:rsidRPr="00503F5B">
        <w:t xml:space="preserve"> The need for cost recovery and government policy</w:t>
      </w:r>
      <w:bookmarkEnd w:id="125"/>
      <w:bookmarkEnd w:id="126"/>
      <w:bookmarkEnd w:id="127"/>
    </w:p>
    <w:p w14:paraId="118B92D8" w14:textId="77F069F6" w:rsidR="002E4764" w:rsidRPr="00503F5B" w:rsidRDefault="00D35C72" w:rsidP="002E4764">
      <w:pPr>
        <w:jc w:val="both"/>
      </w:pPr>
      <w:r w:rsidRPr="00503F5B">
        <w:t xml:space="preserve">Circumstances in which fees and charges for the occurrence of false alarms may be applied </w:t>
      </w:r>
      <w:r w:rsidR="00107A68" w:rsidRPr="00503F5B">
        <w:t>are</w:t>
      </w:r>
      <w:r w:rsidR="002E4764" w:rsidRPr="00503F5B">
        <w:t xml:space="preserve"> governed by </w:t>
      </w:r>
      <w:r w:rsidRPr="00503F5B">
        <w:t>s</w:t>
      </w:r>
      <w:r w:rsidR="002E4764" w:rsidRPr="00503F5B">
        <w:t xml:space="preserve">ection </w:t>
      </w:r>
      <w:r w:rsidR="002E4764" w:rsidRPr="00503F5B">
        <w:rPr>
          <w:szCs w:val="20"/>
        </w:rPr>
        <w:t>32D of the</w:t>
      </w:r>
      <w:r w:rsidR="002E4764" w:rsidRPr="00503F5B">
        <w:rPr>
          <w:sz w:val="28"/>
        </w:rPr>
        <w:t xml:space="preserve"> </w:t>
      </w:r>
      <w:r w:rsidR="002E4764" w:rsidRPr="00503F5B">
        <w:t>Act.</w:t>
      </w:r>
      <w:r w:rsidR="00B9494F" w:rsidRPr="00503F5B">
        <w:t xml:space="preserve">  The level of the applicable fees and charges is prescribed by the regulations</w:t>
      </w:r>
      <w:r w:rsidR="002E4764" w:rsidRPr="00503F5B">
        <w:t xml:space="preserve"> </w:t>
      </w:r>
      <w:r w:rsidR="00B9494F" w:rsidRPr="00503F5B">
        <w:t xml:space="preserve">and </w:t>
      </w:r>
      <w:r w:rsidR="002E4764" w:rsidRPr="00503F5B">
        <w:t>assessed in this RIS.</w:t>
      </w:r>
    </w:p>
    <w:p w14:paraId="328D24A3" w14:textId="77777777" w:rsidR="002E4764" w:rsidRPr="00503F5B" w:rsidRDefault="002E4764" w:rsidP="002E4764">
      <w:pPr>
        <w:jc w:val="both"/>
      </w:pPr>
    </w:p>
    <w:p w14:paraId="6BC35595" w14:textId="41358675" w:rsidR="002E4764" w:rsidRPr="00503F5B" w:rsidRDefault="002E4764" w:rsidP="002E4764">
      <w:pPr>
        <w:jc w:val="both"/>
      </w:pPr>
      <w:r w:rsidRPr="00503F5B">
        <w:t xml:space="preserve">The need for cost recovery relates to the recuperation of costs of services provided by </w:t>
      </w:r>
      <w:r w:rsidR="00D23B9E" w:rsidRPr="00503F5B">
        <w:t>FRV</w:t>
      </w:r>
      <w:r w:rsidRPr="00503F5B">
        <w:t xml:space="preserve"> in the case of false alarms that, to some extent, provide “private benefits to individuals, entities or groups, or reflect the costs their actions impose.”</w:t>
      </w:r>
      <w:r w:rsidRPr="00503F5B">
        <w:rPr>
          <w:rStyle w:val="FootnoteReference"/>
        </w:rPr>
        <w:footnoteReference w:id="85"/>
      </w:r>
      <w:r w:rsidRPr="00503F5B">
        <w:t xml:space="preserve"> As discussed in sections 2.1.1, there is a need to recover costs in order to achieve efficiency and equity objectives for providing emergency attendance services by </w:t>
      </w:r>
      <w:r w:rsidR="00D23B9E" w:rsidRPr="00503F5B">
        <w:t>FRV</w:t>
      </w:r>
      <w:r w:rsidRPr="00503F5B">
        <w:t>.</w:t>
      </w:r>
    </w:p>
    <w:p w14:paraId="3FB72333" w14:textId="77777777" w:rsidR="002E4764" w:rsidRPr="00503F5B" w:rsidRDefault="002E4764" w:rsidP="002E4764">
      <w:pPr>
        <w:jc w:val="both"/>
      </w:pPr>
    </w:p>
    <w:p w14:paraId="6FCE2EEC" w14:textId="5D1E0C29" w:rsidR="002E4764" w:rsidRPr="00503F5B" w:rsidRDefault="00950A42" w:rsidP="002E4764">
      <w:pPr>
        <w:jc w:val="both"/>
      </w:pPr>
      <w:r w:rsidRPr="00503F5B">
        <w:t>According to the Victorian Government Cost Recovery Guidelines, t</w:t>
      </w:r>
      <w:r w:rsidR="002E4764" w:rsidRPr="00503F5B">
        <w:t xml:space="preserve">he default position </w:t>
      </w:r>
      <w:r w:rsidR="00B9494F" w:rsidRPr="00503F5B">
        <w:t xml:space="preserve">of </w:t>
      </w:r>
      <w:r w:rsidR="002E4764" w:rsidRPr="00503F5B">
        <w:t xml:space="preserve">government policy is </w:t>
      </w:r>
      <w:r w:rsidR="002E4764" w:rsidRPr="00503F5B">
        <w:rPr>
          <w:i/>
        </w:rPr>
        <w:t>full cost recovery</w:t>
      </w:r>
      <w:r w:rsidR="00B9494F" w:rsidRPr="00503F5B">
        <w:rPr>
          <w:iCs/>
        </w:rPr>
        <w:t xml:space="preserve">, </w:t>
      </w:r>
      <w:r w:rsidR="002E4764" w:rsidRPr="00503F5B">
        <w:t>to ensure that both efficiency and equity objectives are met and to reduce fiscal pressure.  Reducing the reliance on general tax revenue means that such revenue can be diverted to more appropriate uses in the economy.</w:t>
      </w:r>
      <w:r w:rsidR="002E4764" w:rsidRPr="00503F5B">
        <w:rPr>
          <w:rStyle w:val="FootnoteReference"/>
        </w:rPr>
        <w:t xml:space="preserve"> </w:t>
      </w:r>
      <w:r w:rsidR="002E4764" w:rsidRPr="00503F5B">
        <w:rPr>
          <w:rStyle w:val="FootnoteReference"/>
        </w:rPr>
        <w:footnoteReference w:id="86"/>
      </w:r>
    </w:p>
    <w:p w14:paraId="05EA71A2" w14:textId="0E15FA5E" w:rsidR="00B72407" w:rsidRPr="00503F5B" w:rsidRDefault="00B72407" w:rsidP="00B72407">
      <w:pPr>
        <w:jc w:val="both"/>
      </w:pPr>
    </w:p>
    <w:p w14:paraId="7B90D768" w14:textId="78F80AE5" w:rsidR="004765B6" w:rsidRPr="00503F5B" w:rsidRDefault="004765B6" w:rsidP="004765B6">
      <w:pPr>
        <w:pStyle w:val="Heading3"/>
      </w:pPr>
      <w:bookmarkStart w:id="129" w:name="_Toc35804137"/>
      <w:bookmarkStart w:id="130" w:name="_Toc35804631"/>
      <w:bookmarkStart w:id="131" w:name="_Toc35812675"/>
      <w:r w:rsidRPr="00503F5B">
        <w:t>2.</w:t>
      </w:r>
      <w:r w:rsidR="003E489B" w:rsidRPr="00503F5B">
        <w:t>3</w:t>
      </w:r>
      <w:r w:rsidRPr="00503F5B">
        <w:t>.1 Efficiency objective</w:t>
      </w:r>
      <w:r w:rsidRPr="00503F5B">
        <w:rPr>
          <w:rStyle w:val="FootnoteReference"/>
        </w:rPr>
        <w:footnoteReference w:id="87"/>
      </w:r>
      <w:bookmarkEnd w:id="129"/>
      <w:bookmarkEnd w:id="130"/>
      <w:bookmarkEnd w:id="131"/>
    </w:p>
    <w:p w14:paraId="7EA4B4E0" w14:textId="77777777" w:rsidR="004765B6" w:rsidRPr="00503F5B" w:rsidRDefault="004765B6" w:rsidP="004765B6"/>
    <w:p w14:paraId="0FBBFE92" w14:textId="01915FE3" w:rsidR="004765B6" w:rsidRPr="00503F5B" w:rsidRDefault="004765B6" w:rsidP="004765B6">
      <w:pPr>
        <w:jc w:val="both"/>
      </w:pPr>
      <w:r w:rsidRPr="00503F5B">
        <w:t xml:space="preserve">Appropriate fees will ensure that scarce resources are put to their best uses in the economy and not wasted through frivolous activity. The requirement for the </w:t>
      </w:r>
      <w:r w:rsidRPr="00503F5B">
        <w:rPr>
          <w:i/>
        </w:rPr>
        <w:t>efficient pricing</w:t>
      </w:r>
      <w:r w:rsidRPr="00503F5B">
        <w:t xml:space="preserve"> or appropriate ‘price signal’ of regulatory services (i.e. </w:t>
      </w:r>
      <w:r w:rsidRPr="00503F5B">
        <w:rPr>
          <w:i/>
        </w:rPr>
        <w:t>allocative efficiency</w:t>
      </w:r>
      <w:r w:rsidRPr="00503F5B">
        <w:t xml:space="preserve">) involves fees which reflect the costs of emergency attendance services in the case of false alarms, along with any consideration of additional costs and benefits (negative or positive </w:t>
      </w:r>
      <w:r w:rsidR="00391FFF" w:rsidRPr="00503F5B">
        <w:t>third-party</w:t>
      </w:r>
      <w:r w:rsidRPr="00503F5B">
        <w:t xml:space="preserve"> effects or </w:t>
      </w:r>
      <w:r w:rsidRPr="00503F5B">
        <w:rPr>
          <w:i/>
        </w:rPr>
        <w:t>externalities</w:t>
      </w:r>
      <w:r w:rsidRPr="00503F5B">
        <w:t xml:space="preserve">) this </w:t>
      </w:r>
      <w:r w:rsidR="004E1FE9" w:rsidRPr="00503F5B">
        <w:t>FRV</w:t>
      </w:r>
      <w:r w:rsidRPr="00503F5B">
        <w:t xml:space="preserve"> service provides.  This will ensure that those who value the emergency attendance for false alarms above the ‘efficient’ price will </w:t>
      </w:r>
      <w:r w:rsidR="004E1FE9" w:rsidRPr="00503F5B">
        <w:t xml:space="preserve">not be </w:t>
      </w:r>
      <w:r w:rsidRPr="00503F5B">
        <w:t xml:space="preserve">discouraged from managing and maintaining their alarm systems and that there is not an </w:t>
      </w:r>
      <w:proofErr w:type="spellStart"/>
      <w:r w:rsidRPr="00503F5B">
        <w:t>overutilisation</w:t>
      </w:r>
      <w:proofErr w:type="spellEnd"/>
      <w:r w:rsidRPr="00503F5B">
        <w:t xml:space="preserve"> of resources committed to emergency attendance services.  </w:t>
      </w:r>
    </w:p>
    <w:p w14:paraId="3A21F0FE" w14:textId="77777777" w:rsidR="004765B6" w:rsidRPr="00503F5B" w:rsidRDefault="004765B6" w:rsidP="004765B6">
      <w:pPr>
        <w:jc w:val="both"/>
      </w:pPr>
    </w:p>
    <w:p w14:paraId="432724D4" w14:textId="64C55C3B" w:rsidR="004765B6" w:rsidRPr="00503F5B" w:rsidRDefault="004765B6" w:rsidP="004765B6">
      <w:pPr>
        <w:jc w:val="both"/>
      </w:pPr>
      <w:r w:rsidRPr="00503F5B">
        <w:t xml:space="preserve">A false alarm call-out fee is </w:t>
      </w:r>
      <w:r w:rsidR="00B9494F" w:rsidRPr="00503F5B">
        <w:t xml:space="preserve">applied </w:t>
      </w:r>
      <w:r w:rsidRPr="00503F5B">
        <w:t xml:space="preserve">only in circumstances where </w:t>
      </w:r>
      <w:r w:rsidR="00D23B9E" w:rsidRPr="00503F5B">
        <w:t>FRV</w:t>
      </w:r>
      <w:r w:rsidRPr="00503F5B">
        <w:t xml:space="preserve"> has determined (as required by section 32D of the Act) that there has been no reasonable excuse for the false alarm being triggered.  </w:t>
      </w:r>
      <w:proofErr w:type="gramStart"/>
      <w:r w:rsidRPr="00503F5B">
        <w:t>That is to say, under</w:t>
      </w:r>
      <w:proofErr w:type="gramEnd"/>
      <w:r w:rsidRPr="00503F5B">
        <w:t xml:space="preserve"> section 32D of the Act </w:t>
      </w:r>
      <w:r w:rsidR="00D23B9E" w:rsidRPr="00503F5B">
        <w:t>FRV</w:t>
      </w:r>
      <w:r w:rsidRPr="00503F5B">
        <w:t xml:space="preserve"> is required to consider whether there was a reasonable excuse</w:t>
      </w:r>
      <w:r w:rsidR="00E73698" w:rsidRPr="00503F5B">
        <w:rPr>
          <w:rStyle w:val="FootnoteReference"/>
        </w:rPr>
        <w:footnoteReference w:id="88"/>
      </w:r>
      <w:r w:rsidRPr="00503F5B">
        <w:t xml:space="preserve"> before being able to levy the call-out</w:t>
      </w:r>
      <w:r w:rsidR="00B9494F" w:rsidRPr="00503F5B">
        <w:t xml:space="preserve"> charge</w:t>
      </w:r>
      <w:r w:rsidRPr="00503F5B">
        <w:t>.</w:t>
      </w:r>
    </w:p>
    <w:p w14:paraId="4FBCA9B6" w14:textId="77777777" w:rsidR="004765B6" w:rsidRPr="00503F5B" w:rsidRDefault="004765B6" w:rsidP="004765B6">
      <w:pPr>
        <w:jc w:val="both"/>
      </w:pPr>
    </w:p>
    <w:p w14:paraId="13C79D03" w14:textId="5267DF95" w:rsidR="004765B6" w:rsidRPr="00503F5B" w:rsidRDefault="004765B6" w:rsidP="004765B6">
      <w:pPr>
        <w:jc w:val="both"/>
      </w:pPr>
      <w:r w:rsidRPr="00503F5B">
        <w:t xml:space="preserve">In setting the fee </w:t>
      </w:r>
      <w:r w:rsidR="00D23B9E" w:rsidRPr="00503F5B">
        <w:t>FRV</w:t>
      </w:r>
      <w:r w:rsidRPr="00503F5B">
        <w:t xml:space="preserve"> needs to ensure that an efficient price signal is sent to the owner of the alarm system which states</w:t>
      </w:r>
      <w:r w:rsidR="00B9494F" w:rsidRPr="00503F5B">
        <w:t xml:space="preserve"> </w:t>
      </w:r>
      <w:r w:rsidRPr="00503F5B">
        <w:t xml:space="preserve">what it costs </w:t>
      </w:r>
      <w:r w:rsidR="00D23B9E" w:rsidRPr="00503F5B">
        <w:t>FRV</w:t>
      </w:r>
      <w:r w:rsidRPr="00503F5B">
        <w:t xml:space="preserve"> to attend false alarm incidents and that, without a reasonable excuse, the owner would have to pay the full cost.  With such an efficient price, the owner of the alarm system would understand the cost of false alarm attendances for </w:t>
      </w:r>
      <w:r w:rsidR="00D23B9E" w:rsidRPr="00503F5B">
        <w:t>FRV</w:t>
      </w:r>
      <w:r w:rsidRPr="00503F5B">
        <w:t xml:space="preserve">, and </w:t>
      </w:r>
      <w:r w:rsidR="004E1FE9" w:rsidRPr="00503F5B">
        <w:t>this incentivises</w:t>
      </w:r>
      <w:r w:rsidRPr="00503F5B">
        <w:t xml:space="preserve"> owners to maintain their alarm systems to avoid having to pay this cost.  Where alarm systems are properly maintained</w:t>
      </w:r>
      <w:r w:rsidR="00B9494F" w:rsidRPr="00503F5B">
        <w:t>,</w:t>
      </w:r>
      <w:r w:rsidRPr="00503F5B">
        <w:t xml:space="preserve"> the</w:t>
      </w:r>
      <w:r w:rsidR="004E1FE9" w:rsidRPr="00503F5B">
        <w:t>ir</w:t>
      </w:r>
      <w:r w:rsidRPr="00503F5B">
        <w:t xml:space="preserve"> false alarms would only send a signal where there is a reasonable excuse.</w:t>
      </w:r>
    </w:p>
    <w:p w14:paraId="6CBA9923" w14:textId="4AA035E7" w:rsidR="004765B6" w:rsidRPr="00503F5B" w:rsidRDefault="004765B6" w:rsidP="004765B6">
      <w:pPr>
        <w:jc w:val="both"/>
      </w:pPr>
      <w:r w:rsidRPr="00503F5B">
        <w:lastRenderedPageBreak/>
        <w:t xml:space="preserve">There is a case for charging at less than full cost recovery for those services displaying positive externalities (third party benefits) where such services generate both private and public benefits. In the case of ‘real’ fire alarms, emergency attendances provide positive externalities or </w:t>
      </w:r>
      <w:r w:rsidR="00391FFF" w:rsidRPr="00503F5B">
        <w:t>third-party</w:t>
      </w:r>
      <w:r w:rsidRPr="00503F5B">
        <w:t xml:space="preserve"> benefits to society in that those who benefit from fire suppression activities are individuals in neighbo</w:t>
      </w:r>
      <w:r w:rsidR="00DF00E3" w:rsidRPr="00503F5B">
        <w:t>u</w:t>
      </w:r>
      <w:r w:rsidRPr="00503F5B">
        <w:t xml:space="preserve">ring properties, local traffic and businesses, and not just those requesting </w:t>
      </w:r>
      <w:r w:rsidR="00595AE9" w:rsidRPr="00503F5B">
        <w:t>FRV</w:t>
      </w:r>
      <w:r w:rsidRPr="00503F5B">
        <w:t xml:space="preserve"> services.  Hence, in the instance of a real fire, </w:t>
      </w:r>
      <w:r w:rsidR="00D23B9E" w:rsidRPr="00503F5B">
        <w:t>FRV</w:t>
      </w:r>
      <w:r w:rsidRPr="00503F5B">
        <w:t xml:space="preserve">’s response is clearly a public good. </w:t>
      </w:r>
    </w:p>
    <w:p w14:paraId="4D91CD9F" w14:textId="77777777" w:rsidR="004765B6" w:rsidRPr="00503F5B" w:rsidRDefault="004765B6" w:rsidP="004765B6">
      <w:pPr>
        <w:jc w:val="both"/>
      </w:pPr>
    </w:p>
    <w:p w14:paraId="6D8A3AFB" w14:textId="02702D63" w:rsidR="004765B6" w:rsidRPr="00503F5B" w:rsidRDefault="004765B6" w:rsidP="004765B6">
      <w:pPr>
        <w:jc w:val="both"/>
      </w:pPr>
      <w:r w:rsidRPr="00503F5B">
        <w:t>However, “fire…[emergency crews]…know only after the response whether there was a valid emergency, and thus are providing a public-good.”</w:t>
      </w:r>
      <w:r w:rsidRPr="00503F5B">
        <w:rPr>
          <w:rStyle w:val="FootnoteReference"/>
        </w:rPr>
        <w:footnoteReference w:id="89"/>
      </w:r>
      <w:r w:rsidRPr="00503F5B">
        <w:t xml:space="preserve"> In contrast, the response of </w:t>
      </w:r>
      <w:r w:rsidR="00D23B9E" w:rsidRPr="00503F5B">
        <w:t>FRV</w:t>
      </w:r>
      <w:r w:rsidRPr="00503F5B">
        <w:t xml:space="preserve"> to a ‘false’ fire alarm is a strictly private service, and it is not the responsibility of the public to finance such activity</w:t>
      </w:r>
      <w:r w:rsidR="005F42B6" w:rsidRPr="00503F5B">
        <w:t xml:space="preserve"> apart from premises such as state-owned hospitals, aged care facilities and prisons. These facilities are </w:t>
      </w:r>
      <w:r w:rsidR="00391FFF" w:rsidRPr="00503F5B">
        <w:t>arguably</w:t>
      </w:r>
      <w:r w:rsidR="005F42B6" w:rsidRPr="00503F5B">
        <w:t xml:space="preserve"> the responsibility of the community generally</w:t>
      </w:r>
      <w:r w:rsidRPr="00503F5B">
        <w:t xml:space="preserve">.   When a false alarm occurs, </w:t>
      </w:r>
      <w:r w:rsidR="00D23B9E" w:rsidRPr="00503F5B">
        <w:t>FRV</w:t>
      </w:r>
      <w:r w:rsidRPr="00503F5B">
        <w:t xml:space="preserve">’s response is clearly a private good and the community is neither positively </w:t>
      </w:r>
      <w:proofErr w:type="gramStart"/>
      <w:r w:rsidRPr="00503F5B">
        <w:t>or</w:t>
      </w:r>
      <w:proofErr w:type="gramEnd"/>
      <w:r w:rsidRPr="00503F5B">
        <w:t xml:space="preserve"> negatively affected by </w:t>
      </w:r>
      <w:r w:rsidR="00595AE9" w:rsidRPr="00503F5B">
        <w:t>FRV</w:t>
      </w:r>
      <w:r w:rsidRPr="00503F5B">
        <w:t xml:space="preserve">’s attendance. </w:t>
      </w:r>
    </w:p>
    <w:p w14:paraId="6B059070" w14:textId="77777777" w:rsidR="004765B6" w:rsidRPr="00503F5B" w:rsidRDefault="004765B6" w:rsidP="004765B6">
      <w:pPr>
        <w:jc w:val="both"/>
      </w:pPr>
    </w:p>
    <w:p w14:paraId="4F831033" w14:textId="77777777" w:rsidR="004765B6" w:rsidRPr="00503F5B" w:rsidRDefault="004765B6" w:rsidP="004765B6">
      <w:pPr>
        <w:ind w:left="567" w:right="851"/>
        <w:jc w:val="both"/>
        <w:rPr>
          <w:sz w:val="20"/>
          <w:szCs w:val="20"/>
        </w:rPr>
      </w:pPr>
      <w:r w:rsidRPr="00503F5B">
        <w:rPr>
          <w:sz w:val="20"/>
          <w:szCs w:val="20"/>
        </w:rPr>
        <w:t>“Furthermore, such…response entails a social opportunity cost since</w:t>
      </w:r>
      <w:proofErr w:type="gramStart"/>
      <w:r w:rsidRPr="00503F5B">
        <w:rPr>
          <w:sz w:val="20"/>
          <w:szCs w:val="20"/>
        </w:rPr>
        <w:t>…[</w:t>
      </w:r>
      <w:proofErr w:type="gramEnd"/>
      <w:r w:rsidRPr="00503F5B">
        <w:rPr>
          <w:sz w:val="20"/>
          <w:szCs w:val="20"/>
        </w:rPr>
        <w:t>emergency crews]…are withdrawn from other public services.  When an alarm is falsely activated, no one else in the community derives any benefit from the response to the false alarm.  Therefore, the community should not bear the cost.”</w:t>
      </w:r>
      <w:r w:rsidRPr="00503F5B">
        <w:rPr>
          <w:rStyle w:val="FootnoteReference"/>
          <w:sz w:val="20"/>
          <w:szCs w:val="20"/>
        </w:rPr>
        <w:footnoteReference w:id="90"/>
      </w:r>
      <w:r w:rsidRPr="00503F5B">
        <w:rPr>
          <w:sz w:val="20"/>
          <w:szCs w:val="20"/>
        </w:rPr>
        <w:t xml:space="preserve">  </w:t>
      </w:r>
    </w:p>
    <w:p w14:paraId="72114393" w14:textId="77777777" w:rsidR="004765B6" w:rsidRPr="00503F5B" w:rsidRDefault="004765B6" w:rsidP="004765B6">
      <w:pPr>
        <w:jc w:val="both"/>
      </w:pPr>
    </w:p>
    <w:p w14:paraId="1B5A5072" w14:textId="2705F091" w:rsidR="004765B6" w:rsidRPr="00503F5B" w:rsidRDefault="004765B6" w:rsidP="004765B6">
      <w:pPr>
        <w:jc w:val="both"/>
      </w:pPr>
      <w:r w:rsidRPr="00503F5B">
        <w:t xml:space="preserve">A ‘full cost recovery’ price, in the absence of any </w:t>
      </w:r>
      <w:r w:rsidR="00391FFF" w:rsidRPr="00503F5B">
        <w:t>third-party</w:t>
      </w:r>
      <w:r w:rsidRPr="00503F5B">
        <w:t xml:space="preserve"> effects, will encourage building owners, occupiers and </w:t>
      </w:r>
      <w:r w:rsidR="00ED46BB" w:rsidRPr="00503F5B">
        <w:t>owners’</w:t>
      </w:r>
      <w:r w:rsidRPr="00503F5B">
        <w:t xml:space="preserve"> corporations to proactively manage and maintain their automatic fire alarm systems</w:t>
      </w:r>
      <w:r w:rsidR="008D17F8" w:rsidRPr="00503F5B">
        <w:rPr>
          <w:rStyle w:val="FootnoteReference"/>
        </w:rPr>
        <w:footnoteReference w:id="91"/>
      </w:r>
      <w:r w:rsidRPr="00503F5B">
        <w:t>. Consequently, a departure from the full cost principle in terms of ‘efficiency’ is not justified.</w:t>
      </w:r>
    </w:p>
    <w:p w14:paraId="7C32A98F" w14:textId="3E9FC2BE" w:rsidR="00B72407" w:rsidRPr="00503F5B" w:rsidRDefault="00B72407" w:rsidP="00B72407">
      <w:pPr>
        <w:jc w:val="both"/>
      </w:pPr>
    </w:p>
    <w:p w14:paraId="5ACF4D70" w14:textId="7F2A96EB" w:rsidR="00FB6135" w:rsidRPr="00503F5B" w:rsidRDefault="00FB6135" w:rsidP="00FB6135">
      <w:pPr>
        <w:pStyle w:val="Heading3"/>
      </w:pPr>
      <w:bookmarkStart w:id="132" w:name="_Toc457772538"/>
      <w:bookmarkStart w:id="133" w:name="_Toc35804138"/>
      <w:bookmarkStart w:id="134" w:name="_Toc35804632"/>
      <w:bookmarkStart w:id="135" w:name="_Toc35812676"/>
      <w:r w:rsidRPr="00503F5B">
        <w:t>2.</w:t>
      </w:r>
      <w:r w:rsidR="003E489B" w:rsidRPr="00503F5B">
        <w:t>3</w:t>
      </w:r>
      <w:r w:rsidRPr="00503F5B">
        <w:t>.2 Equity objective</w:t>
      </w:r>
      <w:bookmarkEnd w:id="132"/>
      <w:bookmarkEnd w:id="133"/>
      <w:bookmarkEnd w:id="134"/>
      <w:bookmarkEnd w:id="135"/>
    </w:p>
    <w:p w14:paraId="5DDABB72" w14:textId="77777777" w:rsidR="00FB6135" w:rsidRPr="00503F5B" w:rsidRDefault="00FB6135" w:rsidP="00FB6135">
      <w:pPr>
        <w:jc w:val="both"/>
      </w:pPr>
    </w:p>
    <w:p w14:paraId="2B55E4A0" w14:textId="1FECA970" w:rsidR="00FB6135" w:rsidRPr="00503F5B" w:rsidRDefault="00FB6135" w:rsidP="00FB6135">
      <w:pPr>
        <w:jc w:val="both"/>
      </w:pPr>
      <w:r w:rsidRPr="00503F5B">
        <w:t xml:space="preserve">The costs of </w:t>
      </w:r>
      <w:r w:rsidR="000E0408" w:rsidRPr="00503F5B">
        <w:t>emergency</w:t>
      </w:r>
      <w:r w:rsidRPr="00503F5B">
        <w:t xml:space="preserve"> attendance services in the case of false alarms, as discussed in Section 2.1.1, need to be recovered “either from users or others who benefit from the good, service or activity; those whose actions give rise to it; or from taxpayers more generally.”</w:t>
      </w:r>
      <w:r w:rsidRPr="00503F5B">
        <w:rPr>
          <w:rStyle w:val="FootnoteReference"/>
        </w:rPr>
        <w:footnoteReference w:id="92"/>
      </w:r>
      <w:r w:rsidRPr="00503F5B">
        <w:t xml:space="preserve">  In other words, fees would need to be </w:t>
      </w:r>
      <w:r w:rsidRPr="00503F5B">
        <w:rPr>
          <w:i/>
        </w:rPr>
        <w:t>horizontally equitable</w:t>
      </w:r>
      <w:r w:rsidRPr="00503F5B">
        <w:t xml:space="preserve"> so that those who benefit from government activities, or those who contribute to the need for government regulation...[or services]… have to pay the associated costs.  This avoids the situation where taxpayers </w:t>
      </w:r>
      <w:proofErr w:type="gramStart"/>
      <w:r w:rsidRPr="00503F5B">
        <w:t>have to</w:t>
      </w:r>
      <w:proofErr w:type="gramEnd"/>
      <w:r w:rsidRPr="00503F5B">
        <w:t xml:space="preserve"> pay some or all the associated costs regardless of whether or not they benefit from, or give rise to, the need for emergency attendance services as in the case of false alarms.  </w:t>
      </w:r>
    </w:p>
    <w:p w14:paraId="19308A4C" w14:textId="77777777" w:rsidR="00FB6135" w:rsidRPr="00503F5B" w:rsidRDefault="00FB6135" w:rsidP="00FB6135">
      <w:pPr>
        <w:jc w:val="both"/>
      </w:pPr>
    </w:p>
    <w:p w14:paraId="7636339D" w14:textId="77777777" w:rsidR="00FB6135" w:rsidRPr="00503F5B" w:rsidRDefault="00FB6135" w:rsidP="00FB6135">
      <w:pPr>
        <w:jc w:val="both"/>
      </w:pPr>
      <w:r w:rsidRPr="00503F5B">
        <w:t>With this in mind, “the policy of not charging the full cost for false alarm response is inefficient and inequitable.  Response to a false alarm is a private service for which the activator of the false alarm should pay.”</w:t>
      </w:r>
      <w:r w:rsidRPr="00503F5B">
        <w:rPr>
          <w:rStyle w:val="FootnoteReference"/>
        </w:rPr>
        <w:footnoteReference w:id="93"/>
      </w:r>
    </w:p>
    <w:p w14:paraId="11FECD2A" w14:textId="77118B70" w:rsidR="00B72407" w:rsidRPr="00503F5B" w:rsidRDefault="00B72407" w:rsidP="00B72407">
      <w:pPr>
        <w:jc w:val="both"/>
      </w:pPr>
    </w:p>
    <w:p w14:paraId="2D4C3095" w14:textId="552CEF19" w:rsidR="00C62439" w:rsidRPr="00503F5B" w:rsidRDefault="00C62439" w:rsidP="00F66D4E">
      <w:pPr>
        <w:pStyle w:val="Heading3"/>
      </w:pPr>
      <w:bookmarkStart w:id="136" w:name="_Toc457772539"/>
      <w:bookmarkStart w:id="137" w:name="_Toc35804139"/>
      <w:bookmarkStart w:id="138" w:name="_Toc35804633"/>
      <w:bookmarkStart w:id="139" w:name="_Toc35812677"/>
      <w:r w:rsidRPr="00503F5B">
        <w:lastRenderedPageBreak/>
        <w:t>2.</w:t>
      </w:r>
      <w:r w:rsidR="003E489B" w:rsidRPr="00503F5B">
        <w:t>3</w:t>
      </w:r>
      <w:r w:rsidRPr="00503F5B">
        <w:t>.3 Effectiveness of fees</w:t>
      </w:r>
      <w:bookmarkEnd w:id="136"/>
      <w:bookmarkEnd w:id="137"/>
      <w:bookmarkEnd w:id="138"/>
      <w:bookmarkEnd w:id="139"/>
      <w:r w:rsidRPr="00503F5B">
        <w:t xml:space="preserve"> </w:t>
      </w:r>
    </w:p>
    <w:p w14:paraId="5EF091D4" w14:textId="77777777" w:rsidR="00C62439" w:rsidRPr="00503F5B" w:rsidRDefault="00C62439" w:rsidP="00C62439">
      <w:pPr>
        <w:jc w:val="both"/>
      </w:pPr>
    </w:p>
    <w:p w14:paraId="4E1759B7" w14:textId="50DE538A" w:rsidR="00C62439" w:rsidRPr="00503F5B" w:rsidRDefault="00C62439" w:rsidP="00C62439">
      <w:pPr>
        <w:jc w:val="both"/>
      </w:pPr>
      <w:r w:rsidRPr="00503F5B">
        <w:t xml:space="preserve">The effectiveness of fees is considered in the context of two possible unintended consequences of fees being set </w:t>
      </w:r>
      <w:r w:rsidRPr="00503F5B">
        <w:rPr>
          <w:i/>
        </w:rPr>
        <w:t>too high</w:t>
      </w:r>
      <w:r w:rsidRPr="00503F5B">
        <w:t xml:space="preserve"> including:</w:t>
      </w:r>
    </w:p>
    <w:p w14:paraId="70D9AA4D" w14:textId="77777777" w:rsidR="00C62439" w:rsidRPr="00503F5B" w:rsidRDefault="00C62439" w:rsidP="00C62439">
      <w:pPr>
        <w:jc w:val="both"/>
      </w:pPr>
    </w:p>
    <w:p w14:paraId="69675098" w14:textId="176CE4AD" w:rsidR="00C62439" w:rsidRPr="00503F5B" w:rsidRDefault="00C62439" w:rsidP="00101EC8">
      <w:pPr>
        <w:pStyle w:val="ListParagraph"/>
        <w:numPr>
          <w:ilvl w:val="0"/>
          <w:numId w:val="28"/>
        </w:numPr>
        <w:jc w:val="both"/>
      </w:pPr>
      <w:r w:rsidRPr="00503F5B">
        <w:rPr>
          <w:i/>
        </w:rPr>
        <w:t>Ris</w:t>
      </w:r>
      <w:r w:rsidR="00B9494F" w:rsidRPr="00503F5B">
        <w:rPr>
          <w:i/>
        </w:rPr>
        <w:t>k</w:t>
      </w:r>
      <w:r w:rsidRPr="00503F5B">
        <w:rPr>
          <w:i/>
        </w:rPr>
        <w:t xml:space="preserve"> taking behavio</w:t>
      </w:r>
      <w:r w:rsidR="00CD249A" w:rsidRPr="00503F5B">
        <w:rPr>
          <w:i/>
        </w:rPr>
        <w:t>u</w:t>
      </w:r>
      <w:r w:rsidRPr="00503F5B">
        <w:rPr>
          <w:i/>
        </w:rPr>
        <w:t>r of circumvention of ‘monitored’ alarm signalling systems</w:t>
      </w:r>
      <w:r w:rsidRPr="00503F5B">
        <w:t xml:space="preserve"> </w:t>
      </w:r>
      <w:proofErr w:type="gramStart"/>
      <w:r w:rsidRPr="00503F5B">
        <w:t>through:</w:t>
      </w:r>
      <w:proofErr w:type="gramEnd"/>
      <w:r w:rsidRPr="00503F5B">
        <w:t xml:space="preserve"> rewiring; isolation of ASEs; or isolation of circuits/zones at the Fire Indication Panel (FIP) (see Figure 2 in this RIS), such that systems only provide a local alarm instead of alerting </w:t>
      </w:r>
      <w:r w:rsidR="00595DFB" w:rsidRPr="00503F5B">
        <w:t>MFB</w:t>
      </w:r>
      <w:r w:rsidRPr="00503F5B">
        <w:t>; and</w:t>
      </w:r>
    </w:p>
    <w:p w14:paraId="3B8BC48A" w14:textId="77777777" w:rsidR="00C62439" w:rsidRPr="00503F5B" w:rsidRDefault="00C62439" w:rsidP="00C62439">
      <w:pPr>
        <w:jc w:val="both"/>
      </w:pPr>
    </w:p>
    <w:p w14:paraId="7BFFBC7E" w14:textId="5830AAED" w:rsidR="00C62439" w:rsidRPr="00503F5B" w:rsidRDefault="00C62439" w:rsidP="00101EC8">
      <w:pPr>
        <w:pStyle w:val="ListParagraph"/>
        <w:numPr>
          <w:ilvl w:val="0"/>
          <w:numId w:val="28"/>
        </w:numPr>
        <w:jc w:val="both"/>
      </w:pPr>
      <w:r w:rsidRPr="00503F5B">
        <w:rPr>
          <w:i/>
        </w:rPr>
        <w:t>Legal and administrative costs of additional</w:t>
      </w:r>
      <w:r w:rsidR="008E1F0B" w:rsidRPr="00503F5B">
        <w:rPr>
          <w:i/>
        </w:rPr>
        <w:t xml:space="preserve"> unmeritorious</w:t>
      </w:r>
      <w:r w:rsidRPr="00503F5B">
        <w:rPr>
          <w:i/>
        </w:rPr>
        <w:t xml:space="preserve"> VCAT disputes</w:t>
      </w:r>
      <w:r w:rsidRPr="00503F5B">
        <w:t xml:space="preserve"> due to high fees including time demands on operational members. </w:t>
      </w:r>
    </w:p>
    <w:p w14:paraId="2715D3B6" w14:textId="77777777" w:rsidR="00F85B9C" w:rsidRPr="00503F5B" w:rsidRDefault="00F85B9C" w:rsidP="00F85B9C">
      <w:pPr>
        <w:jc w:val="both"/>
      </w:pPr>
    </w:p>
    <w:p w14:paraId="1CEF303A" w14:textId="33AC829F" w:rsidR="00C62439" w:rsidRPr="00503F5B" w:rsidRDefault="00F85B9C" w:rsidP="00F66D4E">
      <w:pPr>
        <w:pStyle w:val="Heading4"/>
      </w:pPr>
      <w:r w:rsidRPr="00503F5B">
        <w:t>2.</w:t>
      </w:r>
      <w:r w:rsidR="003E489B" w:rsidRPr="00503F5B">
        <w:t>3</w:t>
      </w:r>
      <w:r w:rsidRPr="00503F5B">
        <w:t xml:space="preserve">.3.1 </w:t>
      </w:r>
      <w:r w:rsidR="00C62439" w:rsidRPr="00503F5B">
        <w:t>Risks taking behaviour of circumvention of ‘monitored’ alarm signalling systems</w:t>
      </w:r>
    </w:p>
    <w:p w14:paraId="1F19DDB1" w14:textId="77777777" w:rsidR="00C62439" w:rsidRPr="00503F5B" w:rsidRDefault="00C62439" w:rsidP="00C62439">
      <w:pPr>
        <w:jc w:val="both"/>
      </w:pPr>
    </w:p>
    <w:p w14:paraId="3E5A80C1" w14:textId="14A443ED" w:rsidR="00C62439" w:rsidRPr="00503F5B" w:rsidRDefault="00C62439" w:rsidP="00C62439">
      <w:pPr>
        <w:jc w:val="both"/>
      </w:pPr>
      <w:r w:rsidRPr="00503F5B">
        <w:t>A monitored system is different to a local fire alarm system in that a “local fire alarm system may sound an audible alarm at the site and the alarm is indicated on the local fire indicator panel (FIP), but the alarm is not connected to the fire services”</w:t>
      </w:r>
      <w:r w:rsidRPr="00503F5B">
        <w:rPr>
          <w:rStyle w:val="FootnoteReference"/>
        </w:rPr>
        <w:footnoteReference w:id="94"/>
      </w:r>
      <w:r w:rsidRPr="00503F5B">
        <w:t xml:space="preserve">.  Properly managed and maintained ‘monitored’ alarm systems are critical to being able to ‘effectively’ alert </w:t>
      </w:r>
      <w:r w:rsidR="00D23B9E" w:rsidRPr="00503F5B">
        <w:t>FRV</w:t>
      </w:r>
      <w:r w:rsidRPr="00503F5B">
        <w:t xml:space="preserve"> in the case of real emergencies</w:t>
      </w:r>
      <w:r w:rsidR="00C74244">
        <w:t>,</w:t>
      </w:r>
      <w:r w:rsidR="002300D8">
        <w:t xml:space="preserve"> </w:t>
      </w:r>
      <w:r w:rsidRPr="00503F5B">
        <w:t>enabling them to undertake firefighting operations including:</w:t>
      </w:r>
    </w:p>
    <w:p w14:paraId="310A4175" w14:textId="77777777" w:rsidR="00C62439" w:rsidRPr="00503F5B" w:rsidRDefault="00C62439" w:rsidP="00C62439">
      <w:pPr>
        <w:jc w:val="both"/>
      </w:pPr>
    </w:p>
    <w:p w14:paraId="717DFB12" w14:textId="77777777" w:rsidR="00C62439" w:rsidRPr="00503F5B" w:rsidRDefault="00C62439" w:rsidP="00101EC8">
      <w:pPr>
        <w:pStyle w:val="ListParagraph"/>
        <w:numPr>
          <w:ilvl w:val="0"/>
          <w:numId w:val="27"/>
        </w:numPr>
        <w:jc w:val="both"/>
      </w:pPr>
      <w:r w:rsidRPr="00503F5B">
        <w:t>protecting life, preventing injuries: and</w:t>
      </w:r>
    </w:p>
    <w:p w14:paraId="0915CC04" w14:textId="77777777" w:rsidR="00C62439" w:rsidRPr="00503F5B" w:rsidRDefault="00C62439" w:rsidP="00101EC8">
      <w:pPr>
        <w:pStyle w:val="ListParagraph"/>
        <w:numPr>
          <w:ilvl w:val="0"/>
          <w:numId w:val="27"/>
        </w:numPr>
        <w:jc w:val="both"/>
      </w:pPr>
      <w:r w:rsidRPr="00503F5B">
        <w:t xml:space="preserve">protecting property and the environment, minimising damage caused by fire and other hazardous materials, </w:t>
      </w:r>
    </w:p>
    <w:p w14:paraId="24406D47" w14:textId="77777777" w:rsidR="00C62439" w:rsidRPr="00503F5B" w:rsidRDefault="00C62439" w:rsidP="00C62439">
      <w:pPr>
        <w:jc w:val="both"/>
      </w:pPr>
    </w:p>
    <w:p w14:paraId="56ACFCA1" w14:textId="1FE11B68" w:rsidR="00C62439" w:rsidRPr="00503F5B" w:rsidRDefault="00C62439" w:rsidP="00C62439">
      <w:pPr>
        <w:jc w:val="both"/>
      </w:pPr>
      <w:proofErr w:type="gramStart"/>
      <w:r w:rsidRPr="00503F5B">
        <w:t>th</w:t>
      </w:r>
      <w:r w:rsidR="00391FFF" w:rsidRPr="00503F5B">
        <w:t>us</w:t>
      </w:r>
      <w:proofErr w:type="gramEnd"/>
      <w:r w:rsidRPr="00503F5B">
        <w:t xml:space="preserve"> saving costs – time and money.</w:t>
      </w:r>
      <w:r w:rsidRPr="00503F5B">
        <w:rPr>
          <w:rStyle w:val="FootnoteReference"/>
        </w:rPr>
        <w:footnoteReference w:id="95"/>
      </w:r>
    </w:p>
    <w:p w14:paraId="4564A366" w14:textId="77777777" w:rsidR="00C62439" w:rsidRPr="00503F5B" w:rsidRDefault="00C62439" w:rsidP="00C62439">
      <w:pPr>
        <w:jc w:val="both"/>
      </w:pPr>
    </w:p>
    <w:p w14:paraId="40DD6402" w14:textId="4E332C51" w:rsidR="00C62439" w:rsidRPr="00503F5B" w:rsidRDefault="00C62439" w:rsidP="00C62439">
      <w:pPr>
        <w:jc w:val="both"/>
      </w:pPr>
      <w:r w:rsidRPr="00503F5B">
        <w:t xml:space="preserve">However, if ‘monitored’ alarm systems are circumvented (i.e. turning them from monitored systems into ‘local’ alarm systems) </w:t>
      </w:r>
      <w:proofErr w:type="gramStart"/>
      <w:r w:rsidRPr="00503F5B">
        <w:t>in an attempt to</w:t>
      </w:r>
      <w:proofErr w:type="gramEnd"/>
      <w:r w:rsidRPr="00503F5B">
        <w:t xml:space="preserve"> avoid false alarm charges</w:t>
      </w:r>
      <w:r w:rsidR="00B9494F" w:rsidRPr="00503F5B">
        <w:t xml:space="preserve">, </w:t>
      </w:r>
      <w:r w:rsidRPr="00503F5B">
        <w:t>then the ‘effectiveness’ of such systems in the event of a real emergency is diminished through such risk</w:t>
      </w:r>
      <w:r w:rsidR="00DC0C84" w:rsidRPr="00503F5B">
        <w:t>-</w:t>
      </w:r>
      <w:r w:rsidRPr="00503F5B">
        <w:t xml:space="preserve">taking behaviour.  In such a case, the owner’s behaviour </w:t>
      </w:r>
      <w:r w:rsidR="00C559F3">
        <w:t xml:space="preserve">may </w:t>
      </w:r>
      <w:r w:rsidRPr="00503F5B">
        <w:t xml:space="preserve">be guided by the principle </w:t>
      </w:r>
      <w:r w:rsidRPr="00503F5B">
        <w:rPr>
          <w:i/>
        </w:rPr>
        <w:t>‘it will never happen to me’</w:t>
      </w:r>
      <w:r w:rsidRPr="00503F5B">
        <w:t xml:space="preserve">, and reflects a similar risk preference as individuals who do not undertake </w:t>
      </w:r>
      <w:proofErr w:type="gramStart"/>
      <w:r w:rsidRPr="00503F5B">
        <w:t>sufficient</w:t>
      </w:r>
      <w:proofErr w:type="gramEnd"/>
      <w:r w:rsidRPr="00503F5B">
        <w:t xml:space="preserve"> insurance.  Circumvention can occur through rewiring; isolation of ASEs</w:t>
      </w:r>
      <w:r w:rsidR="00DC0C84" w:rsidRPr="00503F5B">
        <w:t xml:space="preserve"> (i.e. cutting of the signal to the monitoring company)</w:t>
      </w:r>
      <w:r w:rsidRPr="00503F5B">
        <w:t>; or isolation of circuits/zones at the Fire Indication Panel (FIP).</w:t>
      </w:r>
    </w:p>
    <w:p w14:paraId="02923B70" w14:textId="3EFEE82B" w:rsidR="00F66D4E" w:rsidRPr="00503F5B" w:rsidRDefault="00F66D4E" w:rsidP="00C62439">
      <w:pPr>
        <w:jc w:val="both"/>
      </w:pPr>
    </w:p>
    <w:p w14:paraId="541D811B" w14:textId="13793F75" w:rsidR="00F66D4E" w:rsidRPr="00503F5B" w:rsidRDefault="00F66D4E" w:rsidP="00C62439">
      <w:pPr>
        <w:jc w:val="both"/>
      </w:pPr>
      <w:r w:rsidRPr="00503F5B">
        <w:t xml:space="preserve">Even at </w:t>
      </w:r>
      <w:r w:rsidRPr="00503F5B">
        <w:rPr>
          <w:i/>
          <w:iCs/>
        </w:rPr>
        <w:t>current fees</w:t>
      </w:r>
      <w:r w:rsidRPr="00503F5B">
        <w:t xml:space="preserve"> planned circumvention of monitored alarms occurs. </w:t>
      </w:r>
      <w:r w:rsidR="008B5E94">
        <w:t>A</w:t>
      </w:r>
      <w:r w:rsidR="00C559F3">
        <w:t>necdotal evidence from the MFB suggest that some businesses may</w:t>
      </w:r>
      <w:r w:rsidR="001812D0">
        <w:t xml:space="preserve"> </w:t>
      </w:r>
      <w:r w:rsidRPr="00503F5B">
        <w:t>deliberately circumvent their monitored alarm systems during specific times placing occupants at potential risk in the face of delayed response by FRV.</w:t>
      </w:r>
      <w:r w:rsidR="00DF00E3" w:rsidRPr="00503F5B">
        <w:rPr>
          <w:rStyle w:val="FootnoteReference"/>
        </w:rPr>
        <w:footnoteReference w:id="96"/>
      </w:r>
    </w:p>
    <w:p w14:paraId="08528668" w14:textId="77777777" w:rsidR="00C62439" w:rsidRPr="00503F5B" w:rsidRDefault="00C62439" w:rsidP="00C62439">
      <w:pPr>
        <w:jc w:val="both"/>
      </w:pPr>
    </w:p>
    <w:p w14:paraId="60FB09EA" w14:textId="77777777" w:rsidR="00C62439" w:rsidRPr="00503F5B" w:rsidRDefault="00C62439" w:rsidP="00C62439">
      <w:pPr>
        <w:jc w:val="both"/>
        <w:rPr>
          <w:b/>
        </w:rPr>
      </w:pPr>
      <w:r w:rsidRPr="00503F5B">
        <w:rPr>
          <w:b/>
        </w:rPr>
        <w:t>Isolation of ASEs</w:t>
      </w:r>
    </w:p>
    <w:p w14:paraId="19B83073" w14:textId="77777777" w:rsidR="00C62439" w:rsidRPr="00503F5B" w:rsidRDefault="00C62439" w:rsidP="00C62439">
      <w:pPr>
        <w:jc w:val="both"/>
      </w:pPr>
    </w:p>
    <w:p w14:paraId="4A276878" w14:textId="2BB477F8" w:rsidR="00C62439" w:rsidRPr="00503F5B" w:rsidRDefault="00C62439" w:rsidP="00C62439">
      <w:pPr>
        <w:jc w:val="both"/>
      </w:pPr>
      <w:r w:rsidRPr="00503F5B">
        <w:t xml:space="preserve">To isolate an ASE, the owner of an automated fire alarm system must have a building permit from a registered building surveyor and/or a reasonable excuse. The isolation of the ASE involves cutting of the signal to the monitoring company (See ASE in Figure 2 in this RIS).  The isolation of ASEs can be monitored by </w:t>
      </w:r>
      <w:r w:rsidR="00C25D17" w:rsidRPr="00503F5B">
        <w:t>FRV</w:t>
      </w:r>
      <w:r w:rsidRPr="00503F5B">
        <w:t xml:space="preserve"> because of data provided by the monitoring </w:t>
      </w:r>
      <w:r w:rsidRPr="00503F5B">
        <w:lastRenderedPageBreak/>
        <w:t>company</w:t>
      </w:r>
      <w:r w:rsidR="00DC0C84" w:rsidRPr="00503F5B">
        <w:t>, allowing</w:t>
      </w:r>
      <w:r w:rsidRPr="00503F5B">
        <w:t xml:space="preserve"> </w:t>
      </w:r>
      <w:r w:rsidR="00C25D17" w:rsidRPr="00503F5B">
        <w:t>FRV</w:t>
      </w:r>
      <w:r w:rsidRPr="00503F5B">
        <w:t xml:space="preserve"> can get oversight of this </w:t>
      </w:r>
      <w:proofErr w:type="gramStart"/>
      <w:r w:rsidRPr="00503F5B">
        <w:t>particular method</w:t>
      </w:r>
      <w:proofErr w:type="gramEnd"/>
      <w:r w:rsidRPr="00503F5B">
        <w:t xml:space="preserve"> of circumvention.  Hence this method of circumvention is </w:t>
      </w:r>
      <w:r w:rsidRPr="00503F5B">
        <w:rPr>
          <w:i/>
        </w:rPr>
        <w:t>less likely</w:t>
      </w:r>
      <w:r w:rsidRPr="00503F5B">
        <w:t xml:space="preserve"> to pose a risk to enabling</w:t>
      </w:r>
      <w:r w:rsidR="00C25D17" w:rsidRPr="00503F5B">
        <w:t xml:space="preserve"> FRV</w:t>
      </w:r>
      <w:r w:rsidRPr="00503F5B">
        <w:t xml:space="preserve"> to undertake firefighting operations in real emergencies through delayed response.</w:t>
      </w:r>
    </w:p>
    <w:p w14:paraId="51B4E293" w14:textId="236506DB" w:rsidR="00F67770" w:rsidRPr="00503F5B" w:rsidRDefault="00F67770" w:rsidP="00C62439">
      <w:pPr>
        <w:jc w:val="both"/>
      </w:pPr>
    </w:p>
    <w:p w14:paraId="75C4D726" w14:textId="53F101C4" w:rsidR="00F67770" w:rsidRPr="00503F5B" w:rsidRDefault="00F67770" w:rsidP="00C62439">
      <w:pPr>
        <w:jc w:val="both"/>
      </w:pPr>
      <w:r w:rsidRPr="00503F5B">
        <w:t>In 2019 there were 525 instances of the entire ASE being isolated for 15 hours or more per day for 2 or more consecutive weeks</w:t>
      </w:r>
      <w:r w:rsidRPr="00503F5B">
        <w:rPr>
          <w:rStyle w:val="FootnoteReference"/>
        </w:rPr>
        <w:footnoteReference w:id="97"/>
      </w:r>
      <w:r w:rsidRPr="00503F5B">
        <w:t>.</w:t>
      </w:r>
    </w:p>
    <w:p w14:paraId="17C10597" w14:textId="77777777" w:rsidR="00F66D4E" w:rsidRPr="00503F5B" w:rsidRDefault="00F66D4E" w:rsidP="00C62439">
      <w:pPr>
        <w:jc w:val="both"/>
      </w:pPr>
    </w:p>
    <w:p w14:paraId="72653475" w14:textId="37319287" w:rsidR="00C62439" w:rsidRPr="00503F5B" w:rsidRDefault="00C62439" w:rsidP="00C62439">
      <w:pPr>
        <w:jc w:val="both"/>
        <w:rPr>
          <w:b/>
        </w:rPr>
      </w:pPr>
      <w:r w:rsidRPr="00503F5B">
        <w:rPr>
          <w:b/>
        </w:rPr>
        <w:t>Interference with the Fire Indicator Panel (FIP) – Circuit and Zone isolations</w:t>
      </w:r>
    </w:p>
    <w:p w14:paraId="2F9A68D0" w14:textId="77777777" w:rsidR="00C62439" w:rsidRPr="00503F5B" w:rsidRDefault="00C62439" w:rsidP="00C62439">
      <w:pPr>
        <w:jc w:val="both"/>
      </w:pPr>
    </w:p>
    <w:p w14:paraId="51B3B43A" w14:textId="79AE5C72" w:rsidR="00C62439" w:rsidRPr="00503F5B" w:rsidRDefault="00C62439" w:rsidP="00C62439">
      <w:pPr>
        <w:jc w:val="both"/>
      </w:pPr>
      <w:r w:rsidRPr="00503F5B">
        <w:t xml:space="preserve">Under </w:t>
      </w:r>
      <w:r w:rsidR="00B9494F" w:rsidRPr="00503F5B">
        <w:t>s</w:t>
      </w:r>
      <w:r w:rsidRPr="00503F5B">
        <w:t xml:space="preserve">ection 75B in the Act it is an offence in Victoria (attracting </w:t>
      </w:r>
      <w:r w:rsidR="00B9494F" w:rsidRPr="00503F5B">
        <w:t xml:space="preserve">a maximum fine of </w:t>
      </w:r>
      <w:r w:rsidRPr="00503F5B">
        <w:t>60 penalty units</w:t>
      </w:r>
      <w:r w:rsidRPr="00503F5B">
        <w:rPr>
          <w:rStyle w:val="FootnoteReference"/>
        </w:rPr>
        <w:footnoteReference w:id="98"/>
      </w:r>
      <w:r w:rsidRPr="00503F5B">
        <w:t>) to damage or interfere with a fire indicator panel (including any action that causes the transmission of the signal to the fire services to be isolated, disconnected or disabled) without reasonable excuse.</w:t>
      </w:r>
      <w:r w:rsidRPr="00503F5B">
        <w:rPr>
          <w:rStyle w:val="FootnoteReference"/>
        </w:rPr>
        <w:footnoteReference w:id="99"/>
      </w:r>
      <w:r w:rsidRPr="00503F5B">
        <w:t xml:space="preserve"> </w:t>
      </w:r>
    </w:p>
    <w:p w14:paraId="7615E58A" w14:textId="77777777" w:rsidR="00C62439" w:rsidRPr="00503F5B" w:rsidRDefault="00C62439" w:rsidP="00C62439">
      <w:pPr>
        <w:jc w:val="both"/>
      </w:pPr>
    </w:p>
    <w:p w14:paraId="6042C438" w14:textId="4FE97177" w:rsidR="00085315" w:rsidRPr="00503F5B" w:rsidRDefault="00C62439" w:rsidP="00C62439">
      <w:pPr>
        <w:jc w:val="both"/>
      </w:pPr>
      <w:r w:rsidRPr="00503F5B">
        <w:t xml:space="preserve">Notwithstanding the </w:t>
      </w:r>
      <w:proofErr w:type="gramStart"/>
      <w:r w:rsidRPr="00503F5B">
        <w:t>aforementioned offence</w:t>
      </w:r>
      <w:proofErr w:type="gramEnd"/>
      <w:r w:rsidRPr="00503F5B">
        <w:t xml:space="preserve">, the owner can keep the ASE connected and functioning but then isolate circuits or zones on the </w:t>
      </w:r>
      <w:r w:rsidR="00B9494F" w:rsidRPr="00503F5B">
        <w:t>Fire Indicator Panel (</w:t>
      </w:r>
      <w:r w:rsidRPr="00503F5B">
        <w:t>FIP</w:t>
      </w:r>
      <w:r w:rsidR="00B9494F" w:rsidRPr="00503F5B">
        <w:t>)</w:t>
      </w:r>
      <w:r w:rsidRPr="00503F5B">
        <w:t xml:space="preserve"> – which is what talks to the ASE (see FIP in Figure 2 in this RIS).  Under this scenario, an owner faced with the prospect of a </w:t>
      </w:r>
      <w:r w:rsidRPr="00503F5B">
        <w:rPr>
          <w:i/>
        </w:rPr>
        <w:t>high false alarm charge</w:t>
      </w:r>
      <w:r w:rsidRPr="00503F5B">
        <w:t xml:space="preserve"> </w:t>
      </w:r>
      <w:r w:rsidR="00C559F3">
        <w:t xml:space="preserve">may have an incentive </w:t>
      </w:r>
      <w:r w:rsidRPr="00503F5B">
        <w:t xml:space="preserve">to interfere with the FIP. Hence this method of circumvention is </w:t>
      </w:r>
      <w:r w:rsidRPr="00503F5B">
        <w:rPr>
          <w:i/>
        </w:rPr>
        <w:t>more likely</w:t>
      </w:r>
      <w:r w:rsidRPr="00503F5B">
        <w:t xml:space="preserve"> to pose a risk to enabling </w:t>
      </w:r>
      <w:r w:rsidR="00D23B9E" w:rsidRPr="00503F5B">
        <w:t>FRV</w:t>
      </w:r>
      <w:r w:rsidRPr="00503F5B">
        <w:t xml:space="preserve"> to undertake firefighting operations.</w:t>
      </w:r>
      <w:r w:rsidR="00F66D4E" w:rsidRPr="00503F5B">
        <w:t xml:space="preserve">  </w:t>
      </w:r>
    </w:p>
    <w:p w14:paraId="32E4728F" w14:textId="77777777" w:rsidR="00C62439" w:rsidRPr="00503F5B" w:rsidRDefault="00C62439" w:rsidP="00C62439">
      <w:pPr>
        <w:jc w:val="both"/>
        <w:rPr>
          <w:b/>
        </w:rPr>
      </w:pPr>
    </w:p>
    <w:p w14:paraId="010BA4AE" w14:textId="77777777" w:rsidR="00C62439" w:rsidRPr="00503F5B" w:rsidRDefault="00C62439" w:rsidP="00C62439">
      <w:pPr>
        <w:jc w:val="both"/>
      </w:pPr>
      <w:r w:rsidRPr="00503F5B">
        <w:rPr>
          <w:b/>
        </w:rPr>
        <w:t>Rewiring</w:t>
      </w:r>
    </w:p>
    <w:p w14:paraId="36B95AB0" w14:textId="77777777" w:rsidR="00C62439" w:rsidRPr="00503F5B" w:rsidRDefault="00C62439" w:rsidP="00C62439">
      <w:pPr>
        <w:jc w:val="both"/>
      </w:pPr>
    </w:p>
    <w:p w14:paraId="7FD8E39B" w14:textId="0D0B22DA" w:rsidR="00C62439" w:rsidRPr="00503F5B" w:rsidRDefault="00C62439" w:rsidP="00C62439">
      <w:pPr>
        <w:jc w:val="both"/>
      </w:pPr>
      <w:r w:rsidRPr="00503F5B">
        <w:t xml:space="preserve">Rewiring involves wiring the automated fire alarm system in such a way that interferes with the signal going from smoke or thermal detectors to a FIP or from a FIP, Valve Monitor Alarm, or a Sprinkler System going to an ASE (see Figure 2 in this RIS).  In this way the owner again isolates their automated fire alarm system by either turning it into a local alarm or removing the automated alarm capability completely. As </w:t>
      </w:r>
      <w:r w:rsidR="00D23B9E" w:rsidRPr="00503F5B">
        <w:t>FRV</w:t>
      </w:r>
      <w:r w:rsidR="005346B8" w:rsidRPr="00503F5B">
        <w:t xml:space="preserve"> would</w:t>
      </w:r>
      <w:r w:rsidRPr="00503F5B">
        <w:t xml:space="preserve"> not have oversight of rewiring activities, this method of circumvention is </w:t>
      </w:r>
      <w:r w:rsidRPr="00503F5B">
        <w:rPr>
          <w:i/>
        </w:rPr>
        <w:t>more likely</w:t>
      </w:r>
      <w:r w:rsidRPr="00503F5B">
        <w:t xml:space="preserve"> to pose a risk to enabling </w:t>
      </w:r>
      <w:r w:rsidR="00D23B9E" w:rsidRPr="00503F5B">
        <w:t>FRV</w:t>
      </w:r>
      <w:r w:rsidRPr="00503F5B">
        <w:t xml:space="preserve"> to undertake firefighting operations.</w:t>
      </w:r>
    </w:p>
    <w:p w14:paraId="771F36F4" w14:textId="7B396E6C" w:rsidR="00B72407" w:rsidRPr="00503F5B" w:rsidRDefault="00B72407" w:rsidP="00B72407">
      <w:pPr>
        <w:jc w:val="both"/>
      </w:pPr>
    </w:p>
    <w:p w14:paraId="2EF7053D" w14:textId="45FBE905" w:rsidR="006250D0" w:rsidRPr="006250D0" w:rsidRDefault="006250D0" w:rsidP="006250D0">
      <w:pPr>
        <w:rPr>
          <w:rFonts w:eastAsiaTheme="minorHAnsi" w:cs="Calibri"/>
          <w:color w:val="auto"/>
        </w:rPr>
      </w:pPr>
      <w:r>
        <w:t>Data analysis and audits undertaken by MFB, along with anecdotal feedback from operational staff, demonstrates that there is already a proportion of incorrectly wired ASEs in the community, although this has reduced following increased compliance efforts by MFB in recent times. Available data, while limited and indicative only, suggests that this could be in the order of 1</w:t>
      </w:r>
      <w:r w:rsidR="001B042C">
        <w:t>0</w:t>
      </w:r>
      <w:r>
        <w:t xml:space="preserve"> per cent of ASEs.</w:t>
      </w:r>
    </w:p>
    <w:p w14:paraId="5CDF548A" w14:textId="7EBB09CC" w:rsidR="00B72407" w:rsidRPr="00503F5B" w:rsidRDefault="00B72407" w:rsidP="00B72407">
      <w:pPr>
        <w:jc w:val="both"/>
      </w:pPr>
    </w:p>
    <w:p w14:paraId="41E9525C" w14:textId="7F44C987" w:rsidR="00D65003" w:rsidRPr="00503F5B" w:rsidRDefault="00F66D4E" w:rsidP="00F66D4E">
      <w:pPr>
        <w:pStyle w:val="Heading4"/>
      </w:pPr>
      <w:r w:rsidRPr="00503F5B">
        <w:t>2.</w:t>
      </w:r>
      <w:r w:rsidR="003E489B" w:rsidRPr="00503F5B">
        <w:t>3</w:t>
      </w:r>
      <w:r w:rsidRPr="00503F5B">
        <w:t xml:space="preserve">.3.2 </w:t>
      </w:r>
      <w:r w:rsidR="00D65003" w:rsidRPr="00503F5B">
        <w:t xml:space="preserve">Effect of circumvention of ‘monitored’ fire alarms </w:t>
      </w:r>
    </w:p>
    <w:p w14:paraId="2F0972BB" w14:textId="77777777" w:rsidR="00D65003" w:rsidRPr="00503F5B" w:rsidRDefault="00D65003" w:rsidP="00517C6D"/>
    <w:p w14:paraId="18834B93" w14:textId="1DD2D3AF" w:rsidR="00D65003" w:rsidRPr="00503F5B" w:rsidRDefault="00D65003" w:rsidP="00D65003">
      <w:pPr>
        <w:jc w:val="both"/>
      </w:pPr>
      <w:r w:rsidRPr="00503F5B">
        <w:t>A delayed response to a real emergency caused by circumvention activities (interfering with the FIP or rewiring, in particular) by those wishing to avoid high false alarm charges</w:t>
      </w:r>
      <w:r w:rsidR="00DF6901" w:rsidRPr="00503F5B">
        <w:t xml:space="preserve">, </w:t>
      </w:r>
      <w:r w:rsidRPr="00503F5B">
        <w:t>has the potential to result in the loss of life, injury, or damage to property and the environment.  Looking at loss of life alone, according to the Office of Best Practice Regulation (OBPR), the value of statistical life (VOSL) which reflects an estimate of the financial value society places on reducing the average number of deaths by one, is worth $4.67 million</w:t>
      </w:r>
      <w:r w:rsidRPr="00503F5B">
        <w:rPr>
          <w:rStyle w:val="FootnoteReference"/>
        </w:rPr>
        <w:footnoteReference w:id="100"/>
      </w:r>
      <w:r w:rsidRPr="00503F5B">
        <w:t xml:space="preserve">.  Hence the result </w:t>
      </w:r>
      <w:r w:rsidRPr="00503F5B">
        <w:lastRenderedPageBreak/>
        <w:t xml:space="preserve">of just one death as a result </w:t>
      </w:r>
      <w:r w:rsidR="00DF6901" w:rsidRPr="00503F5B">
        <w:t>of</w:t>
      </w:r>
      <w:r w:rsidRPr="00503F5B">
        <w:t xml:space="preserve"> circumvention activities motivated by high fees would be associated with a VOSL of $4.67 million.</w:t>
      </w:r>
      <w:r w:rsidR="00B53160" w:rsidRPr="00503F5B">
        <w:t xml:space="preserve"> </w:t>
      </w:r>
    </w:p>
    <w:p w14:paraId="51E68B4B" w14:textId="147A93D7" w:rsidR="009D41BF" w:rsidRPr="00503F5B" w:rsidRDefault="009D41BF" w:rsidP="00B72407">
      <w:pPr>
        <w:jc w:val="both"/>
      </w:pPr>
    </w:p>
    <w:p w14:paraId="498866D5" w14:textId="24177345" w:rsidR="00D65003" w:rsidRPr="00503F5B" w:rsidRDefault="00B53160" w:rsidP="00D65003">
      <w:pPr>
        <w:jc w:val="both"/>
        <w:rPr>
          <w:lang w:eastAsia="en-AU"/>
        </w:rPr>
      </w:pPr>
      <w:r w:rsidRPr="00503F5B">
        <w:rPr>
          <w:lang w:eastAsia="en-AU"/>
        </w:rPr>
        <w:t>As an indicative illustration of the potential impact of circumvention activities, it is noted that t</w:t>
      </w:r>
      <w:r w:rsidR="00D65003" w:rsidRPr="00503F5B">
        <w:rPr>
          <w:lang w:eastAsia="en-AU"/>
        </w:rPr>
        <w:t>he average cost of an adult burns patient in Australia is determined to be $81,435</w:t>
      </w:r>
      <w:r w:rsidR="00D65003" w:rsidRPr="00503F5B">
        <w:rPr>
          <w:rStyle w:val="FootnoteReference"/>
          <w:szCs w:val="24"/>
          <w:lang w:eastAsia="en-AU"/>
        </w:rPr>
        <w:footnoteReference w:id="101"/>
      </w:r>
      <w:r w:rsidR="00D65003" w:rsidRPr="00503F5B">
        <w:rPr>
          <w:lang w:eastAsia="en-AU"/>
        </w:rPr>
        <w:t xml:space="preserve"> in 201</w:t>
      </w:r>
      <w:r w:rsidRPr="00503F5B">
        <w:rPr>
          <w:lang w:eastAsia="en-AU"/>
        </w:rPr>
        <w:t>9</w:t>
      </w:r>
      <w:r w:rsidR="00D65003" w:rsidRPr="00503F5B">
        <w:rPr>
          <w:lang w:eastAsia="en-AU"/>
        </w:rPr>
        <w:t xml:space="preserve">.  Assuming that there were 10 </w:t>
      </w:r>
      <w:r w:rsidR="000C18EC" w:rsidRPr="00503F5B">
        <w:rPr>
          <w:lang w:eastAsia="en-AU"/>
        </w:rPr>
        <w:t>additional</w:t>
      </w:r>
      <w:r w:rsidR="00D65003" w:rsidRPr="00503F5B">
        <w:rPr>
          <w:lang w:eastAsia="en-AU"/>
        </w:rPr>
        <w:t xml:space="preserve"> burn victims per annum as a result of circumvention activities (i.e. </w:t>
      </w:r>
      <w:proofErr w:type="gramStart"/>
      <w:r w:rsidR="00D65003" w:rsidRPr="00503F5B">
        <w:rPr>
          <w:lang w:eastAsia="en-AU"/>
        </w:rPr>
        <w:t>risk taking</w:t>
      </w:r>
      <w:proofErr w:type="gramEnd"/>
      <w:r w:rsidR="00D65003" w:rsidRPr="00503F5B">
        <w:rPr>
          <w:lang w:eastAsia="en-AU"/>
        </w:rPr>
        <w:t xml:space="preserve"> behaviour in the face of high false alarm fees), this wou</w:t>
      </w:r>
      <w:r w:rsidR="00F974B2">
        <w:rPr>
          <w:lang w:eastAsia="en-AU"/>
        </w:rPr>
        <w:t>l</w:t>
      </w:r>
      <w:r w:rsidR="00D65003" w:rsidRPr="00503F5B">
        <w:rPr>
          <w:lang w:eastAsia="en-AU"/>
        </w:rPr>
        <w:t>d result in an annual cost of</w:t>
      </w:r>
      <w:r w:rsidR="00DC0C84" w:rsidRPr="00503F5B">
        <w:rPr>
          <w:lang w:eastAsia="en-AU"/>
        </w:rPr>
        <w:t xml:space="preserve"> </w:t>
      </w:r>
      <w:r w:rsidR="00D65003" w:rsidRPr="00503F5B">
        <w:rPr>
          <w:lang w:eastAsia="en-AU"/>
        </w:rPr>
        <w:t>$0.81 million per annum.</w:t>
      </w:r>
    </w:p>
    <w:p w14:paraId="6062C27A" w14:textId="77777777" w:rsidR="00D65003" w:rsidRPr="00503F5B" w:rsidRDefault="00D65003" w:rsidP="00D65003">
      <w:pPr>
        <w:rPr>
          <w:sz w:val="20"/>
          <w:lang w:eastAsia="en-AU"/>
        </w:rPr>
      </w:pPr>
    </w:p>
    <w:p w14:paraId="10DDCCDA" w14:textId="0EBCFB48" w:rsidR="00D65003" w:rsidRPr="00503F5B" w:rsidRDefault="00D65003" w:rsidP="00D65003">
      <w:pPr>
        <w:jc w:val="both"/>
      </w:pPr>
      <w:r w:rsidRPr="00503F5B">
        <w:t xml:space="preserve">With respect to property and the environment, given the nature of large structures involved such as </w:t>
      </w:r>
      <w:r w:rsidR="00DF6901" w:rsidRPr="00503F5B">
        <w:t xml:space="preserve">multi-story </w:t>
      </w:r>
      <w:r w:rsidRPr="00503F5B">
        <w:t xml:space="preserve">apartment complexes in Docklands, the impact of a circumvention and consequential delay in responding to a real emergency could have greater consequences including impacts on surrounding structures. </w:t>
      </w:r>
    </w:p>
    <w:p w14:paraId="28088803" w14:textId="77777777" w:rsidR="00D65003" w:rsidRPr="00503F5B" w:rsidRDefault="00D65003" w:rsidP="00D65003">
      <w:pPr>
        <w:jc w:val="both"/>
      </w:pPr>
    </w:p>
    <w:p w14:paraId="16577A76" w14:textId="59B3026E" w:rsidR="00D65003" w:rsidRPr="00503F5B" w:rsidRDefault="00D65003" w:rsidP="00D65003">
      <w:pPr>
        <w:jc w:val="both"/>
      </w:pPr>
      <w:r w:rsidRPr="00D60FCB">
        <w:t xml:space="preserve">Of </w:t>
      </w:r>
      <w:proofErr w:type="gramStart"/>
      <w:r w:rsidRPr="00D60FCB">
        <w:t>particular note</w:t>
      </w:r>
      <w:proofErr w:type="gramEnd"/>
      <w:r w:rsidRPr="00D60FCB">
        <w:t xml:space="preserve"> is where property/building owners have used cheaper fire cladding, not rated to the appropriate fire standards. This </w:t>
      </w:r>
      <w:r w:rsidR="00DF78DD" w:rsidRPr="00D60FCB">
        <w:t>risk-taking</w:t>
      </w:r>
      <w:r w:rsidRPr="00D60FCB">
        <w:t xml:space="preserve"> behaviour </w:t>
      </w:r>
      <w:r w:rsidR="00D60FCB">
        <w:t>possibly could</w:t>
      </w:r>
      <w:r w:rsidRPr="00D60FCB">
        <w:t xml:space="preserve"> translate to attitudes and maintenance around monitored fire alarm systems. The key motivation will be around saving ongoing costs and such owners could also be influenced by high false alarm charges and might attempt to circumvent their systems.</w:t>
      </w:r>
    </w:p>
    <w:p w14:paraId="0B4E5B97" w14:textId="2EFD33A3" w:rsidR="00D65003" w:rsidRPr="00503F5B" w:rsidRDefault="00D65003" w:rsidP="00D65003">
      <w:pPr>
        <w:jc w:val="both"/>
      </w:pPr>
      <w:r w:rsidRPr="00503F5B">
        <w:t>In th</w:t>
      </w:r>
      <w:r w:rsidR="00F66D4E" w:rsidRPr="00503F5B">
        <w:t xml:space="preserve">ese </w:t>
      </w:r>
      <w:r w:rsidRPr="00503F5B">
        <w:t>cases</w:t>
      </w:r>
      <w:r w:rsidR="00F66D4E" w:rsidRPr="00503F5B">
        <w:t>,</w:t>
      </w:r>
      <w:r w:rsidRPr="00503F5B">
        <w:t xml:space="preserve"> the likelihood of circumvention in the face of high false </w:t>
      </w:r>
      <w:r w:rsidR="00DF78DD" w:rsidRPr="00503F5B">
        <w:t>alarm</w:t>
      </w:r>
      <w:r w:rsidRPr="00503F5B">
        <w:t xml:space="preserve"> charges might be low</w:t>
      </w:r>
      <w:r w:rsidR="00DF6901" w:rsidRPr="00503F5B">
        <w:t>,</w:t>
      </w:r>
      <w:r w:rsidRPr="00503F5B">
        <w:t xml:space="preserve"> however the consequences in term of loss of life, injury, property and the environment would be high.</w:t>
      </w:r>
      <w:r w:rsidR="00CA6FAE" w:rsidRPr="00503F5B">
        <w:t xml:space="preserve"> However, it is also important to note that there is currently no evidence of a causal link between a </w:t>
      </w:r>
      <w:proofErr w:type="gramStart"/>
      <w:r w:rsidR="00CA6FAE" w:rsidRPr="00503F5B">
        <w:t>particular level</w:t>
      </w:r>
      <w:proofErr w:type="gramEnd"/>
      <w:r w:rsidR="00CA6FAE" w:rsidRPr="00503F5B">
        <w:t xml:space="preserve"> of false alarm fees and circumvention. In these circumstances, arbitrarily reducing fees may result in increased risk, by causing a reduction in the proper maintenance of alarm systems (there being evidence of a causal link in this regard) </w:t>
      </w:r>
      <w:r w:rsidR="00CA6FAE" w:rsidRPr="00503F5B">
        <w:rPr>
          <w:i/>
          <w:iCs/>
        </w:rPr>
        <w:t>without reducing circumvention behaviour</w:t>
      </w:r>
      <w:r w:rsidR="00CA6FAE" w:rsidRPr="00503F5B">
        <w:t xml:space="preserve"> (there being no evidence that reducing fees and charges will have an impact in this regard</w:t>
      </w:r>
      <w:r w:rsidR="00DF5C38" w:rsidRPr="00503F5B">
        <w:t>)</w:t>
      </w:r>
      <w:r w:rsidR="00CA6FAE" w:rsidRPr="00503F5B">
        <w:t>.</w:t>
      </w:r>
    </w:p>
    <w:p w14:paraId="51324337" w14:textId="10368396" w:rsidR="00F66D4E" w:rsidRPr="00503F5B" w:rsidRDefault="00F66D4E" w:rsidP="00D65003">
      <w:pPr>
        <w:jc w:val="both"/>
      </w:pPr>
    </w:p>
    <w:p w14:paraId="652E3B25" w14:textId="6C6293AF" w:rsidR="006008DA" w:rsidRPr="00503F5B" w:rsidRDefault="006008DA" w:rsidP="006008DA">
      <w:pPr>
        <w:pStyle w:val="Heading4"/>
      </w:pPr>
      <w:bookmarkStart w:id="142" w:name="_Hlk39502073"/>
      <w:r w:rsidRPr="00503F5B">
        <w:t xml:space="preserve">2.3.3.3 Compliance and enforcement activity regarding </w:t>
      </w:r>
      <w:r w:rsidR="003F5158">
        <w:t>incorrectly wired alarm systems</w:t>
      </w:r>
    </w:p>
    <w:p w14:paraId="7A88AF54" w14:textId="77777777" w:rsidR="006008DA" w:rsidRPr="00503F5B" w:rsidRDefault="006008DA" w:rsidP="006008DA">
      <w:pPr>
        <w:jc w:val="both"/>
      </w:pPr>
    </w:p>
    <w:p w14:paraId="3D6A02B0" w14:textId="1B74BF94" w:rsidR="002D1570" w:rsidRPr="00503F5B" w:rsidRDefault="008D52D6" w:rsidP="006008DA">
      <w:pPr>
        <w:jc w:val="both"/>
      </w:pPr>
      <w:r w:rsidRPr="00503F5B">
        <w:t xml:space="preserve">Having identified the risks associated with </w:t>
      </w:r>
      <w:r w:rsidR="003F5158">
        <w:t>incorrectly wired alarm systems</w:t>
      </w:r>
      <w:r w:rsidRPr="00503F5B">
        <w:t>,</w:t>
      </w:r>
      <w:r w:rsidR="006008DA" w:rsidRPr="00503F5B">
        <w:t xml:space="preserve"> MFB ha</w:t>
      </w:r>
      <w:r w:rsidR="003F5158">
        <w:t>s</w:t>
      </w:r>
      <w:r w:rsidRPr="00503F5B">
        <w:t xml:space="preserve"> been actively </w:t>
      </w:r>
      <w:bookmarkStart w:id="143" w:name="_Hlk39662620"/>
      <w:r w:rsidRPr="00503F5B">
        <w:t>working with relevant industry stakeholders, owners of monitored buildings and fire services maintenance companies to improve compliance</w:t>
      </w:r>
      <w:bookmarkEnd w:id="143"/>
      <w:r w:rsidRPr="00503F5B">
        <w:t xml:space="preserve">. </w:t>
      </w:r>
      <w:r w:rsidR="002D1570" w:rsidRPr="00503F5B">
        <w:t>MFB is engaged with regulatory bodies including the Victorian Building Authority, Municipal Building Surveyors, and key stakeholders including the CFA, and the Fire Protection Association of Australia to inform all stakeholders of the issues.</w:t>
      </w:r>
    </w:p>
    <w:p w14:paraId="42D57F24" w14:textId="77777777" w:rsidR="002D1570" w:rsidRPr="00503F5B" w:rsidRDefault="002D1570" w:rsidP="006008DA">
      <w:pPr>
        <w:jc w:val="both"/>
      </w:pPr>
    </w:p>
    <w:p w14:paraId="399FE537" w14:textId="36E38478" w:rsidR="006008DA" w:rsidRPr="00503F5B" w:rsidRDefault="008D52D6" w:rsidP="006008DA">
      <w:pPr>
        <w:jc w:val="both"/>
      </w:pPr>
      <w:bookmarkStart w:id="144" w:name="_Hlk39663083"/>
      <w:r w:rsidRPr="00503F5B">
        <w:t>Advisory Notes and Bulletins have been issued to staff to ensure awareness and appropriate mitigation steps are able to be undertaken upon identification of incorrectly wired alarm systems</w:t>
      </w:r>
      <w:bookmarkStart w:id="145" w:name="_Hlk39663089"/>
      <w:bookmarkEnd w:id="144"/>
      <w:r w:rsidRPr="00503F5B">
        <w:t>. MFB ha</w:t>
      </w:r>
      <w:r w:rsidR="003F5158">
        <w:t>s</w:t>
      </w:r>
      <w:r w:rsidRPr="00503F5B">
        <w:t xml:space="preserve"> undertaken </w:t>
      </w:r>
      <w:proofErr w:type="gramStart"/>
      <w:r w:rsidRPr="00503F5B">
        <w:t>a number of</w:t>
      </w:r>
      <w:proofErr w:type="gramEnd"/>
      <w:r w:rsidRPr="00503F5B">
        <w:t xml:space="preserve"> internal and external media and communications campaigns to build community and industry awareness of the issue. </w:t>
      </w:r>
      <w:bookmarkStart w:id="146" w:name="_Hlk39663104"/>
      <w:bookmarkEnd w:id="145"/>
      <w:r w:rsidRPr="00503F5B">
        <w:t xml:space="preserve">MFB </w:t>
      </w:r>
      <w:r w:rsidR="00C559F3">
        <w:t xml:space="preserve">is </w:t>
      </w:r>
      <w:r w:rsidRPr="00503F5B">
        <w:t xml:space="preserve">also exploring methods of enforcement, and supports prosecution of individual owners and/or maintenance companies if owners have not rectified the significant safety issue. </w:t>
      </w:r>
      <w:bookmarkEnd w:id="146"/>
      <w:r w:rsidRPr="00503F5B">
        <w:t xml:space="preserve">Preliminary data from this approach </w:t>
      </w:r>
      <w:r w:rsidR="002D1570" w:rsidRPr="00503F5B">
        <w:t xml:space="preserve">provided by the MFB </w:t>
      </w:r>
      <w:r w:rsidRPr="00503F5B">
        <w:t>has shown that over a</w:t>
      </w:r>
      <w:r w:rsidR="003F5158">
        <w:t xml:space="preserve"> recent</w:t>
      </w:r>
      <w:r w:rsidRPr="00503F5B">
        <w:t xml:space="preserve"> </w:t>
      </w:r>
      <w:proofErr w:type="gramStart"/>
      <w:r w:rsidRPr="00503F5B">
        <w:t>12 month</w:t>
      </w:r>
      <w:proofErr w:type="gramEnd"/>
      <w:r w:rsidRPr="00503F5B">
        <w:t xml:space="preserve"> period the</w:t>
      </w:r>
      <w:r w:rsidR="006500A6">
        <w:t>re has been a significant reduction in buildings in non-compliance with safety standards</w:t>
      </w:r>
      <w:r w:rsidR="002D1570" w:rsidRPr="00503F5B">
        <w:t>.</w:t>
      </w:r>
      <w:r w:rsidR="002D1570" w:rsidRPr="00503F5B">
        <w:rPr>
          <w:rStyle w:val="FootnoteReference"/>
        </w:rPr>
        <w:footnoteReference w:id="102"/>
      </w:r>
      <w:r w:rsidRPr="00503F5B">
        <w:t xml:space="preserve"> </w:t>
      </w:r>
    </w:p>
    <w:bookmarkEnd w:id="142"/>
    <w:p w14:paraId="4915CDDE" w14:textId="1D0D0489" w:rsidR="00F66D4E" w:rsidRPr="00503F5B" w:rsidRDefault="00F66D4E" w:rsidP="00F66D4E">
      <w:pPr>
        <w:pStyle w:val="Heading4"/>
      </w:pPr>
      <w:r w:rsidRPr="00503F5B">
        <w:lastRenderedPageBreak/>
        <w:t>2.</w:t>
      </w:r>
      <w:r w:rsidR="003E489B" w:rsidRPr="00503F5B">
        <w:t>3</w:t>
      </w:r>
      <w:r w:rsidRPr="00503F5B">
        <w:t>.3.</w:t>
      </w:r>
      <w:r w:rsidR="006008DA" w:rsidRPr="00503F5B">
        <w:t>4</w:t>
      </w:r>
      <w:r w:rsidRPr="00503F5B">
        <w:t xml:space="preserve"> Legal and administrative costs of additional VCAT disputes</w:t>
      </w:r>
    </w:p>
    <w:p w14:paraId="648799F5" w14:textId="77777777" w:rsidR="00F66D4E" w:rsidRPr="00503F5B" w:rsidRDefault="00F66D4E" w:rsidP="00F66D4E">
      <w:pPr>
        <w:jc w:val="both"/>
      </w:pPr>
    </w:p>
    <w:p w14:paraId="255F98F1" w14:textId="1097A2ED" w:rsidR="00F66D4E" w:rsidRPr="00503F5B" w:rsidRDefault="00F66D4E" w:rsidP="00F66D4E">
      <w:pPr>
        <w:jc w:val="both"/>
      </w:pPr>
      <w:r w:rsidRPr="00503F5B">
        <w:t xml:space="preserve">An owner faced with a </w:t>
      </w:r>
      <w:r w:rsidRPr="00503F5B">
        <w:rPr>
          <w:i/>
        </w:rPr>
        <w:t>high false alarm charge</w:t>
      </w:r>
      <w:r w:rsidRPr="00503F5B">
        <w:t xml:space="preserve"> </w:t>
      </w:r>
      <w:r w:rsidR="005B6783" w:rsidRPr="00503F5B">
        <w:t xml:space="preserve">could </w:t>
      </w:r>
      <w:r w:rsidRPr="00503F5B">
        <w:t xml:space="preserve">have </w:t>
      </w:r>
      <w:r w:rsidR="00800876" w:rsidRPr="00503F5B">
        <w:t xml:space="preserve">a financial </w:t>
      </w:r>
      <w:r w:rsidRPr="00503F5B">
        <w:t xml:space="preserve">incentive to </w:t>
      </w:r>
      <w:r w:rsidR="00104D17" w:rsidRPr="00503F5B">
        <w:t xml:space="preserve">pursue a </w:t>
      </w:r>
      <w:r w:rsidRPr="00503F5B">
        <w:t>VCAT</w:t>
      </w:r>
      <w:r w:rsidR="00104D17" w:rsidRPr="00503F5B">
        <w:t xml:space="preserve"> challenge</w:t>
      </w:r>
      <w:r w:rsidRPr="00503F5B">
        <w:t xml:space="preserve"> rather than </w:t>
      </w:r>
      <w:r w:rsidR="00800876" w:rsidRPr="00503F5B">
        <w:t xml:space="preserve">pay </w:t>
      </w:r>
      <w:r w:rsidRPr="00503F5B">
        <w:t>the charge</w:t>
      </w:r>
      <w:r w:rsidR="00800876" w:rsidRPr="00503F5B">
        <w:t>, even where their case is unmeritorious</w:t>
      </w:r>
      <w:r w:rsidRPr="00503F5B">
        <w:t xml:space="preserve">.  For example, for a small business challenging a claim by </w:t>
      </w:r>
      <w:r w:rsidR="00D23B9E" w:rsidRPr="00503F5B">
        <w:t>FRV</w:t>
      </w:r>
      <w:r w:rsidRPr="00503F5B">
        <w:t xml:space="preserve"> at VCAT, the cost would be</w:t>
      </w:r>
      <w:r w:rsidR="00795493" w:rsidRPr="00503F5B">
        <w:t xml:space="preserve"> $947.80</w:t>
      </w:r>
      <w:r w:rsidRPr="00503F5B">
        <w:t xml:space="preserve"> for the application fee and an additional </w:t>
      </w:r>
      <w:r w:rsidR="00795493" w:rsidRPr="00503F5B">
        <w:t>$518.40</w:t>
      </w:r>
      <w:r w:rsidRPr="00503F5B">
        <w:t xml:space="preserve"> per hearing day.  For one and a half days of hearing this would amount to $1,</w:t>
      </w:r>
      <w:r w:rsidR="00795493" w:rsidRPr="00503F5B">
        <w:t>985</w:t>
      </w:r>
      <w:r w:rsidRPr="00503F5B">
        <w:t xml:space="preserve">. For a complex case there would be around an additional fee of </w:t>
      </w:r>
      <w:r w:rsidR="00795493" w:rsidRPr="00503F5B">
        <w:t>$3569.20</w:t>
      </w:r>
      <w:r w:rsidRPr="00503F5B">
        <w:t>.  The total cost to an owner at VCAT would therefore be a maximum of around $</w:t>
      </w:r>
      <w:r w:rsidR="00924243" w:rsidRPr="00503F5B">
        <w:t>5,553.80</w:t>
      </w:r>
      <w:r w:rsidRPr="00503F5B">
        <w:t xml:space="preserve">. The current fee of $578.48 per 15 minutes per appliance and assuming an average of 1.29 appliance hours (from dispatch to return to base) would mean an attendance cost for a false alarm of $2,984.97.  </w:t>
      </w:r>
    </w:p>
    <w:p w14:paraId="1209F5B2" w14:textId="77777777" w:rsidR="00F66D4E" w:rsidRPr="00503F5B" w:rsidRDefault="00F66D4E" w:rsidP="00F66D4E">
      <w:pPr>
        <w:jc w:val="both"/>
      </w:pPr>
    </w:p>
    <w:p w14:paraId="412A43D1" w14:textId="4BDC6E41" w:rsidR="00F66D4E" w:rsidRPr="00503F5B" w:rsidRDefault="00F66D4E" w:rsidP="00F66D4E">
      <w:pPr>
        <w:jc w:val="both"/>
      </w:pPr>
      <w:r w:rsidRPr="00503F5B">
        <w:t>Hence it is already cheaper on average to go to VCAT under the current fee</w:t>
      </w:r>
      <w:r w:rsidR="00924243" w:rsidRPr="00503F5B">
        <w:t xml:space="preserve"> for simple cases</w:t>
      </w:r>
      <w:r w:rsidR="003E489B" w:rsidRPr="00503F5B">
        <w:t xml:space="preserve">, notwithstanding that this would be balanced by the risk of a failed appeal whereby VCAT and FRV charges would both have to be paid. </w:t>
      </w:r>
      <w:r w:rsidRPr="00503F5B">
        <w:t xml:space="preserve">As shown in Chart 1 in this RIS, </w:t>
      </w:r>
      <w:r w:rsidR="005B6783" w:rsidRPr="00503F5B">
        <w:t>i</w:t>
      </w:r>
      <w:r w:rsidRPr="00503F5B">
        <w:t>n the period between 2004-05 and 201</w:t>
      </w:r>
      <w:r w:rsidR="00924243" w:rsidRPr="00503F5B">
        <w:t>8</w:t>
      </w:r>
      <w:r w:rsidRPr="00503F5B">
        <w:t>-1</w:t>
      </w:r>
      <w:r w:rsidR="00924243" w:rsidRPr="00503F5B">
        <w:t>9</w:t>
      </w:r>
      <w:r w:rsidRPr="00503F5B">
        <w:t xml:space="preserve"> the level of VCAT attendances have ranged from 3 per year to 155 per year.  A much higher fee </w:t>
      </w:r>
      <w:r w:rsidR="005B6783" w:rsidRPr="00503F5B">
        <w:t xml:space="preserve">could </w:t>
      </w:r>
      <w:r w:rsidRPr="00503F5B">
        <w:t xml:space="preserve">encourage further disputes at VCAT and is evident by the coinciding of the financial crisis in 2007-08 and VCAT attendances spiking to 155 in that financial year.   </w:t>
      </w:r>
    </w:p>
    <w:p w14:paraId="0D786D6A" w14:textId="77777777" w:rsidR="00F66D4E" w:rsidRPr="00503F5B" w:rsidRDefault="00F66D4E" w:rsidP="00F66D4E">
      <w:pPr>
        <w:jc w:val="both"/>
      </w:pPr>
    </w:p>
    <w:p w14:paraId="600A2FBB" w14:textId="3FE9415C" w:rsidR="00F66D4E" w:rsidRPr="00503F5B" w:rsidRDefault="00F66D4E" w:rsidP="00F66D4E">
      <w:pPr>
        <w:jc w:val="both"/>
      </w:pPr>
      <w:r w:rsidRPr="00503F5B">
        <w:t xml:space="preserve">For </w:t>
      </w:r>
      <w:r w:rsidR="00D23B9E" w:rsidRPr="00503F5B">
        <w:t>FRV</w:t>
      </w:r>
      <w:r w:rsidR="00DF6901" w:rsidRPr="00503F5B">
        <w:t>,</w:t>
      </w:r>
      <w:r w:rsidRPr="00503F5B">
        <w:t xml:space="preserve"> defending a challenged fee would entail a daily rate of </w:t>
      </w:r>
      <w:r w:rsidR="00BF6728" w:rsidRPr="00503F5B">
        <w:t>$555</w:t>
      </w:r>
      <w:r w:rsidRPr="00503F5B">
        <w:t xml:space="preserve"> for a lead operational representative</w:t>
      </w:r>
      <w:r w:rsidRPr="00503F5B">
        <w:rPr>
          <w:rStyle w:val="FootnoteReference"/>
        </w:rPr>
        <w:footnoteReference w:id="103"/>
      </w:r>
      <w:r w:rsidRPr="00503F5B">
        <w:t xml:space="preserve"> with 1 day of preparation and 1.5 days of hearings plus an estimated $2000 for four hours of legal counsel assistance</w:t>
      </w:r>
      <w:r w:rsidR="00DF6901" w:rsidRPr="00503F5B">
        <w:t xml:space="preserve">, </w:t>
      </w:r>
      <w:r w:rsidRPr="00503F5B">
        <w:t xml:space="preserve">providing a total estimated hearing cost of </w:t>
      </w:r>
      <w:bookmarkStart w:id="147" w:name="_Hlk34333887"/>
      <w:r w:rsidR="007D599C" w:rsidRPr="00503F5B">
        <w:t>$</w:t>
      </w:r>
      <w:r w:rsidR="00054DDB" w:rsidRPr="00503F5B">
        <w:t>3,387.49</w:t>
      </w:r>
      <w:bookmarkEnd w:id="147"/>
      <w:r w:rsidR="007D599C" w:rsidRPr="00503F5B">
        <w:t xml:space="preserve"> </w:t>
      </w:r>
      <w:r w:rsidRPr="00503F5B">
        <w:t xml:space="preserve">for </w:t>
      </w:r>
      <w:r w:rsidR="007D599C" w:rsidRPr="00503F5B">
        <w:t>FRV</w:t>
      </w:r>
      <w:r w:rsidRPr="00503F5B">
        <w:t xml:space="preserve">.  </w:t>
      </w:r>
      <w:r w:rsidR="00B53160" w:rsidRPr="00503F5B">
        <w:t>As an indicative illustration, i</w:t>
      </w:r>
      <w:r w:rsidRPr="00503F5B">
        <w:t>f only 5</w:t>
      </w:r>
      <w:r w:rsidR="00391FFF" w:rsidRPr="00503F5B">
        <w:t xml:space="preserve"> per cent</w:t>
      </w:r>
      <w:r w:rsidRPr="00503F5B">
        <w:t xml:space="preserve"> of current owners of around</w:t>
      </w:r>
      <w:r w:rsidR="007D599C" w:rsidRPr="00503F5B">
        <w:t xml:space="preserve"> 8,567</w:t>
      </w:r>
      <w:r w:rsidRPr="00503F5B">
        <w:t xml:space="preserve"> ASEs challenged </w:t>
      </w:r>
      <w:r w:rsidR="007D599C" w:rsidRPr="00503F5B">
        <w:t>FRV</w:t>
      </w:r>
      <w:r w:rsidRPr="00503F5B">
        <w:t>s fee</w:t>
      </w:r>
      <w:r w:rsidR="00DF6901" w:rsidRPr="00503F5B">
        <w:t xml:space="preserve">s, </w:t>
      </w:r>
      <w:r w:rsidRPr="00503F5B">
        <w:t>this would result in additional legal and administrative costs of around $</w:t>
      </w:r>
      <w:r w:rsidR="00BF6728" w:rsidRPr="00503F5B">
        <w:t>1.</w:t>
      </w:r>
      <w:r w:rsidR="00054DDB" w:rsidRPr="00503F5B">
        <w:t>45</w:t>
      </w:r>
      <w:r w:rsidRPr="00503F5B">
        <w:t xml:space="preserve"> million per annum</w:t>
      </w:r>
      <w:r w:rsidRPr="00503F5B">
        <w:rPr>
          <w:rStyle w:val="FootnoteReference"/>
        </w:rPr>
        <w:footnoteReference w:id="104"/>
      </w:r>
      <w:r w:rsidRPr="00503F5B">
        <w:t xml:space="preserve">. However, the anticipated number of ‘actual’ additional VCAT challenges expected with a fee that is </w:t>
      </w:r>
      <w:r w:rsidRPr="00503F5B">
        <w:rPr>
          <w:i/>
        </w:rPr>
        <w:t>too high</w:t>
      </w:r>
      <w:r w:rsidRPr="00503F5B">
        <w:t xml:space="preserve"> remains unknown.</w:t>
      </w:r>
    </w:p>
    <w:p w14:paraId="01D609EE" w14:textId="77777777" w:rsidR="00F66D4E" w:rsidRPr="00503F5B" w:rsidRDefault="00F66D4E" w:rsidP="00F66D4E">
      <w:pPr>
        <w:jc w:val="both"/>
      </w:pPr>
    </w:p>
    <w:p w14:paraId="798D3303" w14:textId="37D68510" w:rsidR="007E6BE5" w:rsidRPr="00503F5B" w:rsidRDefault="00F66D4E" w:rsidP="00F66D4E">
      <w:pPr>
        <w:jc w:val="both"/>
      </w:pPr>
      <w:r w:rsidRPr="00503F5B">
        <w:t>Furthermore, notwithstanding the potential risk of a high fee leading to circumvention activities or risk of escalating legal and administrative costs of additional VCAT disputes</w:t>
      </w:r>
      <w:r w:rsidR="00DF6901" w:rsidRPr="00503F5B">
        <w:t xml:space="preserve">, </w:t>
      </w:r>
      <w:r w:rsidRPr="00503F5B">
        <w:t xml:space="preserve">data </w:t>
      </w:r>
      <w:r w:rsidR="00104D17" w:rsidRPr="00503F5B">
        <w:t xml:space="preserve">is not currently available </w:t>
      </w:r>
      <w:r w:rsidRPr="00503F5B">
        <w:t>to determine what the threshold level of fees would need to be to result in an increase in these consequences</w:t>
      </w:r>
      <w:r w:rsidR="00DF6901" w:rsidRPr="00503F5B">
        <w:t xml:space="preserve">. </w:t>
      </w:r>
      <w:r w:rsidRPr="00503F5B">
        <w:t xml:space="preserve"> </w:t>
      </w:r>
      <w:r w:rsidR="00DF6901" w:rsidRPr="00503F5B">
        <w:t>H</w:t>
      </w:r>
      <w:r w:rsidRPr="00503F5B">
        <w:t>owever, such consequences do occur even at the current fee.</w:t>
      </w:r>
      <w:r w:rsidR="00DF6901" w:rsidRPr="00503F5B">
        <w:t xml:space="preserve"> </w:t>
      </w:r>
      <w:r w:rsidRPr="00503F5B">
        <w:t>In summary, and in the face of high false alarm charges</w:t>
      </w:r>
      <w:r w:rsidR="003E44DA" w:rsidRPr="00503F5B">
        <w:t>:</w:t>
      </w:r>
    </w:p>
    <w:p w14:paraId="28DEA903" w14:textId="77777777" w:rsidR="007E6BE5" w:rsidRPr="00503F5B" w:rsidRDefault="00F66D4E" w:rsidP="00F66D4E">
      <w:pPr>
        <w:jc w:val="both"/>
      </w:pPr>
      <w:r w:rsidRPr="00503F5B">
        <w:t>a) circumvention activities counter the objective of the fee which is to encourage better maintenance and management of monitored fire alarm systems</w:t>
      </w:r>
      <w:r w:rsidR="00DF6901" w:rsidRPr="00503F5B">
        <w:t xml:space="preserve">; </w:t>
      </w:r>
      <w:r w:rsidRPr="00503F5B">
        <w:t xml:space="preserve">and </w:t>
      </w:r>
    </w:p>
    <w:p w14:paraId="0B479FA5" w14:textId="67DDE72B" w:rsidR="00F66D4E" w:rsidRPr="00503F5B" w:rsidRDefault="00F66D4E" w:rsidP="00F66D4E">
      <w:pPr>
        <w:jc w:val="both"/>
      </w:pPr>
      <w:r w:rsidRPr="00503F5B">
        <w:t xml:space="preserve">b) the potential for increased </w:t>
      </w:r>
      <w:r w:rsidR="004761CB">
        <w:t xml:space="preserve">unmeritorious </w:t>
      </w:r>
      <w:r w:rsidRPr="00503F5B">
        <w:t>VCAT disputes add</w:t>
      </w:r>
      <w:r w:rsidR="00DF6901" w:rsidRPr="00503F5B">
        <w:t>s</w:t>
      </w:r>
      <w:r w:rsidRPr="00503F5B">
        <w:t xml:space="preserve"> additional administrative and legal costs to </w:t>
      </w:r>
      <w:r w:rsidR="004A2484" w:rsidRPr="00503F5B">
        <w:t>FRV</w:t>
      </w:r>
      <w:r w:rsidRPr="00503F5B">
        <w:t xml:space="preserve"> operations.</w:t>
      </w:r>
    </w:p>
    <w:p w14:paraId="55C4288D" w14:textId="77777777" w:rsidR="00F66D4E" w:rsidRPr="00503F5B" w:rsidRDefault="00F66D4E" w:rsidP="00F66D4E"/>
    <w:p w14:paraId="61548F1D" w14:textId="685D7942" w:rsidR="00F66D4E" w:rsidRPr="00503F5B" w:rsidRDefault="00F66D4E" w:rsidP="00F66D4E">
      <w:pPr>
        <w:jc w:val="both"/>
      </w:pPr>
      <w:r w:rsidRPr="00503F5B">
        <w:t>As summarised in Table 1</w:t>
      </w:r>
      <w:r w:rsidR="004A2484" w:rsidRPr="00503F5B">
        <w:t>7</w:t>
      </w:r>
      <w:r w:rsidRPr="00503F5B">
        <w:t>, the potential magnitude of unintended consequences where false alarm fees are set too high, might ‘reasonably’ be anticipated to be in the order of around $</w:t>
      </w:r>
      <w:r w:rsidR="00BF6728" w:rsidRPr="00503F5B">
        <w:t>6.</w:t>
      </w:r>
      <w:r w:rsidR="00054DDB" w:rsidRPr="00503F5B">
        <w:t>93</w:t>
      </w:r>
      <w:r w:rsidRPr="00503F5B">
        <w:t xml:space="preserve"> million per annum </w:t>
      </w:r>
      <w:r w:rsidRPr="00503F5B">
        <w:rPr>
          <w:i/>
        </w:rPr>
        <w:t>not including</w:t>
      </w:r>
      <w:r w:rsidRPr="00503F5B">
        <w:t xml:space="preserve"> damage to property and the environment and loss of business productivity.</w:t>
      </w:r>
      <w:r w:rsidR="007E6BE5" w:rsidRPr="00503F5B">
        <w:t xml:space="preserve"> There is also a cogent argument that setting false alarm attendance fees at too high a rate may incentivise, and thus contribute to, both circumvention activities and increase the proportion of respondents who elect to contest the charges levied against them in VCAT, despite having a weak or unmeritorious claim.</w:t>
      </w:r>
    </w:p>
    <w:p w14:paraId="04033DA8" w14:textId="77777777" w:rsidR="00F66D4E" w:rsidRPr="00503F5B" w:rsidRDefault="00F66D4E" w:rsidP="00F66D4E">
      <w:pPr>
        <w:jc w:val="both"/>
      </w:pPr>
    </w:p>
    <w:p w14:paraId="0B60FBA6" w14:textId="2130D1E6" w:rsidR="00F66D4E" w:rsidRPr="00503F5B" w:rsidRDefault="00BB6E48" w:rsidP="00F66D4E">
      <w:pPr>
        <w:jc w:val="center"/>
        <w:rPr>
          <w:b/>
          <w:sz w:val="20"/>
        </w:rPr>
      </w:pPr>
      <w:r>
        <w:rPr>
          <w:b/>
          <w:sz w:val="20"/>
        </w:rPr>
        <w:br w:type="column"/>
      </w:r>
      <w:r w:rsidR="00F66D4E" w:rsidRPr="00503F5B">
        <w:rPr>
          <w:b/>
          <w:sz w:val="20"/>
        </w:rPr>
        <w:lastRenderedPageBreak/>
        <w:t>Table 1</w:t>
      </w:r>
      <w:r w:rsidR="004A2484" w:rsidRPr="00503F5B">
        <w:rPr>
          <w:b/>
          <w:sz w:val="20"/>
        </w:rPr>
        <w:t>7</w:t>
      </w:r>
      <w:r w:rsidR="00F66D4E" w:rsidRPr="00503F5B">
        <w:rPr>
          <w:b/>
          <w:sz w:val="20"/>
        </w:rPr>
        <w:t xml:space="preserve">: </w:t>
      </w:r>
      <w:r w:rsidR="006C1947" w:rsidRPr="00503F5B">
        <w:rPr>
          <w:b/>
          <w:sz w:val="20"/>
        </w:rPr>
        <w:t xml:space="preserve">Indicative illustration of the </w:t>
      </w:r>
      <w:r w:rsidR="004A2484" w:rsidRPr="00503F5B">
        <w:rPr>
          <w:b/>
          <w:sz w:val="20"/>
        </w:rPr>
        <w:t xml:space="preserve">potential </w:t>
      </w:r>
      <w:r w:rsidR="00F66D4E" w:rsidRPr="00503F5B">
        <w:rPr>
          <w:b/>
          <w:sz w:val="20"/>
        </w:rPr>
        <w:t>annual cost of circumvention and VCAT challenges</w:t>
      </w:r>
      <w:r w:rsidR="004A2484" w:rsidRPr="00503F5B">
        <w:rPr>
          <w:b/>
          <w:sz w:val="20"/>
        </w:rPr>
        <w:t xml:space="preserve"> for FRV</w:t>
      </w:r>
    </w:p>
    <w:p w14:paraId="22A2C9D3" w14:textId="77777777" w:rsidR="00F66D4E" w:rsidRPr="00503F5B" w:rsidRDefault="00F66D4E" w:rsidP="00F66D4E">
      <w:pPr>
        <w:jc w:val="center"/>
        <w:rPr>
          <w:b/>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2436"/>
        <w:gridCol w:w="1485"/>
        <w:gridCol w:w="1555"/>
      </w:tblGrid>
      <w:tr w:rsidR="00F66D4E" w:rsidRPr="00503F5B" w14:paraId="3691B95E" w14:textId="77777777" w:rsidTr="004A2484">
        <w:trPr>
          <w:trHeight w:val="320"/>
          <w:jc w:val="center"/>
        </w:trPr>
        <w:tc>
          <w:tcPr>
            <w:tcW w:w="2100" w:type="dxa"/>
            <w:tcBorders>
              <w:top w:val="single" w:sz="4" w:space="0" w:color="ED7C5D"/>
              <w:bottom w:val="double" w:sz="4" w:space="0" w:color="ED7C5D"/>
            </w:tcBorders>
            <w:noWrap/>
            <w:hideMark/>
          </w:tcPr>
          <w:p w14:paraId="5A25782C" w14:textId="77777777" w:rsidR="00F66D4E" w:rsidRPr="00503F5B" w:rsidRDefault="00F66D4E" w:rsidP="00F66D4E">
            <w:pPr>
              <w:jc w:val="both"/>
              <w:rPr>
                <w:b/>
                <w:color w:val="BE2A18"/>
                <w:sz w:val="20"/>
                <w:szCs w:val="20"/>
                <w:lang w:val="en-AU"/>
              </w:rPr>
            </w:pPr>
            <w:r w:rsidRPr="00503F5B">
              <w:rPr>
                <w:b/>
                <w:color w:val="BE2A18"/>
                <w:sz w:val="20"/>
                <w:szCs w:val="20"/>
                <w:lang w:val="en-AU"/>
              </w:rPr>
              <w:t>Category of cost</w:t>
            </w:r>
          </w:p>
        </w:tc>
        <w:tc>
          <w:tcPr>
            <w:tcW w:w="2436" w:type="dxa"/>
            <w:tcBorders>
              <w:top w:val="single" w:sz="4" w:space="0" w:color="ED7C5D"/>
              <w:bottom w:val="double" w:sz="4" w:space="0" w:color="ED7C5D"/>
            </w:tcBorders>
            <w:noWrap/>
            <w:hideMark/>
          </w:tcPr>
          <w:p w14:paraId="6A8005A0" w14:textId="77777777" w:rsidR="00F66D4E" w:rsidRPr="00503F5B" w:rsidRDefault="00F66D4E" w:rsidP="00F66D4E">
            <w:pPr>
              <w:jc w:val="center"/>
              <w:rPr>
                <w:b/>
                <w:color w:val="BE2A18"/>
                <w:sz w:val="20"/>
                <w:szCs w:val="20"/>
                <w:lang w:val="en-AU"/>
              </w:rPr>
            </w:pPr>
            <w:r w:rsidRPr="00503F5B">
              <w:rPr>
                <w:b/>
                <w:color w:val="BE2A18"/>
                <w:sz w:val="20"/>
                <w:szCs w:val="20"/>
                <w:lang w:val="en-AU"/>
              </w:rPr>
              <w:t>Estimated number per annum</w:t>
            </w:r>
          </w:p>
        </w:tc>
        <w:tc>
          <w:tcPr>
            <w:tcW w:w="1485" w:type="dxa"/>
            <w:tcBorders>
              <w:top w:val="single" w:sz="4" w:space="0" w:color="ED7C5D"/>
              <w:bottom w:val="double" w:sz="4" w:space="0" w:color="ED7C5D"/>
            </w:tcBorders>
            <w:noWrap/>
            <w:hideMark/>
          </w:tcPr>
          <w:p w14:paraId="4C64BC91" w14:textId="77777777" w:rsidR="00F66D4E" w:rsidRPr="00503F5B" w:rsidRDefault="00F66D4E" w:rsidP="00F66D4E">
            <w:pPr>
              <w:jc w:val="both"/>
              <w:rPr>
                <w:b/>
                <w:color w:val="BE2A18"/>
                <w:sz w:val="20"/>
                <w:szCs w:val="20"/>
                <w:lang w:val="en-AU"/>
              </w:rPr>
            </w:pPr>
            <w:r w:rsidRPr="00503F5B">
              <w:rPr>
                <w:b/>
                <w:color w:val="BE2A18"/>
                <w:sz w:val="20"/>
                <w:szCs w:val="20"/>
                <w:lang w:val="en-AU"/>
              </w:rPr>
              <w:t>Cost per unit</w:t>
            </w:r>
          </w:p>
        </w:tc>
        <w:tc>
          <w:tcPr>
            <w:tcW w:w="1555" w:type="dxa"/>
            <w:tcBorders>
              <w:top w:val="single" w:sz="4" w:space="0" w:color="ED7C5D"/>
              <w:bottom w:val="double" w:sz="4" w:space="0" w:color="ED7C5D"/>
            </w:tcBorders>
            <w:noWrap/>
            <w:hideMark/>
          </w:tcPr>
          <w:p w14:paraId="4FA2E0AA" w14:textId="77777777" w:rsidR="00F66D4E" w:rsidRPr="00503F5B" w:rsidRDefault="00F66D4E" w:rsidP="00F66D4E">
            <w:pPr>
              <w:jc w:val="both"/>
              <w:rPr>
                <w:b/>
                <w:color w:val="BE2A18"/>
                <w:sz w:val="20"/>
                <w:szCs w:val="20"/>
                <w:lang w:val="en-AU"/>
              </w:rPr>
            </w:pPr>
            <w:r w:rsidRPr="00503F5B">
              <w:rPr>
                <w:b/>
                <w:color w:val="BE2A18"/>
                <w:sz w:val="20"/>
                <w:szCs w:val="20"/>
                <w:lang w:val="en-AU"/>
              </w:rPr>
              <w:t>Total cost</w:t>
            </w:r>
          </w:p>
        </w:tc>
      </w:tr>
      <w:tr w:rsidR="004A2484" w:rsidRPr="00503F5B" w14:paraId="13E3B573" w14:textId="77777777" w:rsidTr="004A2484">
        <w:trPr>
          <w:trHeight w:val="52"/>
          <w:jc w:val="center"/>
        </w:trPr>
        <w:tc>
          <w:tcPr>
            <w:tcW w:w="2100" w:type="dxa"/>
            <w:tcBorders>
              <w:top w:val="double" w:sz="4" w:space="0" w:color="ED7C5D"/>
            </w:tcBorders>
            <w:noWrap/>
            <w:hideMark/>
          </w:tcPr>
          <w:p w14:paraId="0F811C4D" w14:textId="77777777" w:rsidR="004A2484" w:rsidRPr="00503F5B" w:rsidRDefault="004A2484" w:rsidP="004A2484">
            <w:pPr>
              <w:jc w:val="both"/>
              <w:rPr>
                <w:color w:val="000000" w:themeColor="text1"/>
                <w:sz w:val="20"/>
                <w:szCs w:val="20"/>
                <w:lang w:val="en-AU"/>
              </w:rPr>
            </w:pPr>
            <w:r w:rsidRPr="00503F5B">
              <w:rPr>
                <w:color w:val="000000" w:themeColor="text1"/>
                <w:sz w:val="20"/>
                <w:szCs w:val="20"/>
                <w:lang w:val="en-AU"/>
              </w:rPr>
              <w:t>VOSL (death)</w:t>
            </w:r>
          </w:p>
        </w:tc>
        <w:tc>
          <w:tcPr>
            <w:tcW w:w="2436" w:type="dxa"/>
            <w:tcBorders>
              <w:top w:val="double" w:sz="4" w:space="0" w:color="ED7C5D"/>
            </w:tcBorders>
            <w:noWrap/>
            <w:vAlign w:val="center"/>
            <w:hideMark/>
          </w:tcPr>
          <w:p w14:paraId="67275E95" w14:textId="5FAB1213" w:rsidR="004A2484" w:rsidRPr="00503F5B" w:rsidRDefault="004A2484" w:rsidP="004A2484">
            <w:pPr>
              <w:jc w:val="center"/>
              <w:rPr>
                <w:color w:val="000000" w:themeColor="text1"/>
                <w:sz w:val="20"/>
                <w:szCs w:val="20"/>
                <w:lang w:val="en-AU"/>
              </w:rPr>
            </w:pPr>
            <w:r w:rsidRPr="00503F5B">
              <w:rPr>
                <w:rFonts w:cs="Calibri"/>
                <w:sz w:val="20"/>
                <w:szCs w:val="20"/>
                <w:lang w:val="en-AU"/>
              </w:rPr>
              <w:t>1</w:t>
            </w:r>
          </w:p>
        </w:tc>
        <w:tc>
          <w:tcPr>
            <w:tcW w:w="1485" w:type="dxa"/>
            <w:tcBorders>
              <w:top w:val="double" w:sz="4" w:space="0" w:color="ED7C5D"/>
            </w:tcBorders>
            <w:noWrap/>
            <w:vAlign w:val="center"/>
            <w:hideMark/>
          </w:tcPr>
          <w:p w14:paraId="6C646533" w14:textId="1F9E6BC3" w:rsidR="004A2484" w:rsidRPr="00503F5B" w:rsidRDefault="004A2484" w:rsidP="004A2484">
            <w:pPr>
              <w:jc w:val="right"/>
              <w:rPr>
                <w:color w:val="000000" w:themeColor="text1"/>
                <w:sz w:val="20"/>
                <w:szCs w:val="20"/>
                <w:lang w:val="en-AU"/>
              </w:rPr>
            </w:pPr>
            <w:r w:rsidRPr="00503F5B">
              <w:rPr>
                <w:rFonts w:cs="Calibri"/>
                <w:sz w:val="20"/>
                <w:szCs w:val="20"/>
                <w:lang w:val="en-AU"/>
              </w:rPr>
              <w:t xml:space="preserve">$4,665,336 </w:t>
            </w:r>
          </w:p>
        </w:tc>
        <w:tc>
          <w:tcPr>
            <w:tcW w:w="1555" w:type="dxa"/>
            <w:tcBorders>
              <w:top w:val="double" w:sz="4" w:space="0" w:color="ED7C5D"/>
            </w:tcBorders>
            <w:noWrap/>
            <w:vAlign w:val="center"/>
            <w:hideMark/>
          </w:tcPr>
          <w:p w14:paraId="628B4505" w14:textId="5199DEA1" w:rsidR="004A2484" w:rsidRPr="00503F5B" w:rsidRDefault="004A2484" w:rsidP="004A2484">
            <w:pPr>
              <w:jc w:val="right"/>
              <w:rPr>
                <w:color w:val="000000" w:themeColor="text1"/>
                <w:sz w:val="20"/>
                <w:szCs w:val="20"/>
                <w:lang w:val="en-AU"/>
              </w:rPr>
            </w:pPr>
            <w:r w:rsidRPr="00503F5B">
              <w:rPr>
                <w:rFonts w:cs="Calibri"/>
                <w:sz w:val="20"/>
                <w:szCs w:val="20"/>
                <w:lang w:val="en-AU"/>
              </w:rPr>
              <w:t xml:space="preserve">$4,665,336 </w:t>
            </w:r>
          </w:p>
        </w:tc>
      </w:tr>
      <w:tr w:rsidR="004A2484" w:rsidRPr="00503F5B" w14:paraId="5829F523" w14:textId="77777777" w:rsidTr="004A2484">
        <w:trPr>
          <w:trHeight w:val="52"/>
          <w:jc w:val="center"/>
        </w:trPr>
        <w:tc>
          <w:tcPr>
            <w:tcW w:w="2100" w:type="dxa"/>
            <w:noWrap/>
            <w:hideMark/>
          </w:tcPr>
          <w:p w14:paraId="21B4AE15" w14:textId="77777777" w:rsidR="004A2484" w:rsidRPr="00503F5B" w:rsidRDefault="004A2484" w:rsidP="004A2484">
            <w:pPr>
              <w:jc w:val="both"/>
              <w:rPr>
                <w:color w:val="000000" w:themeColor="text1"/>
                <w:sz w:val="20"/>
                <w:szCs w:val="20"/>
                <w:lang w:val="en-AU"/>
              </w:rPr>
            </w:pPr>
            <w:r w:rsidRPr="00503F5B">
              <w:rPr>
                <w:color w:val="000000" w:themeColor="text1"/>
                <w:sz w:val="20"/>
                <w:szCs w:val="20"/>
                <w:lang w:val="en-AU"/>
              </w:rPr>
              <w:t>Burn injuries</w:t>
            </w:r>
          </w:p>
        </w:tc>
        <w:tc>
          <w:tcPr>
            <w:tcW w:w="2436" w:type="dxa"/>
            <w:noWrap/>
            <w:vAlign w:val="center"/>
            <w:hideMark/>
          </w:tcPr>
          <w:p w14:paraId="2B87230A" w14:textId="423F7DD7" w:rsidR="004A2484" w:rsidRPr="00503F5B" w:rsidRDefault="004A2484" w:rsidP="004A2484">
            <w:pPr>
              <w:jc w:val="center"/>
              <w:rPr>
                <w:color w:val="000000" w:themeColor="text1"/>
                <w:sz w:val="20"/>
                <w:szCs w:val="20"/>
                <w:lang w:val="en-AU"/>
              </w:rPr>
            </w:pPr>
            <w:r w:rsidRPr="00503F5B">
              <w:rPr>
                <w:rFonts w:cs="Calibri"/>
                <w:sz w:val="20"/>
                <w:szCs w:val="20"/>
                <w:lang w:val="en-AU"/>
              </w:rPr>
              <w:t>10</w:t>
            </w:r>
          </w:p>
        </w:tc>
        <w:tc>
          <w:tcPr>
            <w:tcW w:w="1485" w:type="dxa"/>
            <w:noWrap/>
            <w:vAlign w:val="center"/>
            <w:hideMark/>
          </w:tcPr>
          <w:p w14:paraId="7A57EE14" w14:textId="537D0D76" w:rsidR="004A2484" w:rsidRPr="00503F5B" w:rsidRDefault="004A2484" w:rsidP="004A2484">
            <w:pPr>
              <w:jc w:val="right"/>
              <w:rPr>
                <w:color w:val="000000" w:themeColor="text1"/>
                <w:sz w:val="20"/>
                <w:szCs w:val="20"/>
                <w:lang w:val="en-AU"/>
              </w:rPr>
            </w:pPr>
            <w:r w:rsidRPr="00503F5B">
              <w:rPr>
                <w:rFonts w:cs="Calibri"/>
                <w:sz w:val="20"/>
                <w:szCs w:val="20"/>
                <w:lang w:val="en-AU"/>
              </w:rPr>
              <w:t xml:space="preserve">$81,436 </w:t>
            </w:r>
          </w:p>
        </w:tc>
        <w:tc>
          <w:tcPr>
            <w:tcW w:w="1555" w:type="dxa"/>
            <w:noWrap/>
            <w:vAlign w:val="center"/>
            <w:hideMark/>
          </w:tcPr>
          <w:p w14:paraId="1A555EFE" w14:textId="11E0FB4A" w:rsidR="004A2484" w:rsidRPr="00503F5B" w:rsidRDefault="004A2484" w:rsidP="004A2484">
            <w:pPr>
              <w:jc w:val="right"/>
              <w:rPr>
                <w:color w:val="000000" w:themeColor="text1"/>
                <w:sz w:val="20"/>
                <w:szCs w:val="20"/>
                <w:lang w:val="en-AU"/>
              </w:rPr>
            </w:pPr>
            <w:r w:rsidRPr="00503F5B">
              <w:rPr>
                <w:rFonts w:cs="Calibri"/>
                <w:sz w:val="20"/>
                <w:szCs w:val="20"/>
                <w:lang w:val="en-AU"/>
              </w:rPr>
              <w:t xml:space="preserve">$814,357 </w:t>
            </w:r>
          </w:p>
        </w:tc>
      </w:tr>
      <w:tr w:rsidR="004A2484" w:rsidRPr="00503F5B" w14:paraId="610A159B" w14:textId="77777777" w:rsidTr="004A2484">
        <w:trPr>
          <w:trHeight w:val="52"/>
          <w:jc w:val="center"/>
        </w:trPr>
        <w:tc>
          <w:tcPr>
            <w:tcW w:w="2100" w:type="dxa"/>
            <w:tcBorders>
              <w:bottom w:val="single" w:sz="4" w:space="0" w:color="ED7C5D"/>
            </w:tcBorders>
            <w:noWrap/>
            <w:hideMark/>
          </w:tcPr>
          <w:p w14:paraId="5CAE28C3" w14:textId="77777777" w:rsidR="004A2484" w:rsidRPr="00503F5B" w:rsidRDefault="004A2484" w:rsidP="004A2484">
            <w:pPr>
              <w:jc w:val="both"/>
              <w:rPr>
                <w:color w:val="000000" w:themeColor="text1"/>
                <w:sz w:val="20"/>
                <w:szCs w:val="20"/>
                <w:lang w:val="en-AU"/>
              </w:rPr>
            </w:pPr>
            <w:r w:rsidRPr="00503F5B">
              <w:rPr>
                <w:color w:val="000000" w:themeColor="text1"/>
                <w:sz w:val="20"/>
                <w:szCs w:val="20"/>
                <w:lang w:val="en-AU"/>
              </w:rPr>
              <w:t>VCAT challenges</w:t>
            </w:r>
          </w:p>
        </w:tc>
        <w:tc>
          <w:tcPr>
            <w:tcW w:w="2436" w:type="dxa"/>
            <w:tcBorders>
              <w:bottom w:val="single" w:sz="4" w:space="0" w:color="ED7C5D"/>
            </w:tcBorders>
            <w:noWrap/>
            <w:vAlign w:val="center"/>
            <w:hideMark/>
          </w:tcPr>
          <w:p w14:paraId="205EB402" w14:textId="42FE5FC3" w:rsidR="004A2484" w:rsidRPr="00503F5B" w:rsidRDefault="004A2484" w:rsidP="004A2484">
            <w:pPr>
              <w:jc w:val="center"/>
              <w:rPr>
                <w:color w:val="000000" w:themeColor="text1"/>
                <w:sz w:val="20"/>
                <w:szCs w:val="20"/>
                <w:lang w:val="en-AU"/>
              </w:rPr>
            </w:pPr>
            <w:r w:rsidRPr="00503F5B">
              <w:rPr>
                <w:rFonts w:cs="Calibri"/>
                <w:sz w:val="20"/>
                <w:szCs w:val="20"/>
                <w:lang w:val="en-AU"/>
              </w:rPr>
              <w:t>428 (i.e. 5% of 8,567 ASEs)</w:t>
            </w:r>
          </w:p>
        </w:tc>
        <w:tc>
          <w:tcPr>
            <w:tcW w:w="1485" w:type="dxa"/>
            <w:tcBorders>
              <w:bottom w:val="single" w:sz="4" w:space="0" w:color="ED7C5D"/>
            </w:tcBorders>
            <w:noWrap/>
            <w:vAlign w:val="center"/>
            <w:hideMark/>
          </w:tcPr>
          <w:p w14:paraId="6C2C6B2B" w14:textId="4B8E0E23" w:rsidR="004A2484" w:rsidRPr="00503F5B" w:rsidRDefault="004A2484" w:rsidP="004A2484">
            <w:pPr>
              <w:jc w:val="right"/>
              <w:rPr>
                <w:color w:val="000000" w:themeColor="text1"/>
                <w:sz w:val="20"/>
                <w:szCs w:val="20"/>
                <w:lang w:val="en-AU"/>
              </w:rPr>
            </w:pPr>
            <w:r w:rsidRPr="00503F5B">
              <w:rPr>
                <w:rFonts w:cs="Calibri"/>
                <w:sz w:val="20"/>
                <w:szCs w:val="20"/>
                <w:lang w:val="en-AU"/>
              </w:rPr>
              <w:t>$</w:t>
            </w:r>
            <w:r w:rsidR="00054DDB" w:rsidRPr="00503F5B">
              <w:rPr>
                <w:rFonts w:cs="Calibri"/>
                <w:sz w:val="20"/>
                <w:szCs w:val="20"/>
                <w:lang w:val="en-AU"/>
              </w:rPr>
              <w:t>3,387.49</w:t>
            </w:r>
            <w:r w:rsidRPr="00503F5B">
              <w:rPr>
                <w:rFonts w:cs="Calibri"/>
                <w:sz w:val="20"/>
                <w:szCs w:val="20"/>
                <w:lang w:val="en-AU"/>
              </w:rPr>
              <w:t xml:space="preserve"> </w:t>
            </w:r>
          </w:p>
        </w:tc>
        <w:tc>
          <w:tcPr>
            <w:tcW w:w="1555" w:type="dxa"/>
            <w:tcBorders>
              <w:bottom w:val="single" w:sz="4" w:space="0" w:color="ED7C5D"/>
            </w:tcBorders>
            <w:noWrap/>
            <w:vAlign w:val="center"/>
            <w:hideMark/>
          </w:tcPr>
          <w:p w14:paraId="7F184488" w14:textId="0256247A" w:rsidR="004A2484" w:rsidRPr="00503F5B" w:rsidRDefault="004A2484" w:rsidP="004A2484">
            <w:pPr>
              <w:jc w:val="right"/>
              <w:rPr>
                <w:color w:val="000000" w:themeColor="text1"/>
                <w:sz w:val="20"/>
                <w:szCs w:val="20"/>
                <w:lang w:val="en-AU"/>
              </w:rPr>
            </w:pPr>
            <w:r w:rsidRPr="00503F5B">
              <w:rPr>
                <w:rFonts w:cs="Calibri"/>
                <w:sz w:val="20"/>
                <w:szCs w:val="20"/>
                <w:lang w:val="en-AU"/>
              </w:rPr>
              <w:t>$</w:t>
            </w:r>
            <w:r w:rsidR="00BF6728" w:rsidRPr="00503F5B">
              <w:rPr>
                <w:rFonts w:cs="Calibri"/>
                <w:sz w:val="20"/>
                <w:szCs w:val="20"/>
                <w:lang w:val="en-AU"/>
              </w:rPr>
              <w:t>1,</w:t>
            </w:r>
            <w:r w:rsidR="00054DDB" w:rsidRPr="00503F5B">
              <w:rPr>
                <w:rFonts w:cs="Calibri"/>
                <w:sz w:val="20"/>
                <w:szCs w:val="20"/>
                <w:lang w:val="en-AU"/>
              </w:rPr>
              <w:t>451,033</w:t>
            </w:r>
            <w:r w:rsidRPr="00503F5B">
              <w:rPr>
                <w:rFonts w:cs="Calibri"/>
                <w:sz w:val="20"/>
                <w:szCs w:val="20"/>
                <w:lang w:val="en-AU"/>
              </w:rPr>
              <w:t xml:space="preserve"> </w:t>
            </w:r>
          </w:p>
        </w:tc>
      </w:tr>
      <w:tr w:rsidR="004A2484" w:rsidRPr="00503F5B" w14:paraId="6E395DCB" w14:textId="77777777" w:rsidTr="004A2484">
        <w:trPr>
          <w:trHeight w:val="52"/>
          <w:jc w:val="center"/>
        </w:trPr>
        <w:tc>
          <w:tcPr>
            <w:tcW w:w="2100" w:type="dxa"/>
            <w:tcBorders>
              <w:top w:val="single" w:sz="4" w:space="0" w:color="ED7C5D"/>
              <w:bottom w:val="single" w:sz="4" w:space="0" w:color="ED7C5D"/>
            </w:tcBorders>
            <w:noWrap/>
          </w:tcPr>
          <w:p w14:paraId="5AEBD36B" w14:textId="77777777" w:rsidR="004A2484" w:rsidRPr="00503F5B" w:rsidRDefault="004A2484" w:rsidP="004A2484">
            <w:pPr>
              <w:jc w:val="both"/>
              <w:rPr>
                <w:b/>
                <w:color w:val="000000" w:themeColor="text1"/>
                <w:sz w:val="20"/>
                <w:szCs w:val="20"/>
                <w:lang w:val="en-AU"/>
              </w:rPr>
            </w:pPr>
            <w:r w:rsidRPr="00503F5B">
              <w:rPr>
                <w:b/>
                <w:color w:val="000000" w:themeColor="text1"/>
                <w:sz w:val="20"/>
                <w:szCs w:val="20"/>
                <w:lang w:val="en-AU"/>
              </w:rPr>
              <w:t>Total estimated cost</w:t>
            </w:r>
          </w:p>
        </w:tc>
        <w:tc>
          <w:tcPr>
            <w:tcW w:w="2436" w:type="dxa"/>
            <w:tcBorders>
              <w:top w:val="single" w:sz="4" w:space="0" w:color="ED7C5D"/>
              <w:bottom w:val="single" w:sz="4" w:space="0" w:color="ED7C5D"/>
            </w:tcBorders>
            <w:noWrap/>
            <w:vAlign w:val="center"/>
          </w:tcPr>
          <w:p w14:paraId="241A903B" w14:textId="1D6BD862" w:rsidR="004A2484" w:rsidRPr="00503F5B" w:rsidRDefault="004A2484" w:rsidP="004A2484">
            <w:pPr>
              <w:jc w:val="both"/>
              <w:rPr>
                <w:b/>
                <w:color w:val="000000" w:themeColor="text1"/>
                <w:sz w:val="20"/>
                <w:szCs w:val="20"/>
                <w:lang w:val="en-AU"/>
              </w:rPr>
            </w:pPr>
            <w:r w:rsidRPr="00503F5B">
              <w:rPr>
                <w:rFonts w:cs="Calibri"/>
                <w:b/>
                <w:bCs/>
                <w:sz w:val="20"/>
                <w:szCs w:val="20"/>
                <w:lang w:val="en-AU"/>
              </w:rPr>
              <w:t> </w:t>
            </w:r>
          </w:p>
        </w:tc>
        <w:tc>
          <w:tcPr>
            <w:tcW w:w="1485" w:type="dxa"/>
            <w:tcBorders>
              <w:top w:val="single" w:sz="4" w:space="0" w:color="ED7C5D"/>
              <w:bottom w:val="single" w:sz="4" w:space="0" w:color="ED7C5D"/>
            </w:tcBorders>
            <w:noWrap/>
            <w:vAlign w:val="center"/>
          </w:tcPr>
          <w:p w14:paraId="2A1BF18A" w14:textId="4D58F813" w:rsidR="004A2484" w:rsidRPr="00503F5B" w:rsidRDefault="004A2484" w:rsidP="004A2484">
            <w:pPr>
              <w:jc w:val="right"/>
              <w:rPr>
                <w:b/>
                <w:color w:val="000000" w:themeColor="text1"/>
                <w:sz w:val="20"/>
                <w:szCs w:val="20"/>
                <w:lang w:val="en-AU"/>
              </w:rPr>
            </w:pPr>
            <w:r w:rsidRPr="00503F5B">
              <w:rPr>
                <w:rFonts w:cs="Calibri"/>
                <w:b/>
                <w:bCs/>
                <w:sz w:val="20"/>
                <w:szCs w:val="20"/>
                <w:lang w:val="en-AU"/>
              </w:rPr>
              <w:t> </w:t>
            </w:r>
          </w:p>
        </w:tc>
        <w:tc>
          <w:tcPr>
            <w:tcW w:w="1555" w:type="dxa"/>
            <w:tcBorders>
              <w:top w:val="single" w:sz="4" w:space="0" w:color="ED7C5D"/>
              <w:bottom w:val="single" w:sz="4" w:space="0" w:color="ED7C5D"/>
            </w:tcBorders>
            <w:noWrap/>
            <w:vAlign w:val="center"/>
          </w:tcPr>
          <w:p w14:paraId="0D0E0743" w14:textId="1E248272" w:rsidR="004A2484" w:rsidRPr="00503F5B" w:rsidRDefault="004A2484" w:rsidP="004A2484">
            <w:pPr>
              <w:jc w:val="right"/>
              <w:rPr>
                <w:b/>
                <w:color w:val="000000" w:themeColor="text1"/>
                <w:sz w:val="20"/>
                <w:szCs w:val="20"/>
                <w:lang w:val="en-AU"/>
              </w:rPr>
            </w:pPr>
            <w:bookmarkStart w:id="148" w:name="_Hlk34351673"/>
            <w:r w:rsidRPr="00503F5B">
              <w:rPr>
                <w:rFonts w:cs="Calibri"/>
                <w:b/>
                <w:bCs/>
                <w:sz w:val="20"/>
                <w:szCs w:val="20"/>
                <w:lang w:val="en-AU"/>
              </w:rPr>
              <w:t>$</w:t>
            </w:r>
            <w:r w:rsidR="00BF6728" w:rsidRPr="00503F5B">
              <w:rPr>
                <w:rFonts w:cs="Calibri"/>
                <w:b/>
                <w:bCs/>
                <w:sz w:val="20"/>
                <w:szCs w:val="20"/>
                <w:lang w:val="en-AU"/>
              </w:rPr>
              <w:t>6,</w:t>
            </w:r>
            <w:r w:rsidR="00054DDB" w:rsidRPr="00503F5B">
              <w:rPr>
                <w:rFonts w:cs="Calibri"/>
                <w:b/>
                <w:bCs/>
                <w:sz w:val="20"/>
                <w:szCs w:val="20"/>
                <w:lang w:val="en-AU"/>
              </w:rPr>
              <w:t>930,727</w:t>
            </w:r>
            <w:bookmarkEnd w:id="148"/>
            <w:r w:rsidRPr="00503F5B">
              <w:rPr>
                <w:rFonts w:cs="Calibri"/>
                <w:b/>
                <w:bCs/>
                <w:sz w:val="20"/>
                <w:szCs w:val="20"/>
                <w:lang w:val="en-AU"/>
              </w:rPr>
              <w:t xml:space="preserve"> </w:t>
            </w:r>
          </w:p>
        </w:tc>
      </w:tr>
    </w:tbl>
    <w:p w14:paraId="6AC31041" w14:textId="77777777" w:rsidR="00F66D4E" w:rsidRPr="00503F5B" w:rsidRDefault="00F66D4E" w:rsidP="00D65003">
      <w:pPr>
        <w:jc w:val="both"/>
      </w:pPr>
    </w:p>
    <w:p w14:paraId="1FF8E435" w14:textId="77777777" w:rsidR="00B84282" w:rsidRPr="00503F5B" w:rsidRDefault="00B84282" w:rsidP="00517C6D">
      <w:bookmarkStart w:id="149" w:name="_Toc457772540"/>
      <w:bookmarkEnd w:id="123"/>
      <w:r w:rsidRPr="00503F5B">
        <w:br w:type="page"/>
      </w:r>
    </w:p>
    <w:p w14:paraId="18BFFC2B" w14:textId="441620E6" w:rsidR="001D51D6" w:rsidRPr="00503F5B" w:rsidRDefault="001D51D6" w:rsidP="0080683B">
      <w:pPr>
        <w:pStyle w:val="Heading1"/>
      </w:pPr>
      <w:bookmarkStart w:id="150" w:name="_Toc35804140"/>
      <w:bookmarkStart w:id="151" w:name="_Toc35804634"/>
      <w:bookmarkStart w:id="152" w:name="_Toc35812678"/>
      <w:r w:rsidRPr="00503F5B">
        <w:lastRenderedPageBreak/>
        <w:t>Section 3: Specification of the desired objectives</w:t>
      </w:r>
      <w:bookmarkEnd w:id="149"/>
      <w:bookmarkEnd w:id="150"/>
      <w:bookmarkEnd w:id="151"/>
      <w:bookmarkEnd w:id="152"/>
    </w:p>
    <w:p w14:paraId="4E2989E1" w14:textId="77777777" w:rsidR="00C75273" w:rsidRPr="00503F5B" w:rsidRDefault="007B24DE" w:rsidP="007B24DE">
      <w:pPr>
        <w:jc w:val="both"/>
      </w:pPr>
      <w:bookmarkStart w:id="153" w:name="_Toc457772541"/>
      <w:r w:rsidRPr="00503F5B">
        <w:t xml:space="preserve">Section 3 specifies the underlying policy objectives (i.e. the ends to be achieved by government rather than the means of achieving them) in relation to the identified problem/s.  The objectives align with the principles outlined in the Department of Treasury and Finance’s Cost Recovery Guidelines about setting fees and charges.  </w:t>
      </w:r>
    </w:p>
    <w:p w14:paraId="24AB798F" w14:textId="77777777" w:rsidR="00C75273" w:rsidRPr="00503F5B" w:rsidRDefault="00C75273" w:rsidP="007B24DE">
      <w:pPr>
        <w:jc w:val="both"/>
      </w:pPr>
    </w:p>
    <w:p w14:paraId="6470AA7D" w14:textId="721BF43A" w:rsidR="00C75273" w:rsidRPr="00503F5B" w:rsidRDefault="00C75273" w:rsidP="007B24DE">
      <w:pPr>
        <w:jc w:val="both"/>
      </w:pPr>
      <w:r w:rsidRPr="00503F5B">
        <w:t xml:space="preserve">As noted above, </w:t>
      </w:r>
      <w:r w:rsidR="00294D6C" w:rsidRPr="00503F5B">
        <w:t xml:space="preserve">section 2 provides that </w:t>
      </w:r>
      <w:r w:rsidRPr="00503F5B">
        <w:t>the main purposes of the Principal Act are to:</w:t>
      </w:r>
    </w:p>
    <w:p w14:paraId="4A34E52F" w14:textId="5876A321" w:rsidR="00C75273" w:rsidRPr="00503F5B" w:rsidRDefault="00C75273" w:rsidP="00C75273">
      <w:pPr>
        <w:pStyle w:val="ListParagraph"/>
        <w:numPr>
          <w:ilvl w:val="0"/>
          <w:numId w:val="42"/>
        </w:numPr>
        <w:jc w:val="both"/>
      </w:pPr>
      <w:r w:rsidRPr="00503F5B">
        <w:t>to provide for fire safety, fire suppression and fire prevention services and emergency response services in FRV district;</w:t>
      </w:r>
      <w:r w:rsidR="00294D6C" w:rsidRPr="00503F5B">
        <w:t xml:space="preserve"> and</w:t>
      </w:r>
    </w:p>
    <w:p w14:paraId="5A97434C" w14:textId="1E3D3556" w:rsidR="00C75273" w:rsidRPr="00503F5B" w:rsidRDefault="00294D6C" w:rsidP="00C75273">
      <w:pPr>
        <w:pStyle w:val="ListParagraph"/>
        <w:numPr>
          <w:ilvl w:val="0"/>
          <w:numId w:val="42"/>
        </w:numPr>
        <w:jc w:val="both"/>
      </w:pPr>
      <w:r w:rsidRPr="00503F5B">
        <w:t>to establish Fire Rescue Victoria.</w:t>
      </w:r>
    </w:p>
    <w:p w14:paraId="2D33DAA4" w14:textId="16304948" w:rsidR="00294D6C" w:rsidRPr="00503F5B" w:rsidRDefault="00294D6C" w:rsidP="00294D6C">
      <w:pPr>
        <w:jc w:val="both"/>
      </w:pPr>
    </w:p>
    <w:p w14:paraId="300DE227" w14:textId="54A37691" w:rsidR="00093336" w:rsidRPr="00503F5B" w:rsidRDefault="00294D6C" w:rsidP="00093336">
      <w:pPr>
        <w:jc w:val="both"/>
      </w:pPr>
      <w:r w:rsidRPr="00503F5B">
        <w:t>Furthermore, as noted above, section 7 of the Principal Act specifies the functions of FRV to include</w:t>
      </w:r>
      <w:r w:rsidR="00093336" w:rsidRPr="00503F5B">
        <w:t>, to:</w:t>
      </w:r>
    </w:p>
    <w:p w14:paraId="1FA9D1A2" w14:textId="77777777" w:rsidR="00093336" w:rsidRPr="00503F5B" w:rsidRDefault="00093336" w:rsidP="00093336">
      <w:pPr>
        <w:jc w:val="both"/>
      </w:pPr>
    </w:p>
    <w:p w14:paraId="50DBE7B4" w14:textId="77777777" w:rsidR="00093336" w:rsidRPr="00503F5B" w:rsidRDefault="00093336" w:rsidP="00093336">
      <w:pPr>
        <w:pStyle w:val="ListParagraph"/>
        <w:numPr>
          <w:ilvl w:val="0"/>
          <w:numId w:val="14"/>
        </w:numPr>
        <w:spacing w:after="160" w:line="256" w:lineRule="auto"/>
        <w:jc w:val="both"/>
      </w:pPr>
      <w:r w:rsidRPr="00503F5B">
        <w:t xml:space="preserve">provide for fire suppression and fire prevention services in FRV fire district; </w:t>
      </w:r>
    </w:p>
    <w:p w14:paraId="1F54B28B" w14:textId="77777777" w:rsidR="00093336" w:rsidRPr="00503F5B" w:rsidRDefault="00093336" w:rsidP="00093336">
      <w:pPr>
        <w:pStyle w:val="ListParagraph"/>
        <w:numPr>
          <w:ilvl w:val="0"/>
          <w:numId w:val="14"/>
        </w:numPr>
        <w:spacing w:after="160" w:line="256" w:lineRule="auto"/>
        <w:jc w:val="both"/>
      </w:pPr>
      <w:r w:rsidRPr="00503F5B">
        <w:t xml:space="preserve">provide for emergency prevention and response services in FRV fire district; </w:t>
      </w:r>
    </w:p>
    <w:p w14:paraId="0F524349" w14:textId="77777777" w:rsidR="00093336" w:rsidRPr="00503F5B" w:rsidRDefault="00093336" w:rsidP="00093336">
      <w:pPr>
        <w:pStyle w:val="ListParagraph"/>
        <w:numPr>
          <w:ilvl w:val="0"/>
          <w:numId w:val="14"/>
        </w:numPr>
        <w:spacing w:after="160" w:line="256" w:lineRule="auto"/>
        <w:jc w:val="both"/>
      </w:pPr>
      <w:r w:rsidRPr="00503F5B">
        <w:t xml:space="preserve">implement the fire and emergency services priorities of the Government of Victoria; </w:t>
      </w:r>
    </w:p>
    <w:p w14:paraId="61EBF141" w14:textId="77777777" w:rsidR="00093336" w:rsidRPr="00503F5B" w:rsidRDefault="00093336" w:rsidP="00093336">
      <w:pPr>
        <w:pStyle w:val="ListParagraph"/>
        <w:numPr>
          <w:ilvl w:val="0"/>
          <w:numId w:val="14"/>
        </w:numPr>
        <w:spacing w:after="160" w:line="256" w:lineRule="auto"/>
        <w:jc w:val="both"/>
      </w:pPr>
      <w:r w:rsidRPr="00503F5B">
        <w:t>provide operational and management support to CFA; and</w:t>
      </w:r>
    </w:p>
    <w:p w14:paraId="33932B1F" w14:textId="77777777" w:rsidR="00093336" w:rsidRPr="00503F5B" w:rsidRDefault="00093336" w:rsidP="00093336">
      <w:pPr>
        <w:pStyle w:val="ListParagraph"/>
        <w:numPr>
          <w:ilvl w:val="0"/>
          <w:numId w:val="14"/>
        </w:numPr>
        <w:spacing w:after="160" w:line="256" w:lineRule="auto"/>
        <w:jc w:val="both"/>
      </w:pPr>
      <w:r w:rsidRPr="00503F5B">
        <w:t>carry out any other functions conferred on FRV by or under this Act or any other Act.</w:t>
      </w:r>
    </w:p>
    <w:p w14:paraId="2EC96051" w14:textId="07F3E22C" w:rsidR="000B4B7A" w:rsidRPr="00503F5B" w:rsidRDefault="005F42B6" w:rsidP="007B24DE">
      <w:pPr>
        <w:jc w:val="both"/>
      </w:pPr>
      <w:r w:rsidRPr="00503F5B">
        <w:t xml:space="preserve">In this context, it </w:t>
      </w:r>
      <w:r w:rsidR="00093336" w:rsidRPr="00503F5B">
        <w:t xml:space="preserve">is </w:t>
      </w:r>
      <w:r w:rsidRPr="00503F5B">
        <w:t xml:space="preserve">important to protect the response capability of FRV. Dispatch of resources to alarms that turn out to be false alarms, impacts </w:t>
      </w:r>
      <w:r w:rsidR="000B4B7A" w:rsidRPr="00503F5B">
        <w:t xml:space="preserve">the </w:t>
      </w:r>
      <w:r w:rsidRPr="00503F5B">
        <w:t xml:space="preserve">capability </w:t>
      </w:r>
      <w:r w:rsidR="000B4B7A" w:rsidRPr="00503F5B">
        <w:t>of FRV to</w:t>
      </w:r>
      <w:r w:rsidRPr="00503F5B">
        <w:t xml:space="preserve"> respond to genuine emergency incidents, with the consequent risk to public safety.  </w:t>
      </w:r>
    </w:p>
    <w:p w14:paraId="0C6F5DB2" w14:textId="77777777" w:rsidR="000B4B7A" w:rsidRPr="00503F5B" w:rsidRDefault="000B4B7A" w:rsidP="007B24DE">
      <w:pPr>
        <w:jc w:val="both"/>
      </w:pPr>
    </w:p>
    <w:p w14:paraId="4E692120" w14:textId="63D7849E" w:rsidR="007B24DE" w:rsidRPr="00503F5B" w:rsidRDefault="007B24DE" w:rsidP="007B24DE">
      <w:pPr>
        <w:jc w:val="both"/>
      </w:pPr>
      <w:r w:rsidRPr="00503F5B">
        <w:t>Having regard to</w:t>
      </w:r>
      <w:r w:rsidR="000B4B7A" w:rsidRPr="00503F5B">
        <w:t xml:space="preserve"> this context</w:t>
      </w:r>
      <w:r w:rsidR="007225B7" w:rsidRPr="00503F5B">
        <w:t>,</w:t>
      </w:r>
      <w:r w:rsidR="000B4B7A" w:rsidRPr="00503F5B">
        <w:t xml:space="preserve"> </w:t>
      </w:r>
      <w:r w:rsidRPr="00503F5B">
        <w:t>the requirement</w:t>
      </w:r>
      <w:r w:rsidR="007225B7" w:rsidRPr="00503F5B">
        <w:t xml:space="preserve"> in section 32B of the Principal for relevant FRV units to proceed with all practical speed to an alarm of fire, </w:t>
      </w:r>
      <w:r w:rsidRPr="00503F5B">
        <w:t xml:space="preserve">and the need to solve the problems identified in section 2.1 of this RIS - the objectives of these regulations </w:t>
      </w:r>
      <w:r w:rsidR="00FD1063" w:rsidRPr="00503F5B">
        <w:t xml:space="preserve">involve at </w:t>
      </w:r>
      <w:r w:rsidR="00FC5E87" w:rsidRPr="00503F5B">
        <w:t>trade-off</w:t>
      </w:r>
      <w:r w:rsidR="00FD1063" w:rsidRPr="00503F5B">
        <w:t xml:space="preserve"> between the need to</w:t>
      </w:r>
      <w:r w:rsidRPr="00503F5B">
        <w:t>:</w:t>
      </w:r>
    </w:p>
    <w:p w14:paraId="3228B319" w14:textId="77777777" w:rsidR="007B24DE" w:rsidRPr="00503F5B" w:rsidRDefault="007B24DE" w:rsidP="007B24DE">
      <w:pPr>
        <w:jc w:val="both"/>
        <w:rPr>
          <w:rFonts w:cs="Arial"/>
        </w:rPr>
      </w:pPr>
    </w:p>
    <w:p w14:paraId="5E6BA431" w14:textId="0D3051D0" w:rsidR="007B24DE" w:rsidRPr="00503F5B" w:rsidRDefault="007B24DE" w:rsidP="00FD1063">
      <w:pPr>
        <w:pStyle w:val="ListParagraph"/>
        <w:numPr>
          <w:ilvl w:val="0"/>
          <w:numId w:val="3"/>
        </w:numPr>
        <w:ind w:left="426" w:hanging="426"/>
        <w:rPr>
          <w:rFonts w:cs="Arial"/>
        </w:rPr>
      </w:pPr>
      <w:r w:rsidRPr="00503F5B">
        <w:rPr>
          <w:rFonts w:cs="Arial"/>
        </w:rPr>
        <w:t xml:space="preserve">fund emergency attendance activities </w:t>
      </w:r>
      <w:r w:rsidR="00FD1063" w:rsidRPr="00503F5B">
        <w:rPr>
          <w:rFonts w:cs="Arial"/>
        </w:rPr>
        <w:t xml:space="preserve">for false alarms </w:t>
      </w:r>
      <w:r w:rsidRPr="00503F5B">
        <w:rPr>
          <w:rFonts w:cs="Arial"/>
        </w:rPr>
        <w:t>in a way that encourages property owners to proactively manage and maintain their alarm systems; and</w:t>
      </w:r>
    </w:p>
    <w:p w14:paraId="6286CB08" w14:textId="3537CEE1" w:rsidR="007B24DE" w:rsidRPr="00503F5B" w:rsidRDefault="007B24DE" w:rsidP="007B24DE">
      <w:pPr>
        <w:pStyle w:val="ListParagraph"/>
        <w:numPr>
          <w:ilvl w:val="0"/>
          <w:numId w:val="3"/>
        </w:numPr>
        <w:ind w:left="426" w:hanging="426"/>
        <w:rPr>
          <w:rFonts w:cs="Arial"/>
        </w:rPr>
      </w:pPr>
      <w:r w:rsidRPr="00503F5B">
        <w:rPr>
          <w:rFonts w:cs="Arial"/>
        </w:rPr>
        <w:t>equitably and efficiently recover the costs of false alarms from relevant property owners</w:t>
      </w:r>
      <w:r w:rsidR="00FC5E87" w:rsidRPr="00503F5B">
        <w:rPr>
          <w:rFonts w:cs="Arial"/>
        </w:rPr>
        <w:t>.</w:t>
      </w:r>
    </w:p>
    <w:p w14:paraId="6827ECF0" w14:textId="77777777" w:rsidR="007B24DE" w:rsidRPr="00503F5B" w:rsidRDefault="007B24DE" w:rsidP="007B24DE">
      <w:pPr>
        <w:pStyle w:val="ListParagraph"/>
        <w:rPr>
          <w:rFonts w:cs="Arial"/>
        </w:rPr>
      </w:pPr>
    </w:p>
    <w:p w14:paraId="5EB996C4" w14:textId="284022C8" w:rsidR="007B24DE" w:rsidRPr="00503F5B" w:rsidRDefault="007B24DE" w:rsidP="007B24DE">
      <w:pPr>
        <w:jc w:val="both"/>
      </w:pPr>
      <w:r w:rsidRPr="00503F5B">
        <w:rPr>
          <w:rFonts w:cs="Arial"/>
        </w:rPr>
        <w:t xml:space="preserve">The first objective is a priority to ensure that </w:t>
      </w:r>
      <w:r w:rsidR="007225B7" w:rsidRPr="00503F5B">
        <w:rPr>
          <w:rFonts w:cs="Arial"/>
        </w:rPr>
        <w:t xml:space="preserve">the charges for false alarm attendance do not </w:t>
      </w:r>
      <w:r w:rsidRPr="00503F5B">
        <w:rPr>
          <w:rFonts w:cs="Arial"/>
        </w:rPr>
        <w:t>deter</w:t>
      </w:r>
      <w:r w:rsidR="007225B7" w:rsidRPr="00503F5B">
        <w:rPr>
          <w:rFonts w:cs="Arial"/>
        </w:rPr>
        <w:t>, or reduce the incentives for</w:t>
      </w:r>
      <w:r w:rsidRPr="00503F5B">
        <w:rPr>
          <w:rFonts w:cs="Arial"/>
        </w:rPr>
        <w:t xml:space="preserve"> property owners </w:t>
      </w:r>
      <w:r w:rsidR="007225B7" w:rsidRPr="00503F5B">
        <w:rPr>
          <w:rFonts w:cs="Arial"/>
        </w:rPr>
        <w:t xml:space="preserve">to </w:t>
      </w:r>
      <w:r w:rsidRPr="00503F5B">
        <w:rPr>
          <w:rFonts w:cs="Arial"/>
        </w:rPr>
        <w:t>manag</w:t>
      </w:r>
      <w:r w:rsidR="007225B7" w:rsidRPr="00503F5B">
        <w:rPr>
          <w:rFonts w:cs="Arial"/>
        </w:rPr>
        <w:t>e</w:t>
      </w:r>
      <w:r w:rsidRPr="00503F5B">
        <w:rPr>
          <w:rFonts w:cs="Arial"/>
        </w:rPr>
        <w:t xml:space="preserve"> and maintain</w:t>
      </w:r>
      <w:r w:rsidR="00FC5E87" w:rsidRPr="00503F5B">
        <w:rPr>
          <w:rFonts w:cs="Arial"/>
        </w:rPr>
        <w:t xml:space="preserve"> </w:t>
      </w:r>
      <w:r w:rsidRPr="00503F5B">
        <w:rPr>
          <w:rFonts w:cs="Arial"/>
        </w:rPr>
        <w:t>their alarm signalling equipment.</w:t>
      </w:r>
      <w:r w:rsidR="00FD1063" w:rsidRPr="00503F5B">
        <w:rPr>
          <w:rFonts w:cs="Arial"/>
        </w:rPr>
        <w:t xml:space="preserve"> This does not relate to emergency attendances for vessels, false reports, where hazardous and toxic materials are involved or the ‘catch all’ of special circumstances where there is infrequent activity and the objective</w:t>
      </w:r>
      <w:r w:rsidR="000401CF" w:rsidRPr="00503F5B">
        <w:rPr>
          <w:rFonts w:cs="Arial"/>
        </w:rPr>
        <w:t>, instead</w:t>
      </w:r>
      <w:r w:rsidR="007225B7" w:rsidRPr="00503F5B">
        <w:rPr>
          <w:rFonts w:cs="Arial"/>
        </w:rPr>
        <w:t xml:space="preserve">, ensures there is a price signal to incentivise </w:t>
      </w:r>
      <w:r w:rsidR="005B7605" w:rsidRPr="00503F5B">
        <w:rPr>
          <w:rFonts w:cs="Arial"/>
        </w:rPr>
        <w:t>responsible behaviour</w:t>
      </w:r>
      <w:r w:rsidR="00FD1063" w:rsidRPr="00503F5B">
        <w:rPr>
          <w:rFonts w:cs="Arial"/>
        </w:rPr>
        <w:t xml:space="preserve">. </w:t>
      </w:r>
      <w:r w:rsidRPr="00503F5B">
        <w:rPr>
          <w:rFonts w:cs="Arial"/>
        </w:rPr>
        <w:t>The second objective is to ensure the total costs of emergency attendance due to false alarms in the absence of a reasonable excuse (anticipated to be approximately $</w:t>
      </w:r>
      <w:r w:rsidR="00514E45" w:rsidRPr="00503F5B">
        <w:rPr>
          <w:rFonts w:cs="Arial"/>
        </w:rPr>
        <w:t>5</w:t>
      </w:r>
      <w:r w:rsidR="007C60FB" w:rsidRPr="00503F5B">
        <w:rPr>
          <w:rFonts w:cs="Arial"/>
        </w:rPr>
        <w:t>6</w:t>
      </w:r>
      <w:r w:rsidR="00514E45" w:rsidRPr="00503F5B">
        <w:rPr>
          <w:rFonts w:cs="Arial"/>
        </w:rPr>
        <w:t>.</w:t>
      </w:r>
      <w:r w:rsidR="007C60FB" w:rsidRPr="00503F5B">
        <w:rPr>
          <w:rFonts w:cs="Arial"/>
        </w:rPr>
        <w:t>36</w:t>
      </w:r>
      <w:r w:rsidRPr="00503F5B">
        <w:rPr>
          <w:rFonts w:cs="Arial"/>
        </w:rPr>
        <w:t xml:space="preserve"> million</w:t>
      </w:r>
      <w:r w:rsidRPr="00503F5B">
        <w:rPr>
          <w:rStyle w:val="FootnoteReference"/>
          <w:rFonts w:cs="Arial"/>
        </w:rPr>
        <w:footnoteReference w:id="105"/>
      </w:r>
      <w:r w:rsidRPr="00503F5B">
        <w:rPr>
          <w:rFonts w:cs="Arial"/>
        </w:rPr>
        <w:t xml:space="preserve"> in 20</w:t>
      </w:r>
      <w:r w:rsidR="007C60FB" w:rsidRPr="00503F5B">
        <w:rPr>
          <w:rFonts w:cs="Arial"/>
        </w:rPr>
        <w:t>19</w:t>
      </w:r>
      <w:r w:rsidRPr="00503F5B">
        <w:rPr>
          <w:rFonts w:cs="Arial"/>
        </w:rPr>
        <w:t>-</w:t>
      </w:r>
      <w:r w:rsidR="004D6CAD" w:rsidRPr="00503F5B">
        <w:rPr>
          <w:rFonts w:cs="Arial"/>
        </w:rPr>
        <w:t>2</w:t>
      </w:r>
      <w:r w:rsidR="007C60FB" w:rsidRPr="00503F5B">
        <w:rPr>
          <w:rFonts w:cs="Arial"/>
        </w:rPr>
        <w:t>0</w:t>
      </w:r>
      <w:r w:rsidR="00FC5E87" w:rsidRPr="00503F5B">
        <w:rPr>
          <w:rFonts w:cs="Arial"/>
        </w:rPr>
        <w:t xml:space="preserve"> –</w:t>
      </w:r>
      <w:r w:rsidR="000B4B7A" w:rsidRPr="00503F5B">
        <w:rPr>
          <w:rFonts w:cs="Arial"/>
        </w:rPr>
        <w:t xml:space="preserve"> </w:t>
      </w:r>
      <w:r w:rsidRPr="00503F5B">
        <w:rPr>
          <w:rFonts w:cs="Arial"/>
        </w:rPr>
        <w:t xml:space="preserve">as shown in Chart </w:t>
      </w:r>
      <w:r w:rsidR="004D6CAD" w:rsidRPr="00503F5B">
        <w:rPr>
          <w:rFonts w:cs="Arial"/>
        </w:rPr>
        <w:t>9</w:t>
      </w:r>
      <w:r w:rsidRPr="00503F5B">
        <w:rPr>
          <w:rFonts w:cs="Arial"/>
        </w:rPr>
        <w:t xml:space="preserve">) is recovered in an efficient and equitable way.  </w:t>
      </w:r>
    </w:p>
    <w:p w14:paraId="7617849D" w14:textId="6C09E695" w:rsidR="004D6CAD" w:rsidRPr="00503F5B" w:rsidRDefault="004D6CAD" w:rsidP="007B24DE">
      <w:pPr>
        <w:jc w:val="both"/>
      </w:pPr>
    </w:p>
    <w:p w14:paraId="74F510F7" w14:textId="701EE5E8" w:rsidR="000B4B7A" w:rsidRPr="00503F5B" w:rsidRDefault="000B4B7A" w:rsidP="000B4B7A">
      <w:pPr>
        <w:jc w:val="both"/>
      </w:pPr>
      <w:r w:rsidRPr="00503F5B">
        <w:rPr>
          <w:rFonts w:cs="Arial"/>
        </w:rPr>
        <w:lastRenderedPageBreak/>
        <w:t xml:space="preserve">Current recovery through </w:t>
      </w:r>
      <w:r w:rsidR="007E6BE5" w:rsidRPr="00503F5B">
        <w:rPr>
          <w:rFonts w:cs="Arial"/>
        </w:rPr>
        <w:t xml:space="preserve">the FSPL </w:t>
      </w:r>
      <w:r w:rsidRPr="00503F5B">
        <w:rPr>
          <w:rFonts w:cs="Arial"/>
        </w:rPr>
        <w:t>is around $43.35 million</w:t>
      </w:r>
      <w:r w:rsidRPr="00503F5B">
        <w:rPr>
          <w:rStyle w:val="FootnoteReference"/>
          <w:rFonts w:cs="Arial"/>
        </w:rPr>
        <w:footnoteReference w:id="106"/>
      </w:r>
      <w:r w:rsidRPr="00503F5B">
        <w:t xml:space="preserve"> and an estimated $13 million</w:t>
      </w:r>
      <w:r w:rsidRPr="00503F5B">
        <w:rPr>
          <w:rStyle w:val="FootnoteReference"/>
        </w:rPr>
        <w:footnoteReference w:id="107"/>
      </w:r>
      <w:r w:rsidRPr="00503F5B">
        <w:t xml:space="preserve"> is recovered from owners of alarm systems by </w:t>
      </w:r>
      <w:r w:rsidR="00595DFB" w:rsidRPr="00503F5B">
        <w:t>MFB</w:t>
      </w:r>
      <w:r w:rsidRPr="00503F5B">
        <w:t xml:space="preserve"> and CFA integrated stations, as illustrated in Chart 9.</w:t>
      </w:r>
    </w:p>
    <w:p w14:paraId="7898D73A" w14:textId="77777777" w:rsidR="000B4B7A" w:rsidRPr="00503F5B" w:rsidRDefault="000B4B7A" w:rsidP="000B4B7A">
      <w:pPr>
        <w:jc w:val="both"/>
      </w:pPr>
    </w:p>
    <w:p w14:paraId="1A85C3E2" w14:textId="2C69958F" w:rsidR="000B4B7A" w:rsidRPr="00503F5B" w:rsidRDefault="000B4B7A" w:rsidP="000B4B7A">
      <w:pPr>
        <w:jc w:val="both"/>
        <w:rPr>
          <w:i/>
        </w:rPr>
      </w:pPr>
      <w:r w:rsidRPr="00503F5B">
        <w:t>These policy objectives will be used to inform the MCA criteria for assessing proposed options for false alarm charges under proposed regulation 1</w:t>
      </w:r>
      <w:r w:rsidR="001A6758">
        <w:t>7</w:t>
      </w:r>
      <w:r w:rsidRPr="00503F5B">
        <w:t>(1)(a) and will need to strike a balance between these two objectives.</w:t>
      </w:r>
    </w:p>
    <w:p w14:paraId="4E69B95C" w14:textId="77777777" w:rsidR="000B4B7A" w:rsidRPr="00503F5B" w:rsidRDefault="000B4B7A">
      <w:pPr>
        <w:spacing w:after="160" w:line="259" w:lineRule="auto"/>
        <w:rPr>
          <w:b/>
          <w:color w:val="000000" w:themeColor="text1"/>
          <w:sz w:val="20"/>
          <w:szCs w:val="20"/>
        </w:rPr>
      </w:pPr>
      <w:r w:rsidRPr="00503F5B">
        <w:rPr>
          <w:b/>
          <w:color w:val="000000" w:themeColor="text1"/>
          <w:sz w:val="20"/>
          <w:szCs w:val="20"/>
        </w:rPr>
        <w:br w:type="page"/>
      </w:r>
    </w:p>
    <w:p w14:paraId="6E18155F" w14:textId="1A15B912" w:rsidR="00323FFF" w:rsidRPr="00503F5B" w:rsidRDefault="00323FFF" w:rsidP="00323FFF">
      <w:pPr>
        <w:jc w:val="center"/>
        <w:rPr>
          <w:b/>
          <w:color w:val="000000" w:themeColor="text1"/>
          <w:sz w:val="20"/>
          <w:szCs w:val="20"/>
        </w:rPr>
      </w:pPr>
      <w:r w:rsidRPr="00503F5B">
        <w:rPr>
          <w:b/>
          <w:color w:val="000000" w:themeColor="text1"/>
          <w:sz w:val="20"/>
          <w:szCs w:val="20"/>
        </w:rPr>
        <w:lastRenderedPageBreak/>
        <w:t>Chart 9: Comparison of estimated false alarm costs and expected contribution to funding to false alarms in the absence of a reasonable excuse.</w:t>
      </w:r>
    </w:p>
    <w:p w14:paraId="05EE1D68" w14:textId="77777777" w:rsidR="004C0C06" w:rsidRPr="00503F5B" w:rsidRDefault="004C0C06" w:rsidP="007B24DE">
      <w:pPr>
        <w:jc w:val="both"/>
      </w:pPr>
    </w:p>
    <w:p w14:paraId="70BD8E08" w14:textId="4D30CBA8" w:rsidR="004D6CAD" w:rsidRPr="00503F5B" w:rsidRDefault="00323FFF" w:rsidP="00323FFF">
      <w:pPr>
        <w:ind w:hanging="851"/>
        <w:jc w:val="both"/>
      </w:pPr>
      <w:r w:rsidRPr="00503F5B">
        <w:rPr>
          <w:noProof/>
        </w:rPr>
        <w:drawing>
          <wp:inline distT="0" distB="0" distL="0" distR="0" wp14:anchorId="3A6C1BD7" wp14:editId="248A2B5D">
            <wp:extent cx="6762750" cy="25076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79841" cy="2513952"/>
                    </a:xfrm>
                    <a:prstGeom prst="rect">
                      <a:avLst/>
                    </a:prstGeom>
                    <a:noFill/>
                    <a:ln>
                      <a:noFill/>
                    </a:ln>
                  </pic:spPr>
                </pic:pic>
              </a:graphicData>
            </a:graphic>
          </wp:inline>
        </w:drawing>
      </w:r>
    </w:p>
    <w:p w14:paraId="55EE8F71" w14:textId="77777777" w:rsidR="001D51D6" w:rsidRPr="00503F5B" w:rsidRDefault="001D51D6" w:rsidP="0080683B">
      <w:pPr>
        <w:pStyle w:val="Heading1"/>
      </w:pPr>
      <w:bookmarkStart w:id="154" w:name="_Toc35804141"/>
      <w:bookmarkStart w:id="155" w:name="_Toc35804635"/>
      <w:bookmarkStart w:id="156" w:name="_Toc35812679"/>
      <w:r w:rsidRPr="00503F5B">
        <w:t>Section 4:  Identification of viable options to achieve objectives</w:t>
      </w:r>
      <w:bookmarkEnd w:id="153"/>
      <w:bookmarkEnd w:id="154"/>
      <w:bookmarkEnd w:id="155"/>
      <w:bookmarkEnd w:id="156"/>
    </w:p>
    <w:p w14:paraId="0DD7FA1D" w14:textId="2E521BDF" w:rsidR="00323FFF" w:rsidRPr="00503F5B" w:rsidRDefault="00323FFF" w:rsidP="00323FFF">
      <w:pPr>
        <w:jc w:val="both"/>
      </w:pPr>
      <w:r w:rsidRPr="00503F5B">
        <w:t xml:space="preserve">The following options are assessed in terms of their ability to achieve the objectives of the regulations and adhere to the principles of the Guidelines. As required by the </w:t>
      </w:r>
      <w:r w:rsidRPr="00503F5B">
        <w:rPr>
          <w:i/>
        </w:rPr>
        <w:t>Victorian Guide to Regulation</w:t>
      </w:r>
      <w:r w:rsidRPr="00503F5B">
        <w:t xml:space="preserve">, they are assessed in comparison to the ‘base case’ in which no fees are prescribed </w:t>
      </w:r>
      <w:r w:rsidR="007D2A45" w:rsidRPr="00503F5B">
        <w:t>for false alarms under proposed regulation 1</w:t>
      </w:r>
      <w:r w:rsidR="00FC5E87" w:rsidRPr="00503F5B">
        <w:t>7</w:t>
      </w:r>
      <w:r w:rsidR="007D2A45" w:rsidRPr="00503F5B">
        <w:t xml:space="preserve">(1)(a) </w:t>
      </w:r>
      <w:r w:rsidRPr="00503F5B">
        <w:t xml:space="preserve">and in which it is assumed that all </w:t>
      </w:r>
      <w:r w:rsidR="007D2A45" w:rsidRPr="00503F5B">
        <w:t xml:space="preserve">associated </w:t>
      </w:r>
      <w:r w:rsidRPr="00503F5B">
        <w:t>costs would be funded via general tax revenue, namely FRV revenue</w:t>
      </w:r>
      <w:r w:rsidRPr="00503F5B">
        <w:rPr>
          <w:rStyle w:val="FootnoteReference"/>
        </w:rPr>
        <w:footnoteReference w:id="108"/>
      </w:r>
      <w:r w:rsidRPr="00503F5B">
        <w:t>, and in which:</w:t>
      </w:r>
    </w:p>
    <w:p w14:paraId="2AB9FE2E" w14:textId="77777777" w:rsidR="001D51D6" w:rsidRPr="00503F5B" w:rsidRDefault="001D51D6" w:rsidP="001D51D6">
      <w:pPr>
        <w:jc w:val="both"/>
        <w:rPr>
          <w:sz w:val="24"/>
          <w:szCs w:val="24"/>
        </w:rPr>
      </w:pPr>
    </w:p>
    <w:p w14:paraId="3C5901A1" w14:textId="7FE4628B" w:rsidR="001D51D6" w:rsidRPr="00503F5B" w:rsidRDefault="001D51D6" w:rsidP="001D51D6">
      <w:pPr>
        <w:pStyle w:val="ListParagraph"/>
        <w:numPr>
          <w:ilvl w:val="0"/>
          <w:numId w:val="4"/>
        </w:numPr>
        <w:jc w:val="both"/>
        <w:rPr>
          <w:szCs w:val="24"/>
        </w:rPr>
      </w:pPr>
      <w:r w:rsidRPr="00503F5B">
        <w:rPr>
          <w:szCs w:val="24"/>
        </w:rPr>
        <w:t>The costs of emergency attendance in the case of false</w:t>
      </w:r>
      <w:r w:rsidR="00E556F3" w:rsidRPr="00503F5B">
        <w:rPr>
          <w:szCs w:val="24"/>
        </w:rPr>
        <w:t xml:space="preserve"> alarms</w:t>
      </w:r>
      <w:r w:rsidRPr="00503F5B">
        <w:rPr>
          <w:szCs w:val="24"/>
        </w:rPr>
        <w:t xml:space="preserve"> would be </w:t>
      </w:r>
      <w:proofErr w:type="gramStart"/>
      <w:r w:rsidRPr="00503F5B">
        <w:rPr>
          <w:szCs w:val="24"/>
        </w:rPr>
        <w:t>cross-subsidised</w:t>
      </w:r>
      <w:proofErr w:type="gramEnd"/>
      <w:r w:rsidR="000B4B7A" w:rsidRPr="00503F5B">
        <w:rPr>
          <w:rStyle w:val="FootnoteReference"/>
          <w:szCs w:val="24"/>
        </w:rPr>
        <w:footnoteReference w:id="109"/>
      </w:r>
      <w:r w:rsidRPr="00503F5B">
        <w:rPr>
          <w:szCs w:val="24"/>
        </w:rPr>
        <w:t xml:space="preserve"> by all taxpayers;</w:t>
      </w:r>
    </w:p>
    <w:p w14:paraId="3DA04BF0" w14:textId="01988E4F" w:rsidR="001D51D6" w:rsidRPr="00503F5B" w:rsidRDefault="001D51D6" w:rsidP="001D51D6">
      <w:pPr>
        <w:pStyle w:val="ListParagraph"/>
        <w:numPr>
          <w:ilvl w:val="0"/>
          <w:numId w:val="4"/>
        </w:numPr>
        <w:jc w:val="both"/>
        <w:rPr>
          <w:szCs w:val="24"/>
        </w:rPr>
      </w:pPr>
      <w:r w:rsidRPr="00503F5B">
        <w:rPr>
          <w:szCs w:val="24"/>
        </w:rPr>
        <w:t xml:space="preserve">Owners of alarm systems </w:t>
      </w:r>
      <w:r w:rsidR="000B4B7A" w:rsidRPr="00503F5B">
        <w:rPr>
          <w:szCs w:val="24"/>
        </w:rPr>
        <w:t>generating</w:t>
      </w:r>
      <w:r w:rsidRPr="00503F5B">
        <w:rPr>
          <w:szCs w:val="24"/>
        </w:rPr>
        <w:t xml:space="preserve"> false alarm calls (roughly) who are deemed not to have a ‘reasonable excuse’ would not pay anything for an emergency attendance by an appliance, so the price would not be the efficient price of an appliance attending a false alarm; and</w:t>
      </w:r>
    </w:p>
    <w:p w14:paraId="498E16D8" w14:textId="388C4076" w:rsidR="001D51D6" w:rsidRPr="00503F5B" w:rsidRDefault="001D51D6" w:rsidP="001D51D6">
      <w:pPr>
        <w:pStyle w:val="ListParagraph"/>
        <w:numPr>
          <w:ilvl w:val="0"/>
          <w:numId w:val="4"/>
        </w:numPr>
        <w:jc w:val="both"/>
        <w:rPr>
          <w:szCs w:val="24"/>
        </w:rPr>
      </w:pPr>
      <w:r w:rsidRPr="00503F5B">
        <w:rPr>
          <w:szCs w:val="24"/>
        </w:rPr>
        <w:t xml:space="preserve">False alarm attendances by appliances (in the absence of a reasonable excuse) would cost taxpayers around </w:t>
      </w:r>
      <w:r w:rsidR="00D36267" w:rsidRPr="00503F5B">
        <w:rPr>
          <w:szCs w:val="24"/>
        </w:rPr>
        <w:t>$57.04</w:t>
      </w:r>
      <w:r w:rsidRPr="00503F5B">
        <w:rPr>
          <w:szCs w:val="24"/>
        </w:rPr>
        <w:t xml:space="preserve"> million per annum</w:t>
      </w:r>
      <w:r w:rsidR="00E7441E" w:rsidRPr="00503F5B">
        <w:rPr>
          <w:szCs w:val="24"/>
        </w:rPr>
        <w:t xml:space="preserve"> (in 2020-21)</w:t>
      </w:r>
      <w:r w:rsidRPr="00503F5B">
        <w:rPr>
          <w:rStyle w:val="FootnoteReference"/>
          <w:szCs w:val="24"/>
        </w:rPr>
        <w:footnoteReference w:id="110"/>
      </w:r>
      <w:r w:rsidRPr="00503F5B">
        <w:rPr>
          <w:szCs w:val="24"/>
        </w:rPr>
        <w:t>.</w:t>
      </w:r>
    </w:p>
    <w:p w14:paraId="6B0F4272" w14:textId="77777777" w:rsidR="001D51D6" w:rsidRPr="00503F5B" w:rsidRDefault="001D51D6" w:rsidP="001D51D6">
      <w:pPr>
        <w:jc w:val="both"/>
      </w:pPr>
    </w:p>
    <w:p w14:paraId="5DF27EEF" w14:textId="11979A06" w:rsidR="00323FFF" w:rsidRPr="00503F5B" w:rsidRDefault="00323FFF" w:rsidP="00323FFF">
      <w:pPr>
        <w:jc w:val="both"/>
      </w:pPr>
      <w:r w:rsidRPr="00503F5B">
        <w:t xml:space="preserve">The viable options for this RIS are limited to different levels of cost recovery of fees including full or partial cost recovery, and the recovery of those fees from different parties (owners of alarm systems, or all taxpayers via general tax revenue).   </w:t>
      </w:r>
    </w:p>
    <w:p w14:paraId="3D464B44" w14:textId="77777777" w:rsidR="00323FFF" w:rsidRPr="00503F5B" w:rsidRDefault="00323FFF" w:rsidP="001D51D6">
      <w:pPr>
        <w:jc w:val="both"/>
      </w:pPr>
    </w:p>
    <w:p w14:paraId="1BC78293" w14:textId="0CD4C0F4" w:rsidR="007E6BE5" w:rsidRPr="00503F5B" w:rsidRDefault="00EB752F" w:rsidP="00323FFF">
      <w:pPr>
        <w:jc w:val="both"/>
      </w:pPr>
      <w:r w:rsidRPr="00503F5B">
        <w:lastRenderedPageBreak/>
        <w:t xml:space="preserve">Stratified fees are different fees which are set for various circumstances, such as firm size, industry type. </w:t>
      </w:r>
      <w:r w:rsidR="00323FFF" w:rsidRPr="00503F5B">
        <w:t>Stratified fees were considered which at first glance appeared to be the approach in the ACT and South Australia (see Table 16). However, in South Australia, the fees for monitored alarm attendances are set by reference to the MFS Operating Procedures. These classify buildings according to the number of appliances needed if involved in fire because of their size, use and risk to life. It is not clear that this reflects an actual cost of a false alarm, or only a later assessment of the resources which could have been required had a fire occurred. For example, one appliance may be sent, but because the risk of injury to the public is greater in a larger building or one where people gather (such as a cinema), a larger fee is levied as additional deterrence.</w:t>
      </w:r>
      <w:r w:rsidR="00FC5E87" w:rsidRPr="00503F5B">
        <w:t xml:space="preserve"> </w:t>
      </w:r>
      <w:r w:rsidR="00323FFF" w:rsidRPr="00503F5B">
        <w:t xml:space="preserve">In South Australia, a higher emergency service levy is also applied to types of properties which historically create greater demand for resources, such as industrial premises.  </w:t>
      </w:r>
    </w:p>
    <w:p w14:paraId="392674F8" w14:textId="77777777" w:rsidR="007E6BE5" w:rsidRPr="00503F5B" w:rsidRDefault="007E6BE5" w:rsidP="00323FFF">
      <w:pPr>
        <w:jc w:val="both"/>
      </w:pPr>
    </w:p>
    <w:p w14:paraId="5AEAB5EF" w14:textId="005C2A16" w:rsidR="00323FFF" w:rsidRPr="00503F5B" w:rsidRDefault="00323FFF" w:rsidP="00323FFF">
      <w:pPr>
        <w:jc w:val="both"/>
      </w:pPr>
      <w:r w:rsidRPr="00503F5B">
        <w:t xml:space="preserve">In the ACT, in the case of a false alarm for a monitored alarm which is not excused, a fee is payable by either the resident of the home ($263.00) or in other instances by the provider of the automatic alarm network. In this way a greater disincentive to alarm failure is directed to a commercial enterprise where its commercial service fails, and a false alarm </w:t>
      </w:r>
      <w:proofErr w:type="gramStart"/>
      <w:r w:rsidRPr="00503F5B">
        <w:t>results</w:t>
      </w:r>
      <w:proofErr w:type="gramEnd"/>
      <w:r w:rsidRPr="00503F5B">
        <w:t>.</w:t>
      </w:r>
      <w:r w:rsidR="00BB4FE1" w:rsidRPr="00503F5B">
        <w:t xml:space="preserve"> </w:t>
      </w:r>
      <w:r w:rsidRPr="00503F5B">
        <w:t xml:space="preserve">Importantly in Victoria according to the Act, </w:t>
      </w:r>
      <w:r w:rsidR="00D23B9E" w:rsidRPr="00503F5B">
        <w:t>FRV</w:t>
      </w:r>
      <w:r w:rsidRPr="00503F5B">
        <w:t xml:space="preserve"> has the power to waive fees and therefore a degree of discretion is provided in relation to the emergency attendance fee.</w:t>
      </w:r>
      <w:r w:rsidR="000B4B7A" w:rsidRPr="00503F5B">
        <w:t xml:space="preserve"> </w:t>
      </w:r>
      <w:r w:rsidR="00C80234" w:rsidRPr="00503F5B">
        <w:t>T</w:t>
      </w:r>
      <w:r w:rsidR="000B4B7A" w:rsidRPr="00503F5B">
        <w:t>his is</w:t>
      </w:r>
      <w:r w:rsidR="00C80234" w:rsidRPr="00503F5B">
        <w:t xml:space="preserve"> considered</w:t>
      </w:r>
      <w:r w:rsidR="000B4B7A" w:rsidRPr="00503F5B">
        <w:t xml:space="preserve"> an important provision that needs to be protected.</w:t>
      </w:r>
      <w:r w:rsidR="007E6BE5" w:rsidRPr="00503F5B">
        <w:t xml:space="preserve"> Due to these operational and legislative differences between SA and ACT, stratified fees were therefore not considered to be a viable option for Victoria within the current framework.</w:t>
      </w:r>
    </w:p>
    <w:p w14:paraId="7D9C56C7" w14:textId="77777777" w:rsidR="00323FFF" w:rsidRPr="00503F5B" w:rsidRDefault="00323FFF" w:rsidP="001D51D6">
      <w:pPr>
        <w:jc w:val="both"/>
      </w:pPr>
    </w:p>
    <w:p w14:paraId="0C2A5927" w14:textId="77777777" w:rsidR="00323FFF" w:rsidRPr="00503F5B" w:rsidRDefault="00323FFF" w:rsidP="00323FFF">
      <w:pPr>
        <w:jc w:val="both"/>
      </w:pPr>
      <w:r w:rsidRPr="00503F5B">
        <w:t>Consequently, the options to be considered as part of the cost benefit evaluation in this RIS include the following:</w:t>
      </w:r>
    </w:p>
    <w:p w14:paraId="31C1B81F" w14:textId="77777777" w:rsidR="001D51D6" w:rsidRPr="00503F5B" w:rsidRDefault="001D51D6" w:rsidP="001D51D6">
      <w:pPr>
        <w:jc w:val="both"/>
      </w:pPr>
    </w:p>
    <w:p w14:paraId="6FC156B9" w14:textId="18C46B49" w:rsidR="001D51D6" w:rsidRPr="00503F5B" w:rsidRDefault="001D51D6" w:rsidP="00101EC8">
      <w:pPr>
        <w:pStyle w:val="ListParagraph"/>
        <w:numPr>
          <w:ilvl w:val="0"/>
          <w:numId w:val="30"/>
        </w:numPr>
        <w:jc w:val="both"/>
      </w:pPr>
      <w:r w:rsidRPr="00503F5B">
        <w:rPr>
          <w:b/>
          <w:i/>
        </w:rPr>
        <w:t>Option 1:</w:t>
      </w:r>
      <w:r w:rsidRPr="00503F5B">
        <w:t xml:space="preserve"> Full cost recovery fee</w:t>
      </w:r>
      <w:r w:rsidR="007F13D1" w:rsidRPr="00503F5B">
        <w:t xml:space="preserve"> </w:t>
      </w:r>
      <w:r w:rsidRPr="00503F5B">
        <w:t xml:space="preserve">set per appliance, per 15 minutes or </w:t>
      </w:r>
      <w:r w:rsidR="000401CF" w:rsidRPr="00503F5B">
        <w:t xml:space="preserve">on a </w:t>
      </w:r>
      <w:r w:rsidRPr="00503F5B">
        <w:t xml:space="preserve">part thereof basis </w:t>
      </w:r>
      <w:r w:rsidRPr="00503F5B">
        <w:rPr>
          <w:i/>
          <w:iCs/>
        </w:rPr>
        <w:t>for false alarm attendances deemed not to have a ‘reasonable excuse’</w:t>
      </w:r>
      <w:r w:rsidR="002F3150" w:rsidRPr="00503F5B">
        <w:t xml:space="preserve">.  Specifically, </w:t>
      </w:r>
      <w:r w:rsidR="007F13D1" w:rsidRPr="00503F5B">
        <w:t>O</w:t>
      </w:r>
      <w:r w:rsidR="002F3150" w:rsidRPr="00503F5B">
        <w:t xml:space="preserve">ption 1 involves the </w:t>
      </w:r>
      <w:r w:rsidR="002F3150" w:rsidRPr="00503F5B">
        <w:rPr>
          <w:b/>
          <w:bCs/>
          <w:i/>
          <w:iCs/>
        </w:rPr>
        <w:t>quarterly hour full cost recovery fee of $2,510 per appliance</w:t>
      </w:r>
      <w:r w:rsidR="002F3150" w:rsidRPr="00503F5B">
        <w:t xml:space="preserve"> and is calculated as a weighted amount representing current activities of </w:t>
      </w:r>
      <w:r w:rsidR="00595DFB" w:rsidRPr="00503F5B">
        <w:t>MFB</w:t>
      </w:r>
      <w:r w:rsidR="002F3150" w:rsidRPr="00503F5B">
        <w:t xml:space="preserve"> and CFA integrated stations</w:t>
      </w:r>
      <w:r w:rsidR="002F3150" w:rsidRPr="00503F5B">
        <w:rPr>
          <w:rStyle w:val="FootnoteReference"/>
        </w:rPr>
        <w:footnoteReference w:id="111"/>
      </w:r>
      <w:r w:rsidR="002F3150" w:rsidRPr="00503F5B">
        <w:t xml:space="preserve">.   Option 1 entails the </w:t>
      </w:r>
      <w:r w:rsidRPr="00503F5B">
        <w:t>recovery of</w:t>
      </w:r>
      <w:r w:rsidR="00BB4FE1" w:rsidRPr="00503F5B">
        <w:t xml:space="preserve"> approximately 46.09</w:t>
      </w:r>
      <w:r w:rsidR="00C37F54" w:rsidRPr="00503F5B">
        <w:t xml:space="preserve"> per cent</w:t>
      </w:r>
      <w:r w:rsidR="00BB4FE1" w:rsidRPr="00503F5B">
        <w:rPr>
          <w:rStyle w:val="FootnoteReference"/>
        </w:rPr>
        <w:footnoteReference w:id="112"/>
      </w:r>
      <w:r w:rsidR="00BB4FE1" w:rsidRPr="00503F5B">
        <w:t xml:space="preserve"> of</w:t>
      </w:r>
      <w:r w:rsidRPr="00503F5B">
        <w:t xml:space="preserve"> total hours spent on </w:t>
      </w:r>
      <w:r w:rsidR="00D97EAB" w:rsidRPr="00503F5B">
        <w:t>‘</w:t>
      </w:r>
      <w:r w:rsidRPr="00503F5B">
        <w:t>all</w:t>
      </w:r>
      <w:r w:rsidR="00D97EAB" w:rsidRPr="00503F5B">
        <w:t>’</w:t>
      </w:r>
      <w:r w:rsidRPr="00503F5B">
        <w:t xml:space="preserve"> false alarm attendances by appliances</w:t>
      </w:r>
      <w:r w:rsidR="00D97EAB" w:rsidRPr="00503F5B">
        <w:t xml:space="preserve"> ‘with and without a reasonable excuse’</w:t>
      </w:r>
      <w:r w:rsidR="002F3150" w:rsidRPr="00503F5B">
        <w:t xml:space="preserve"> or, in other words, 100</w:t>
      </w:r>
      <w:r w:rsidR="00C37F54" w:rsidRPr="00503F5B">
        <w:t xml:space="preserve"> per cent</w:t>
      </w:r>
      <w:r w:rsidR="002F3150" w:rsidRPr="00503F5B">
        <w:t xml:space="preserve"> of costs where there is </w:t>
      </w:r>
      <w:r w:rsidR="00D97EAB" w:rsidRPr="00503F5B">
        <w:t>‘</w:t>
      </w:r>
      <w:r w:rsidR="002F3150" w:rsidRPr="00503F5B">
        <w:t>no reasonable excuse</w:t>
      </w:r>
      <w:r w:rsidR="00D97EAB" w:rsidRPr="00503F5B">
        <w:t>’</w:t>
      </w:r>
      <w:r w:rsidRPr="00503F5B">
        <w:t xml:space="preserve">.  The balance of total costs of false alarm attendance costs where a ‘reasonable excuse’ is provided </w:t>
      </w:r>
      <w:r w:rsidR="00BB4FE1" w:rsidRPr="00503F5B">
        <w:t xml:space="preserve">(approximately </w:t>
      </w:r>
      <w:r w:rsidR="004C0C06" w:rsidRPr="00503F5B">
        <w:t>$66.73 million as shown in Table 18)</w:t>
      </w:r>
      <w:r w:rsidR="00BB4FE1" w:rsidRPr="00503F5B">
        <w:t xml:space="preserve"> </w:t>
      </w:r>
      <w:r w:rsidRPr="00503F5B">
        <w:rPr>
          <w:sz w:val="24"/>
        </w:rPr>
        <w:t>is</w:t>
      </w:r>
      <w:r w:rsidRPr="00503F5B">
        <w:t xml:space="preserve"> to be funded from</w:t>
      </w:r>
      <w:r w:rsidR="00BB4FE1" w:rsidRPr="00503F5B">
        <w:t xml:space="preserve"> FRV </w:t>
      </w:r>
      <w:r w:rsidRPr="00503F5B">
        <w:t>revenue</w:t>
      </w:r>
      <w:r w:rsidR="00BB4FE1" w:rsidRPr="00503F5B">
        <w:t xml:space="preserve"> (see Table 1 in this RIS)</w:t>
      </w:r>
      <w:r w:rsidRPr="00503F5B">
        <w:t xml:space="preserve">. </w:t>
      </w:r>
    </w:p>
    <w:p w14:paraId="355F5F20" w14:textId="26D11309" w:rsidR="00C811A4" w:rsidRPr="00503F5B" w:rsidRDefault="00C811A4" w:rsidP="001D51D6">
      <w:pPr>
        <w:jc w:val="both"/>
      </w:pPr>
    </w:p>
    <w:p w14:paraId="3DD413E4" w14:textId="1213E70F" w:rsidR="00C811A4" w:rsidRPr="00503F5B" w:rsidRDefault="00FC5E87" w:rsidP="00254E7D">
      <w:pPr>
        <w:ind w:firstLine="709"/>
        <w:jc w:val="center"/>
        <w:rPr>
          <w:b/>
          <w:sz w:val="20"/>
          <w:szCs w:val="20"/>
        </w:rPr>
      </w:pPr>
      <w:bookmarkStart w:id="157" w:name="_Hlk34342675"/>
      <w:r w:rsidRPr="00503F5B">
        <w:rPr>
          <w:b/>
          <w:sz w:val="20"/>
          <w:szCs w:val="20"/>
        </w:rPr>
        <w:br w:type="column"/>
      </w:r>
      <w:r w:rsidR="004C0C06" w:rsidRPr="00503F5B">
        <w:rPr>
          <w:b/>
          <w:sz w:val="20"/>
          <w:szCs w:val="20"/>
        </w:rPr>
        <w:lastRenderedPageBreak/>
        <w:t>Table 18: Summary of full cost recovery fee under Option 1 and annual revenue</w:t>
      </w:r>
    </w:p>
    <w:p w14:paraId="66795736" w14:textId="77777777" w:rsidR="004C0C06" w:rsidRPr="00503F5B" w:rsidRDefault="004C0C06" w:rsidP="004C0C06">
      <w:pPr>
        <w:jc w:val="center"/>
      </w:pPr>
    </w:p>
    <w:tbl>
      <w:tblPr>
        <w:tblStyle w:val="TableGrid"/>
        <w:tblW w:w="765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418"/>
        <w:gridCol w:w="1559"/>
        <w:gridCol w:w="1104"/>
        <w:gridCol w:w="1276"/>
        <w:gridCol w:w="1164"/>
      </w:tblGrid>
      <w:tr w:rsidR="00BB4FE1" w:rsidRPr="00503F5B" w14:paraId="32F4A5EC" w14:textId="77777777" w:rsidTr="00517C6D">
        <w:trPr>
          <w:trHeight w:val="375"/>
          <w:tblHeader/>
          <w:jc w:val="right"/>
        </w:trPr>
        <w:tc>
          <w:tcPr>
            <w:tcW w:w="1134" w:type="dxa"/>
            <w:tcBorders>
              <w:top w:val="single" w:sz="4" w:space="0" w:color="ED7C5D"/>
              <w:bottom w:val="double" w:sz="4" w:space="0" w:color="ED7C5D"/>
            </w:tcBorders>
            <w:noWrap/>
            <w:hideMark/>
          </w:tcPr>
          <w:p w14:paraId="4C4CF184" w14:textId="77777777" w:rsidR="00BB4FE1" w:rsidRPr="00503F5B" w:rsidRDefault="00BB4FE1" w:rsidP="00CE61F2">
            <w:pPr>
              <w:rPr>
                <w:b/>
                <w:color w:val="BE2A18"/>
                <w:sz w:val="20"/>
                <w:szCs w:val="20"/>
                <w:lang w:val="en-AU"/>
              </w:rPr>
            </w:pPr>
            <w:r w:rsidRPr="00503F5B">
              <w:rPr>
                <w:b/>
                <w:color w:val="BE2A18"/>
                <w:sz w:val="20"/>
                <w:szCs w:val="20"/>
                <w:lang w:val="en-AU"/>
              </w:rPr>
              <w:t>False alarm category</w:t>
            </w:r>
          </w:p>
        </w:tc>
        <w:tc>
          <w:tcPr>
            <w:tcW w:w="1418" w:type="dxa"/>
            <w:tcBorders>
              <w:top w:val="single" w:sz="4" w:space="0" w:color="ED7C5D"/>
              <w:bottom w:val="double" w:sz="4" w:space="0" w:color="ED7C5D"/>
            </w:tcBorders>
            <w:noWrap/>
            <w:hideMark/>
          </w:tcPr>
          <w:p w14:paraId="3EDA413A" w14:textId="77777777" w:rsidR="00BB4FE1" w:rsidRPr="00503F5B" w:rsidRDefault="00BB4FE1" w:rsidP="00CE61F2">
            <w:pPr>
              <w:ind w:left="19"/>
              <w:jc w:val="center"/>
              <w:rPr>
                <w:b/>
                <w:color w:val="BE2A18"/>
                <w:sz w:val="20"/>
                <w:szCs w:val="20"/>
                <w:lang w:val="en-AU"/>
              </w:rPr>
            </w:pPr>
            <w:r w:rsidRPr="00503F5B">
              <w:rPr>
                <w:b/>
                <w:color w:val="BE2A18"/>
                <w:sz w:val="20"/>
                <w:szCs w:val="20"/>
                <w:lang w:val="en-AU"/>
              </w:rPr>
              <w:t>Total cost</w:t>
            </w:r>
            <w:r w:rsidRPr="00503F5B">
              <w:rPr>
                <w:rStyle w:val="FootnoteReference"/>
                <w:b/>
                <w:color w:val="BE2A18"/>
                <w:sz w:val="20"/>
                <w:szCs w:val="20"/>
                <w:lang w:val="en-AU"/>
              </w:rPr>
              <w:footnoteReference w:id="113"/>
            </w:r>
          </w:p>
        </w:tc>
        <w:tc>
          <w:tcPr>
            <w:tcW w:w="1559" w:type="dxa"/>
            <w:tcBorders>
              <w:top w:val="single" w:sz="4" w:space="0" w:color="ED7C5D"/>
              <w:bottom w:val="double" w:sz="4" w:space="0" w:color="ED7C5D"/>
            </w:tcBorders>
            <w:hideMark/>
          </w:tcPr>
          <w:p w14:paraId="33F3FF2F" w14:textId="77777777" w:rsidR="004E64CA" w:rsidRPr="00503F5B" w:rsidRDefault="00BB4FE1" w:rsidP="00CE61F2">
            <w:pPr>
              <w:jc w:val="center"/>
              <w:rPr>
                <w:b/>
                <w:color w:val="BE2A18"/>
                <w:sz w:val="20"/>
                <w:szCs w:val="20"/>
                <w:lang w:val="en-AU"/>
              </w:rPr>
            </w:pPr>
            <w:r w:rsidRPr="00503F5B">
              <w:rPr>
                <w:b/>
                <w:color w:val="BE2A18"/>
                <w:sz w:val="20"/>
                <w:szCs w:val="20"/>
                <w:lang w:val="en-AU"/>
              </w:rPr>
              <w:t xml:space="preserve">Total </w:t>
            </w:r>
          </w:p>
          <w:p w14:paraId="5605139A" w14:textId="4B8477C8" w:rsidR="00BB4FE1" w:rsidRPr="00503F5B" w:rsidRDefault="00BB4FE1" w:rsidP="00CE61F2">
            <w:pPr>
              <w:jc w:val="center"/>
              <w:rPr>
                <w:b/>
                <w:color w:val="BE2A18"/>
                <w:sz w:val="20"/>
                <w:szCs w:val="20"/>
                <w:lang w:val="en-AU"/>
              </w:rPr>
            </w:pPr>
            <w:r w:rsidRPr="00503F5B">
              <w:rPr>
                <w:b/>
                <w:color w:val="BE2A18"/>
                <w:sz w:val="20"/>
                <w:szCs w:val="20"/>
                <w:lang w:val="en-AU"/>
              </w:rPr>
              <w:t>quarterly hour transactions</w:t>
            </w:r>
            <w:r w:rsidRPr="00503F5B">
              <w:rPr>
                <w:rStyle w:val="FootnoteReference"/>
                <w:b/>
                <w:color w:val="BE2A18"/>
                <w:sz w:val="20"/>
                <w:szCs w:val="20"/>
                <w:lang w:val="en-AU"/>
              </w:rPr>
              <w:footnoteReference w:id="114"/>
            </w:r>
          </w:p>
        </w:tc>
        <w:tc>
          <w:tcPr>
            <w:tcW w:w="1104" w:type="dxa"/>
            <w:tcBorders>
              <w:top w:val="single" w:sz="4" w:space="0" w:color="ED7C5D"/>
              <w:bottom w:val="double" w:sz="4" w:space="0" w:color="ED7C5D"/>
            </w:tcBorders>
            <w:noWrap/>
            <w:hideMark/>
          </w:tcPr>
          <w:p w14:paraId="1BCDEA5E" w14:textId="77777777" w:rsidR="00BB4FE1" w:rsidRPr="00503F5B" w:rsidRDefault="00BB4FE1" w:rsidP="00CE61F2">
            <w:pPr>
              <w:jc w:val="center"/>
              <w:rPr>
                <w:b/>
                <w:color w:val="BE2A18"/>
                <w:sz w:val="20"/>
                <w:szCs w:val="20"/>
                <w:lang w:val="en-AU"/>
              </w:rPr>
            </w:pPr>
            <w:r w:rsidRPr="00503F5B">
              <w:rPr>
                <w:b/>
                <w:color w:val="BE2A18"/>
                <w:sz w:val="20"/>
                <w:szCs w:val="20"/>
                <w:lang w:val="en-AU"/>
              </w:rPr>
              <w:t>Fee</w:t>
            </w:r>
            <w:r w:rsidRPr="00503F5B">
              <w:rPr>
                <w:rStyle w:val="FootnoteReference"/>
                <w:b/>
                <w:color w:val="BE2A18"/>
                <w:sz w:val="20"/>
                <w:szCs w:val="20"/>
                <w:lang w:val="en-AU"/>
              </w:rPr>
              <w:footnoteReference w:id="115"/>
            </w:r>
          </w:p>
        </w:tc>
        <w:tc>
          <w:tcPr>
            <w:tcW w:w="1276" w:type="dxa"/>
            <w:tcBorders>
              <w:top w:val="single" w:sz="4" w:space="0" w:color="ED7C5D"/>
              <w:bottom w:val="double" w:sz="4" w:space="0" w:color="ED7C5D"/>
            </w:tcBorders>
            <w:noWrap/>
            <w:hideMark/>
          </w:tcPr>
          <w:p w14:paraId="45A4CF72" w14:textId="77777777" w:rsidR="00BB4FE1" w:rsidRPr="00503F5B" w:rsidRDefault="00BB4FE1" w:rsidP="00CE61F2">
            <w:pPr>
              <w:ind w:left="-49"/>
              <w:jc w:val="center"/>
              <w:rPr>
                <w:b/>
                <w:color w:val="BE2A18"/>
                <w:sz w:val="20"/>
                <w:szCs w:val="20"/>
                <w:lang w:val="en-AU"/>
              </w:rPr>
            </w:pPr>
            <w:r w:rsidRPr="00503F5B">
              <w:rPr>
                <w:b/>
                <w:color w:val="BE2A18"/>
                <w:sz w:val="20"/>
                <w:szCs w:val="20"/>
                <w:lang w:val="en-AU"/>
              </w:rPr>
              <w:t>Annual revenue</w:t>
            </w:r>
            <w:r w:rsidRPr="00503F5B">
              <w:rPr>
                <w:rStyle w:val="FootnoteReference"/>
                <w:b/>
                <w:color w:val="BE2A18"/>
                <w:sz w:val="20"/>
                <w:szCs w:val="20"/>
                <w:lang w:val="en-AU"/>
              </w:rPr>
              <w:footnoteReference w:id="116"/>
            </w:r>
          </w:p>
        </w:tc>
        <w:tc>
          <w:tcPr>
            <w:tcW w:w="1164" w:type="dxa"/>
            <w:tcBorders>
              <w:top w:val="single" w:sz="4" w:space="0" w:color="ED7C5D"/>
              <w:bottom w:val="double" w:sz="4" w:space="0" w:color="ED7C5D"/>
            </w:tcBorders>
            <w:noWrap/>
            <w:hideMark/>
          </w:tcPr>
          <w:p w14:paraId="5EB72433" w14:textId="77777777" w:rsidR="00BB4FE1" w:rsidRPr="00503F5B" w:rsidRDefault="00BB4FE1" w:rsidP="00CE61F2">
            <w:pPr>
              <w:ind w:left="24" w:hanging="24"/>
              <w:jc w:val="center"/>
              <w:rPr>
                <w:b/>
                <w:color w:val="BE2A18"/>
                <w:sz w:val="20"/>
                <w:szCs w:val="20"/>
                <w:lang w:val="en-AU"/>
              </w:rPr>
            </w:pPr>
            <w:r w:rsidRPr="00503F5B">
              <w:rPr>
                <w:b/>
                <w:color w:val="BE2A18"/>
                <w:sz w:val="20"/>
                <w:szCs w:val="20"/>
                <w:lang w:val="en-AU"/>
              </w:rPr>
              <w:t>Percentage of costs recovered</w:t>
            </w:r>
          </w:p>
        </w:tc>
      </w:tr>
      <w:tr w:rsidR="00C811A4" w:rsidRPr="00503F5B" w14:paraId="52682CC9" w14:textId="77777777" w:rsidTr="00517C6D">
        <w:trPr>
          <w:trHeight w:val="320"/>
          <w:jc w:val="right"/>
        </w:trPr>
        <w:tc>
          <w:tcPr>
            <w:tcW w:w="1134" w:type="dxa"/>
            <w:tcBorders>
              <w:top w:val="double" w:sz="4" w:space="0" w:color="ED7C5D"/>
            </w:tcBorders>
            <w:shd w:val="clear" w:color="auto" w:fill="auto"/>
            <w:noWrap/>
            <w:vAlign w:val="center"/>
            <w:hideMark/>
          </w:tcPr>
          <w:p w14:paraId="6E8E3010" w14:textId="77777777" w:rsidR="00C811A4" w:rsidRPr="00503F5B" w:rsidRDefault="00C811A4" w:rsidP="00C811A4">
            <w:pPr>
              <w:rPr>
                <w:sz w:val="20"/>
                <w:szCs w:val="20"/>
                <w:lang w:val="en-AU"/>
              </w:rPr>
            </w:pPr>
            <w:r w:rsidRPr="00503F5B">
              <w:rPr>
                <w:b/>
                <w:i/>
                <w:sz w:val="20"/>
                <w:szCs w:val="20"/>
                <w:lang w:val="en-AU"/>
              </w:rPr>
              <w:t>Without</w:t>
            </w:r>
            <w:r w:rsidRPr="00503F5B">
              <w:rPr>
                <w:sz w:val="20"/>
                <w:szCs w:val="20"/>
                <w:lang w:val="en-AU"/>
              </w:rPr>
              <w:t xml:space="preserve"> reasonable excuse</w:t>
            </w:r>
          </w:p>
        </w:tc>
        <w:tc>
          <w:tcPr>
            <w:tcW w:w="1418" w:type="dxa"/>
            <w:tcBorders>
              <w:top w:val="double" w:sz="4" w:space="0" w:color="ED7C5D"/>
            </w:tcBorders>
            <w:shd w:val="clear" w:color="auto" w:fill="auto"/>
            <w:noWrap/>
            <w:vAlign w:val="center"/>
            <w:hideMark/>
          </w:tcPr>
          <w:p w14:paraId="5FD6D424" w14:textId="701B5727" w:rsidR="00C811A4" w:rsidRPr="00503F5B" w:rsidRDefault="00C811A4" w:rsidP="00C811A4">
            <w:pPr>
              <w:ind w:left="19"/>
              <w:jc w:val="right"/>
              <w:rPr>
                <w:sz w:val="20"/>
                <w:szCs w:val="20"/>
                <w:lang w:val="en-AU"/>
              </w:rPr>
            </w:pPr>
            <w:r w:rsidRPr="00503F5B">
              <w:rPr>
                <w:rFonts w:cs="Calibri"/>
                <w:sz w:val="20"/>
                <w:szCs w:val="20"/>
                <w:lang w:val="en-AU"/>
              </w:rPr>
              <w:t>$57,037,000</w:t>
            </w:r>
          </w:p>
        </w:tc>
        <w:tc>
          <w:tcPr>
            <w:tcW w:w="1559" w:type="dxa"/>
            <w:tcBorders>
              <w:top w:val="double" w:sz="4" w:space="0" w:color="ED7C5D"/>
            </w:tcBorders>
            <w:shd w:val="clear" w:color="auto" w:fill="auto"/>
            <w:noWrap/>
            <w:vAlign w:val="center"/>
            <w:hideMark/>
          </w:tcPr>
          <w:p w14:paraId="4F954C82" w14:textId="5779FA81" w:rsidR="00C811A4" w:rsidRPr="00503F5B" w:rsidRDefault="00C811A4" w:rsidP="00C811A4">
            <w:pPr>
              <w:jc w:val="right"/>
              <w:rPr>
                <w:sz w:val="20"/>
                <w:szCs w:val="20"/>
                <w:lang w:val="en-AU"/>
              </w:rPr>
            </w:pPr>
            <w:r w:rsidRPr="00503F5B">
              <w:rPr>
                <w:rFonts w:cs="Calibri"/>
                <w:sz w:val="20"/>
                <w:szCs w:val="20"/>
                <w:lang w:val="en-AU"/>
              </w:rPr>
              <w:t>22,721</w:t>
            </w:r>
          </w:p>
        </w:tc>
        <w:tc>
          <w:tcPr>
            <w:tcW w:w="1104" w:type="dxa"/>
            <w:tcBorders>
              <w:top w:val="double" w:sz="4" w:space="0" w:color="ED7C5D"/>
            </w:tcBorders>
            <w:shd w:val="clear" w:color="auto" w:fill="auto"/>
            <w:noWrap/>
            <w:vAlign w:val="center"/>
            <w:hideMark/>
          </w:tcPr>
          <w:p w14:paraId="2DA4F27E" w14:textId="5AD69513" w:rsidR="00C811A4" w:rsidRPr="00503F5B" w:rsidRDefault="00C811A4" w:rsidP="00C811A4">
            <w:pPr>
              <w:jc w:val="right"/>
              <w:rPr>
                <w:sz w:val="20"/>
                <w:szCs w:val="20"/>
                <w:lang w:val="en-AU"/>
              </w:rPr>
            </w:pPr>
            <w:r w:rsidRPr="00503F5B">
              <w:rPr>
                <w:rFonts w:cs="Calibri"/>
                <w:sz w:val="20"/>
                <w:szCs w:val="20"/>
                <w:lang w:val="en-AU"/>
              </w:rPr>
              <w:t>$2,510</w:t>
            </w:r>
            <w:r w:rsidR="005F587F" w:rsidRPr="00503F5B">
              <w:rPr>
                <w:rFonts w:cs="Calibri"/>
                <w:sz w:val="20"/>
                <w:szCs w:val="20"/>
                <w:lang w:val="en-AU"/>
              </w:rPr>
              <w:t>.29</w:t>
            </w:r>
          </w:p>
        </w:tc>
        <w:tc>
          <w:tcPr>
            <w:tcW w:w="1276" w:type="dxa"/>
            <w:tcBorders>
              <w:top w:val="double" w:sz="4" w:space="0" w:color="ED7C5D"/>
            </w:tcBorders>
            <w:shd w:val="clear" w:color="auto" w:fill="auto"/>
            <w:noWrap/>
            <w:vAlign w:val="center"/>
            <w:hideMark/>
          </w:tcPr>
          <w:p w14:paraId="2BF78864" w14:textId="6439FA36" w:rsidR="00C811A4" w:rsidRPr="00503F5B" w:rsidRDefault="00C811A4" w:rsidP="00C811A4">
            <w:pPr>
              <w:ind w:left="-49"/>
              <w:jc w:val="right"/>
              <w:rPr>
                <w:sz w:val="20"/>
                <w:szCs w:val="20"/>
                <w:lang w:val="en-AU"/>
              </w:rPr>
            </w:pPr>
            <w:r w:rsidRPr="00503F5B">
              <w:rPr>
                <w:rFonts w:cs="Calibri"/>
                <w:sz w:val="20"/>
                <w:szCs w:val="20"/>
                <w:lang w:val="en-AU"/>
              </w:rPr>
              <w:t>$57,037,000</w:t>
            </w:r>
          </w:p>
        </w:tc>
        <w:tc>
          <w:tcPr>
            <w:tcW w:w="1164" w:type="dxa"/>
            <w:tcBorders>
              <w:top w:val="double" w:sz="4" w:space="0" w:color="ED7C5D"/>
            </w:tcBorders>
            <w:shd w:val="clear" w:color="auto" w:fill="auto"/>
            <w:noWrap/>
            <w:vAlign w:val="center"/>
            <w:hideMark/>
          </w:tcPr>
          <w:p w14:paraId="52383C25" w14:textId="165FF10F" w:rsidR="00C811A4" w:rsidRPr="00503F5B" w:rsidRDefault="00C811A4" w:rsidP="00C811A4">
            <w:pPr>
              <w:ind w:left="24" w:hanging="24"/>
              <w:jc w:val="right"/>
              <w:rPr>
                <w:b/>
                <w:i/>
                <w:sz w:val="20"/>
                <w:szCs w:val="20"/>
                <w:lang w:val="en-AU"/>
              </w:rPr>
            </w:pPr>
            <w:r w:rsidRPr="00503F5B">
              <w:rPr>
                <w:rFonts w:cs="Calibri"/>
                <w:b/>
                <w:bCs/>
                <w:i/>
                <w:iCs/>
                <w:sz w:val="20"/>
                <w:szCs w:val="20"/>
                <w:lang w:val="en-AU"/>
              </w:rPr>
              <w:t>100%</w:t>
            </w:r>
          </w:p>
        </w:tc>
      </w:tr>
      <w:tr w:rsidR="00C811A4" w:rsidRPr="00503F5B" w14:paraId="50A0D819" w14:textId="77777777" w:rsidTr="00517C6D">
        <w:trPr>
          <w:trHeight w:val="320"/>
          <w:jc w:val="right"/>
        </w:trPr>
        <w:tc>
          <w:tcPr>
            <w:tcW w:w="1134" w:type="dxa"/>
            <w:tcBorders>
              <w:bottom w:val="single" w:sz="4" w:space="0" w:color="ED7C5D"/>
            </w:tcBorders>
            <w:noWrap/>
            <w:vAlign w:val="center"/>
            <w:hideMark/>
          </w:tcPr>
          <w:p w14:paraId="018AF097" w14:textId="77777777" w:rsidR="00C811A4" w:rsidRPr="00503F5B" w:rsidRDefault="00C811A4" w:rsidP="00C811A4">
            <w:pPr>
              <w:rPr>
                <w:sz w:val="20"/>
                <w:szCs w:val="20"/>
                <w:lang w:val="en-AU"/>
              </w:rPr>
            </w:pPr>
            <w:r w:rsidRPr="00503F5B">
              <w:rPr>
                <w:b/>
                <w:i/>
                <w:sz w:val="20"/>
                <w:szCs w:val="20"/>
                <w:lang w:val="en-AU"/>
              </w:rPr>
              <w:t xml:space="preserve">With </w:t>
            </w:r>
            <w:r w:rsidRPr="00503F5B">
              <w:rPr>
                <w:sz w:val="20"/>
                <w:szCs w:val="20"/>
                <w:lang w:val="en-AU"/>
              </w:rPr>
              <w:t>reasonable excuse</w:t>
            </w:r>
          </w:p>
        </w:tc>
        <w:tc>
          <w:tcPr>
            <w:tcW w:w="1418" w:type="dxa"/>
            <w:tcBorders>
              <w:bottom w:val="single" w:sz="4" w:space="0" w:color="ED7C5D"/>
            </w:tcBorders>
            <w:noWrap/>
            <w:vAlign w:val="center"/>
            <w:hideMark/>
          </w:tcPr>
          <w:p w14:paraId="4A3C94F7" w14:textId="601E527D" w:rsidR="00C811A4" w:rsidRPr="00503F5B" w:rsidRDefault="00C811A4" w:rsidP="00C811A4">
            <w:pPr>
              <w:ind w:left="19"/>
              <w:jc w:val="right"/>
              <w:rPr>
                <w:sz w:val="20"/>
                <w:szCs w:val="20"/>
                <w:lang w:val="en-AU"/>
              </w:rPr>
            </w:pPr>
            <w:r w:rsidRPr="00503F5B">
              <w:rPr>
                <w:rFonts w:cs="Calibri"/>
                <w:sz w:val="20"/>
                <w:szCs w:val="20"/>
                <w:lang w:val="en-AU"/>
              </w:rPr>
              <w:t>$66,725,647</w:t>
            </w:r>
          </w:p>
        </w:tc>
        <w:tc>
          <w:tcPr>
            <w:tcW w:w="1559" w:type="dxa"/>
            <w:tcBorders>
              <w:bottom w:val="single" w:sz="4" w:space="0" w:color="ED7C5D"/>
            </w:tcBorders>
            <w:noWrap/>
            <w:vAlign w:val="center"/>
            <w:hideMark/>
          </w:tcPr>
          <w:p w14:paraId="112BA5D8" w14:textId="2F255EFE" w:rsidR="00C811A4" w:rsidRPr="00503F5B" w:rsidRDefault="00C811A4" w:rsidP="00C811A4">
            <w:pPr>
              <w:jc w:val="right"/>
              <w:rPr>
                <w:sz w:val="20"/>
                <w:szCs w:val="20"/>
                <w:lang w:val="en-AU"/>
              </w:rPr>
            </w:pPr>
            <w:r w:rsidRPr="00503F5B">
              <w:rPr>
                <w:rFonts w:cs="Calibri"/>
                <w:sz w:val="20"/>
                <w:szCs w:val="20"/>
                <w:lang w:val="en-AU"/>
              </w:rPr>
              <w:t>N/A</w:t>
            </w:r>
          </w:p>
        </w:tc>
        <w:tc>
          <w:tcPr>
            <w:tcW w:w="1104" w:type="dxa"/>
            <w:tcBorders>
              <w:bottom w:val="single" w:sz="4" w:space="0" w:color="ED7C5D"/>
            </w:tcBorders>
            <w:noWrap/>
            <w:vAlign w:val="center"/>
            <w:hideMark/>
          </w:tcPr>
          <w:p w14:paraId="528613CD" w14:textId="43B36C20" w:rsidR="00C811A4" w:rsidRPr="00503F5B" w:rsidRDefault="00C811A4" w:rsidP="00C811A4">
            <w:pPr>
              <w:jc w:val="right"/>
              <w:rPr>
                <w:sz w:val="20"/>
                <w:szCs w:val="20"/>
                <w:lang w:val="en-AU"/>
              </w:rPr>
            </w:pPr>
            <w:r w:rsidRPr="00503F5B">
              <w:rPr>
                <w:rFonts w:cs="Calibri"/>
                <w:sz w:val="20"/>
                <w:szCs w:val="20"/>
                <w:lang w:val="en-AU"/>
              </w:rPr>
              <w:t>N/A</w:t>
            </w:r>
          </w:p>
        </w:tc>
        <w:tc>
          <w:tcPr>
            <w:tcW w:w="1276" w:type="dxa"/>
            <w:tcBorders>
              <w:bottom w:val="single" w:sz="4" w:space="0" w:color="ED7C5D"/>
            </w:tcBorders>
            <w:noWrap/>
            <w:vAlign w:val="center"/>
            <w:hideMark/>
          </w:tcPr>
          <w:p w14:paraId="7CB2927C" w14:textId="443C45E6" w:rsidR="00C811A4" w:rsidRPr="00503F5B" w:rsidRDefault="00C811A4" w:rsidP="00C811A4">
            <w:pPr>
              <w:ind w:left="-49"/>
              <w:jc w:val="right"/>
              <w:rPr>
                <w:sz w:val="20"/>
                <w:szCs w:val="20"/>
                <w:lang w:val="en-AU"/>
              </w:rPr>
            </w:pPr>
            <w:r w:rsidRPr="00503F5B">
              <w:rPr>
                <w:rFonts w:cs="Calibri"/>
                <w:sz w:val="20"/>
                <w:szCs w:val="20"/>
                <w:lang w:val="en-AU"/>
              </w:rPr>
              <w:t>N/A</w:t>
            </w:r>
          </w:p>
        </w:tc>
        <w:tc>
          <w:tcPr>
            <w:tcW w:w="1164" w:type="dxa"/>
            <w:tcBorders>
              <w:bottom w:val="single" w:sz="4" w:space="0" w:color="ED7C5D"/>
            </w:tcBorders>
            <w:noWrap/>
            <w:vAlign w:val="center"/>
            <w:hideMark/>
          </w:tcPr>
          <w:p w14:paraId="69AA9847" w14:textId="0EF749F8" w:rsidR="00C811A4" w:rsidRPr="00503F5B" w:rsidRDefault="00C811A4" w:rsidP="00C811A4">
            <w:pPr>
              <w:ind w:left="24" w:hanging="24"/>
              <w:jc w:val="right"/>
              <w:rPr>
                <w:sz w:val="20"/>
                <w:szCs w:val="20"/>
                <w:lang w:val="en-AU"/>
              </w:rPr>
            </w:pPr>
            <w:r w:rsidRPr="00503F5B">
              <w:rPr>
                <w:rFonts w:cs="Calibri"/>
                <w:sz w:val="20"/>
                <w:szCs w:val="20"/>
                <w:lang w:val="en-AU"/>
              </w:rPr>
              <w:t>N//A</w:t>
            </w:r>
          </w:p>
        </w:tc>
      </w:tr>
      <w:tr w:rsidR="00C811A4" w:rsidRPr="00503F5B" w14:paraId="3256CA53" w14:textId="77777777" w:rsidTr="00517C6D">
        <w:trPr>
          <w:trHeight w:val="221"/>
          <w:jc w:val="right"/>
        </w:trPr>
        <w:tc>
          <w:tcPr>
            <w:tcW w:w="1134" w:type="dxa"/>
            <w:tcBorders>
              <w:top w:val="single" w:sz="4" w:space="0" w:color="ED7C5D"/>
              <w:bottom w:val="single" w:sz="4" w:space="0" w:color="ED7C5D"/>
            </w:tcBorders>
            <w:noWrap/>
            <w:vAlign w:val="center"/>
            <w:hideMark/>
          </w:tcPr>
          <w:p w14:paraId="458F1E09" w14:textId="77777777" w:rsidR="00C811A4" w:rsidRPr="00503F5B" w:rsidRDefault="00C811A4" w:rsidP="00C811A4">
            <w:pPr>
              <w:rPr>
                <w:b/>
                <w:color w:val="000000" w:themeColor="text1"/>
                <w:sz w:val="20"/>
                <w:szCs w:val="20"/>
                <w:lang w:val="en-AU"/>
              </w:rPr>
            </w:pPr>
            <w:r w:rsidRPr="00503F5B">
              <w:rPr>
                <w:b/>
                <w:color w:val="000000" w:themeColor="text1"/>
                <w:sz w:val="20"/>
                <w:szCs w:val="20"/>
                <w:lang w:val="en-AU"/>
              </w:rPr>
              <w:t>Total</w:t>
            </w:r>
          </w:p>
        </w:tc>
        <w:tc>
          <w:tcPr>
            <w:tcW w:w="1418" w:type="dxa"/>
            <w:tcBorders>
              <w:top w:val="single" w:sz="4" w:space="0" w:color="ED7C5D"/>
              <w:bottom w:val="single" w:sz="4" w:space="0" w:color="ED7C5D"/>
            </w:tcBorders>
            <w:noWrap/>
            <w:vAlign w:val="center"/>
            <w:hideMark/>
          </w:tcPr>
          <w:p w14:paraId="1E8008C7" w14:textId="2D09B678" w:rsidR="00C811A4" w:rsidRPr="00503F5B" w:rsidRDefault="00C811A4" w:rsidP="00C811A4">
            <w:pPr>
              <w:ind w:left="19"/>
              <w:jc w:val="right"/>
              <w:rPr>
                <w:b/>
                <w:color w:val="000000" w:themeColor="text1"/>
                <w:sz w:val="20"/>
                <w:szCs w:val="20"/>
                <w:lang w:val="en-AU"/>
              </w:rPr>
            </w:pPr>
            <w:r w:rsidRPr="00503F5B">
              <w:rPr>
                <w:rFonts w:cs="Calibri"/>
                <w:b/>
                <w:bCs/>
                <w:color w:val="000000" w:themeColor="text1"/>
                <w:sz w:val="20"/>
                <w:szCs w:val="20"/>
                <w:lang w:val="en-AU"/>
              </w:rPr>
              <w:t>$123,762,646</w:t>
            </w:r>
          </w:p>
        </w:tc>
        <w:tc>
          <w:tcPr>
            <w:tcW w:w="1559" w:type="dxa"/>
            <w:tcBorders>
              <w:top w:val="single" w:sz="4" w:space="0" w:color="ED7C5D"/>
              <w:bottom w:val="single" w:sz="4" w:space="0" w:color="ED7C5D"/>
            </w:tcBorders>
            <w:noWrap/>
            <w:vAlign w:val="center"/>
            <w:hideMark/>
          </w:tcPr>
          <w:p w14:paraId="30DD750A" w14:textId="68A9E0B3" w:rsidR="00C811A4" w:rsidRPr="00503F5B" w:rsidRDefault="00C811A4" w:rsidP="00C811A4">
            <w:pPr>
              <w:jc w:val="right"/>
              <w:rPr>
                <w:b/>
                <w:color w:val="000000" w:themeColor="text1"/>
                <w:sz w:val="20"/>
                <w:szCs w:val="20"/>
                <w:lang w:val="en-AU"/>
              </w:rPr>
            </w:pPr>
            <w:r w:rsidRPr="00503F5B">
              <w:rPr>
                <w:rFonts w:cs="Calibri"/>
                <w:lang w:val="en-AU"/>
              </w:rPr>
              <w:t> </w:t>
            </w:r>
          </w:p>
        </w:tc>
        <w:tc>
          <w:tcPr>
            <w:tcW w:w="1104" w:type="dxa"/>
            <w:tcBorders>
              <w:top w:val="single" w:sz="4" w:space="0" w:color="ED7C5D"/>
              <w:bottom w:val="single" w:sz="4" w:space="0" w:color="ED7C5D"/>
            </w:tcBorders>
            <w:noWrap/>
            <w:vAlign w:val="center"/>
            <w:hideMark/>
          </w:tcPr>
          <w:p w14:paraId="3ADFC3B2" w14:textId="581E1B54" w:rsidR="00C811A4" w:rsidRPr="00503F5B" w:rsidRDefault="00C811A4" w:rsidP="00C811A4">
            <w:pPr>
              <w:jc w:val="right"/>
              <w:rPr>
                <w:b/>
                <w:color w:val="000000" w:themeColor="text1"/>
                <w:sz w:val="20"/>
                <w:szCs w:val="20"/>
                <w:lang w:val="en-AU"/>
              </w:rPr>
            </w:pPr>
            <w:r w:rsidRPr="00503F5B">
              <w:rPr>
                <w:rFonts w:cs="Calibri"/>
                <w:lang w:val="en-AU"/>
              </w:rPr>
              <w:t> </w:t>
            </w:r>
          </w:p>
        </w:tc>
        <w:tc>
          <w:tcPr>
            <w:tcW w:w="1276" w:type="dxa"/>
            <w:tcBorders>
              <w:top w:val="single" w:sz="4" w:space="0" w:color="ED7C5D"/>
              <w:bottom w:val="single" w:sz="4" w:space="0" w:color="ED7C5D"/>
            </w:tcBorders>
            <w:noWrap/>
            <w:vAlign w:val="center"/>
            <w:hideMark/>
          </w:tcPr>
          <w:p w14:paraId="35634CF2" w14:textId="47A46214" w:rsidR="00C811A4" w:rsidRPr="00503F5B" w:rsidRDefault="00C811A4" w:rsidP="00C811A4">
            <w:pPr>
              <w:ind w:left="-49"/>
              <w:jc w:val="right"/>
              <w:rPr>
                <w:b/>
                <w:color w:val="000000" w:themeColor="text1"/>
                <w:sz w:val="20"/>
                <w:szCs w:val="20"/>
                <w:lang w:val="en-AU"/>
              </w:rPr>
            </w:pPr>
            <w:r w:rsidRPr="00503F5B">
              <w:rPr>
                <w:rFonts w:cs="Calibri"/>
                <w:b/>
                <w:bCs/>
                <w:color w:val="000000" w:themeColor="text1"/>
                <w:sz w:val="20"/>
                <w:szCs w:val="20"/>
                <w:lang w:val="en-AU"/>
              </w:rPr>
              <w:t>$57,037,000</w:t>
            </w:r>
          </w:p>
        </w:tc>
        <w:tc>
          <w:tcPr>
            <w:tcW w:w="1164" w:type="dxa"/>
            <w:tcBorders>
              <w:top w:val="single" w:sz="4" w:space="0" w:color="ED7C5D"/>
              <w:bottom w:val="single" w:sz="4" w:space="0" w:color="ED7C5D"/>
            </w:tcBorders>
            <w:noWrap/>
            <w:vAlign w:val="center"/>
            <w:hideMark/>
          </w:tcPr>
          <w:p w14:paraId="3D8BAC1E" w14:textId="020C8029" w:rsidR="00C811A4" w:rsidRPr="00503F5B" w:rsidRDefault="00C811A4" w:rsidP="00C811A4">
            <w:pPr>
              <w:ind w:left="24" w:hanging="24"/>
              <w:jc w:val="right"/>
              <w:rPr>
                <w:b/>
                <w:color w:val="000000" w:themeColor="text1"/>
                <w:sz w:val="20"/>
                <w:szCs w:val="20"/>
                <w:lang w:val="en-AU"/>
              </w:rPr>
            </w:pPr>
            <w:r w:rsidRPr="00503F5B">
              <w:rPr>
                <w:rFonts w:cs="Calibri"/>
                <w:b/>
                <w:bCs/>
                <w:color w:val="000000" w:themeColor="text1"/>
                <w:sz w:val="20"/>
                <w:szCs w:val="20"/>
                <w:lang w:val="en-AU"/>
              </w:rPr>
              <w:t>46.09%</w:t>
            </w:r>
          </w:p>
        </w:tc>
      </w:tr>
      <w:bookmarkEnd w:id="157"/>
    </w:tbl>
    <w:p w14:paraId="6728F2C3" w14:textId="77777777" w:rsidR="001D51D6" w:rsidRPr="00503F5B" w:rsidRDefault="001D51D6" w:rsidP="001D51D6">
      <w:pPr>
        <w:jc w:val="both"/>
      </w:pPr>
    </w:p>
    <w:p w14:paraId="5F738EAE" w14:textId="011DC685" w:rsidR="00E7441E" w:rsidRPr="00503F5B" w:rsidRDefault="00E7441E">
      <w:pPr>
        <w:ind w:left="709"/>
        <w:jc w:val="both"/>
      </w:pPr>
      <w:r w:rsidRPr="00503F5B">
        <w:t xml:space="preserve">This fee is greater than the current fee of $578.48 (currently recovered by </w:t>
      </w:r>
      <w:r w:rsidR="00595DFB" w:rsidRPr="00503F5B">
        <w:t>MFB</w:t>
      </w:r>
      <w:r w:rsidRPr="00503F5B">
        <w:t xml:space="preserve">) or $584.25 (currently recovered by CFA integrated stations).  As shown in Table 18, Option 1 recovers approximately </w:t>
      </w:r>
      <w:r w:rsidRPr="00503F5B">
        <w:rPr>
          <w:b/>
          <w:i/>
        </w:rPr>
        <w:t>100 per cent</w:t>
      </w:r>
      <w:r w:rsidRPr="00503F5B">
        <w:t xml:space="preserve"> of all costs incurred by false alarm attendances where it is determined by FRV that there is no reasonable excuse by charging owners of alarm systems 100 per cent of the quarterly hour cost of an appliance.</w:t>
      </w:r>
      <w:r w:rsidR="00C37F54" w:rsidRPr="00503F5B">
        <w:t xml:space="preserve">  </w:t>
      </w:r>
      <w:r w:rsidRPr="00503F5B">
        <w:t xml:space="preserve">Option 1, ‘full cost recovery’ is deemed to be the most efficient and equitable option with respect to setting the false alarm fee as discussed in detail in Sections </w:t>
      </w:r>
      <w:r w:rsidR="003E489B" w:rsidRPr="00503F5B">
        <w:t>2.3.1</w:t>
      </w:r>
      <w:r w:rsidRPr="00503F5B">
        <w:t xml:space="preserve"> and </w:t>
      </w:r>
      <w:r w:rsidR="003E489B" w:rsidRPr="00503F5B">
        <w:t>2.3.2</w:t>
      </w:r>
      <w:r w:rsidRPr="00503F5B">
        <w:t xml:space="preserve"> of this RIS.</w:t>
      </w:r>
    </w:p>
    <w:p w14:paraId="230B9DFF" w14:textId="1575D0B2" w:rsidR="00254E7D" w:rsidRPr="00503F5B" w:rsidRDefault="00254E7D" w:rsidP="00254E7D">
      <w:pPr>
        <w:ind w:left="709"/>
        <w:jc w:val="both"/>
      </w:pPr>
    </w:p>
    <w:p w14:paraId="548AE919" w14:textId="4E30B3AC" w:rsidR="00254E7D" w:rsidRPr="00503F5B" w:rsidRDefault="00254E7D" w:rsidP="00254E7D">
      <w:pPr>
        <w:pStyle w:val="ListParagraph"/>
        <w:numPr>
          <w:ilvl w:val="0"/>
          <w:numId w:val="5"/>
        </w:numPr>
        <w:ind w:left="709" w:hanging="425"/>
        <w:jc w:val="both"/>
      </w:pPr>
      <w:r w:rsidRPr="00503F5B">
        <w:rPr>
          <w:b/>
          <w:i/>
        </w:rPr>
        <w:t>Option 2</w:t>
      </w:r>
      <w:r w:rsidR="00C37F54" w:rsidRPr="00503F5B">
        <w:rPr>
          <w:b/>
          <w:i/>
        </w:rPr>
        <w:t xml:space="preserve"> (the proposed option)</w:t>
      </w:r>
      <w:r w:rsidRPr="00503F5B">
        <w:rPr>
          <w:b/>
          <w:i/>
        </w:rPr>
        <w:t>:</w:t>
      </w:r>
      <w:r w:rsidRPr="00503F5B">
        <w:t xml:space="preserve"> Partial cost recovery fee set per appliance, per 15 minutes or part thereof basis for false alarm attendances deemed not to have a ‘reasonable excuse’</w:t>
      </w:r>
      <w:r w:rsidR="002F3150" w:rsidRPr="00503F5B">
        <w:t>.</w:t>
      </w:r>
      <w:r w:rsidRPr="00503F5B">
        <w:t xml:space="preserve"> </w:t>
      </w:r>
      <w:r w:rsidR="002F3150" w:rsidRPr="00503F5B">
        <w:t xml:space="preserve">Specifically, </w:t>
      </w:r>
      <w:r w:rsidR="007F13D1" w:rsidRPr="00503F5B">
        <w:t>O</w:t>
      </w:r>
      <w:r w:rsidR="002F3150" w:rsidRPr="00503F5B">
        <w:t xml:space="preserve">ption 2 involves the </w:t>
      </w:r>
      <w:r w:rsidR="002F3150" w:rsidRPr="00503F5B">
        <w:rPr>
          <w:b/>
          <w:bCs/>
          <w:i/>
          <w:iCs/>
        </w:rPr>
        <w:t>quarterly hour partial cost recovery fee of $</w:t>
      </w:r>
      <w:r w:rsidR="00C37F54" w:rsidRPr="00503F5B">
        <w:rPr>
          <w:b/>
          <w:bCs/>
          <w:i/>
          <w:iCs/>
        </w:rPr>
        <w:t>578.48</w:t>
      </w:r>
      <w:r w:rsidR="002F3150" w:rsidRPr="00503F5B">
        <w:rPr>
          <w:b/>
          <w:bCs/>
          <w:i/>
          <w:iCs/>
        </w:rPr>
        <w:t xml:space="preserve"> per appliance</w:t>
      </w:r>
      <w:r w:rsidR="002F3150" w:rsidRPr="00503F5B">
        <w:t xml:space="preserve"> - calculated as 23.0</w:t>
      </w:r>
      <w:r w:rsidR="00C37F54" w:rsidRPr="00503F5B">
        <w:t>4 per cent</w:t>
      </w:r>
      <w:r w:rsidR="002F3150" w:rsidRPr="00503F5B">
        <w:t xml:space="preserve"> of the full quarterly hour cost of $2,510. This option involves the </w:t>
      </w:r>
      <w:r w:rsidRPr="00503F5B">
        <w:t>partial cost recovery of approximately 1</w:t>
      </w:r>
      <w:r w:rsidR="00C37F54" w:rsidRPr="00503F5B">
        <w:t>0.74 per cent</w:t>
      </w:r>
      <w:r w:rsidRPr="00503F5B">
        <w:rPr>
          <w:rStyle w:val="FootnoteReference"/>
        </w:rPr>
        <w:footnoteReference w:id="117"/>
      </w:r>
      <w:r w:rsidRPr="00503F5B">
        <w:t xml:space="preserve"> of total hours spent on all false alarm attendances by appliances (see Table 1</w:t>
      </w:r>
      <w:r w:rsidR="00C37569" w:rsidRPr="00503F5B">
        <w:t>9</w:t>
      </w:r>
      <w:r w:rsidRPr="00503F5B">
        <w:t>).  The balance of total costs of false alarm attendance costs, estimated to be $</w:t>
      </w:r>
      <w:r w:rsidR="00C37569" w:rsidRPr="00503F5B">
        <w:t>1</w:t>
      </w:r>
      <w:r w:rsidR="00C37F54" w:rsidRPr="00503F5B">
        <w:t>10</w:t>
      </w:r>
      <w:r w:rsidRPr="00503F5B">
        <w:t>.</w:t>
      </w:r>
      <w:r w:rsidR="00C37F54" w:rsidRPr="00503F5B">
        <w:t>47</w:t>
      </w:r>
      <w:r w:rsidRPr="00503F5B">
        <w:t xml:space="preserve"> million</w:t>
      </w:r>
      <w:r w:rsidRPr="00503F5B">
        <w:rPr>
          <w:rStyle w:val="FootnoteReference"/>
        </w:rPr>
        <w:footnoteReference w:id="118"/>
      </w:r>
      <w:r w:rsidRPr="00503F5B">
        <w:t xml:space="preserve">, is to be funded from </w:t>
      </w:r>
      <w:r w:rsidR="004303D3" w:rsidRPr="00503F5B">
        <w:t>FRV</w:t>
      </w:r>
      <w:r w:rsidRPr="00503F5B">
        <w:t xml:space="preserve"> revenue (see Table </w:t>
      </w:r>
      <w:r w:rsidR="00FC52DE" w:rsidRPr="00503F5B">
        <w:t>2</w:t>
      </w:r>
      <w:r w:rsidRPr="00503F5B">
        <w:t xml:space="preserve"> in this RIS). </w:t>
      </w:r>
    </w:p>
    <w:p w14:paraId="066A65FD" w14:textId="3AD74ACA" w:rsidR="00254E7D" w:rsidRPr="00503F5B" w:rsidRDefault="00254E7D" w:rsidP="00254E7D">
      <w:pPr>
        <w:jc w:val="both"/>
      </w:pPr>
    </w:p>
    <w:p w14:paraId="62A73816" w14:textId="4303BC90" w:rsidR="00254E7D" w:rsidRPr="00503F5B" w:rsidRDefault="00FC5E87" w:rsidP="00254E7D">
      <w:pPr>
        <w:ind w:firstLine="709"/>
        <w:jc w:val="center"/>
        <w:rPr>
          <w:b/>
          <w:sz w:val="20"/>
          <w:szCs w:val="20"/>
        </w:rPr>
      </w:pPr>
      <w:r w:rsidRPr="00503F5B">
        <w:rPr>
          <w:b/>
          <w:sz w:val="20"/>
          <w:szCs w:val="20"/>
        </w:rPr>
        <w:br w:type="column"/>
      </w:r>
      <w:r w:rsidR="00254E7D" w:rsidRPr="00503F5B">
        <w:rPr>
          <w:b/>
          <w:sz w:val="20"/>
          <w:szCs w:val="20"/>
        </w:rPr>
        <w:lastRenderedPageBreak/>
        <w:t>Table 1</w:t>
      </w:r>
      <w:r w:rsidR="00C37569" w:rsidRPr="00503F5B">
        <w:rPr>
          <w:b/>
          <w:sz w:val="20"/>
          <w:szCs w:val="20"/>
        </w:rPr>
        <w:t>9</w:t>
      </w:r>
      <w:r w:rsidR="00254E7D" w:rsidRPr="00503F5B">
        <w:rPr>
          <w:b/>
          <w:sz w:val="20"/>
          <w:szCs w:val="20"/>
        </w:rPr>
        <w:t xml:space="preserve">: Summary of </w:t>
      </w:r>
      <w:r w:rsidR="00C37569" w:rsidRPr="00503F5B">
        <w:rPr>
          <w:b/>
          <w:sz w:val="20"/>
          <w:szCs w:val="20"/>
        </w:rPr>
        <w:t xml:space="preserve">partial </w:t>
      </w:r>
      <w:r w:rsidR="00254E7D" w:rsidRPr="00503F5B">
        <w:rPr>
          <w:b/>
          <w:sz w:val="20"/>
          <w:szCs w:val="20"/>
        </w:rPr>
        <w:t xml:space="preserve">cost recovery fee under Option </w:t>
      </w:r>
      <w:r w:rsidR="00C37569" w:rsidRPr="00503F5B">
        <w:rPr>
          <w:b/>
          <w:sz w:val="20"/>
          <w:szCs w:val="20"/>
        </w:rPr>
        <w:t>2</w:t>
      </w:r>
      <w:r w:rsidR="00254E7D" w:rsidRPr="00503F5B">
        <w:rPr>
          <w:b/>
          <w:sz w:val="20"/>
          <w:szCs w:val="20"/>
        </w:rPr>
        <w:t xml:space="preserve"> and annual revenue</w:t>
      </w:r>
    </w:p>
    <w:p w14:paraId="441F9D4D" w14:textId="77777777" w:rsidR="00254E7D" w:rsidRPr="00503F5B" w:rsidRDefault="00254E7D" w:rsidP="00254E7D">
      <w:pPr>
        <w:jc w:val="center"/>
      </w:pPr>
    </w:p>
    <w:tbl>
      <w:tblPr>
        <w:tblStyle w:val="TableGrid"/>
        <w:tblW w:w="751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418"/>
        <w:gridCol w:w="1447"/>
        <w:gridCol w:w="993"/>
        <w:gridCol w:w="1276"/>
        <w:gridCol w:w="1245"/>
      </w:tblGrid>
      <w:tr w:rsidR="00254E7D" w:rsidRPr="00503F5B" w14:paraId="5591EEA8" w14:textId="77777777" w:rsidTr="00CE61F2">
        <w:trPr>
          <w:trHeight w:val="375"/>
          <w:tblHeader/>
          <w:jc w:val="right"/>
        </w:trPr>
        <w:tc>
          <w:tcPr>
            <w:tcW w:w="1134" w:type="dxa"/>
            <w:tcBorders>
              <w:top w:val="single" w:sz="4" w:space="0" w:color="ED7C5D"/>
              <w:bottom w:val="double" w:sz="4" w:space="0" w:color="ED7C5D"/>
            </w:tcBorders>
            <w:noWrap/>
            <w:hideMark/>
          </w:tcPr>
          <w:p w14:paraId="0BE26FBD" w14:textId="77777777" w:rsidR="00254E7D" w:rsidRPr="00503F5B" w:rsidRDefault="00254E7D" w:rsidP="00CE61F2">
            <w:pPr>
              <w:rPr>
                <w:b/>
                <w:color w:val="BE2A18"/>
                <w:sz w:val="20"/>
                <w:szCs w:val="20"/>
                <w:lang w:val="en-AU"/>
              </w:rPr>
            </w:pPr>
            <w:r w:rsidRPr="00503F5B">
              <w:rPr>
                <w:b/>
                <w:color w:val="BE2A18"/>
                <w:sz w:val="20"/>
                <w:szCs w:val="20"/>
                <w:lang w:val="en-AU"/>
              </w:rPr>
              <w:t>False alarm category</w:t>
            </w:r>
          </w:p>
        </w:tc>
        <w:tc>
          <w:tcPr>
            <w:tcW w:w="1418" w:type="dxa"/>
            <w:tcBorders>
              <w:top w:val="single" w:sz="4" w:space="0" w:color="ED7C5D"/>
              <w:bottom w:val="double" w:sz="4" w:space="0" w:color="ED7C5D"/>
            </w:tcBorders>
            <w:noWrap/>
            <w:hideMark/>
          </w:tcPr>
          <w:p w14:paraId="08E55432" w14:textId="77777777" w:rsidR="00254E7D" w:rsidRPr="00503F5B" w:rsidRDefault="00254E7D" w:rsidP="00CE61F2">
            <w:pPr>
              <w:ind w:left="19"/>
              <w:jc w:val="center"/>
              <w:rPr>
                <w:b/>
                <w:color w:val="BE2A18"/>
                <w:sz w:val="20"/>
                <w:szCs w:val="20"/>
                <w:lang w:val="en-AU"/>
              </w:rPr>
            </w:pPr>
            <w:r w:rsidRPr="00503F5B">
              <w:rPr>
                <w:b/>
                <w:color w:val="BE2A18"/>
                <w:sz w:val="20"/>
                <w:szCs w:val="20"/>
                <w:lang w:val="en-AU"/>
              </w:rPr>
              <w:t>Total cost</w:t>
            </w:r>
            <w:r w:rsidRPr="00503F5B">
              <w:rPr>
                <w:rStyle w:val="FootnoteReference"/>
                <w:b/>
                <w:color w:val="BE2A18"/>
                <w:sz w:val="20"/>
                <w:szCs w:val="20"/>
                <w:lang w:val="en-AU"/>
              </w:rPr>
              <w:footnoteReference w:id="119"/>
            </w:r>
          </w:p>
        </w:tc>
        <w:tc>
          <w:tcPr>
            <w:tcW w:w="1447" w:type="dxa"/>
            <w:tcBorders>
              <w:top w:val="single" w:sz="4" w:space="0" w:color="ED7C5D"/>
              <w:bottom w:val="double" w:sz="4" w:space="0" w:color="ED7C5D"/>
            </w:tcBorders>
            <w:hideMark/>
          </w:tcPr>
          <w:p w14:paraId="60DBADEC" w14:textId="77777777" w:rsidR="00254E7D" w:rsidRPr="00503F5B" w:rsidRDefault="00254E7D" w:rsidP="00CE61F2">
            <w:pPr>
              <w:jc w:val="center"/>
              <w:rPr>
                <w:b/>
                <w:color w:val="BE2A18"/>
                <w:sz w:val="20"/>
                <w:szCs w:val="20"/>
                <w:lang w:val="en-AU"/>
              </w:rPr>
            </w:pPr>
            <w:r w:rsidRPr="00503F5B">
              <w:rPr>
                <w:b/>
                <w:color w:val="BE2A18"/>
                <w:sz w:val="20"/>
                <w:szCs w:val="20"/>
                <w:lang w:val="en-AU"/>
              </w:rPr>
              <w:t>Total quarterly hour transactions</w:t>
            </w:r>
            <w:r w:rsidRPr="00503F5B">
              <w:rPr>
                <w:rStyle w:val="FootnoteReference"/>
                <w:b/>
                <w:color w:val="BE2A18"/>
                <w:sz w:val="20"/>
                <w:szCs w:val="20"/>
                <w:lang w:val="en-AU"/>
              </w:rPr>
              <w:footnoteReference w:id="120"/>
            </w:r>
          </w:p>
        </w:tc>
        <w:tc>
          <w:tcPr>
            <w:tcW w:w="993" w:type="dxa"/>
            <w:tcBorders>
              <w:top w:val="single" w:sz="4" w:space="0" w:color="ED7C5D"/>
              <w:bottom w:val="double" w:sz="4" w:space="0" w:color="ED7C5D"/>
            </w:tcBorders>
            <w:noWrap/>
            <w:hideMark/>
          </w:tcPr>
          <w:p w14:paraId="66AC1392" w14:textId="77777777" w:rsidR="00254E7D" w:rsidRPr="00503F5B" w:rsidRDefault="00254E7D" w:rsidP="00CE61F2">
            <w:pPr>
              <w:jc w:val="center"/>
              <w:rPr>
                <w:b/>
                <w:color w:val="BE2A18"/>
                <w:sz w:val="20"/>
                <w:szCs w:val="20"/>
                <w:lang w:val="en-AU"/>
              </w:rPr>
            </w:pPr>
            <w:r w:rsidRPr="00503F5B">
              <w:rPr>
                <w:b/>
                <w:color w:val="BE2A18"/>
                <w:sz w:val="20"/>
                <w:szCs w:val="20"/>
                <w:lang w:val="en-AU"/>
              </w:rPr>
              <w:t>Fee</w:t>
            </w:r>
            <w:r w:rsidRPr="00503F5B">
              <w:rPr>
                <w:rStyle w:val="FootnoteReference"/>
                <w:b/>
                <w:color w:val="BE2A18"/>
                <w:sz w:val="20"/>
                <w:szCs w:val="20"/>
                <w:lang w:val="en-AU"/>
              </w:rPr>
              <w:footnoteReference w:id="121"/>
            </w:r>
          </w:p>
        </w:tc>
        <w:tc>
          <w:tcPr>
            <w:tcW w:w="1276" w:type="dxa"/>
            <w:tcBorders>
              <w:top w:val="single" w:sz="4" w:space="0" w:color="ED7C5D"/>
              <w:bottom w:val="double" w:sz="4" w:space="0" w:color="ED7C5D"/>
            </w:tcBorders>
            <w:noWrap/>
            <w:hideMark/>
          </w:tcPr>
          <w:p w14:paraId="7277A3E6" w14:textId="77777777" w:rsidR="00254E7D" w:rsidRPr="00503F5B" w:rsidRDefault="00254E7D" w:rsidP="00CE61F2">
            <w:pPr>
              <w:ind w:left="-49"/>
              <w:jc w:val="center"/>
              <w:rPr>
                <w:b/>
                <w:color w:val="BE2A18"/>
                <w:sz w:val="20"/>
                <w:szCs w:val="20"/>
                <w:lang w:val="en-AU"/>
              </w:rPr>
            </w:pPr>
            <w:r w:rsidRPr="00503F5B">
              <w:rPr>
                <w:b/>
                <w:color w:val="BE2A18"/>
                <w:sz w:val="20"/>
                <w:szCs w:val="20"/>
                <w:lang w:val="en-AU"/>
              </w:rPr>
              <w:t>Annual revenue</w:t>
            </w:r>
            <w:r w:rsidRPr="00503F5B">
              <w:rPr>
                <w:rStyle w:val="FootnoteReference"/>
                <w:b/>
                <w:color w:val="BE2A18"/>
                <w:sz w:val="20"/>
                <w:szCs w:val="20"/>
                <w:lang w:val="en-AU"/>
              </w:rPr>
              <w:footnoteReference w:id="122"/>
            </w:r>
          </w:p>
        </w:tc>
        <w:tc>
          <w:tcPr>
            <w:tcW w:w="1245" w:type="dxa"/>
            <w:tcBorders>
              <w:top w:val="single" w:sz="4" w:space="0" w:color="ED7C5D"/>
              <w:bottom w:val="double" w:sz="4" w:space="0" w:color="ED7C5D"/>
            </w:tcBorders>
            <w:noWrap/>
            <w:hideMark/>
          </w:tcPr>
          <w:p w14:paraId="72D7A2EA" w14:textId="77777777" w:rsidR="00254E7D" w:rsidRPr="00503F5B" w:rsidRDefault="00254E7D" w:rsidP="00CE61F2">
            <w:pPr>
              <w:ind w:left="24" w:hanging="24"/>
              <w:jc w:val="center"/>
              <w:rPr>
                <w:b/>
                <w:color w:val="BE2A18"/>
                <w:sz w:val="20"/>
                <w:szCs w:val="20"/>
                <w:lang w:val="en-AU"/>
              </w:rPr>
            </w:pPr>
            <w:r w:rsidRPr="00503F5B">
              <w:rPr>
                <w:b/>
                <w:color w:val="BE2A18"/>
                <w:sz w:val="20"/>
                <w:szCs w:val="20"/>
                <w:lang w:val="en-AU"/>
              </w:rPr>
              <w:t>Percentage of costs recovered</w:t>
            </w:r>
          </w:p>
        </w:tc>
      </w:tr>
      <w:tr w:rsidR="004E64CA" w:rsidRPr="00503F5B" w14:paraId="7BF3A91A" w14:textId="77777777" w:rsidTr="00517C6D">
        <w:trPr>
          <w:trHeight w:val="320"/>
          <w:jc w:val="right"/>
        </w:trPr>
        <w:tc>
          <w:tcPr>
            <w:tcW w:w="1134" w:type="dxa"/>
            <w:tcBorders>
              <w:top w:val="double" w:sz="4" w:space="0" w:color="ED7C5D"/>
            </w:tcBorders>
            <w:shd w:val="clear" w:color="auto" w:fill="auto"/>
            <w:noWrap/>
            <w:vAlign w:val="center"/>
            <w:hideMark/>
          </w:tcPr>
          <w:p w14:paraId="5A7D826A" w14:textId="77777777" w:rsidR="004E64CA" w:rsidRPr="00503F5B" w:rsidRDefault="004E64CA" w:rsidP="004E64CA">
            <w:pPr>
              <w:rPr>
                <w:sz w:val="20"/>
                <w:szCs w:val="20"/>
                <w:lang w:val="en-AU"/>
              </w:rPr>
            </w:pPr>
            <w:r w:rsidRPr="00503F5B">
              <w:rPr>
                <w:b/>
                <w:i/>
                <w:sz w:val="20"/>
                <w:szCs w:val="20"/>
                <w:lang w:val="en-AU"/>
              </w:rPr>
              <w:t>Without</w:t>
            </w:r>
            <w:r w:rsidRPr="00503F5B">
              <w:rPr>
                <w:sz w:val="20"/>
                <w:szCs w:val="20"/>
                <w:lang w:val="en-AU"/>
              </w:rPr>
              <w:t xml:space="preserve"> reasonable excuse</w:t>
            </w:r>
          </w:p>
        </w:tc>
        <w:tc>
          <w:tcPr>
            <w:tcW w:w="1418" w:type="dxa"/>
            <w:tcBorders>
              <w:top w:val="double" w:sz="4" w:space="0" w:color="ED7C5D"/>
            </w:tcBorders>
            <w:shd w:val="clear" w:color="auto" w:fill="auto"/>
            <w:noWrap/>
            <w:vAlign w:val="center"/>
            <w:hideMark/>
          </w:tcPr>
          <w:p w14:paraId="1C00FF1E" w14:textId="52BF09AD" w:rsidR="004E64CA" w:rsidRPr="00503F5B" w:rsidRDefault="004E64CA" w:rsidP="004E64CA">
            <w:pPr>
              <w:ind w:left="19"/>
              <w:jc w:val="right"/>
              <w:rPr>
                <w:sz w:val="20"/>
                <w:szCs w:val="20"/>
                <w:lang w:val="en-AU"/>
              </w:rPr>
            </w:pPr>
            <w:r w:rsidRPr="00503F5B">
              <w:rPr>
                <w:rFonts w:cs="Calibri"/>
                <w:sz w:val="20"/>
                <w:szCs w:val="20"/>
                <w:lang w:val="en-AU"/>
              </w:rPr>
              <w:t>$57,037,000</w:t>
            </w:r>
          </w:p>
        </w:tc>
        <w:tc>
          <w:tcPr>
            <w:tcW w:w="1447" w:type="dxa"/>
            <w:tcBorders>
              <w:top w:val="double" w:sz="4" w:space="0" w:color="ED7C5D"/>
            </w:tcBorders>
            <w:shd w:val="clear" w:color="auto" w:fill="auto"/>
            <w:noWrap/>
            <w:vAlign w:val="center"/>
            <w:hideMark/>
          </w:tcPr>
          <w:p w14:paraId="6D47D6DF" w14:textId="721352CE" w:rsidR="004E64CA" w:rsidRPr="00503F5B" w:rsidRDefault="004E64CA" w:rsidP="004E64CA">
            <w:pPr>
              <w:jc w:val="right"/>
              <w:rPr>
                <w:sz w:val="20"/>
                <w:szCs w:val="20"/>
                <w:lang w:val="en-AU"/>
              </w:rPr>
            </w:pPr>
            <w:r w:rsidRPr="00503F5B">
              <w:rPr>
                <w:rFonts w:cs="Calibri"/>
                <w:sz w:val="20"/>
                <w:szCs w:val="20"/>
                <w:lang w:val="en-AU"/>
              </w:rPr>
              <w:t>22,978</w:t>
            </w:r>
          </w:p>
        </w:tc>
        <w:tc>
          <w:tcPr>
            <w:tcW w:w="993" w:type="dxa"/>
            <w:tcBorders>
              <w:top w:val="double" w:sz="4" w:space="0" w:color="ED7C5D"/>
            </w:tcBorders>
            <w:shd w:val="clear" w:color="auto" w:fill="auto"/>
            <w:noWrap/>
            <w:vAlign w:val="center"/>
            <w:hideMark/>
          </w:tcPr>
          <w:p w14:paraId="780B12F5" w14:textId="3D69BA6E" w:rsidR="004E64CA" w:rsidRPr="00503F5B" w:rsidRDefault="004E64CA">
            <w:pPr>
              <w:jc w:val="right"/>
              <w:rPr>
                <w:sz w:val="20"/>
                <w:szCs w:val="20"/>
                <w:lang w:val="en-AU"/>
              </w:rPr>
            </w:pPr>
            <w:r w:rsidRPr="00503F5B">
              <w:rPr>
                <w:sz w:val="20"/>
                <w:szCs w:val="20"/>
                <w:lang w:val="en-AU"/>
              </w:rPr>
              <w:t>$578.48</w:t>
            </w:r>
          </w:p>
        </w:tc>
        <w:tc>
          <w:tcPr>
            <w:tcW w:w="1276" w:type="dxa"/>
            <w:tcBorders>
              <w:top w:val="double" w:sz="4" w:space="0" w:color="ED7C5D"/>
            </w:tcBorders>
            <w:shd w:val="clear" w:color="auto" w:fill="auto"/>
            <w:noWrap/>
            <w:vAlign w:val="center"/>
            <w:hideMark/>
          </w:tcPr>
          <w:p w14:paraId="5BE33B36" w14:textId="1C21EBD9" w:rsidR="004E64CA" w:rsidRPr="00503F5B" w:rsidRDefault="004E64CA">
            <w:pPr>
              <w:ind w:left="-49"/>
              <w:jc w:val="right"/>
              <w:rPr>
                <w:sz w:val="20"/>
                <w:szCs w:val="20"/>
                <w:lang w:val="en-AU"/>
              </w:rPr>
            </w:pPr>
            <w:r w:rsidRPr="00503F5B">
              <w:rPr>
                <w:sz w:val="20"/>
                <w:szCs w:val="20"/>
                <w:lang w:val="en-AU"/>
              </w:rPr>
              <w:t>$13,292,300</w:t>
            </w:r>
          </w:p>
        </w:tc>
        <w:tc>
          <w:tcPr>
            <w:tcW w:w="1245" w:type="dxa"/>
            <w:tcBorders>
              <w:top w:val="double" w:sz="4" w:space="0" w:color="ED7C5D"/>
            </w:tcBorders>
            <w:shd w:val="clear" w:color="auto" w:fill="auto"/>
            <w:noWrap/>
            <w:vAlign w:val="center"/>
            <w:hideMark/>
          </w:tcPr>
          <w:p w14:paraId="37636A59" w14:textId="5C61AE29" w:rsidR="004E64CA" w:rsidRPr="00503F5B" w:rsidRDefault="004E64CA">
            <w:pPr>
              <w:ind w:left="24" w:hanging="24"/>
              <w:jc w:val="right"/>
              <w:rPr>
                <w:b/>
                <w:i/>
                <w:sz w:val="20"/>
                <w:szCs w:val="20"/>
                <w:lang w:val="en-AU"/>
              </w:rPr>
            </w:pPr>
            <w:r w:rsidRPr="00503F5B">
              <w:rPr>
                <w:sz w:val="20"/>
                <w:szCs w:val="20"/>
                <w:lang w:val="en-AU"/>
              </w:rPr>
              <w:t>23.30%</w:t>
            </w:r>
          </w:p>
        </w:tc>
      </w:tr>
      <w:tr w:rsidR="004E64CA" w:rsidRPr="00503F5B" w14:paraId="2B0ECD66" w14:textId="77777777" w:rsidTr="00517C6D">
        <w:trPr>
          <w:trHeight w:val="320"/>
          <w:jc w:val="right"/>
        </w:trPr>
        <w:tc>
          <w:tcPr>
            <w:tcW w:w="1134" w:type="dxa"/>
            <w:tcBorders>
              <w:bottom w:val="single" w:sz="4" w:space="0" w:color="ED7C5D"/>
            </w:tcBorders>
            <w:noWrap/>
            <w:vAlign w:val="center"/>
            <w:hideMark/>
          </w:tcPr>
          <w:p w14:paraId="4DAB434E" w14:textId="77777777" w:rsidR="004E64CA" w:rsidRPr="00503F5B" w:rsidRDefault="004E64CA" w:rsidP="004E64CA">
            <w:pPr>
              <w:rPr>
                <w:sz w:val="20"/>
                <w:szCs w:val="20"/>
                <w:lang w:val="en-AU"/>
              </w:rPr>
            </w:pPr>
            <w:r w:rsidRPr="00503F5B">
              <w:rPr>
                <w:b/>
                <w:i/>
                <w:sz w:val="20"/>
                <w:szCs w:val="20"/>
                <w:lang w:val="en-AU"/>
              </w:rPr>
              <w:t xml:space="preserve">With </w:t>
            </w:r>
            <w:r w:rsidRPr="00503F5B">
              <w:rPr>
                <w:sz w:val="20"/>
                <w:szCs w:val="20"/>
                <w:lang w:val="en-AU"/>
              </w:rPr>
              <w:t>reasonable excuse</w:t>
            </w:r>
          </w:p>
        </w:tc>
        <w:tc>
          <w:tcPr>
            <w:tcW w:w="1418" w:type="dxa"/>
            <w:tcBorders>
              <w:bottom w:val="single" w:sz="4" w:space="0" w:color="ED7C5D"/>
            </w:tcBorders>
            <w:noWrap/>
            <w:vAlign w:val="center"/>
            <w:hideMark/>
          </w:tcPr>
          <w:p w14:paraId="3E41E0BA" w14:textId="7D24A444" w:rsidR="004E64CA" w:rsidRPr="00503F5B" w:rsidRDefault="004E64CA" w:rsidP="004E64CA">
            <w:pPr>
              <w:ind w:left="19"/>
              <w:jc w:val="right"/>
              <w:rPr>
                <w:sz w:val="20"/>
                <w:szCs w:val="20"/>
                <w:lang w:val="en-AU"/>
              </w:rPr>
            </w:pPr>
            <w:r w:rsidRPr="00503F5B">
              <w:rPr>
                <w:rFonts w:cs="Calibri"/>
                <w:sz w:val="20"/>
                <w:szCs w:val="20"/>
                <w:lang w:val="en-AU"/>
              </w:rPr>
              <w:t>$66,725,647</w:t>
            </w:r>
          </w:p>
        </w:tc>
        <w:tc>
          <w:tcPr>
            <w:tcW w:w="1447" w:type="dxa"/>
            <w:tcBorders>
              <w:bottom w:val="single" w:sz="4" w:space="0" w:color="ED7C5D"/>
            </w:tcBorders>
            <w:noWrap/>
            <w:vAlign w:val="center"/>
            <w:hideMark/>
          </w:tcPr>
          <w:p w14:paraId="00570DCD" w14:textId="0E444DA7" w:rsidR="004E64CA" w:rsidRPr="00503F5B" w:rsidRDefault="004E64CA" w:rsidP="004E64CA">
            <w:pPr>
              <w:jc w:val="right"/>
              <w:rPr>
                <w:sz w:val="20"/>
                <w:szCs w:val="20"/>
                <w:lang w:val="en-AU"/>
              </w:rPr>
            </w:pPr>
            <w:r w:rsidRPr="00503F5B">
              <w:rPr>
                <w:rFonts w:cs="Calibri"/>
                <w:sz w:val="20"/>
                <w:szCs w:val="20"/>
                <w:lang w:val="en-AU"/>
              </w:rPr>
              <w:t>N/A</w:t>
            </w:r>
          </w:p>
        </w:tc>
        <w:tc>
          <w:tcPr>
            <w:tcW w:w="993" w:type="dxa"/>
            <w:tcBorders>
              <w:bottom w:val="single" w:sz="4" w:space="0" w:color="ED7C5D"/>
            </w:tcBorders>
            <w:noWrap/>
            <w:vAlign w:val="center"/>
            <w:hideMark/>
          </w:tcPr>
          <w:p w14:paraId="26B916DD" w14:textId="2A633BEE" w:rsidR="004E64CA" w:rsidRPr="00503F5B" w:rsidRDefault="004E64CA">
            <w:pPr>
              <w:jc w:val="right"/>
              <w:rPr>
                <w:sz w:val="20"/>
                <w:szCs w:val="20"/>
                <w:lang w:val="en-AU"/>
              </w:rPr>
            </w:pPr>
            <w:r w:rsidRPr="00503F5B">
              <w:rPr>
                <w:sz w:val="20"/>
                <w:szCs w:val="20"/>
                <w:lang w:val="en-AU"/>
              </w:rPr>
              <w:t>N/A</w:t>
            </w:r>
          </w:p>
        </w:tc>
        <w:tc>
          <w:tcPr>
            <w:tcW w:w="1276" w:type="dxa"/>
            <w:tcBorders>
              <w:bottom w:val="single" w:sz="4" w:space="0" w:color="ED7C5D"/>
            </w:tcBorders>
            <w:noWrap/>
            <w:vAlign w:val="center"/>
            <w:hideMark/>
          </w:tcPr>
          <w:p w14:paraId="25AEE844" w14:textId="3BFED58E" w:rsidR="004E64CA" w:rsidRPr="00503F5B" w:rsidRDefault="004E64CA">
            <w:pPr>
              <w:ind w:left="-49"/>
              <w:jc w:val="right"/>
              <w:rPr>
                <w:sz w:val="20"/>
                <w:szCs w:val="20"/>
                <w:lang w:val="en-AU"/>
              </w:rPr>
            </w:pPr>
            <w:r w:rsidRPr="00503F5B">
              <w:rPr>
                <w:sz w:val="20"/>
                <w:szCs w:val="20"/>
                <w:lang w:val="en-AU"/>
              </w:rPr>
              <w:t>N/A</w:t>
            </w:r>
          </w:p>
        </w:tc>
        <w:tc>
          <w:tcPr>
            <w:tcW w:w="1245" w:type="dxa"/>
            <w:tcBorders>
              <w:bottom w:val="single" w:sz="4" w:space="0" w:color="ED7C5D"/>
            </w:tcBorders>
            <w:noWrap/>
            <w:vAlign w:val="center"/>
            <w:hideMark/>
          </w:tcPr>
          <w:p w14:paraId="4211419C" w14:textId="3A5375FD" w:rsidR="004E64CA" w:rsidRPr="00503F5B" w:rsidRDefault="004E64CA">
            <w:pPr>
              <w:ind w:left="24" w:hanging="24"/>
              <w:jc w:val="right"/>
              <w:rPr>
                <w:sz w:val="20"/>
                <w:szCs w:val="20"/>
                <w:lang w:val="en-AU"/>
              </w:rPr>
            </w:pPr>
            <w:r w:rsidRPr="00503F5B">
              <w:rPr>
                <w:sz w:val="20"/>
                <w:szCs w:val="20"/>
                <w:lang w:val="en-AU"/>
              </w:rPr>
              <w:t>N//A</w:t>
            </w:r>
          </w:p>
        </w:tc>
      </w:tr>
      <w:tr w:rsidR="004E64CA" w:rsidRPr="00503F5B" w14:paraId="2B26C646" w14:textId="77777777" w:rsidTr="00517C6D">
        <w:trPr>
          <w:trHeight w:val="221"/>
          <w:jc w:val="right"/>
        </w:trPr>
        <w:tc>
          <w:tcPr>
            <w:tcW w:w="1134" w:type="dxa"/>
            <w:tcBorders>
              <w:top w:val="single" w:sz="4" w:space="0" w:color="ED7C5D"/>
              <w:bottom w:val="single" w:sz="4" w:space="0" w:color="ED7C5D"/>
            </w:tcBorders>
            <w:noWrap/>
            <w:vAlign w:val="center"/>
            <w:hideMark/>
          </w:tcPr>
          <w:p w14:paraId="71EA7FB8" w14:textId="77777777" w:rsidR="004E64CA" w:rsidRPr="00503F5B" w:rsidRDefault="004E64CA" w:rsidP="004E64CA">
            <w:pPr>
              <w:rPr>
                <w:b/>
                <w:color w:val="000000" w:themeColor="text1"/>
                <w:sz w:val="20"/>
                <w:szCs w:val="20"/>
                <w:lang w:val="en-AU"/>
              </w:rPr>
            </w:pPr>
            <w:r w:rsidRPr="00503F5B">
              <w:rPr>
                <w:b/>
                <w:color w:val="000000" w:themeColor="text1"/>
                <w:sz w:val="20"/>
                <w:szCs w:val="20"/>
                <w:lang w:val="en-AU"/>
              </w:rPr>
              <w:t>Total</w:t>
            </w:r>
          </w:p>
        </w:tc>
        <w:tc>
          <w:tcPr>
            <w:tcW w:w="1418" w:type="dxa"/>
            <w:tcBorders>
              <w:top w:val="single" w:sz="4" w:space="0" w:color="ED7C5D"/>
              <w:bottom w:val="single" w:sz="4" w:space="0" w:color="ED7C5D"/>
            </w:tcBorders>
            <w:noWrap/>
            <w:vAlign w:val="center"/>
            <w:hideMark/>
          </w:tcPr>
          <w:p w14:paraId="4C32A27D" w14:textId="65F3D244" w:rsidR="004E64CA" w:rsidRPr="00503F5B" w:rsidRDefault="004E64CA" w:rsidP="004E64CA">
            <w:pPr>
              <w:ind w:left="19"/>
              <w:jc w:val="right"/>
              <w:rPr>
                <w:b/>
                <w:color w:val="000000" w:themeColor="text1"/>
                <w:sz w:val="20"/>
                <w:szCs w:val="20"/>
                <w:lang w:val="en-AU"/>
              </w:rPr>
            </w:pPr>
            <w:r w:rsidRPr="00503F5B">
              <w:rPr>
                <w:rFonts w:cs="Calibri"/>
                <w:b/>
                <w:bCs/>
                <w:color w:val="000000" w:themeColor="text1"/>
                <w:sz w:val="20"/>
                <w:szCs w:val="20"/>
                <w:lang w:val="en-AU"/>
              </w:rPr>
              <w:t>$123,762,646</w:t>
            </w:r>
          </w:p>
        </w:tc>
        <w:tc>
          <w:tcPr>
            <w:tcW w:w="1447" w:type="dxa"/>
            <w:tcBorders>
              <w:top w:val="single" w:sz="4" w:space="0" w:color="ED7C5D"/>
              <w:bottom w:val="single" w:sz="4" w:space="0" w:color="ED7C5D"/>
            </w:tcBorders>
            <w:noWrap/>
            <w:vAlign w:val="center"/>
            <w:hideMark/>
          </w:tcPr>
          <w:p w14:paraId="4D907DEF" w14:textId="1CD78EC1" w:rsidR="004E64CA" w:rsidRPr="00503F5B" w:rsidRDefault="004E64CA" w:rsidP="004E64CA">
            <w:pPr>
              <w:jc w:val="right"/>
              <w:rPr>
                <w:b/>
                <w:color w:val="000000" w:themeColor="text1"/>
                <w:sz w:val="20"/>
                <w:szCs w:val="20"/>
                <w:lang w:val="en-AU"/>
              </w:rPr>
            </w:pPr>
            <w:r w:rsidRPr="00503F5B">
              <w:rPr>
                <w:rFonts w:cs="Calibri"/>
                <w:lang w:val="en-AU"/>
              </w:rPr>
              <w:t> </w:t>
            </w:r>
          </w:p>
        </w:tc>
        <w:tc>
          <w:tcPr>
            <w:tcW w:w="993" w:type="dxa"/>
            <w:tcBorders>
              <w:top w:val="single" w:sz="4" w:space="0" w:color="ED7C5D"/>
              <w:bottom w:val="single" w:sz="4" w:space="0" w:color="ED7C5D"/>
            </w:tcBorders>
            <w:noWrap/>
            <w:vAlign w:val="center"/>
            <w:hideMark/>
          </w:tcPr>
          <w:p w14:paraId="3B3C2293" w14:textId="2EE236BD" w:rsidR="004E64CA" w:rsidRPr="00503F5B" w:rsidRDefault="004E64CA">
            <w:pPr>
              <w:jc w:val="right"/>
              <w:rPr>
                <w:b/>
                <w:color w:val="000000" w:themeColor="text1"/>
                <w:sz w:val="20"/>
                <w:szCs w:val="20"/>
                <w:lang w:val="en-AU"/>
              </w:rPr>
            </w:pPr>
          </w:p>
        </w:tc>
        <w:tc>
          <w:tcPr>
            <w:tcW w:w="1276" w:type="dxa"/>
            <w:tcBorders>
              <w:top w:val="single" w:sz="4" w:space="0" w:color="ED7C5D"/>
              <w:bottom w:val="single" w:sz="4" w:space="0" w:color="ED7C5D"/>
            </w:tcBorders>
            <w:noWrap/>
            <w:vAlign w:val="center"/>
            <w:hideMark/>
          </w:tcPr>
          <w:p w14:paraId="0D0738B2" w14:textId="375AC39B" w:rsidR="004E64CA" w:rsidRPr="00503F5B" w:rsidRDefault="004E64CA">
            <w:pPr>
              <w:ind w:left="-49"/>
              <w:jc w:val="right"/>
              <w:rPr>
                <w:b/>
                <w:bCs/>
                <w:color w:val="000000" w:themeColor="text1"/>
                <w:sz w:val="20"/>
                <w:szCs w:val="20"/>
                <w:lang w:val="en-AU"/>
              </w:rPr>
            </w:pPr>
            <w:r w:rsidRPr="00503F5B">
              <w:rPr>
                <w:b/>
                <w:bCs/>
                <w:sz w:val="20"/>
                <w:szCs w:val="20"/>
                <w:lang w:val="en-AU"/>
              </w:rPr>
              <w:t>$13,292,300</w:t>
            </w:r>
          </w:p>
        </w:tc>
        <w:tc>
          <w:tcPr>
            <w:tcW w:w="1245" w:type="dxa"/>
            <w:tcBorders>
              <w:top w:val="single" w:sz="4" w:space="0" w:color="ED7C5D"/>
              <w:bottom w:val="single" w:sz="4" w:space="0" w:color="ED7C5D"/>
            </w:tcBorders>
            <w:noWrap/>
            <w:vAlign w:val="center"/>
            <w:hideMark/>
          </w:tcPr>
          <w:p w14:paraId="6916CF97" w14:textId="300EEE12" w:rsidR="004E64CA" w:rsidRPr="00503F5B" w:rsidRDefault="004E64CA">
            <w:pPr>
              <w:ind w:left="24" w:hanging="24"/>
              <w:jc w:val="right"/>
              <w:rPr>
                <w:b/>
                <w:bCs/>
                <w:color w:val="000000" w:themeColor="text1"/>
                <w:sz w:val="20"/>
                <w:szCs w:val="20"/>
                <w:lang w:val="en-AU"/>
              </w:rPr>
            </w:pPr>
            <w:r w:rsidRPr="00503F5B">
              <w:rPr>
                <w:b/>
                <w:bCs/>
                <w:sz w:val="20"/>
                <w:szCs w:val="20"/>
                <w:lang w:val="en-AU"/>
              </w:rPr>
              <w:t>10.74%</w:t>
            </w:r>
          </w:p>
        </w:tc>
      </w:tr>
    </w:tbl>
    <w:p w14:paraId="705D03D7" w14:textId="3B6954DA" w:rsidR="00254E7D" w:rsidRPr="00503F5B" w:rsidRDefault="00254E7D" w:rsidP="00254E7D">
      <w:pPr>
        <w:jc w:val="both"/>
      </w:pPr>
    </w:p>
    <w:p w14:paraId="2B67A938" w14:textId="6C582666" w:rsidR="00254E7D" w:rsidRPr="00503F5B" w:rsidRDefault="00254E7D" w:rsidP="00254E7D">
      <w:pPr>
        <w:ind w:left="709"/>
        <w:jc w:val="both"/>
      </w:pPr>
      <w:bookmarkStart w:id="158" w:name="_Hlk39659194"/>
      <w:r w:rsidRPr="00503F5B">
        <w:t xml:space="preserve">This option </w:t>
      </w:r>
      <w:r w:rsidR="00AC75A2" w:rsidRPr="00503F5B">
        <w:t xml:space="preserve">has been chosen on the basis of </w:t>
      </w:r>
      <w:r w:rsidRPr="00503F5B">
        <w:t xml:space="preserve">considering both the need to recover costs at current levels, as well as, the need to </w:t>
      </w:r>
      <w:r w:rsidRPr="00503F5B">
        <w:rPr>
          <w:i/>
        </w:rPr>
        <w:t>strike the right balance</w:t>
      </w:r>
      <w:r w:rsidRPr="00503F5B">
        <w:t xml:space="preserve"> between encouraging owners of alarm systems to proactively manage and maintain their systems, on one hand, and discouraging alarm </w:t>
      </w:r>
      <w:r w:rsidR="00892154" w:rsidRPr="00503F5B">
        <w:t xml:space="preserve">circumvention </w:t>
      </w:r>
      <w:r w:rsidRPr="00503F5B">
        <w:t xml:space="preserve">and </w:t>
      </w:r>
      <w:r w:rsidR="00892154" w:rsidRPr="00503F5B">
        <w:t xml:space="preserve">unmeritorious </w:t>
      </w:r>
      <w:r w:rsidRPr="00503F5B">
        <w:t xml:space="preserve">VCAT challenge activities by setting a fee that is too high, as discussed in Section </w:t>
      </w:r>
      <w:r w:rsidR="003E489B" w:rsidRPr="00503F5B">
        <w:t>2.3.3</w:t>
      </w:r>
      <w:r w:rsidRPr="00503F5B">
        <w:t xml:space="preserve"> in this RIS</w:t>
      </w:r>
      <w:r w:rsidR="00D57788" w:rsidRPr="00503F5B">
        <w:t>.</w:t>
      </w:r>
      <w:r w:rsidR="007E6BE5" w:rsidRPr="00503F5B">
        <w:t xml:space="preserve"> In addition, property owners already contribute to the cost of fire services through the FSPL</w:t>
      </w:r>
      <w:r w:rsidRPr="00503F5B">
        <w:t>.</w:t>
      </w:r>
    </w:p>
    <w:bookmarkEnd w:id="158"/>
    <w:p w14:paraId="42D3A162" w14:textId="77777777" w:rsidR="00254E7D" w:rsidRPr="00503F5B" w:rsidRDefault="00254E7D" w:rsidP="00254E7D">
      <w:pPr>
        <w:ind w:left="284"/>
        <w:jc w:val="both"/>
      </w:pPr>
    </w:p>
    <w:p w14:paraId="4BE316D9" w14:textId="304DD631" w:rsidR="00254E7D" w:rsidRPr="00503F5B" w:rsidRDefault="00254E7D" w:rsidP="00254E7D">
      <w:pPr>
        <w:ind w:left="1134" w:hanging="425"/>
        <w:jc w:val="both"/>
      </w:pPr>
      <w:r w:rsidRPr="00503F5B">
        <w:t>Encouraging management in order to minimise:</w:t>
      </w:r>
    </w:p>
    <w:p w14:paraId="61F07266" w14:textId="77777777" w:rsidR="00254E7D" w:rsidRPr="00503F5B" w:rsidRDefault="00254E7D" w:rsidP="00254E7D">
      <w:pPr>
        <w:ind w:left="1134" w:hanging="425"/>
        <w:jc w:val="both"/>
      </w:pPr>
    </w:p>
    <w:p w14:paraId="60619EA6" w14:textId="398D3C75" w:rsidR="00254E7D" w:rsidRPr="00503F5B" w:rsidRDefault="00254E7D" w:rsidP="00101EC8">
      <w:pPr>
        <w:pStyle w:val="ListParagraph"/>
        <w:numPr>
          <w:ilvl w:val="0"/>
          <w:numId w:val="31"/>
        </w:numPr>
        <w:ind w:left="1134" w:hanging="425"/>
      </w:pPr>
      <w:r w:rsidRPr="00503F5B">
        <w:t xml:space="preserve">an inefficient use of </w:t>
      </w:r>
      <w:r w:rsidR="0025645D" w:rsidRPr="00503F5B">
        <w:t>FRV</w:t>
      </w:r>
      <w:r w:rsidRPr="00503F5B">
        <w:t xml:space="preserve"> resources;</w:t>
      </w:r>
    </w:p>
    <w:p w14:paraId="1C104037" w14:textId="77777777" w:rsidR="00254E7D" w:rsidRPr="00503F5B" w:rsidRDefault="00254E7D" w:rsidP="00101EC8">
      <w:pPr>
        <w:pStyle w:val="ListParagraph"/>
        <w:numPr>
          <w:ilvl w:val="0"/>
          <w:numId w:val="31"/>
        </w:numPr>
        <w:ind w:left="1134" w:hanging="425"/>
      </w:pPr>
      <w:r w:rsidRPr="00503F5B">
        <w:t>complacency in the event of real emergencies;</w:t>
      </w:r>
    </w:p>
    <w:p w14:paraId="367C45C3" w14:textId="77777777" w:rsidR="00254E7D" w:rsidRPr="00503F5B" w:rsidRDefault="00254E7D" w:rsidP="00101EC8">
      <w:pPr>
        <w:pStyle w:val="ListParagraph"/>
        <w:numPr>
          <w:ilvl w:val="0"/>
          <w:numId w:val="31"/>
        </w:numPr>
        <w:ind w:left="1134" w:hanging="425"/>
      </w:pPr>
      <w:r w:rsidRPr="00503F5B">
        <w:t>increased risk of accident and injury to firefighters and the general public as firefighters will attend under sirens and lights; and</w:t>
      </w:r>
    </w:p>
    <w:p w14:paraId="588D2421" w14:textId="77777777" w:rsidR="00254E7D" w:rsidRPr="00503F5B" w:rsidRDefault="00254E7D" w:rsidP="00101EC8">
      <w:pPr>
        <w:pStyle w:val="ListParagraph"/>
        <w:numPr>
          <w:ilvl w:val="0"/>
          <w:numId w:val="31"/>
        </w:numPr>
        <w:ind w:left="1134" w:hanging="425"/>
      </w:pPr>
      <w:r w:rsidRPr="00503F5B">
        <w:t>reduced response times to real emergencies due to diversions to attend false alarms.</w:t>
      </w:r>
    </w:p>
    <w:p w14:paraId="39AFDB1C" w14:textId="77777777" w:rsidR="00254E7D" w:rsidRPr="00503F5B" w:rsidRDefault="00254E7D" w:rsidP="00254E7D">
      <w:pPr>
        <w:ind w:left="1134" w:hanging="425"/>
        <w:jc w:val="both"/>
      </w:pPr>
    </w:p>
    <w:p w14:paraId="2A7581D6" w14:textId="351ED8F0" w:rsidR="00254E7D" w:rsidRPr="00503F5B" w:rsidRDefault="00254E7D" w:rsidP="00254E7D">
      <w:pPr>
        <w:ind w:left="1134" w:hanging="425"/>
        <w:jc w:val="both"/>
      </w:pPr>
      <w:r w:rsidRPr="00503F5B">
        <w:t>Not discouraging management in order to minimise:</w:t>
      </w:r>
    </w:p>
    <w:p w14:paraId="7902BF36" w14:textId="77777777" w:rsidR="00254E7D" w:rsidRPr="00503F5B" w:rsidRDefault="00254E7D" w:rsidP="00254E7D">
      <w:pPr>
        <w:ind w:left="1134" w:hanging="425"/>
        <w:jc w:val="both"/>
      </w:pPr>
    </w:p>
    <w:p w14:paraId="796E7DF7" w14:textId="7017FA4A" w:rsidR="00254E7D" w:rsidRPr="00503F5B" w:rsidRDefault="00254E7D" w:rsidP="00101EC8">
      <w:pPr>
        <w:pStyle w:val="ListParagraph"/>
        <w:numPr>
          <w:ilvl w:val="0"/>
          <w:numId w:val="9"/>
        </w:numPr>
        <w:spacing w:after="200" w:line="276" w:lineRule="auto"/>
        <w:ind w:left="1134" w:hanging="425"/>
      </w:pPr>
      <w:r w:rsidRPr="00503F5B">
        <w:t xml:space="preserve">the dangers to life, injury, property and the environment through the circumvention of an alarm system, so as not to notify </w:t>
      </w:r>
      <w:r w:rsidR="00BF7D9C" w:rsidRPr="00503F5B">
        <w:t>FRV</w:t>
      </w:r>
      <w:r w:rsidRPr="00503F5B">
        <w:t xml:space="preserve"> of an alarm; and</w:t>
      </w:r>
    </w:p>
    <w:p w14:paraId="1EE3569B" w14:textId="622C2C2D" w:rsidR="00254E7D" w:rsidRPr="00503F5B" w:rsidRDefault="00254E7D" w:rsidP="00101EC8">
      <w:pPr>
        <w:pStyle w:val="ListParagraph"/>
        <w:numPr>
          <w:ilvl w:val="0"/>
          <w:numId w:val="9"/>
        </w:numPr>
        <w:ind w:left="1134" w:hanging="425"/>
      </w:pPr>
      <w:r w:rsidRPr="00503F5B">
        <w:t xml:space="preserve">the potential cost to </w:t>
      </w:r>
      <w:r w:rsidR="00AC75A2" w:rsidRPr="00503F5B">
        <w:t>FRV</w:t>
      </w:r>
      <w:r w:rsidRPr="00503F5B">
        <w:t xml:space="preserve"> to </w:t>
      </w:r>
      <w:r w:rsidR="00892154" w:rsidRPr="00503F5B">
        <w:t xml:space="preserve">if there is an increase in unmeritorious </w:t>
      </w:r>
      <w:r w:rsidRPr="00503F5B">
        <w:t xml:space="preserve">challenges at VCAT </w:t>
      </w:r>
      <w:r w:rsidR="00FC7E51" w:rsidRPr="00503F5B">
        <w:t>motivated by a fee that is too high</w:t>
      </w:r>
      <w:r w:rsidRPr="00503F5B">
        <w:t>.</w:t>
      </w:r>
    </w:p>
    <w:p w14:paraId="127E451D" w14:textId="77777777" w:rsidR="00254E7D" w:rsidRPr="00503F5B" w:rsidRDefault="00254E7D" w:rsidP="00254E7D">
      <w:pPr>
        <w:pStyle w:val="ListParagraph"/>
      </w:pPr>
    </w:p>
    <w:p w14:paraId="112E23FB" w14:textId="5599CE0C" w:rsidR="00254E7D" w:rsidRPr="00503F5B" w:rsidRDefault="00254E7D" w:rsidP="00254E7D">
      <w:pPr>
        <w:ind w:left="709"/>
        <w:jc w:val="both"/>
      </w:pPr>
      <w:r w:rsidRPr="00503F5B">
        <w:t xml:space="preserve">In other words, </w:t>
      </w:r>
      <w:r w:rsidR="00796521" w:rsidRPr="00503F5B">
        <w:t xml:space="preserve">it is considered </w:t>
      </w:r>
      <w:r w:rsidRPr="00503F5B">
        <w:t>that there is a threshold above which the efficiency and equity benefits of full cost recovery fees under Option 1 are outweighed by the</w:t>
      </w:r>
      <w:r w:rsidR="00DF08AC" w:rsidRPr="00503F5B">
        <w:t xml:space="preserve"> potential</w:t>
      </w:r>
      <w:r w:rsidRPr="00503F5B">
        <w:t xml:space="preserve"> costs and unintended consequences of </w:t>
      </w:r>
      <w:r w:rsidR="00FC7E51" w:rsidRPr="00503F5B">
        <w:t xml:space="preserve">circumvention </w:t>
      </w:r>
      <w:r w:rsidRPr="00503F5B">
        <w:t xml:space="preserve">and </w:t>
      </w:r>
      <w:r w:rsidR="004761CB">
        <w:t xml:space="preserve">unmeritorious </w:t>
      </w:r>
      <w:r w:rsidRPr="00503F5B">
        <w:t xml:space="preserve">VCAT challenges (see detailed discussion in Section </w:t>
      </w:r>
      <w:r w:rsidR="003E489B" w:rsidRPr="00503F5B">
        <w:t>2.3.3</w:t>
      </w:r>
      <w:r w:rsidRPr="00503F5B">
        <w:t xml:space="preserve"> in this RIS).  </w:t>
      </w:r>
      <w:r w:rsidRPr="00503F5B">
        <w:rPr>
          <w:i/>
          <w:iCs/>
        </w:rPr>
        <w:t>However, the threshold remains unknown</w:t>
      </w:r>
      <w:r w:rsidRPr="00503F5B">
        <w:t xml:space="preserve"> as there are no precedents for full cost recovery around false alarm charges and fees.  </w:t>
      </w:r>
    </w:p>
    <w:p w14:paraId="322721BC" w14:textId="77777777" w:rsidR="00254E7D" w:rsidRPr="00503F5B" w:rsidRDefault="00254E7D" w:rsidP="00254E7D">
      <w:pPr>
        <w:ind w:left="709"/>
        <w:jc w:val="both"/>
      </w:pPr>
    </w:p>
    <w:p w14:paraId="22460310" w14:textId="77D43986" w:rsidR="00254E7D" w:rsidRPr="00503F5B" w:rsidRDefault="00254E7D" w:rsidP="00254E7D">
      <w:pPr>
        <w:ind w:left="709"/>
        <w:jc w:val="both"/>
      </w:pPr>
      <w:r w:rsidRPr="00503F5B">
        <w:lastRenderedPageBreak/>
        <w:t>Whilst the consequences of going above the current fee</w:t>
      </w:r>
      <w:r w:rsidR="00AC75A2" w:rsidRPr="00503F5B">
        <w:t>s</w:t>
      </w:r>
      <w:r w:rsidRPr="00503F5B">
        <w:t xml:space="preserve"> of </w:t>
      </w:r>
      <w:r w:rsidR="00AC75A2" w:rsidRPr="00503F5B">
        <w:t>$578.48 for MFB $584.25 for CFA integrated stations</w:t>
      </w:r>
      <w:r w:rsidRPr="00503F5B">
        <w:t xml:space="preserve"> are not clear, </w:t>
      </w:r>
      <w:r w:rsidR="00DF08AC" w:rsidRPr="00503F5B">
        <w:t>the potentially significant public safety risks and consequences associated with circumvention suggest that a precautionary approach is prudent.</w:t>
      </w:r>
      <w:r w:rsidRPr="00503F5B">
        <w:t xml:space="preserve">  For this reason, the fee of $</w:t>
      </w:r>
      <w:r w:rsidR="00C37F54" w:rsidRPr="00503F5B">
        <w:t>578.48</w:t>
      </w:r>
      <w:r w:rsidRPr="00503F5B">
        <w:t xml:space="preserve"> has been set according to the logic that it is close to current levels and this reduces the likelihood of any </w:t>
      </w:r>
      <w:r w:rsidR="00DF08AC" w:rsidRPr="00503F5B">
        <w:t xml:space="preserve">increased </w:t>
      </w:r>
      <w:r w:rsidRPr="00503F5B">
        <w:t xml:space="preserve">risk of circumvention and </w:t>
      </w:r>
      <w:r w:rsidR="00DF08AC" w:rsidRPr="00503F5B">
        <w:t xml:space="preserve">unmeritorious </w:t>
      </w:r>
      <w:r w:rsidRPr="00503F5B">
        <w:t>VCAT challenge; and re</w:t>
      </w:r>
      <w:r w:rsidR="00012022" w:rsidRPr="00503F5B">
        <w:t>flects the current number of fee units and value of a fee unit likely to be assigned in 2020-21</w:t>
      </w:r>
      <w:r w:rsidRPr="00503F5B">
        <w:t>.</w:t>
      </w:r>
      <w:r w:rsidRPr="00503F5B" w:rsidDel="008D5292">
        <w:t xml:space="preserve"> </w:t>
      </w:r>
      <w:r w:rsidR="00394A0E" w:rsidRPr="00503F5B">
        <w:t>This fee also reflects the fact that all property owners already contribute to the cost of fire services via the FSPL.</w:t>
      </w:r>
    </w:p>
    <w:p w14:paraId="72F04783" w14:textId="77777777" w:rsidR="00254E7D" w:rsidRPr="00503F5B" w:rsidRDefault="00254E7D" w:rsidP="00254E7D">
      <w:pPr>
        <w:ind w:left="709"/>
        <w:jc w:val="both"/>
      </w:pPr>
    </w:p>
    <w:p w14:paraId="06F47078" w14:textId="675F621C" w:rsidR="00254E7D" w:rsidRPr="00503F5B" w:rsidRDefault="00254E7D" w:rsidP="00254E7D">
      <w:pPr>
        <w:ind w:left="709"/>
        <w:jc w:val="both"/>
      </w:pPr>
      <w:r w:rsidRPr="00503F5B">
        <w:t>As shown in Table 1</w:t>
      </w:r>
      <w:r w:rsidR="00AC75A2" w:rsidRPr="00503F5B">
        <w:t>9</w:t>
      </w:r>
      <w:r w:rsidRPr="00503F5B">
        <w:t xml:space="preserve">, Option 2 recovers approximately </w:t>
      </w:r>
      <w:r w:rsidR="00C6126C" w:rsidRPr="00503F5B">
        <w:rPr>
          <w:b/>
          <w:i/>
        </w:rPr>
        <w:t>2</w:t>
      </w:r>
      <w:r w:rsidR="00C37F54" w:rsidRPr="00503F5B">
        <w:rPr>
          <w:b/>
          <w:i/>
        </w:rPr>
        <w:t>3</w:t>
      </w:r>
      <w:r w:rsidRPr="00503F5B">
        <w:rPr>
          <w:b/>
          <w:i/>
        </w:rPr>
        <w:t>.</w:t>
      </w:r>
      <w:r w:rsidR="00C37F54" w:rsidRPr="00503F5B">
        <w:rPr>
          <w:b/>
          <w:i/>
        </w:rPr>
        <w:t>3</w:t>
      </w:r>
      <w:r w:rsidRPr="00503F5B">
        <w:rPr>
          <w:b/>
          <w:i/>
        </w:rPr>
        <w:t xml:space="preserve"> per cent</w:t>
      </w:r>
      <w:r w:rsidRPr="00503F5B">
        <w:t xml:space="preserve"> of all costs incurred by false alarm attendances where it is determined by </w:t>
      </w:r>
      <w:r w:rsidR="00AC75A2" w:rsidRPr="00503F5B">
        <w:t xml:space="preserve">FRV </w:t>
      </w:r>
      <w:r w:rsidRPr="00503F5B">
        <w:t xml:space="preserve">that there is no reasonable excuse by charging owners of alarm systems </w:t>
      </w:r>
      <w:r w:rsidR="00C6126C" w:rsidRPr="00503F5B">
        <w:t>23</w:t>
      </w:r>
      <w:r w:rsidRPr="00503F5B">
        <w:t>.</w:t>
      </w:r>
      <w:r w:rsidR="00C6126C" w:rsidRPr="00503F5B">
        <w:t>0</w:t>
      </w:r>
      <w:r w:rsidR="00C37F54" w:rsidRPr="00503F5B">
        <w:t>4</w:t>
      </w:r>
      <w:r w:rsidRPr="00503F5B">
        <w:t xml:space="preserve"> per cent of the quarterly hour cost per appliance.</w:t>
      </w:r>
    </w:p>
    <w:p w14:paraId="1F4D6D8F" w14:textId="77777777" w:rsidR="00BB4FE1" w:rsidRPr="00503F5B" w:rsidRDefault="00BB4FE1" w:rsidP="00E7441E">
      <w:pPr>
        <w:jc w:val="both"/>
        <w:rPr>
          <w:bCs/>
          <w:iCs/>
        </w:rPr>
      </w:pPr>
    </w:p>
    <w:p w14:paraId="1B93CD3C" w14:textId="2F3E24FB" w:rsidR="00BF7D9C" w:rsidRPr="00503F5B" w:rsidRDefault="00BF7D9C" w:rsidP="00BF7D9C">
      <w:pPr>
        <w:pStyle w:val="ListParagraph"/>
        <w:numPr>
          <w:ilvl w:val="0"/>
          <w:numId w:val="5"/>
        </w:numPr>
        <w:ind w:left="709" w:hanging="425"/>
        <w:jc w:val="both"/>
      </w:pPr>
      <w:r w:rsidRPr="00503F5B">
        <w:rPr>
          <w:b/>
          <w:i/>
        </w:rPr>
        <w:t>Option 3:</w:t>
      </w:r>
      <w:r w:rsidRPr="00503F5B">
        <w:t xml:space="preserve"> </w:t>
      </w:r>
      <w:r w:rsidRPr="00503F5B">
        <w:rPr>
          <w:i/>
          <w:iCs/>
        </w:rPr>
        <w:t xml:space="preserve">Partial cost recovery fee </w:t>
      </w:r>
      <w:r w:rsidRPr="00503F5B">
        <w:t xml:space="preserve">set per appliance, per 15 minutes or part thereof basis for false alarm attendances deemed not to have a ‘reasonable excuse’ </w:t>
      </w:r>
      <w:r w:rsidR="002F3150" w:rsidRPr="00503F5B">
        <w:rPr>
          <w:i/>
          <w:iCs/>
        </w:rPr>
        <w:t>with a maximum fee of $1,600</w:t>
      </w:r>
      <w:r w:rsidR="007F13D1" w:rsidRPr="00503F5B">
        <w:rPr>
          <w:i/>
          <w:iCs/>
        </w:rPr>
        <w:t xml:space="preserve"> per attendance</w:t>
      </w:r>
      <w:r w:rsidR="002F3150" w:rsidRPr="00503F5B">
        <w:t xml:space="preserve">.   Specifically, </w:t>
      </w:r>
      <w:r w:rsidR="007F13D1" w:rsidRPr="00503F5B">
        <w:t>O</w:t>
      </w:r>
      <w:r w:rsidR="002F3150" w:rsidRPr="00503F5B">
        <w:t xml:space="preserve">ption 3 involves </w:t>
      </w:r>
      <w:r w:rsidR="002F3150" w:rsidRPr="00503F5B">
        <w:rPr>
          <w:b/>
          <w:bCs/>
          <w:i/>
          <w:iCs/>
        </w:rPr>
        <w:t>the quarterly hour partial cost recovery fee of $311 per appliance</w:t>
      </w:r>
      <w:r w:rsidR="002F3150" w:rsidRPr="00503F5B">
        <w:t xml:space="preserve"> - calculated as 12.39 per cent of the full quarterly hour cost of $2,510</w:t>
      </w:r>
      <w:r w:rsidR="00F545EF" w:rsidRPr="00503F5B">
        <w:t xml:space="preserve"> with a </w:t>
      </w:r>
      <w:r w:rsidR="00F545EF" w:rsidRPr="00503F5B">
        <w:rPr>
          <w:b/>
          <w:bCs/>
          <w:i/>
          <w:iCs/>
        </w:rPr>
        <w:t>maximum attendance fee of $1,600</w:t>
      </w:r>
      <w:r w:rsidR="00F545EF" w:rsidRPr="00503F5B">
        <w:t xml:space="preserve"> based on 1.29 average appliance hours</w:t>
      </w:r>
      <w:r w:rsidR="002F3150" w:rsidRPr="00503F5B">
        <w:t xml:space="preserve">.   Option 3 involves </w:t>
      </w:r>
      <w:r w:rsidRPr="00503F5B">
        <w:t xml:space="preserve">partial cost recovery of approximately </w:t>
      </w:r>
      <w:r w:rsidR="004303D3" w:rsidRPr="00503F5B">
        <w:t>5</w:t>
      </w:r>
      <w:r w:rsidRPr="00503F5B">
        <w:t>.</w:t>
      </w:r>
      <w:r w:rsidR="00F545EF" w:rsidRPr="00503F5B">
        <w:t>63</w:t>
      </w:r>
      <w:r w:rsidR="00C37F54" w:rsidRPr="00503F5B">
        <w:t xml:space="preserve"> per cent</w:t>
      </w:r>
      <w:r w:rsidRPr="00503F5B">
        <w:rPr>
          <w:rStyle w:val="FootnoteReference"/>
        </w:rPr>
        <w:footnoteReference w:id="123"/>
      </w:r>
      <w:r w:rsidRPr="00503F5B">
        <w:t xml:space="preserve"> of total hours spent on all false alarm attendances by appliances (see Table 20).  The balance of total costs of false alarm attendance costs, estimated to be $1</w:t>
      </w:r>
      <w:r w:rsidR="004303D3" w:rsidRPr="00503F5B">
        <w:t>16</w:t>
      </w:r>
      <w:r w:rsidRPr="00503F5B">
        <w:t>.</w:t>
      </w:r>
      <w:r w:rsidR="00F545EF" w:rsidRPr="00503F5B">
        <w:t>79</w:t>
      </w:r>
      <w:r w:rsidRPr="00503F5B">
        <w:t xml:space="preserve"> million</w:t>
      </w:r>
      <w:r w:rsidRPr="00503F5B">
        <w:rPr>
          <w:rStyle w:val="FootnoteReference"/>
        </w:rPr>
        <w:footnoteReference w:id="124"/>
      </w:r>
      <w:r w:rsidRPr="00503F5B">
        <w:t xml:space="preserve">, is to be funded from </w:t>
      </w:r>
      <w:r w:rsidR="004303D3" w:rsidRPr="00503F5B">
        <w:t>FRV</w:t>
      </w:r>
      <w:r w:rsidRPr="00503F5B">
        <w:t xml:space="preserve"> revenue (see Table </w:t>
      </w:r>
      <w:r w:rsidR="00FC52DE" w:rsidRPr="00503F5B">
        <w:t>2</w:t>
      </w:r>
      <w:r w:rsidRPr="00503F5B">
        <w:t xml:space="preserve"> in this RIS). </w:t>
      </w:r>
    </w:p>
    <w:p w14:paraId="403F4C9F" w14:textId="0CD81D74" w:rsidR="00C37F54" w:rsidRPr="00503F5B" w:rsidRDefault="00C37F54">
      <w:pPr>
        <w:spacing w:after="160" w:line="259" w:lineRule="auto"/>
      </w:pPr>
    </w:p>
    <w:p w14:paraId="72987456" w14:textId="658BD6DF" w:rsidR="00F545EF" w:rsidRPr="00503F5B" w:rsidRDefault="00F545EF" w:rsidP="00F545EF">
      <w:pPr>
        <w:ind w:firstLine="709"/>
        <w:jc w:val="center"/>
        <w:rPr>
          <w:b/>
          <w:sz w:val="20"/>
          <w:szCs w:val="20"/>
        </w:rPr>
      </w:pPr>
      <w:r w:rsidRPr="00503F5B">
        <w:rPr>
          <w:b/>
          <w:sz w:val="20"/>
          <w:szCs w:val="20"/>
        </w:rPr>
        <w:t>Table 20: Summary of partial cost recovery fee with a maximum fee of $1,600 under Option 3 and annual revenue</w:t>
      </w:r>
    </w:p>
    <w:p w14:paraId="5DB402CC" w14:textId="77777777" w:rsidR="00F545EF" w:rsidRPr="00503F5B" w:rsidRDefault="00F545EF" w:rsidP="00F545EF">
      <w:pPr>
        <w:jc w:val="center"/>
      </w:pPr>
    </w:p>
    <w:tbl>
      <w:tblPr>
        <w:tblStyle w:val="TableGrid"/>
        <w:tblW w:w="751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418"/>
        <w:gridCol w:w="1447"/>
        <w:gridCol w:w="993"/>
        <w:gridCol w:w="1276"/>
        <w:gridCol w:w="1245"/>
      </w:tblGrid>
      <w:tr w:rsidR="00F545EF" w:rsidRPr="00503F5B" w14:paraId="3CD6AA76" w14:textId="77777777" w:rsidTr="00970CBA">
        <w:trPr>
          <w:trHeight w:val="375"/>
          <w:tblHeader/>
          <w:jc w:val="right"/>
        </w:trPr>
        <w:tc>
          <w:tcPr>
            <w:tcW w:w="1134" w:type="dxa"/>
            <w:tcBorders>
              <w:top w:val="single" w:sz="4" w:space="0" w:color="ED7C5D"/>
              <w:bottom w:val="double" w:sz="4" w:space="0" w:color="ED7C5D"/>
            </w:tcBorders>
            <w:noWrap/>
            <w:hideMark/>
          </w:tcPr>
          <w:p w14:paraId="5DDC3A2D" w14:textId="77777777" w:rsidR="00F545EF" w:rsidRPr="00503F5B" w:rsidRDefault="00F545EF" w:rsidP="00970CBA">
            <w:pPr>
              <w:rPr>
                <w:b/>
                <w:color w:val="BE2A18"/>
                <w:sz w:val="20"/>
                <w:szCs w:val="20"/>
                <w:lang w:val="en-AU"/>
              </w:rPr>
            </w:pPr>
            <w:r w:rsidRPr="00503F5B">
              <w:rPr>
                <w:b/>
                <w:color w:val="BE2A18"/>
                <w:sz w:val="20"/>
                <w:szCs w:val="20"/>
                <w:lang w:val="en-AU"/>
              </w:rPr>
              <w:t>False alarm category</w:t>
            </w:r>
          </w:p>
        </w:tc>
        <w:tc>
          <w:tcPr>
            <w:tcW w:w="1418" w:type="dxa"/>
            <w:tcBorders>
              <w:top w:val="single" w:sz="4" w:space="0" w:color="ED7C5D"/>
              <w:bottom w:val="double" w:sz="4" w:space="0" w:color="ED7C5D"/>
            </w:tcBorders>
            <w:noWrap/>
            <w:hideMark/>
          </w:tcPr>
          <w:p w14:paraId="64B0CA07" w14:textId="77777777" w:rsidR="00F545EF" w:rsidRPr="00503F5B" w:rsidRDefault="00F545EF" w:rsidP="00970CBA">
            <w:pPr>
              <w:ind w:left="19"/>
              <w:jc w:val="center"/>
              <w:rPr>
                <w:b/>
                <w:color w:val="BE2A18"/>
                <w:sz w:val="20"/>
                <w:szCs w:val="20"/>
                <w:lang w:val="en-AU"/>
              </w:rPr>
            </w:pPr>
            <w:r w:rsidRPr="00503F5B">
              <w:rPr>
                <w:b/>
                <w:color w:val="BE2A18"/>
                <w:sz w:val="20"/>
                <w:szCs w:val="20"/>
                <w:lang w:val="en-AU"/>
              </w:rPr>
              <w:t>Total cost</w:t>
            </w:r>
            <w:r w:rsidRPr="00503F5B">
              <w:rPr>
                <w:rStyle w:val="FootnoteReference"/>
                <w:b/>
                <w:color w:val="BE2A18"/>
                <w:sz w:val="20"/>
                <w:szCs w:val="20"/>
                <w:lang w:val="en-AU"/>
              </w:rPr>
              <w:footnoteReference w:id="125"/>
            </w:r>
          </w:p>
        </w:tc>
        <w:tc>
          <w:tcPr>
            <w:tcW w:w="1447" w:type="dxa"/>
            <w:tcBorders>
              <w:top w:val="single" w:sz="4" w:space="0" w:color="ED7C5D"/>
              <w:bottom w:val="double" w:sz="4" w:space="0" w:color="ED7C5D"/>
            </w:tcBorders>
            <w:hideMark/>
          </w:tcPr>
          <w:p w14:paraId="6D436E25" w14:textId="77777777" w:rsidR="00F545EF" w:rsidRPr="00503F5B" w:rsidRDefault="00F545EF" w:rsidP="00970CBA">
            <w:pPr>
              <w:jc w:val="center"/>
              <w:rPr>
                <w:b/>
                <w:color w:val="BE2A18"/>
                <w:sz w:val="20"/>
                <w:szCs w:val="20"/>
                <w:lang w:val="en-AU"/>
              </w:rPr>
            </w:pPr>
            <w:r w:rsidRPr="00503F5B">
              <w:rPr>
                <w:b/>
                <w:color w:val="BE2A18"/>
                <w:sz w:val="20"/>
                <w:szCs w:val="20"/>
                <w:lang w:val="en-AU"/>
              </w:rPr>
              <w:t>Total quarterly hour transactions</w:t>
            </w:r>
            <w:r w:rsidRPr="00503F5B">
              <w:rPr>
                <w:rStyle w:val="FootnoteReference"/>
                <w:b/>
                <w:color w:val="BE2A18"/>
                <w:sz w:val="20"/>
                <w:szCs w:val="20"/>
                <w:lang w:val="en-AU"/>
              </w:rPr>
              <w:footnoteReference w:id="126"/>
            </w:r>
          </w:p>
        </w:tc>
        <w:tc>
          <w:tcPr>
            <w:tcW w:w="993" w:type="dxa"/>
            <w:tcBorders>
              <w:top w:val="single" w:sz="4" w:space="0" w:color="ED7C5D"/>
              <w:bottom w:val="double" w:sz="4" w:space="0" w:color="ED7C5D"/>
            </w:tcBorders>
            <w:noWrap/>
            <w:hideMark/>
          </w:tcPr>
          <w:p w14:paraId="4EE56818" w14:textId="77777777" w:rsidR="00F545EF" w:rsidRPr="00503F5B" w:rsidRDefault="00F545EF" w:rsidP="00970CBA">
            <w:pPr>
              <w:jc w:val="center"/>
              <w:rPr>
                <w:b/>
                <w:color w:val="BE2A18"/>
                <w:sz w:val="20"/>
                <w:szCs w:val="20"/>
                <w:lang w:val="en-AU"/>
              </w:rPr>
            </w:pPr>
            <w:r w:rsidRPr="00503F5B">
              <w:rPr>
                <w:b/>
                <w:color w:val="BE2A18"/>
                <w:sz w:val="20"/>
                <w:szCs w:val="20"/>
                <w:lang w:val="en-AU"/>
              </w:rPr>
              <w:t>Fee</w:t>
            </w:r>
            <w:r w:rsidRPr="00503F5B">
              <w:rPr>
                <w:rStyle w:val="FootnoteReference"/>
                <w:b/>
                <w:color w:val="BE2A18"/>
                <w:sz w:val="20"/>
                <w:szCs w:val="20"/>
                <w:lang w:val="en-AU"/>
              </w:rPr>
              <w:footnoteReference w:id="127"/>
            </w:r>
          </w:p>
        </w:tc>
        <w:tc>
          <w:tcPr>
            <w:tcW w:w="1276" w:type="dxa"/>
            <w:tcBorders>
              <w:top w:val="single" w:sz="4" w:space="0" w:color="ED7C5D"/>
              <w:bottom w:val="double" w:sz="4" w:space="0" w:color="ED7C5D"/>
            </w:tcBorders>
            <w:noWrap/>
            <w:hideMark/>
          </w:tcPr>
          <w:p w14:paraId="51D734DD" w14:textId="77777777" w:rsidR="00F545EF" w:rsidRPr="00503F5B" w:rsidRDefault="00F545EF" w:rsidP="00970CBA">
            <w:pPr>
              <w:ind w:left="-49"/>
              <w:jc w:val="center"/>
              <w:rPr>
                <w:b/>
                <w:color w:val="BE2A18"/>
                <w:sz w:val="20"/>
                <w:szCs w:val="20"/>
                <w:lang w:val="en-AU"/>
              </w:rPr>
            </w:pPr>
            <w:r w:rsidRPr="00503F5B">
              <w:rPr>
                <w:b/>
                <w:color w:val="BE2A18"/>
                <w:sz w:val="20"/>
                <w:szCs w:val="20"/>
                <w:lang w:val="en-AU"/>
              </w:rPr>
              <w:t>Annual revenue</w:t>
            </w:r>
            <w:r w:rsidRPr="00503F5B">
              <w:rPr>
                <w:rStyle w:val="FootnoteReference"/>
                <w:b/>
                <w:color w:val="BE2A18"/>
                <w:sz w:val="20"/>
                <w:szCs w:val="20"/>
                <w:lang w:val="en-AU"/>
              </w:rPr>
              <w:footnoteReference w:id="128"/>
            </w:r>
          </w:p>
        </w:tc>
        <w:tc>
          <w:tcPr>
            <w:tcW w:w="1245" w:type="dxa"/>
            <w:tcBorders>
              <w:top w:val="single" w:sz="4" w:space="0" w:color="ED7C5D"/>
              <w:bottom w:val="double" w:sz="4" w:space="0" w:color="ED7C5D"/>
            </w:tcBorders>
            <w:noWrap/>
            <w:hideMark/>
          </w:tcPr>
          <w:p w14:paraId="4813DB73" w14:textId="77777777" w:rsidR="00F545EF" w:rsidRPr="00503F5B" w:rsidRDefault="00F545EF" w:rsidP="00970CBA">
            <w:pPr>
              <w:ind w:left="24" w:hanging="24"/>
              <w:jc w:val="center"/>
              <w:rPr>
                <w:b/>
                <w:color w:val="BE2A18"/>
                <w:sz w:val="20"/>
                <w:szCs w:val="20"/>
                <w:lang w:val="en-AU"/>
              </w:rPr>
            </w:pPr>
            <w:r w:rsidRPr="00503F5B">
              <w:rPr>
                <w:b/>
                <w:color w:val="BE2A18"/>
                <w:sz w:val="20"/>
                <w:szCs w:val="20"/>
                <w:lang w:val="en-AU"/>
              </w:rPr>
              <w:t>Percentage of costs recovered</w:t>
            </w:r>
          </w:p>
        </w:tc>
      </w:tr>
      <w:tr w:rsidR="00F545EF" w:rsidRPr="00503F5B" w14:paraId="101F205F" w14:textId="77777777" w:rsidTr="00970CBA">
        <w:trPr>
          <w:trHeight w:val="320"/>
          <w:jc w:val="right"/>
        </w:trPr>
        <w:tc>
          <w:tcPr>
            <w:tcW w:w="1134" w:type="dxa"/>
            <w:tcBorders>
              <w:top w:val="double" w:sz="4" w:space="0" w:color="ED7C5D"/>
            </w:tcBorders>
            <w:shd w:val="clear" w:color="auto" w:fill="auto"/>
            <w:noWrap/>
            <w:vAlign w:val="center"/>
            <w:hideMark/>
          </w:tcPr>
          <w:p w14:paraId="125648FC" w14:textId="77777777" w:rsidR="00F545EF" w:rsidRPr="00503F5B" w:rsidRDefault="00F545EF" w:rsidP="00970CBA">
            <w:pPr>
              <w:rPr>
                <w:sz w:val="20"/>
                <w:szCs w:val="20"/>
                <w:lang w:val="en-AU"/>
              </w:rPr>
            </w:pPr>
            <w:r w:rsidRPr="00503F5B">
              <w:rPr>
                <w:b/>
                <w:i/>
                <w:sz w:val="20"/>
                <w:szCs w:val="20"/>
                <w:lang w:val="en-AU"/>
              </w:rPr>
              <w:t>Without</w:t>
            </w:r>
            <w:r w:rsidRPr="00503F5B">
              <w:rPr>
                <w:sz w:val="20"/>
                <w:szCs w:val="20"/>
                <w:lang w:val="en-AU"/>
              </w:rPr>
              <w:t xml:space="preserve"> reasonable excuse</w:t>
            </w:r>
          </w:p>
        </w:tc>
        <w:tc>
          <w:tcPr>
            <w:tcW w:w="1418" w:type="dxa"/>
            <w:tcBorders>
              <w:top w:val="double" w:sz="4" w:space="0" w:color="ED7C5D"/>
            </w:tcBorders>
            <w:shd w:val="clear" w:color="auto" w:fill="auto"/>
            <w:noWrap/>
            <w:vAlign w:val="center"/>
            <w:hideMark/>
          </w:tcPr>
          <w:p w14:paraId="133AB667" w14:textId="77777777" w:rsidR="00F545EF" w:rsidRPr="00503F5B" w:rsidRDefault="00F545EF" w:rsidP="00970CBA">
            <w:pPr>
              <w:ind w:left="19"/>
              <w:jc w:val="right"/>
              <w:rPr>
                <w:sz w:val="20"/>
                <w:szCs w:val="20"/>
                <w:lang w:val="en-AU"/>
              </w:rPr>
            </w:pPr>
            <w:r w:rsidRPr="00503F5B">
              <w:rPr>
                <w:rFonts w:cs="Calibri"/>
                <w:sz w:val="20"/>
                <w:szCs w:val="20"/>
                <w:lang w:val="en-AU"/>
              </w:rPr>
              <w:t>$57,037,000</w:t>
            </w:r>
          </w:p>
        </w:tc>
        <w:tc>
          <w:tcPr>
            <w:tcW w:w="1447" w:type="dxa"/>
            <w:tcBorders>
              <w:top w:val="double" w:sz="4" w:space="0" w:color="ED7C5D"/>
            </w:tcBorders>
            <w:shd w:val="clear" w:color="auto" w:fill="auto"/>
            <w:noWrap/>
            <w:vAlign w:val="center"/>
            <w:hideMark/>
          </w:tcPr>
          <w:p w14:paraId="4E745280" w14:textId="130898E8" w:rsidR="00F545EF" w:rsidRPr="00503F5B" w:rsidRDefault="00F545EF" w:rsidP="00970CBA">
            <w:pPr>
              <w:jc w:val="right"/>
              <w:rPr>
                <w:sz w:val="20"/>
                <w:szCs w:val="20"/>
                <w:lang w:val="en-AU"/>
              </w:rPr>
            </w:pPr>
            <w:r w:rsidRPr="00503F5B">
              <w:rPr>
                <w:rFonts w:cs="Calibri"/>
                <w:sz w:val="20"/>
                <w:szCs w:val="20"/>
                <w:lang w:val="en-AU"/>
              </w:rPr>
              <w:t>22,431</w:t>
            </w:r>
          </w:p>
        </w:tc>
        <w:tc>
          <w:tcPr>
            <w:tcW w:w="993" w:type="dxa"/>
            <w:tcBorders>
              <w:top w:val="double" w:sz="4" w:space="0" w:color="ED7C5D"/>
            </w:tcBorders>
            <w:shd w:val="clear" w:color="auto" w:fill="auto"/>
            <w:noWrap/>
            <w:vAlign w:val="center"/>
            <w:hideMark/>
          </w:tcPr>
          <w:p w14:paraId="5F8DE478" w14:textId="77777777" w:rsidR="00F545EF" w:rsidRPr="00503F5B" w:rsidRDefault="00F545EF" w:rsidP="00970CBA">
            <w:pPr>
              <w:jc w:val="right"/>
              <w:rPr>
                <w:sz w:val="20"/>
                <w:szCs w:val="20"/>
                <w:lang w:val="en-AU"/>
              </w:rPr>
            </w:pPr>
            <w:r w:rsidRPr="00503F5B">
              <w:rPr>
                <w:rFonts w:cs="Calibri"/>
                <w:sz w:val="20"/>
                <w:szCs w:val="20"/>
                <w:lang w:val="en-AU"/>
              </w:rPr>
              <w:t>$310.88</w:t>
            </w:r>
          </w:p>
        </w:tc>
        <w:tc>
          <w:tcPr>
            <w:tcW w:w="1276" w:type="dxa"/>
            <w:tcBorders>
              <w:top w:val="double" w:sz="4" w:space="0" w:color="ED7C5D"/>
            </w:tcBorders>
            <w:shd w:val="clear" w:color="auto" w:fill="auto"/>
            <w:noWrap/>
            <w:vAlign w:val="center"/>
            <w:hideMark/>
          </w:tcPr>
          <w:p w14:paraId="6182C5FB" w14:textId="2E330787" w:rsidR="00F545EF" w:rsidRPr="00503F5B" w:rsidRDefault="00F545EF" w:rsidP="00970CBA">
            <w:pPr>
              <w:ind w:left="-49"/>
              <w:jc w:val="right"/>
              <w:rPr>
                <w:sz w:val="20"/>
                <w:szCs w:val="20"/>
                <w:lang w:val="en-AU"/>
              </w:rPr>
            </w:pPr>
            <w:r w:rsidRPr="00503F5B">
              <w:rPr>
                <w:rFonts w:cs="Calibri"/>
                <w:sz w:val="20"/>
                <w:szCs w:val="20"/>
                <w:lang w:val="en-AU"/>
              </w:rPr>
              <w:t>$6,973,337</w:t>
            </w:r>
          </w:p>
        </w:tc>
        <w:tc>
          <w:tcPr>
            <w:tcW w:w="1245" w:type="dxa"/>
            <w:tcBorders>
              <w:top w:val="double" w:sz="4" w:space="0" w:color="ED7C5D"/>
            </w:tcBorders>
            <w:shd w:val="clear" w:color="auto" w:fill="auto"/>
            <w:noWrap/>
            <w:vAlign w:val="center"/>
            <w:hideMark/>
          </w:tcPr>
          <w:p w14:paraId="70F207B8" w14:textId="5F1A66ED" w:rsidR="00F545EF" w:rsidRPr="00503F5B" w:rsidRDefault="00F545EF" w:rsidP="00970CBA">
            <w:pPr>
              <w:ind w:left="24" w:hanging="24"/>
              <w:jc w:val="right"/>
              <w:rPr>
                <w:b/>
                <w:i/>
                <w:sz w:val="20"/>
                <w:szCs w:val="20"/>
                <w:lang w:val="en-AU"/>
              </w:rPr>
            </w:pPr>
            <w:r w:rsidRPr="00503F5B">
              <w:rPr>
                <w:rFonts w:cs="Calibri"/>
                <w:b/>
                <w:bCs/>
                <w:i/>
                <w:iCs/>
                <w:sz w:val="20"/>
                <w:szCs w:val="20"/>
                <w:lang w:val="en-AU"/>
              </w:rPr>
              <w:t>12.23%</w:t>
            </w:r>
          </w:p>
        </w:tc>
      </w:tr>
      <w:tr w:rsidR="00F545EF" w:rsidRPr="00503F5B" w14:paraId="491F1998" w14:textId="77777777" w:rsidTr="00970CBA">
        <w:trPr>
          <w:trHeight w:val="320"/>
          <w:jc w:val="right"/>
        </w:trPr>
        <w:tc>
          <w:tcPr>
            <w:tcW w:w="1134" w:type="dxa"/>
            <w:tcBorders>
              <w:bottom w:val="single" w:sz="4" w:space="0" w:color="ED7C5D"/>
            </w:tcBorders>
            <w:noWrap/>
            <w:vAlign w:val="center"/>
            <w:hideMark/>
          </w:tcPr>
          <w:p w14:paraId="1529A02D" w14:textId="77777777" w:rsidR="00F545EF" w:rsidRPr="00503F5B" w:rsidRDefault="00F545EF" w:rsidP="00970CBA">
            <w:pPr>
              <w:rPr>
                <w:sz w:val="20"/>
                <w:szCs w:val="20"/>
                <w:lang w:val="en-AU"/>
              </w:rPr>
            </w:pPr>
            <w:r w:rsidRPr="00503F5B">
              <w:rPr>
                <w:b/>
                <w:i/>
                <w:sz w:val="20"/>
                <w:szCs w:val="20"/>
                <w:lang w:val="en-AU"/>
              </w:rPr>
              <w:t xml:space="preserve">With </w:t>
            </w:r>
            <w:r w:rsidRPr="00503F5B">
              <w:rPr>
                <w:sz w:val="20"/>
                <w:szCs w:val="20"/>
                <w:lang w:val="en-AU"/>
              </w:rPr>
              <w:t>reasonable excuse</w:t>
            </w:r>
          </w:p>
        </w:tc>
        <w:tc>
          <w:tcPr>
            <w:tcW w:w="1418" w:type="dxa"/>
            <w:tcBorders>
              <w:bottom w:val="single" w:sz="4" w:space="0" w:color="ED7C5D"/>
            </w:tcBorders>
            <w:noWrap/>
            <w:vAlign w:val="center"/>
            <w:hideMark/>
          </w:tcPr>
          <w:p w14:paraId="78F292A5" w14:textId="77777777" w:rsidR="00F545EF" w:rsidRPr="00503F5B" w:rsidRDefault="00F545EF" w:rsidP="00970CBA">
            <w:pPr>
              <w:ind w:left="19"/>
              <w:jc w:val="right"/>
              <w:rPr>
                <w:sz w:val="20"/>
                <w:szCs w:val="20"/>
                <w:lang w:val="en-AU"/>
              </w:rPr>
            </w:pPr>
            <w:r w:rsidRPr="00503F5B">
              <w:rPr>
                <w:rFonts w:cs="Calibri"/>
                <w:sz w:val="20"/>
                <w:szCs w:val="20"/>
                <w:lang w:val="en-AU"/>
              </w:rPr>
              <w:t>$66,725,647</w:t>
            </w:r>
          </w:p>
        </w:tc>
        <w:tc>
          <w:tcPr>
            <w:tcW w:w="1447" w:type="dxa"/>
            <w:tcBorders>
              <w:bottom w:val="single" w:sz="4" w:space="0" w:color="ED7C5D"/>
            </w:tcBorders>
            <w:noWrap/>
            <w:vAlign w:val="center"/>
            <w:hideMark/>
          </w:tcPr>
          <w:p w14:paraId="0CF0BBE8" w14:textId="77777777" w:rsidR="00F545EF" w:rsidRPr="00503F5B" w:rsidRDefault="00F545EF" w:rsidP="00970CBA">
            <w:pPr>
              <w:jc w:val="right"/>
              <w:rPr>
                <w:sz w:val="20"/>
                <w:szCs w:val="20"/>
                <w:lang w:val="en-AU"/>
              </w:rPr>
            </w:pPr>
            <w:r w:rsidRPr="00503F5B">
              <w:rPr>
                <w:rFonts w:cs="Calibri"/>
                <w:sz w:val="20"/>
                <w:szCs w:val="20"/>
                <w:lang w:val="en-AU"/>
              </w:rPr>
              <w:t>N/A</w:t>
            </w:r>
          </w:p>
        </w:tc>
        <w:tc>
          <w:tcPr>
            <w:tcW w:w="993" w:type="dxa"/>
            <w:tcBorders>
              <w:bottom w:val="single" w:sz="4" w:space="0" w:color="ED7C5D"/>
            </w:tcBorders>
            <w:noWrap/>
            <w:vAlign w:val="center"/>
            <w:hideMark/>
          </w:tcPr>
          <w:p w14:paraId="0A655F6B" w14:textId="77777777" w:rsidR="00F545EF" w:rsidRPr="00503F5B" w:rsidRDefault="00F545EF" w:rsidP="00970CBA">
            <w:pPr>
              <w:jc w:val="right"/>
              <w:rPr>
                <w:sz w:val="20"/>
                <w:szCs w:val="20"/>
                <w:lang w:val="en-AU"/>
              </w:rPr>
            </w:pPr>
            <w:r w:rsidRPr="00503F5B">
              <w:rPr>
                <w:rFonts w:cs="Calibri"/>
                <w:sz w:val="20"/>
                <w:szCs w:val="20"/>
                <w:lang w:val="en-AU"/>
              </w:rPr>
              <w:t>N/A</w:t>
            </w:r>
          </w:p>
        </w:tc>
        <w:tc>
          <w:tcPr>
            <w:tcW w:w="1276" w:type="dxa"/>
            <w:tcBorders>
              <w:bottom w:val="single" w:sz="4" w:space="0" w:color="ED7C5D"/>
            </w:tcBorders>
            <w:noWrap/>
            <w:vAlign w:val="center"/>
            <w:hideMark/>
          </w:tcPr>
          <w:p w14:paraId="6E0A3ED2" w14:textId="77777777" w:rsidR="00F545EF" w:rsidRPr="00503F5B" w:rsidRDefault="00F545EF" w:rsidP="00970CBA">
            <w:pPr>
              <w:ind w:left="-49"/>
              <w:jc w:val="right"/>
              <w:rPr>
                <w:sz w:val="20"/>
                <w:szCs w:val="20"/>
                <w:lang w:val="en-AU"/>
              </w:rPr>
            </w:pPr>
            <w:r w:rsidRPr="00503F5B">
              <w:rPr>
                <w:rFonts w:cs="Calibri"/>
                <w:sz w:val="20"/>
                <w:szCs w:val="20"/>
                <w:lang w:val="en-AU"/>
              </w:rPr>
              <w:t>N/A</w:t>
            </w:r>
          </w:p>
        </w:tc>
        <w:tc>
          <w:tcPr>
            <w:tcW w:w="1245" w:type="dxa"/>
            <w:tcBorders>
              <w:bottom w:val="single" w:sz="4" w:space="0" w:color="ED7C5D"/>
            </w:tcBorders>
            <w:noWrap/>
            <w:vAlign w:val="center"/>
            <w:hideMark/>
          </w:tcPr>
          <w:p w14:paraId="1A18EBE9" w14:textId="77777777" w:rsidR="00F545EF" w:rsidRPr="00503F5B" w:rsidRDefault="00F545EF" w:rsidP="00970CBA">
            <w:pPr>
              <w:ind w:left="24" w:hanging="24"/>
              <w:jc w:val="right"/>
              <w:rPr>
                <w:sz w:val="20"/>
                <w:szCs w:val="20"/>
                <w:lang w:val="en-AU"/>
              </w:rPr>
            </w:pPr>
            <w:r w:rsidRPr="00503F5B">
              <w:rPr>
                <w:rFonts w:cs="Calibri"/>
                <w:sz w:val="20"/>
                <w:szCs w:val="20"/>
                <w:lang w:val="en-AU"/>
              </w:rPr>
              <w:t>N//A</w:t>
            </w:r>
          </w:p>
        </w:tc>
      </w:tr>
      <w:tr w:rsidR="00F545EF" w:rsidRPr="00503F5B" w14:paraId="49A29A9E" w14:textId="77777777" w:rsidTr="00970CBA">
        <w:trPr>
          <w:trHeight w:val="221"/>
          <w:jc w:val="right"/>
        </w:trPr>
        <w:tc>
          <w:tcPr>
            <w:tcW w:w="1134" w:type="dxa"/>
            <w:tcBorders>
              <w:top w:val="single" w:sz="4" w:space="0" w:color="ED7C5D"/>
              <w:bottom w:val="single" w:sz="4" w:space="0" w:color="ED7C5D"/>
            </w:tcBorders>
            <w:noWrap/>
            <w:vAlign w:val="center"/>
            <w:hideMark/>
          </w:tcPr>
          <w:p w14:paraId="4925AECA" w14:textId="77777777" w:rsidR="00F545EF" w:rsidRPr="00503F5B" w:rsidRDefault="00F545EF" w:rsidP="00970CBA">
            <w:pPr>
              <w:rPr>
                <w:b/>
                <w:color w:val="000000" w:themeColor="text1"/>
                <w:sz w:val="20"/>
                <w:szCs w:val="20"/>
                <w:lang w:val="en-AU"/>
              </w:rPr>
            </w:pPr>
            <w:r w:rsidRPr="00503F5B">
              <w:rPr>
                <w:b/>
                <w:color w:val="000000" w:themeColor="text1"/>
                <w:sz w:val="20"/>
                <w:szCs w:val="20"/>
                <w:lang w:val="en-AU"/>
              </w:rPr>
              <w:t>Total</w:t>
            </w:r>
          </w:p>
        </w:tc>
        <w:tc>
          <w:tcPr>
            <w:tcW w:w="1418" w:type="dxa"/>
            <w:tcBorders>
              <w:top w:val="single" w:sz="4" w:space="0" w:color="ED7C5D"/>
              <w:bottom w:val="single" w:sz="4" w:space="0" w:color="ED7C5D"/>
            </w:tcBorders>
            <w:noWrap/>
            <w:vAlign w:val="center"/>
            <w:hideMark/>
          </w:tcPr>
          <w:p w14:paraId="45AF5BAA" w14:textId="77777777" w:rsidR="00F545EF" w:rsidRPr="00503F5B" w:rsidRDefault="00F545EF" w:rsidP="00970CBA">
            <w:pPr>
              <w:ind w:left="19"/>
              <w:jc w:val="right"/>
              <w:rPr>
                <w:b/>
                <w:color w:val="000000" w:themeColor="text1"/>
                <w:sz w:val="20"/>
                <w:szCs w:val="20"/>
                <w:lang w:val="en-AU"/>
              </w:rPr>
            </w:pPr>
            <w:r w:rsidRPr="00503F5B">
              <w:rPr>
                <w:rFonts w:cs="Calibri"/>
                <w:b/>
                <w:bCs/>
                <w:color w:val="000000" w:themeColor="text1"/>
                <w:sz w:val="20"/>
                <w:szCs w:val="20"/>
                <w:lang w:val="en-AU"/>
              </w:rPr>
              <w:t>$123,762,646</w:t>
            </w:r>
          </w:p>
        </w:tc>
        <w:tc>
          <w:tcPr>
            <w:tcW w:w="1447" w:type="dxa"/>
            <w:tcBorders>
              <w:top w:val="single" w:sz="4" w:space="0" w:color="ED7C5D"/>
              <w:bottom w:val="single" w:sz="4" w:space="0" w:color="ED7C5D"/>
            </w:tcBorders>
            <w:noWrap/>
            <w:vAlign w:val="center"/>
            <w:hideMark/>
          </w:tcPr>
          <w:p w14:paraId="735C7241" w14:textId="77777777" w:rsidR="00F545EF" w:rsidRPr="00503F5B" w:rsidRDefault="00F545EF" w:rsidP="00970CBA">
            <w:pPr>
              <w:jc w:val="right"/>
              <w:rPr>
                <w:b/>
                <w:color w:val="000000" w:themeColor="text1"/>
                <w:sz w:val="20"/>
                <w:szCs w:val="20"/>
                <w:lang w:val="en-AU"/>
              </w:rPr>
            </w:pPr>
            <w:r w:rsidRPr="00503F5B">
              <w:rPr>
                <w:rFonts w:cs="Calibri"/>
                <w:lang w:val="en-AU"/>
              </w:rPr>
              <w:t> </w:t>
            </w:r>
          </w:p>
        </w:tc>
        <w:tc>
          <w:tcPr>
            <w:tcW w:w="993" w:type="dxa"/>
            <w:tcBorders>
              <w:top w:val="single" w:sz="4" w:space="0" w:color="ED7C5D"/>
              <w:bottom w:val="single" w:sz="4" w:space="0" w:color="ED7C5D"/>
            </w:tcBorders>
            <w:noWrap/>
            <w:vAlign w:val="center"/>
            <w:hideMark/>
          </w:tcPr>
          <w:p w14:paraId="3C981E3A" w14:textId="77777777" w:rsidR="00F545EF" w:rsidRPr="00503F5B" w:rsidRDefault="00F545EF" w:rsidP="00970CBA">
            <w:pPr>
              <w:jc w:val="right"/>
              <w:rPr>
                <w:b/>
                <w:color w:val="000000" w:themeColor="text1"/>
                <w:sz w:val="20"/>
                <w:szCs w:val="20"/>
                <w:lang w:val="en-AU"/>
              </w:rPr>
            </w:pPr>
            <w:r w:rsidRPr="00503F5B">
              <w:rPr>
                <w:rFonts w:cs="Calibri"/>
                <w:lang w:val="en-AU"/>
              </w:rPr>
              <w:t> </w:t>
            </w:r>
          </w:p>
        </w:tc>
        <w:tc>
          <w:tcPr>
            <w:tcW w:w="1276" w:type="dxa"/>
            <w:tcBorders>
              <w:top w:val="single" w:sz="4" w:space="0" w:color="ED7C5D"/>
              <w:bottom w:val="single" w:sz="4" w:space="0" w:color="ED7C5D"/>
            </w:tcBorders>
            <w:noWrap/>
            <w:vAlign w:val="center"/>
            <w:hideMark/>
          </w:tcPr>
          <w:p w14:paraId="32CC5F3A" w14:textId="30280E9A" w:rsidR="00F545EF" w:rsidRPr="00503F5B" w:rsidRDefault="00F545EF" w:rsidP="00970CBA">
            <w:pPr>
              <w:ind w:left="-49"/>
              <w:jc w:val="right"/>
              <w:rPr>
                <w:b/>
                <w:color w:val="000000" w:themeColor="text1"/>
                <w:sz w:val="20"/>
                <w:szCs w:val="20"/>
                <w:lang w:val="en-AU"/>
              </w:rPr>
            </w:pPr>
            <w:r w:rsidRPr="00503F5B">
              <w:rPr>
                <w:rFonts w:cs="Calibri"/>
                <w:b/>
                <w:bCs/>
                <w:color w:val="000000" w:themeColor="text1"/>
                <w:sz w:val="20"/>
                <w:szCs w:val="20"/>
                <w:lang w:val="en-AU"/>
              </w:rPr>
              <w:t>$6,973,337</w:t>
            </w:r>
          </w:p>
        </w:tc>
        <w:tc>
          <w:tcPr>
            <w:tcW w:w="1245" w:type="dxa"/>
            <w:tcBorders>
              <w:top w:val="single" w:sz="4" w:space="0" w:color="ED7C5D"/>
              <w:bottom w:val="single" w:sz="4" w:space="0" w:color="ED7C5D"/>
            </w:tcBorders>
            <w:noWrap/>
            <w:vAlign w:val="center"/>
            <w:hideMark/>
          </w:tcPr>
          <w:p w14:paraId="656E0AD6" w14:textId="70B79865" w:rsidR="00F545EF" w:rsidRPr="00503F5B" w:rsidRDefault="00F545EF" w:rsidP="00970CBA">
            <w:pPr>
              <w:ind w:left="24" w:hanging="24"/>
              <w:jc w:val="right"/>
              <w:rPr>
                <w:b/>
                <w:color w:val="000000" w:themeColor="text1"/>
                <w:sz w:val="20"/>
                <w:szCs w:val="20"/>
                <w:lang w:val="en-AU"/>
              </w:rPr>
            </w:pPr>
            <w:r w:rsidRPr="00503F5B">
              <w:rPr>
                <w:rFonts w:cs="Calibri"/>
                <w:b/>
                <w:bCs/>
                <w:color w:val="000000" w:themeColor="text1"/>
                <w:sz w:val="20"/>
                <w:szCs w:val="20"/>
                <w:lang w:val="en-AU"/>
              </w:rPr>
              <w:t>5.67%</w:t>
            </w:r>
          </w:p>
        </w:tc>
      </w:tr>
    </w:tbl>
    <w:p w14:paraId="7F18D94E" w14:textId="77777777" w:rsidR="00C62545" w:rsidRPr="00503F5B" w:rsidRDefault="00C62545" w:rsidP="00BF7D9C">
      <w:pPr>
        <w:ind w:left="709"/>
        <w:jc w:val="both"/>
      </w:pPr>
    </w:p>
    <w:p w14:paraId="2D69F995" w14:textId="575F8E7B" w:rsidR="00F545EF" w:rsidRPr="00503F5B" w:rsidRDefault="00F545EF" w:rsidP="00F545EF">
      <w:pPr>
        <w:ind w:left="709"/>
        <w:jc w:val="both"/>
      </w:pPr>
      <w:r w:rsidRPr="00503F5B">
        <w:t>Option 3 has been chosen on the basis of considering both the need to recover costs at current levels, as well as</w:t>
      </w:r>
      <w:r w:rsidR="00394A0E" w:rsidRPr="00503F5B">
        <w:t xml:space="preserve"> </w:t>
      </w:r>
      <w:r w:rsidRPr="00503F5B">
        <w:t xml:space="preserve">the need to </w:t>
      </w:r>
      <w:r w:rsidRPr="00503F5B">
        <w:rPr>
          <w:i/>
        </w:rPr>
        <w:t>strike a ‘better’ balance</w:t>
      </w:r>
      <w:r w:rsidRPr="00503F5B">
        <w:t xml:space="preserve"> between encouraging </w:t>
      </w:r>
      <w:r w:rsidRPr="00503F5B">
        <w:lastRenderedPageBreak/>
        <w:t>owners of alarm systems to proactively manage and maintain their systems, on one hand, and</w:t>
      </w:r>
      <w:r w:rsidR="00394A0E" w:rsidRPr="00503F5B">
        <w:t xml:space="preserve"> guarding against unintended consequences in terms of potential</w:t>
      </w:r>
      <w:r w:rsidRPr="00503F5B">
        <w:t xml:space="preserve"> alarm </w:t>
      </w:r>
      <w:r w:rsidR="00FC7E51" w:rsidRPr="00503F5B">
        <w:t xml:space="preserve">circumvention </w:t>
      </w:r>
      <w:r w:rsidRPr="00503F5B">
        <w:t xml:space="preserve">and </w:t>
      </w:r>
      <w:r w:rsidR="00FC7E51" w:rsidRPr="00503F5B">
        <w:t xml:space="preserve">unmeritorious </w:t>
      </w:r>
      <w:r w:rsidRPr="00503F5B">
        <w:t>VCAT challenge activities by setting a fee that is too high, as discussed in Section 2.3.3 in this RIS.</w:t>
      </w:r>
    </w:p>
    <w:p w14:paraId="59C26C02" w14:textId="77777777" w:rsidR="00F545EF" w:rsidRPr="00503F5B" w:rsidRDefault="00F545EF" w:rsidP="00F545EF">
      <w:pPr>
        <w:ind w:left="709"/>
        <w:jc w:val="both"/>
      </w:pPr>
    </w:p>
    <w:p w14:paraId="1D9BA175" w14:textId="6708E8BA" w:rsidR="00091F5A" w:rsidRPr="00503F5B" w:rsidRDefault="00091F5A" w:rsidP="00BF7D9C">
      <w:pPr>
        <w:ind w:left="709"/>
        <w:jc w:val="both"/>
      </w:pPr>
      <w:proofErr w:type="gramStart"/>
      <w:r w:rsidRPr="00503F5B">
        <w:t>Option 3,</w:t>
      </w:r>
      <w:proofErr w:type="gramEnd"/>
      <w:r w:rsidRPr="00503F5B">
        <w:t xml:space="preserve"> represents a move away from full cost recovery (as compared to Option 2).  However, as discussed in section </w:t>
      </w:r>
      <w:r w:rsidR="003E489B" w:rsidRPr="00503F5B">
        <w:t>2.3.3</w:t>
      </w:r>
      <w:r w:rsidR="00D57788" w:rsidRPr="00503F5B">
        <w:t>.</w:t>
      </w:r>
      <w:r w:rsidRPr="00503F5B">
        <w:t xml:space="preserve">1 of this RIS, even at the current fees of $578.48 for MFB </w:t>
      </w:r>
      <w:r w:rsidR="0005387E" w:rsidRPr="00503F5B">
        <w:t xml:space="preserve">and </w:t>
      </w:r>
      <w:r w:rsidRPr="00503F5B">
        <w:t>$584.25 for CFA integrated stations, there is still a potential risk</w:t>
      </w:r>
      <w:r w:rsidR="00D57788" w:rsidRPr="00503F5B">
        <w:t xml:space="preserve"> </w:t>
      </w:r>
      <w:r w:rsidR="00FC7E51" w:rsidRPr="00503F5B">
        <w:t>of circumvention</w:t>
      </w:r>
      <w:r w:rsidRPr="00503F5B">
        <w:t>.</w:t>
      </w:r>
    </w:p>
    <w:p w14:paraId="593B11E5" w14:textId="4A2A60F2" w:rsidR="00091F5A" w:rsidRPr="00503F5B" w:rsidRDefault="00091F5A" w:rsidP="00BF7D9C">
      <w:pPr>
        <w:ind w:left="709"/>
        <w:jc w:val="both"/>
      </w:pPr>
    </w:p>
    <w:p w14:paraId="5161348B" w14:textId="616DF9EC" w:rsidR="00BF7D9C" w:rsidRPr="00503F5B" w:rsidRDefault="00BF7D9C" w:rsidP="00091F5A">
      <w:pPr>
        <w:ind w:left="709"/>
        <w:jc w:val="both"/>
      </w:pPr>
      <w:r w:rsidRPr="00503F5B">
        <w:t>For this reason, the fee of $</w:t>
      </w:r>
      <w:r w:rsidR="00091F5A" w:rsidRPr="00503F5B">
        <w:t>311</w:t>
      </w:r>
      <w:r w:rsidRPr="00503F5B">
        <w:t xml:space="preserve"> </w:t>
      </w:r>
      <w:r w:rsidR="007F13D1" w:rsidRPr="00503F5B">
        <w:t xml:space="preserve">with a maximum level of $1,600 </w:t>
      </w:r>
      <w:r w:rsidRPr="00503F5B">
        <w:t>has been</w:t>
      </w:r>
      <w:r w:rsidR="0005387E" w:rsidRPr="00503F5B">
        <w:t xml:space="preserve"> considered</w:t>
      </w:r>
      <w:r w:rsidRPr="00503F5B">
        <w:t xml:space="preserve"> according to the logic that this</w:t>
      </w:r>
      <w:r w:rsidR="00091F5A" w:rsidRPr="00503F5B">
        <w:t xml:space="preserve"> is likely to further</w:t>
      </w:r>
      <w:r w:rsidRPr="00503F5B">
        <w:t xml:space="preserve"> reduce the likelihood of any risks of circumvention and </w:t>
      </w:r>
      <w:r w:rsidR="006A2F8A" w:rsidRPr="00503F5B">
        <w:t xml:space="preserve">unmeritorious </w:t>
      </w:r>
      <w:r w:rsidRPr="00503F5B">
        <w:t>VCAT challenges</w:t>
      </w:r>
      <w:r w:rsidR="007F13D1" w:rsidRPr="00503F5B">
        <w:t xml:space="preserve">.  </w:t>
      </w:r>
      <w:proofErr w:type="gramStart"/>
      <w:r w:rsidR="007F13D1" w:rsidRPr="00503F5B">
        <w:t>That is to say Option</w:t>
      </w:r>
      <w:proofErr w:type="gramEnd"/>
      <w:r w:rsidR="007F13D1" w:rsidRPr="00503F5B">
        <w:t xml:space="preserve"> 3, </w:t>
      </w:r>
      <w:r w:rsidR="00394A0E" w:rsidRPr="00503F5B">
        <w:t xml:space="preserve">may </w:t>
      </w:r>
      <w:r w:rsidR="007F13D1" w:rsidRPr="00503F5B">
        <w:t xml:space="preserve">reduce the incentive for rewiring </w:t>
      </w:r>
      <w:r w:rsidR="00E91CDD" w:rsidRPr="00503F5B">
        <w:t xml:space="preserve">as compared to the current fee </w:t>
      </w:r>
      <w:r w:rsidR="007F13D1" w:rsidRPr="00503F5B">
        <w:t>of $578.48 per quarter hour or around $</w:t>
      </w:r>
      <w:r w:rsidR="00EA293C" w:rsidRPr="00503F5B">
        <w:t>2</w:t>
      </w:r>
      <w:r w:rsidR="007F13D1" w:rsidRPr="00503F5B">
        <w:t>,</w:t>
      </w:r>
      <w:r w:rsidR="00EA293C" w:rsidRPr="00503F5B">
        <w:t>977</w:t>
      </w:r>
      <w:r w:rsidR="007F13D1" w:rsidRPr="00503F5B">
        <w:t xml:space="preserve"> on average per attendance</w:t>
      </w:r>
      <w:r w:rsidR="00E91CDD" w:rsidRPr="00503F5B">
        <w:t>)</w:t>
      </w:r>
      <w:r w:rsidRPr="00503F5B">
        <w:t>.</w:t>
      </w:r>
      <w:r w:rsidRPr="00503F5B" w:rsidDel="008D5292">
        <w:t xml:space="preserve"> </w:t>
      </w:r>
    </w:p>
    <w:p w14:paraId="19299316" w14:textId="77777777" w:rsidR="00BF7D9C" w:rsidRPr="00503F5B" w:rsidRDefault="00BF7D9C" w:rsidP="00BF7D9C">
      <w:pPr>
        <w:ind w:left="709"/>
        <w:jc w:val="both"/>
      </w:pPr>
    </w:p>
    <w:p w14:paraId="6AFC7D9E" w14:textId="0110DF3B" w:rsidR="00BF7D9C" w:rsidRPr="00503F5B" w:rsidRDefault="00BF7D9C" w:rsidP="00BF7D9C">
      <w:pPr>
        <w:ind w:left="709"/>
        <w:jc w:val="both"/>
      </w:pPr>
      <w:r w:rsidRPr="00503F5B">
        <w:t xml:space="preserve">As shown in Table </w:t>
      </w:r>
      <w:r w:rsidR="00091F5A" w:rsidRPr="00503F5B">
        <w:t>2</w:t>
      </w:r>
      <w:r w:rsidR="00E91CDD" w:rsidRPr="00503F5B">
        <w:t>0</w:t>
      </w:r>
      <w:r w:rsidRPr="00503F5B">
        <w:t xml:space="preserve">, Option </w:t>
      </w:r>
      <w:r w:rsidR="00F545EF" w:rsidRPr="00503F5B">
        <w:t>3</w:t>
      </w:r>
      <w:r w:rsidRPr="00503F5B">
        <w:t xml:space="preserve"> recovers approximately </w:t>
      </w:r>
      <w:r w:rsidR="00E91CDD" w:rsidRPr="00503F5B">
        <w:rPr>
          <w:b/>
          <w:i/>
        </w:rPr>
        <w:t>12</w:t>
      </w:r>
      <w:r w:rsidRPr="00503F5B">
        <w:rPr>
          <w:b/>
          <w:i/>
        </w:rPr>
        <w:t>.</w:t>
      </w:r>
      <w:r w:rsidR="00F545EF" w:rsidRPr="00503F5B">
        <w:rPr>
          <w:b/>
          <w:i/>
        </w:rPr>
        <w:t>23</w:t>
      </w:r>
      <w:r w:rsidRPr="00503F5B">
        <w:rPr>
          <w:b/>
          <w:i/>
        </w:rPr>
        <w:t xml:space="preserve"> per cent</w:t>
      </w:r>
      <w:r w:rsidRPr="00503F5B">
        <w:t xml:space="preserve"> of all costs incurred by false alarm attendances where it is determined by FRV that there is no reasonable excuse by charging owners of alarm systems </w:t>
      </w:r>
      <w:r w:rsidR="00E91CDD" w:rsidRPr="00503F5B">
        <w:t>12</w:t>
      </w:r>
      <w:r w:rsidRPr="00503F5B">
        <w:t>.</w:t>
      </w:r>
      <w:r w:rsidR="00E91CDD" w:rsidRPr="00503F5B">
        <w:t>3</w:t>
      </w:r>
      <w:r w:rsidR="00480EA1" w:rsidRPr="00503F5B">
        <w:t>9</w:t>
      </w:r>
      <w:r w:rsidRPr="00503F5B">
        <w:t xml:space="preserve"> per cent of the quarterly hour cost per appliance</w:t>
      </w:r>
      <w:r w:rsidR="00F545EF" w:rsidRPr="00503F5B">
        <w:t xml:space="preserve"> with a maximum fee of $1,600</w:t>
      </w:r>
      <w:r w:rsidRPr="00503F5B">
        <w:t>.</w:t>
      </w:r>
    </w:p>
    <w:p w14:paraId="1967655B" w14:textId="77777777" w:rsidR="00BB4FE1" w:rsidRPr="00503F5B" w:rsidRDefault="00BB4FE1" w:rsidP="001D51D6">
      <w:pPr>
        <w:jc w:val="both"/>
        <w:rPr>
          <w:b/>
          <w:i/>
        </w:rPr>
      </w:pPr>
    </w:p>
    <w:p w14:paraId="7FF14827" w14:textId="6BD3F25F" w:rsidR="00C64358" w:rsidRPr="00503F5B" w:rsidRDefault="00C64358" w:rsidP="00F8688E">
      <w:pPr>
        <w:pStyle w:val="ListParagraph"/>
        <w:numPr>
          <w:ilvl w:val="0"/>
          <w:numId w:val="5"/>
        </w:numPr>
        <w:ind w:left="709" w:hanging="425"/>
        <w:jc w:val="both"/>
      </w:pPr>
      <w:r w:rsidRPr="00503F5B">
        <w:rPr>
          <w:b/>
          <w:i/>
        </w:rPr>
        <w:t xml:space="preserve">Option </w:t>
      </w:r>
      <w:r w:rsidR="00F8688E" w:rsidRPr="00503F5B">
        <w:rPr>
          <w:b/>
          <w:i/>
        </w:rPr>
        <w:t>4</w:t>
      </w:r>
      <w:r w:rsidRPr="00503F5B">
        <w:rPr>
          <w:b/>
          <w:i/>
        </w:rPr>
        <w:t>:</w:t>
      </w:r>
      <w:r w:rsidRPr="00503F5B">
        <w:t xml:space="preserve"> Partial cost recovery </w:t>
      </w:r>
      <w:r w:rsidRPr="00503F5B">
        <w:rPr>
          <w:i/>
        </w:rPr>
        <w:t>fixed fees</w:t>
      </w:r>
      <w:r w:rsidR="007F13D1" w:rsidRPr="00503F5B">
        <w:rPr>
          <w:i/>
        </w:rPr>
        <w:t xml:space="preserve"> of $1,600</w:t>
      </w:r>
      <w:r w:rsidRPr="00503F5B">
        <w:t xml:space="preserve"> per </w:t>
      </w:r>
      <w:r w:rsidR="007F13D1" w:rsidRPr="00503F5B">
        <w:t xml:space="preserve">false alarm </w:t>
      </w:r>
      <w:r w:rsidRPr="00503F5B">
        <w:t xml:space="preserve">attendance </w:t>
      </w:r>
      <w:r w:rsidR="007F13D1" w:rsidRPr="00503F5B">
        <w:t xml:space="preserve">where they are </w:t>
      </w:r>
      <w:r w:rsidRPr="00503F5B">
        <w:t>deemed not to have a ‘reasonable excuse’</w:t>
      </w:r>
      <w:r w:rsidR="007F13D1" w:rsidRPr="00503F5B">
        <w:t xml:space="preserve">.  Option </w:t>
      </w:r>
      <w:r w:rsidR="009E4118" w:rsidRPr="00503F5B">
        <w:t>4</w:t>
      </w:r>
      <w:r w:rsidR="007F13D1" w:rsidRPr="00503F5B">
        <w:t xml:space="preserve"> results in a</w:t>
      </w:r>
      <w:r w:rsidRPr="00503F5B">
        <w:t xml:space="preserve"> partial cost recovery of approximately </w:t>
      </w:r>
      <w:r w:rsidR="00970456" w:rsidRPr="00503F5B">
        <w:t>5.77</w:t>
      </w:r>
      <w:r w:rsidR="00C37F54" w:rsidRPr="00503F5B">
        <w:t xml:space="preserve"> per cent</w:t>
      </w:r>
      <w:r w:rsidRPr="00503F5B">
        <w:rPr>
          <w:rStyle w:val="FootnoteReference"/>
        </w:rPr>
        <w:footnoteReference w:id="129"/>
      </w:r>
      <w:r w:rsidRPr="00503F5B">
        <w:t xml:space="preserve"> of total hours spent on all false alarm attendances by appliances (see Table </w:t>
      </w:r>
      <w:r w:rsidR="00970456" w:rsidRPr="00503F5B">
        <w:t>21</w:t>
      </w:r>
      <w:r w:rsidRPr="00503F5B">
        <w:t>)).  The balance of total costs, estimated to be $</w:t>
      </w:r>
      <w:r w:rsidR="00970456" w:rsidRPr="00503F5B">
        <w:t>116</w:t>
      </w:r>
      <w:r w:rsidRPr="00503F5B">
        <w:t>.</w:t>
      </w:r>
      <w:r w:rsidR="00970456" w:rsidRPr="00503F5B">
        <w:t>62</w:t>
      </w:r>
      <w:r w:rsidRPr="00503F5B">
        <w:t xml:space="preserve"> million</w:t>
      </w:r>
      <w:r w:rsidRPr="00503F5B">
        <w:rPr>
          <w:rStyle w:val="FootnoteReference"/>
        </w:rPr>
        <w:footnoteReference w:id="130"/>
      </w:r>
      <w:r w:rsidRPr="00503F5B">
        <w:t xml:space="preserve">, for false alarm attendances where a ‘reasonable excuse’ is provided, is to be funded from </w:t>
      </w:r>
      <w:r w:rsidR="00970456" w:rsidRPr="00503F5B">
        <w:t>FRV</w:t>
      </w:r>
      <w:r w:rsidRPr="00503F5B">
        <w:t xml:space="preserve"> revenue (see Table </w:t>
      </w:r>
      <w:r w:rsidR="00FC52DE" w:rsidRPr="00503F5B">
        <w:t>2</w:t>
      </w:r>
      <w:r w:rsidRPr="00503F5B">
        <w:t xml:space="preserve"> in this RIS). </w:t>
      </w:r>
    </w:p>
    <w:p w14:paraId="666A0D55" w14:textId="647AC749" w:rsidR="00C64358" w:rsidRPr="00503F5B" w:rsidRDefault="00C64358" w:rsidP="00F8688E">
      <w:pPr>
        <w:ind w:left="709" w:hanging="425"/>
        <w:jc w:val="both"/>
      </w:pPr>
    </w:p>
    <w:p w14:paraId="5CBC0648" w14:textId="23F49148" w:rsidR="00F8688E" w:rsidRPr="00503F5B" w:rsidRDefault="00F8688E" w:rsidP="00F8688E">
      <w:pPr>
        <w:ind w:firstLine="709"/>
        <w:jc w:val="center"/>
        <w:rPr>
          <w:b/>
          <w:sz w:val="20"/>
          <w:szCs w:val="20"/>
        </w:rPr>
      </w:pPr>
      <w:r w:rsidRPr="00503F5B">
        <w:rPr>
          <w:b/>
          <w:sz w:val="20"/>
          <w:szCs w:val="20"/>
        </w:rPr>
        <w:t>Table 2</w:t>
      </w:r>
      <w:r w:rsidR="00970456" w:rsidRPr="00503F5B">
        <w:rPr>
          <w:b/>
          <w:sz w:val="20"/>
          <w:szCs w:val="20"/>
        </w:rPr>
        <w:t>1</w:t>
      </w:r>
      <w:r w:rsidRPr="00503F5B">
        <w:rPr>
          <w:b/>
          <w:sz w:val="20"/>
          <w:szCs w:val="20"/>
        </w:rPr>
        <w:t>: Summary of partial cost recovery fee under Option 4 and annual revenue</w:t>
      </w:r>
    </w:p>
    <w:p w14:paraId="3449DB4A" w14:textId="77777777" w:rsidR="00F8688E" w:rsidRPr="00503F5B" w:rsidRDefault="00F8688E" w:rsidP="00F8688E">
      <w:pPr>
        <w:jc w:val="center"/>
      </w:pPr>
    </w:p>
    <w:tbl>
      <w:tblPr>
        <w:tblStyle w:val="TableGrid"/>
        <w:tblW w:w="748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418"/>
        <w:gridCol w:w="1276"/>
        <w:gridCol w:w="1134"/>
        <w:gridCol w:w="1276"/>
        <w:gridCol w:w="1245"/>
      </w:tblGrid>
      <w:tr w:rsidR="00F8688E" w:rsidRPr="00503F5B" w14:paraId="1DE3DACB" w14:textId="77777777" w:rsidTr="00517C6D">
        <w:trPr>
          <w:trHeight w:val="375"/>
          <w:tblHeader/>
          <w:jc w:val="right"/>
        </w:trPr>
        <w:tc>
          <w:tcPr>
            <w:tcW w:w="1134" w:type="dxa"/>
            <w:tcBorders>
              <w:top w:val="single" w:sz="4" w:space="0" w:color="ED7C5D"/>
              <w:bottom w:val="double" w:sz="4" w:space="0" w:color="ED7C5D"/>
            </w:tcBorders>
            <w:noWrap/>
            <w:hideMark/>
          </w:tcPr>
          <w:p w14:paraId="106E6546" w14:textId="77777777" w:rsidR="00F8688E" w:rsidRPr="00503F5B" w:rsidRDefault="00F8688E" w:rsidP="00CE61F2">
            <w:pPr>
              <w:rPr>
                <w:b/>
                <w:color w:val="BE2A18"/>
                <w:sz w:val="20"/>
                <w:szCs w:val="20"/>
                <w:lang w:val="en-AU"/>
              </w:rPr>
            </w:pPr>
            <w:r w:rsidRPr="00503F5B">
              <w:rPr>
                <w:b/>
                <w:color w:val="BE2A18"/>
                <w:sz w:val="20"/>
                <w:szCs w:val="20"/>
                <w:lang w:val="en-AU"/>
              </w:rPr>
              <w:t>False alarm category</w:t>
            </w:r>
          </w:p>
        </w:tc>
        <w:tc>
          <w:tcPr>
            <w:tcW w:w="1418" w:type="dxa"/>
            <w:tcBorders>
              <w:top w:val="single" w:sz="4" w:space="0" w:color="ED7C5D"/>
              <w:bottom w:val="double" w:sz="4" w:space="0" w:color="ED7C5D"/>
            </w:tcBorders>
            <w:noWrap/>
            <w:hideMark/>
          </w:tcPr>
          <w:p w14:paraId="762FFB87" w14:textId="77777777" w:rsidR="00F8688E" w:rsidRPr="00503F5B" w:rsidRDefault="00F8688E" w:rsidP="00CE61F2">
            <w:pPr>
              <w:ind w:left="19"/>
              <w:jc w:val="center"/>
              <w:rPr>
                <w:b/>
                <w:color w:val="BE2A18"/>
                <w:sz w:val="20"/>
                <w:szCs w:val="20"/>
                <w:lang w:val="en-AU"/>
              </w:rPr>
            </w:pPr>
            <w:r w:rsidRPr="00503F5B">
              <w:rPr>
                <w:b/>
                <w:color w:val="BE2A18"/>
                <w:sz w:val="20"/>
                <w:szCs w:val="20"/>
                <w:lang w:val="en-AU"/>
              </w:rPr>
              <w:t>Total cost</w:t>
            </w:r>
            <w:r w:rsidRPr="00503F5B">
              <w:rPr>
                <w:rStyle w:val="FootnoteReference"/>
                <w:b/>
                <w:color w:val="BE2A18"/>
                <w:sz w:val="20"/>
                <w:szCs w:val="20"/>
                <w:lang w:val="en-AU"/>
              </w:rPr>
              <w:footnoteReference w:id="131"/>
            </w:r>
          </w:p>
        </w:tc>
        <w:tc>
          <w:tcPr>
            <w:tcW w:w="1276" w:type="dxa"/>
            <w:tcBorders>
              <w:top w:val="single" w:sz="4" w:space="0" w:color="ED7C5D"/>
              <w:bottom w:val="double" w:sz="4" w:space="0" w:color="ED7C5D"/>
            </w:tcBorders>
            <w:hideMark/>
          </w:tcPr>
          <w:p w14:paraId="29D166BA" w14:textId="5ED9C264" w:rsidR="00F8688E" w:rsidRPr="00503F5B" w:rsidRDefault="00CE61F2" w:rsidP="00CE61F2">
            <w:pPr>
              <w:jc w:val="center"/>
              <w:rPr>
                <w:b/>
                <w:color w:val="BE2A18"/>
                <w:sz w:val="20"/>
                <w:szCs w:val="20"/>
                <w:lang w:val="en-AU"/>
              </w:rPr>
            </w:pPr>
            <w:r w:rsidRPr="00503F5B">
              <w:rPr>
                <w:b/>
                <w:color w:val="BE2A18"/>
                <w:sz w:val="20"/>
                <w:szCs w:val="20"/>
                <w:lang w:val="en-AU"/>
              </w:rPr>
              <w:t>Total transactions (attendances)</w:t>
            </w:r>
            <w:r w:rsidRPr="00503F5B">
              <w:rPr>
                <w:rStyle w:val="FootnoteReference"/>
                <w:b/>
                <w:color w:val="BE2A18"/>
                <w:sz w:val="20"/>
                <w:szCs w:val="20"/>
                <w:lang w:val="en-AU"/>
              </w:rPr>
              <w:footnoteReference w:id="132"/>
            </w:r>
          </w:p>
        </w:tc>
        <w:tc>
          <w:tcPr>
            <w:tcW w:w="1134" w:type="dxa"/>
            <w:tcBorders>
              <w:top w:val="single" w:sz="4" w:space="0" w:color="ED7C5D"/>
              <w:bottom w:val="double" w:sz="4" w:space="0" w:color="ED7C5D"/>
            </w:tcBorders>
            <w:noWrap/>
            <w:hideMark/>
          </w:tcPr>
          <w:p w14:paraId="615EAAA3" w14:textId="77777777" w:rsidR="00F8688E" w:rsidRPr="00503F5B" w:rsidRDefault="00F8688E" w:rsidP="00CE61F2">
            <w:pPr>
              <w:jc w:val="center"/>
              <w:rPr>
                <w:b/>
                <w:color w:val="BE2A18"/>
                <w:sz w:val="20"/>
                <w:szCs w:val="20"/>
                <w:lang w:val="en-AU"/>
              </w:rPr>
            </w:pPr>
            <w:r w:rsidRPr="00503F5B">
              <w:rPr>
                <w:b/>
                <w:color w:val="BE2A18"/>
                <w:sz w:val="20"/>
                <w:szCs w:val="20"/>
                <w:lang w:val="en-AU"/>
              </w:rPr>
              <w:t>Fee</w:t>
            </w:r>
            <w:r w:rsidRPr="00503F5B">
              <w:rPr>
                <w:rStyle w:val="FootnoteReference"/>
                <w:b/>
                <w:color w:val="BE2A18"/>
                <w:sz w:val="20"/>
                <w:szCs w:val="20"/>
                <w:lang w:val="en-AU"/>
              </w:rPr>
              <w:footnoteReference w:id="133"/>
            </w:r>
          </w:p>
        </w:tc>
        <w:tc>
          <w:tcPr>
            <w:tcW w:w="1276" w:type="dxa"/>
            <w:tcBorders>
              <w:top w:val="single" w:sz="4" w:space="0" w:color="ED7C5D"/>
              <w:bottom w:val="double" w:sz="4" w:space="0" w:color="ED7C5D"/>
            </w:tcBorders>
            <w:noWrap/>
            <w:hideMark/>
          </w:tcPr>
          <w:p w14:paraId="07C50A7B" w14:textId="77777777" w:rsidR="00F8688E" w:rsidRPr="00503F5B" w:rsidRDefault="00F8688E" w:rsidP="00CE61F2">
            <w:pPr>
              <w:ind w:left="-49"/>
              <w:jc w:val="center"/>
              <w:rPr>
                <w:b/>
                <w:color w:val="BE2A18"/>
                <w:sz w:val="20"/>
                <w:szCs w:val="20"/>
                <w:lang w:val="en-AU"/>
              </w:rPr>
            </w:pPr>
            <w:r w:rsidRPr="00503F5B">
              <w:rPr>
                <w:b/>
                <w:color w:val="BE2A18"/>
                <w:sz w:val="20"/>
                <w:szCs w:val="20"/>
                <w:lang w:val="en-AU"/>
              </w:rPr>
              <w:t>Annual revenue</w:t>
            </w:r>
            <w:r w:rsidRPr="00503F5B">
              <w:rPr>
                <w:rStyle w:val="FootnoteReference"/>
                <w:b/>
                <w:color w:val="BE2A18"/>
                <w:sz w:val="20"/>
                <w:szCs w:val="20"/>
                <w:lang w:val="en-AU"/>
              </w:rPr>
              <w:footnoteReference w:id="134"/>
            </w:r>
          </w:p>
        </w:tc>
        <w:tc>
          <w:tcPr>
            <w:tcW w:w="1245" w:type="dxa"/>
            <w:tcBorders>
              <w:top w:val="single" w:sz="4" w:space="0" w:color="ED7C5D"/>
              <w:bottom w:val="double" w:sz="4" w:space="0" w:color="ED7C5D"/>
            </w:tcBorders>
            <w:noWrap/>
            <w:hideMark/>
          </w:tcPr>
          <w:p w14:paraId="2D2FCD4D" w14:textId="77777777" w:rsidR="00F8688E" w:rsidRPr="00503F5B" w:rsidRDefault="00F8688E" w:rsidP="00CE61F2">
            <w:pPr>
              <w:ind w:left="24" w:hanging="24"/>
              <w:jc w:val="center"/>
              <w:rPr>
                <w:b/>
                <w:color w:val="BE2A18"/>
                <w:sz w:val="20"/>
                <w:szCs w:val="20"/>
                <w:lang w:val="en-AU"/>
              </w:rPr>
            </w:pPr>
            <w:r w:rsidRPr="00503F5B">
              <w:rPr>
                <w:b/>
                <w:color w:val="BE2A18"/>
                <w:sz w:val="20"/>
                <w:szCs w:val="20"/>
                <w:lang w:val="en-AU"/>
              </w:rPr>
              <w:t>Percentage of costs recovered</w:t>
            </w:r>
          </w:p>
        </w:tc>
      </w:tr>
      <w:tr w:rsidR="00CE61F2" w:rsidRPr="00503F5B" w14:paraId="6C1E3D8B" w14:textId="77777777" w:rsidTr="00517C6D">
        <w:trPr>
          <w:trHeight w:val="320"/>
          <w:jc w:val="right"/>
        </w:trPr>
        <w:tc>
          <w:tcPr>
            <w:tcW w:w="1134" w:type="dxa"/>
            <w:tcBorders>
              <w:top w:val="double" w:sz="4" w:space="0" w:color="ED7C5D"/>
            </w:tcBorders>
            <w:shd w:val="clear" w:color="auto" w:fill="auto"/>
            <w:noWrap/>
            <w:vAlign w:val="center"/>
            <w:hideMark/>
          </w:tcPr>
          <w:p w14:paraId="494D4CBA" w14:textId="77777777" w:rsidR="00CE61F2" w:rsidRPr="00503F5B" w:rsidRDefault="00CE61F2" w:rsidP="00CE61F2">
            <w:pPr>
              <w:rPr>
                <w:sz w:val="20"/>
                <w:szCs w:val="20"/>
                <w:lang w:val="en-AU"/>
              </w:rPr>
            </w:pPr>
            <w:r w:rsidRPr="00503F5B">
              <w:rPr>
                <w:b/>
                <w:i/>
                <w:sz w:val="20"/>
                <w:szCs w:val="20"/>
                <w:lang w:val="en-AU"/>
              </w:rPr>
              <w:t>Without</w:t>
            </w:r>
            <w:r w:rsidRPr="00503F5B">
              <w:rPr>
                <w:sz w:val="20"/>
                <w:szCs w:val="20"/>
                <w:lang w:val="en-AU"/>
              </w:rPr>
              <w:t xml:space="preserve"> reasonable excuse</w:t>
            </w:r>
          </w:p>
        </w:tc>
        <w:tc>
          <w:tcPr>
            <w:tcW w:w="1418" w:type="dxa"/>
            <w:tcBorders>
              <w:top w:val="double" w:sz="4" w:space="0" w:color="ED7C5D"/>
            </w:tcBorders>
            <w:shd w:val="clear" w:color="auto" w:fill="auto"/>
            <w:noWrap/>
            <w:vAlign w:val="center"/>
            <w:hideMark/>
          </w:tcPr>
          <w:p w14:paraId="35855124" w14:textId="5B2978FF" w:rsidR="00CE61F2" w:rsidRPr="00503F5B" w:rsidRDefault="00CE61F2" w:rsidP="00CE61F2">
            <w:pPr>
              <w:ind w:left="19"/>
              <w:jc w:val="right"/>
              <w:rPr>
                <w:sz w:val="20"/>
                <w:szCs w:val="20"/>
                <w:lang w:val="en-AU"/>
              </w:rPr>
            </w:pPr>
            <w:r w:rsidRPr="00503F5B">
              <w:rPr>
                <w:rFonts w:cs="Calibri"/>
                <w:sz w:val="20"/>
                <w:szCs w:val="20"/>
                <w:lang w:val="en-AU"/>
              </w:rPr>
              <w:t>$57,037,000</w:t>
            </w:r>
          </w:p>
        </w:tc>
        <w:tc>
          <w:tcPr>
            <w:tcW w:w="1276" w:type="dxa"/>
            <w:tcBorders>
              <w:top w:val="double" w:sz="4" w:space="0" w:color="ED7C5D"/>
            </w:tcBorders>
            <w:shd w:val="clear" w:color="auto" w:fill="auto"/>
            <w:noWrap/>
            <w:vAlign w:val="center"/>
            <w:hideMark/>
          </w:tcPr>
          <w:p w14:paraId="56869630" w14:textId="4DE7B750" w:rsidR="00CE61F2" w:rsidRPr="00503F5B" w:rsidRDefault="00CE61F2" w:rsidP="00CE61F2">
            <w:pPr>
              <w:jc w:val="right"/>
              <w:rPr>
                <w:sz w:val="20"/>
                <w:szCs w:val="20"/>
                <w:lang w:val="en-AU"/>
              </w:rPr>
            </w:pPr>
            <w:r w:rsidRPr="00503F5B">
              <w:rPr>
                <w:rFonts w:cs="Calibri"/>
                <w:sz w:val="20"/>
                <w:szCs w:val="20"/>
                <w:lang w:val="en-AU"/>
              </w:rPr>
              <w:t>4,466</w:t>
            </w:r>
          </w:p>
        </w:tc>
        <w:tc>
          <w:tcPr>
            <w:tcW w:w="1134" w:type="dxa"/>
            <w:tcBorders>
              <w:top w:val="double" w:sz="4" w:space="0" w:color="ED7C5D"/>
            </w:tcBorders>
            <w:shd w:val="clear" w:color="auto" w:fill="auto"/>
            <w:noWrap/>
            <w:vAlign w:val="center"/>
            <w:hideMark/>
          </w:tcPr>
          <w:p w14:paraId="043C8D8D" w14:textId="0EC6CC12" w:rsidR="00CE61F2" w:rsidRPr="00503F5B" w:rsidRDefault="00CE61F2" w:rsidP="00CE61F2">
            <w:pPr>
              <w:jc w:val="right"/>
              <w:rPr>
                <w:sz w:val="20"/>
                <w:szCs w:val="20"/>
                <w:lang w:val="en-AU"/>
              </w:rPr>
            </w:pPr>
            <w:r w:rsidRPr="00503F5B">
              <w:rPr>
                <w:rFonts w:cs="Calibri"/>
                <w:sz w:val="20"/>
                <w:szCs w:val="20"/>
                <w:lang w:val="en-AU"/>
              </w:rPr>
              <w:t>$1,600</w:t>
            </w:r>
            <w:r w:rsidR="005F587F" w:rsidRPr="00503F5B">
              <w:rPr>
                <w:rFonts w:cs="Calibri"/>
                <w:sz w:val="20"/>
                <w:szCs w:val="20"/>
                <w:lang w:val="en-AU"/>
              </w:rPr>
              <w:t>.00</w:t>
            </w:r>
          </w:p>
        </w:tc>
        <w:tc>
          <w:tcPr>
            <w:tcW w:w="1276" w:type="dxa"/>
            <w:tcBorders>
              <w:top w:val="double" w:sz="4" w:space="0" w:color="ED7C5D"/>
            </w:tcBorders>
            <w:shd w:val="clear" w:color="auto" w:fill="auto"/>
            <w:noWrap/>
            <w:vAlign w:val="center"/>
            <w:hideMark/>
          </w:tcPr>
          <w:p w14:paraId="220F1318" w14:textId="7D06C526" w:rsidR="00CE61F2" w:rsidRPr="00503F5B" w:rsidRDefault="00CE61F2" w:rsidP="00CE61F2">
            <w:pPr>
              <w:ind w:left="-49"/>
              <w:jc w:val="right"/>
              <w:rPr>
                <w:sz w:val="20"/>
                <w:szCs w:val="20"/>
                <w:lang w:val="en-AU"/>
              </w:rPr>
            </w:pPr>
            <w:r w:rsidRPr="00503F5B">
              <w:rPr>
                <w:rFonts w:cs="Calibri"/>
                <w:sz w:val="20"/>
                <w:szCs w:val="20"/>
                <w:lang w:val="en-AU"/>
              </w:rPr>
              <w:t>$7,146,165</w:t>
            </w:r>
          </w:p>
        </w:tc>
        <w:tc>
          <w:tcPr>
            <w:tcW w:w="1245" w:type="dxa"/>
            <w:tcBorders>
              <w:top w:val="double" w:sz="4" w:space="0" w:color="ED7C5D"/>
            </w:tcBorders>
            <w:shd w:val="clear" w:color="auto" w:fill="auto"/>
            <w:noWrap/>
            <w:vAlign w:val="center"/>
            <w:hideMark/>
          </w:tcPr>
          <w:p w14:paraId="375C5463" w14:textId="5905F7ED" w:rsidR="00CE61F2" w:rsidRPr="00503F5B" w:rsidRDefault="00CE61F2" w:rsidP="00CE61F2">
            <w:pPr>
              <w:ind w:left="24" w:hanging="24"/>
              <w:jc w:val="right"/>
              <w:rPr>
                <w:b/>
                <w:i/>
                <w:sz w:val="20"/>
                <w:szCs w:val="20"/>
                <w:lang w:val="en-AU"/>
              </w:rPr>
            </w:pPr>
            <w:r w:rsidRPr="00503F5B">
              <w:rPr>
                <w:rFonts w:cs="Calibri"/>
                <w:b/>
                <w:bCs/>
                <w:i/>
                <w:iCs/>
                <w:sz w:val="20"/>
                <w:szCs w:val="20"/>
                <w:lang w:val="en-AU"/>
              </w:rPr>
              <w:t>12.53%</w:t>
            </w:r>
          </w:p>
        </w:tc>
      </w:tr>
      <w:tr w:rsidR="00CE61F2" w:rsidRPr="00503F5B" w14:paraId="0D5CCF63" w14:textId="77777777" w:rsidTr="00517C6D">
        <w:trPr>
          <w:trHeight w:val="320"/>
          <w:jc w:val="right"/>
        </w:trPr>
        <w:tc>
          <w:tcPr>
            <w:tcW w:w="1134" w:type="dxa"/>
            <w:tcBorders>
              <w:bottom w:val="single" w:sz="4" w:space="0" w:color="ED7C5D"/>
            </w:tcBorders>
            <w:noWrap/>
            <w:vAlign w:val="center"/>
            <w:hideMark/>
          </w:tcPr>
          <w:p w14:paraId="5F2BE6B2" w14:textId="77777777" w:rsidR="00CE61F2" w:rsidRPr="00503F5B" w:rsidRDefault="00CE61F2" w:rsidP="00CE61F2">
            <w:pPr>
              <w:rPr>
                <w:sz w:val="20"/>
                <w:szCs w:val="20"/>
                <w:lang w:val="en-AU"/>
              </w:rPr>
            </w:pPr>
            <w:r w:rsidRPr="00503F5B">
              <w:rPr>
                <w:b/>
                <w:i/>
                <w:sz w:val="20"/>
                <w:szCs w:val="20"/>
                <w:lang w:val="en-AU"/>
              </w:rPr>
              <w:t xml:space="preserve">With </w:t>
            </w:r>
            <w:r w:rsidRPr="00503F5B">
              <w:rPr>
                <w:sz w:val="20"/>
                <w:szCs w:val="20"/>
                <w:lang w:val="en-AU"/>
              </w:rPr>
              <w:t>reasonable excuse</w:t>
            </w:r>
          </w:p>
        </w:tc>
        <w:tc>
          <w:tcPr>
            <w:tcW w:w="1418" w:type="dxa"/>
            <w:tcBorders>
              <w:bottom w:val="single" w:sz="4" w:space="0" w:color="ED7C5D"/>
            </w:tcBorders>
            <w:noWrap/>
            <w:vAlign w:val="center"/>
            <w:hideMark/>
          </w:tcPr>
          <w:p w14:paraId="323E1567" w14:textId="43747480" w:rsidR="00CE61F2" w:rsidRPr="00503F5B" w:rsidRDefault="00CE61F2" w:rsidP="00CE61F2">
            <w:pPr>
              <w:ind w:left="19"/>
              <w:jc w:val="right"/>
              <w:rPr>
                <w:sz w:val="20"/>
                <w:szCs w:val="20"/>
                <w:lang w:val="en-AU"/>
              </w:rPr>
            </w:pPr>
            <w:r w:rsidRPr="00503F5B">
              <w:rPr>
                <w:rFonts w:cs="Calibri"/>
                <w:sz w:val="20"/>
                <w:szCs w:val="20"/>
                <w:lang w:val="en-AU"/>
              </w:rPr>
              <w:t>$66,725,647</w:t>
            </w:r>
          </w:p>
        </w:tc>
        <w:tc>
          <w:tcPr>
            <w:tcW w:w="1276" w:type="dxa"/>
            <w:tcBorders>
              <w:bottom w:val="single" w:sz="4" w:space="0" w:color="ED7C5D"/>
            </w:tcBorders>
            <w:noWrap/>
            <w:vAlign w:val="center"/>
            <w:hideMark/>
          </w:tcPr>
          <w:p w14:paraId="12C7E8FC" w14:textId="33D1ADD6" w:rsidR="00CE61F2" w:rsidRPr="00503F5B" w:rsidRDefault="00CE61F2" w:rsidP="00CE61F2">
            <w:pPr>
              <w:jc w:val="right"/>
              <w:rPr>
                <w:sz w:val="20"/>
                <w:szCs w:val="20"/>
                <w:lang w:val="en-AU"/>
              </w:rPr>
            </w:pPr>
            <w:r w:rsidRPr="00503F5B">
              <w:rPr>
                <w:rFonts w:cs="Calibri"/>
                <w:sz w:val="20"/>
                <w:szCs w:val="20"/>
                <w:lang w:val="en-AU"/>
              </w:rPr>
              <w:t>N/A</w:t>
            </w:r>
          </w:p>
        </w:tc>
        <w:tc>
          <w:tcPr>
            <w:tcW w:w="1134" w:type="dxa"/>
            <w:tcBorders>
              <w:bottom w:val="single" w:sz="4" w:space="0" w:color="ED7C5D"/>
            </w:tcBorders>
            <w:noWrap/>
            <w:vAlign w:val="center"/>
            <w:hideMark/>
          </w:tcPr>
          <w:p w14:paraId="1A41D9D9" w14:textId="3587F01A" w:rsidR="00CE61F2" w:rsidRPr="00503F5B" w:rsidRDefault="00CE61F2" w:rsidP="00CE61F2">
            <w:pPr>
              <w:jc w:val="right"/>
              <w:rPr>
                <w:sz w:val="20"/>
                <w:szCs w:val="20"/>
                <w:lang w:val="en-AU"/>
              </w:rPr>
            </w:pPr>
            <w:r w:rsidRPr="00503F5B">
              <w:rPr>
                <w:rFonts w:cs="Calibri"/>
                <w:sz w:val="20"/>
                <w:szCs w:val="20"/>
                <w:lang w:val="en-AU"/>
              </w:rPr>
              <w:t>N/A</w:t>
            </w:r>
          </w:p>
        </w:tc>
        <w:tc>
          <w:tcPr>
            <w:tcW w:w="1276" w:type="dxa"/>
            <w:tcBorders>
              <w:bottom w:val="single" w:sz="4" w:space="0" w:color="ED7C5D"/>
            </w:tcBorders>
            <w:noWrap/>
            <w:vAlign w:val="center"/>
            <w:hideMark/>
          </w:tcPr>
          <w:p w14:paraId="6B4F2C8D" w14:textId="600DF9B7" w:rsidR="00CE61F2" w:rsidRPr="00503F5B" w:rsidRDefault="00CE61F2" w:rsidP="00CE61F2">
            <w:pPr>
              <w:ind w:left="-49"/>
              <w:jc w:val="right"/>
              <w:rPr>
                <w:sz w:val="20"/>
                <w:szCs w:val="20"/>
                <w:lang w:val="en-AU"/>
              </w:rPr>
            </w:pPr>
            <w:r w:rsidRPr="00503F5B">
              <w:rPr>
                <w:rFonts w:cs="Calibri"/>
                <w:sz w:val="20"/>
                <w:szCs w:val="20"/>
                <w:lang w:val="en-AU"/>
              </w:rPr>
              <w:t>N/A</w:t>
            </w:r>
          </w:p>
        </w:tc>
        <w:tc>
          <w:tcPr>
            <w:tcW w:w="1245" w:type="dxa"/>
            <w:tcBorders>
              <w:bottom w:val="single" w:sz="4" w:space="0" w:color="ED7C5D"/>
            </w:tcBorders>
            <w:noWrap/>
            <w:vAlign w:val="center"/>
            <w:hideMark/>
          </w:tcPr>
          <w:p w14:paraId="576D0B71" w14:textId="7A38F8ED" w:rsidR="00CE61F2" w:rsidRPr="00503F5B" w:rsidRDefault="00CE61F2" w:rsidP="00CE61F2">
            <w:pPr>
              <w:ind w:left="24" w:hanging="24"/>
              <w:jc w:val="right"/>
              <w:rPr>
                <w:sz w:val="20"/>
                <w:szCs w:val="20"/>
                <w:lang w:val="en-AU"/>
              </w:rPr>
            </w:pPr>
            <w:r w:rsidRPr="00503F5B">
              <w:rPr>
                <w:rFonts w:cs="Calibri"/>
                <w:sz w:val="20"/>
                <w:szCs w:val="20"/>
                <w:lang w:val="en-AU"/>
              </w:rPr>
              <w:t>N//A</w:t>
            </w:r>
          </w:p>
        </w:tc>
      </w:tr>
      <w:tr w:rsidR="00CE61F2" w:rsidRPr="00503F5B" w14:paraId="5C5B7B6B" w14:textId="77777777" w:rsidTr="00517C6D">
        <w:trPr>
          <w:trHeight w:val="221"/>
          <w:jc w:val="right"/>
        </w:trPr>
        <w:tc>
          <w:tcPr>
            <w:tcW w:w="1134" w:type="dxa"/>
            <w:tcBorders>
              <w:top w:val="single" w:sz="4" w:space="0" w:color="ED7C5D"/>
              <w:bottom w:val="single" w:sz="4" w:space="0" w:color="ED7C5D"/>
            </w:tcBorders>
            <w:noWrap/>
            <w:vAlign w:val="center"/>
            <w:hideMark/>
          </w:tcPr>
          <w:p w14:paraId="3C8CBA91" w14:textId="77777777" w:rsidR="00CE61F2" w:rsidRPr="00503F5B" w:rsidRDefault="00CE61F2" w:rsidP="00CE61F2">
            <w:pPr>
              <w:rPr>
                <w:b/>
                <w:color w:val="000000" w:themeColor="text1"/>
                <w:sz w:val="20"/>
                <w:szCs w:val="20"/>
                <w:lang w:val="en-AU"/>
              </w:rPr>
            </w:pPr>
            <w:r w:rsidRPr="00503F5B">
              <w:rPr>
                <w:b/>
                <w:color w:val="000000" w:themeColor="text1"/>
                <w:sz w:val="20"/>
                <w:szCs w:val="20"/>
                <w:lang w:val="en-AU"/>
              </w:rPr>
              <w:t>Total</w:t>
            </w:r>
          </w:p>
        </w:tc>
        <w:tc>
          <w:tcPr>
            <w:tcW w:w="1418" w:type="dxa"/>
            <w:tcBorders>
              <w:top w:val="single" w:sz="4" w:space="0" w:color="ED7C5D"/>
              <w:bottom w:val="single" w:sz="4" w:space="0" w:color="ED7C5D"/>
            </w:tcBorders>
            <w:noWrap/>
            <w:vAlign w:val="center"/>
            <w:hideMark/>
          </w:tcPr>
          <w:p w14:paraId="7DDE2FF4" w14:textId="3C3FF1DD" w:rsidR="00CE61F2" w:rsidRPr="00503F5B" w:rsidRDefault="00CE61F2" w:rsidP="00CE61F2">
            <w:pPr>
              <w:ind w:left="19"/>
              <w:jc w:val="right"/>
              <w:rPr>
                <w:b/>
                <w:color w:val="000000" w:themeColor="text1"/>
                <w:sz w:val="20"/>
                <w:szCs w:val="20"/>
                <w:lang w:val="en-AU"/>
              </w:rPr>
            </w:pPr>
            <w:r w:rsidRPr="00503F5B">
              <w:rPr>
                <w:rFonts w:cs="Calibri"/>
                <w:b/>
                <w:bCs/>
                <w:color w:val="000000" w:themeColor="text1"/>
                <w:sz w:val="20"/>
                <w:szCs w:val="20"/>
                <w:lang w:val="en-AU"/>
              </w:rPr>
              <w:t>$123,762,646</w:t>
            </w:r>
          </w:p>
        </w:tc>
        <w:tc>
          <w:tcPr>
            <w:tcW w:w="1276" w:type="dxa"/>
            <w:tcBorders>
              <w:top w:val="single" w:sz="4" w:space="0" w:color="ED7C5D"/>
              <w:bottom w:val="single" w:sz="4" w:space="0" w:color="ED7C5D"/>
            </w:tcBorders>
            <w:noWrap/>
            <w:vAlign w:val="center"/>
            <w:hideMark/>
          </w:tcPr>
          <w:p w14:paraId="4FE29754" w14:textId="1CB390F5" w:rsidR="00CE61F2" w:rsidRPr="00503F5B" w:rsidRDefault="00CE61F2" w:rsidP="00CE61F2">
            <w:pPr>
              <w:jc w:val="right"/>
              <w:rPr>
                <w:b/>
                <w:color w:val="000000" w:themeColor="text1"/>
                <w:sz w:val="20"/>
                <w:szCs w:val="20"/>
                <w:lang w:val="en-AU"/>
              </w:rPr>
            </w:pPr>
            <w:r w:rsidRPr="00503F5B">
              <w:rPr>
                <w:rFonts w:cs="Calibri"/>
                <w:lang w:val="en-AU"/>
              </w:rPr>
              <w:t> </w:t>
            </w:r>
          </w:p>
        </w:tc>
        <w:tc>
          <w:tcPr>
            <w:tcW w:w="1134" w:type="dxa"/>
            <w:tcBorders>
              <w:top w:val="single" w:sz="4" w:space="0" w:color="ED7C5D"/>
              <w:bottom w:val="single" w:sz="4" w:space="0" w:color="ED7C5D"/>
            </w:tcBorders>
            <w:noWrap/>
            <w:vAlign w:val="center"/>
            <w:hideMark/>
          </w:tcPr>
          <w:p w14:paraId="42D45CBD" w14:textId="60989EA0" w:rsidR="00CE61F2" w:rsidRPr="00503F5B" w:rsidRDefault="00CE61F2" w:rsidP="00CE61F2">
            <w:pPr>
              <w:jc w:val="right"/>
              <w:rPr>
                <w:b/>
                <w:color w:val="000000" w:themeColor="text1"/>
                <w:sz w:val="20"/>
                <w:szCs w:val="20"/>
                <w:lang w:val="en-AU"/>
              </w:rPr>
            </w:pPr>
            <w:r w:rsidRPr="00503F5B">
              <w:rPr>
                <w:rFonts w:cs="Calibri"/>
                <w:lang w:val="en-AU"/>
              </w:rPr>
              <w:t> </w:t>
            </w:r>
          </w:p>
        </w:tc>
        <w:tc>
          <w:tcPr>
            <w:tcW w:w="1276" w:type="dxa"/>
            <w:tcBorders>
              <w:top w:val="single" w:sz="4" w:space="0" w:color="ED7C5D"/>
              <w:bottom w:val="single" w:sz="4" w:space="0" w:color="ED7C5D"/>
            </w:tcBorders>
            <w:noWrap/>
            <w:vAlign w:val="center"/>
            <w:hideMark/>
          </w:tcPr>
          <w:p w14:paraId="67F695BA" w14:textId="557B491C" w:rsidR="00CE61F2" w:rsidRPr="00503F5B" w:rsidRDefault="00CE61F2" w:rsidP="00CE61F2">
            <w:pPr>
              <w:ind w:left="-49"/>
              <w:jc w:val="right"/>
              <w:rPr>
                <w:b/>
                <w:color w:val="000000" w:themeColor="text1"/>
                <w:sz w:val="20"/>
                <w:szCs w:val="20"/>
                <w:lang w:val="en-AU"/>
              </w:rPr>
            </w:pPr>
            <w:r w:rsidRPr="00503F5B">
              <w:rPr>
                <w:rFonts w:cs="Calibri"/>
                <w:b/>
                <w:bCs/>
                <w:color w:val="000000" w:themeColor="text1"/>
                <w:sz w:val="20"/>
                <w:szCs w:val="20"/>
                <w:lang w:val="en-AU"/>
              </w:rPr>
              <w:t>$7,146,165</w:t>
            </w:r>
          </w:p>
        </w:tc>
        <w:tc>
          <w:tcPr>
            <w:tcW w:w="1245" w:type="dxa"/>
            <w:tcBorders>
              <w:top w:val="single" w:sz="4" w:space="0" w:color="ED7C5D"/>
              <w:bottom w:val="single" w:sz="4" w:space="0" w:color="ED7C5D"/>
            </w:tcBorders>
            <w:noWrap/>
            <w:vAlign w:val="center"/>
            <w:hideMark/>
          </w:tcPr>
          <w:p w14:paraId="79DADCF4" w14:textId="11397775" w:rsidR="00CE61F2" w:rsidRPr="00503F5B" w:rsidRDefault="00CE61F2" w:rsidP="00CE61F2">
            <w:pPr>
              <w:ind w:left="24" w:hanging="24"/>
              <w:jc w:val="right"/>
              <w:rPr>
                <w:b/>
                <w:color w:val="000000" w:themeColor="text1"/>
                <w:sz w:val="20"/>
                <w:szCs w:val="20"/>
                <w:lang w:val="en-AU"/>
              </w:rPr>
            </w:pPr>
            <w:r w:rsidRPr="00503F5B">
              <w:rPr>
                <w:rFonts w:cs="Calibri"/>
                <w:b/>
                <w:bCs/>
                <w:color w:val="000000" w:themeColor="text1"/>
                <w:sz w:val="20"/>
                <w:szCs w:val="20"/>
                <w:lang w:val="en-AU"/>
              </w:rPr>
              <w:t>5.77%</w:t>
            </w:r>
          </w:p>
        </w:tc>
      </w:tr>
    </w:tbl>
    <w:p w14:paraId="76897EA0" w14:textId="77777777" w:rsidR="00F8688E" w:rsidRPr="00503F5B" w:rsidRDefault="00F8688E" w:rsidP="00F8688E">
      <w:pPr>
        <w:ind w:left="709" w:hanging="425"/>
        <w:jc w:val="both"/>
      </w:pPr>
    </w:p>
    <w:p w14:paraId="0D8E57D0" w14:textId="60E39076" w:rsidR="00C64358" w:rsidRPr="00503F5B" w:rsidRDefault="00C64358" w:rsidP="00F8688E">
      <w:pPr>
        <w:ind w:left="709"/>
        <w:jc w:val="both"/>
      </w:pPr>
      <w:r w:rsidRPr="00503F5B">
        <w:t>As with Option</w:t>
      </w:r>
      <w:r w:rsidR="00970456" w:rsidRPr="00503F5B">
        <w:t>s</w:t>
      </w:r>
      <w:r w:rsidRPr="00503F5B">
        <w:t xml:space="preserve"> </w:t>
      </w:r>
      <w:r w:rsidR="00970456" w:rsidRPr="00503F5B">
        <w:t xml:space="preserve">2 and 3, </w:t>
      </w:r>
      <w:r w:rsidRPr="00503F5B">
        <w:t xml:space="preserve">Option </w:t>
      </w:r>
      <w:r w:rsidR="00970456" w:rsidRPr="00503F5B">
        <w:t>4</w:t>
      </w:r>
      <w:r w:rsidRPr="00503F5B">
        <w:t xml:space="preserve"> involves partial cost recovery of emergency attendances for false alarms deemed by </w:t>
      </w:r>
      <w:r w:rsidR="00970456" w:rsidRPr="00503F5B">
        <w:t xml:space="preserve">FRV </w:t>
      </w:r>
      <w:r w:rsidRPr="00503F5B">
        <w:t xml:space="preserve">not to have a ‘reasonable excuse’ only. </w:t>
      </w:r>
      <w:r w:rsidRPr="00503F5B">
        <w:lastRenderedPageBreak/>
        <w:t>The fixed fee option mirrors the fee setting practices in other jurisdictions (see</w:t>
      </w:r>
      <w:r w:rsidR="00970456" w:rsidRPr="00503F5B">
        <w:t xml:space="preserve"> Table 16</w:t>
      </w:r>
      <w:r w:rsidRPr="00503F5B">
        <w:t>).  The fixed partial cost recovery fee of $</w:t>
      </w:r>
      <w:r w:rsidR="00970456" w:rsidRPr="00503F5B">
        <w:t xml:space="preserve">1,600 </w:t>
      </w:r>
      <w:r w:rsidRPr="00503F5B">
        <w:t>per attendance</w:t>
      </w:r>
      <w:r w:rsidR="00970456" w:rsidRPr="00503F5B">
        <w:t xml:space="preserve"> represents</w:t>
      </w:r>
      <w:r w:rsidRPr="00503F5B">
        <w:t xml:space="preserve"> </w:t>
      </w:r>
      <w:r w:rsidR="00480EA1" w:rsidRPr="00503F5B">
        <w:t>12</w:t>
      </w:r>
      <w:r w:rsidRPr="00503F5B">
        <w:t>.</w:t>
      </w:r>
      <w:r w:rsidR="00480EA1" w:rsidRPr="00503F5B">
        <w:t>39 per cent</w:t>
      </w:r>
      <w:r w:rsidRPr="00503F5B">
        <w:t xml:space="preserve"> of the full attendance cost of $</w:t>
      </w:r>
      <w:r w:rsidR="00970456" w:rsidRPr="00503F5B">
        <w:t>12,909</w:t>
      </w:r>
      <w:r w:rsidRPr="00503F5B">
        <w:rPr>
          <w:rStyle w:val="FootnoteReference"/>
        </w:rPr>
        <w:footnoteReference w:id="135"/>
      </w:r>
      <w:r w:rsidRPr="00503F5B">
        <w:t xml:space="preserve">.  As with Option </w:t>
      </w:r>
      <w:r w:rsidR="00970456" w:rsidRPr="00503F5B">
        <w:t>3</w:t>
      </w:r>
      <w:r w:rsidRPr="00503F5B">
        <w:t xml:space="preserve">, the proportion of cost recovery has been set to </w:t>
      </w:r>
      <w:r w:rsidRPr="00503F5B">
        <w:rPr>
          <w:i/>
        </w:rPr>
        <w:t xml:space="preserve">strike </w:t>
      </w:r>
      <w:r w:rsidR="00480EA1" w:rsidRPr="00503F5B">
        <w:rPr>
          <w:i/>
        </w:rPr>
        <w:t>a ‘better’</w:t>
      </w:r>
      <w:r w:rsidRPr="00503F5B">
        <w:rPr>
          <w:i/>
        </w:rPr>
        <w:t xml:space="preserve"> balance</w:t>
      </w:r>
      <w:r w:rsidRPr="00503F5B">
        <w:t xml:space="preserve"> between encouraging owners of alarm systems to proactively manage and maintain their systems whilst discouraging circumvention and VCAT challenges from fees that are too high.</w:t>
      </w:r>
    </w:p>
    <w:p w14:paraId="28CB898D" w14:textId="77777777" w:rsidR="00C64358" w:rsidRPr="00503F5B" w:rsidRDefault="00C64358" w:rsidP="00F8688E">
      <w:pPr>
        <w:ind w:left="709"/>
        <w:jc w:val="both"/>
      </w:pPr>
    </w:p>
    <w:p w14:paraId="2368A889" w14:textId="44AADD63" w:rsidR="00C64358" w:rsidRPr="00503F5B" w:rsidRDefault="00C64358" w:rsidP="00F8688E">
      <w:pPr>
        <w:ind w:left="709"/>
        <w:jc w:val="both"/>
      </w:pPr>
      <w:r w:rsidRPr="00503F5B">
        <w:t xml:space="preserve">As shown in Table </w:t>
      </w:r>
      <w:r w:rsidR="00970456" w:rsidRPr="00503F5B">
        <w:t>21</w:t>
      </w:r>
      <w:r w:rsidRPr="00503F5B">
        <w:t xml:space="preserve">, Option </w:t>
      </w:r>
      <w:r w:rsidR="00714A80" w:rsidRPr="00503F5B">
        <w:t>4</w:t>
      </w:r>
      <w:r w:rsidRPr="00503F5B">
        <w:t xml:space="preserve"> recovers approximately </w:t>
      </w:r>
      <w:r w:rsidR="00480EA1" w:rsidRPr="00503F5B">
        <w:rPr>
          <w:b/>
          <w:i/>
        </w:rPr>
        <w:t>12.53</w:t>
      </w:r>
      <w:r w:rsidRPr="00503F5B">
        <w:rPr>
          <w:b/>
          <w:i/>
        </w:rPr>
        <w:t xml:space="preserve"> per cent</w:t>
      </w:r>
      <w:r w:rsidRPr="00503F5B">
        <w:t xml:space="preserve"> of all costs incurred by false alarm attendances where it is determined by </w:t>
      </w:r>
      <w:r w:rsidR="00480EA1" w:rsidRPr="00503F5B">
        <w:t xml:space="preserve">FRV </w:t>
      </w:r>
      <w:r w:rsidRPr="00503F5B">
        <w:t xml:space="preserve">that there is no reasonable excuse by charging owners of alarm systems </w:t>
      </w:r>
      <w:r w:rsidR="00480EA1" w:rsidRPr="00503F5B">
        <w:t>12</w:t>
      </w:r>
      <w:r w:rsidRPr="00503F5B">
        <w:t>.</w:t>
      </w:r>
      <w:r w:rsidR="00480EA1" w:rsidRPr="00503F5B">
        <w:t>39</w:t>
      </w:r>
      <w:r w:rsidRPr="00503F5B">
        <w:t xml:space="preserve"> per cent of the </w:t>
      </w:r>
      <w:r w:rsidR="00480EA1" w:rsidRPr="00503F5B">
        <w:t xml:space="preserve">fixed attendance </w:t>
      </w:r>
      <w:r w:rsidRPr="00503F5B">
        <w:t xml:space="preserve">cost </w:t>
      </w:r>
      <w:r w:rsidR="00480EA1" w:rsidRPr="00503F5B">
        <w:t xml:space="preserve">per attendance </w:t>
      </w:r>
      <w:r w:rsidRPr="00503F5B">
        <w:t>per appliance.</w:t>
      </w:r>
    </w:p>
    <w:p w14:paraId="3552FF7F" w14:textId="77777777" w:rsidR="00C37F54" w:rsidRPr="00503F5B" w:rsidRDefault="00C37F54" w:rsidP="00517C6D">
      <w:pPr>
        <w:jc w:val="both"/>
      </w:pPr>
    </w:p>
    <w:p w14:paraId="133331DB" w14:textId="34B55302" w:rsidR="005F587F" w:rsidRPr="00503F5B" w:rsidRDefault="005F587F" w:rsidP="00517C6D">
      <w:pPr>
        <w:jc w:val="both"/>
      </w:pPr>
      <w:r w:rsidRPr="00503F5B">
        <w:t>Table 22 summarises the individual fees and estimated 10-year fee revenue in present value dollars</w:t>
      </w:r>
      <w:r w:rsidRPr="00503F5B">
        <w:rPr>
          <w:rStyle w:val="FootnoteReference"/>
        </w:rPr>
        <w:footnoteReference w:id="136"/>
      </w:r>
      <w:r w:rsidRPr="00503F5B">
        <w:t xml:space="preserve"> for all the options including a comparison with current fees.</w:t>
      </w:r>
    </w:p>
    <w:p w14:paraId="2E0C66B7" w14:textId="77777777" w:rsidR="005F587F" w:rsidRPr="00503F5B" w:rsidRDefault="005F587F" w:rsidP="005F587F">
      <w:pPr>
        <w:jc w:val="both"/>
      </w:pPr>
    </w:p>
    <w:p w14:paraId="2CCD5140" w14:textId="451E38FF" w:rsidR="005F587F" w:rsidRPr="00503F5B" w:rsidRDefault="005F587F" w:rsidP="005F587F">
      <w:pPr>
        <w:ind w:firstLine="284"/>
        <w:jc w:val="center"/>
        <w:rPr>
          <w:b/>
          <w:sz w:val="20"/>
          <w:szCs w:val="20"/>
        </w:rPr>
      </w:pPr>
      <w:r w:rsidRPr="00503F5B">
        <w:rPr>
          <w:b/>
          <w:sz w:val="20"/>
          <w:szCs w:val="20"/>
        </w:rPr>
        <w:t xml:space="preserve">Table </w:t>
      </w:r>
      <w:r w:rsidR="00E76BEA" w:rsidRPr="00503F5B">
        <w:rPr>
          <w:b/>
          <w:sz w:val="20"/>
          <w:szCs w:val="20"/>
        </w:rPr>
        <w:t>22</w:t>
      </w:r>
      <w:r w:rsidRPr="00503F5B">
        <w:rPr>
          <w:b/>
          <w:sz w:val="20"/>
          <w:szCs w:val="20"/>
        </w:rPr>
        <w:t>: Summary of fees and estimated 10-year fee revenue in 201</w:t>
      </w:r>
      <w:r w:rsidR="0025645D" w:rsidRPr="00503F5B">
        <w:rPr>
          <w:b/>
          <w:sz w:val="20"/>
          <w:szCs w:val="20"/>
        </w:rPr>
        <w:t>9</w:t>
      </w:r>
      <w:r w:rsidRPr="00503F5B">
        <w:rPr>
          <w:b/>
          <w:sz w:val="20"/>
          <w:szCs w:val="20"/>
        </w:rPr>
        <w:t>-</w:t>
      </w:r>
      <w:r w:rsidR="0025645D" w:rsidRPr="00503F5B">
        <w:rPr>
          <w:b/>
          <w:sz w:val="20"/>
          <w:szCs w:val="20"/>
        </w:rPr>
        <w:t>20</w:t>
      </w:r>
      <w:r w:rsidRPr="00503F5B">
        <w:rPr>
          <w:b/>
          <w:sz w:val="20"/>
          <w:szCs w:val="20"/>
        </w:rPr>
        <w:t xml:space="preserve"> present value dollars</w:t>
      </w:r>
      <w:r w:rsidRPr="00503F5B">
        <w:rPr>
          <w:rStyle w:val="FootnoteReference"/>
          <w:b/>
          <w:sz w:val="20"/>
          <w:szCs w:val="20"/>
        </w:rPr>
        <w:footnoteReference w:id="137"/>
      </w:r>
    </w:p>
    <w:tbl>
      <w:tblPr>
        <w:tblW w:w="9214" w:type="dxa"/>
        <w:jc w:val="center"/>
        <w:tblLayout w:type="fixed"/>
        <w:tblLook w:val="00A0" w:firstRow="1" w:lastRow="0" w:firstColumn="1" w:lastColumn="0" w:noHBand="0" w:noVBand="0"/>
      </w:tblPr>
      <w:tblGrid>
        <w:gridCol w:w="7655"/>
        <w:gridCol w:w="1559"/>
      </w:tblGrid>
      <w:tr w:rsidR="005F587F" w:rsidRPr="00503F5B" w14:paraId="2460A597" w14:textId="77777777" w:rsidTr="00EA0236">
        <w:trPr>
          <w:trHeight w:val="71"/>
          <w:tblHeader/>
          <w:jc w:val="center"/>
        </w:trPr>
        <w:tc>
          <w:tcPr>
            <w:tcW w:w="7655" w:type="dxa"/>
            <w:tcBorders>
              <w:top w:val="single" w:sz="4" w:space="0" w:color="ED7C5D"/>
              <w:bottom w:val="double" w:sz="4" w:space="0" w:color="ED7C5D"/>
            </w:tcBorders>
            <w:shd w:val="clear" w:color="auto" w:fill="auto"/>
          </w:tcPr>
          <w:p w14:paraId="743355BD" w14:textId="34EB6065" w:rsidR="005F587F" w:rsidRPr="00503F5B" w:rsidRDefault="005F587F" w:rsidP="007D5ED3">
            <w:pPr>
              <w:jc w:val="both"/>
              <w:rPr>
                <w:b/>
                <w:color w:val="BE2A18"/>
                <w:sz w:val="20"/>
                <w:szCs w:val="20"/>
              </w:rPr>
            </w:pPr>
            <w:r w:rsidRPr="00503F5B">
              <w:rPr>
                <w:b/>
                <w:color w:val="BE2A18"/>
                <w:sz w:val="20"/>
                <w:szCs w:val="20"/>
              </w:rPr>
              <w:t>Fee</w:t>
            </w:r>
            <w:r w:rsidR="0025645D" w:rsidRPr="00503F5B">
              <w:rPr>
                <w:b/>
                <w:color w:val="BE2A18"/>
                <w:sz w:val="20"/>
                <w:szCs w:val="20"/>
              </w:rPr>
              <w:t xml:space="preserve"> </w:t>
            </w:r>
            <w:r w:rsidRPr="00503F5B">
              <w:rPr>
                <w:b/>
                <w:color w:val="BE2A18"/>
                <w:sz w:val="20"/>
                <w:szCs w:val="20"/>
              </w:rPr>
              <w:t>category</w:t>
            </w:r>
          </w:p>
        </w:tc>
        <w:tc>
          <w:tcPr>
            <w:tcW w:w="1559" w:type="dxa"/>
            <w:tcBorders>
              <w:top w:val="single" w:sz="4" w:space="0" w:color="ED7C5D"/>
              <w:bottom w:val="double" w:sz="4" w:space="0" w:color="ED7C5D"/>
            </w:tcBorders>
            <w:shd w:val="clear" w:color="auto" w:fill="auto"/>
          </w:tcPr>
          <w:p w14:paraId="706D18E3" w14:textId="77777777" w:rsidR="005F587F" w:rsidRPr="00503F5B" w:rsidRDefault="005F587F" w:rsidP="007D5ED3">
            <w:pPr>
              <w:jc w:val="center"/>
              <w:rPr>
                <w:b/>
                <w:color w:val="BE2A18"/>
                <w:sz w:val="20"/>
                <w:szCs w:val="20"/>
              </w:rPr>
            </w:pPr>
            <w:r w:rsidRPr="00503F5B">
              <w:rPr>
                <w:b/>
                <w:color w:val="BE2A18"/>
                <w:sz w:val="20"/>
                <w:szCs w:val="20"/>
              </w:rPr>
              <w:t>Total 10-year revenue</w:t>
            </w:r>
          </w:p>
        </w:tc>
      </w:tr>
      <w:tr w:rsidR="005F587F" w:rsidRPr="00503F5B" w14:paraId="1ADD6E62" w14:textId="77777777" w:rsidTr="00EA0236">
        <w:trPr>
          <w:trHeight w:val="50"/>
          <w:jc w:val="center"/>
        </w:trPr>
        <w:tc>
          <w:tcPr>
            <w:tcW w:w="7655" w:type="dxa"/>
            <w:tcBorders>
              <w:top w:val="double" w:sz="4" w:space="0" w:color="ED7C5D"/>
            </w:tcBorders>
            <w:shd w:val="clear" w:color="auto" w:fill="auto"/>
          </w:tcPr>
          <w:p w14:paraId="2ABD65B4" w14:textId="7680EEF9" w:rsidR="005F587F" w:rsidRPr="00503F5B" w:rsidRDefault="005F587F" w:rsidP="00DA1085">
            <w:pPr>
              <w:spacing w:before="240" w:after="240"/>
              <w:jc w:val="both"/>
              <w:rPr>
                <w:b/>
                <w:bCs/>
                <w:sz w:val="20"/>
                <w:szCs w:val="20"/>
              </w:rPr>
            </w:pPr>
            <w:r w:rsidRPr="00503F5B">
              <w:rPr>
                <w:b/>
                <w:bCs/>
                <w:sz w:val="20"/>
                <w:szCs w:val="20"/>
              </w:rPr>
              <w:t xml:space="preserve">Current </w:t>
            </w:r>
            <w:r w:rsidRPr="00503F5B">
              <w:rPr>
                <w:sz w:val="20"/>
                <w:szCs w:val="20"/>
              </w:rPr>
              <w:t>partial cost recovery quarterly hour fee</w:t>
            </w:r>
            <w:r w:rsidR="0025645D" w:rsidRPr="00503F5B">
              <w:rPr>
                <w:sz w:val="20"/>
                <w:szCs w:val="20"/>
              </w:rPr>
              <w:t xml:space="preserve"> of </w:t>
            </w:r>
            <w:r w:rsidR="0025645D" w:rsidRPr="00503F5B">
              <w:rPr>
                <w:b/>
                <w:bCs/>
                <w:sz w:val="20"/>
                <w:szCs w:val="20"/>
              </w:rPr>
              <w:t>$578.48</w:t>
            </w:r>
            <w:r w:rsidR="0025645D" w:rsidRPr="00503F5B">
              <w:rPr>
                <w:sz w:val="20"/>
                <w:szCs w:val="20"/>
              </w:rPr>
              <w:t xml:space="preserve"> (for MFB) and </w:t>
            </w:r>
            <w:r w:rsidR="0025645D" w:rsidRPr="00503F5B">
              <w:rPr>
                <w:b/>
                <w:bCs/>
                <w:sz w:val="20"/>
                <w:szCs w:val="20"/>
              </w:rPr>
              <w:t>$584.25</w:t>
            </w:r>
            <w:r w:rsidR="0025645D" w:rsidRPr="00503F5B">
              <w:rPr>
                <w:sz w:val="20"/>
                <w:szCs w:val="20"/>
              </w:rPr>
              <w:t xml:space="preserve"> (for CFA)</w:t>
            </w:r>
          </w:p>
        </w:tc>
        <w:tc>
          <w:tcPr>
            <w:tcW w:w="1559" w:type="dxa"/>
            <w:tcBorders>
              <w:top w:val="double" w:sz="4" w:space="0" w:color="ED7C5D"/>
            </w:tcBorders>
            <w:shd w:val="clear" w:color="auto" w:fill="auto"/>
            <w:vAlign w:val="center"/>
          </w:tcPr>
          <w:p w14:paraId="3EF367AF" w14:textId="38D239E9" w:rsidR="005F587F" w:rsidRPr="00503F5B" w:rsidRDefault="00537FD0" w:rsidP="00DA1085">
            <w:pPr>
              <w:spacing w:before="240" w:after="240"/>
              <w:jc w:val="right"/>
              <w:rPr>
                <w:b/>
                <w:bCs/>
                <w:sz w:val="20"/>
                <w:szCs w:val="20"/>
              </w:rPr>
            </w:pPr>
            <w:r w:rsidRPr="00503F5B">
              <w:rPr>
                <w:b/>
                <w:bCs/>
                <w:sz w:val="20"/>
                <w:szCs w:val="20"/>
              </w:rPr>
              <w:t>$121,971,047</w:t>
            </w:r>
          </w:p>
        </w:tc>
      </w:tr>
      <w:tr w:rsidR="005F587F" w:rsidRPr="00503F5B" w14:paraId="03E3DF8C" w14:textId="77777777" w:rsidTr="00EA0236">
        <w:trPr>
          <w:trHeight w:val="80"/>
          <w:jc w:val="center"/>
        </w:trPr>
        <w:tc>
          <w:tcPr>
            <w:tcW w:w="7655" w:type="dxa"/>
            <w:shd w:val="clear" w:color="auto" w:fill="auto"/>
          </w:tcPr>
          <w:p w14:paraId="14D12046" w14:textId="456C19A3" w:rsidR="005F587F" w:rsidRPr="00503F5B" w:rsidRDefault="005F587F" w:rsidP="00DA1085">
            <w:pPr>
              <w:spacing w:after="240"/>
              <w:jc w:val="both"/>
              <w:rPr>
                <w:sz w:val="20"/>
                <w:szCs w:val="20"/>
              </w:rPr>
            </w:pPr>
            <w:r w:rsidRPr="00503F5B">
              <w:rPr>
                <w:b/>
                <w:sz w:val="20"/>
                <w:szCs w:val="20"/>
              </w:rPr>
              <w:t>Option 1</w:t>
            </w:r>
            <w:r w:rsidRPr="00503F5B">
              <w:rPr>
                <w:sz w:val="20"/>
                <w:szCs w:val="20"/>
              </w:rPr>
              <w:t xml:space="preserve"> full cost recovery quarterly hour per appliance fee of </w:t>
            </w:r>
            <w:r w:rsidRPr="00503F5B">
              <w:rPr>
                <w:b/>
                <w:sz w:val="20"/>
                <w:szCs w:val="20"/>
              </w:rPr>
              <w:t>$2,510.29</w:t>
            </w:r>
          </w:p>
        </w:tc>
        <w:tc>
          <w:tcPr>
            <w:tcW w:w="1559" w:type="dxa"/>
            <w:shd w:val="clear" w:color="auto" w:fill="auto"/>
            <w:vAlign w:val="center"/>
          </w:tcPr>
          <w:p w14:paraId="35CFE729" w14:textId="0C01F7DA" w:rsidR="005F587F" w:rsidRPr="00503F5B" w:rsidRDefault="00494865" w:rsidP="00DA1085">
            <w:pPr>
              <w:spacing w:after="240"/>
              <w:jc w:val="right"/>
              <w:rPr>
                <w:b/>
                <w:bCs/>
                <w:sz w:val="20"/>
                <w:szCs w:val="20"/>
              </w:rPr>
            </w:pPr>
            <w:r w:rsidRPr="00503F5B">
              <w:rPr>
                <w:b/>
                <w:bCs/>
                <w:sz w:val="20"/>
                <w:szCs w:val="20"/>
              </w:rPr>
              <w:t>$510,541,325</w:t>
            </w:r>
          </w:p>
        </w:tc>
      </w:tr>
      <w:tr w:rsidR="005F587F" w:rsidRPr="00503F5B" w14:paraId="16A3869A" w14:textId="77777777" w:rsidTr="00EA0236">
        <w:trPr>
          <w:trHeight w:val="80"/>
          <w:jc w:val="center"/>
        </w:trPr>
        <w:tc>
          <w:tcPr>
            <w:tcW w:w="7655" w:type="dxa"/>
            <w:shd w:val="clear" w:color="auto" w:fill="auto"/>
          </w:tcPr>
          <w:p w14:paraId="307E5B00" w14:textId="6F6E0759" w:rsidR="005F587F" w:rsidRPr="00503F5B" w:rsidRDefault="005F587F" w:rsidP="00DA1085">
            <w:pPr>
              <w:spacing w:after="240"/>
              <w:jc w:val="both"/>
              <w:rPr>
                <w:sz w:val="20"/>
                <w:szCs w:val="20"/>
              </w:rPr>
            </w:pPr>
            <w:r w:rsidRPr="00503F5B">
              <w:rPr>
                <w:b/>
                <w:sz w:val="20"/>
                <w:szCs w:val="20"/>
              </w:rPr>
              <w:t>Option 2</w:t>
            </w:r>
            <w:r w:rsidRPr="00503F5B">
              <w:rPr>
                <w:sz w:val="20"/>
                <w:szCs w:val="20"/>
              </w:rPr>
              <w:t xml:space="preserve"> partial cost recovery quarterly hour per appliance fee of </w:t>
            </w:r>
            <w:r w:rsidRPr="00503F5B">
              <w:rPr>
                <w:b/>
                <w:sz w:val="20"/>
                <w:szCs w:val="20"/>
              </w:rPr>
              <w:t>$</w:t>
            </w:r>
            <w:r w:rsidR="00C37F54" w:rsidRPr="00503F5B">
              <w:rPr>
                <w:b/>
                <w:sz w:val="20"/>
                <w:szCs w:val="20"/>
              </w:rPr>
              <w:t>578</w:t>
            </w:r>
            <w:r w:rsidRPr="00503F5B">
              <w:rPr>
                <w:b/>
                <w:sz w:val="20"/>
                <w:szCs w:val="20"/>
              </w:rPr>
              <w:t>.</w:t>
            </w:r>
            <w:r w:rsidR="00C37F54" w:rsidRPr="00503F5B">
              <w:rPr>
                <w:b/>
                <w:sz w:val="20"/>
                <w:szCs w:val="20"/>
              </w:rPr>
              <w:t>48</w:t>
            </w:r>
          </w:p>
        </w:tc>
        <w:tc>
          <w:tcPr>
            <w:tcW w:w="1559" w:type="dxa"/>
            <w:shd w:val="clear" w:color="auto" w:fill="auto"/>
            <w:vAlign w:val="center"/>
          </w:tcPr>
          <w:p w14:paraId="7A75DCC6" w14:textId="6B1CDC23" w:rsidR="005F587F" w:rsidRPr="00503F5B" w:rsidRDefault="00A71D41" w:rsidP="00DA1085">
            <w:pPr>
              <w:spacing w:after="240"/>
              <w:jc w:val="right"/>
              <w:rPr>
                <w:b/>
                <w:bCs/>
                <w:sz w:val="20"/>
                <w:szCs w:val="20"/>
              </w:rPr>
            </w:pPr>
            <w:r w:rsidRPr="00503F5B">
              <w:rPr>
                <w:b/>
                <w:bCs/>
                <w:sz w:val="20"/>
                <w:szCs w:val="20"/>
              </w:rPr>
              <w:t>$121,398,804</w:t>
            </w:r>
          </w:p>
        </w:tc>
      </w:tr>
      <w:tr w:rsidR="005F587F" w:rsidRPr="00503F5B" w14:paraId="2965358E" w14:textId="77777777" w:rsidTr="00EA0236">
        <w:trPr>
          <w:trHeight w:val="80"/>
          <w:jc w:val="center"/>
        </w:trPr>
        <w:tc>
          <w:tcPr>
            <w:tcW w:w="7655" w:type="dxa"/>
            <w:shd w:val="clear" w:color="auto" w:fill="auto"/>
          </w:tcPr>
          <w:p w14:paraId="13A8A950" w14:textId="7635238E" w:rsidR="005F587F" w:rsidRPr="00503F5B" w:rsidRDefault="005F587F" w:rsidP="00DA1085">
            <w:pPr>
              <w:spacing w:after="240"/>
              <w:jc w:val="both"/>
              <w:rPr>
                <w:b/>
                <w:sz w:val="20"/>
                <w:szCs w:val="20"/>
              </w:rPr>
            </w:pPr>
            <w:r w:rsidRPr="00503F5B">
              <w:rPr>
                <w:b/>
                <w:sz w:val="20"/>
                <w:szCs w:val="20"/>
              </w:rPr>
              <w:t>Option 3</w:t>
            </w:r>
            <w:r w:rsidRPr="00503F5B">
              <w:rPr>
                <w:sz w:val="20"/>
                <w:szCs w:val="20"/>
              </w:rPr>
              <w:t xml:space="preserve"> partial cost recovery quarterly hour per appliance fee of </w:t>
            </w:r>
            <w:r w:rsidRPr="00503F5B">
              <w:rPr>
                <w:b/>
                <w:sz w:val="20"/>
                <w:szCs w:val="20"/>
              </w:rPr>
              <w:t>$310.88</w:t>
            </w:r>
            <w:r w:rsidR="007F13D1" w:rsidRPr="00503F5B">
              <w:rPr>
                <w:b/>
                <w:sz w:val="20"/>
                <w:szCs w:val="20"/>
              </w:rPr>
              <w:t xml:space="preserve"> </w:t>
            </w:r>
            <w:r w:rsidR="007F13D1" w:rsidRPr="00503F5B">
              <w:rPr>
                <w:bCs/>
                <w:sz w:val="20"/>
                <w:szCs w:val="20"/>
              </w:rPr>
              <w:t xml:space="preserve">with a maximum </w:t>
            </w:r>
            <w:r w:rsidR="00D97EAB" w:rsidRPr="00503F5B">
              <w:rPr>
                <w:bCs/>
                <w:sz w:val="20"/>
                <w:szCs w:val="20"/>
              </w:rPr>
              <w:t xml:space="preserve">attendance </w:t>
            </w:r>
            <w:r w:rsidR="007F13D1" w:rsidRPr="00503F5B">
              <w:rPr>
                <w:bCs/>
                <w:sz w:val="20"/>
                <w:szCs w:val="20"/>
              </w:rPr>
              <w:t xml:space="preserve">fee of </w:t>
            </w:r>
            <w:r w:rsidR="007F13D1" w:rsidRPr="00503F5B">
              <w:rPr>
                <w:b/>
                <w:sz w:val="20"/>
                <w:szCs w:val="20"/>
              </w:rPr>
              <w:t xml:space="preserve">$1,600 </w:t>
            </w:r>
          </w:p>
        </w:tc>
        <w:tc>
          <w:tcPr>
            <w:tcW w:w="1559" w:type="dxa"/>
            <w:shd w:val="clear" w:color="auto" w:fill="auto"/>
            <w:vAlign w:val="center"/>
          </w:tcPr>
          <w:p w14:paraId="48741C0F" w14:textId="69FC0803" w:rsidR="005F587F" w:rsidRPr="00503F5B" w:rsidRDefault="002067BA" w:rsidP="00DA1085">
            <w:pPr>
              <w:spacing w:after="240"/>
              <w:jc w:val="right"/>
              <w:rPr>
                <w:b/>
                <w:bCs/>
                <w:sz w:val="20"/>
                <w:szCs w:val="20"/>
              </w:rPr>
            </w:pPr>
            <w:r w:rsidRPr="00503F5B">
              <w:rPr>
                <w:b/>
                <w:bCs/>
                <w:sz w:val="20"/>
                <w:szCs w:val="20"/>
              </w:rPr>
              <w:t>$63,685,186</w:t>
            </w:r>
          </w:p>
        </w:tc>
      </w:tr>
      <w:tr w:rsidR="005F587F" w:rsidRPr="00503F5B" w14:paraId="3686E212" w14:textId="77777777" w:rsidTr="00EA0236">
        <w:trPr>
          <w:jc w:val="center"/>
        </w:trPr>
        <w:tc>
          <w:tcPr>
            <w:tcW w:w="7655" w:type="dxa"/>
            <w:tcBorders>
              <w:bottom w:val="single" w:sz="4" w:space="0" w:color="ED7C5D"/>
            </w:tcBorders>
            <w:shd w:val="clear" w:color="auto" w:fill="auto"/>
          </w:tcPr>
          <w:p w14:paraId="27A0A451" w14:textId="2AF1F47F" w:rsidR="005F587F" w:rsidRPr="00503F5B" w:rsidRDefault="005F587F" w:rsidP="00DA1085">
            <w:pPr>
              <w:spacing w:after="240"/>
              <w:jc w:val="both"/>
              <w:rPr>
                <w:sz w:val="20"/>
                <w:szCs w:val="20"/>
              </w:rPr>
            </w:pPr>
            <w:r w:rsidRPr="00503F5B">
              <w:rPr>
                <w:b/>
                <w:sz w:val="20"/>
                <w:szCs w:val="20"/>
              </w:rPr>
              <w:t>Option 4</w:t>
            </w:r>
            <w:r w:rsidRPr="00503F5B">
              <w:rPr>
                <w:sz w:val="20"/>
                <w:szCs w:val="20"/>
              </w:rPr>
              <w:t xml:space="preserve"> partial cost recovery per </w:t>
            </w:r>
            <w:r w:rsidR="007F13D1" w:rsidRPr="00503F5B">
              <w:rPr>
                <w:sz w:val="20"/>
                <w:szCs w:val="20"/>
              </w:rPr>
              <w:t xml:space="preserve">fixed </w:t>
            </w:r>
            <w:r w:rsidRPr="00503F5B">
              <w:rPr>
                <w:sz w:val="20"/>
                <w:szCs w:val="20"/>
              </w:rPr>
              <w:t xml:space="preserve">attendance fee of </w:t>
            </w:r>
            <w:r w:rsidRPr="00503F5B">
              <w:rPr>
                <w:b/>
                <w:sz w:val="20"/>
                <w:szCs w:val="20"/>
              </w:rPr>
              <w:t>$1,600.00</w:t>
            </w:r>
          </w:p>
        </w:tc>
        <w:tc>
          <w:tcPr>
            <w:tcW w:w="1559" w:type="dxa"/>
            <w:tcBorders>
              <w:bottom w:val="single" w:sz="4" w:space="0" w:color="ED7C5D"/>
            </w:tcBorders>
            <w:shd w:val="clear" w:color="auto" w:fill="auto"/>
            <w:vAlign w:val="center"/>
          </w:tcPr>
          <w:p w14:paraId="58CC73E4" w14:textId="73DF96D2" w:rsidR="005F587F" w:rsidRPr="00503F5B" w:rsidRDefault="00EA0236" w:rsidP="00DA1085">
            <w:pPr>
              <w:spacing w:after="240"/>
              <w:jc w:val="right"/>
              <w:rPr>
                <w:b/>
                <w:bCs/>
                <w:sz w:val="20"/>
                <w:szCs w:val="20"/>
              </w:rPr>
            </w:pPr>
            <w:r w:rsidRPr="00503F5B">
              <w:rPr>
                <w:b/>
                <w:bCs/>
                <w:sz w:val="20"/>
                <w:szCs w:val="20"/>
              </w:rPr>
              <w:t>$65,263,565</w:t>
            </w:r>
          </w:p>
        </w:tc>
      </w:tr>
    </w:tbl>
    <w:p w14:paraId="5B173DD4" w14:textId="77777777" w:rsidR="00BB4FE1" w:rsidRPr="00503F5B" w:rsidRDefault="00BB4FE1" w:rsidP="001D51D6">
      <w:pPr>
        <w:jc w:val="both"/>
        <w:rPr>
          <w:b/>
          <w:i/>
        </w:rPr>
      </w:pPr>
    </w:p>
    <w:p w14:paraId="496416A3" w14:textId="77777777" w:rsidR="00BB4FE1" w:rsidRPr="00503F5B" w:rsidRDefault="00BB4FE1" w:rsidP="001D51D6">
      <w:pPr>
        <w:jc w:val="both"/>
        <w:rPr>
          <w:b/>
          <w:i/>
        </w:rPr>
      </w:pPr>
    </w:p>
    <w:p w14:paraId="424A1C39" w14:textId="330FF8FC" w:rsidR="0025645D" w:rsidRPr="00503F5B" w:rsidRDefault="0025645D" w:rsidP="00517C6D">
      <w:bookmarkStart w:id="159" w:name="_Toc457772542"/>
      <w:r w:rsidRPr="00503F5B">
        <w:br w:type="page"/>
      </w:r>
    </w:p>
    <w:p w14:paraId="3649B1C0" w14:textId="4A733F24" w:rsidR="001D51D6" w:rsidRPr="00503F5B" w:rsidRDefault="001D51D6" w:rsidP="0080683B">
      <w:pPr>
        <w:pStyle w:val="Heading1"/>
      </w:pPr>
      <w:bookmarkStart w:id="160" w:name="_Toc35804142"/>
      <w:bookmarkStart w:id="161" w:name="_Toc35804636"/>
      <w:bookmarkStart w:id="162" w:name="_Toc35812680"/>
      <w:r w:rsidRPr="00503F5B">
        <w:lastRenderedPageBreak/>
        <w:t>Section 5: Costs and benefits of the options</w:t>
      </w:r>
      <w:bookmarkEnd w:id="159"/>
      <w:bookmarkEnd w:id="160"/>
      <w:bookmarkEnd w:id="161"/>
      <w:bookmarkEnd w:id="162"/>
    </w:p>
    <w:p w14:paraId="7E0B94A2" w14:textId="561C09B3" w:rsidR="00C853EE" w:rsidRPr="00503F5B" w:rsidRDefault="00C853EE" w:rsidP="00C853EE">
      <w:pPr>
        <w:jc w:val="both"/>
        <w:rPr>
          <w:rFonts w:eastAsia="Times New Roman"/>
        </w:rPr>
      </w:pPr>
      <w:r w:rsidRPr="00503F5B">
        <w:t>The costs and benefits of the proposed options are considered relative to the ‘base case’ of no regulations and the continued operation of other related legislation</w:t>
      </w:r>
      <w:r w:rsidRPr="00503F5B">
        <w:rPr>
          <w:rFonts w:eastAsia="Times New Roman" w:cs="Courier New"/>
          <w:lang w:eastAsia="en-AU"/>
        </w:rPr>
        <w:t>,</w:t>
      </w:r>
      <w:r w:rsidRPr="00503F5B">
        <w:rPr>
          <w:rFonts w:eastAsia="Times New Roman"/>
        </w:rPr>
        <w:t xml:space="preserve"> as identified in Section 2.3.2 of this RIS. </w:t>
      </w:r>
      <w:r w:rsidRPr="00503F5B">
        <w:rPr>
          <w:rFonts w:eastAsia="Times New Roman" w:cs="Courier New"/>
          <w:lang w:eastAsia="en-AU"/>
        </w:rPr>
        <w:t>Discounted</w:t>
      </w:r>
      <w:r w:rsidRPr="00503F5B">
        <w:rPr>
          <w:rFonts w:eastAsia="Times New Roman" w:cs="Courier New"/>
          <w:vertAlign w:val="superscript"/>
          <w:lang w:eastAsia="en-AU"/>
        </w:rPr>
        <w:footnoteReference w:id="138"/>
      </w:r>
      <w:r w:rsidRPr="00503F5B">
        <w:rPr>
          <w:rFonts w:eastAsia="Times New Roman" w:cs="Courier New"/>
          <w:lang w:eastAsia="en-AU"/>
        </w:rPr>
        <w:t xml:space="preserve"> quantitative estimates of costs have been made over the life of the proposed regulations or other options in conjunction with qualitative criteria regarding the achievement of the policy objective. </w:t>
      </w:r>
      <w:r w:rsidRPr="00503F5B">
        <w:rPr>
          <w:rFonts w:eastAsia="Times New Roman"/>
        </w:rPr>
        <w:t>Qualitative efficiency, equity and effectiveness criteria are applied to a</w:t>
      </w:r>
      <w:r w:rsidRPr="00503F5B">
        <w:rPr>
          <w:rFonts w:eastAsia="Times New Roman"/>
          <w:i/>
        </w:rPr>
        <w:t xml:space="preserve"> Multi-Criteria Analysis (MCA)</w:t>
      </w:r>
      <w:r w:rsidRPr="00503F5B">
        <w:rPr>
          <w:rFonts w:eastAsia="Times New Roman"/>
        </w:rPr>
        <w:t>.</w:t>
      </w:r>
    </w:p>
    <w:p w14:paraId="3A37B321" w14:textId="77777777" w:rsidR="001D51D6" w:rsidRPr="00503F5B" w:rsidRDefault="001D51D6" w:rsidP="001D51D6">
      <w:pPr>
        <w:pStyle w:val="Heading2"/>
      </w:pPr>
      <w:bookmarkStart w:id="163" w:name="_Toc35804143"/>
      <w:bookmarkStart w:id="164" w:name="_Toc35804637"/>
      <w:bookmarkStart w:id="165" w:name="_Toc35812681"/>
      <w:r w:rsidRPr="00503F5B">
        <w:t>5.1 The assessment of costs and benefits</w:t>
      </w:r>
      <w:bookmarkEnd w:id="163"/>
      <w:bookmarkEnd w:id="164"/>
      <w:bookmarkEnd w:id="165"/>
    </w:p>
    <w:p w14:paraId="6C8786D2" w14:textId="7E9140B2" w:rsidR="00C853EE" w:rsidRPr="00503F5B" w:rsidRDefault="00C853EE" w:rsidP="00C853EE">
      <w:pPr>
        <w:jc w:val="both"/>
        <w:rPr>
          <w:rFonts w:cs="Courier New"/>
          <w:lang w:eastAsia="en-AU"/>
        </w:rPr>
      </w:pPr>
      <w:r w:rsidRPr="00503F5B">
        <w:t xml:space="preserve">This section undertakes an assessment of the costs and benefits of the proposed regulations and options by discussing each option in terms of its expected incidence and distribution of costs and benefits, relative to the ‘base case’ (defined in Section 2.3.2 of the RIS). A comparison of fees amongst each of the Options (1 to 4) is provided in this section.  </w:t>
      </w:r>
      <w:r w:rsidRPr="00503F5B">
        <w:rPr>
          <w:rFonts w:eastAsia="Times New Roman" w:cs="Courier New"/>
          <w:lang w:eastAsia="en-AU"/>
        </w:rPr>
        <w:t xml:space="preserve">The evaluation of the relative benefits and costs each option has been conducted in relation to how well the policy objectives identified in Section 3 of this RIS are likely to be achieved and how well the option adheres to the principles of the Guidelines. </w:t>
      </w:r>
      <w:r w:rsidRPr="00503F5B">
        <w:rPr>
          <w:rFonts w:cs="Courier New"/>
          <w:lang w:eastAsia="en-AU"/>
        </w:rPr>
        <w:t>The following criteria and weightings in Table 23 have been used to assess the ability of options to meet the policy objective and are applied to the MCA:</w:t>
      </w:r>
    </w:p>
    <w:p w14:paraId="7324292A" w14:textId="77777777" w:rsidR="001D51D6" w:rsidRPr="00503F5B" w:rsidRDefault="001D51D6" w:rsidP="001D51D6">
      <w:pPr>
        <w:pStyle w:val="BodyText2"/>
        <w:rPr>
          <w:rFonts w:ascii="Calibri" w:eastAsia="Times New Roman" w:hAnsi="Calibri" w:cs="Courier New"/>
          <w:sz w:val="22"/>
          <w:szCs w:val="22"/>
          <w:lang w:eastAsia="en-AU"/>
        </w:rPr>
      </w:pPr>
    </w:p>
    <w:p w14:paraId="4D4C218D" w14:textId="453DF699" w:rsidR="001D51D6" w:rsidRPr="00503F5B" w:rsidRDefault="001D51D6" w:rsidP="001D51D6">
      <w:pPr>
        <w:pStyle w:val="BodyText2"/>
        <w:spacing w:after="120"/>
        <w:jc w:val="center"/>
        <w:rPr>
          <w:rFonts w:ascii="Calibri" w:eastAsia="Times New Roman" w:hAnsi="Calibri" w:cs="Courier New"/>
          <w:sz w:val="22"/>
          <w:szCs w:val="22"/>
          <w:lang w:eastAsia="en-AU"/>
        </w:rPr>
      </w:pPr>
      <w:r w:rsidRPr="00503F5B">
        <w:rPr>
          <w:rFonts w:ascii="Calibri" w:eastAsia="Times New Roman" w:hAnsi="Calibri" w:cs="Courier New"/>
          <w:b/>
          <w:sz w:val="20"/>
          <w:szCs w:val="22"/>
          <w:lang w:eastAsia="en-AU"/>
        </w:rPr>
        <w:t xml:space="preserve">Table </w:t>
      </w:r>
      <w:r w:rsidR="00C853EE" w:rsidRPr="00503F5B">
        <w:rPr>
          <w:rFonts w:ascii="Calibri" w:eastAsia="Times New Roman" w:hAnsi="Calibri" w:cs="Courier New"/>
          <w:b/>
          <w:sz w:val="20"/>
          <w:szCs w:val="22"/>
          <w:lang w:eastAsia="en-AU"/>
        </w:rPr>
        <w:t>23</w:t>
      </w:r>
      <w:r w:rsidRPr="00503F5B">
        <w:rPr>
          <w:rFonts w:ascii="Calibri" w:eastAsia="Times New Roman" w:hAnsi="Calibri" w:cs="Courier New"/>
          <w:b/>
          <w:sz w:val="20"/>
          <w:szCs w:val="22"/>
          <w:lang w:eastAsia="en-AU"/>
        </w:rPr>
        <w:t>: Criteria to be used for MCA</w:t>
      </w:r>
    </w:p>
    <w:tbl>
      <w:tblPr>
        <w:tblW w:w="8330" w:type="dxa"/>
        <w:tblLayout w:type="fixed"/>
        <w:tblLook w:val="04A0" w:firstRow="1" w:lastRow="0" w:firstColumn="1" w:lastColumn="0" w:noHBand="0" w:noVBand="1"/>
      </w:tblPr>
      <w:tblGrid>
        <w:gridCol w:w="1701"/>
        <w:gridCol w:w="5495"/>
        <w:gridCol w:w="1134"/>
      </w:tblGrid>
      <w:tr w:rsidR="001D51D6" w:rsidRPr="00503F5B" w14:paraId="15C5AE59" w14:textId="77777777" w:rsidTr="00E04C6D">
        <w:trPr>
          <w:tblHeader/>
        </w:trPr>
        <w:tc>
          <w:tcPr>
            <w:tcW w:w="1701" w:type="dxa"/>
            <w:tcBorders>
              <w:top w:val="single" w:sz="4" w:space="0" w:color="ED7C5D"/>
              <w:bottom w:val="double" w:sz="4" w:space="0" w:color="ED7C5D"/>
            </w:tcBorders>
          </w:tcPr>
          <w:p w14:paraId="7CAFEA46" w14:textId="77777777" w:rsidR="001D51D6" w:rsidRPr="00503F5B" w:rsidRDefault="001D51D6" w:rsidP="00E04C6D">
            <w:pPr>
              <w:pStyle w:val="BodyText2"/>
              <w:rPr>
                <w:rFonts w:ascii="Calibri" w:eastAsia="Times New Roman" w:hAnsi="Calibri" w:cs="Courier New"/>
                <w:b/>
                <w:color w:val="BE2A18"/>
                <w:sz w:val="20"/>
                <w:lang w:eastAsia="en-AU"/>
              </w:rPr>
            </w:pPr>
            <w:r w:rsidRPr="00503F5B">
              <w:rPr>
                <w:rFonts w:ascii="Calibri" w:eastAsia="Times New Roman" w:hAnsi="Calibri" w:cs="Courier New"/>
                <w:b/>
                <w:color w:val="BE2A18"/>
                <w:sz w:val="20"/>
                <w:lang w:eastAsia="en-AU"/>
              </w:rPr>
              <w:t>Criterion</w:t>
            </w:r>
          </w:p>
        </w:tc>
        <w:tc>
          <w:tcPr>
            <w:tcW w:w="5495" w:type="dxa"/>
            <w:tcBorders>
              <w:top w:val="single" w:sz="4" w:space="0" w:color="ED7C5D"/>
              <w:bottom w:val="double" w:sz="4" w:space="0" w:color="ED7C5D"/>
            </w:tcBorders>
          </w:tcPr>
          <w:p w14:paraId="03BB6749" w14:textId="77777777" w:rsidR="001D51D6" w:rsidRPr="00503F5B" w:rsidRDefault="001D51D6" w:rsidP="00E04C6D">
            <w:pPr>
              <w:pStyle w:val="BodyText2"/>
              <w:jc w:val="center"/>
              <w:rPr>
                <w:rFonts w:ascii="Calibri" w:eastAsia="Times New Roman" w:hAnsi="Calibri" w:cs="Courier New"/>
                <w:b/>
                <w:color w:val="BE2A18"/>
                <w:sz w:val="20"/>
                <w:lang w:eastAsia="en-AU"/>
              </w:rPr>
            </w:pPr>
            <w:r w:rsidRPr="00503F5B">
              <w:rPr>
                <w:rFonts w:ascii="Calibri" w:eastAsia="Times New Roman" w:hAnsi="Calibri" w:cs="Courier New"/>
                <w:b/>
                <w:color w:val="BE2A18"/>
                <w:sz w:val="20"/>
                <w:lang w:eastAsia="en-AU"/>
              </w:rPr>
              <w:t>Description</w:t>
            </w:r>
          </w:p>
        </w:tc>
        <w:tc>
          <w:tcPr>
            <w:tcW w:w="1134" w:type="dxa"/>
            <w:tcBorders>
              <w:top w:val="single" w:sz="4" w:space="0" w:color="ED7C5D"/>
              <w:bottom w:val="double" w:sz="4" w:space="0" w:color="ED7C5D"/>
            </w:tcBorders>
          </w:tcPr>
          <w:p w14:paraId="477605B4" w14:textId="77777777" w:rsidR="001D51D6" w:rsidRPr="00503F5B" w:rsidRDefault="001D51D6" w:rsidP="00E04C6D">
            <w:pPr>
              <w:pStyle w:val="BodyText2"/>
              <w:jc w:val="center"/>
              <w:rPr>
                <w:rFonts w:ascii="Calibri" w:eastAsia="Times New Roman" w:hAnsi="Calibri" w:cs="Courier New"/>
                <w:b/>
                <w:color w:val="BE2A18"/>
                <w:sz w:val="20"/>
                <w:lang w:eastAsia="en-AU"/>
              </w:rPr>
            </w:pPr>
            <w:r w:rsidRPr="00503F5B">
              <w:rPr>
                <w:rFonts w:ascii="Calibri" w:eastAsia="Times New Roman" w:hAnsi="Calibri" w:cs="Courier New"/>
                <w:b/>
                <w:color w:val="BE2A18"/>
                <w:sz w:val="20"/>
                <w:lang w:eastAsia="en-AU"/>
              </w:rPr>
              <w:t>Weighting</w:t>
            </w:r>
          </w:p>
        </w:tc>
      </w:tr>
      <w:tr w:rsidR="001D51D6" w:rsidRPr="00503F5B" w14:paraId="1774B2AF" w14:textId="77777777" w:rsidTr="00E04C6D">
        <w:tc>
          <w:tcPr>
            <w:tcW w:w="1701" w:type="dxa"/>
            <w:tcBorders>
              <w:top w:val="double" w:sz="4" w:space="0" w:color="ED7C5D"/>
            </w:tcBorders>
            <w:vAlign w:val="center"/>
          </w:tcPr>
          <w:p w14:paraId="5BBE4BA5" w14:textId="77777777" w:rsidR="001D51D6" w:rsidRPr="00503F5B" w:rsidRDefault="001D51D6" w:rsidP="00E04C6D">
            <w:pPr>
              <w:pStyle w:val="BodyText2"/>
              <w:jc w:val="center"/>
              <w:rPr>
                <w:rFonts w:ascii="Calibri" w:eastAsia="Times New Roman" w:hAnsi="Calibri" w:cs="Courier New"/>
                <w:b/>
                <w:sz w:val="20"/>
                <w:lang w:eastAsia="en-AU"/>
              </w:rPr>
            </w:pPr>
            <w:r w:rsidRPr="00503F5B">
              <w:rPr>
                <w:rFonts w:ascii="Calibri" w:hAnsi="Calibri" w:cs="Courier New"/>
                <w:b/>
                <w:sz w:val="20"/>
                <w:lang w:eastAsia="en-AU"/>
              </w:rPr>
              <w:t>Efficiency</w:t>
            </w:r>
          </w:p>
        </w:tc>
        <w:tc>
          <w:tcPr>
            <w:tcW w:w="5495" w:type="dxa"/>
            <w:tcBorders>
              <w:top w:val="double" w:sz="4" w:space="0" w:color="ED7C5D"/>
            </w:tcBorders>
          </w:tcPr>
          <w:p w14:paraId="2E68E570" w14:textId="77777777" w:rsidR="001D51D6" w:rsidRPr="00503F5B" w:rsidRDefault="001D51D6" w:rsidP="00E04C6D">
            <w:pPr>
              <w:pStyle w:val="BodyText2"/>
              <w:jc w:val="left"/>
              <w:rPr>
                <w:rFonts w:ascii="Calibri" w:hAnsi="Calibri" w:cs="Courier New"/>
                <w:sz w:val="20"/>
                <w:lang w:eastAsia="en-AU"/>
              </w:rPr>
            </w:pPr>
            <w:r w:rsidRPr="00503F5B">
              <w:rPr>
                <w:rFonts w:ascii="Calibri" w:hAnsi="Calibri" w:cs="Courier New"/>
                <w:sz w:val="20"/>
                <w:lang w:eastAsia="en-AU"/>
              </w:rPr>
              <w:t>Price of emergency attendance service reflects the true value of services in terms of the costs of providing the service and the benefits it provides.  Options with more efficient prices which allocate resources more efficiently to false alarm attendances (compared to the base case) receive a higher score</w:t>
            </w:r>
          </w:p>
        </w:tc>
        <w:tc>
          <w:tcPr>
            <w:tcW w:w="1134" w:type="dxa"/>
            <w:tcBorders>
              <w:top w:val="double" w:sz="4" w:space="0" w:color="ED7C5D"/>
            </w:tcBorders>
            <w:vAlign w:val="center"/>
          </w:tcPr>
          <w:p w14:paraId="0936D421" w14:textId="4BFEE150" w:rsidR="001D51D6" w:rsidRPr="00503F5B" w:rsidRDefault="00D97EAB" w:rsidP="00E04C6D">
            <w:pPr>
              <w:pStyle w:val="BodyText2"/>
              <w:jc w:val="center"/>
              <w:rPr>
                <w:rFonts w:ascii="Calibri" w:eastAsia="Times New Roman" w:hAnsi="Calibri" w:cs="Courier New"/>
                <w:sz w:val="20"/>
                <w:lang w:eastAsia="en-AU"/>
              </w:rPr>
            </w:pPr>
            <w:r w:rsidRPr="00503F5B">
              <w:rPr>
                <w:rFonts w:ascii="Calibri" w:hAnsi="Calibri" w:cs="Courier New"/>
                <w:sz w:val="20"/>
                <w:lang w:eastAsia="en-AU"/>
              </w:rPr>
              <w:t>20</w:t>
            </w:r>
            <w:r w:rsidR="001D51D6" w:rsidRPr="00503F5B">
              <w:rPr>
                <w:rFonts w:ascii="Calibri" w:hAnsi="Calibri" w:cs="Courier New"/>
                <w:sz w:val="20"/>
                <w:lang w:eastAsia="en-AU"/>
              </w:rPr>
              <w:t>%</w:t>
            </w:r>
          </w:p>
        </w:tc>
      </w:tr>
      <w:tr w:rsidR="001D51D6" w:rsidRPr="00503F5B" w14:paraId="7869043C" w14:textId="77777777" w:rsidTr="00E04C6D">
        <w:tc>
          <w:tcPr>
            <w:tcW w:w="1701" w:type="dxa"/>
            <w:tcBorders>
              <w:top w:val="single" w:sz="4" w:space="0" w:color="ED7C5D"/>
              <w:bottom w:val="single" w:sz="4" w:space="0" w:color="ED7C5D"/>
            </w:tcBorders>
            <w:vAlign w:val="center"/>
          </w:tcPr>
          <w:p w14:paraId="72F79BFE" w14:textId="77777777" w:rsidR="001D51D6" w:rsidRPr="00503F5B" w:rsidRDefault="001D51D6" w:rsidP="00E04C6D">
            <w:pPr>
              <w:pStyle w:val="BodyText2"/>
              <w:jc w:val="center"/>
              <w:rPr>
                <w:rFonts w:ascii="Calibri" w:eastAsia="Times New Roman" w:hAnsi="Calibri" w:cs="Courier New"/>
                <w:b/>
                <w:sz w:val="20"/>
                <w:lang w:eastAsia="en-AU"/>
              </w:rPr>
            </w:pPr>
            <w:r w:rsidRPr="00503F5B">
              <w:rPr>
                <w:rFonts w:ascii="Calibri" w:hAnsi="Calibri" w:cs="Courier New"/>
                <w:b/>
                <w:sz w:val="20"/>
                <w:lang w:eastAsia="en-AU"/>
              </w:rPr>
              <w:t>Equity</w:t>
            </w:r>
          </w:p>
        </w:tc>
        <w:tc>
          <w:tcPr>
            <w:tcW w:w="5495" w:type="dxa"/>
            <w:tcBorders>
              <w:top w:val="single" w:sz="4" w:space="0" w:color="ED7C5D"/>
              <w:bottom w:val="single" w:sz="4" w:space="0" w:color="ED7C5D"/>
            </w:tcBorders>
          </w:tcPr>
          <w:p w14:paraId="202856DC" w14:textId="77777777" w:rsidR="001D51D6" w:rsidRPr="00503F5B" w:rsidRDefault="001D51D6" w:rsidP="00E04C6D">
            <w:pPr>
              <w:pStyle w:val="BodyText2"/>
              <w:jc w:val="left"/>
              <w:rPr>
                <w:rFonts w:ascii="Calibri" w:hAnsi="Calibri" w:cs="Courier New"/>
                <w:sz w:val="20"/>
                <w:lang w:eastAsia="en-AU"/>
              </w:rPr>
            </w:pPr>
            <w:r w:rsidRPr="00503F5B">
              <w:rPr>
                <w:rFonts w:ascii="Calibri" w:hAnsi="Calibri" w:cs="Courier New"/>
                <w:sz w:val="20"/>
                <w:lang w:eastAsia="en-AU"/>
              </w:rPr>
              <w:t>Measures the scale and nature of any cross-subsidisation from one group to another.  Options with smaller or more equitable cross-subsidies between groups (compared to the base case) receive a higher score.</w:t>
            </w:r>
          </w:p>
        </w:tc>
        <w:tc>
          <w:tcPr>
            <w:tcW w:w="1134" w:type="dxa"/>
            <w:tcBorders>
              <w:top w:val="single" w:sz="4" w:space="0" w:color="ED7C5D"/>
              <w:bottom w:val="single" w:sz="4" w:space="0" w:color="ED7C5D"/>
            </w:tcBorders>
            <w:vAlign w:val="center"/>
          </w:tcPr>
          <w:p w14:paraId="46990BDD" w14:textId="0C16878B" w:rsidR="001D51D6" w:rsidRPr="00503F5B" w:rsidRDefault="00D97EAB" w:rsidP="00E04C6D">
            <w:pPr>
              <w:pStyle w:val="BodyText2"/>
              <w:jc w:val="center"/>
              <w:rPr>
                <w:rFonts w:ascii="Calibri" w:eastAsia="Times New Roman" w:hAnsi="Calibri" w:cs="Courier New"/>
                <w:sz w:val="20"/>
                <w:lang w:eastAsia="en-AU"/>
              </w:rPr>
            </w:pPr>
            <w:r w:rsidRPr="00503F5B">
              <w:rPr>
                <w:rFonts w:ascii="Calibri" w:hAnsi="Calibri" w:cs="Courier New"/>
                <w:sz w:val="20"/>
                <w:lang w:eastAsia="en-AU"/>
              </w:rPr>
              <w:t>20</w:t>
            </w:r>
            <w:r w:rsidR="001D51D6" w:rsidRPr="00503F5B">
              <w:rPr>
                <w:rFonts w:ascii="Calibri" w:hAnsi="Calibri" w:cs="Courier New"/>
                <w:sz w:val="20"/>
                <w:lang w:eastAsia="en-AU"/>
              </w:rPr>
              <w:t>%</w:t>
            </w:r>
          </w:p>
        </w:tc>
      </w:tr>
      <w:tr w:rsidR="001D51D6" w:rsidRPr="00503F5B" w14:paraId="733EB459" w14:textId="77777777" w:rsidTr="00E04C6D">
        <w:tc>
          <w:tcPr>
            <w:tcW w:w="1701" w:type="dxa"/>
            <w:tcBorders>
              <w:top w:val="single" w:sz="4" w:space="0" w:color="ED7C5D"/>
              <w:bottom w:val="single" w:sz="4" w:space="0" w:color="ED7C5D"/>
            </w:tcBorders>
            <w:vAlign w:val="center"/>
          </w:tcPr>
          <w:p w14:paraId="6FD461AA" w14:textId="77777777" w:rsidR="001D51D6" w:rsidRPr="00503F5B" w:rsidRDefault="001D51D6" w:rsidP="00E04C6D">
            <w:pPr>
              <w:pStyle w:val="BodyText2"/>
              <w:jc w:val="center"/>
              <w:rPr>
                <w:rFonts w:ascii="Calibri" w:hAnsi="Calibri" w:cs="Courier New"/>
                <w:b/>
                <w:sz w:val="20"/>
                <w:lang w:eastAsia="en-AU"/>
              </w:rPr>
            </w:pPr>
            <w:r w:rsidRPr="00503F5B">
              <w:rPr>
                <w:rFonts w:ascii="Calibri" w:hAnsi="Calibri" w:cs="Courier New"/>
                <w:b/>
                <w:sz w:val="20"/>
                <w:lang w:eastAsia="en-AU"/>
              </w:rPr>
              <w:t>Effectiveness</w:t>
            </w:r>
          </w:p>
          <w:p w14:paraId="41B397F1" w14:textId="77777777" w:rsidR="001D51D6" w:rsidRPr="00503F5B" w:rsidRDefault="001D51D6" w:rsidP="00E04C6D">
            <w:pPr>
              <w:pStyle w:val="BodyText2"/>
              <w:jc w:val="center"/>
              <w:rPr>
                <w:rFonts w:ascii="Calibri" w:eastAsia="Times New Roman" w:hAnsi="Calibri" w:cs="Courier New"/>
                <w:b/>
                <w:sz w:val="20"/>
                <w:lang w:eastAsia="en-AU"/>
              </w:rPr>
            </w:pPr>
          </w:p>
        </w:tc>
        <w:tc>
          <w:tcPr>
            <w:tcW w:w="5495" w:type="dxa"/>
            <w:tcBorders>
              <w:top w:val="single" w:sz="4" w:space="0" w:color="ED7C5D"/>
              <w:bottom w:val="single" w:sz="4" w:space="0" w:color="ED7C5D"/>
            </w:tcBorders>
          </w:tcPr>
          <w:p w14:paraId="21D8C2A8" w14:textId="2301AEFA" w:rsidR="001D51D6" w:rsidRPr="00503F5B" w:rsidRDefault="001D51D6" w:rsidP="00E04C6D">
            <w:pPr>
              <w:pStyle w:val="BodyText2"/>
              <w:jc w:val="left"/>
              <w:rPr>
                <w:rFonts w:ascii="Calibri" w:hAnsi="Calibri" w:cs="Courier New"/>
                <w:sz w:val="20"/>
                <w:lang w:eastAsia="en-AU"/>
              </w:rPr>
            </w:pPr>
            <w:r w:rsidRPr="00503F5B">
              <w:rPr>
                <w:rFonts w:ascii="Calibri" w:hAnsi="Calibri" w:cs="Courier New"/>
                <w:sz w:val="20"/>
                <w:lang w:eastAsia="en-AU"/>
              </w:rPr>
              <w:t xml:space="preserve">Options that </w:t>
            </w:r>
            <w:r w:rsidR="00E85AA6" w:rsidRPr="00503F5B">
              <w:rPr>
                <w:rFonts w:ascii="Calibri" w:hAnsi="Calibri" w:cs="Courier New"/>
                <w:sz w:val="20"/>
                <w:lang w:eastAsia="en-AU"/>
              </w:rPr>
              <w:t xml:space="preserve">could </w:t>
            </w:r>
            <w:r w:rsidRPr="00503F5B">
              <w:rPr>
                <w:rFonts w:ascii="Calibri" w:hAnsi="Calibri" w:cs="Courier New"/>
                <w:sz w:val="20"/>
                <w:lang w:eastAsia="en-AU"/>
              </w:rPr>
              <w:t>incentivise alarm owners to</w:t>
            </w:r>
            <w:r w:rsidR="0005387E" w:rsidRPr="00503F5B">
              <w:rPr>
                <w:rFonts w:ascii="Calibri" w:hAnsi="Calibri" w:cs="Courier New"/>
                <w:sz w:val="20"/>
                <w:lang w:eastAsia="en-AU"/>
              </w:rPr>
              <w:t xml:space="preserve"> </w:t>
            </w:r>
            <w:r w:rsidRPr="00503F5B">
              <w:rPr>
                <w:rFonts w:ascii="Calibri" w:hAnsi="Calibri" w:cs="Courier New"/>
                <w:sz w:val="20"/>
                <w:lang w:eastAsia="en-AU"/>
              </w:rPr>
              <w:t xml:space="preserve">‘localise’ their ‘monitored’ alarm systems (i.e. circumvention) or lead to additional administrative costs to </w:t>
            </w:r>
            <w:r w:rsidR="00FC3565" w:rsidRPr="00503F5B">
              <w:rPr>
                <w:rFonts w:ascii="Calibri" w:hAnsi="Calibri" w:cs="Courier New"/>
                <w:sz w:val="20"/>
                <w:lang w:eastAsia="en-AU"/>
              </w:rPr>
              <w:t>FRV</w:t>
            </w:r>
            <w:r w:rsidRPr="00503F5B">
              <w:rPr>
                <w:rFonts w:ascii="Calibri" w:hAnsi="Calibri" w:cs="Courier New"/>
                <w:sz w:val="20"/>
                <w:lang w:eastAsia="en-AU"/>
              </w:rPr>
              <w:t xml:space="preserve"> through </w:t>
            </w:r>
            <w:r w:rsidR="00D67CE6" w:rsidRPr="00503F5B">
              <w:rPr>
                <w:rFonts w:ascii="Calibri" w:hAnsi="Calibri" w:cs="Courier New"/>
                <w:sz w:val="20"/>
                <w:lang w:eastAsia="en-AU"/>
              </w:rPr>
              <w:t xml:space="preserve">unmeritorious </w:t>
            </w:r>
            <w:r w:rsidRPr="00503F5B">
              <w:rPr>
                <w:rFonts w:ascii="Calibri" w:hAnsi="Calibri" w:cs="Courier New"/>
                <w:sz w:val="20"/>
                <w:lang w:eastAsia="en-AU"/>
              </w:rPr>
              <w:t>VCAT challenges, receive a lower score.</w:t>
            </w:r>
          </w:p>
        </w:tc>
        <w:tc>
          <w:tcPr>
            <w:tcW w:w="1134" w:type="dxa"/>
            <w:tcBorders>
              <w:top w:val="single" w:sz="4" w:space="0" w:color="ED7C5D"/>
              <w:bottom w:val="single" w:sz="4" w:space="0" w:color="ED7C5D"/>
            </w:tcBorders>
            <w:vAlign w:val="center"/>
          </w:tcPr>
          <w:p w14:paraId="13B07329" w14:textId="575A8BED" w:rsidR="001D51D6" w:rsidRPr="00503F5B" w:rsidRDefault="00D97EAB" w:rsidP="00E04C6D">
            <w:pPr>
              <w:pStyle w:val="BodyText2"/>
              <w:jc w:val="center"/>
              <w:rPr>
                <w:rFonts w:ascii="Calibri" w:eastAsia="Times New Roman" w:hAnsi="Calibri" w:cs="Courier New"/>
                <w:sz w:val="20"/>
                <w:lang w:eastAsia="en-AU"/>
              </w:rPr>
            </w:pPr>
            <w:r w:rsidRPr="00503F5B">
              <w:rPr>
                <w:rFonts w:ascii="Calibri" w:hAnsi="Calibri" w:cs="Courier New"/>
                <w:sz w:val="20"/>
                <w:lang w:eastAsia="en-AU"/>
              </w:rPr>
              <w:t>60</w:t>
            </w:r>
            <w:r w:rsidR="001D51D6" w:rsidRPr="00503F5B">
              <w:rPr>
                <w:rFonts w:ascii="Calibri" w:hAnsi="Calibri" w:cs="Courier New"/>
                <w:sz w:val="20"/>
                <w:lang w:eastAsia="en-AU"/>
              </w:rPr>
              <w:t>%</w:t>
            </w:r>
          </w:p>
        </w:tc>
      </w:tr>
    </w:tbl>
    <w:p w14:paraId="4799ACF9" w14:textId="77777777" w:rsidR="001D51D6" w:rsidRPr="00503F5B" w:rsidRDefault="001D51D6" w:rsidP="001D51D6">
      <w:pPr>
        <w:pStyle w:val="BodyText11"/>
        <w:spacing w:before="0" w:after="0"/>
        <w:rPr>
          <w:rFonts w:ascii="Calibri" w:eastAsiaTheme="minorEastAsia" w:hAnsi="Calibri" w:cs="Lucida Grande"/>
          <w:color w:val="000000"/>
          <w:sz w:val="22"/>
          <w:szCs w:val="22"/>
        </w:rPr>
      </w:pPr>
    </w:p>
    <w:p w14:paraId="6D8DA2FF" w14:textId="5244AC67" w:rsidR="001D51D6" w:rsidRPr="00503F5B" w:rsidRDefault="001D51D6" w:rsidP="001D51D6">
      <w:pPr>
        <w:pStyle w:val="BodyText11"/>
        <w:spacing w:before="0" w:after="0"/>
        <w:rPr>
          <w:rFonts w:ascii="Calibri" w:hAnsi="Calibri"/>
          <w:sz w:val="22"/>
          <w:szCs w:val="22"/>
        </w:rPr>
      </w:pPr>
      <w:r w:rsidRPr="00503F5B">
        <w:rPr>
          <w:rFonts w:ascii="Calibri" w:hAnsi="Calibri"/>
          <w:sz w:val="22"/>
          <w:szCs w:val="22"/>
        </w:rPr>
        <w:t xml:space="preserve">The assigned weights of </w:t>
      </w:r>
      <w:r w:rsidR="00D97EAB" w:rsidRPr="00503F5B">
        <w:rPr>
          <w:rFonts w:ascii="Calibri" w:hAnsi="Calibri"/>
          <w:sz w:val="22"/>
          <w:szCs w:val="22"/>
        </w:rPr>
        <w:t>20</w:t>
      </w:r>
      <w:r w:rsidR="00391FFF" w:rsidRPr="00503F5B">
        <w:rPr>
          <w:rFonts w:ascii="Calibri" w:hAnsi="Calibri"/>
          <w:sz w:val="22"/>
          <w:szCs w:val="22"/>
        </w:rPr>
        <w:t xml:space="preserve"> per cent </w:t>
      </w:r>
      <w:r w:rsidRPr="00503F5B">
        <w:rPr>
          <w:rFonts w:ascii="Calibri" w:hAnsi="Calibri"/>
          <w:sz w:val="22"/>
          <w:szCs w:val="22"/>
        </w:rPr>
        <w:t xml:space="preserve">for efficiency, </w:t>
      </w:r>
      <w:r w:rsidR="00D97EAB" w:rsidRPr="00503F5B">
        <w:rPr>
          <w:rFonts w:ascii="Calibri" w:hAnsi="Calibri"/>
          <w:sz w:val="22"/>
          <w:szCs w:val="22"/>
        </w:rPr>
        <w:t>20</w:t>
      </w:r>
      <w:r w:rsidR="00391FFF" w:rsidRPr="00503F5B">
        <w:rPr>
          <w:rFonts w:ascii="Calibri" w:hAnsi="Calibri"/>
          <w:sz w:val="22"/>
          <w:szCs w:val="22"/>
        </w:rPr>
        <w:t xml:space="preserve"> per cent </w:t>
      </w:r>
      <w:r w:rsidRPr="00503F5B">
        <w:rPr>
          <w:rFonts w:ascii="Calibri" w:hAnsi="Calibri"/>
          <w:sz w:val="22"/>
          <w:szCs w:val="22"/>
        </w:rPr>
        <w:t xml:space="preserve">for equity and </w:t>
      </w:r>
      <w:r w:rsidR="00D97EAB" w:rsidRPr="00503F5B">
        <w:rPr>
          <w:rFonts w:ascii="Calibri" w:hAnsi="Calibri"/>
          <w:sz w:val="22"/>
          <w:szCs w:val="22"/>
        </w:rPr>
        <w:t>60</w:t>
      </w:r>
      <w:r w:rsidR="00391FFF" w:rsidRPr="00503F5B">
        <w:rPr>
          <w:rFonts w:ascii="Calibri" w:hAnsi="Calibri"/>
          <w:sz w:val="22"/>
          <w:szCs w:val="22"/>
        </w:rPr>
        <w:t xml:space="preserve"> per cent</w:t>
      </w:r>
      <w:r w:rsidRPr="00503F5B">
        <w:rPr>
          <w:rFonts w:ascii="Calibri" w:hAnsi="Calibri"/>
          <w:sz w:val="22"/>
          <w:szCs w:val="22"/>
        </w:rPr>
        <w:t xml:space="preserve"> for effectiveness reflects the </w:t>
      </w:r>
      <w:r w:rsidR="004E64CA" w:rsidRPr="00503F5B">
        <w:rPr>
          <w:rFonts w:ascii="Calibri" w:hAnsi="Calibri"/>
          <w:sz w:val="22"/>
          <w:szCs w:val="22"/>
        </w:rPr>
        <w:t>high-level</w:t>
      </w:r>
      <w:r w:rsidRPr="00503F5B">
        <w:rPr>
          <w:rFonts w:ascii="Calibri" w:hAnsi="Calibri"/>
          <w:sz w:val="22"/>
          <w:szCs w:val="22"/>
        </w:rPr>
        <w:t xml:space="preserve"> priority </w:t>
      </w:r>
      <w:r w:rsidR="00D67CE6" w:rsidRPr="00503F5B">
        <w:rPr>
          <w:rFonts w:ascii="Calibri" w:hAnsi="Calibri"/>
          <w:sz w:val="22"/>
          <w:szCs w:val="22"/>
        </w:rPr>
        <w:t xml:space="preserve">on the public goods to that the regulations seek to achieve, in terms of encouraging </w:t>
      </w:r>
      <w:r w:rsidRPr="00503F5B">
        <w:rPr>
          <w:rFonts w:ascii="Calibri" w:hAnsi="Calibri"/>
          <w:sz w:val="22"/>
          <w:szCs w:val="22"/>
        </w:rPr>
        <w:t xml:space="preserve">owners </w:t>
      </w:r>
      <w:r w:rsidR="00D67CE6" w:rsidRPr="00503F5B">
        <w:rPr>
          <w:rFonts w:ascii="Calibri" w:hAnsi="Calibri"/>
          <w:sz w:val="22"/>
          <w:szCs w:val="22"/>
        </w:rPr>
        <w:t xml:space="preserve">to </w:t>
      </w:r>
      <w:r w:rsidRPr="00503F5B">
        <w:rPr>
          <w:rFonts w:ascii="Calibri" w:hAnsi="Calibri"/>
          <w:sz w:val="22"/>
          <w:szCs w:val="22"/>
        </w:rPr>
        <w:t>proactively manag</w:t>
      </w:r>
      <w:r w:rsidR="00D67CE6" w:rsidRPr="00503F5B">
        <w:rPr>
          <w:rFonts w:ascii="Calibri" w:hAnsi="Calibri"/>
          <w:sz w:val="22"/>
          <w:szCs w:val="22"/>
        </w:rPr>
        <w:t>e</w:t>
      </w:r>
      <w:r w:rsidRPr="00503F5B">
        <w:rPr>
          <w:rFonts w:ascii="Calibri" w:hAnsi="Calibri"/>
          <w:sz w:val="22"/>
          <w:szCs w:val="22"/>
        </w:rPr>
        <w:t xml:space="preserve"> and maintain their alarm systems.  This assignment of weightings emphasises that the focus of the fee as an instrument for </w:t>
      </w:r>
      <w:r w:rsidR="00D67CE6" w:rsidRPr="00503F5B">
        <w:rPr>
          <w:rFonts w:ascii="Calibri" w:hAnsi="Calibri"/>
          <w:sz w:val="22"/>
          <w:szCs w:val="22"/>
        </w:rPr>
        <w:t xml:space="preserve">maintaining positive </w:t>
      </w:r>
      <w:r w:rsidRPr="00503F5B">
        <w:rPr>
          <w:rFonts w:ascii="Calibri" w:hAnsi="Calibri"/>
          <w:sz w:val="22"/>
          <w:szCs w:val="22"/>
        </w:rPr>
        <w:t>behaviour, and recognises the risks of circumvention and</w:t>
      </w:r>
      <w:r w:rsidR="00D67CE6" w:rsidRPr="00503F5B">
        <w:rPr>
          <w:rFonts w:ascii="Calibri" w:hAnsi="Calibri"/>
          <w:sz w:val="22"/>
          <w:szCs w:val="22"/>
        </w:rPr>
        <w:t xml:space="preserve"> unmeritorious</w:t>
      </w:r>
      <w:r w:rsidRPr="00503F5B">
        <w:rPr>
          <w:rFonts w:ascii="Calibri" w:hAnsi="Calibri"/>
          <w:sz w:val="22"/>
          <w:szCs w:val="22"/>
        </w:rPr>
        <w:t xml:space="preserve"> VCAT challenges – rather than just the need to set efficient and equitable pricing signals in relation to false alarms.</w:t>
      </w:r>
      <w:r w:rsidR="000B4B7A" w:rsidRPr="00503F5B">
        <w:rPr>
          <w:rFonts w:ascii="Calibri" w:hAnsi="Calibri"/>
          <w:sz w:val="22"/>
          <w:szCs w:val="22"/>
        </w:rPr>
        <w:t xml:space="preserve">  This is the critical factor in balancing outcomes in favour of public safety.</w:t>
      </w:r>
    </w:p>
    <w:p w14:paraId="6DB308F8" w14:textId="77777777" w:rsidR="001D51D6" w:rsidRPr="00503F5B" w:rsidRDefault="001D51D6" w:rsidP="001D51D6">
      <w:pPr>
        <w:jc w:val="both"/>
      </w:pPr>
    </w:p>
    <w:p w14:paraId="086C0783" w14:textId="782014FE" w:rsidR="001D51D6" w:rsidRPr="00503F5B" w:rsidRDefault="001D51D6" w:rsidP="001D51D6">
      <w:pPr>
        <w:pStyle w:val="BodyText11"/>
        <w:spacing w:before="0" w:after="0"/>
      </w:pPr>
      <w:r w:rsidRPr="00503F5B">
        <w:rPr>
          <w:rFonts w:ascii="Calibri" w:hAnsi="Calibri"/>
          <w:sz w:val="22"/>
          <w:szCs w:val="22"/>
        </w:rPr>
        <w:t>Each option will be scored against each of the aforementioned criteria on a scale of -</w:t>
      </w:r>
      <w:r w:rsidR="00D97EAB" w:rsidRPr="00503F5B">
        <w:rPr>
          <w:rFonts w:ascii="Calibri" w:hAnsi="Calibri"/>
          <w:sz w:val="22"/>
          <w:szCs w:val="22"/>
        </w:rPr>
        <w:t>5</w:t>
      </w:r>
      <w:r w:rsidRPr="00503F5B">
        <w:rPr>
          <w:rFonts w:ascii="Calibri" w:hAnsi="Calibri"/>
          <w:sz w:val="22"/>
          <w:szCs w:val="22"/>
        </w:rPr>
        <w:t xml:space="preserve"> to +</w:t>
      </w:r>
      <w:r w:rsidR="00D97EAB" w:rsidRPr="00503F5B">
        <w:rPr>
          <w:rFonts w:ascii="Calibri" w:hAnsi="Calibri"/>
          <w:sz w:val="22"/>
          <w:szCs w:val="22"/>
        </w:rPr>
        <w:t xml:space="preserve">5 </w:t>
      </w:r>
      <w:r w:rsidRPr="00503F5B">
        <w:rPr>
          <w:rFonts w:ascii="Calibri" w:hAnsi="Calibri"/>
          <w:sz w:val="22"/>
          <w:szCs w:val="22"/>
        </w:rPr>
        <w:t xml:space="preserve">with the base case reflecting a score of ‘0’ as it reflects the situation that will occur in the </w:t>
      </w:r>
      <w:r w:rsidRPr="00503F5B">
        <w:rPr>
          <w:rFonts w:ascii="Calibri" w:hAnsi="Calibri"/>
          <w:sz w:val="22"/>
          <w:szCs w:val="22"/>
        </w:rPr>
        <w:lastRenderedPageBreak/>
        <w:t>absence of regulations (</w:t>
      </w:r>
      <w:r w:rsidR="00FC05BD" w:rsidRPr="00503F5B">
        <w:rPr>
          <w:rFonts w:ascii="Calibri" w:hAnsi="Calibri"/>
          <w:sz w:val="22"/>
          <w:szCs w:val="22"/>
        </w:rPr>
        <w:t>with the interim regulations set to expire on 18 October 2020</w:t>
      </w:r>
      <w:r w:rsidRPr="00503F5B">
        <w:rPr>
          <w:rFonts w:ascii="Calibri" w:hAnsi="Calibri"/>
          <w:sz w:val="22"/>
          <w:szCs w:val="22"/>
        </w:rPr>
        <w:t xml:space="preserve">).  Each option is scored relative to the base case score of ‘0’.  The critical issue is that under the base case, the </w:t>
      </w:r>
      <w:r w:rsidR="00C853EE" w:rsidRPr="00503F5B">
        <w:rPr>
          <w:rFonts w:ascii="Calibri" w:hAnsi="Calibri"/>
          <w:sz w:val="22"/>
          <w:szCs w:val="22"/>
        </w:rPr>
        <w:t xml:space="preserve">Fire Rescue Commissioner </w:t>
      </w:r>
      <w:r w:rsidRPr="00503F5B">
        <w:rPr>
          <w:rFonts w:ascii="Calibri" w:hAnsi="Calibri"/>
          <w:sz w:val="22"/>
          <w:szCs w:val="22"/>
        </w:rPr>
        <w:t>would continue to be required (as per the Act) to determine the operational response to an alarm of fire and requires specified fire fighters to attend an alarm of fire with “all practical speed”.</w:t>
      </w:r>
    </w:p>
    <w:p w14:paraId="3488C43B" w14:textId="7DDCD2B0" w:rsidR="006835A8" w:rsidRPr="00503F5B" w:rsidRDefault="006835A8" w:rsidP="001D51D6">
      <w:pPr>
        <w:jc w:val="both"/>
      </w:pPr>
    </w:p>
    <w:p w14:paraId="71F09628" w14:textId="77777777" w:rsidR="006835A8" w:rsidRPr="00503F5B" w:rsidRDefault="006835A8" w:rsidP="006835A8">
      <w:pPr>
        <w:pStyle w:val="Heading3"/>
      </w:pPr>
      <w:bookmarkStart w:id="166" w:name="_Toc457772544"/>
      <w:bookmarkStart w:id="167" w:name="_Toc35804144"/>
      <w:bookmarkStart w:id="168" w:name="_Toc35804638"/>
      <w:bookmarkStart w:id="169" w:name="_Toc35812682"/>
      <w:r w:rsidRPr="00503F5B">
        <w:t>5.2 Efficiency criterion – analysis of options</w:t>
      </w:r>
      <w:bookmarkEnd w:id="166"/>
      <w:bookmarkEnd w:id="167"/>
      <w:bookmarkEnd w:id="168"/>
      <w:bookmarkEnd w:id="169"/>
    </w:p>
    <w:p w14:paraId="35BD7BAF" w14:textId="77777777" w:rsidR="006835A8" w:rsidRPr="00503F5B" w:rsidRDefault="006835A8" w:rsidP="006835A8">
      <w:pPr>
        <w:jc w:val="both"/>
      </w:pPr>
    </w:p>
    <w:p w14:paraId="413ECBDB" w14:textId="08DF6EAD" w:rsidR="006835A8" w:rsidRPr="00503F5B" w:rsidRDefault="006835A8" w:rsidP="006835A8">
      <w:pPr>
        <w:jc w:val="both"/>
        <w:rPr>
          <w:color w:val="000000" w:themeColor="text1"/>
        </w:rPr>
      </w:pPr>
      <w:r w:rsidRPr="00503F5B">
        <w:t xml:space="preserve">The efficiency criterion reflects both the cost of production, as well as, the public benefits associated with emergency attendances as discussed in section </w:t>
      </w:r>
      <w:r w:rsidR="003E489B" w:rsidRPr="00503F5B">
        <w:t>2.3.1</w:t>
      </w:r>
      <w:r w:rsidRPr="00503F5B">
        <w:t xml:space="preserve"> under the efficiency criterion heading.  As discussed in section </w:t>
      </w:r>
      <w:r w:rsidR="003E489B" w:rsidRPr="00503F5B">
        <w:t>2.3.1</w:t>
      </w:r>
      <w:r w:rsidRPr="00503F5B">
        <w:t xml:space="preserve">, a departure from the full cost principle is not justified and false alarm attendances confer strictly </w:t>
      </w:r>
      <w:r w:rsidRPr="00503F5B">
        <w:rPr>
          <w:color w:val="000000" w:themeColor="text1"/>
        </w:rPr>
        <w:t>private benefits.  Charging full cost recover</w:t>
      </w:r>
      <w:r w:rsidR="00955BC8" w:rsidRPr="00503F5B">
        <w:rPr>
          <w:color w:val="000000" w:themeColor="text1"/>
        </w:rPr>
        <w:t>y</w:t>
      </w:r>
      <w:r w:rsidRPr="00503F5B">
        <w:rPr>
          <w:color w:val="000000" w:themeColor="text1"/>
        </w:rPr>
        <w:t xml:space="preserve"> </w:t>
      </w:r>
      <w:r w:rsidR="00955BC8" w:rsidRPr="00503F5B">
        <w:rPr>
          <w:color w:val="000000" w:themeColor="text1"/>
        </w:rPr>
        <w:t>incentivises</w:t>
      </w:r>
      <w:r w:rsidRPr="00503F5B">
        <w:rPr>
          <w:color w:val="000000" w:themeColor="text1"/>
        </w:rPr>
        <w:t xml:space="preserve"> owners of alarm systems to maintain their systems and reduces the </w:t>
      </w:r>
      <w:proofErr w:type="spellStart"/>
      <w:r w:rsidRPr="00503F5B">
        <w:rPr>
          <w:color w:val="000000" w:themeColor="text1"/>
        </w:rPr>
        <w:t>overutili</w:t>
      </w:r>
      <w:r w:rsidR="00955BC8" w:rsidRPr="00503F5B">
        <w:rPr>
          <w:color w:val="000000" w:themeColor="text1"/>
        </w:rPr>
        <w:t>s</w:t>
      </w:r>
      <w:r w:rsidRPr="00503F5B">
        <w:rPr>
          <w:color w:val="000000" w:themeColor="text1"/>
        </w:rPr>
        <w:t>ation</w:t>
      </w:r>
      <w:proofErr w:type="spellEnd"/>
      <w:r w:rsidRPr="00503F5B">
        <w:rPr>
          <w:color w:val="000000" w:themeColor="text1"/>
        </w:rPr>
        <w:t xml:space="preserve"> of FRV resources in attending false alarms.</w:t>
      </w:r>
    </w:p>
    <w:p w14:paraId="211F5DE3" w14:textId="77777777" w:rsidR="006835A8" w:rsidRPr="00503F5B" w:rsidRDefault="006835A8" w:rsidP="006835A8">
      <w:pPr>
        <w:jc w:val="both"/>
        <w:rPr>
          <w:color w:val="000000" w:themeColor="text1"/>
        </w:rPr>
      </w:pPr>
    </w:p>
    <w:p w14:paraId="4B619253" w14:textId="7EA5AA8D" w:rsidR="006835A8" w:rsidRPr="00503F5B" w:rsidRDefault="006835A8" w:rsidP="006835A8">
      <w:pPr>
        <w:jc w:val="both"/>
        <w:rPr>
          <w:color w:val="000000" w:themeColor="text1"/>
        </w:rPr>
      </w:pPr>
      <w:r w:rsidRPr="00503F5B">
        <w:rPr>
          <w:color w:val="000000" w:themeColor="text1"/>
        </w:rPr>
        <w:t xml:space="preserve">The base case </w:t>
      </w:r>
      <w:r w:rsidR="00D97EAB" w:rsidRPr="00503F5B">
        <w:rPr>
          <w:color w:val="000000" w:themeColor="text1"/>
        </w:rPr>
        <w:t xml:space="preserve">is a point of comparison for all other options and </w:t>
      </w:r>
      <w:r w:rsidRPr="00503F5B">
        <w:rPr>
          <w:color w:val="000000" w:themeColor="text1"/>
        </w:rPr>
        <w:t xml:space="preserve">is therefore awarded a score of </w:t>
      </w:r>
      <w:r w:rsidRPr="00503F5B">
        <w:rPr>
          <w:i/>
          <w:iCs/>
          <w:color w:val="000000" w:themeColor="text1"/>
        </w:rPr>
        <w:t>+0</w:t>
      </w:r>
      <w:r w:rsidRPr="00503F5B">
        <w:rPr>
          <w:color w:val="000000" w:themeColor="text1"/>
        </w:rPr>
        <w:t>.</w:t>
      </w:r>
    </w:p>
    <w:p w14:paraId="79375137" w14:textId="77777777" w:rsidR="006835A8" w:rsidRPr="00503F5B" w:rsidRDefault="006835A8" w:rsidP="006835A8">
      <w:pPr>
        <w:jc w:val="both"/>
        <w:rPr>
          <w:color w:val="000000" w:themeColor="text1"/>
        </w:rPr>
      </w:pPr>
    </w:p>
    <w:p w14:paraId="5A33ADBB" w14:textId="1B038986" w:rsidR="006835A8" w:rsidRPr="00503F5B" w:rsidRDefault="006835A8" w:rsidP="006835A8">
      <w:pPr>
        <w:jc w:val="both"/>
        <w:rPr>
          <w:color w:val="000000" w:themeColor="text1"/>
        </w:rPr>
      </w:pPr>
      <w:r w:rsidRPr="00503F5B">
        <w:rPr>
          <w:b/>
          <w:bCs/>
          <w:color w:val="000000" w:themeColor="text1"/>
        </w:rPr>
        <w:t>Option 1</w:t>
      </w:r>
      <w:r w:rsidRPr="00503F5B">
        <w:rPr>
          <w:color w:val="000000" w:themeColor="text1"/>
        </w:rPr>
        <w:t xml:space="preserve"> represents full cost recovery ($2,510.29) and the most efficient price, and is therefore awarded a score of </w:t>
      </w:r>
      <w:r w:rsidRPr="00503F5B">
        <w:rPr>
          <w:i/>
          <w:iCs/>
          <w:color w:val="000000" w:themeColor="text1"/>
        </w:rPr>
        <w:t>+</w:t>
      </w:r>
      <w:r w:rsidR="00D97EAB" w:rsidRPr="00503F5B">
        <w:rPr>
          <w:i/>
          <w:iCs/>
          <w:color w:val="000000" w:themeColor="text1"/>
        </w:rPr>
        <w:t>5</w:t>
      </w:r>
      <w:r w:rsidRPr="00503F5B">
        <w:rPr>
          <w:color w:val="000000" w:themeColor="text1"/>
        </w:rPr>
        <w:t xml:space="preserve">.  The full cost recovery fee under Option 1 reflects the true value of false alarm attendances, to </w:t>
      </w:r>
      <w:r w:rsidR="00D23B9E" w:rsidRPr="00503F5B">
        <w:rPr>
          <w:color w:val="000000" w:themeColor="text1"/>
        </w:rPr>
        <w:t>FRV</w:t>
      </w:r>
      <w:r w:rsidRPr="00503F5B">
        <w:rPr>
          <w:color w:val="000000" w:themeColor="text1"/>
        </w:rPr>
        <w:t>.</w:t>
      </w:r>
      <w:r w:rsidR="00D97EAB" w:rsidRPr="00503F5B">
        <w:rPr>
          <w:color w:val="000000" w:themeColor="text1"/>
        </w:rPr>
        <w:t xml:space="preserve"> Option 1, ‘full cost recovery’ is deemed to be the most efficient option with respect to setting the false alarm fee as discussed in detail in Section </w:t>
      </w:r>
      <w:r w:rsidR="003E489B" w:rsidRPr="00503F5B">
        <w:rPr>
          <w:color w:val="000000" w:themeColor="text1"/>
        </w:rPr>
        <w:t>2.3.1</w:t>
      </w:r>
      <w:r w:rsidR="00D97EAB" w:rsidRPr="00503F5B">
        <w:rPr>
          <w:color w:val="000000" w:themeColor="text1"/>
        </w:rPr>
        <w:t xml:space="preserve"> of this RIS.</w:t>
      </w:r>
    </w:p>
    <w:p w14:paraId="0B9CB76D" w14:textId="7C0A08DB" w:rsidR="006835A8" w:rsidRPr="00503F5B" w:rsidRDefault="006835A8" w:rsidP="006835A8">
      <w:pPr>
        <w:jc w:val="both"/>
        <w:rPr>
          <w:color w:val="000000" w:themeColor="text1"/>
        </w:rPr>
      </w:pPr>
    </w:p>
    <w:p w14:paraId="406EAB47" w14:textId="58C9540A" w:rsidR="006835A8" w:rsidRPr="00503F5B" w:rsidRDefault="006835A8" w:rsidP="006835A8">
      <w:pPr>
        <w:jc w:val="both"/>
        <w:rPr>
          <w:color w:val="000000" w:themeColor="text1"/>
        </w:rPr>
      </w:pPr>
      <w:r w:rsidRPr="00503F5B">
        <w:rPr>
          <w:b/>
          <w:bCs/>
          <w:color w:val="000000" w:themeColor="text1"/>
        </w:rPr>
        <w:t>Option 2</w:t>
      </w:r>
      <w:r w:rsidRPr="00503F5B">
        <w:rPr>
          <w:color w:val="000000" w:themeColor="text1"/>
        </w:rPr>
        <w:t>, partial cost recovery ($</w:t>
      </w:r>
      <w:r w:rsidR="004E64CA" w:rsidRPr="00503F5B">
        <w:rPr>
          <w:color w:val="000000" w:themeColor="text1"/>
        </w:rPr>
        <w:t>578</w:t>
      </w:r>
      <w:r w:rsidR="00636FC8" w:rsidRPr="00503F5B">
        <w:rPr>
          <w:color w:val="000000" w:themeColor="text1"/>
        </w:rPr>
        <w:t>.</w:t>
      </w:r>
      <w:r w:rsidR="004E64CA" w:rsidRPr="00503F5B">
        <w:rPr>
          <w:color w:val="000000" w:themeColor="text1"/>
        </w:rPr>
        <w:t>48</w:t>
      </w:r>
      <w:r w:rsidRPr="00503F5B">
        <w:rPr>
          <w:color w:val="000000" w:themeColor="text1"/>
        </w:rPr>
        <w:t>) and remaking the current fee, which represents the recovery of only 23.</w:t>
      </w:r>
      <w:r w:rsidR="004E64CA" w:rsidRPr="00503F5B">
        <w:rPr>
          <w:color w:val="000000" w:themeColor="text1"/>
        </w:rPr>
        <w:t>04</w:t>
      </w:r>
      <w:r w:rsidR="00391FFF" w:rsidRPr="00503F5B">
        <w:rPr>
          <w:color w:val="000000" w:themeColor="text1"/>
        </w:rPr>
        <w:t xml:space="preserve"> per cent</w:t>
      </w:r>
      <w:r w:rsidRPr="00503F5B">
        <w:rPr>
          <w:color w:val="000000" w:themeColor="text1"/>
        </w:rPr>
        <w:t xml:space="preserve"> of the full quarterly hour cost of $2,510.29, sends a price signal to owners of alarm systems seeking attendance of appliances (where no reasonable excuse has been provided), albeit not an efficient one, as it fails to consider the private benefit to owners of alarm systems. Based on the proportion of recovery, Option 2 is awarded a score of </w:t>
      </w:r>
      <w:r w:rsidRPr="00503F5B">
        <w:rPr>
          <w:i/>
          <w:iCs/>
          <w:color w:val="000000" w:themeColor="text1"/>
        </w:rPr>
        <w:t>+</w:t>
      </w:r>
      <w:r w:rsidR="00D97EAB" w:rsidRPr="00503F5B">
        <w:rPr>
          <w:i/>
          <w:iCs/>
          <w:color w:val="000000" w:themeColor="text1"/>
        </w:rPr>
        <w:t>1</w:t>
      </w:r>
      <w:r w:rsidRPr="00503F5B">
        <w:rPr>
          <w:i/>
          <w:iCs/>
          <w:color w:val="000000" w:themeColor="text1"/>
        </w:rPr>
        <w:t>.</w:t>
      </w:r>
      <w:r w:rsidR="00F60716">
        <w:rPr>
          <w:i/>
          <w:iCs/>
          <w:color w:val="000000" w:themeColor="text1"/>
        </w:rPr>
        <w:t>15</w:t>
      </w:r>
      <w:r w:rsidR="00D97EAB" w:rsidRPr="00503F5B">
        <w:rPr>
          <w:rStyle w:val="FootnoteReference"/>
          <w:color w:val="000000" w:themeColor="text1"/>
        </w:rPr>
        <w:footnoteReference w:id="139"/>
      </w:r>
      <w:r w:rsidRPr="00503F5B">
        <w:rPr>
          <w:color w:val="000000" w:themeColor="text1"/>
        </w:rPr>
        <w:t xml:space="preserve"> as compared to the base case.</w:t>
      </w:r>
    </w:p>
    <w:p w14:paraId="3C37B6DA" w14:textId="77777777" w:rsidR="006835A8" w:rsidRPr="00503F5B" w:rsidRDefault="006835A8" w:rsidP="006835A8">
      <w:pPr>
        <w:jc w:val="both"/>
        <w:rPr>
          <w:color w:val="000000" w:themeColor="text1"/>
        </w:rPr>
      </w:pPr>
    </w:p>
    <w:p w14:paraId="69901867" w14:textId="6DEF37D4" w:rsidR="001234BF" w:rsidRPr="00503F5B" w:rsidRDefault="006835A8" w:rsidP="001234BF">
      <w:pPr>
        <w:jc w:val="both"/>
        <w:rPr>
          <w:color w:val="000000" w:themeColor="text1"/>
        </w:rPr>
      </w:pPr>
      <w:r w:rsidRPr="00503F5B">
        <w:rPr>
          <w:b/>
          <w:bCs/>
          <w:color w:val="000000" w:themeColor="text1"/>
        </w:rPr>
        <w:t>Option 3</w:t>
      </w:r>
      <w:r w:rsidRPr="00503F5B">
        <w:rPr>
          <w:color w:val="000000" w:themeColor="text1"/>
        </w:rPr>
        <w:t>, partial cost recovery ($310.88)</w:t>
      </w:r>
      <w:r w:rsidR="00562AE6" w:rsidRPr="00503F5B">
        <w:rPr>
          <w:color w:val="000000" w:themeColor="text1"/>
        </w:rPr>
        <w:t xml:space="preserve"> with a maximum attendance fee of $1,600</w:t>
      </w:r>
      <w:r w:rsidRPr="00503F5B">
        <w:rPr>
          <w:color w:val="000000" w:themeColor="text1"/>
        </w:rPr>
        <w:t>, represents the recovery of only 12.39</w:t>
      </w:r>
      <w:r w:rsidR="00391FFF" w:rsidRPr="00503F5B">
        <w:rPr>
          <w:color w:val="000000" w:themeColor="text1"/>
        </w:rPr>
        <w:t xml:space="preserve"> per cent</w:t>
      </w:r>
      <w:r w:rsidRPr="00503F5B">
        <w:rPr>
          <w:color w:val="000000" w:themeColor="text1"/>
        </w:rPr>
        <w:t xml:space="preserve"> of the full quarterly hour cost of $2,510.29</w:t>
      </w:r>
      <w:r w:rsidR="00E03A18" w:rsidRPr="00503F5B">
        <w:rPr>
          <w:color w:val="000000" w:themeColor="text1"/>
        </w:rPr>
        <w:t>.</w:t>
      </w:r>
      <w:r w:rsidRPr="00503F5B">
        <w:rPr>
          <w:color w:val="000000" w:themeColor="text1"/>
        </w:rPr>
        <w:t xml:space="preserve"> </w:t>
      </w:r>
      <w:r w:rsidR="00E03A18" w:rsidRPr="00503F5B">
        <w:rPr>
          <w:color w:val="000000" w:themeColor="text1"/>
        </w:rPr>
        <w:t xml:space="preserve">Option 3 </w:t>
      </w:r>
      <w:r w:rsidRPr="00503F5B">
        <w:rPr>
          <w:color w:val="000000" w:themeColor="text1"/>
        </w:rPr>
        <w:t>sends a price signal to owners of alarm systems seeking attendance of appliances (where no reasonable excuse has been provided), albeit not an efficient one, as it fails to consider the private benefit to owners of alarm systems.</w:t>
      </w:r>
      <w:r w:rsidR="00D16378" w:rsidRPr="00503F5B">
        <w:rPr>
          <w:color w:val="000000" w:themeColor="text1"/>
        </w:rPr>
        <w:t xml:space="preserve">  </w:t>
      </w:r>
      <w:r w:rsidR="00955BC8" w:rsidRPr="00503F5B">
        <w:rPr>
          <w:color w:val="000000" w:themeColor="text1"/>
        </w:rPr>
        <w:t>Moreover,</w:t>
      </w:r>
      <w:r w:rsidR="00D16378" w:rsidRPr="00503F5B">
        <w:rPr>
          <w:color w:val="000000" w:themeColor="text1"/>
        </w:rPr>
        <w:t xml:space="preserve"> </w:t>
      </w:r>
      <w:r w:rsidR="001234BF" w:rsidRPr="00503F5B">
        <w:rPr>
          <w:color w:val="000000" w:themeColor="text1"/>
        </w:rPr>
        <w:t xml:space="preserve">around 349 attendances in 2018-19 involved </w:t>
      </w:r>
      <w:r w:rsidR="00D16378" w:rsidRPr="00503F5B">
        <w:rPr>
          <w:color w:val="000000" w:themeColor="text1"/>
        </w:rPr>
        <w:t>greater than</w:t>
      </w:r>
      <w:r w:rsidR="001234BF" w:rsidRPr="00503F5B">
        <w:rPr>
          <w:color w:val="000000" w:themeColor="text1"/>
        </w:rPr>
        <w:t xml:space="preserve"> the average</w:t>
      </w:r>
      <w:r w:rsidR="00D16378" w:rsidRPr="00503F5B">
        <w:rPr>
          <w:color w:val="000000" w:themeColor="text1"/>
        </w:rPr>
        <w:t xml:space="preserve"> 1.29 </w:t>
      </w:r>
      <w:r w:rsidR="001234BF" w:rsidRPr="00503F5B">
        <w:rPr>
          <w:color w:val="000000" w:themeColor="text1"/>
        </w:rPr>
        <w:t xml:space="preserve">appliance </w:t>
      </w:r>
      <w:r w:rsidR="00D16378" w:rsidRPr="00503F5B">
        <w:rPr>
          <w:color w:val="000000" w:themeColor="text1"/>
        </w:rPr>
        <w:t>hours</w:t>
      </w:r>
      <w:r w:rsidR="00955BC8" w:rsidRPr="00503F5B">
        <w:rPr>
          <w:color w:val="000000" w:themeColor="text1"/>
        </w:rPr>
        <w:t xml:space="preserve"> as </w:t>
      </w:r>
      <w:r w:rsidR="00A54863" w:rsidRPr="00503F5B">
        <w:rPr>
          <w:color w:val="000000" w:themeColor="text1"/>
        </w:rPr>
        <w:t xml:space="preserve">illustrated </w:t>
      </w:r>
      <w:r w:rsidR="00955BC8" w:rsidRPr="00503F5B">
        <w:rPr>
          <w:color w:val="000000" w:themeColor="text1"/>
        </w:rPr>
        <w:t>in Chart 10</w:t>
      </w:r>
      <w:r w:rsidR="00A1620B" w:rsidRPr="00503F5B">
        <w:rPr>
          <w:color w:val="000000" w:themeColor="text1"/>
        </w:rPr>
        <w:t xml:space="preserve"> and Table 24.</w:t>
      </w:r>
      <w:r w:rsidR="001234BF" w:rsidRPr="00503F5B">
        <w:rPr>
          <w:color w:val="000000" w:themeColor="text1"/>
        </w:rPr>
        <w:t xml:space="preserve">  The maximum attendance fee under Option 3 does not provide an efficient price signal to those requiring more than the average of 1.29 appliance hours per attendance for false alarms - reflecting 7.83</w:t>
      </w:r>
      <w:r w:rsidR="00391FFF" w:rsidRPr="00503F5B">
        <w:rPr>
          <w:color w:val="000000" w:themeColor="text1"/>
        </w:rPr>
        <w:t xml:space="preserve"> per cent</w:t>
      </w:r>
      <w:r w:rsidR="001234BF" w:rsidRPr="00503F5B">
        <w:rPr>
          <w:rStyle w:val="FootnoteReference"/>
          <w:color w:val="000000" w:themeColor="text1"/>
        </w:rPr>
        <w:footnoteReference w:id="140"/>
      </w:r>
      <w:r w:rsidR="001234BF" w:rsidRPr="00503F5B">
        <w:rPr>
          <w:color w:val="000000" w:themeColor="text1"/>
        </w:rPr>
        <w:t xml:space="preserve"> of the numbers invoiced/attendances (see Table 24).   Therefore, Option 3 is awarded a score of </w:t>
      </w:r>
      <w:r w:rsidR="001234BF" w:rsidRPr="00503F5B">
        <w:rPr>
          <w:i/>
          <w:iCs/>
          <w:color w:val="000000" w:themeColor="text1"/>
        </w:rPr>
        <w:t>+0.5</w:t>
      </w:r>
      <w:r w:rsidR="00636FC8" w:rsidRPr="00503F5B">
        <w:rPr>
          <w:i/>
          <w:iCs/>
          <w:color w:val="000000" w:themeColor="text1"/>
        </w:rPr>
        <w:t>7</w:t>
      </w:r>
      <w:r w:rsidR="001234BF" w:rsidRPr="00503F5B">
        <w:rPr>
          <w:rStyle w:val="FootnoteReference"/>
          <w:i/>
          <w:iCs/>
          <w:color w:val="000000" w:themeColor="text1"/>
        </w:rPr>
        <w:footnoteReference w:id="141"/>
      </w:r>
      <w:r w:rsidR="001234BF" w:rsidRPr="00503F5B">
        <w:rPr>
          <w:i/>
          <w:iCs/>
          <w:color w:val="000000" w:themeColor="text1"/>
        </w:rPr>
        <w:t xml:space="preserve"> </w:t>
      </w:r>
      <w:r w:rsidR="001234BF" w:rsidRPr="00503F5B">
        <w:rPr>
          <w:color w:val="000000" w:themeColor="text1"/>
        </w:rPr>
        <w:t xml:space="preserve">as compared to the base case.  </w:t>
      </w:r>
    </w:p>
    <w:p w14:paraId="130C062E" w14:textId="77777777" w:rsidR="00180AFA" w:rsidRPr="00503F5B" w:rsidRDefault="00180AFA">
      <w:pPr>
        <w:spacing w:after="160" w:line="259" w:lineRule="auto"/>
        <w:rPr>
          <w:b/>
          <w:color w:val="000000" w:themeColor="text1"/>
          <w:sz w:val="20"/>
          <w:szCs w:val="20"/>
        </w:rPr>
      </w:pPr>
      <w:r w:rsidRPr="00503F5B">
        <w:rPr>
          <w:b/>
          <w:color w:val="000000" w:themeColor="text1"/>
          <w:sz w:val="20"/>
          <w:szCs w:val="20"/>
        </w:rPr>
        <w:br w:type="page"/>
      </w:r>
    </w:p>
    <w:p w14:paraId="087CF15E" w14:textId="4F55D65F" w:rsidR="00955BC8" w:rsidRPr="00503F5B" w:rsidRDefault="00955BC8" w:rsidP="00955BC8">
      <w:pPr>
        <w:jc w:val="center"/>
        <w:rPr>
          <w:b/>
          <w:color w:val="000000" w:themeColor="text1"/>
          <w:sz w:val="20"/>
          <w:szCs w:val="20"/>
        </w:rPr>
      </w:pPr>
      <w:r w:rsidRPr="00503F5B">
        <w:rPr>
          <w:b/>
          <w:color w:val="000000" w:themeColor="text1"/>
          <w:sz w:val="20"/>
          <w:szCs w:val="20"/>
        </w:rPr>
        <w:lastRenderedPageBreak/>
        <w:t>Chart 10: Distribution of average appliance hours and numbers of attendances invoiced</w:t>
      </w:r>
    </w:p>
    <w:p w14:paraId="2B0DD52D" w14:textId="77777777" w:rsidR="00180AFA" w:rsidRPr="00503F5B" w:rsidRDefault="00180AFA" w:rsidP="00955BC8">
      <w:pPr>
        <w:jc w:val="center"/>
        <w:rPr>
          <w:b/>
          <w:color w:val="000000" w:themeColor="text1"/>
          <w:sz w:val="20"/>
          <w:szCs w:val="20"/>
        </w:rPr>
      </w:pPr>
    </w:p>
    <w:p w14:paraId="00076CDD" w14:textId="3CED17E8" w:rsidR="00955BC8" w:rsidRPr="00503F5B" w:rsidRDefault="001234BF" w:rsidP="006835A8">
      <w:pPr>
        <w:jc w:val="both"/>
        <w:rPr>
          <w:color w:val="000000" w:themeColor="text1"/>
        </w:rPr>
      </w:pPr>
      <w:r w:rsidRPr="00503F5B">
        <w:rPr>
          <w:noProof/>
        </w:rPr>
        <w:drawing>
          <wp:inline distT="0" distB="0" distL="0" distR="0" wp14:anchorId="6EBAE137" wp14:editId="1494E265">
            <wp:extent cx="5220335" cy="3335655"/>
            <wp:effectExtent l="0" t="0" r="18415" b="17145"/>
            <wp:docPr id="11" name="Chart 11">
              <a:extLst xmlns:a="http://schemas.openxmlformats.org/drawingml/2006/main">
                <a:ext uri="{FF2B5EF4-FFF2-40B4-BE49-F238E27FC236}">
                  <a16:creationId xmlns:a16="http://schemas.microsoft.com/office/drawing/2014/main" id="{472122A7-9504-4F04-9AA6-1B07E202D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D227AFA" w14:textId="70CEB04C" w:rsidR="00955BC8" w:rsidRPr="00503F5B" w:rsidRDefault="00955BC8" w:rsidP="006835A8">
      <w:pPr>
        <w:jc w:val="both"/>
        <w:rPr>
          <w:color w:val="000000" w:themeColor="text1"/>
          <w:sz w:val="18"/>
          <w:szCs w:val="18"/>
        </w:rPr>
      </w:pPr>
      <w:r w:rsidRPr="00503F5B">
        <w:rPr>
          <w:color w:val="000000" w:themeColor="text1"/>
          <w:sz w:val="18"/>
          <w:szCs w:val="18"/>
        </w:rPr>
        <w:t>Data supplied by MFB</w:t>
      </w:r>
    </w:p>
    <w:p w14:paraId="5693DAE1" w14:textId="55C6BBE9" w:rsidR="00A1620B" w:rsidRPr="00503F5B" w:rsidRDefault="00A1620B" w:rsidP="006835A8">
      <w:pPr>
        <w:jc w:val="both"/>
        <w:rPr>
          <w:color w:val="000000" w:themeColor="text1"/>
        </w:rPr>
      </w:pPr>
    </w:p>
    <w:p w14:paraId="4BE0B2E7" w14:textId="5213F34F" w:rsidR="00A1620B" w:rsidRPr="00503F5B" w:rsidRDefault="00A1620B" w:rsidP="00A1620B">
      <w:pPr>
        <w:jc w:val="center"/>
        <w:rPr>
          <w:b/>
          <w:color w:val="000000" w:themeColor="text1"/>
          <w:sz w:val="20"/>
          <w:szCs w:val="20"/>
        </w:rPr>
      </w:pPr>
      <w:r w:rsidRPr="00503F5B">
        <w:rPr>
          <w:b/>
          <w:color w:val="000000" w:themeColor="text1"/>
          <w:sz w:val="20"/>
          <w:szCs w:val="20"/>
        </w:rPr>
        <w:t xml:space="preserve">Table 24: </w:t>
      </w:r>
      <w:r w:rsidR="001234BF" w:rsidRPr="00503F5B">
        <w:rPr>
          <w:b/>
          <w:color w:val="000000" w:themeColor="text1"/>
          <w:sz w:val="20"/>
          <w:szCs w:val="20"/>
        </w:rPr>
        <w:t>D</w:t>
      </w:r>
      <w:r w:rsidRPr="00503F5B">
        <w:rPr>
          <w:b/>
          <w:color w:val="000000" w:themeColor="text1"/>
          <w:sz w:val="20"/>
          <w:szCs w:val="20"/>
        </w:rPr>
        <w:t>istribution of appliance hours</w:t>
      </w:r>
      <w:r w:rsidR="001234BF" w:rsidRPr="00503F5B">
        <w:rPr>
          <w:b/>
          <w:color w:val="000000" w:themeColor="text1"/>
          <w:sz w:val="20"/>
          <w:szCs w:val="20"/>
        </w:rPr>
        <w:t xml:space="preserve"> per number invoiced – 2018-19</w:t>
      </w:r>
    </w:p>
    <w:p w14:paraId="69F53E93" w14:textId="77777777" w:rsidR="00686731" w:rsidRPr="00503F5B" w:rsidRDefault="00686731" w:rsidP="00A1620B">
      <w:pPr>
        <w:jc w:val="center"/>
        <w:rPr>
          <w:b/>
          <w:color w:val="000000" w:themeColor="text1"/>
          <w:sz w:val="20"/>
          <w:szCs w:val="20"/>
        </w:rPr>
      </w:pPr>
    </w:p>
    <w:tbl>
      <w:tblPr>
        <w:tblW w:w="4394" w:type="dxa"/>
        <w:jc w:val="center"/>
        <w:tblLook w:val="04A0" w:firstRow="1" w:lastRow="0" w:firstColumn="1" w:lastColumn="0" w:noHBand="0" w:noVBand="1"/>
      </w:tblPr>
      <w:tblGrid>
        <w:gridCol w:w="1276"/>
        <w:gridCol w:w="1701"/>
        <w:gridCol w:w="1417"/>
      </w:tblGrid>
      <w:tr w:rsidR="001234BF" w:rsidRPr="00503F5B" w14:paraId="783FE036" w14:textId="621BEC0B" w:rsidTr="009917B8">
        <w:trPr>
          <w:trHeight w:val="780"/>
          <w:tblHeader/>
          <w:jc w:val="center"/>
        </w:trPr>
        <w:tc>
          <w:tcPr>
            <w:tcW w:w="1276" w:type="dxa"/>
            <w:tcBorders>
              <w:top w:val="single" w:sz="4" w:space="0" w:color="C00000"/>
              <w:left w:val="nil"/>
              <w:bottom w:val="double" w:sz="6" w:space="0" w:color="C00000"/>
              <w:right w:val="nil"/>
            </w:tcBorders>
            <w:shd w:val="clear" w:color="000000" w:fill="FFFFFF"/>
            <w:vAlign w:val="center"/>
            <w:hideMark/>
          </w:tcPr>
          <w:p w14:paraId="09F10175" w14:textId="42AAA16D" w:rsidR="001234BF" w:rsidRPr="00503F5B" w:rsidRDefault="001234BF" w:rsidP="00264670">
            <w:pPr>
              <w:jc w:val="center"/>
              <w:rPr>
                <w:rFonts w:asciiTheme="minorHAnsi" w:eastAsia="Times New Roman" w:hAnsiTheme="minorHAnsi" w:cstheme="minorHAnsi"/>
                <w:b/>
                <w:bCs/>
                <w:sz w:val="20"/>
                <w:szCs w:val="20"/>
                <w:lang w:eastAsia="en-AU"/>
              </w:rPr>
            </w:pPr>
            <w:r w:rsidRPr="00503F5B">
              <w:rPr>
                <w:rFonts w:asciiTheme="minorHAnsi" w:eastAsia="Times New Roman" w:hAnsiTheme="minorHAnsi" w:cstheme="minorHAnsi"/>
                <w:b/>
                <w:bCs/>
                <w:sz w:val="20"/>
                <w:szCs w:val="20"/>
                <w:lang w:eastAsia="en-AU"/>
              </w:rPr>
              <w:t>Appliance hrs charged per invoice</w:t>
            </w:r>
          </w:p>
        </w:tc>
        <w:tc>
          <w:tcPr>
            <w:tcW w:w="1701" w:type="dxa"/>
            <w:tcBorders>
              <w:top w:val="single" w:sz="4" w:space="0" w:color="C00000"/>
              <w:left w:val="nil"/>
              <w:bottom w:val="double" w:sz="6" w:space="0" w:color="C00000"/>
              <w:right w:val="nil"/>
            </w:tcBorders>
            <w:shd w:val="clear" w:color="000000" w:fill="FFFFFF"/>
            <w:vAlign w:val="center"/>
            <w:hideMark/>
          </w:tcPr>
          <w:p w14:paraId="6E5F35E9" w14:textId="77777777" w:rsidR="001234BF" w:rsidRPr="00503F5B" w:rsidRDefault="001234BF" w:rsidP="00264670">
            <w:pPr>
              <w:jc w:val="center"/>
              <w:rPr>
                <w:rFonts w:asciiTheme="minorHAnsi" w:eastAsia="Times New Roman" w:hAnsiTheme="minorHAnsi" w:cstheme="minorHAnsi"/>
                <w:b/>
                <w:bCs/>
                <w:sz w:val="20"/>
                <w:szCs w:val="20"/>
                <w:lang w:eastAsia="en-AU"/>
              </w:rPr>
            </w:pPr>
            <w:r w:rsidRPr="00503F5B">
              <w:rPr>
                <w:rFonts w:asciiTheme="minorHAnsi" w:eastAsia="Times New Roman" w:hAnsiTheme="minorHAnsi" w:cstheme="minorHAnsi"/>
                <w:b/>
                <w:bCs/>
                <w:sz w:val="20"/>
                <w:szCs w:val="20"/>
                <w:lang w:eastAsia="en-AU"/>
              </w:rPr>
              <w:t>Number invoiced</w:t>
            </w:r>
          </w:p>
        </w:tc>
        <w:tc>
          <w:tcPr>
            <w:tcW w:w="1417" w:type="dxa"/>
            <w:tcBorders>
              <w:top w:val="single" w:sz="4" w:space="0" w:color="C00000"/>
              <w:left w:val="nil"/>
              <w:bottom w:val="double" w:sz="6" w:space="0" w:color="C00000"/>
              <w:right w:val="nil"/>
            </w:tcBorders>
            <w:shd w:val="clear" w:color="000000" w:fill="FFFFFF"/>
            <w:vAlign w:val="center"/>
            <w:hideMark/>
          </w:tcPr>
          <w:p w14:paraId="55A428B3" w14:textId="6EC2778E" w:rsidR="001234BF" w:rsidRPr="00503F5B" w:rsidRDefault="001234BF" w:rsidP="00264670">
            <w:pPr>
              <w:jc w:val="center"/>
              <w:rPr>
                <w:rFonts w:asciiTheme="minorHAnsi" w:eastAsia="Times New Roman" w:hAnsiTheme="minorHAnsi" w:cstheme="minorHAnsi"/>
                <w:b/>
                <w:bCs/>
                <w:sz w:val="20"/>
                <w:szCs w:val="20"/>
                <w:lang w:eastAsia="en-AU"/>
              </w:rPr>
            </w:pPr>
            <w:r w:rsidRPr="00503F5B">
              <w:rPr>
                <w:rFonts w:asciiTheme="minorHAnsi" w:eastAsia="Times New Roman" w:hAnsiTheme="minorHAnsi" w:cstheme="minorHAnsi"/>
                <w:b/>
                <w:bCs/>
                <w:sz w:val="20"/>
                <w:szCs w:val="20"/>
                <w:lang w:eastAsia="en-AU"/>
              </w:rPr>
              <w:t>% of total invoiced</w:t>
            </w:r>
          </w:p>
        </w:tc>
      </w:tr>
      <w:tr w:rsidR="001234BF" w:rsidRPr="00503F5B" w14:paraId="40ABF9DF" w14:textId="541C3CBE" w:rsidTr="009917B8">
        <w:trPr>
          <w:trHeight w:val="300"/>
          <w:jc w:val="center"/>
        </w:trPr>
        <w:tc>
          <w:tcPr>
            <w:tcW w:w="1276" w:type="dxa"/>
            <w:tcBorders>
              <w:top w:val="nil"/>
              <w:left w:val="nil"/>
              <w:bottom w:val="nil"/>
              <w:right w:val="nil"/>
            </w:tcBorders>
            <w:shd w:val="clear" w:color="000000" w:fill="FFFFFF"/>
            <w:noWrap/>
            <w:vAlign w:val="center"/>
            <w:hideMark/>
          </w:tcPr>
          <w:p w14:paraId="45896490" w14:textId="681E875C"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0.25</w:t>
            </w:r>
          </w:p>
        </w:tc>
        <w:tc>
          <w:tcPr>
            <w:tcW w:w="1701" w:type="dxa"/>
            <w:tcBorders>
              <w:top w:val="nil"/>
              <w:left w:val="nil"/>
              <w:bottom w:val="nil"/>
              <w:right w:val="nil"/>
            </w:tcBorders>
            <w:shd w:val="clear" w:color="000000" w:fill="FFFFFF"/>
            <w:noWrap/>
            <w:vAlign w:val="center"/>
            <w:hideMark/>
          </w:tcPr>
          <w:p w14:paraId="373D1C99"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82</w:t>
            </w:r>
          </w:p>
        </w:tc>
        <w:tc>
          <w:tcPr>
            <w:tcW w:w="1417" w:type="dxa"/>
            <w:tcBorders>
              <w:top w:val="nil"/>
              <w:left w:val="nil"/>
              <w:bottom w:val="nil"/>
              <w:right w:val="nil"/>
            </w:tcBorders>
            <w:shd w:val="clear" w:color="000000" w:fill="FFFFFF"/>
            <w:noWrap/>
            <w:vAlign w:val="center"/>
            <w:hideMark/>
          </w:tcPr>
          <w:p w14:paraId="3E7EF25F"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1.84%</w:t>
            </w:r>
          </w:p>
        </w:tc>
      </w:tr>
      <w:tr w:rsidR="001234BF" w:rsidRPr="00503F5B" w14:paraId="1715C80D" w14:textId="442C9AEE" w:rsidTr="009917B8">
        <w:trPr>
          <w:trHeight w:val="285"/>
          <w:jc w:val="center"/>
        </w:trPr>
        <w:tc>
          <w:tcPr>
            <w:tcW w:w="1276" w:type="dxa"/>
            <w:tcBorders>
              <w:top w:val="nil"/>
              <w:left w:val="nil"/>
              <w:bottom w:val="nil"/>
              <w:right w:val="nil"/>
            </w:tcBorders>
            <w:shd w:val="clear" w:color="000000" w:fill="FFFFFF"/>
            <w:noWrap/>
            <w:vAlign w:val="center"/>
            <w:hideMark/>
          </w:tcPr>
          <w:p w14:paraId="209DB6B5" w14:textId="6B73882E"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0.25</w:t>
            </w:r>
          </w:p>
        </w:tc>
        <w:tc>
          <w:tcPr>
            <w:tcW w:w="1701" w:type="dxa"/>
            <w:tcBorders>
              <w:top w:val="nil"/>
              <w:left w:val="nil"/>
              <w:bottom w:val="nil"/>
              <w:right w:val="nil"/>
            </w:tcBorders>
            <w:shd w:val="clear" w:color="000000" w:fill="FFFFFF"/>
            <w:noWrap/>
            <w:vAlign w:val="center"/>
            <w:hideMark/>
          </w:tcPr>
          <w:p w14:paraId="37FA0BA1"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437</w:t>
            </w:r>
          </w:p>
        </w:tc>
        <w:tc>
          <w:tcPr>
            <w:tcW w:w="1417" w:type="dxa"/>
            <w:tcBorders>
              <w:top w:val="nil"/>
              <w:left w:val="nil"/>
              <w:bottom w:val="nil"/>
              <w:right w:val="nil"/>
            </w:tcBorders>
            <w:shd w:val="clear" w:color="000000" w:fill="FFFFFF"/>
            <w:noWrap/>
            <w:vAlign w:val="center"/>
            <w:hideMark/>
          </w:tcPr>
          <w:p w14:paraId="0E9D0458"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9.80%</w:t>
            </w:r>
          </w:p>
        </w:tc>
      </w:tr>
      <w:tr w:rsidR="001234BF" w:rsidRPr="00503F5B" w14:paraId="740C6631" w14:textId="075DF84C" w:rsidTr="009917B8">
        <w:trPr>
          <w:trHeight w:val="285"/>
          <w:jc w:val="center"/>
        </w:trPr>
        <w:tc>
          <w:tcPr>
            <w:tcW w:w="1276" w:type="dxa"/>
            <w:tcBorders>
              <w:top w:val="nil"/>
              <w:left w:val="nil"/>
              <w:bottom w:val="nil"/>
              <w:right w:val="nil"/>
            </w:tcBorders>
            <w:shd w:val="clear" w:color="000000" w:fill="FFFFFF"/>
            <w:noWrap/>
            <w:vAlign w:val="center"/>
            <w:hideMark/>
          </w:tcPr>
          <w:p w14:paraId="39A85385" w14:textId="05628A24"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0.49</w:t>
            </w:r>
          </w:p>
        </w:tc>
        <w:tc>
          <w:tcPr>
            <w:tcW w:w="1701" w:type="dxa"/>
            <w:tcBorders>
              <w:top w:val="nil"/>
              <w:left w:val="nil"/>
              <w:bottom w:val="nil"/>
              <w:right w:val="nil"/>
            </w:tcBorders>
            <w:shd w:val="clear" w:color="000000" w:fill="FFFFFF"/>
            <w:noWrap/>
            <w:vAlign w:val="center"/>
            <w:hideMark/>
          </w:tcPr>
          <w:p w14:paraId="4949F827"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352</w:t>
            </w:r>
          </w:p>
        </w:tc>
        <w:tc>
          <w:tcPr>
            <w:tcW w:w="1417" w:type="dxa"/>
            <w:tcBorders>
              <w:top w:val="nil"/>
              <w:left w:val="nil"/>
              <w:bottom w:val="nil"/>
              <w:right w:val="nil"/>
            </w:tcBorders>
            <w:shd w:val="clear" w:color="000000" w:fill="FFFFFF"/>
            <w:noWrap/>
            <w:vAlign w:val="center"/>
            <w:hideMark/>
          </w:tcPr>
          <w:p w14:paraId="35C1D8FE"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7.89%</w:t>
            </w:r>
          </w:p>
        </w:tc>
      </w:tr>
      <w:tr w:rsidR="001234BF" w:rsidRPr="00503F5B" w14:paraId="2392D7CB" w14:textId="39AF52EB" w:rsidTr="009917B8">
        <w:trPr>
          <w:trHeight w:val="285"/>
          <w:jc w:val="center"/>
        </w:trPr>
        <w:tc>
          <w:tcPr>
            <w:tcW w:w="1276" w:type="dxa"/>
            <w:tcBorders>
              <w:top w:val="nil"/>
              <w:left w:val="nil"/>
              <w:bottom w:val="nil"/>
              <w:right w:val="nil"/>
            </w:tcBorders>
            <w:shd w:val="clear" w:color="000000" w:fill="FFFFFF"/>
            <w:noWrap/>
            <w:vAlign w:val="center"/>
            <w:hideMark/>
          </w:tcPr>
          <w:p w14:paraId="1AB94A22" w14:textId="0E5A6439"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0.50</w:t>
            </w:r>
          </w:p>
        </w:tc>
        <w:tc>
          <w:tcPr>
            <w:tcW w:w="1701" w:type="dxa"/>
            <w:tcBorders>
              <w:top w:val="nil"/>
              <w:left w:val="nil"/>
              <w:bottom w:val="nil"/>
              <w:right w:val="nil"/>
            </w:tcBorders>
            <w:shd w:val="clear" w:color="000000" w:fill="FFFFFF"/>
            <w:noWrap/>
            <w:vAlign w:val="center"/>
            <w:hideMark/>
          </w:tcPr>
          <w:p w14:paraId="13246135"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1019</w:t>
            </w:r>
          </w:p>
        </w:tc>
        <w:tc>
          <w:tcPr>
            <w:tcW w:w="1417" w:type="dxa"/>
            <w:tcBorders>
              <w:top w:val="nil"/>
              <w:left w:val="nil"/>
              <w:bottom w:val="nil"/>
              <w:right w:val="nil"/>
            </w:tcBorders>
            <w:shd w:val="clear" w:color="000000" w:fill="FFFFFF"/>
            <w:noWrap/>
            <w:vAlign w:val="center"/>
            <w:hideMark/>
          </w:tcPr>
          <w:p w14:paraId="75B1E014"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22.85%</w:t>
            </w:r>
          </w:p>
        </w:tc>
      </w:tr>
      <w:tr w:rsidR="001234BF" w:rsidRPr="00503F5B" w14:paraId="517BBB66" w14:textId="07E065AB" w:rsidTr="009917B8">
        <w:trPr>
          <w:trHeight w:val="285"/>
          <w:jc w:val="center"/>
        </w:trPr>
        <w:tc>
          <w:tcPr>
            <w:tcW w:w="1276" w:type="dxa"/>
            <w:tcBorders>
              <w:top w:val="nil"/>
              <w:left w:val="nil"/>
              <w:bottom w:val="nil"/>
              <w:right w:val="nil"/>
            </w:tcBorders>
            <w:shd w:val="clear" w:color="000000" w:fill="FFFFFF"/>
            <w:noWrap/>
            <w:vAlign w:val="center"/>
            <w:hideMark/>
          </w:tcPr>
          <w:p w14:paraId="536D533F" w14:textId="3430D93E"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0.74</w:t>
            </w:r>
          </w:p>
        </w:tc>
        <w:tc>
          <w:tcPr>
            <w:tcW w:w="1701" w:type="dxa"/>
            <w:tcBorders>
              <w:top w:val="nil"/>
              <w:left w:val="nil"/>
              <w:bottom w:val="nil"/>
              <w:right w:val="nil"/>
            </w:tcBorders>
            <w:shd w:val="clear" w:color="000000" w:fill="FFFFFF"/>
            <w:noWrap/>
            <w:vAlign w:val="center"/>
            <w:hideMark/>
          </w:tcPr>
          <w:p w14:paraId="67F8801B"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326</w:t>
            </w:r>
          </w:p>
        </w:tc>
        <w:tc>
          <w:tcPr>
            <w:tcW w:w="1417" w:type="dxa"/>
            <w:tcBorders>
              <w:top w:val="nil"/>
              <w:left w:val="nil"/>
              <w:bottom w:val="nil"/>
              <w:right w:val="nil"/>
            </w:tcBorders>
            <w:shd w:val="clear" w:color="000000" w:fill="FFFFFF"/>
            <w:noWrap/>
            <w:vAlign w:val="center"/>
            <w:hideMark/>
          </w:tcPr>
          <w:p w14:paraId="43578A70"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7.31%</w:t>
            </w:r>
          </w:p>
        </w:tc>
      </w:tr>
      <w:tr w:rsidR="001234BF" w:rsidRPr="00503F5B" w14:paraId="250443F1" w14:textId="601ED0DA" w:rsidTr="009917B8">
        <w:trPr>
          <w:trHeight w:val="285"/>
          <w:jc w:val="center"/>
        </w:trPr>
        <w:tc>
          <w:tcPr>
            <w:tcW w:w="1276" w:type="dxa"/>
            <w:tcBorders>
              <w:top w:val="nil"/>
              <w:left w:val="nil"/>
              <w:bottom w:val="nil"/>
              <w:right w:val="nil"/>
            </w:tcBorders>
            <w:shd w:val="clear" w:color="000000" w:fill="FFFFFF"/>
            <w:noWrap/>
            <w:vAlign w:val="center"/>
            <w:hideMark/>
          </w:tcPr>
          <w:p w14:paraId="12D12767" w14:textId="29500186"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0.75</w:t>
            </w:r>
          </w:p>
        </w:tc>
        <w:tc>
          <w:tcPr>
            <w:tcW w:w="1701" w:type="dxa"/>
            <w:tcBorders>
              <w:top w:val="nil"/>
              <w:left w:val="nil"/>
              <w:bottom w:val="nil"/>
              <w:right w:val="nil"/>
            </w:tcBorders>
            <w:shd w:val="clear" w:color="000000" w:fill="FFFFFF"/>
            <w:noWrap/>
            <w:vAlign w:val="center"/>
            <w:hideMark/>
          </w:tcPr>
          <w:p w14:paraId="69FD614B"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987</w:t>
            </w:r>
          </w:p>
        </w:tc>
        <w:tc>
          <w:tcPr>
            <w:tcW w:w="1417" w:type="dxa"/>
            <w:tcBorders>
              <w:top w:val="nil"/>
              <w:left w:val="nil"/>
              <w:bottom w:val="nil"/>
              <w:right w:val="nil"/>
            </w:tcBorders>
            <w:shd w:val="clear" w:color="000000" w:fill="FFFFFF"/>
            <w:noWrap/>
            <w:vAlign w:val="center"/>
            <w:hideMark/>
          </w:tcPr>
          <w:p w14:paraId="388A6744"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22.13%</w:t>
            </w:r>
          </w:p>
        </w:tc>
      </w:tr>
      <w:tr w:rsidR="001234BF" w:rsidRPr="00503F5B" w14:paraId="38E5FBB6" w14:textId="26783087" w:rsidTr="009917B8">
        <w:trPr>
          <w:trHeight w:val="285"/>
          <w:jc w:val="center"/>
        </w:trPr>
        <w:tc>
          <w:tcPr>
            <w:tcW w:w="1276" w:type="dxa"/>
            <w:tcBorders>
              <w:top w:val="nil"/>
              <w:left w:val="nil"/>
              <w:bottom w:val="nil"/>
              <w:right w:val="nil"/>
            </w:tcBorders>
            <w:shd w:val="clear" w:color="000000" w:fill="FFFFFF"/>
            <w:noWrap/>
            <w:vAlign w:val="center"/>
            <w:hideMark/>
          </w:tcPr>
          <w:p w14:paraId="2FAF2D1F" w14:textId="17976EE6"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0.98</w:t>
            </w:r>
          </w:p>
        </w:tc>
        <w:tc>
          <w:tcPr>
            <w:tcW w:w="1701" w:type="dxa"/>
            <w:tcBorders>
              <w:top w:val="nil"/>
              <w:left w:val="nil"/>
              <w:bottom w:val="nil"/>
              <w:right w:val="nil"/>
            </w:tcBorders>
            <w:shd w:val="clear" w:color="000000" w:fill="FFFFFF"/>
            <w:noWrap/>
            <w:vAlign w:val="center"/>
            <w:hideMark/>
          </w:tcPr>
          <w:p w14:paraId="61D545EF"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163</w:t>
            </w:r>
          </w:p>
        </w:tc>
        <w:tc>
          <w:tcPr>
            <w:tcW w:w="1417" w:type="dxa"/>
            <w:tcBorders>
              <w:top w:val="nil"/>
              <w:left w:val="nil"/>
              <w:bottom w:val="nil"/>
              <w:right w:val="nil"/>
            </w:tcBorders>
            <w:shd w:val="clear" w:color="000000" w:fill="FFFFFF"/>
            <w:noWrap/>
            <w:vAlign w:val="center"/>
            <w:hideMark/>
          </w:tcPr>
          <w:p w14:paraId="4DE8C999"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3.65%</w:t>
            </w:r>
          </w:p>
        </w:tc>
      </w:tr>
      <w:tr w:rsidR="001234BF" w:rsidRPr="00503F5B" w14:paraId="7488F9A0" w14:textId="1A7517C4" w:rsidTr="009917B8">
        <w:trPr>
          <w:trHeight w:val="285"/>
          <w:jc w:val="center"/>
        </w:trPr>
        <w:tc>
          <w:tcPr>
            <w:tcW w:w="1276" w:type="dxa"/>
            <w:tcBorders>
              <w:top w:val="nil"/>
              <w:left w:val="nil"/>
              <w:bottom w:val="nil"/>
              <w:right w:val="nil"/>
            </w:tcBorders>
            <w:shd w:val="clear" w:color="000000" w:fill="FFFFFF"/>
            <w:noWrap/>
            <w:vAlign w:val="center"/>
            <w:hideMark/>
          </w:tcPr>
          <w:p w14:paraId="69F644FD" w14:textId="60D8F420"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1.00</w:t>
            </w:r>
          </w:p>
        </w:tc>
        <w:tc>
          <w:tcPr>
            <w:tcW w:w="1701" w:type="dxa"/>
            <w:tcBorders>
              <w:top w:val="nil"/>
              <w:left w:val="nil"/>
              <w:bottom w:val="nil"/>
              <w:right w:val="nil"/>
            </w:tcBorders>
            <w:shd w:val="clear" w:color="000000" w:fill="FFFFFF"/>
            <w:noWrap/>
            <w:vAlign w:val="center"/>
            <w:hideMark/>
          </w:tcPr>
          <w:p w14:paraId="47B968C7"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461</w:t>
            </w:r>
          </w:p>
        </w:tc>
        <w:tc>
          <w:tcPr>
            <w:tcW w:w="1417" w:type="dxa"/>
            <w:tcBorders>
              <w:top w:val="nil"/>
              <w:left w:val="nil"/>
              <w:bottom w:val="nil"/>
              <w:right w:val="nil"/>
            </w:tcBorders>
            <w:shd w:val="clear" w:color="000000" w:fill="FFFFFF"/>
            <w:noWrap/>
            <w:vAlign w:val="center"/>
            <w:hideMark/>
          </w:tcPr>
          <w:p w14:paraId="2EF5836B"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10.34%</w:t>
            </w:r>
          </w:p>
        </w:tc>
      </w:tr>
      <w:tr w:rsidR="001234BF" w:rsidRPr="00503F5B" w14:paraId="640D6304" w14:textId="1A027281" w:rsidTr="009917B8">
        <w:trPr>
          <w:trHeight w:val="285"/>
          <w:jc w:val="center"/>
        </w:trPr>
        <w:tc>
          <w:tcPr>
            <w:tcW w:w="1276" w:type="dxa"/>
            <w:tcBorders>
              <w:top w:val="nil"/>
              <w:left w:val="nil"/>
              <w:bottom w:val="nil"/>
              <w:right w:val="nil"/>
            </w:tcBorders>
            <w:shd w:val="clear" w:color="000000" w:fill="FFFFFF"/>
            <w:noWrap/>
            <w:vAlign w:val="center"/>
            <w:hideMark/>
          </w:tcPr>
          <w:p w14:paraId="45DD6BBB" w14:textId="5632B5D8"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1.23</w:t>
            </w:r>
          </w:p>
        </w:tc>
        <w:tc>
          <w:tcPr>
            <w:tcW w:w="1701" w:type="dxa"/>
            <w:tcBorders>
              <w:top w:val="nil"/>
              <w:left w:val="nil"/>
              <w:bottom w:val="nil"/>
              <w:right w:val="nil"/>
            </w:tcBorders>
            <w:shd w:val="clear" w:color="000000" w:fill="FFFFFF"/>
            <w:noWrap/>
            <w:vAlign w:val="center"/>
            <w:hideMark/>
          </w:tcPr>
          <w:p w14:paraId="325CFEF2"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86</w:t>
            </w:r>
          </w:p>
        </w:tc>
        <w:tc>
          <w:tcPr>
            <w:tcW w:w="1417" w:type="dxa"/>
            <w:tcBorders>
              <w:top w:val="nil"/>
              <w:left w:val="nil"/>
              <w:bottom w:val="nil"/>
              <w:right w:val="nil"/>
            </w:tcBorders>
            <w:shd w:val="clear" w:color="000000" w:fill="FFFFFF"/>
            <w:noWrap/>
            <w:vAlign w:val="center"/>
            <w:hideMark/>
          </w:tcPr>
          <w:p w14:paraId="34AD6866"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1.93%</w:t>
            </w:r>
          </w:p>
        </w:tc>
      </w:tr>
      <w:tr w:rsidR="001234BF" w:rsidRPr="00503F5B" w14:paraId="0F297AAC" w14:textId="0215E1D9" w:rsidTr="009917B8">
        <w:trPr>
          <w:trHeight w:val="285"/>
          <w:jc w:val="center"/>
        </w:trPr>
        <w:tc>
          <w:tcPr>
            <w:tcW w:w="1276" w:type="dxa"/>
            <w:tcBorders>
              <w:top w:val="nil"/>
              <w:left w:val="nil"/>
              <w:bottom w:val="nil"/>
              <w:right w:val="nil"/>
            </w:tcBorders>
            <w:shd w:val="clear" w:color="000000" w:fill="FFFFFF"/>
            <w:noWrap/>
            <w:vAlign w:val="center"/>
            <w:hideMark/>
          </w:tcPr>
          <w:p w14:paraId="709C6F03" w14:textId="59C597AE"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1.25</w:t>
            </w:r>
          </w:p>
        </w:tc>
        <w:tc>
          <w:tcPr>
            <w:tcW w:w="1701" w:type="dxa"/>
            <w:tcBorders>
              <w:top w:val="nil"/>
              <w:left w:val="nil"/>
              <w:bottom w:val="nil"/>
              <w:right w:val="nil"/>
            </w:tcBorders>
            <w:shd w:val="clear" w:color="000000" w:fill="FFFFFF"/>
            <w:noWrap/>
            <w:vAlign w:val="center"/>
            <w:hideMark/>
          </w:tcPr>
          <w:p w14:paraId="23666FF3"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198</w:t>
            </w:r>
          </w:p>
        </w:tc>
        <w:tc>
          <w:tcPr>
            <w:tcW w:w="1417" w:type="dxa"/>
            <w:tcBorders>
              <w:top w:val="nil"/>
              <w:left w:val="nil"/>
              <w:bottom w:val="nil"/>
              <w:right w:val="nil"/>
            </w:tcBorders>
            <w:shd w:val="clear" w:color="000000" w:fill="FFFFFF"/>
            <w:noWrap/>
            <w:vAlign w:val="center"/>
            <w:hideMark/>
          </w:tcPr>
          <w:p w14:paraId="2BE183B6"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4.44%</w:t>
            </w:r>
          </w:p>
        </w:tc>
      </w:tr>
      <w:tr w:rsidR="001234BF" w:rsidRPr="00503F5B" w14:paraId="0178B38E" w14:textId="579146DC"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4553DB9F" w14:textId="46865ACE"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1.47</w:t>
            </w:r>
          </w:p>
        </w:tc>
        <w:tc>
          <w:tcPr>
            <w:tcW w:w="1701" w:type="dxa"/>
            <w:tcBorders>
              <w:top w:val="nil"/>
              <w:left w:val="nil"/>
              <w:bottom w:val="nil"/>
              <w:right w:val="nil"/>
            </w:tcBorders>
            <w:shd w:val="clear" w:color="auto" w:fill="FBE4D5" w:themeFill="accent2" w:themeFillTint="33"/>
            <w:noWrap/>
            <w:vAlign w:val="center"/>
            <w:hideMark/>
          </w:tcPr>
          <w:p w14:paraId="243AC22C"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50</w:t>
            </w:r>
          </w:p>
        </w:tc>
        <w:tc>
          <w:tcPr>
            <w:tcW w:w="1417" w:type="dxa"/>
            <w:tcBorders>
              <w:top w:val="nil"/>
              <w:left w:val="nil"/>
              <w:bottom w:val="nil"/>
              <w:right w:val="nil"/>
            </w:tcBorders>
            <w:shd w:val="clear" w:color="auto" w:fill="FBE4D5" w:themeFill="accent2" w:themeFillTint="33"/>
            <w:noWrap/>
            <w:vAlign w:val="center"/>
            <w:hideMark/>
          </w:tcPr>
          <w:p w14:paraId="7D37E1C8"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1.12%</w:t>
            </w:r>
          </w:p>
        </w:tc>
      </w:tr>
      <w:tr w:rsidR="001234BF" w:rsidRPr="00503F5B" w14:paraId="5DEB01CC" w14:textId="0408C837"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0E8CFF84" w14:textId="2F74E76E"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1.50</w:t>
            </w:r>
          </w:p>
        </w:tc>
        <w:tc>
          <w:tcPr>
            <w:tcW w:w="1701" w:type="dxa"/>
            <w:tcBorders>
              <w:top w:val="nil"/>
              <w:left w:val="nil"/>
              <w:bottom w:val="nil"/>
              <w:right w:val="nil"/>
            </w:tcBorders>
            <w:shd w:val="clear" w:color="auto" w:fill="FBE4D5" w:themeFill="accent2" w:themeFillTint="33"/>
            <w:noWrap/>
            <w:vAlign w:val="center"/>
            <w:hideMark/>
          </w:tcPr>
          <w:p w14:paraId="11A6F6A9"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113</w:t>
            </w:r>
          </w:p>
        </w:tc>
        <w:tc>
          <w:tcPr>
            <w:tcW w:w="1417" w:type="dxa"/>
            <w:tcBorders>
              <w:top w:val="nil"/>
              <w:left w:val="nil"/>
              <w:bottom w:val="nil"/>
              <w:right w:val="nil"/>
            </w:tcBorders>
            <w:shd w:val="clear" w:color="auto" w:fill="FBE4D5" w:themeFill="accent2" w:themeFillTint="33"/>
            <w:noWrap/>
            <w:vAlign w:val="center"/>
            <w:hideMark/>
          </w:tcPr>
          <w:p w14:paraId="4D515B34"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2.53%</w:t>
            </w:r>
          </w:p>
        </w:tc>
      </w:tr>
      <w:tr w:rsidR="001234BF" w:rsidRPr="00503F5B" w14:paraId="5093E766" w14:textId="69AB8A97"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1BB0DB29" w14:textId="3AA04051"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1.72</w:t>
            </w:r>
          </w:p>
        </w:tc>
        <w:tc>
          <w:tcPr>
            <w:tcW w:w="1701" w:type="dxa"/>
            <w:tcBorders>
              <w:top w:val="nil"/>
              <w:left w:val="nil"/>
              <w:bottom w:val="nil"/>
              <w:right w:val="nil"/>
            </w:tcBorders>
            <w:shd w:val="clear" w:color="auto" w:fill="FBE4D5" w:themeFill="accent2" w:themeFillTint="33"/>
            <w:noWrap/>
            <w:vAlign w:val="center"/>
            <w:hideMark/>
          </w:tcPr>
          <w:p w14:paraId="71213E18"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21</w:t>
            </w:r>
          </w:p>
        </w:tc>
        <w:tc>
          <w:tcPr>
            <w:tcW w:w="1417" w:type="dxa"/>
            <w:tcBorders>
              <w:top w:val="nil"/>
              <w:left w:val="nil"/>
              <w:bottom w:val="nil"/>
              <w:right w:val="nil"/>
            </w:tcBorders>
            <w:shd w:val="clear" w:color="auto" w:fill="FBE4D5" w:themeFill="accent2" w:themeFillTint="33"/>
            <w:noWrap/>
            <w:vAlign w:val="center"/>
            <w:hideMark/>
          </w:tcPr>
          <w:p w14:paraId="2358219F"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0.47%</w:t>
            </w:r>
          </w:p>
        </w:tc>
      </w:tr>
      <w:tr w:rsidR="001234BF" w:rsidRPr="00503F5B" w14:paraId="2D3558A1" w14:textId="521937E6"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55211ADB" w14:textId="3EC87704"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1.75</w:t>
            </w:r>
          </w:p>
        </w:tc>
        <w:tc>
          <w:tcPr>
            <w:tcW w:w="1701" w:type="dxa"/>
            <w:tcBorders>
              <w:top w:val="nil"/>
              <w:left w:val="nil"/>
              <w:bottom w:val="nil"/>
              <w:right w:val="nil"/>
            </w:tcBorders>
            <w:shd w:val="clear" w:color="auto" w:fill="FBE4D5" w:themeFill="accent2" w:themeFillTint="33"/>
            <w:noWrap/>
            <w:vAlign w:val="center"/>
            <w:hideMark/>
          </w:tcPr>
          <w:p w14:paraId="707B15C2"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45</w:t>
            </w:r>
          </w:p>
        </w:tc>
        <w:tc>
          <w:tcPr>
            <w:tcW w:w="1417" w:type="dxa"/>
            <w:tcBorders>
              <w:top w:val="nil"/>
              <w:left w:val="nil"/>
              <w:bottom w:val="nil"/>
              <w:right w:val="nil"/>
            </w:tcBorders>
            <w:shd w:val="clear" w:color="auto" w:fill="FBE4D5" w:themeFill="accent2" w:themeFillTint="33"/>
            <w:noWrap/>
            <w:vAlign w:val="center"/>
            <w:hideMark/>
          </w:tcPr>
          <w:p w14:paraId="3CFE9C4D"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1.01%</w:t>
            </w:r>
          </w:p>
        </w:tc>
      </w:tr>
      <w:tr w:rsidR="001234BF" w:rsidRPr="00503F5B" w14:paraId="1E2DA156" w14:textId="1E438A28"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7295D6D3" w14:textId="00535BAF"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1.97</w:t>
            </w:r>
          </w:p>
        </w:tc>
        <w:tc>
          <w:tcPr>
            <w:tcW w:w="1701" w:type="dxa"/>
            <w:tcBorders>
              <w:top w:val="nil"/>
              <w:left w:val="nil"/>
              <w:bottom w:val="nil"/>
              <w:right w:val="nil"/>
            </w:tcBorders>
            <w:shd w:val="clear" w:color="auto" w:fill="FBE4D5" w:themeFill="accent2" w:themeFillTint="33"/>
            <w:noWrap/>
            <w:vAlign w:val="center"/>
            <w:hideMark/>
          </w:tcPr>
          <w:p w14:paraId="5B320707"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9</w:t>
            </w:r>
          </w:p>
        </w:tc>
        <w:tc>
          <w:tcPr>
            <w:tcW w:w="1417" w:type="dxa"/>
            <w:tcBorders>
              <w:top w:val="nil"/>
              <w:left w:val="nil"/>
              <w:bottom w:val="nil"/>
              <w:right w:val="nil"/>
            </w:tcBorders>
            <w:shd w:val="clear" w:color="auto" w:fill="FBE4D5" w:themeFill="accent2" w:themeFillTint="33"/>
            <w:noWrap/>
            <w:vAlign w:val="center"/>
            <w:hideMark/>
          </w:tcPr>
          <w:p w14:paraId="29447CC6"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0.20%</w:t>
            </w:r>
          </w:p>
        </w:tc>
      </w:tr>
      <w:tr w:rsidR="001234BF" w:rsidRPr="00503F5B" w14:paraId="6802AAF7" w14:textId="51F5AB4E"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57932DCB" w14:textId="6F671761"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2.00</w:t>
            </w:r>
          </w:p>
        </w:tc>
        <w:tc>
          <w:tcPr>
            <w:tcW w:w="1701" w:type="dxa"/>
            <w:tcBorders>
              <w:top w:val="nil"/>
              <w:left w:val="nil"/>
              <w:bottom w:val="nil"/>
              <w:right w:val="nil"/>
            </w:tcBorders>
            <w:shd w:val="clear" w:color="auto" w:fill="FBE4D5" w:themeFill="accent2" w:themeFillTint="33"/>
            <w:noWrap/>
            <w:vAlign w:val="center"/>
            <w:hideMark/>
          </w:tcPr>
          <w:p w14:paraId="63DDD24B"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36</w:t>
            </w:r>
          </w:p>
        </w:tc>
        <w:tc>
          <w:tcPr>
            <w:tcW w:w="1417" w:type="dxa"/>
            <w:tcBorders>
              <w:top w:val="nil"/>
              <w:left w:val="nil"/>
              <w:bottom w:val="nil"/>
              <w:right w:val="nil"/>
            </w:tcBorders>
            <w:shd w:val="clear" w:color="auto" w:fill="FBE4D5" w:themeFill="accent2" w:themeFillTint="33"/>
            <w:noWrap/>
            <w:vAlign w:val="center"/>
            <w:hideMark/>
          </w:tcPr>
          <w:p w14:paraId="4FD964C2"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0.81%</w:t>
            </w:r>
          </w:p>
        </w:tc>
      </w:tr>
      <w:tr w:rsidR="001234BF" w:rsidRPr="00503F5B" w14:paraId="4EEFA82F" w14:textId="66E96604"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4965A4D0" w14:textId="42919420"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2.12</w:t>
            </w:r>
          </w:p>
        </w:tc>
        <w:tc>
          <w:tcPr>
            <w:tcW w:w="1701" w:type="dxa"/>
            <w:tcBorders>
              <w:top w:val="nil"/>
              <w:left w:val="nil"/>
              <w:bottom w:val="nil"/>
              <w:right w:val="nil"/>
            </w:tcBorders>
            <w:shd w:val="clear" w:color="auto" w:fill="FBE4D5" w:themeFill="accent2" w:themeFillTint="33"/>
            <w:noWrap/>
            <w:vAlign w:val="center"/>
            <w:hideMark/>
          </w:tcPr>
          <w:p w14:paraId="0C9C94DB"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w:t>
            </w:r>
          </w:p>
        </w:tc>
        <w:tc>
          <w:tcPr>
            <w:tcW w:w="1417" w:type="dxa"/>
            <w:tcBorders>
              <w:top w:val="nil"/>
              <w:left w:val="nil"/>
              <w:bottom w:val="nil"/>
              <w:right w:val="nil"/>
            </w:tcBorders>
            <w:shd w:val="clear" w:color="auto" w:fill="FBE4D5" w:themeFill="accent2" w:themeFillTint="33"/>
            <w:noWrap/>
            <w:vAlign w:val="center"/>
            <w:hideMark/>
          </w:tcPr>
          <w:p w14:paraId="6E0757A5"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0.02%</w:t>
            </w:r>
          </w:p>
        </w:tc>
      </w:tr>
      <w:tr w:rsidR="001234BF" w:rsidRPr="00503F5B" w14:paraId="28C57C86" w14:textId="28A40900"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5B1404E4" w14:textId="39CD6972"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2.21</w:t>
            </w:r>
          </w:p>
        </w:tc>
        <w:tc>
          <w:tcPr>
            <w:tcW w:w="1701" w:type="dxa"/>
            <w:tcBorders>
              <w:top w:val="nil"/>
              <w:left w:val="nil"/>
              <w:bottom w:val="nil"/>
              <w:right w:val="nil"/>
            </w:tcBorders>
            <w:shd w:val="clear" w:color="auto" w:fill="FBE4D5" w:themeFill="accent2" w:themeFillTint="33"/>
            <w:noWrap/>
            <w:vAlign w:val="center"/>
            <w:hideMark/>
          </w:tcPr>
          <w:p w14:paraId="3AFCAF9D"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8</w:t>
            </w:r>
          </w:p>
        </w:tc>
        <w:tc>
          <w:tcPr>
            <w:tcW w:w="1417" w:type="dxa"/>
            <w:tcBorders>
              <w:top w:val="nil"/>
              <w:left w:val="nil"/>
              <w:bottom w:val="nil"/>
              <w:right w:val="nil"/>
            </w:tcBorders>
            <w:shd w:val="clear" w:color="auto" w:fill="FBE4D5" w:themeFill="accent2" w:themeFillTint="33"/>
            <w:noWrap/>
            <w:vAlign w:val="center"/>
            <w:hideMark/>
          </w:tcPr>
          <w:p w14:paraId="0AE9ED0F"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0.18%</w:t>
            </w:r>
          </w:p>
        </w:tc>
      </w:tr>
      <w:tr w:rsidR="001234BF" w:rsidRPr="00503F5B" w14:paraId="66D54E3A" w14:textId="1166F0D1"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3B46F9FF" w14:textId="45EF36C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2.25</w:t>
            </w:r>
          </w:p>
        </w:tc>
        <w:tc>
          <w:tcPr>
            <w:tcW w:w="1701" w:type="dxa"/>
            <w:tcBorders>
              <w:top w:val="nil"/>
              <w:left w:val="nil"/>
              <w:bottom w:val="nil"/>
              <w:right w:val="nil"/>
            </w:tcBorders>
            <w:shd w:val="clear" w:color="auto" w:fill="FBE4D5" w:themeFill="accent2" w:themeFillTint="33"/>
            <w:noWrap/>
            <w:vAlign w:val="center"/>
            <w:hideMark/>
          </w:tcPr>
          <w:p w14:paraId="45D18B11"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16</w:t>
            </w:r>
          </w:p>
        </w:tc>
        <w:tc>
          <w:tcPr>
            <w:tcW w:w="1417" w:type="dxa"/>
            <w:tcBorders>
              <w:top w:val="nil"/>
              <w:left w:val="nil"/>
              <w:bottom w:val="nil"/>
              <w:right w:val="nil"/>
            </w:tcBorders>
            <w:shd w:val="clear" w:color="auto" w:fill="FBE4D5" w:themeFill="accent2" w:themeFillTint="33"/>
            <w:noWrap/>
            <w:vAlign w:val="center"/>
            <w:hideMark/>
          </w:tcPr>
          <w:p w14:paraId="12D0D6C8"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0.36%</w:t>
            </w:r>
          </w:p>
        </w:tc>
      </w:tr>
      <w:tr w:rsidR="001234BF" w:rsidRPr="00503F5B" w14:paraId="621C6363" w14:textId="3AFA4C2E"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2026EACD" w14:textId="1C25F366"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2.46</w:t>
            </w:r>
          </w:p>
        </w:tc>
        <w:tc>
          <w:tcPr>
            <w:tcW w:w="1701" w:type="dxa"/>
            <w:tcBorders>
              <w:top w:val="nil"/>
              <w:left w:val="nil"/>
              <w:bottom w:val="nil"/>
              <w:right w:val="nil"/>
            </w:tcBorders>
            <w:shd w:val="clear" w:color="auto" w:fill="FBE4D5" w:themeFill="accent2" w:themeFillTint="33"/>
            <w:noWrap/>
            <w:vAlign w:val="center"/>
            <w:hideMark/>
          </w:tcPr>
          <w:p w14:paraId="7F8CC261"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10</w:t>
            </w:r>
          </w:p>
        </w:tc>
        <w:tc>
          <w:tcPr>
            <w:tcW w:w="1417" w:type="dxa"/>
            <w:tcBorders>
              <w:top w:val="nil"/>
              <w:left w:val="nil"/>
              <w:bottom w:val="nil"/>
              <w:right w:val="nil"/>
            </w:tcBorders>
            <w:shd w:val="clear" w:color="auto" w:fill="FBE4D5" w:themeFill="accent2" w:themeFillTint="33"/>
            <w:noWrap/>
            <w:vAlign w:val="center"/>
            <w:hideMark/>
          </w:tcPr>
          <w:p w14:paraId="560A02EA"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0.22%</w:t>
            </w:r>
          </w:p>
        </w:tc>
      </w:tr>
      <w:tr w:rsidR="001234BF" w:rsidRPr="00503F5B" w14:paraId="71A0AFB6" w14:textId="28804ECC"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761DB15E" w14:textId="078A62B6"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2.50</w:t>
            </w:r>
          </w:p>
        </w:tc>
        <w:tc>
          <w:tcPr>
            <w:tcW w:w="1701" w:type="dxa"/>
            <w:tcBorders>
              <w:top w:val="nil"/>
              <w:left w:val="nil"/>
              <w:bottom w:val="nil"/>
              <w:right w:val="nil"/>
            </w:tcBorders>
            <w:shd w:val="clear" w:color="auto" w:fill="FBE4D5" w:themeFill="accent2" w:themeFillTint="33"/>
            <w:noWrap/>
            <w:vAlign w:val="center"/>
            <w:hideMark/>
          </w:tcPr>
          <w:p w14:paraId="2DBCED47"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11</w:t>
            </w:r>
          </w:p>
        </w:tc>
        <w:tc>
          <w:tcPr>
            <w:tcW w:w="1417" w:type="dxa"/>
            <w:tcBorders>
              <w:top w:val="nil"/>
              <w:left w:val="nil"/>
              <w:bottom w:val="nil"/>
              <w:right w:val="nil"/>
            </w:tcBorders>
            <w:shd w:val="clear" w:color="auto" w:fill="FBE4D5" w:themeFill="accent2" w:themeFillTint="33"/>
            <w:noWrap/>
            <w:vAlign w:val="center"/>
            <w:hideMark/>
          </w:tcPr>
          <w:p w14:paraId="43E77A29"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0.25%</w:t>
            </w:r>
          </w:p>
        </w:tc>
      </w:tr>
      <w:tr w:rsidR="001234BF" w:rsidRPr="00503F5B" w14:paraId="60F9FDDA" w14:textId="22FBA6A9"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3C81C6BD" w14:textId="1ADC88B0"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lastRenderedPageBreak/>
              <w:t>2.70</w:t>
            </w:r>
          </w:p>
        </w:tc>
        <w:tc>
          <w:tcPr>
            <w:tcW w:w="1701" w:type="dxa"/>
            <w:tcBorders>
              <w:top w:val="nil"/>
              <w:left w:val="nil"/>
              <w:bottom w:val="nil"/>
              <w:right w:val="nil"/>
            </w:tcBorders>
            <w:shd w:val="clear" w:color="auto" w:fill="FBE4D5" w:themeFill="accent2" w:themeFillTint="33"/>
            <w:noWrap/>
            <w:vAlign w:val="center"/>
            <w:hideMark/>
          </w:tcPr>
          <w:p w14:paraId="1F34033F"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3</w:t>
            </w:r>
          </w:p>
        </w:tc>
        <w:tc>
          <w:tcPr>
            <w:tcW w:w="1417" w:type="dxa"/>
            <w:tcBorders>
              <w:top w:val="nil"/>
              <w:left w:val="nil"/>
              <w:bottom w:val="nil"/>
              <w:right w:val="nil"/>
            </w:tcBorders>
            <w:shd w:val="clear" w:color="auto" w:fill="FBE4D5" w:themeFill="accent2" w:themeFillTint="33"/>
            <w:noWrap/>
            <w:vAlign w:val="center"/>
            <w:hideMark/>
          </w:tcPr>
          <w:p w14:paraId="296D41CF"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0.07%</w:t>
            </w:r>
          </w:p>
        </w:tc>
      </w:tr>
      <w:tr w:rsidR="001234BF" w:rsidRPr="00503F5B" w14:paraId="6F41D182" w14:textId="3A2DA7DB"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718C8A5B" w14:textId="265E8FC8"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2.75</w:t>
            </w:r>
          </w:p>
        </w:tc>
        <w:tc>
          <w:tcPr>
            <w:tcW w:w="1701" w:type="dxa"/>
            <w:tcBorders>
              <w:top w:val="nil"/>
              <w:left w:val="nil"/>
              <w:bottom w:val="nil"/>
              <w:right w:val="nil"/>
            </w:tcBorders>
            <w:shd w:val="clear" w:color="auto" w:fill="FBE4D5" w:themeFill="accent2" w:themeFillTint="33"/>
            <w:noWrap/>
            <w:vAlign w:val="center"/>
            <w:hideMark/>
          </w:tcPr>
          <w:p w14:paraId="4402F19C"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4</w:t>
            </w:r>
          </w:p>
        </w:tc>
        <w:tc>
          <w:tcPr>
            <w:tcW w:w="1417" w:type="dxa"/>
            <w:tcBorders>
              <w:top w:val="nil"/>
              <w:left w:val="nil"/>
              <w:bottom w:val="nil"/>
              <w:right w:val="nil"/>
            </w:tcBorders>
            <w:shd w:val="clear" w:color="auto" w:fill="FBE4D5" w:themeFill="accent2" w:themeFillTint="33"/>
            <w:noWrap/>
            <w:vAlign w:val="center"/>
            <w:hideMark/>
          </w:tcPr>
          <w:p w14:paraId="3FFBD66C"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0.09%</w:t>
            </w:r>
          </w:p>
        </w:tc>
      </w:tr>
      <w:tr w:rsidR="001234BF" w:rsidRPr="00503F5B" w14:paraId="3DC82E9A" w14:textId="398F42E3"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4B0F5014" w14:textId="74F37315"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2.95</w:t>
            </w:r>
          </w:p>
        </w:tc>
        <w:tc>
          <w:tcPr>
            <w:tcW w:w="1701" w:type="dxa"/>
            <w:tcBorders>
              <w:top w:val="nil"/>
              <w:left w:val="nil"/>
              <w:bottom w:val="nil"/>
              <w:right w:val="nil"/>
            </w:tcBorders>
            <w:shd w:val="clear" w:color="auto" w:fill="FBE4D5" w:themeFill="accent2" w:themeFillTint="33"/>
            <w:noWrap/>
            <w:vAlign w:val="center"/>
            <w:hideMark/>
          </w:tcPr>
          <w:p w14:paraId="35BA1285"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w:t>
            </w:r>
          </w:p>
        </w:tc>
        <w:tc>
          <w:tcPr>
            <w:tcW w:w="1417" w:type="dxa"/>
            <w:tcBorders>
              <w:top w:val="nil"/>
              <w:left w:val="nil"/>
              <w:bottom w:val="nil"/>
              <w:right w:val="nil"/>
            </w:tcBorders>
            <w:shd w:val="clear" w:color="auto" w:fill="FBE4D5" w:themeFill="accent2" w:themeFillTint="33"/>
            <w:noWrap/>
            <w:vAlign w:val="center"/>
            <w:hideMark/>
          </w:tcPr>
          <w:p w14:paraId="3E6537A2"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0.04%</w:t>
            </w:r>
          </w:p>
        </w:tc>
      </w:tr>
      <w:tr w:rsidR="001234BF" w:rsidRPr="00503F5B" w14:paraId="3D827B09" w14:textId="2353797E"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43B0A8BB" w14:textId="30CB422E"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3.00</w:t>
            </w:r>
          </w:p>
        </w:tc>
        <w:tc>
          <w:tcPr>
            <w:tcW w:w="1701" w:type="dxa"/>
            <w:tcBorders>
              <w:top w:val="nil"/>
              <w:left w:val="nil"/>
              <w:bottom w:val="nil"/>
              <w:right w:val="nil"/>
            </w:tcBorders>
            <w:shd w:val="clear" w:color="auto" w:fill="FBE4D5" w:themeFill="accent2" w:themeFillTint="33"/>
            <w:noWrap/>
            <w:vAlign w:val="center"/>
            <w:hideMark/>
          </w:tcPr>
          <w:p w14:paraId="728ED779"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5</w:t>
            </w:r>
          </w:p>
        </w:tc>
        <w:tc>
          <w:tcPr>
            <w:tcW w:w="1417" w:type="dxa"/>
            <w:tcBorders>
              <w:top w:val="nil"/>
              <w:left w:val="nil"/>
              <w:bottom w:val="nil"/>
              <w:right w:val="nil"/>
            </w:tcBorders>
            <w:shd w:val="clear" w:color="auto" w:fill="FBE4D5" w:themeFill="accent2" w:themeFillTint="33"/>
            <w:noWrap/>
            <w:vAlign w:val="center"/>
            <w:hideMark/>
          </w:tcPr>
          <w:p w14:paraId="6CED23FB"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0.11%</w:t>
            </w:r>
          </w:p>
        </w:tc>
      </w:tr>
      <w:tr w:rsidR="001234BF" w:rsidRPr="00503F5B" w14:paraId="26777C11" w14:textId="4CC2A5EF"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51B6CA48" w14:textId="7B09BF74"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3.12</w:t>
            </w:r>
          </w:p>
        </w:tc>
        <w:tc>
          <w:tcPr>
            <w:tcW w:w="1701" w:type="dxa"/>
            <w:tcBorders>
              <w:top w:val="nil"/>
              <w:left w:val="nil"/>
              <w:bottom w:val="nil"/>
              <w:right w:val="nil"/>
            </w:tcBorders>
            <w:shd w:val="clear" w:color="auto" w:fill="FBE4D5" w:themeFill="accent2" w:themeFillTint="33"/>
            <w:noWrap/>
            <w:vAlign w:val="center"/>
            <w:hideMark/>
          </w:tcPr>
          <w:p w14:paraId="46C737A1"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w:t>
            </w:r>
          </w:p>
        </w:tc>
        <w:tc>
          <w:tcPr>
            <w:tcW w:w="1417" w:type="dxa"/>
            <w:tcBorders>
              <w:top w:val="nil"/>
              <w:left w:val="nil"/>
              <w:bottom w:val="nil"/>
              <w:right w:val="nil"/>
            </w:tcBorders>
            <w:shd w:val="clear" w:color="auto" w:fill="FBE4D5" w:themeFill="accent2" w:themeFillTint="33"/>
            <w:noWrap/>
            <w:vAlign w:val="center"/>
            <w:hideMark/>
          </w:tcPr>
          <w:p w14:paraId="63ADE5BE"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0.02%</w:t>
            </w:r>
          </w:p>
        </w:tc>
      </w:tr>
      <w:tr w:rsidR="001234BF" w:rsidRPr="00503F5B" w14:paraId="3B035503" w14:textId="4A3B88D7"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50DF6786" w14:textId="45BE39A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3.20</w:t>
            </w:r>
          </w:p>
        </w:tc>
        <w:tc>
          <w:tcPr>
            <w:tcW w:w="1701" w:type="dxa"/>
            <w:tcBorders>
              <w:top w:val="nil"/>
              <w:left w:val="nil"/>
              <w:bottom w:val="nil"/>
              <w:right w:val="nil"/>
            </w:tcBorders>
            <w:shd w:val="clear" w:color="auto" w:fill="FBE4D5" w:themeFill="accent2" w:themeFillTint="33"/>
            <w:noWrap/>
            <w:vAlign w:val="center"/>
            <w:hideMark/>
          </w:tcPr>
          <w:p w14:paraId="22EC1D53"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3</w:t>
            </w:r>
          </w:p>
        </w:tc>
        <w:tc>
          <w:tcPr>
            <w:tcW w:w="1417" w:type="dxa"/>
            <w:tcBorders>
              <w:top w:val="nil"/>
              <w:left w:val="nil"/>
              <w:bottom w:val="nil"/>
              <w:right w:val="nil"/>
            </w:tcBorders>
            <w:shd w:val="clear" w:color="auto" w:fill="FBE4D5" w:themeFill="accent2" w:themeFillTint="33"/>
            <w:noWrap/>
            <w:vAlign w:val="center"/>
            <w:hideMark/>
          </w:tcPr>
          <w:p w14:paraId="572DB94A"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0.07%</w:t>
            </w:r>
          </w:p>
        </w:tc>
      </w:tr>
      <w:tr w:rsidR="001234BF" w:rsidRPr="00503F5B" w14:paraId="70B9ADE8" w14:textId="6169B17F"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09E13281" w14:textId="51BA8094"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3.25</w:t>
            </w:r>
          </w:p>
        </w:tc>
        <w:tc>
          <w:tcPr>
            <w:tcW w:w="1701" w:type="dxa"/>
            <w:tcBorders>
              <w:top w:val="nil"/>
              <w:left w:val="nil"/>
              <w:bottom w:val="nil"/>
              <w:right w:val="nil"/>
            </w:tcBorders>
            <w:shd w:val="clear" w:color="auto" w:fill="FBE4D5" w:themeFill="accent2" w:themeFillTint="33"/>
            <w:noWrap/>
            <w:vAlign w:val="center"/>
            <w:hideMark/>
          </w:tcPr>
          <w:p w14:paraId="07E38E13"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w:t>
            </w:r>
          </w:p>
        </w:tc>
        <w:tc>
          <w:tcPr>
            <w:tcW w:w="1417" w:type="dxa"/>
            <w:tcBorders>
              <w:top w:val="nil"/>
              <w:left w:val="nil"/>
              <w:bottom w:val="nil"/>
              <w:right w:val="nil"/>
            </w:tcBorders>
            <w:shd w:val="clear" w:color="auto" w:fill="FBE4D5" w:themeFill="accent2" w:themeFillTint="33"/>
            <w:noWrap/>
            <w:vAlign w:val="center"/>
            <w:hideMark/>
          </w:tcPr>
          <w:p w14:paraId="3FCE2D9E"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0.04%</w:t>
            </w:r>
          </w:p>
        </w:tc>
      </w:tr>
      <w:tr w:rsidR="001234BF" w:rsidRPr="00503F5B" w14:paraId="33E5E186" w14:textId="44B074AA"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1E51983E" w14:textId="0565FC0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3.50</w:t>
            </w:r>
          </w:p>
        </w:tc>
        <w:tc>
          <w:tcPr>
            <w:tcW w:w="1701" w:type="dxa"/>
            <w:tcBorders>
              <w:top w:val="nil"/>
              <w:left w:val="nil"/>
              <w:bottom w:val="nil"/>
              <w:right w:val="nil"/>
            </w:tcBorders>
            <w:shd w:val="clear" w:color="auto" w:fill="FBE4D5" w:themeFill="accent2" w:themeFillTint="33"/>
            <w:noWrap/>
            <w:vAlign w:val="center"/>
            <w:hideMark/>
          </w:tcPr>
          <w:p w14:paraId="2973AAC2"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w:t>
            </w:r>
          </w:p>
        </w:tc>
        <w:tc>
          <w:tcPr>
            <w:tcW w:w="1417" w:type="dxa"/>
            <w:tcBorders>
              <w:top w:val="nil"/>
              <w:left w:val="nil"/>
              <w:bottom w:val="nil"/>
              <w:right w:val="nil"/>
            </w:tcBorders>
            <w:shd w:val="clear" w:color="auto" w:fill="FBE4D5" w:themeFill="accent2" w:themeFillTint="33"/>
            <w:noWrap/>
            <w:vAlign w:val="center"/>
            <w:hideMark/>
          </w:tcPr>
          <w:p w14:paraId="556AAAB8"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0.02%</w:t>
            </w:r>
          </w:p>
        </w:tc>
      </w:tr>
      <w:tr w:rsidR="001234BF" w:rsidRPr="00503F5B" w14:paraId="0162A9B1" w14:textId="678E45E4"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1509B3FD" w14:textId="06B3A198"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3.75</w:t>
            </w:r>
          </w:p>
        </w:tc>
        <w:tc>
          <w:tcPr>
            <w:tcW w:w="1701" w:type="dxa"/>
            <w:tcBorders>
              <w:top w:val="nil"/>
              <w:left w:val="nil"/>
              <w:bottom w:val="nil"/>
              <w:right w:val="nil"/>
            </w:tcBorders>
            <w:shd w:val="clear" w:color="auto" w:fill="FBE4D5" w:themeFill="accent2" w:themeFillTint="33"/>
            <w:noWrap/>
            <w:vAlign w:val="center"/>
            <w:hideMark/>
          </w:tcPr>
          <w:p w14:paraId="3C5D26F2"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w:t>
            </w:r>
          </w:p>
        </w:tc>
        <w:tc>
          <w:tcPr>
            <w:tcW w:w="1417" w:type="dxa"/>
            <w:tcBorders>
              <w:top w:val="nil"/>
              <w:left w:val="nil"/>
              <w:bottom w:val="nil"/>
              <w:right w:val="nil"/>
            </w:tcBorders>
            <w:shd w:val="clear" w:color="auto" w:fill="FBE4D5" w:themeFill="accent2" w:themeFillTint="33"/>
            <w:noWrap/>
            <w:vAlign w:val="center"/>
            <w:hideMark/>
          </w:tcPr>
          <w:p w14:paraId="5CABE41C"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0.04%</w:t>
            </w:r>
          </w:p>
        </w:tc>
      </w:tr>
      <w:tr w:rsidR="001234BF" w:rsidRPr="00503F5B" w14:paraId="593270D3" w14:textId="4C3DE757"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41149EA0" w14:textId="3BA8725A"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3.93</w:t>
            </w:r>
          </w:p>
        </w:tc>
        <w:tc>
          <w:tcPr>
            <w:tcW w:w="1701" w:type="dxa"/>
            <w:tcBorders>
              <w:top w:val="nil"/>
              <w:left w:val="nil"/>
              <w:bottom w:val="nil"/>
              <w:right w:val="nil"/>
            </w:tcBorders>
            <w:shd w:val="clear" w:color="auto" w:fill="FBE4D5" w:themeFill="accent2" w:themeFillTint="33"/>
            <w:noWrap/>
            <w:vAlign w:val="center"/>
            <w:hideMark/>
          </w:tcPr>
          <w:p w14:paraId="252A59CE"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w:t>
            </w:r>
          </w:p>
        </w:tc>
        <w:tc>
          <w:tcPr>
            <w:tcW w:w="1417" w:type="dxa"/>
            <w:tcBorders>
              <w:top w:val="nil"/>
              <w:left w:val="nil"/>
              <w:bottom w:val="nil"/>
              <w:right w:val="nil"/>
            </w:tcBorders>
            <w:shd w:val="clear" w:color="auto" w:fill="FBE4D5" w:themeFill="accent2" w:themeFillTint="33"/>
            <w:noWrap/>
            <w:vAlign w:val="center"/>
            <w:hideMark/>
          </w:tcPr>
          <w:p w14:paraId="64C3F94B"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0.04%</w:t>
            </w:r>
          </w:p>
        </w:tc>
      </w:tr>
      <w:tr w:rsidR="001234BF" w:rsidRPr="00503F5B" w14:paraId="6C05F4F4" w14:textId="33C18412"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7F1F3F91" w14:textId="1EF60D0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4.25</w:t>
            </w:r>
          </w:p>
        </w:tc>
        <w:tc>
          <w:tcPr>
            <w:tcW w:w="1701" w:type="dxa"/>
            <w:tcBorders>
              <w:top w:val="nil"/>
              <w:left w:val="nil"/>
              <w:bottom w:val="nil"/>
              <w:right w:val="nil"/>
            </w:tcBorders>
            <w:shd w:val="clear" w:color="auto" w:fill="FBE4D5" w:themeFill="accent2" w:themeFillTint="33"/>
            <w:noWrap/>
            <w:vAlign w:val="center"/>
            <w:hideMark/>
          </w:tcPr>
          <w:p w14:paraId="7EE9C446"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w:t>
            </w:r>
          </w:p>
        </w:tc>
        <w:tc>
          <w:tcPr>
            <w:tcW w:w="1417" w:type="dxa"/>
            <w:tcBorders>
              <w:top w:val="nil"/>
              <w:left w:val="nil"/>
              <w:bottom w:val="nil"/>
              <w:right w:val="nil"/>
            </w:tcBorders>
            <w:shd w:val="clear" w:color="auto" w:fill="FBE4D5" w:themeFill="accent2" w:themeFillTint="33"/>
            <w:noWrap/>
            <w:vAlign w:val="center"/>
            <w:hideMark/>
          </w:tcPr>
          <w:p w14:paraId="691BB454"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0.04%</w:t>
            </w:r>
          </w:p>
        </w:tc>
      </w:tr>
      <w:tr w:rsidR="001234BF" w:rsidRPr="00503F5B" w14:paraId="39320600" w14:textId="3AB768E1"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3B931B72" w14:textId="273819BE"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4.42</w:t>
            </w:r>
          </w:p>
        </w:tc>
        <w:tc>
          <w:tcPr>
            <w:tcW w:w="1701" w:type="dxa"/>
            <w:tcBorders>
              <w:top w:val="nil"/>
              <w:left w:val="nil"/>
              <w:bottom w:val="nil"/>
              <w:right w:val="nil"/>
            </w:tcBorders>
            <w:shd w:val="clear" w:color="auto" w:fill="FBE4D5" w:themeFill="accent2" w:themeFillTint="33"/>
            <w:noWrap/>
            <w:vAlign w:val="center"/>
            <w:hideMark/>
          </w:tcPr>
          <w:p w14:paraId="6BCBA1B3"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w:t>
            </w:r>
          </w:p>
        </w:tc>
        <w:tc>
          <w:tcPr>
            <w:tcW w:w="1417" w:type="dxa"/>
            <w:tcBorders>
              <w:top w:val="nil"/>
              <w:left w:val="nil"/>
              <w:bottom w:val="nil"/>
              <w:right w:val="nil"/>
            </w:tcBorders>
            <w:shd w:val="clear" w:color="auto" w:fill="FBE4D5" w:themeFill="accent2" w:themeFillTint="33"/>
            <w:noWrap/>
            <w:vAlign w:val="center"/>
            <w:hideMark/>
          </w:tcPr>
          <w:p w14:paraId="7E073567"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0.02%</w:t>
            </w:r>
          </w:p>
        </w:tc>
      </w:tr>
      <w:tr w:rsidR="001234BF" w:rsidRPr="00503F5B" w14:paraId="7F61DB2F" w14:textId="7C00AF98"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4F1CF7CE" w14:textId="76D4E6DA"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5.16</w:t>
            </w:r>
          </w:p>
        </w:tc>
        <w:tc>
          <w:tcPr>
            <w:tcW w:w="1701" w:type="dxa"/>
            <w:tcBorders>
              <w:top w:val="nil"/>
              <w:left w:val="nil"/>
              <w:bottom w:val="nil"/>
              <w:right w:val="nil"/>
            </w:tcBorders>
            <w:shd w:val="clear" w:color="auto" w:fill="FBE4D5" w:themeFill="accent2" w:themeFillTint="33"/>
            <w:noWrap/>
            <w:vAlign w:val="center"/>
            <w:hideMark/>
          </w:tcPr>
          <w:p w14:paraId="3FF5EB15"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w:t>
            </w:r>
          </w:p>
        </w:tc>
        <w:tc>
          <w:tcPr>
            <w:tcW w:w="1417" w:type="dxa"/>
            <w:tcBorders>
              <w:top w:val="nil"/>
              <w:left w:val="nil"/>
              <w:bottom w:val="nil"/>
              <w:right w:val="nil"/>
            </w:tcBorders>
            <w:shd w:val="clear" w:color="auto" w:fill="FBE4D5" w:themeFill="accent2" w:themeFillTint="33"/>
            <w:noWrap/>
            <w:vAlign w:val="center"/>
            <w:hideMark/>
          </w:tcPr>
          <w:p w14:paraId="58484F68" w14:textId="77777777" w:rsidR="001234BF" w:rsidRPr="00503F5B" w:rsidRDefault="001234B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0.02%</w:t>
            </w:r>
          </w:p>
        </w:tc>
      </w:tr>
      <w:tr w:rsidR="001234BF" w:rsidRPr="00503F5B" w14:paraId="160F78CD" w14:textId="32C7D0FC" w:rsidTr="009917B8">
        <w:trPr>
          <w:trHeight w:val="70"/>
          <w:jc w:val="center"/>
        </w:trPr>
        <w:tc>
          <w:tcPr>
            <w:tcW w:w="1276" w:type="dxa"/>
            <w:tcBorders>
              <w:top w:val="single" w:sz="4" w:space="0" w:color="C00000"/>
              <w:left w:val="nil"/>
              <w:bottom w:val="single" w:sz="4" w:space="0" w:color="C00000"/>
              <w:right w:val="nil"/>
            </w:tcBorders>
            <w:shd w:val="clear" w:color="auto" w:fill="auto"/>
            <w:noWrap/>
            <w:vAlign w:val="center"/>
          </w:tcPr>
          <w:p w14:paraId="3DF5F68E" w14:textId="2529A0AB" w:rsidR="001234BF" w:rsidRPr="00503F5B" w:rsidRDefault="001234BF" w:rsidP="00264670">
            <w:pPr>
              <w:rPr>
                <w:rFonts w:asciiTheme="minorHAnsi" w:eastAsia="Times New Roman" w:hAnsiTheme="minorHAnsi" w:cstheme="minorHAnsi"/>
                <w:b/>
                <w:bCs/>
                <w:sz w:val="20"/>
                <w:szCs w:val="20"/>
                <w:lang w:eastAsia="en-AU"/>
              </w:rPr>
            </w:pPr>
            <w:r w:rsidRPr="00503F5B">
              <w:rPr>
                <w:rFonts w:asciiTheme="minorHAnsi" w:eastAsia="Times New Roman" w:hAnsiTheme="minorHAnsi" w:cstheme="minorHAnsi"/>
                <w:b/>
                <w:bCs/>
                <w:sz w:val="20"/>
                <w:szCs w:val="20"/>
                <w:lang w:eastAsia="en-AU"/>
              </w:rPr>
              <w:t xml:space="preserve">Total </w:t>
            </w:r>
          </w:p>
        </w:tc>
        <w:tc>
          <w:tcPr>
            <w:tcW w:w="1701" w:type="dxa"/>
            <w:tcBorders>
              <w:top w:val="single" w:sz="4" w:space="0" w:color="C00000"/>
              <w:left w:val="nil"/>
              <w:bottom w:val="single" w:sz="4" w:space="0" w:color="C00000"/>
              <w:right w:val="nil"/>
            </w:tcBorders>
            <w:shd w:val="clear" w:color="auto" w:fill="auto"/>
            <w:noWrap/>
            <w:vAlign w:val="center"/>
          </w:tcPr>
          <w:p w14:paraId="4EA3C494" w14:textId="33864596" w:rsidR="001234BF" w:rsidRPr="00503F5B" w:rsidRDefault="001234BF" w:rsidP="00264670">
            <w:pPr>
              <w:jc w:val="right"/>
              <w:rPr>
                <w:rFonts w:asciiTheme="minorHAnsi" w:eastAsia="Times New Roman" w:hAnsiTheme="minorHAnsi" w:cstheme="minorHAnsi"/>
                <w:b/>
                <w:bCs/>
                <w:color w:val="auto"/>
                <w:sz w:val="20"/>
                <w:szCs w:val="20"/>
                <w:lang w:eastAsia="en-AU"/>
              </w:rPr>
            </w:pPr>
            <w:r w:rsidRPr="00503F5B">
              <w:rPr>
                <w:rFonts w:asciiTheme="minorHAnsi" w:eastAsia="Times New Roman" w:hAnsiTheme="minorHAnsi" w:cstheme="minorHAnsi"/>
                <w:b/>
                <w:bCs/>
                <w:color w:val="auto"/>
                <w:sz w:val="20"/>
                <w:szCs w:val="20"/>
                <w:lang w:eastAsia="en-AU"/>
              </w:rPr>
              <w:t>4,460</w:t>
            </w:r>
          </w:p>
        </w:tc>
        <w:tc>
          <w:tcPr>
            <w:tcW w:w="1417" w:type="dxa"/>
            <w:tcBorders>
              <w:top w:val="single" w:sz="4" w:space="0" w:color="C00000"/>
              <w:left w:val="nil"/>
              <w:bottom w:val="single" w:sz="4" w:space="0" w:color="C00000"/>
              <w:right w:val="nil"/>
            </w:tcBorders>
            <w:shd w:val="clear" w:color="auto" w:fill="auto"/>
            <w:noWrap/>
            <w:vAlign w:val="center"/>
          </w:tcPr>
          <w:p w14:paraId="7BB945A4" w14:textId="41285632" w:rsidR="001234BF" w:rsidRPr="00503F5B" w:rsidRDefault="001234BF" w:rsidP="00264670">
            <w:pPr>
              <w:jc w:val="right"/>
              <w:rPr>
                <w:rFonts w:asciiTheme="minorHAnsi" w:eastAsia="Times New Roman" w:hAnsiTheme="minorHAnsi" w:cstheme="minorHAnsi"/>
                <w:b/>
                <w:bCs/>
                <w:color w:val="auto"/>
                <w:sz w:val="20"/>
                <w:szCs w:val="20"/>
                <w:lang w:eastAsia="en-AU"/>
              </w:rPr>
            </w:pPr>
            <w:r w:rsidRPr="00503F5B">
              <w:rPr>
                <w:rFonts w:asciiTheme="minorHAnsi" w:eastAsia="Times New Roman" w:hAnsiTheme="minorHAnsi" w:cstheme="minorHAnsi"/>
                <w:b/>
                <w:bCs/>
                <w:color w:val="auto"/>
                <w:sz w:val="20"/>
                <w:szCs w:val="20"/>
                <w:lang w:eastAsia="en-AU"/>
              </w:rPr>
              <w:t>100.00%</w:t>
            </w:r>
          </w:p>
        </w:tc>
      </w:tr>
    </w:tbl>
    <w:p w14:paraId="78DD7733" w14:textId="3A468365" w:rsidR="00A1620B" w:rsidRPr="00503F5B" w:rsidRDefault="00A1620B">
      <w:pPr>
        <w:jc w:val="both"/>
        <w:rPr>
          <w:color w:val="000000" w:themeColor="text1"/>
          <w:sz w:val="18"/>
          <w:szCs w:val="18"/>
        </w:rPr>
      </w:pPr>
      <w:r w:rsidRPr="00503F5B">
        <w:rPr>
          <w:color w:val="000000" w:themeColor="text1"/>
          <w:sz w:val="18"/>
          <w:szCs w:val="18"/>
        </w:rPr>
        <w:t>Data supplied by MFB</w:t>
      </w:r>
    </w:p>
    <w:p w14:paraId="3E2B836C" w14:textId="77777777" w:rsidR="00A1620B" w:rsidRPr="00503F5B" w:rsidRDefault="00A1620B" w:rsidP="006835A8">
      <w:pPr>
        <w:jc w:val="both"/>
        <w:rPr>
          <w:color w:val="000000" w:themeColor="text1"/>
        </w:rPr>
      </w:pPr>
    </w:p>
    <w:p w14:paraId="586BE3D1" w14:textId="1873BC2C" w:rsidR="006835A8" w:rsidRPr="00503F5B" w:rsidRDefault="001B1D87" w:rsidP="006835A8">
      <w:pPr>
        <w:jc w:val="both"/>
        <w:rPr>
          <w:color w:val="000000" w:themeColor="text1"/>
        </w:rPr>
      </w:pPr>
      <w:r w:rsidRPr="00503F5B">
        <w:rPr>
          <w:b/>
          <w:bCs/>
          <w:color w:val="000000" w:themeColor="text1"/>
        </w:rPr>
        <w:t>Option 4</w:t>
      </w:r>
      <w:r w:rsidRPr="00503F5B">
        <w:rPr>
          <w:color w:val="000000" w:themeColor="text1"/>
        </w:rPr>
        <w:t>, a</w:t>
      </w:r>
      <w:r w:rsidR="006835A8" w:rsidRPr="00503F5B">
        <w:rPr>
          <w:color w:val="000000" w:themeColor="text1"/>
        </w:rPr>
        <w:t>s with Option 3, recover</w:t>
      </w:r>
      <w:r w:rsidRPr="00503F5B">
        <w:rPr>
          <w:color w:val="000000" w:themeColor="text1"/>
        </w:rPr>
        <w:t>s</w:t>
      </w:r>
      <w:r w:rsidR="006835A8" w:rsidRPr="00503F5B">
        <w:rPr>
          <w:color w:val="000000" w:themeColor="text1"/>
        </w:rPr>
        <w:t xml:space="preserve"> 12.39</w:t>
      </w:r>
      <w:r w:rsidR="00391FFF" w:rsidRPr="00503F5B">
        <w:rPr>
          <w:color w:val="000000" w:themeColor="text1"/>
        </w:rPr>
        <w:t xml:space="preserve"> per cent</w:t>
      </w:r>
      <w:r w:rsidR="006835A8" w:rsidRPr="00503F5B">
        <w:rPr>
          <w:color w:val="000000" w:themeColor="text1"/>
        </w:rPr>
        <w:t xml:space="preserve"> of attendance with a fixed fee ($1,600)</w:t>
      </w:r>
      <w:r w:rsidRPr="00503F5B">
        <w:rPr>
          <w:color w:val="000000" w:themeColor="text1"/>
        </w:rPr>
        <w:t xml:space="preserve"> and</w:t>
      </w:r>
      <w:r w:rsidR="006835A8" w:rsidRPr="00503F5B">
        <w:rPr>
          <w:color w:val="000000" w:themeColor="text1"/>
        </w:rPr>
        <w:t xml:space="preserve"> fails to adequately consider the private benefits of attendance services to owners of alarm systems.  However, Option 4 is </w:t>
      </w:r>
      <w:r w:rsidR="00D75CD4" w:rsidRPr="00503F5B">
        <w:rPr>
          <w:color w:val="000000" w:themeColor="text1"/>
        </w:rPr>
        <w:t xml:space="preserve">even </w:t>
      </w:r>
      <w:r w:rsidR="006835A8" w:rsidRPr="00503F5B">
        <w:rPr>
          <w:color w:val="000000" w:themeColor="text1"/>
        </w:rPr>
        <w:t xml:space="preserve">more inefficient than Option 3 as compared to the base case. This is because a fixed attendance fee does not provide an efficient price signal </w:t>
      </w:r>
      <w:r w:rsidR="00264670" w:rsidRPr="00503F5B">
        <w:rPr>
          <w:color w:val="000000" w:themeColor="text1"/>
        </w:rPr>
        <w:t xml:space="preserve">to anyone </w:t>
      </w:r>
      <w:r w:rsidR="006835A8" w:rsidRPr="00503F5B">
        <w:rPr>
          <w:color w:val="000000" w:themeColor="text1"/>
        </w:rPr>
        <w:t xml:space="preserve">requiring </w:t>
      </w:r>
      <w:r w:rsidR="006835A8" w:rsidRPr="00503F5B">
        <w:rPr>
          <w:i/>
          <w:iCs/>
          <w:color w:val="000000" w:themeColor="text1"/>
        </w:rPr>
        <w:t xml:space="preserve">less </w:t>
      </w:r>
      <w:r w:rsidR="00C6137D" w:rsidRPr="00503F5B">
        <w:rPr>
          <w:i/>
          <w:iCs/>
          <w:color w:val="000000" w:themeColor="text1"/>
        </w:rPr>
        <w:t xml:space="preserve">than </w:t>
      </w:r>
      <w:r w:rsidR="00D75CD4" w:rsidRPr="00503F5B">
        <w:rPr>
          <w:i/>
          <w:iCs/>
          <w:color w:val="000000" w:themeColor="text1"/>
        </w:rPr>
        <w:t>or</w:t>
      </w:r>
      <w:r w:rsidR="006835A8" w:rsidRPr="00503F5B">
        <w:rPr>
          <w:i/>
          <w:iCs/>
          <w:color w:val="000000" w:themeColor="text1"/>
        </w:rPr>
        <w:t xml:space="preserve"> more than </w:t>
      </w:r>
      <w:r w:rsidR="006835A8" w:rsidRPr="00503F5B">
        <w:rPr>
          <w:color w:val="000000" w:themeColor="text1"/>
        </w:rPr>
        <w:t xml:space="preserve">the average of 1.29 </w:t>
      </w:r>
      <w:r w:rsidR="00636FC8" w:rsidRPr="00503F5B">
        <w:rPr>
          <w:color w:val="000000" w:themeColor="text1"/>
        </w:rPr>
        <w:t xml:space="preserve">appliance </w:t>
      </w:r>
      <w:r w:rsidR="006835A8" w:rsidRPr="00503F5B">
        <w:rPr>
          <w:color w:val="000000" w:themeColor="text1"/>
        </w:rPr>
        <w:t xml:space="preserve">hours </w:t>
      </w:r>
      <w:r w:rsidR="00636FC8" w:rsidRPr="00503F5B">
        <w:rPr>
          <w:color w:val="000000" w:themeColor="text1"/>
        </w:rPr>
        <w:t>per</w:t>
      </w:r>
      <w:r w:rsidR="006835A8" w:rsidRPr="00503F5B">
        <w:rPr>
          <w:color w:val="000000" w:themeColor="text1"/>
        </w:rPr>
        <w:t xml:space="preserve"> attendance for false alarms</w:t>
      </w:r>
      <w:r w:rsidR="00C6137D" w:rsidRPr="00503F5B">
        <w:rPr>
          <w:color w:val="000000" w:themeColor="text1"/>
        </w:rPr>
        <w:t xml:space="preserve">.  </w:t>
      </w:r>
      <w:r w:rsidR="00264670" w:rsidRPr="00503F5B">
        <w:rPr>
          <w:color w:val="000000" w:themeColor="text1"/>
        </w:rPr>
        <w:t>As shown in Table 24, t</w:t>
      </w:r>
      <w:r w:rsidR="00C6137D" w:rsidRPr="00503F5B">
        <w:rPr>
          <w:color w:val="000000" w:themeColor="text1"/>
        </w:rPr>
        <w:t>he fixed fee reflecting the ‘average’ appliance time of 1.29</w:t>
      </w:r>
      <w:r w:rsidR="00636FC8" w:rsidRPr="00503F5B">
        <w:rPr>
          <w:color w:val="000000" w:themeColor="text1"/>
        </w:rPr>
        <w:t xml:space="preserve"> hours</w:t>
      </w:r>
      <w:r w:rsidR="00C6137D" w:rsidRPr="00503F5B">
        <w:rPr>
          <w:color w:val="000000" w:themeColor="text1"/>
        </w:rPr>
        <w:t xml:space="preserve"> </w:t>
      </w:r>
      <w:r w:rsidR="001D1BF9" w:rsidRPr="00503F5B">
        <w:rPr>
          <w:color w:val="000000" w:themeColor="text1"/>
        </w:rPr>
        <w:t>or fixed fee approximates the right price signal for those</w:t>
      </w:r>
      <w:r w:rsidR="00264670" w:rsidRPr="00503F5B">
        <w:rPr>
          <w:color w:val="000000" w:themeColor="text1"/>
        </w:rPr>
        <w:t xml:space="preserve"> </w:t>
      </w:r>
      <w:r w:rsidR="00BF4FF4" w:rsidRPr="00503F5B">
        <w:rPr>
          <w:color w:val="000000" w:themeColor="text1"/>
        </w:rPr>
        <w:t xml:space="preserve">invoiced </w:t>
      </w:r>
      <w:r w:rsidR="001D1BF9" w:rsidRPr="00503F5B">
        <w:rPr>
          <w:color w:val="000000" w:themeColor="text1"/>
        </w:rPr>
        <w:t xml:space="preserve">for around </w:t>
      </w:r>
      <w:r w:rsidR="00BF4FF4" w:rsidRPr="00503F5B">
        <w:rPr>
          <w:color w:val="000000" w:themeColor="text1"/>
        </w:rPr>
        <w:t>1.</w:t>
      </w:r>
      <w:r w:rsidR="00636FC8" w:rsidRPr="00503F5B">
        <w:rPr>
          <w:color w:val="000000" w:themeColor="text1"/>
        </w:rPr>
        <w:t>25</w:t>
      </w:r>
      <w:r w:rsidR="00BF4FF4" w:rsidRPr="00503F5B">
        <w:rPr>
          <w:color w:val="000000" w:themeColor="text1"/>
        </w:rPr>
        <w:t xml:space="preserve"> hours</w:t>
      </w:r>
      <w:r w:rsidR="001D1BF9" w:rsidRPr="00503F5B">
        <w:rPr>
          <w:color w:val="000000" w:themeColor="text1"/>
        </w:rPr>
        <w:t xml:space="preserve"> or 198 attendances</w:t>
      </w:r>
      <w:r w:rsidRPr="00503F5B">
        <w:rPr>
          <w:color w:val="000000" w:themeColor="text1"/>
        </w:rPr>
        <w:t xml:space="preserve"> (4.44</w:t>
      </w:r>
      <w:r w:rsidR="00391FFF" w:rsidRPr="00503F5B">
        <w:rPr>
          <w:color w:val="000000" w:themeColor="text1"/>
        </w:rPr>
        <w:t xml:space="preserve"> per cent</w:t>
      </w:r>
      <w:r w:rsidRPr="00503F5B">
        <w:rPr>
          <w:color w:val="000000" w:themeColor="text1"/>
        </w:rPr>
        <w:t xml:space="preserve"> of all attendances)</w:t>
      </w:r>
      <w:r w:rsidR="003C1423" w:rsidRPr="00503F5B">
        <w:rPr>
          <w:color w:val="000000" w:themeColor="text1"/>
        </w:rPr>
        <w:t>.</w:t>
      </w:r>
      <w:r w:rsidR="001D1BF9" w:rsidRPr="00503F5B">
        <w:rPr>
          <w:color w:val="000000" w:themeColor="text1"/>
        </w:rPr>
        <w:t xml:space="preserve">  </w:t>
      </w:r>
      <w:r w:rsidRPr="00503F5B">
        <w:rPr>
          <w:color w:val="000000" w:themeColor="text1"/>
        </w:rPr>
        <w:t>For t</w:t>
      </w:r>
      <w:r w:rsidR="001D1BF9" w:rsidRPr="00503F5B">
        <w:rPr>
          <w:color w:val="000000" w:themeColor="text1"/>
        </w:rPr>
        <w:t>he remainder of attendances (9</w:t>
      </w:r>
      <w:r w:rsidR="00BE0BAA">
        <w:rPr>
          <w:color w:val="000000" w:themeColor="text1"/>
        </w:rPr>
        <w:t>5</w:t>
      </w:r>
      <w:r w:rsidR="001D1BF9" w:rsidRPr="00503F5B">
        <w:rPr>
          <w:color w:val="000000" w:themeColor="text1"/>
        </w:rPr>
        <w:t>.</w:t>
      </w:r>
      <w:r w:rsidR="00BE0BAA">
        <w:rPr>
          <w:color w:val="000000" w:themeColor="text1"/>
        </w:rPr>
        <w:t>96</w:t>
      </w:r>
      <w:r w:rsidRPr="00503F5B">
        <w:rPr>
          <w:color w:val="000000" w:themeColor="text1"/>
        </w:rPr>
        <w:t xml:space="preserve"> per cent </w:t>
      </w:r>
      <w:r w:rsidR="001D1BF9" w:rsidRPr="00503F5B">
        <w:rPr>
          <w:color w:val="000000" w:themeColor="text1"/>
        </w:rPr>
        <w:t xml:space="preserve">of all attendances) </w:t>
      </w:r>
      <w:r w:rsidRPr="00503F5B">
        <w:rPr>
          <w:color w:val="000000" w:themeColor="text1"/>
        </w:rPr>
        <w:t xml:space="preserve">and notwithstanding the lower cost recovery amount, </w:t>
      </w:r>
      <w:r w:rsidR="001D1BF9" w:rsidRPr="00503F5B">
        <w:rPr>
          <w:color w:val="000000" w:themeColor="text1"/>
        </w:rPr>
        <w:t>the fixed fee is even less likely to reflect the right price signal.</w:t>
      </w:r>
      <w:r w:rsidR="003C1423" w:rsidRPr="00503F5B">
        <w:rPr>
          <w:color w:val="000000" w:themeColor="text1"/>
        </w:rPr>
        <w:t xml:space="preserve">  Therefore, the score is adjusted downwards by </w:t>
      </w:r>
      <w:r w:rsidRPr="00503F5B">
        <w:rPr>
          <w:color w:val="000000" w:themeColor="text1"/>
        </w:rPr>
        <w:t>95.96</w:t>
      </w:r>
      <w:r w:rsidR="00D63EB4" w:rsidRPr="00503F5B">
        <w:rPr>
          <w:color w:val="000000" w:themeColor="text1"/>
        </w:rPr>
        <w:t xml:space="preserve"> </w:t>
      </w:r>
      <w:r w:rsidR="003C1423" w:rsidRPr="00503F5B">
        <w:rPr>
          <w:color w:val="000000" w:themeColor="text1"/>
        </w:rPr>
        <w:t xml:space="preserve">percent. </w:t>
      </w:r>
      <w:r w:rsidR="003C1423" w:rsidRPr="00503F5B" w:rsidDel="003C1423">
        <w:rPr>
          <w:color w:val="000000" w:themeColor="text1"/>
        </w:rPr>
        <w:t xml:space="preserve"> </w:t>
      </w:r>
      <w:r w:rsidR="003C1423" w:rsidRPr="00503F5B">
        <w:rPr>
          <w:color w:val="000000" w:themeColor="text1"/>
        </w:rPr>
        <w:t>F</w:t>
      </w:r>
      <w:r w:rsidR="006835A8" w:rsidRPr="00503F5B">
        <w:rPr>
          <w:color w:val="000000" w:themeColor="text1"/>
        </w:rPr>
        <w:t xml:space="preserve">or this reason, Option 4 is therefore awarded a score of </w:t>
      </w:r>
      <w:r w:rsidR="006835A8" w:rsidRPr="00503F5B">
        <w:rPr>
          <w:i/>
          <w:iCs/>
          <w:color w:val="000000" w:themeColor="text1"/>
        </w:rPr>
        <w:t>+0.</w:t>
      </w:r>
      <w:r w:rsidR="00BF4FF4" w:rsidRPr="00503F5B">
        <w:rPr>
          <w:i/>
          <w:iCs/>
          <w:color w:val="000000" w:themeColor="text1"/>
        </w:rPr>
        <w:t>0</w:t>
      </w:r>
      <w:r w:rsidRPr="00503F5B">
        <w:rPr>
          <w:i/>
          <w:iCs/>
          <w:color w:val="000000" w:themeColor="text1"/>
        </w:rPr>
        <w:t>3</w:t>
      </w:r>
      <w:r w:rsidR="00180AFA" w:rsidRPr="00503F5B">
        <w:rPr>
          <w:rStyle w:val="FootnoteReference"/>
          <w:color w:val="000000" w:themeColor="text1"/>
        </w:rPr>
        <w:footnoteReference w:id="142"/>
      </w:r>
      <w:r w:rsidRPr="00503F5B">
        <w:rPr>
          <w:color w:val="000000" w:themeColor="text1"/>
        </w:rPr>
        <w:t xml:space="preserve"> as compared to the base case.</w:t>
      </w:r>
    </w:p>
    <w:p w14:paraId="3E0FADB4" w14:textId="10520B7C" w:rsidR="006835A8" w:rsidRPr="00503F5B" w:rsidRDefault="006835A8" w:rsidP="009917B8">
      <w:pPr>
        <w:pStyle w:val="Heading2"/>
      </w:pPr>
      <w:bookmarkStart w:id="170" w:name="_Toc457772545"/>
      <w:bookmarkStart w:id="171" w:name="_Toc35804145"/>
      <w:bookmarkStart w:id="172" w:name="_Toc35804639"/>
      <w:bookmarkStart w:id="173" w:name="_Toc35812683"/>
      <w:r w:rsidRPr="00503F5B">
        <w:t>5.2 Equity criterion – analysis of options</w:t>
      </w:r>
      <w:bookmarkEnd w:id="170"/>
      <w:bookmarkEnd w:id="171"/>
      <w:bookmarkEnd w:id="172"/>
      <w:bookmarkEnd w:id="173"/>
    </w:p>
    <w:p w14:paraId="43AA70CD" w14:textId="00868694" w:rsidR="006835A8" w:rsidRPr="00503F5B" w:rsidRDefault="006835A8" w:rsidP="006835A8">
      <w:pPr>
        <w:jc w:val="both"/>
        <w:rPr>
          <w:color w:val="000000" w:themeColor="text1"/>
        </w:rPr>
      </w:pPr>
      <w:r w:rsidRPr="00503F5B">
        <w:rPr>
          <w:color w:val="000000" w:themeColor="text1"/>
        </w:rPr>
        <w:t xml:space="preserve">The discussion of equity in this RIS deals with the consideration of cross subsidisation.  Under the base case general taxpayers would need to contribute to funding </w:t>
      </w:r>
      <w:r w:rsidRPr="00503F5B">
        <w:rPr>
          <w:i/>
          <w:color w:val="000000" w:themeColor="text1"/>
        </w:rPr>
        <w:t>all of</w:t>
      </w:r>
      <w:r w:rsidRPr="00503F5B">
        <w:rPr>
          <w:color w:val="000000" w:themeColor="text1"/>
        </w:rPr>
        <w:t xml:space="preserve"> emergency attendances for false alarms without reasonable excuses (see Table </w:t>
      </w:r>
      <w:r w:rsidR="00FC52DE" w:rsidRPr="00503F5B">
        <w:rPr>
          <w:color w:val="000000" w:themeColor="text1"/>
        </w:rPr>
        <w:t>2</w:t>
      </w:r>
      <w:r w:rsidRPr="00503F5B">
        <w:rPr>
          <w:color w:val="000000" w:themeColor="text1"/>
        </w:rPr>
        <w:t xml:space="preserve"> in this RIS), in addition to other fire services provided by </w:t>
      </w:r>
      <w:r w:rsidR="00FC52DE" w:rsidRPr="00503F5B">
        <w:rPr>
          <w:color w:val="000000" w:themeColor="text1"/>
        </w:rPr>
        <w:t>FRV</w:t>
      </w:r>
      <w:r w:rsidRPr="00503F5B">
        <w:rPr>
          <w:color w:val="000000" w:themeColor="text1"/>
        </w:rPr>
        <w:t xml:space="preserve">.  Hence the taxpaying community of around </w:t>
      </w:r>
      <w:r w:rsidR="00450822" w:rsidRPr="00503F5B">
        <w:rPr>
          <w:color w:val="000000" w:themeColor="text1"/>
        </w:rPr>
        <w:t>6.5</w:t>
      </w:r>
      <w:r w:rsidRPr="00503F5B">
        <w:rPr>
          <w:color w:val="000000" w:themeColor="text1"/>
        </w:rPr>
        <w:t xml:space="preserve"> million Victorians</w:t>
      </w:r>
      <w:r w:rsidRPr="00503F5B">
        <w:rPr>
          <w:rStyle w:val="FootnoteReference"/>
          <w:color w:val="000000" w:themeColor="text1"/>
        </w:rPr>
        <w:footnoteReference w:id="143"/>
      </w:r>
      <w:r w:rsidRPr="00503F5B">
        <w:rPr>
          <w:color w:val="000000" w:themeColor="text1"/>
        </w:rPr>
        <w:t xml:space="preserve">, would pay for such services to an amount of around </w:t>
      </w:r>
      <w:r w:rsidRPr="00503F5B">
        <w:rPr>
          <w:rFonts w:cs="Arial"/>
          <w:color w:val="000000" w:themeColor="text1"/>
        </w:rPr>
        <w:t>$</w:t>
      </w:r>
      <w:r w:rsidR="00FC52DE" w:rsidRPr="00503F5B">
        <w:rPr>
          <w:rFonts w:cs="Arial"/>
          <w:color w:val="000000" w:themeColor="text1"/>
        </w:rPr>
        <w:t>57</w:t>
      </w:r>
      <w:r w:rsidRPr="00503F5B">
        <w:rPr>
          <w:rFonts w:cs="Arial"/>
          <w:color w:val="000000" w:themeColor="text1"/>
        </w:rPr>
        <w:t>.</w:t>
      </w:r>
      <w:r w:rsidR="00FC52DE" w:rsidRPr="00503F5B">
        <w:rPr>
          <w:rFonts w:cs="Arial"/>
          <w:color w:val="000000" w:themeColor="text1"/>
        </w:rPr>
        <w:t>04</w:t>
      </w:r>
      <w:r w:rsidRPr="00503F5B">
        <w:rPr>
          <w:rFonts w:cs="Arial"/>
          <w:color w:val="000000" w:themeColor="text1"/>
        </w:rPr>
        <w:t xml:space="preserve"> </w:t>
      </w:r>
      <w:r w:rsidRPr="00503F5B">
        <w:rPr>
          <w:color w:val="000000" w:themeColor="text1"/>
        </w:rPr>
        <w:t>million per annum, or in other words around $</w:t>
      </w:r>
      <w:r w:rsidR="00450822" w:rsidRPr="00503F5B">
        <w:rPr>
          <w:color w:val="000000" w:themeColor="text1"/>
        </w:rPr>
        <w:t>8</w:t>
      </w:r>
      <w:r w:rsidRPr="00503F5B">
        <w:rPr>
          <w:color w:val="000000" w:themeColor="text1"/>
        </w:rPr>
        <w:t>.</w:t>
      </w:r>
      <w:r w:rsidR="00450822" w:rsidRPr="00503F5B">
        <w:rPr>
          <w:color w:val="000000" w:themeColor="text1"/>
        </w:rPr>
        <w:t>78</w:t>
      </w:r>
      <w:r w:rsidRPr="00503F5B">
        <w:rPr>
          <w:color w:val="000000" w:themeColor="text1"/>
        </w:rPr>
        <w:t xml:space="preserve"> per person.  The base case is awarded a score of +0.</w:t>
      </w:r>
    </w:p>
    <w:p w14:paraId="7CB6471B" w14:textId="77777777" w:rsidR="006835A8" w:rsidRPr="00503F5B" w:rsidRDefault="006835A8" w:rsidP="006835A8">
      <w:pPr>
        <w:jc w:val="both"/>
        <w:rPr>
          <w:color w:val="000000" w:themeColor="text1"/>
        </w:rPr>
      </w:pPr>
    </w:p>
    <w:p w14:paraId="77D2C074" w14:textId="79D86573" w:rsidR="006835A8" w:rsidRPr="00503F5B" w:rsidRDefault="006835A8" w:rsidP="006835A8">
      <w:pPr>
        <w:jc w:val="both"/>
      </w:pPr>
      <w:r w:rsidRPr="00503F5B">
        <w:rPr>
          <w:b/>
          <w:bCs/>
        </w:rPr>
        <w:t>Option 1</w:t>
      </w:r>
      <w:r w:rsidRPr="00503F5B">
        <w:t>, which involves no appropriation and raising $</w:t>
      </w:r>
      <w:r w:rsidR="00450822" w:rsidRPr="00503F5B">
        <w:t>57</w:t>
      </w:r>
      <w:r w:rsidRPr="00503F5B">
        <w:t>.</w:t>
      </w:r>
      <w:r w:rsidR="00450822" w:rsidRPr="00503F5B">
        <w:t>04</w:t>
      </w:r>
      <w:r w:rsidRPr="00503F5B">
        <w:t xml:space="preserve"> million from owners of alarm systems, is arguably</w:t>
      </w:r>
      <w:r w:rsidR="00D97EAB" w:rsidRPr="00503F5B">
        <w:t xml:space="preserve"> the most</w:t>
      </w:r>
      <w:r w:rsidRPr="00503F5B">
        <w:t xml:space="preserve"> </w:t>
      </w:r>
      <w:r w:rsidR="004E64CA" w:rsidRPr="00503F5B">
        <w:t>equitable as</w:t>
      </w:r>
      <w:r w:rsidR="00D97EAB" w:rsidRPr="00503F5B">
        <w:t xml:space="preserve"> compared to</w:t>
      </w:r>
      <w:r w:rsidRPr="00503F5B">
        <w:t xml:space="preserve"> the base case, as only alarm owners who give rise to the need for</w:t>
      </w:r>
      <w:r w:rsidR="00450822" w:rsidRPr="00503F5B">
        <w:t xml:space="preserve"> FRV </w:t>
      </w:r>
      <w:r w:rsidRPr="00503F5B">
        <w:t xml:space="preserve">false alarm attendances (where no reasonable excuse is provided) would pay for such services. Option 1 is therefore awarded a score of </w:t>
      </w:r>
      <w:r w:rsidRPr="00503F5B">
        <w:rPr>
          <w:i/>
          <w:iCs/>
        </w:rPr>
        <w:t>+</w:t>
      </w:r>
      <w:r w:rsidR="00D97EAB" w:rsidRPr="00503F5B">
        <w:rPr>
          <w:i/>
          <w:iCs/>
        </w:rPr>
        <w:t>5</w:t>
      </w:r>
      <w:r w:rsidRPr="00503F5B">
        <w:t>.</w:t>
      </w:r>
      <w:r w:rsidR="00D97EAB" w:rsidRPr="00503F5B">
        <w:t xml:space="preserve">  </w:t>
      </w:r>
      <w:r w:rsidR="00D97EAB" w:rsidRPr="00503F5B">
        <w:rPr>
          <w:color w:val="000000" w:themeColor="text1"/>
        </w:rPr>
        <w:t xml:space="preserve">Option 1, ‘full cost recovery’ is deemed to be the most equitable option with respect to setting the false alarm fee as discussed in detail in Section </w:t>
      </w:r>
      <w:r w:rsidR="003E489B" w:rsidRPr="00503F5B">
        <w:rPr>
          <w:color w:val="000000" w:themeColor="text1"/>
        </w:rPr>
        <w:t>2.3.2</w:t>
      </w:r>
      <w:r w:rsidR="00D97EAB" w:rsidRPr="00503F5B">
        <w:rPr>
          <w:color w:val="000000" w:themeColor="text1"/>
        </w:rPr>
        <w:t xml:space="preserve"> of this RIS.</w:t>
      </w:r>
    </w:p>
    <w:p w14:paraId="6B2E26D6" w14:textId="77777777" w:rsidR="006835A8" w:rsidRPr="00503F5B" w:rsidRDefault="006835A8" w:rsidP="006835A8">
      <w:pPr>
        <w:jc w:val="both"/>
      </w:pPr>
    </w:p>
    <w:p w14:paraId="6494D3F4" w14:textId="2B069870" w:rsidR="006835A8" w:rsidRPr="00503F5B" w:rsidRDefault="006835A8" w:rsidP="006835A8">
      <w:pPr>
        <w:jc w:val="both"/>
        <w:rPr>
          <w:color w:val="000000" w:themeColor="text1"/>
        </w:rPr>
      </w:pPr>
      <w:r w:rsidRPr="00503F5B">
        <w:rPr>
          <w:b/>
          <w:bCs/>
          <w:color w:val="000000" w:themeColor="text1"/>
        </w:rPr>
        <w:t>Option 2</w:t>
      </w:r>
      <w:r w:rsidRPr="00503F5B">
        <w:rPr>
          <w:color w:val="000000" w:themeColor="text1"/>
        </w:rPr>
        <w:t>, which raises around $</w:t>
      </w:r>
      <w:r w:rsidR="00450822" w:rsidRPr="00503F5B">
        <w:rPr>
          <w:color w:val="000000" w:themeColor="text1"/>
        </w:rPr>
        <w:t>43</w:t>
      </w:r>
      <w:r w:rsidRPr="00503F5B">
        <w:rPr>
          <w:color w:val="000000" w:themeColor="text1"/>
        </w:rPr>
        <w:t>.</w:t>
      </w:r>
      <w:r w:rsidR="004E64CA" w:rsidRPr="00503F5B">
        <w:rPr>
          <w:color w:val="000000" w:themeColor="text1"/>
        </w:rPr>
        <w:t>74</w:t>
      </w:r>
      <w:r w:rsidRPr="00503F5B">
        <w:rPr>
          <w:color w:val="000000" w:themeColor="text1"/>
        </w:rPr>
        <w:t xml:space="preserve"> million from taxpayers and $1</w:t>
      </w:r>
      <w:r w:rsidR="00450822" w:rsidRPr="00503F5B">
        <w:rPr>
          <w:color w:val="000000" w:themeColor="text1"/>
        </w:rPr>
        <w:t>3</w:t>
      </w:r>
      <w:r w:rsidRPr="00503F5B">
        <w:rPr>
          <w:color w:val="000000" w:themeColor="text1"/>
        </w:rPr>
        <w:t>.</w:t>
      </w:r>
      <w:r w:rsidR="004E64CA" w:rsidRPr="00503F5B">
        <w:rPr>
          <w:color w:val="000000" w:themeColor="text1"/>
        </w:rPr>
        <w:t>2</w:t>
      </w:r>
      <w:r w:rsidR="00450822" w:rsidRPr="00503F5B">
        <w:rPr>
          <w:color w:val="000000" w:themeColor="text1"/>
        </w:rPr>
        <w:t>9</w:t>
      </w:r>
      <w:r w:rsidRPr="00503F5B">
        <w:rPr>
          <w:color w:val="000000" w:themeColor="text1"/>
        </w:rPr>
        <w:t xml:space="preserve"> million from owners of alarm systems, is an improvement on equity grounds, as compared to the base case, as owners would have to start paying for parts of the services received with respect the attendance of false alarms without a reasonable excuse. As the amount recovered through fees is roughly </w:t>
      </w:r>
      <w:r w:rsidR="002B6300" w:rsidRPr="00503F5B">
        <w:rPr>
          <w:color w:val="000000" w:themeColor="text1"/>
        </w:rPr>
        <w:t>23</w:t>
      </w:r>
      <w:r w:rsidRPr="00503F5B">
        <w:rPr>
          <w:color w:val="000000" w:themeColor="text1"/>
        </w:rPr>
        <w:t>.</w:t>
      </w:r>
      <w:r w:rsidR="004E64CA" w:rsidRPr="00503F5B">
        <w:rPr>
          <w:color w:val="000000" w:themeColor="text1"/>
        </w:rPr>
        <w:t>04 per cent</w:t>
      </w:r>
      <w:r w:rsidRPr="00503F5B">
        <w:rPr>
          <w:color w:val="000000" w:themeColor="text1"/>
        </w:rPr>
        <w:t xml:space="preserve"> of the cost of attendances of false alarms without a reasonable excuse, Option 2 is awarded a score of </w:t>
      </w:r>
      <w:r w:rsidR="003C1423" w:rsidRPr="00503F5B">
        <w:rPr>
          <w:i/>
          <w:iCs/>
          <w:color w:val="000000" w:themeColor="text1"/>
        </w:rPr>
        <w:t>+1.</w:t>
      </w:r>
      <w:r w:rsidR="00F60716">
        <w:rPr>
          <w:i/>
          <w:iCs/>
          <w:color w:val="000000" w:themeColor="text1"/>
        </w:rPr>
        <w:t>15</w:t>
      </w:r>
      <w:r w:rsidR="003C1423" w:rsidRPr="00503F5B">
        <w:rPr>
          <w:rStyle w:val="FootnoteReference"/>
          <w:color w:val="000000" w:themeColor="text1"/>
        </w:rPr>
        <w:footnoteReference w:id="144"/>
      </w:r>
      <w:r w:rsidR="003C1423" w:rsidRPr="00503F5B">
        <w:rPr>
          <w:color w:val="000000" w:themeColor="text1"/>
        </w:rPr>
        <w:t xml:space="preserve"> </w:t>
      </w:r>
      <w:r w:rsidRPr="00503F5B">
        <w:rPr>
          <w:color w:val="000000" w:themeColor="text1"/>
        </w:rPr>
        <w:t xml:space="preserve"> for equity.</w:t>
      </w:r>
    </w:p>
    <w:p w14:paraId="3C942D5A" w14:textId="3358C009" w:rsidR="006835A8" w:rsidRPr="00503F5B" w:rsidRDefault="006835A8" w:rsidP="006835A8">
      <w:pPr>
        <w:jc w:val="both"/>
      </w:pPr>
    </w:p>
    <w:p w14:paraId="371C8525" w14:textId="71972ABC" w:rsidR="003C1423" w:rsidRPr="00503F5B" w:rsidRDefault="00450822" w:rsidP="00450822">
      <w:pPr>
        <w:jc w:val="both"/>
        <w:rPr>
          <w:color w:val="000000" w:themeColor="text1"/>
        </w:rPr>
      </w:pPr>
      <w:r w:rsidRPr="00503F5B">
        <w:rPr>
          <w:b/>
          <w:bCs/>
          <w:color w:val="000000" w:themeColor="text1"/>
        </w:rPr>
        <w:t xml:space="preserve">Option </w:t>
      </w:r>
      <w:r w:rsidR="002B6300" w:rsidRPr="00503F5B">
        <w:rPr>
          <w:b/>
          <w:bCs/>
          <w:color w:val="000000" w:themeColor="text1"/>
        </w:rPr>
        <w:t>3</w:t>
      </w:r>
      <w:r w:rsidRPr="00503F5B">
        <w:rPr>
          <w:color w:val="000000" w:themeColor="text1"/>
        </w:rPr>
        <w:t>, which raises around $</w:t>
      </w:r>
      <w:r w:rsidR="00346F60" w:rsidRPr="00503F5B">
        <w:rPr>
          <w:color w:val="000000" w:themeColor="text1"/>
        </w:rPr>
        <w:t>50</w:t>
      </w:r>
      <w:r w:rsidR="002B6300" w:rsidRPr="00503F5B">
        <w:rPr>
          <w:color w:val="000000" w:themeColor="text1"/>
        </w:rPr>
        <w:t>.</w:t>
      </w:r>
      <w:r w:rsidR="00346F60" w:rsidRPr="00503F5B">
        <w:rPr>
          <w:color w:val="000000" w:themeColor="text1"/>
        </w:rPr>
        <w:t>06</w:t>
      </w:r>
      <w:r w:rsidRPr="00503F5B">
        <w:rPr>
          <w:color w:val="000000" w:themeColor="text1"/>
        </w:rPr>
        <w:t xml:space="preserve"> million from taxpayers and $</w:t>
      </w:r>
      <w:r w:rsidR="00346F60" w:rsidRPr="00503F5B">
        <w:rPr>
          <w:color w:val="000000" w:themeColor="text1"/>
        </w:rPr>
        <w:t>6</w:t>
      </w:r>
      <w:r w:rsidR="002B6300" w:rsidRPr="00503F5B">
        <w:rPr>
          <w:color w:val="000000" w:themeColor="text1"/>
        </w:rPr>
        <w:t>.</w:t>
      </w:r>
      <w:r w:rsidR="00346F60" w:rsidRPr="00503F5B">
        <w:rPr>
          <w:color w:val="000000" w:themeColor="text1"/>
        </w:rPr>
        <w:t>97</w:t>
      </w:r>
      <w:r w:rsidRPr="00503F5B">
        <w:rPr>
          <w:color w:val="000000" w:themeColor="text1"/>
        </w:rPr>
        <w:t xml:space="preserve"> million from owners of alarm systems, is an improvement on equity grounds, as compared to the base case, as owners would have to start paying for parts of the services received with respect the attendance of false alarms without a reasonable excuse</w:t>
      </w:r>
      <w:r w:rsidR="002B6300" w:rsidRPr="00503F5B">
        <w:rPr>
          <w:color w:val="000000" w:themeColor="text1"/>
        </w:rPr>
        <w:t xml:space="preserve"> – however less than under Option 2</w:t>
      </w:r>
      <w:r w:rsidRPr="00503F5B">
        <w:rPr>
          <w:color w:val="000000" w:themeColor="text1"/>
        </w:rPr>
        <w:t xml:space="preserve">. </w:t>
      </w:r>
    </w:p>
    <w:p w14:paraId="063C39F7" w14:textId="1217174C" w:rsidR="00FC6712" w:rsidRPr="00503F5B" w:rsidRDefault="00FC6712" w:rsidP="00450822">
      <w:pPr>
        <w:jc w:val="both"/>
        <w:rPr>
          <w:color w:val="000000" w:themeColor="text1"/>
        </w:rPr>
      </w:pPr>
      <w:r w:rsidRPr="00503F5B">
        <w:rPr>
          <w:color w:val="000000" w:themeColor="text1"/>
        </w:rPr>
        <w:t>As the amount recovered through fees is roughly 12.39</w:t>
      </w:r>
      <w:r w:rsidR="004E64CA" w:rsidRPr="00503F5B">
        <w:rPr>
          <w:color w:val="000000" w:themeColor="text1"/>
        </w:rPr>
        <w:t xml:space="preserve"> per cent</w:t>
      </w:r>
      <w:r w:rsidRPr="00503F5B">
        <w:rPr>
          <w:color w:val="000000" w:themeColor="text1"/>
        </w:rPr>
        <w:t xml:space="preserve"> of the cost of attendances of false alarms without a reasonable excuse, Option 3 is awarded a lower score.  Moreover, a maximum attendance fee reflecting 1.29 hours of attendance means a</w:t>
      </w:r>
      <w:r w:rsidR="00346F60" w:rsidRPr="00503F5B">
        <w:rPr>
          <w:color w:val="000000" w:themeColor="text1"/>
        </w:rPr>
        <w:t xml:space="preserve">n additional </w:t>
      </w:r>
      <w:r w:rsidRPr="00503F5B">
        <w:rPr>
          <w:color w:val="000000" w:themeColor="text1"/>
        </w:rPr>
        <w:t>cross-subsidisation of those requiring more than the average of 1.29</w:t>
      </w:r>
      <w:r w:rsidR="00230102" w:rsidRPr="00503F5B">
        <w:rPr>
          <w:color w:val="000000" w:themeColor="text1"/>
        </w:rPr>
        <w:t xml:space="preserve"> appliance</w:t>
      </w:r>
      <w:r w:rsidRPr="00503F5B">
        <w:rPr>
          <w:color w:val="000000" w:themeColor="text1"/>
        </w:rPr>
        <w:t xml:space="preserve"> hours</w:t>
      </w:r>
      <w:r w:rsidR="00230102" w:rsidRPr="00503F5B">
        <w:rPr>
          <w:color w:val="000000" w:themeColor="text1"/>
        </w:rPr>
        <w:t xml:space="preserve"> </w:t>
      </w:r>
      <w:r w:rsidRPr="00503F5B">
        <w:rPr>
          <w:color w:val="000000" w:themeColor="text1"/>
        </w:rPr>
        <w:t xml:space="preserve">(i.e. </w:t>
      </w:r>
      <w:r w:rsidR="001B1D87" w:rsidRPr="00503F5B">
        <w:rPr>
          <w:color w:val="000000" w:themeColor="text1"/>
        </w:rPr>
        <w:t>7.83</w:t>
      </w:r>
      <w:r w:rsidR="00905CC9" w:rsidRPr="00503F5B">
        <w:rPr>
          <w:color w:val="000000" w:themeColor="text1"/>
        </w:rPr>
        <w:t xml:space="preserve"> per cent of attendances</w:t>
      </w:r>
      <w:r w:rsidRPr="00503F5B">
        <w:rPr>
          <w:rStyle w:val="FootnoteReference"/>
          <w:color w:val="000000" w:themeColor="text1"/>
        </w:rPr>
        <w:footnoteReference w:id="145"/>
      </w:r>
      <w:r w:rsidRPr="00503F5B">
        <w:rPr>
          <w:color w:val="000000" w:themeColor="text1"/>
        </w:rPr>
        <w:t>)</w:t>
      </w:r>
      <w:r w:rsidR="00C13970" w:rsidRPr="00503F5B">
        <w:rPr>
          <w:color w:val="000000" w:themeColor="text1"/>
        </w:rPr>
        <w:t xml:space="preserve"> by </w:t>
      </w:r>
      <w:r w:rsidR="007B2C30" w:rsidRPr="00503F5B">
        <w:rPr>
          <w:color w:val="000000" w:themeColor="text1"/>
        </w:rPr>
        <w:t>taxpayers</w:t>
      </w:r>
      <w:r w:rsidR="00905CC9" w:rsidRPr="00503F5B">
        <w:rPr>
          <w:color w:val="000000" w:themeColor="text1"/>
        </w:rPr>
        <w:t>.</w:t>
      </w:r>
      <w:r w:rsidRPr="00503F5B">
        <w:rPr>
          <w:color w:val="000000" w:themeColor="text1"/>
        </w:rPr>
        <w:t xml:space="preserve"> </w:t>
      </w:r>
      <w:r w:rsidR="00230102" w:rsidRPr="00503F5B">
        <w:rPr>
          <w:color w:val="000000" w:themeColor="text1"/>
        </w:rPr>
        <w:t>In this case broader society would cross-subsidise those that require more than 1.29 appliance hours. Subsequently</w:t>
      </w:r>
      <w:r w:rsidR="001B1D87" w:rsidRPr="00503F5B">
        <w:rPr>
          <w:color w:val="000000" w:themeColor="text1"/>
        </w:rPr>
        <w:t xml:space="preserve">, Option 3 is awarded a score of </w:t>
      </w:r>
      <w:r w:rsidR="001B1D87" w:rsidRPr="00503F5B">
        <w:rPr>
          <w:i/>
          <w:iCs/>
          <w:color w:val="000000" w:themeColor="text1"/>
        </w:rPr>
        <w:t>+0.57</w:t>
      </w:r>
      <w:r w:rsidR="001B1D87" w:rsidRPr="00503F5B">
        <w:rPr>
          <w:rStyle w:val="FootnoteReference"/>
          <w:i/>
          <w:iCs/>
          <w:color w:val="000000" w:themeColor="text1"/>
        </w:rPr>
        <w:footnoteReference w:id="146"/>
      </w:r>
      <w:r w:rsidR="001B1D87" w:rsidRPr="00503F5B">
        <w:rPr>
          <w:i/>
          <w:iCs/>
          <w:color w:val="000000" w:themeColor="text1"/>
        </w:rPr>
        <w:t xml:space="preserve"> </w:t>
      </w:r>
      <w:r w:rsidR="001B1D87" w:rsidRPr="00503F5B">
        <w:rPr>
          <w:color w:val="000000" w:themeColor="text1"/>
        </w:rPr>
        <w:t xml:space="preserve">as compared to the base case.  </w:t>
      </w:r>
    </w:p>
    <w:p w14:paraId="3FABFEED" w14:textId="77777777" w:rsidR="00FC6712" w:rsidRPr="00503F5B" w:rsidRDefault="00FC6712" w:rsidP="00450822">
      <w:pPr>
        <w:jc w:val="both"/>
        <w:rPr>
          <w:color w:val="000000" w:themeColor="text1"/>
        </w:rPr>
      </w:pPr>
    </w:p>
    <w:p w14:paraId="1F258BFF" w14:textId="32E374DA" w:rsidR="006E1AB5" w:rsidRPr="00503F5B" w:rsidRDefault="006835A8" w:rsidP="006E1AB5">
      <w:pPr>
        <w:jc w:val="both"/>
      </w:pPr>
      <w:r w:rsidRPr="00503F5B">
        <w:rPr>
          <w:b/>
          <w:bCs/>
        </w:rPr>
        <w:t xml:space="preserve">Option </w:t>
      </w:r>
      <w:r w:rsidR="002B6300" w:rsidRPr="00503F5B">
        <w:rPr>
          <w:b/>
          <w:bCs/>
        </w:rPr>
        <w:t>4</w:t>
      </w:r>
      <w:r w:rsidRPr="00503F5B">
        <w:t xml:space="preserve">, which involves a per attendance fee, </w:t>
      </w:r>
      <w:r w:rsidR="00346F60" w:rsidRPr="00503F5B">
        <w:t xml:space="preserve">raises </w:t>
      </w:r>
      <w:r w:rsidRPr="00503F5B">
        <w:t>around $</w:t>
      </w:r>
      <w:r w:rsidR="002B6300" w:rsidRPr="00503F5B">
        <w:t>49</w:t>
      </w:r>
      <w:r w:rsidRPr="00503F5B">
        <w:t>.</w:t>
      </w:r>
      <w:r w:rsidR="002B6300" w:rsidRPr="00503F5B">
        <w:t>89</w:t>
      </w:r>
      <w:r w:rsidRPr="00503F5B">
        <w:t xml:space="preserve"> million</w:t>
      </w:r>
      <w:r w:rsidR="00346F60" w:rsidRPr="00503F5B">
        <w:t xml:space="preserve"> from taxpayers</w:t>
      </w:r>
      <w:r w:rsidR="00FC6712" w:rsidRPr="00503F5B">
        <w:t xml:space="preserve"> </w:t>
      </w:r>
      <w:r w:rsidR="00346F60" w:rsidRPr="00503F5B">
        <w:t xml:space="preserve">and $7.15 million from owners of alarm systems, </w:t>
      </w:r>
      <w:r w:rsidR="00FC6712" w:rsidRPr="00503F5B">
        <w:t>with the</w:t>
      </w:r>
      <w:r w:rsidR="00FC6712" w:rsidRPr="00503F5B">
        <w:rPr>
          <w:color w:val="000000" w:themeColor="text1"/>
        </w:rPr>
        <w:t xml:space="preserve"> amount recovered through fees to be roughly 12.39</w:t>
      </w:r>
      <w:r w:rsidR="004E64CA" w:rsidRPr="00503F5B">
        <w:rPr>
          <w:color w:val="000000" w:themeColor="text1"/>
        </w:rPr>
        <w:t xml:space="preserve"> per cent</w:t>
      </w:r>
      <w:r w:rsidR="00FC6712" w:rsidRPr="00503F5B">
        <w:rPr>
          <w:color w:val="000000" w:themeColor="text1"/>
        </w:rPr>
        <w:t xml:space="preserve"> of the cost of attendances of false alarms without a reasonable excuse, as with Option 3. </w:t>
      </w:r>
      <w:r w:rsidRPr="00503F5B">
        <w:t xml:space="preserve">However, unlike Option </w:t>
      </w:r>
      <w:r w:rsidR="002B6300" w:rsidRPr="00503F5B">
        <w:t>3</w:t>
      </w:r>
      <w:r w:rsidRPr="00503F5B">
        <w:t xml:space="preserve">, the fee would be payable per attendance </w:t>
      </w:r>
      <w:r w:rsidR="00FC6712" w:rsidRPr="00503F5B">
        <w:t xml:space="preserve">only </w:t>
      </w:r>
      <w:r w:rsidRPr="00503F5B">
        <w:t xml:space="preserve">rather than </w:t>
      </w:r>
      <w:r w:rsidR="00FC6712" w:rsidRPr="00503F5B">
        <w:t xml:space="preserve">a mix of </w:t>
      </w:r>
      <w:r w:rsidRPr="00503F5B">
        <w:t>per quarterly hour</w:t>
      </w:r>
      <w:r w:rsidR="00FC6712" w:rsidRPr="00503F5B">
        <w:t xml:space="preserve"> and a maximum attendance fee</w:t>
      </w:r>
      <w:r w:rsidRPr="00503F5B">
        <w:t xml:space="preserve">. </w:t>
      </w:r>
      <w:r w:rsidR="00FB3528" w:rsidRPr="00503F5B">
        <w:t xml:space="preserve"> </w:t>
      </w:r>
      <w:r w:rsidRPr="00503F5B">
        <w:t xml:space="preserve">Given </w:t>
      </w:r>
      <w:r w:rsidR="00FB3528" w:rsidRPr="00503F5B">
        <w:t xml:space="preserve">that the fixed fee reflects </w:t>
      </w:r>
      <w:r w:rsidRPr="00503F5B">
        <w:t xml:space="preserve">around </w:t>
      </w:r>
      <w:r w:rsidR="002B6300" w:rsidRPr="00503F5B">
        <w:t>1</w:t>
      </w:r>
      <w:r w:rsidRPr="00503F5B">
        <w:t>.</w:t>
      </w:r>
      <w:r w:rsidR="002B6300" w:rsidRPr="00503F5B">
        <w:t>29</w:t>
      </w:r>
      <w:r w:rsidRPr="00503F5B">
        <w:t xml:space="preserve"> </w:t>
      </w:r>
      <w:r w:rsidR="00FB3528" w:rsidRPr="00503F5B">
        <w:t xml:space="preserve">appliance </w:t>
      </w:r>
      <w:r w:rsidRPr="00503F5B">
        <w:t>hours per false alarm</w:t>
      </w:r>
      <w:r w:rsidR="00FB3528" w:rsidRPr="00503F5B">
        <w:t xml:space="preserve"> attendance</w:t>
      </w:r>
      <w:r w:rsidR="00155C88">
        <w:t xml:space="preserve"> (4.44 per cent of attendances)</w:t>
      </w:r>
      <w:r w:rsidRPr="00503F5B">
        <w:t>,</w:t>
      </w:r>
      <w:r w:rsidR="00FB3528" w:rsidRPr="00503F5B">
        <w:t xml:space="preserve"> owners of false alarms requiring less than </w:t>
      </w:r>
      <w:r w:rsidR="00905CC9" w:rsidRPr="00503F5B">
        <w:t xml:space="preserve">the average </w:t>
      </w:r>
      <w:r w:rsidR="00FB3528" w:rsidRPr="00503F5B">
        <w:t xml:space="preserve">appliance hours </w:t>
      </w:r>
      <w:r w:rsidR="00905CC9" w:rsidRPr="00503F5B">
        <w:t>(</w:t>
      </w:r>
      <w:r w:rsidR="00155C88">
        <w:t xml:space="preserve">87.74 </w:t>
      </w:r>
      <w:r w:rsidR="00905CC9" w:rsidRPr="00503F5B">
        <w:t xml:space="preserve">per cent of attendances) </w:t>
      </w:r>
      <w:r w:rsidR="00FB3528" w:rsidRPr="00503F5B">
        <w:t xml:space="preserve">would end up cross-subsidising those that require more </w:t>
      </w:r>
      <w:r w:rsidR="00905CC9" w:rsidRPr="00503F5B">
        <w:t xml:space="preserve">than the average appliance </w:t>
      </w:r>
      <w:r w:rsidR="00FB3528" w:rsidRPr="00503F5B">
        <w:t>hours</w:t>
      </w:r>
      <w:r w:rsidR="00905CC9" w:rsidRPr="00503F5B">
        <w:t xml:space="preserve"> (7.83 per cent of attendances) - </w:t>
      </w:r>
      <w:r w:rsidR="00FB3528" w:rsidRPr="00503F5B">
        <w:t xml:space="preserve">as shown in Table 24. </w:t>
      </w:r>
      <w:r w:rsidR="00230102" w:rsidRPr="00503F5B">
        <w:t xml:space="preserve">In this case a smaller group in society would cross-subsidise those that require more than 1.29 appliance hours. </w:t>
      </w:r>
      <w:r w:rsidR="00FB3528" w:rsidRPr="00503F5B">
        <w:t xml:space="preserve"> </w:t>
      </w:r>
      <w:r w:rsidR="006E1AB5" w:rsidRPr="00503F5B">
        <w:rPr>
          <w:color w:val="000000" w:themeColor="text1"/>
        </w:rPr>
        <w:t>For th</w:t>
      </w:r>
      <w:r w:rsidR="00230102" w:rsidRPr="00503F5B">
        <w:rPr>
          <w:color w:val="000000" w:themeColor="text1"/>
        </w:rPr>
        <w:t>ese</w:t>
      </w:r>
      <w:r w:rsidR="006E1AB5" w:rsidRPr="00503F5B">
        <w:rPr>
          <w:color w:val="000000" w:themeColor="text1"/>
        </w:rPr>
        <w:t xml:space="preserve"> reason</w:t>
      </w:r>
      <w:r w:rsidR="00230102" w:rsidRPr="00503F5B">
        <w:rPr>
          <w:color w:val="000000" w:themeColor="text1"/>
        </w:rPr>
        <w:t>s</w:t>
      </w:r>
      <w:r w:rsidR="006E1AB5" w:rsidRPr="00503F5B">
        <w:rPr>
          <w:color w:val="000000" w:themeColor="text1"/>
        </w:rPr>
        <w:t xml:space="preserve">, Option 4 is awarded a score of </w:t>
      </w:r>
      <w:r w:rsidR="006E1AB5" w:rsidRPr="00503F5B">
        <w:rPr>
          <w:i/>
          <w:iCs/>
          <w:color w:val="000000" w:themeColor="text1"/>
        </w:rPr>
        <w:t>+0.0</w:t>
      </w:r>
      <w:r w:rsidR="00155C88">
        <w:rPr>
          <w:i/>
          <w:iCs/>
          <w:color w:val="000000" w:themeColor="text1"/>
        </w:rPr>
        <w:t>8</w:t>
      </w:r>
      <w:r w:rsidR="006E1AB5" w:rsidRPr="00503F5B">
        <w:rPr>
          <w:rStyle w:val="FootnoteReference"/>
          <w:color w:val="000000" w:themeColor="text1"/>
        </w:rPr>
        <w:footnoteReference w:id="147"/>
      </w:r>
      <w:r w:rsidR="006E1AB5" w:rsidRPr="00503F5B">
        <w:rPr>
          <w:color w:val="000000" w:themeColor="text1"/>
        </w:rPr>
        <w:t xml:space="preserve"> as compared to the base case.</w:t>
      </w:r>
    </w:p>
    <w:p w14:paraId="6714F4C6" w14:textId="77777777" w:rsidR="006835A8" w:rsidRPr="00503F5B" w:rsidRDefault="006835A8" w:rsidP="009917B8">
      <w:pPr>
        <w:pStyle w:val="Heading2"/>
      </w:pPr>
      <w:bookmarkStart w:id="174" w:name="_Toc457772546"/>
      <w:bookmarkStart w:id="175" w:name="_Toc35804146"/>
      <w:bookmarkStart w:id="176" w:name="_Toc35804640"/>
      <w:bookmarkStart w:id="177" w:name="_Toc35812684"/>
      <w:r w:rsidRPr="00503F5B">
        <w:t>5.3 Effectiveness criterion – analysis of options</w:t>
      </w:r>
      <w:bookmarkEnd w:id="174"/>
      <w:bookmarkEnd w:id="175"/>
      <w:bookmarkEnd w:id="176"/>
      <w:bookmarkEnd w:id="177"/>
    </w:p>
    <w:p w14:paraId="3ED80662" w14:textId="5BEE3FD6" w:rsidR="006835A8" w:rsidRPr="00503F5B" w:rsidRDefault="00B36EEE" w:rsidP="006835A8">
      <w:pPr>
        <w:jc w:val="both"/>
      </w:pPr>
      <w:r w:rsidRPr="00503F5B">
        <w:t xml:space="preserve">For </w:t>
      </w:r>
      <w:r w:rsidR="006835A8" w:rsidRPr="00503F5B">
        <w:t>each of the options</w:t>
      </w:r>
      <w:r w:rsidRPr="00503F5B">
        <w:t>, with regards to</w:t>
      </w:r>
      <w:r w:rsidR="006835A8" w:rsidRPr="00503F5B">
        <w:t xml:space="preserve"> the incentivisation of alarm owners to circumvent their ‘monitored’ alarm systems and undertake additional</w:t>
      </w:r>
      <w:r w:rsidR="00E363EC" w:rsidRPr="00503F5B">
        <w:t>, unmeritorious</w:t>
      </w:r>
      <w:r w:rsidR="0005387E" w:rsidRPr="00503F5B">
        <w:t xml:space="preserve"> </w:t>
      </w:r>
      <w:r w:rsidR="006835A8" w:rsidRPr="00503F5B">
        <w:t xml:space="preserve">VCAT challenges, the base case is awarded a +0. </w:t>
      </w:r>
      <w:r w:rsidR="006F419B" w:rsidRPr="00503F5B" w:rsidDel="00467F48">
        <w:t>However</w:t>
      </w:r>
      <w:r w:rsidR="00BE0BAA">
        <w:t>,</w:t>
      </w:r>
      <w:r w:rsidR="006F419B" w:rsidRPr="00503F5B" w:rsidDel="00467F48">
        <w:t xml:space="preserve"> it is important to note that there is no there is no causal evidence linking the current false alarm fees with the aberrant behaviour of circumvention, or to suggest that it incentivises unmeritorious VCAT claims and setting a maximum fee may have not impact in terms of reducing unintended consequences.</w:t>
      </w:r>
    </w:p>
    <w:p w14:paraId="0079B113" w14:textId="5071A651" w:rsidR="006835A8" w:rsidRPr="00503F5B" w:rsidRDefault="006835A8" w:rsidP="006835A8">
      <w:pPr>
        <w:jc w:val="both"/>
      </w:pPr>
    </w:p>
    <w:p w14:paraId="35D24840" w14:textId="2B5B3E80" w:rsidR="002B6300" w:rsidRPr="00503F5B" w:rsidRDefault="002B6300" w:rsidP="002B6300">
      <w:pPr>
        <w:jc w:val="both"/>
      </w:pPr>
      <w:r w:rsidRPr="00503F5B">
        <w:rPr>
          <w:b/>
          <w:bCs/>
        </w:rPr>
        <w:t>Option 2</w:t>
      </w:r>
      <w:r w:rsidR="00327F4C" w:rsidRPr="00503F5B">
        <w:t xml:space="preserve">, </w:t>
      </w:r>
      <w:r w:rsidR="004761CB">
        <w:t xml:space="preserve">while </w:t>
      </w:r>
      <w:r w:rsidR="004459B3" w:rsidRPr="00503F5B">
        <w:t xml:space="preserve">under </w:t>
      </w:r>
      <w:r w:rsidR="00327F4C" w:rsidRPr="00503F5B">
        <w:t>current fees</w:t>
      </w:r>
      <w:r w:rsidR="004459B3" w:rsidRPr="00503F5B">
        <w:t xml:space="preserve"> a measure of </w:t>
      </w:r>
      <w:r w:rsidR="00D77CCB" w:rsidRPr="00503F5B">
        <w:t xml:space="preserve">circumvention </w:t>
      </w:r>
      <w:r w:rsidR="004459B3" w:rsidRPr="00503F5B">
        <w:t xml:space="preserve">occurs, no </w:t>
      </w:r>
      <w:r w:rsidR="0005387E" w:rsidRPr="00503F5B">
        <w:t xml:space="preserve">definitive </w:t>
      </w:r>
      <w:r w:rsidR="004459B3" w:rsidRPr="00503F5B">
        <w:t>evidence is available regarding a causal link between false alarm fees and this aberrant behaviour</w:t>
      </w:r>
      <w:r w:rsidR="00327F4C" w:rsidRPr="00503F5B">
        <w:t xml:space="preserve">.   </w:t>
      </w:r>
      <w:r w:rsidR="004459B3" w:rsidRPr="00503F5B">
        <w:t>Nonetheless, for the purpose of this analysis</w:t>
      </w:r>
      <w:r w:rsidR="00327F4C" w:rsidRPr="00503F5B">
        <w:t xml:space="preserve"> Option 2 </w:t>
      </w:r>
      <w:r w:rsidR="004459B3" w:rsidRPr="00503F5B">
        <w:t>may be assumed to</w:t>
      </w:r>
      <w:r w:rsidR="00160E52" w:rsidRPr="00503F5B">
        <w:t xml:space="preserve"> be likely to</w:t>
      </w:r>
      <w:r w:rsidR="004459B3" w:rsidRPr="00503F5B">
        <w:t xml:space="preserve"> </w:t>
      </w:r>
      <w:r w:rsidRPr="00503F5B">
        <w:t>result in some incentivisation of alarm owners to circumvent their alarm systems or result in</w:t>
      </w:r>
      <w:r w:rsidR="00160E52" w:rsidRPr="00503F5B">
        <w:t xml:space="preserve"> a </w:t>
      </w:r>
      <w:r w:rsidR="00160E52" w:rsidRPr="00503F5B">
        <w:lastRenderedPageBreak/>
        <w:t>degree of</w:t>
      </w:r>
      <w:r w:rsidRPr="00503F5B">
        <w:t xml:space="preserve"> additional </w:t>
      </w:r>
      <w:r w:rsidR="004459B3" w:rsidRPr="00503F5B">
        <w:t xml:space="preserve">unmeritorious </w:t>
      </w:r>
      <w:r w:rsidRPr="00503F5B">
        <w:t xml:space="preserve">VCAT challenges as compared to the base case (where no fee is charged) however this effect is likely to be limited.  Therefore, Option 2 is awarded a score of </w:t>
      </w:r>
      <w:r w:rsidRPr="00503F5B">
        <w:rPr>
          <w:i/>
          <w:iCs/>
        </w:rPr>
        <w:t>-</w:t>
      </w:r>
      <w:r w:rsidR="00327F4C" w:rsidRPr="00503F5B">
        <w:rPr>
          <w:i/>
          <w:iCs/>
        </w:rPr>
        <w:t>0.</w:t>
      </w:r>
      <w:r w:rsidR="00941575" w:rsidRPr="00503F5B">
        <w:rPr>
          <w:i/>
          <w:iCs/>
        </w:rPr>
        <w:t>69</w:t>
      </w:r>
      <w:r w:rsidR="00327F4C" w:rsidRPr="00503F5B">
        <w:rPr>
          <w:rStyle w:val="FootnoteReference"/>
          <w:i/>
          <w:iCs/>
        </w:rPr>
        <w:footnoteReference w:id="148"/>
      </w:r>
      <w:r w:rsidR="00327F4C" w:rsidRPr="00503F5B">
        <w:t xml:space="preserve"> for effectiveness.</w:t>
      </w:r>
    </w:p>
    <w:p w14:paraId="0209E3B7" w14:textId="77777777" w:rsidR="002B6300" w:rsidRPr="00503F5B" w:rsidRDefault="002B6300" w:rsidP="006835A8">
      <w:pPr>
        <w:jc w:val="both"/>
      </w:pPr>
    </w:p>
    <w:p w14:paraId="578AE6B7" w14:textId="29FFAAE6" w:rsidR="006835A8" w:rsidRPr="00503F5B" w:rsidRDefault="006835A8" w:rsidP="006835A8">
      <w:pPr>
        <w:jc w:val="both"/>
      </w:pPr>
      <w:r w:rsidRPr="00503F5B">
        <w:rPr>
          <w:b/>
          <w:bCs/>
        </w:rPr>
        <w:t xml:space="preserve">Option </w:t>
      </w:r>
      <w:r w:rsidR="002B6300" w:rsidRPr="00503F5B">
        <w:rPr>
          <w:b/>
          <w:bCs/>
        </w:rPr>
        <w:t>3</w:t>
      </w:r>
      <w:r w:rsidRPr="00503F5B">
        <w:t xml:space="preserve"> is likely </w:t>
      </w:r>
      <w:r w:rsidR="004459B3" w:rsidRPr="00503F5B">
        <w:t xml:space="preserve">may result in </w:t>
      </w:r>
      <w:r w:rsidRPr="00503F5B">
        <w:t xml:space="preserve">some incentivisation of alarm owners to circumvent their alarm systems or result in additional </w:t>
      </w:r>
      <w:r w:rsidR="004459B3" w:rsidRPr="00503F5B">
        <w:t xml:space="preserve">unmeritorious </w:t>
      </w:r>
      <w:r w:rsidRPr="00503F5B">
        <w:t>VCAT challenges as compared to the base case (where no fee is charged) however this effect is likely to be limited</w:t>
      </w:r>
      <w:r w:rsidR="002B6300" w:rsidRPr="00503F5B">
        <w:t xml:space="preserve"> and less than under Option 2</w:t>
      </w:r>
      <w:r w:rsidR="00327F4C" w:rsidRPr="00503F5B">
        <w:t xml:space="preserve"> in that the fee under Option 3 is roughly half of the fee under Option 2</w:t>
      </w:r>
      <w:r w:rsidRPr="00503F5B">
        <w:t xml:space="preserve">. </w:t>
      </w:r>
      <w:r w:rsidR="008975DE" w:rsidRPr="00503F5B">
        <w:t xml:space="preserve">  Moreover, given the maximum attendance fee under Option 3 reflecting an average 1.29 appliance hours, and the fact that </w:t>
      </w:r>
      <w:r w:rsidR="006E1AB5" w:rsidRPr="00503F5B">
        <w:t>7</w:t>
      </w:r>
      <w:r w:rsidR="008975DE" w:rsidRPr="00503F5B">
        <w:t>.</w:t>
      </w:r>
      <w:r w:rsidR="006E1AB5" w:rsidRPr="00503F5B">
        <w:t>83</w:t>
      </w:r>
      <w:r w:rsidR="008975DE" w:rsidRPr="00503F5B">
        <w:t xml:space="preserve">% of invoices apply to instances above this average - there </w:t>
      </w:r>
      <w:r w:rsidR="004459B3" w:rsidRPr="00503F5B">
        <w:t xml:space="preserve">may </w:t>
      </w:r>
      <w:r w:rsidR="008975DE" w:rsidRPr="00503F5B">
        <w:t>be some further reduction in demand for circumvention and VCAT challenges</w:t>
      </w:r>
      <w:r w:rsidR="002D55B4" w:rsidRPr="00503F5B">
        <w:t>. Given the halving of the fee under Option 3, as compared to Option 2, and a maximum fee</w:t>
      </w:r>
      <w:r w:rsidRPr="00503F5B">
        <w:t xml:space="preserve">, Option </w:t>
      </w:r>
      <w:r w:rsidR="002B6300" w:rsidRPr="00503F5B">
        <w:t>3</w:t>
      </w:r>
      <w:r w:rsidRPr="00503F5B">
        <w:t xml:space="preserve"> is awarded a score of </w:t>
      </w:r>
      <w:r w:rsidRPr="00503F5B">
        <w:rPr>
          <w:i/>
          <w:iCs/>
        </w:rPr>
        <w:t>-</w:t>
      </w:r>
      <w:r w:rsidR="009A0C64" w:rsidRPr="00503F5B">
        <w:rPr>
          <w:i/>
          <w:iCs/>
        </w:rPr>
        <w:t>0.</w:t>
      </w:r>
      <w:r w:rsidR="00FA5A37">
        <w:rPr>
          <w:i/>
          <w:iCs/>
        </w:rPr>
        <w:t>23</w:t>
      </w:r>
      <w:r w:rsidR="002D55B4" w:rsidRPr="00503F5B">
        <w:rPr>
          <w:rStyle w:val="FootnoteReference"/>
          <w:i/>
          <w:iCs/>
        </w:rPr>
        <w:footnoteReference w:id="149"/>
      </w:r>
      <w:r w:rsidR="00327F4C" w:rsidRPr="00503F5B">
        <w:t xml:space="preserve"> for effectiveness.</w:t>
      </w:r>
      <w:r w:rsidRPr="00503F5B">
        <w:t xml:space="preserve"> </w:t>
      </w:r>
      <w:r w:rsidR="006F7473" w:rsidRPr="00503F5B">
        <w:t xml:space="preserve"> </w:t>
      </w:r>
    </w:p>
    <w:p w14:paraId="06C1D8E5" w14:textId="77777777" w:rsidR="006835A8" w:rsidRPr="00503F5B" w:rsidRDefault="006835A8" w:rsidP="006835A8">
      <w:pPr>
        <w:jc w:val="both"/>
      </w:pPr>
    </w:p>
    <w:p w14:paraId="55AA8309" w14:textId="36A72026" w:rsidR="006835A8" w:rsidRPr="00503F5B" w:rsidRDefault="006835A8" w:rsidP="006835A8">
      <w:pPr>
        <w:jc w:val="both"/>
      </w:pPr>
      <w:r w:rsidRPr="00503F5B">
        <w:rPr>
          <w:b/>
          <w:bCs/>
        </w:rPr>
        <w:t xml:space="preserve">Option </w:t>
      </w:r>
      <w:r w:rsidR="002B6300" w:rsidRPr="00503F5B">
        <w:rPr>
          <w:b/>
          <w:bCs/>
        </w:rPr>
        <w:t>4</w:t>
      </w:r>
      <w:r w:rsidRPr="00503F5B">
        <w:t xml:space="preserve"> is </w:t>
      </w:r>
      <w:r w:rsidR="004459B3" w:rsidRPr="00503F5B">
        <w:t xml:space="preserve">may result in </w:t>
      </w:r>
      <w:r w:rsidRPr="00503F5B">
        <w:rPr>
          <w:i/>
        </w:rPr>
        <w:t>some</w:t>
      </w:r>
      <w:r w:rsidRPr="00503F5B">
        <w:t xml:space="preserve"> </w:t>
      </w:r>
      <w:r w:rsidR="004459B3" w:rsidRPr="00503F5B">
        <w:t xml:space="preserve">incentivisation of </w:t>
      </w:r>
      <w:r w:rsidRPr="00503F5B">
        <w:t xml:space="preserve">alarm owners to circumvent their alarm systems and additional </w:t>
      </w:r>
      <w:r w:rsidR="004459B3" w:rsidRPr="00503F5B">
        <w:t xml:space="preserve">unmeritorious </w:t>
      </w:r>
      <w:r w:rsidRPr="00503F5B">
        <w:t>VCAT challenges, and particularly those owners requiring less than</w:t>
      </w:r>
      <w:r w:rsidR="00327F4C" w:rsidRPr="00503F5B">
        <w:t xml:space="preserve"> </w:t>
      </w:r>
      <w:r w:rsidR="002B6300" w:rsidRPr="00503F5B">
        <w:t>1.29</w:t>
      </w:r>
      <w:r w:rsidRPr="00503F5B">
        <w:t xml:space="preserve"> hours of required attendance by appliances who are nonetheless charged a higher fixed fee reflecting more time spent than actual</w:t>
      </w:r>
      <w:r w:rsidR="008975DE" w:rsidRPr="00503F5B">
        <w:t xml:space="preserve"> – </w:t>
      </w:r>
      <w:r w:rsidR="002D55B4" w:rsidRPr="00503F5B">
        <w:t xml:space="preserve">reflecting </w:t>
      </w:r>
      <w:r w:rsidR="00BE0BAA">
        <w:t>87</w:t>
      </w:r>
      <w:r w:rsidR="002D55B4" w:rsidRPr="00503F5B">
        <w:t>.</w:t>
      </w:r>
      <w:r w:rsidR="00BE0BAA">
        <w:t>74</w:t>
      </w:r>
      <w:r w:rsidR="002D55B4" w:rsidRPr="00503F5B">
        <w:t>% of invoices charged</w:t>
      </w:r>
      <w:r w:rsidR="0011184E" w:rsidRPr="00503F5B">
        <w:t xml:space="preserve"> (see Table 24 in this RIS)</w:t>
      </w:r>
      <w:r w:rsidR="002D55B4" w:rsidRPr="00503F5B">
        <w:t>.</w:t>
      </w:r>
      <w:r w:rsidRPr="00503F5B">
        <w:t xml:space="preserve">  </w:t>
      </w:r>
      <w:r w:rsidR="00941575" w:rsidRPr="00503F5B">
        <w:t>This would be offset by those</w:t>
      </w:r>
      <w:r w:rsidR="002D55B4" w:rsidRPr="00503F5B">
        <w:t xml:space="preserve"> above an average 1.29 appliance hours – reflecting </w:t>
      </w:r>
      <w:r w:rsidR="00941575" w:rsidRPr="00503F5B">
        <w:t>7</w:t>
      </w:r>
      <w:r w:rsidR="002D55B4" w:rsidRPr="00503F5B">
        <w:t>.</w:t>
      </w:r>
      <w:r w:rsidR="00941575" w:rsidRPr="00503F5B">
        <w:t>83</w:t>
      </w:r>
      <w:r w:rsidR="002D55B4" w:rsidRPr="00503F5B">
        <w:t xml:space="preserve">% of invoices charged </w:t>
      </w:r>
      <w:r w:rsidR="00941575" w:rsidRPr="00503F5B">
        <w:t>–</w:t>
      </w:r>
      <w:r w:rsidR="00856B57" w:rsidRPr="00503F5B">
        <w:t xml:space="preserve"> </w:t>
      </w:r>
      <w:r w:rsidR="00941575" w:rsidRPr="00503F5B">
        <w:t xml:space="preserve">who </w:t>
      </w:r>
      <w:r w:rsidRPr="00503F5B">
        <w:t xml:space="preserve">would face smaller incentives to circumvent their alarm systems and undertake additional VCAT challenges. </w:t>
      </w:r>
      <w:r w:rsidR="002D55B4" w:rsidRPr="00503F5B">
        <w:t xml:space="preserve">Therefore, </w:t>
      </w:r>
      <w:r w:rsidRPr="00503F5B">
        <w:t xml:space="preserve">Option </w:t>
      </w:r>
      <w:r w:rsidR="002B6300" w:rsidRPr="00503F5B">
        <w:t>4</w:t>
      </w:r>
      <w:r w:rsidRPr="00503F5B">
        <w:t xml:space="preserve"> is awarded a score of </w:t>
      </w:r>
      <w:r w:rsidRPr="00503F5B">
        <w:rPr>
          <w:i/>
          <w:iCs/>
        </w:rPr>
        <w:t>-</w:t>
      </w:r>
      <w:r w:rsidR="009A0C64" w:rsidRPr="00503F5B">
        <w:rPr>
          <w:i/>
          <w:iCs/>
        </w:rPr>
        <w:t>0.</w:t>
      </w:r>
      <w:r w:rsidR="00FA5A37">
        <w:rPr>
          <w:i/>
          <w:iCs/>
        </w:rPr>
        <w:t>45</w:t>
      </w:r>
      <w:r w:rsidR="002D55B4" w:rsidRPr="00503F5B">
        <w:rPr>
          <w:rStyle w:val="FootnoteReference"/>
          <w:i/>
          <w:iCs/>
        </w:rPr>
        <w:footnoteReference w:id="150"/>
      </w:r>
      <w:r w:rsidR="002D55B4" w:rsidRPr="00503F5B">
        <w:t>.</w:t>
      </w:r>
    </w:p>
    <w:p w14:paraId="14ADBA27" w14:textId="77777777" w:rsidR="006E1AB5" w:rsidRPr="00503F5B" w:rsidRDefault="006E1AB5" w:rsidP="006835A8">
      <w:pPr>
        <w:jc w:val="both"/>
      </w:pPr>
    </w:p>
    <w:p w14:paraId="5F1A250B" w14:textId="5F7FDC18" w:rsidR="006E1AB5" w:rsidRPr="00503F5B" w:rsidRDefault="006E1AB5" w:rsidP="006E1AB5">
      <w:pPr>
        <w:jc w:val="both"/>
      </w:pPr>
      <w:r w:rsidRPr="00503F5B">
        <w:rPr>
          <w:b/>
          <w:bCs/>
        </w:rPr>
        <w:t>Option 1</w:t>
      </w:r>
      <w:r w:rsidRPr="00503F5B">
        <w:t xml:space="preserve"> is likely to incentivise </w:t>
      </w:r>
      <w:r w:rsidRPr="00503F5B">
        <w:rPr>
          <w:i/>
        </w:rPr>
        <w:t>more</w:t>
      </w:r>
      <w:r w:rsidRPr="00503F5B">
        <w:t xml:space="preserve"> alarm owners to circumvent their alarm systems and undertake </w:t>
      </w:r>
      <w:r w:rsidR="00CC52BD" w:rsidRPr="00503F5B">
        <w:t xml:space="preserve">unmeritorious </w:t>
      </w:r>
      <w:r w:rsidRPr="00503F5B">
        <w:t>VCAT challenges than the base case and as compared to Options 2,  3 or 4.  The concern here is that anything other than a relatively small increase in the fee could result in serious unintended consequences and costs from circumvention and</w:t>
      </w:r>
      <w:r w:rsidR="00CC52BD" w:rsidRPr="00503F5B">
        <w:t xml:space="preserve"> unmeritorious</w:t>
      </w:r>
      <w:r w:rsidRPr="00503F5B">
        <w:t xml:space="preserve"> VCAT challenges. For example, the anticipated cost of such consequences could be </w:t>
      </w:r>
      <w:r w:rsidRPr="00503F5B">
        <w:rPr>
          <w:i/>
        </w:rPr>
        <w:t>up to</w:t>
      </w:r>
      <w:r w:rsidRPr="00503F5B">
        <w:t xml:space="preserve"> $7.82 million per annum (see Table 17 in this RIS). Given that the level of fees recovered per quarterly hour are 4 times higher than those under Option 2 (current fees), Option 1 is provided a score of </w:t>
      </w:r>
      <w:r w:rsidRPr="00503F5B">
        <w:rPr>
          <w:i/>
          <w:iCs/>
        </w:rPr>
        <w:t>-2.</w:t>
      </w:r>
      <w:r w:rsidR="00FF5BF9" w:rsidRPr="00503F5B">
        <w:rPr>
          <w:i/>
          <w:iCs/>
        </w:rPr>
        <w:t>74</w:t>
      </w:r>
      <w:r w:rsidRPr="00503F5B">
        <w:rPr>
          <w:rStyle w:val="FootnoteReference"/>
          <w:i/>
          <w:iCs/>
        </w:rPr>
        <w:footnoteReference w:id="151"/>
      </w:r>
      <w:r w:rsidRPr="00503F5B">
        <w:t xml:space="preserve"> as compared to the base case. </w:t>
      </w:r>
      <w:proofErr w:type="gramStart"/>
      <w:r w:rsidRPr="00503F5B">
        <w:t>That is to say it</w:t>
      </w:r>
      <w:proofErr w:type="gramEnd"/>
      <w:r w:rsidRPr="00503F5B">
        <w:t xml:space="preserve"> is assumed that the risk is of circumvention and </w:t>
      </w:r>
      <w:r w:rsidR="00CC52BD" w:rsidRPr="00503F5B">
        <w:t xml:space="preserve">unmeritorious </w:t>
      </w:r>
      <w:r w:rsidRPr="00503F5B">
        <w:t>VCAT challenges is four times as likely under Option 1 than Option 2</w:t>
      </w:r>
      <w:r w:rsidR="0054411B" w:rsidRPr="00503F5B">
        <w:t xml:space="preserve"> and that there is a positive linear</w:t>
      </w:r>
      <w:r w:rsidR="0054411B" w:rsidRPr="00503F5B">
        <w:rPr>
          <w:rStyle w:val="FootnoteReference"/>
        </w:rPr>
        <w:footnoteReference w:id="152"/>
      </w:r>
      <w:r w:rsidR="0054411B" w:rsidRPr="00503F5B">
        <w:t xml:space="preserve"> relationship between false alarm charges and the rate of circumvention</w:t>
      </w:r>
      <w:r w:rsidRPr="00503F5B">
        <w:t>.  This is an assumption that reflects the limitations of data around the relationship between demand for circumvention and VCAT challenges and higher fees (than current) but that nonetheless reflects the concern of FRV of charging much higher fees.</w:t>
      </w:r>
    </w:p>
    <w:p w14:paraId="112EE42E" w14:textId="77777777" w:rsidR="006835A8" w:rsidRPr="00503F5B" w:rsidRDefault="006835A8" w:rsidP="006835A8">
      <w:pPr>
        <w:jc w:val="both"/>
      </w:pPr>
    </w:p>
    <w:p w14:paraId="20BD57E5" w14:textId="4F09117C" w:rsidR="000B4B7A" w:rsidRPr="00503F5B" w:rsidRDefault="006835A8" w:rsidP="00BF045A">
      <w:pPr>
        <w:jc w:val="both"/>
      </w:pPr>
      <w:r w:rsidRPr="00503F5B">
        <w:t xml:space="preserve">A summary of the analysis of options according to the </w:t>
      </w:r>
      <w:proofErr w:type="gramStart"/>
      <w:r w:rsidRPr="00503F5B">
        <w:t>aforementioned criteria</w:t>
      </w:r>
      <w:proofErr w:type="gramEnd"/>
      <w:r w:rsidRPr="00503F5B">
        <w:t xml:space="preserve"> is provided in Table </w:t>
      </w:r>
      <w:r w:rsidR="003D5132" w:rsidRPr="00503F5B">
        <w:t>2</w:t>
      </w:r>
      <w:r w:rsidR="004902B1" w:rsidRPr="00503F5B">
        <w:t>5</w:t>
      </w:r>
      <w:r w:rsidRPr="00503F5B">
        <w:t>.</w:t>
      </w:r>
      <w:r w:rsidR="000B4B7A" w:rsidRPr="00503F5B">
        <w:rPr>
          <w:b/>
          <w:sz w:val="20"/>
          <w:szCs w:val="20"/>
        </w:rPr>
        <w:br w:type="page"/>
      </w:r>
    </w:p>
    <w:p w14:paraId="6CE242F8" w14:textId="7A0BC837" w:rsidR="00290F56" w:rsidRPr="00503F5B" w:rsidRDefault="00290F56" w:rsidP="00290F56">
      <w:pPr>
        <w:jc w:val="both"/>
        <w:rPr>
          <w:b/>
          <w:sz w:val="20"/>
          <w:szCs w:val="20"/>
        </w:rPr>
      </w:pPr>
      <w:r w:rsidRPr="00503F5B">
        <w:rPr>
          <w:b/>
          <w:sz w:val="20"/>
          <w:szCs w:val="20"/>
        </w:rPr>
        <w:lastRenderedPageBreak/>
        <w:t>Table 2</w:t>
      </w:r>
      <w:r w:rsidR="004902B1" w:rsidRPr="00503F5B">
        <w:rPr>
          <w:b/>
          <w:sz w:val="20"/>
          <w:szCs w:val="20"/>
        </w:rPr>
        <w:t>5</w:t>
      </w:r>
      <w:r w:rsidRPr="00503F5B">
        <w:rPr>
          <w:b/>
          <w:sz w:val="20"/>
          <w:szCs w:val="20"/>
        </w:rPr>
        <w:t>: Summary and comparison of options against criteria of efficiency, equity and effectiveness</w:t>
      </w:r>
    </w:p>
    <w:p w14:paraId="3F3021D3" w14:textId="77777777" w:rsidR="00290F56" w:rsidRPr="00503F5B" w:rsidRDefault="00290F56" w:rsidP="00290F56">
      <w:pPr>
        <w:jc w:val="both"/>
      </w:pPr>
    </w:p>
    <w:tbl>
      <w:tblPr>
        <w:tblStyle w:val="TableGridLight1"/>
        <w:tblW w:w="93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559"/>
        <w:gridCol w:w="2019"/>
        <w:gridCol w:w="1984"/>
        <w:gridCol w:w="2126"/>
      </w:tblGrid>
      <w:tr w:rsidR="00290F56" w:rsidRPr="00503F5B" w14:paraId="150F71C2" w14:textId="77777777" w:rsidTr="009917B8">
        <w:trPr>
          <w:trHeight w:val="696"/>
          <w:tblHeader/>
          <w:jc w:val="center"/>
        </w:trPr>
        <w:tc>
          <w:tcPr>
            <w:tcW w:w="1701" w:type="dxa"/>
            <w:tcBorders>
              <w:top w:val="single" w:sz="4" w:space="0" w:color="ED7C5D"/>
              <w:bottom w:val="double" w:sz="4" w:space="0" w:color="ED7C5D"/>
            </w:tcBorders>
          </w:tcPr>
          <w:p w14:paraId="348E6DB3" w14:textId="77777777" w:rsidR="00290F56" w:rsidRPr="00503F5B" w:rsidRDefault="00290F56" w:rsidP="007D5ED3">
            <w:pPr>
              <w:rPr>
                <w:b/>
                <w:color w:val="BE2A18"/>
                <w:sz w:val="20"/>
                <w:szCs w:val="20"/>
                <w:lang w:val="en-AU"/>
              </w:rPr>
            </w:pPr>
            <w:r w:rsidRPr="00503F5B">
              <w:rPr>
                <w:b/>
                <w:color w:val="BE2A18"/>
                <w:sz w:val="20"/>
                <w:szCs w:val="20"/>
                <w:lang w:val="en-AU"/>
              </w:rPr>
              <w:t>Base Case/</w:t>
            </w:r>
          </w:p>
          <w:p w14:paraId="571341E5" w14:textId="77777777" w:rsidR="00290F56" w:rsidRPr="00503F5B" w:rsidRDefault="00290F56" w:rsidP="007D5ED3">
            <w:pPr>
              <w:rPr>
                <w:b/>
                <w:color w:val="BE2A18"/>
                <w:sz w:val="20"/>
                <w:szCs w:val="20"/>
                <w:lang w:val="en-AU"/>
              </w:rPr>
            </w:pPr>
            <w:r w:rsidRPr="00503F5B">
              <w:rPr>
                <w:b/>
                <w:color w:val="BE2A18"/>
                <w:sz w:val="20"/>
                <w:szCs w:val="20"/>
                <w:lang w:val="en-AU"/>
              </w:rPr>
              <w:t>Option</w:t>
            </w:r>
          </w:p>
        </w:tc>
        <w:tc>
          <w:tcPr>
            <w:tcW w:w="1559" w:type="dxa"/>
            <w:tcBorders>
              <w:top w:val="single" w:sz="4" w:space="0" w:color="ED7C5D"/>
              <w:bottom w:val="double" w:sz="4" w:space="0" w:color="ED7C5D"/>
            </w:tcBorders>
          </w:tcPr>
          <w:p w14:paraId="18D3CE2D" w14:textId="77777777" w:rsidR="00290F56" w:rsidRPr="00503F5B" w:rsidRDefault="00290F56" w:rsidP="00290F56">
            <w:pPr>
              <w:rPr>
                <w:color w:val="BE2A18"/>
                <w:sz w:val="20"/>
                <w:szCs w:val="20"/>
                <w:lang w:val="en-AU"/>
              </w:rPr>
            </w:pPr>
            <w:r w:rsidRPr="00503F5B">
              <w:rPr>
                <w:color w:val="BE2A18"/>
                <w:sz w:val="20"/>
                <w:szCs w:val="20"/>
                <w:lang w:val="en-AU"/>
              </w:rPr>
              <w:t>Emergency attendance</w:t>
            </w:r>
            <w:r w:rsidRPr="00503F5B">
              <w:rPr>
                <w:rStyle w:val="FootnoteReference"/>
                <w:color w:val="BE2A18"/>
                <w:sz w:val="20"/>
                <w:szCs w:val="20"/>
                <w:lang w:val="en-AU"/>
              </w:rPr>
              <w:footnoteReference w:id="153"/>
            </w:r>
            <w:r w:rsidRPr="00503F5B">
              <w:rPr>
                <w:color w:val="BE2A18"/>
                <w:sz w:val="20"/>
                <w:szCs w:val="20"/>
                <w:lang w:val="en-AU"/>
              </w:rPr>
              <w:t xml:space="preserve"> cost is covered by</w:t>
            </w:r>
          </w:p>
        </w:tc>
        <w:tc>
          <w:tcPr>
            <w:tcW w:w="2019" w:type="dxa"/>
            <w:tcBorders>
              <w:top w:val="single" w:sz="4" w:space="0" w:color="ED7C5D"/>
              <w:bottom w:val="double" w:sz="4" w:space="0" w:color="ED7C5D"/>
            </w:tcBorders>
          </w:tcPr>
          <w:p w14:paraId="109961FA" w14:textId="77777777" w:rsidR="00290F56" w:rsidRPr="00503F5B" w:rsidRDefault="00290F56" w:rsidP="00290F56">
            <w:pPr>
              <w:rPr>
                <w:b/>
                <w:color w:val="BE2A18"/>
                <w:sz w:val="20"/>
                <w:szCs w:val="20"/>
                <w:lang w:val="en-AU"/>
              </w:rPr>
            </w:pPr>
            <w:r w:rsidRPr="00503F5B">
              <w:rPr>
                <w:b/>
                <w:color w:val="BE2A18"/>
                <w:sz w:val="20"/>
                <w:szCs w:val="20"/>
                <w:lang w:val="en-AU"/>
              </w:rPr>
              <w:t>Efficiency</w:t>
            </w:r>
          </w:p>
          <w:p w14:paraId="67506E30" w14:textId="77777777" w:rsidR="00290F56" w:rsidRPr="00503F5B" w:rsidRDefault="00290F56" w:rsidP="00290F56">
            <w:pPr>
              <w:rPr>
                <w:color w:val="BE2A18"/>
                <w:sz w:val="20"/>
                <w:szCs w:val="20"/>
                <w:lang w:val="en-AU"/>
              </w:rPr>
            </w:pPr>
            <w:r w:rsidRPr="00503F5B">
              <w:rPr>
                <w:color w:val="BE2A18"/>
                <w:sz w:val="20"/>
                <w:szCs w:val="20"/>
                <w:lang w:val="en-AU"/>
              </w:rPr>
              <w:t>(Emergency attendance services</w:t>
            </w:r>
            <w:r w:rsidRPr="00503F5B">
              <w:rPr>
                <w:rStyle w:val="FootnoteReference"/>
                <w:color w:val="BE2A18"/>
                <w:sz w:val="20"/>
                <w:szCs w:val="20"/>
                <w:lang w:val="en-AU"/>
              </w:rPr>
              <w:footnoteReference w:id="154"/>
            </w:r>
            <w:r w:rsidRPr="00503F5B">
              <w:rPr>
                <w:color w:val="BE2A18"/>
                <w:sz w:val="20"/>
                <w:szCs w:val="20"/>
                <w:lang w:val="en-AU"/>
              </w:rPr>
              <w:t>)</w:t>
            </w:r>
          </w:p>
        </w:tc>
        <w:tc>
          <w:tcPr>
            <w:tcW w:w="1984" w:type="dxa"/>
            <w:tcBorders>
              <w:top w:val="single" w:sz="4" w:space="0" w:color="ED7C5D"/>
              <w:bottom w:val="double" w:sz="4" w:space="0" w:color="ED7C5D"/>
            </w:tcBorders>
          </w:tcPr>
          <w:p w14:paraId="13A01463" w14:textId="77777777" w:rsidR="00290F56" w:rsidRPr="00503F5B" w:rsidRDefault="00290F56" w:rsidP="00290F56">
            <w:pPr>
              <w:rPr>
                <w:b/>
                <w:color w:val="BE2A18"/>
                <w:sz w:val="20"/>
                <w:szCs w:val="20"/>
                <w:lang w:val="en-AU"/>
              </w:rPr>
            </w:pPr>
            <w:r w:rsidRPr="00503F5B">
              <w:rPr>
                <w:b/>
                <w:color w:val="BE2A18"/>
                <w:sz w:val="20"/>
                <w:szCs w:val="20"/>
                <w:lang w:val="en-AU"/>
              </w:rPr>
              <w:t>Equity</w:t>
            </w:r>
          </w:p>
          <w:p w14:paraId="7F3AD17C" w14:textId="77777777" w:rsidR="00290F56" w:rsidRPr="00503F5B" w:rsidRDefault="00290F56" w:rsidP="00290F56">
            <w:pPr>
              <w:rPr>
                <w:color w:val="BE2A18"/>
                <w:sz w:val="20"/>
                <w:szCs w:val="20"/>
                <w:lang w:val="en-AU"/>
              </w:rPr>
            </w:pPr>
            <w:r w:rsidRPr="00503F5B">
              <w:rPr>
                <w:color w:val="BE2A18"/>
                <w:sz w:val="20"/>
                <w:szCs w:val="20"/>
                <w:lang w:val="en-AU"/>
              </w:rPr>
              <w:t>(cross subsidisation)</w:t>
            </w:r>
          </w:p>
        </w:tc>
        <w:tc>
          <w:tcPr>
            <w:tcW w:w="2126" w:type="dxa"/>
            <w:tcBorders>
              <w:top w:val="single" w:sz="4" w:space="0" w:color="ED7C5D"/>
              <w:bottom w:val="double" w:sz="4" w:space="0" w:color="ED7C5D"/>
            </w:tcBorders>
          </w:tcPr>
          <w:p w14:paraId="0E8372BE" w14:textId="77777777" w:rsidR="00290F56" w:rsidRPr="00503F5B" w:rsidRDefault="00290F56" w:rsidP="00290F56">
            <w:pPr>
              <w:rPr>
                <w:b/>
                <w:color w:val="BE2A18"/>
                <w:sz w:val="20"/>
                <w:szCs w:val="20"/>
                <w:lang w:val="en-AU"/>
              </w:rPr>
            </w:pPr>
            <w:r w:rsidRPr="00503F5B">
              <w:rPr>
                <w:b/>
                <w:color w:val="BE2A18"/>
                <w:sz w:val="20"/>
                <w:szCs w:val="20"/>
                <w:lang w:val="en-AU"/>
              </w:rPr>
              <w:t>Effectiveness</w:t>
            </w:r>
          </w:p>
          <w:p w14:paraId="63D59DB1" w14:textId="2B71DE7C" w:rsidR="00290F56" w:rsidRPr="00503F5B" w:rsidRDefault="00290F56" w:rsidP="00290F56">
            <w:pPr>
              <w:rPr>
                <w:color w:val="BE2A18"/>
                <w:lang w:val="en-AU"/>
              </w:rPr>
            </w:pPr>
            <w:r w:rsidRPr="00503F5B">
              <w:rPr>
                <w:color w:val="BE2A18"/>
                <w:sz w:val="20"/>
                <w:szCs w:val="20"/>
                <w:lang w:val="en-AU"/>
              </w:rPr>
              <w:t xml:space="preserve">(Incentivises circumvention and </w:t>
            </w:r>
            <w:r w:rsidR="00CC52BD" w:rsidRPr="00503F5B">
              <w:rPr>
                <w:color w:val="BE2A18"/>
                <w:sz w:val="20"/>
                <w:szCs w:val="20"/>
                <w:lang w:val="en-AU"/>
              </w:rPr>
              <w:t xml:space="preserve">unmeritorious </w:t>
            </w:r>
            <w:r w:rsidRPr="00503F5B">
              <w:rPr>
                <w:color w:val="BE2A18"/>
                <w:sz w:val="20"/>
                <w:szCs w:val="20"/>
                <w:lang w:val="en-AU"/>
              </w:rPr>
              <w:t>VCAT challenges)</w:t>
            </w:r>
          </w:p>
        </w:tc>
      </w:tr>
      <w:tr w:rsidR="00290F56" w:rsidRPr="00503F5B" w14:paraId="480E486A" w14:textId="77777777" w:rsidTr="009917B8">
        <w:trPr>
          <w:jc w:val="center"/>
        </w:trPr>
        <w:tc>
          <w:tcPr>
            <w:tcW w:w="1701" w:type="dxa"/>
            <w:tcBorders>
              <w:top w:val="double" w:sz="4" w:space="0" w:color="ED7C5D"/>
              <w:bottom w:val="single" w:sz="4" w:space="0" w:color="ED7C5D"/>
            </w:tcBorders>
            <w:vAlign w:val="center"/>
          </w:tcPr>
          <w:p w14:paraId="0C8BECE2" w14:textId="77777777" w:rsidR="00290F56" w:rsidRPr="00503F5B" w:rsidRDefault="00290F56" w:rsidP="007D5ED3">
            <w:pPr>
              <w:rPr>
                <w:sz w:val="20"/>
                <w:szCs w:val="20"/>
                <w:lang w:val="en-AU"/>
              </w:rPr>
            </w:pPr>
            <w:r w:rsidRPr="00503F5B">
              <w:rPr>
                <w:sz w:val="20"/>
                <w:szCs w:val="20"/>
                <w:lang w:val="en-AU"/>
              </w:rPr>
              <w:t>Base Case</w:t>
            </w:r>
          </w:p>
        </w:tc>
        <w:tc>
          <w:tcPr>
            <w:tcW w:w="1559" w:type="dxa"/>
            <w:tcBorders>
              <w:top w:val="double" w:sz="4" w:space="0" w:color="ED7C5D"/>
              <w:bottom w:val="single" w:sz="4" w:space="0" w:color="ED7C5D"/>
            </w:tcBorders>
            <w:vAlign w:val="center"/>
          </w:tcPr>
          <w:p w14:paraId="6F0B3F90" w14:textId="77777777" w:rsidR="00290F56" w:rsidRPr="00503F5B" w:rsidRDefault="00290F56" w:rsidP="007D5ED3">
            <w:pPr>
              <w:rPr>
                <w:sz w:val="20"/>
                <w:szCs w:val="20"/>
                <w:lang w:val="en-AU"/>
              </w:rPr>
            </w:pPr>
            <w:r w:rsidRPr="00503F5B">
              <w:rPr>
                <w:sz w:val="20"/>
                <w:szCs w:val="20"/>
                <w:lang w:val="en-AU"/>
              </w:rPr>
              <w:t>General revenue</w:t>
            </w:r>
          </w:p>
        </w:tc>
        <w:tc>
          <w:tcPr>
            <w:tcW w:w="2019" w:type="dxa"/>
            <w:tcBorders>
              <w:top w:val="double" w:sz="4" w:space="0" w:color="ED7C5D"/>
              <w:bottom w:val="single" w:sz="4" w:space="0" w:color="ED7C5D"/>
            </w:tcBorders>
            <w:vAlign w:val="center"/>
          </w:tcPr>
          <w:p w14:paraId="1D9270A0" w14:textId="77777777" w:rsidR="00290F56" w:rsidRPr="00503F5B" w:rsidRDefault="00290F56" w:rsidP="007D5ED3">
            <w:pPr>
              <w:rPr>
                <w:sz w:val="20"/>
                <w:szCs w:val="20"/>
                <w:lang w:val="en-AU"/>
              </w:rPr>
            </w:pPr>
            <w:r w:rsidRPr="00503F5B">
              <w:rPr>
                <w:sz w:val="20"/>
                <w:szCs w:val="20"/>
                <w:lang w:val="en-AU"/>
              </w:rPr>
              <w:t xml:space="preserve">False alarm attendances </w:t>
            </w:r>
            <w:proofErr w:type="spellStart"/>
            <w:r w:rsidRPr="00503F5B">
              <w:rPr>
                <w:sz w:val="20"/>
                <w:szCs w:val="20"/>
                <w:lang w:val="en-AU"/>
              </w:rPr>
              <w:t>underpriced</w:t>
            </w:r>
            <w:proofErr w:type="spellEnd"/>
            <w:r w:rsidRPr="00503F5B">
              <w:rPr>
                <w:sz w:val="20"/>
                <w:szCs w:val="20"/>
                <w:lang w:val="en-AU"/>
              </w:rPr>
              <w:t>-overconsumed</w:t>
            </w:r>
          </w:p>
        </w:tc>
        <w:tc>
          <w:tcPr>
            <w:tcW w:w="1984" w:type="dxa"/>
            <w:tcBorders>
              <w:top w:val="double" w:sz="4" w:space="0" w:color="ED7C5D"/>
              <w:bottom w:val="single" w:sz="4" w:space="0" w:color="ED7C5D"/>
            </w:tcBorders>
            <w:vAlign w:val="center"/>
          </w:tcPr>
          <w:p w14:paraId="15F7609A" w14:textId="77777777" w:rsidR="00290F56" w:rsidRPr="00503F5B" w:rsidRDefault="00290F56" w:rsidP="007D5ED3">
            <w:pPr>
              <w:rPr>
                <w:sz w:val="20"/>
                <w:szCs w:val="20"/>
                <w:lang w:val="en-AU"/>
              </w:rPr>
            </w:pPr>
            <w:r w:rsidRPr="00503F5B">
              <w:rPr>
                <w:sz w:val="20"/>
                <w:szCs w:val="20"/>
                <w:lang w:val="en-AU"/>
              </w:rPr>
              <w:t>All alarm owners cross subsidised by taxpayers</w:t>
            </w:r>
          </w:p>
        </w:tc>
        <w:tc>
          <w:tcPr>
            <w:tcW w:w="2126" w:type="dxa"/>
            <w:tcBorders>
              <w:top w:val="double" w:sz="4" w:space="0" w:color="ED7C5D"/>
              <w:bottom w:val="single" w:sz="4" w:space="0" w:color="ED7C5D"/>
            </w:tcBorders>
            <w:vAlign w:val="center"/>
          </w:tcPr>
          <w:p w14:paraId="4E41A972" w14:textId="636D7944" w:rsidR="00290F56" w:rsidRPr="00503F5B" w:rsidRDefault="006F419B" w:rsidP="007D5ED3">
            <w:pPr>
              <w:jc w:val="center"/>
              <w:rPr>
                <w:sz w:val="20"/>
                <w:szCs w:val="20"/>
                <w:lang w:val="en-AU"/>
              </w:rPr>
            </w:pPr>
            <w:r w:rsidRPr="00503F5B">
              <w:rPr>
                <w:sz w:val="20"/>
                <w:szCs w:val="20"/>
                <w:lang w:val="en-AU"/>
              </w:rPr>
              <w:t>N</w:t>
            </w:r>
            <w:r w:rsidR="00CC52BD" w:rsidRPr="00503F5B">
              <w:rPr>
                <w:sz w:val="20"/>
                <w:szCs w:val="20"/>
                <w:lang w:val="en-AU"/>
              </w:rPr>
              <w:t xml:space="preserve">o </w:t>
            </w:r>
            <w:r w:rsidRPr="00503F5B">
              <w:rPr>
                <w:sz w:val="20"/>
                <w:szCs w:val="20"/>
                <w:lang w:val="en-AU"/>
              </w:rPr>
              <w:t xml:space="preserve">- </w:t>
            </w:r>
            <w:r w:rsidR="00CC52BD" w:rsidRPr="00503F5B">
              <w:rPr>
                <w:sz w:val="20"/>
                <w:szCs w:val="20"/>
                <w:lang w:val="en-AU"/>
              </w:rPr>
              <w:t>potential incentive to circumvent or make unmeritorious VCAT challenges</w:t>
            </w:r>
          </w:p>
        </w:tc>
      </w:tr>
      <w:tr w:rsidR="00290F56" w:rsidRPr="00503F5B" w14:paraId="64F06BE3" w14:textId="77777777" w:rsidTr="009917B8">
        <w:trPr>
          <w:trHeight w:val="990"/>
          <w:jc w:val="center"/>
        </w:trPr>
        <w:tc>
          <w:tcPr>
            <w:tcW w:w="1701" w:type="dxa"/>
            <w:tcBorders>
              <w:top w:val="single" w:sz="4" w:space="0" w:color="ED7C5D"/>
              <w:bottom w:val="single" w:sz="4" w:space="0" w:color="ED7C5D"/>
            </w:tcBorders>
            <w:vAlign w:val="center"/>
          </w:tcPr>
          <w:p w14:paraId="66FCE7B7" w14:textId="77777777" w:rsidR="00290F56" w:rsidRPr="00503F5B" w:rsidRDefault="00290F56" w:rsidP="007D5ED3">
            <w:pPr>
              <w:rPr>
                <w:b/>
                <w:bCs/>
                <w:sz w:val="20"/>
                <w:szCs w:val="20"/>
                <w:lang w:val="en-AU"/>
              </w:rPr>
            </w:pPr>
            <w:r w:rsidRPr="00503F5B">
              <w:rPr>
                <w:b/>
                <w:bCs/>
                <w:sz w:val="20"/>
                <w:szCs w:val="20"/>
                <w:lang w:val="en-AU"/>
              </w:rPr>
              <w:t>Option 1</w:t>
            </w:r>
          </w:p>
          <w:p w14:paraId="0F525630" w14:textId="0A6E199F" w:rsidR="00290F56" w:rsidRPr="00503F5B" w:rsidRDefault="00290F56" w:rsidP="007D5ED3">
            <w:pPr>
              <w:rPr>
                <w:sz w:val="20"/>
                <w:szCs w:val="20"/>
                <w:lang w:val="en-AU"/>
              </w:rPr>
            </w:pPr>
            <w:r w:rsidRPr="00503F5B">
              <w:rPr>
                <w:sz w:val="20"/>
                <w:szCs w:val="20"/>
                <w:lang w:val="en-AU"/>
              </w:rPr>
              <w:t xml:space="preserve">(full cost recovery </w:t>
            </w:r>
            <w:r w:rsidR="00C75A5F" w:rsidRPr="00503F5B">
              <w:rPr>
                <w:i/>
                <w:iCs/>
                <w:sz w:val="20"/>
                <w:szCs w:val="20"/>
                <w:lang w:val="en-AU"/>
              </w:rPr>
              <w:t xml:space="preserve">($2,510) </w:t>
            </w:r>
            <w:r w:rsidRPr="00503F5B">
              <w:rPr>
                <w:sz w:val="20"/>
                <w:szCs w:val="20"/>
                <w:lang w:val="en-AU"/>
              </w:rPr>
              <w:t xml:space="preserve">per </w:t>
            </w:r>
            <w:proofErr w:type="spellStart"/>
            <w:r w:rsidRPr="00503F5B">
              <w:rPr>
                <w:sz w:val="20"/>
                <w:szCs w:val="20"/>
                <w:lang w:val="en-AU"/>
              </w:rPr>
              <w:t>qtrly</w:t>
            </w:r>
            <w:proofErr w:type="spellEnd"/>
            <w:r w:rsidRPr="00503F5B">
              <w:rPr>
                <w:sz w:val="20"/>
                <w:szCs w:val="20"/>
                <w:lang w:val="en-AU"/>
              </w:rPr>
              <w:t xml:space="preserve"> hr per appliance)</w:t>
            </w:r>
          </w:p>
        </w:tc>
        <w:tc>
          <w:tcPr>
            <w:tcW w:w="1559" w:type="dxa"/>
            <w:tcBorders>
              <w:top w:val="single" w:sz="4" w:space="0" w:color="ED7C5D"/>
              <w:bottom w:val="single" w:sz="4" w:space="0" w:color="ED7C5D"/>
            </w:tcBorders>
            <w:vAlign w:val="center"/>
          </w:tcPr>
          <w:p w14:paraId="64C128D5" w14:textId="77777777" w:rsidR="00290F56" w:rsidRPr="00503F5B" w:rsidRDefault="00290F56" w:rsidP="007D5ED3">
            <w:pPr>
              <w:rPr>
                <w:sz w:val="20"/>
                <w:szCs w:val="20"/>
                <w:lang w:val="en-AU"/>
              </w:rPr>
            </w:pPr>
            <w:r w:rsidRPr="00503F5B">
              <w:rPr>
                <w:sz w:val="20"/>
                <w:szCs w:val="20"/>
                <w:lang w:val="en-AU"/>
              </w:rPr>
              <w:t>Emergency attendance fees</w:t>
            </w:r>
          </w:p>
        </w:tc>
        <w:tc>
          <w:tcPr>
            <w:tcW w:w="2019" w:type="dxa"/>
            <w:tcBorders>
              <w:top w:val="single" w:sz="4" w:space="0" w:color="ED7C5D"/>
              <w:bottom w:val="single" w:sz="4" w:space="0" w:color="ED7C5D"/>
            </w:tcBorders>
            <w:vAlign w:val="center"/>
          </w:tcPr>
          <w:p w14:paraId="61485276" w14:textId="77777777" w:rsidR="00290F56" w:rsidRPr="00503F5B" w:rsidRDefault="00290F56" w:rsidP="007D5ED3">
            <w:pPr>
              <w:rPr>
                <w:sz w:val="20"/>
                <w:szCs w:val="20"/>
                <w:lang w:val="en-AU"/>
              </w:rPr>
            </w:pPr>
            <w:r w:rsidRPr="00503F5B">
              <w:rPr>
                <w:sz w:val="20"/>
                <w:szCs w:val="20"/>
                <w:lang w:val="en-AU"/>
              </w:rPr>
              <w:t>Priced – states true value of false alarm attendances to owners of alarms</w:t>
            </w:r>
          </w:p>
        </w:tc>
        <w:tc>
          <w:tcPr>
            <w:tcW w:w="1984" w:type="dxa"/>
            <w:tcBorders>
              <w:top w:val="single" w:sz="4" w:space="0" w:color="ED7C5D"/>
              <w:bottom w:val="single" w:sz="4" w:space="0" w:color="ED7C5D"/>
            </w:tcBorders>
            <w:vAlign w:val="center"/>
          </w:tcPr>
          <w:p w14:paraId="2E9065F7" w14:textId="77777777" w:rsidR="00290F56" w:rsidRPr="00503F5B" w:rsidRDefault="00290F56" w:rsidP="007D5ED3">
            <w:pPr>
              <w:rPr>
                <w:sz w:val="20"/>
                <w:szCs w:val="20"/>
                <w:lang w:val="en-AU"/>
              </w:rPr>
            </w:pPr>
            <w:r w:rsidRPr="00503F5B">
              <w:rPr>
                <w:sz w:val="20"/>
                <w:szCs w:val="20"/>
                <w:lang w:val="en-AU"/>
              </w:rPr>
              <w:t>No cross subsidisation</w:t>
            </w:r>
          </w:p>
        </w:tc>
        <w:tc>
          <w:tcPr>
            <w:tcW w:w="2126" w:type="dxa"/>
            <w:tcBorders>
              <w:top w:val="single" w:sz="4" w:space="0" w:color="ED7C5D"/>
              <w:bottom w:val="single" w:sz="4" w:space="0" w:color="ED7C5D"/>
            </w:tcBorders>
            <w:vAlign w:val="center"/>
          </w:tcPr>
          <w:p w14:paraId="74A47A30" w14:textId="48EA712E" w:rsidR="00290F56" w:rsidRPr="00503F5B" w:rsidRDefault="006F419B" w:rsidP="00CC52BD">
            <w:pPr>
              <w:jc w:val="center"/>
              <w:rPr>
                <w:sz w:val="20"/>
                <w:szCs w:val="20"/>
                <w:lang w:val="en-AU"/>
              </w:rPr>
            </w:pPr>
            <w:r w:rsidRPr="00503F5B">
              <w:rPr>
                <w:sz w:val="20"/>
                <w:szCs w:val="20"/>
                <w:lang w:val="en-AU"/>
              </w:rPr>
              <w:t xml:space="preserve">Yes - </w:t>
            </w:r>
            <w:r w:rsidR="00CC52BD" w:rsidRPr="00503F5B">
              <w:rPr>
                <w:sz w:val="20"/>
                <w:szCs w:val="20"/>
                <w:lang w:val="en-AU"/>
              </w:rPr>
              <w:t>some potential incentive to circumvent or make unmeritorious VCAT challenges, though causality not established</w:t>
            </w:r>
          </w:p>
        </w:tc>
      </w:tr>
      <w:tr w:rsidR="00290F56" w:rsidRPr="00503F5B" w14:paraId="014CA449" w14:textId="77777777" w:rsidTr="009917B8">
        <w:trPr>
          <w:jc w:val="center"/>
        </w:trPr>
        <w:tc>
          <w:tcPr>
            <w:tcW w:w="1701" w:type="dxa"/>
            <w:tcBorders>
              <w:top w:val="single" w:sz="4" w:space="0" w:color="ED7C5D"/>
              <w:bottom w:val="single" w:sz="4" w:space="0" w:color="ED7C5D"/>
            </w:tcBorders>
            <w:vAlign w:val="center"/>
          </w:tcPr>
          <w:p w14:paraId="7667C565" w14:textId="77777777" w:rsidR="00290F56" w:rsidRPr="00503F5B" w:rsidRDefault="00290F56" w:rsidP="007D5ED3">
            <w:pPr>
              <w:rPr>
                <w:b/>
                <w:bCs/>
                <w:sz w:val="20"/>
                <w:szCs w:val="20"/>
                <w:lang w:val="en-AU"/>
              </w:rPr>
            </w:pPr>
            <w:r w:rsidRPr="00503F5B">
              <w:rPr>
                <w:b/>
                <w:bCs/>
                <w:sz w:val="20"/>
                <w:szCs w:val="20"/>
                <w:lang w:val="en-AU"/>
              </w:rPr>
              <w:t>Option 2</w:t>
            </w:r>
          </w:p>
          <w:p w14:paraId="060C9D0B" w14:textId="240016E8" w:rsidR="00290F56" w:rsidRPr="00503F5B" w:rsidRDefault="00290F56" w:rsidP="007D5ED3">
            <w:pPr>
              <w:rPr>
                <w:sz w:val="20"/>
                <w:szCs w:val="20"/>
                <w:lang w:val="en-AU"/>
              </w:rPr>
            </w:pPr>
            <w:r w:rsidRPr="00503F5B">
              <w:rPr>
                <w:sz w:val="20"/>
                <w:szCs w:val="20"/>
                <w:lang w:val="en-AU"/>
              </w:rPr>
              <w:t xml:space="preserve">(partial cost recovery </w:t>
            </w:r>
            <w:r w:rsidR="00C75A5F" w:rsidRPr="00503F5B">
              <w:rPr>
                <w:i/>
                <w:iCs/>
                <w:sz w:val="20"/>
                <w:szCs w:val="20"/>
                <w:lang w:val="en-AU"/>
              </w:rPr>
              <w:t>($</w:t>
            </w:r>
            <w:r w:rsidR="00E03A18" w:rsidRPr="00503F5B">
              <w:rPr>
                <w:i/>
                <w:iCs/>
                <w:sz w:val="20"/>
                <w:szCs w:val="20"/>
                <w:lang w:val="en-AU"/>
              </w:rPr>
              <w:t>578</w:t>
            </w:r>
            <w:r w:rsidR="00C75A5F" w:rsidRPr="00503F5B">
              <w:rPr>
                <w:i/>
                <w:iCs/>
                <w:sz w:val="20"/>
                <w:szCs w:val="20"/>
                <w:lang w:val="en-AU"/>
              </w:rPr>
              <w:t>)</w:t>
            </w:r>
            <w:r w:rsidR="00C75A5F" w:rsidRPr="00503F5B">
              <w:rPr>
                <w:sz w:val="20"/>
                <w:szCs w:val="20"/>
                <w:lang w:val="en-AU"/>
              </w:rPr>
              <w:t xml:space="preserve"> </w:t>
            </w:r>
            <w:r w:rsidRPr="00503F5B">
              <w:rPr>
                <w:sz w:val="20"/>
                <w:szCs w:val="20"/>
                <w:lang w:val="en-AU"/>
              </w:rPr>
              <w:t xml:space="preserve">per </w:t>
            </w:r>
            <w:proofErr w:type="spellStart"/>
            <w:r w:rsidRPr="00503F5B">
              <w:rPr>
                <w:sz w:val="20"/>
                <w:szCs w:val="20"/>
                <w:lang w:val="en-AU"/>
              </w:rPr>
              <w:t>qtrly</w:t>
            </w:r>
            <w:proofErr w:type="spellEnd"/>
            <w:r w:rsidRPr="00503F5B">
              <w:rPr>
                <w:sz w:val="20"/>
                <w:szCs w:val="20"/>
                <w:lang w:val="en-AU"/>
              </w:rPr>
              <w:t xml:space="preserve"> hr per appliance)</w:t>
            </w:r>
          </w:p>
        </w:tc>
        <w:tc>
          <w:tcPr>
            <w:tcW w:w="1559" w:type="dxa"/>
            <w:tcBorders>
              <w:top w:val="single" w:sz="4" w:space="0" w:color="ED7C5D"/>
              <w:bottom w:val="single" w:sz="4" w:space="0" w:color="ED7C5D"/>
            </w:tcBorders>
            <w:vAlign w:val="center"/>
          </w:tcPr>
          <w:p w14:paraId="2CF17175" w14:textId="77777777" w:rsidR="00290F56" w:rsidRPr="00503F5B" w:rsidRDefault="00290F56" w:rsidP="007D5ED3">
            <w:pPr>
              <w:rPr>
                <w:sz w:val="20"/>
                <w:szCs w:val="20"/>
                <w:lang w:val="en-AU"/>
              </w:rPr>
            </w:pPr>
            <w:r w:rsidRPr="00503F5B">
              <w:rPr>
                <w:sz w:val="20"/>
                <w:szCs w:val="20"/>
                <w:lang w:val="en-AU"/>
              </w:rPr>
              <w:t>Emergency attendance fees and general revenue</w:t>
            </w:r>
          </w:p>
        </w:tc>
        <w:tc>
          <w:tcPr>
            <w:tcW w:w="2019" w:type="dxa"/>
            <w:tcBorders>
              <w:top w:val="single" w:sz="4" w:space="0" w:color="ED7C5D"/>
              <w:bottom w:val="single" w:sz="4" w:space="0" w:color="ED7C5D"/>
            </w:tcBorders>
            <w:vAlign w:val="center"/>
          </w:tcPr>
          <w:p w14:paraId="459A73C4" w14:textId="208AF73A" w:rsidR="00290F56" w:rsidRPr="00503F5B" w:rsidRDefault="00290F56" w:rsidP="007D5ED3">
            <w:pPr>
              <w:rPr>
                <w:sz w:val="20"/>
                <w:szCs w:val="20"/>
                <w:lang w:val="en-AU"/>
              </w:rPr>
            </w:pPr>
            <w:r w:rsidRPr="00503F5B">
              <w:rPr>
                <w:sz w:val="20"/>
                <w:szCs w:val="20"/>
                <w:lang w:val="en-AU"/>
              </w:rPr>
              <w:t>Priced – understates true value of false alarm attendances to owners of alarms</w:t>
            </w:r>
          </w:p>
        </w:tc>
        <w:tc>
          <w:tcPr>
            <w:tcW w:w="1984" w:type="dxa"/>
            <w:tcBorders>
              <w:top w:val="single" w:sz="4" w:space="0" w:color="ED7C5D"/>
              <w:bottom w:val="single" w:sz="4" w:space="0" w:color="ED7C5D"/>
            </w:tcBorders>
            <w:vAlign w:val="center"/>
          </w:tcPr>
          <w:p w14:paraId="5157ED02" w14:textId="77777777" w:rsidR="00290F56" w:rsidRPr="00503F5B" w:rsidRDefault="00290F56" w:rsidP="007D5ED3">
            <w:pPr>
              <w:rPr>
                <w:sz w:val="20"/>
                <w:szCs w:val="20"/>
                <w:lang w:val="en-AU"/>
              </w:rPr>
            </w:pPr>
            <w:r w:rsidRPr="00503F5B">
              <w:rPr>
                <w:sz w:val="20"/>
                <w:szCs w:val="20"/>
                <w:lang w:val="en-AU"/>
              </w:rPr>
              <w:t>Some cross subsidisation of owners by taxpayers</w:t>
            </w:r>
          </w:p>
        </w:tc>
        <w:tc>
          <w:tcPr>
            <w:tcW w:w="2126" w:type="dxa"/>
            <w:tcBorders>
              <w:top w:val="single" w:sz="4" w:space="0" w:color="ED7C5D"/>
              <w:bottom w:val="single" w:sz="4" w:space="0" w:color="ED7C5D"/>
            </w:tcBorders>
            <w:vAlign w:val="center"/>
          </w:tcPr>
          <w:p w14:paraId="352C5885" w14:textId="370A7594" w:rsidR="00CC52BD" w:rsidRPr="00503F5B" w:rsidRDefault="006F419B" w:rsidP="007D5ED3">
            <w:pPr>
              <w:jc w:val="center"/>
              <w:rPr>
                <w:sz w:val="20"/>
                <w:szCs w:val="20"/>
                <w:lang w:val="en-AU"/>
              </w:rPr>
            </w:pPr>
            <w:r w:rsidRPr="00503F5B">
              <w:rPr>
                <w:sz w:val="20"/>
                <w:szCs w:val="20"/>
                <w:lang w:val="en-AU"/>
              </w:rPr>
              <w:t xml:space="preserve">Yes - </w:t>
            </w:r>
            <w:r w:rsidR="00CC52BD" w:rsidRPr="00503F5B">
              <w:rPr>
                <w:sz w:val="20"/>
                <w:szCs w:val="20"/>
                <w:lang w:val="en-AU"/>
              </w:rPr>
              <w:t>Incentive to circumvent/challenge potentially &lt; Option 1</w:t>
            </w:r>
          </w:p>
        </w:tc>
      </w:tr>
      <w:tr w:rsidR="00CC52BD" w:rsidRPr="00503F5B" w14:paraId="517473F2" w14:textId="77777777" w:rsidTr="009917B8">
        <w:trPr>
          <w:jc w:val="center"/>
        </w:trPr>
        <w:tc>
          <w:tcPr>
            <w:tcW w:w="1701" w:type="dxa"/>
            <w:tcBorders>
              <w:top w:val="single" w:sz="4" w:space="0" w:color="ED7C5D"/>
              <w:bottom w:val="single" w:sz="4" w:space="0" w:color="ED7C5D"/>
            </w:tcBorders>
            <w:vAlign w:val="center"/>
          </w:tcPr>
          <w:p w14:paraId="28726C0C" w14:textId="20CF10CE" w:rsidR="00CC52BD" w:rsidRPr="00503F5B" w:rsidRDefault="00CC52BD" w:rsidP="00CC52BD">
            <w:pPr>
              <w:rPr>
                <w:b/>
                <w:bCs/>
                <w:sz w:val="20"/>
                <w:szCs w:val="20"/>
                <w:lang w:val="en-AU"/>
              </w:rPr>
            </w:pPr>
            <w:r w:rsidRPr="00503F5B">
              <w:rPr>
                <w:b/>
                <w:bCs/>
                <w:sz w:val="20"/>
                <w:szCs w:val="20"/>
                <w:lang w:val="en-AU"/>
              </w:rPr>
              <w:t>Option 3</w:t>
            </w:r>
          </w:p>
          <w:p w14:paraId="79C93AC7" w14:textId="106EAEB3" w:rsidR="00CC52BD" w:rsidRPr="00503F5B" w:rsidRDefault="00CC52BD" w:rsidP="00CC52BD">
            <w:pPr>
              <w:rPr>
                <w:sz w:val="20"/>
                <w:szCs w:val="20"/>
                <w:lang w:val="en-AU"/>
              </w:rPr>
            </w:pPr>
            <w:r w:rsidRPr="00503F5B">
              <w:rPr>
                <w:sz w:val="20"/>
                <w:szCs w:val="20"/>
                <w:lang w:val="en-AU"/>
              </w:rPr>
              <w:t xml:space="preserve">(partial cost recovery </w:t>
            </w:r>
            <w:r w:rsidRPr="00503F5B">
              <w:rPr>
                <w:i/>
                <w:iCs/>
                <w:sz w:val="20"/>
                <w:szCs w:val="20"/>
                <w:lang w:val="en-AU"/>
              </w:rPr>
              <w:t>($311)</w:t>
            </w:r>
            <w:r w:rsidRPr="00503F5B">
              <w:rPr>
                <w:sz w:val="20"/>
                <w:szCs w:val="20"/>
                <w:lang w:val="en-AU"/>
              </w:rPr>
              <w:t xml:space="preserve"> per </w:t>
            </w:r>
            <w:proofErr w:type="spellStart"/>
            <w:r w:rsidRPr="00503F5B">
              <w:rPr>
                <w:sz w:val="20"/>
                <w:szCs w:val="20"/>
                <w:lang w:val="en-AU"/>
              </w:rPr>
              <w:t>qtrly</w:t>
            </w:r>
            <w:proofErr w:type="spellEnd"/>
            <w:r w:rsidRPr="00503F5B">
              <w:rPr>
                <w:sz w:val="20"/>
                <w:szCs w:val="20"/>
                <w:lang w:val="en-AU"/>
              </w:rPr>
              <w:t xml:space="preserve"> hr per appliance and a maximum attendance fee of </w:t>
            </w:r>
            <w:r w:rsidRPr="00503F5B">
              <w:rPr>
                <w:i/>
                <w:iCs/>
                <w:sz w:val="20"/>
                <w:szCs w:val="20"/>
                <w:lang w:val="en-AU"/>
              </w:rPr>
              <w:t>$1,600</w:t>
            </w:r>
            <w:r w:rsidRPr="00503F5B">
              <w:rPr>
                <w:sz w:val="20"/>
                <w:szCs w:val="20"/>
                <w:lang w:val="en-AU"/>
              </w:rPr>
              <w:t>)</w:t>
            </w:r>
          </w:p>
        </w:tc>
        <w:tc>
          <w:tcPr>
            <w:tcW w:w="1559" w:type="dxa"/>
            <w:tcBorders>
              <w:top w:val="single" w:sz="4" w:space="0" w:color="ED7C5D"/>
              <w:bottom w:val="single" w:sz="4" w:space="0" w:color="ED7C5D"/>
            </w:tcBorders>
            <w:vAlign w:val="center"/>
          </w:tcPr>
          <w:p w14:paraId="37E0DCDA" w14:textId="6A0B224D" w:rsidR="00CC52BD" w:rsidRPr="00503F5B" w:rsidRDefault="00CC52BD" w:rsidP="00CC52BD">
            <w:pPr>
              <w:rPr>
                <w:sz w:val="20"/>
                <w:szCs w:val="20"/>
                <w:lang w:val="en-AU"/>
              </w:rPr>
            </w:pPr>
            <w:r w:rsidRPr="00503F5B">
              <w:rPr>
                <w:sz w:val="20"/>
                <w:szCs w:val="20"/>
                <w:lang w:val="en-AU"/>
              </w:rPr>
              <w:t>Emergency attendance fees and general revenue</w:t>
            </w:r>
          </w:p>
        </w:tc>
        <w:tc>
          <w:tcPr>
            <w:tcW w:w="2019" w:type="dxa"/>
            <w:tcBorders>
              <w:top w:val="single" w:sz="4" w:space="0" w:color="ED7C5D"/>
              <w:bottom w:val="single" w:sz="4" w:space="0" w:color="ED7C5D"/>
            </w:tcBorders>
            <w:vAlign w:val="center"/>
          </w:tcPr>
          <w:p w14:paraId="48857B13" w14:textId="0E3B2FF5" w:rsidR="00CC52BD" w:rsidRPr="00503F5B" w:rsidRDefault="00CC52BD" w:rsidP="00CC52BD">
            <w:pPr>
              <w:rPr>
                <w:sz w:val="20"/>
                <w:szCs w:val="20"/>
                <w:lang w:val="en-AU"/>
              </w:rPr>
            </w:pPr>
            <w:r w:rsidRPr="00503F5B">
              <w:rPr>
                <w:sz w:val="20"/>
                <w:szCs w:val="20"/>
                <w:lang w:val="en-AU"/>
              </w:rPr>
              <w:t>Priced – understates true value of false alarm attendances to owners of alarms</w:t>
            </w:r>
          </w:p>
        </w:tc>
        <w:tc>
          <w:tcPr>
            <w:tcW w:w="1984" w:type="dxa"/>
            <w:tcBorders>
              <w:top w:val="single" w:sz="4" w:space="0" w:color="ED7C5D"/>
              <w:bottom w:val="single" w:sz="4" w:space="0" w:color="ED7C5D"/>
            </w:tcBorders>
            <w:vAlign w:val="center"/>
          </w:tcPr>
          <w:p w14:paraId="342D14F4" w14:textId="77777777" w:rsidR="00CC52BD" w:rsidRPr="00503F5B" w:rsidRDefault="00CC52BD" w:rsidP="00CC52BD">
            <w:pPr>
              <w:rPr>
                <w:sz w:val="20"/>
                <w:szCs w:val="20"/>
                <w:lang w:val="en-AU"/>
              </w:rPr>
            </w:pPr>
            <w:r w:rsidRPr="00503F5B">
              <w:rPr>
                <w:sz w:val="20"/>
                <w:szCs w:val="20"/>
                <w:lang w:val="en-AU"/>
              </w:rPr>
              <w:t>Some cross subsidisation of owners by taxpayers</w:t>
            </w:r>
          </w:p>
          <w:p w14:paraId="43CF669D" w14:textId="5A0E8F91" w:rsidR="00CC52BD" w:rsidRPr="00503F5B" w:rsidRDefault="00CC52BD" w:rsidP="00CC52BD">
            <w:pPr>
              <w:rPr>
                <w:sz w:val="20"/>
                <w:szCs w:val="20"/>
                <w:lang w:val="en-AU"/>
              </w:rPr>
            </w:pPr>
          </w:p>
        </w:tc>
        <w:tc>
          <w:tcPr>
            <w:tcW w:w="2126" w:type="dxa"/>
            <w:tcBorders>
              <w:top w:val="single" w:sz="4" w:space="0" w:color="ED7C5D"/>
              <w:bottom w:val="single" w:sz="4" w:space="0" w:color="ED7C5D"/>
            </w:tcBorders>
            <w:vAlign w:val="center"/>
          </w:tcPr>
          <w:p w14:paraId="06A05F4B" w14:textId="076B99E6" w:rsidR="00CC52BD" w:rsidRPr="00503F5B" w:rsidRDefault="006F419B" w:rsidP="00CC52BD">
            <w:pPr>
              <w:jc w:val="center"/>
              <w:rPr>
                <w:sz w:val="20"/>
                <w:szCs w:val="20"/>
                <w:lang w:val="en-AU"/>
              </w:rPr>
            </w:pPr>
            <w:r w:rsidRPr="00503F5B">
              <w:rPr>
                <w:sz w:val="20"/>
                <w:szCs w:val="20"/>
                <w:lang w:val="en-AU"/>
              </w:rPr>
              <w:t xml:space="preserve">Yes - </w:t>
            </w:r>
            <w:r w:rsidR="00CC52BD" w:rsidRPr="00503F5B">
              <w:rPr>
                <w:sz w:val="20"/>
                <w:szCs w:val="20"/>
                <w:lang w:val="en-AU"/>
              </w:rPr>
              <w:t xml:space="preserve">Incentive to circumvent/challenge potentially </w:t>
            </w:r>
            <w:r w:rsidR="00EA2804" w:rsidRPr="00503F5B">
              <w:rPr>
                <w:sz w:val="20"/>
                <w:szCs w:val="20"/>
                <w:lang w:val="en-AU"/>
              </w:rPr>
              <w:t>&lt;</w:t>
            </w:r>
            <w:r w:rsidR="00CC52BD" w:rsidRPr="00503F5B">
              <w:rPr>
                <w:sz w:val="20"/>
                <w:szCs w:val="20"/>
                <w:lang w:val="en-AU"/>
              </w:rPr>
              <w:t xml:space="preserve"> Option </w:t>
            </w:r>
            <w:r w:rsidR="00363174" w:rsidRPr="00503F5B">
              <w:rPr>
                <w:sz w:val="20"/>
                <w:szCs w:val="20"/>
                <w:lang w:val="en-AU"/>
              </w:rPr>
              <w:t>2</w:t>
            </w:r>
          </w:p>
        </w:tc>
      </w:tr>
      <w:tr w:rsidR="00CC52BD" w:rsidRPr="00503F5B" w14:paraId="146FB7B1" w14:textId="77777777" w:rsidTr="009917B8">
        <w:trPr>
          <w:trHeight w:val="1557"/>
          <w:jc w:val="center"/>
        </w:trPr>
        <w:tc>
          <w:tcPr>
            <w:tcW w:w="1701" w:type="dxa"/>
            <w:tcBorders>
              <w:top w:val="single" w:sz="4" w:space="0" w:color="ED7C5D"/>
              <w:bottom w:val="single" w:sz="4" w:space="0" w:color="ED7C5D"/>
            </w:tcBorders>
            <w:vAlign w:val="center"/>
          </w:tcPr>
          <w:p w14:paraId="7447404F" w14:textId="037AE30C" w:rsidR="00CC52BD" w:rsidRPr="00503F5B" w:rsidRDefault="00CC52BD" w:rsidP="00CC52BD">
            <w:pPr>
              <w:rPr>
                <w:b/>
                <w:bCs/>
                <w:sz w:val="20"/>
                <w:szCs w:val="20"/>
                <w:lang w:val="en-AU"/>
              </w:rPr>
            </w:pPr>
            <w:r w:rsidRPr="00503F5B">
              <w:rPr>
                <w:b/>
                <w:bCs/>
                <w:sz w:val="20"/>
                <w:szCs w:val="20"/>
                <w:lang w:val="en-AU"/>
              </w:rPr>
              <w:t>Option 4</w:t>
            </w:r>
          </w:p>
          <w:p w14:paraId="6C7B14F4" w14:textId="48BCB97B" w:rsidR="00CC52BD" w:rsidRPr="00503F5B" w:rsidRDefault="00CC52BD" w:rsidP="00CC52BD">
            <w:pPr>
              <w:rPr>
                <w:sz w:val="20"/>
                <w:szCs w:val="20"/>
                <w:lang w:val="en-AU"/>
              </w:rPr>
            </w:pPr>
            <w:r w:rsidRPr="00503F5B">
              <w:rPr>
                <w:sz w:val="20"/>
                <w:szCs w:val="20"/>
                <w:lang w:val="en-AU"/>
              </w:rPr>
              <w:t xml:space="preserve">(partial cost recovery </w:t>
            </w:r>
            <w:r w:rsidRPr="00503F5B">
              <w:rPr>
                <w:i/>
                <w:iCs/>
                <w:sz w:val="20"/>
                <w:szCs w:val="20"/>
                <w:lang w:val="en-AU"/>
              </w:rPr>
              <w:t>($1,600)</w:t>
            </w:r>
            <w:r w:rsidRPr="00503F5B">
              <w:rPr>
                <w:sz w:val="20"/>
                <w:szCs w:val="20"/>
                <w:lang w:val="en-AU"/>
              </w:rPr>
              <w:t xml:space="preserve"> per attendance)</w:t>
            </w:r>
          </w:p>
        </w:tc>
        <w:tc>
          <w:tcPr>
            <w:tcW w:w="1559" w:type="dxa"/>
            <w:tcBorders>
              <w:top w:val="single" w:sz="4" w:space="0" w:color="ED7C5D"/>
              <w:bottom w:val="single" w:sz="4" w:space="0" w:color="ED7C5D"/>
            </w:tcBorders>
            <w:vAlign w:val="center"/>
          </w:tcPr>
          <w:p w14:paraId="48DFBC91" w14:textId="77777777" w:rsidR="00CC52BD" w:rsidRPr="00503F5B" w:rsidRDefault="00CC52BD" w:rsidP="00CC52BD">
            <w:pPr>
              <w:rPr>
                <w:sz w:val="20"/>
                <w:szCs w:val="20"/>
                <w:lang w:val="en-AU"/>
              </w:rPr>
            </w:pPr>
            <w:r w:rsidRPr="00503F5B">
              <w:rPr>
                <w:sz w:val="20"/>
                <w:szCs w:val="20"/>
                <w:lang w:val="en-AU"/>
              </w:rPr>
              <w:t>Emergency attendance fees and general revenue</w:t>
            </w:r>
          </w:p>
        </w:tc>
        <w:tc>
          <w:tcPr>
            <w:tcW w:w="2019" w:type="dxa"/>
            <w:tcBorders>
              <w:top w:val="single" w:sz="4" w:space="0" w:color="ED7C5D"/>
              <w:bottom w:val="single" w:sz="4" w:space="0" w:color="ED7C5D"/>
            </w:tcBorders>
            <w:vAlign w:val="center"/>
          </w:tcPr>
          <w:p w14:paraId="4A51DE1E" w14:textId="77777777" w:rsidR="00CC52BD" w:rsidRPr="00503F5B" w:rsidRDefault="00CC52BD" w:rsidP="00CC52BD">
            <w:pPr>
              <w:rPr>
                <w:sz w:val="20"/>
                <w:szCs w:val="20"/>
                <w:lang w:val="en-AU"/>
              </w:rPr>
            </w:pPr>
            <w:r w:rsidRPr="00503F5B">
              <w:rPr>
                <w:sz w:val="20"/>
                <w:szCs w:val="20"/>
                <w:lang w:val="en-AU"/>
              </w:rPr>
              <w:t xml:space="preserve">Priced – understates true value of false alarm attendances to owners of alarms </w:t>
            </w:r>
          </w:p>
        </w:tc>
        <w:tc>
          <w:tcPr>
            <w:tcW w:w="1984" w:type="dxa"/>
            <w:tcBorders>
              <w:top w:val="single" w:sz="4" w:space="0" w:color="ED7C5D"/>
              <w:bottom w:val="single" w:sz="4" w:space="0" w:color="ED7C5D"/>
            </w:tcBorders>
            <w:vAlign w:val="center"/>
          </w:tcPr>
          <w:p w14:paraId="41C2FDC3" w14:textId="566FEF16" w:rsidR="00CC52BD" w:rsidRPr="00503F5B" w:rsidRDefault="00CC52BD" w:rsidP="00CC52BD">
            <w:pPr>
              <w:rPr>
                <w:sz w:val="20"/>
                <w:szCs w:val="20"/>
                <w:lang w:val="en-AU"/>
              </w:rPr>
            </w:pPr>
            <w:r w:rsidRPr="00503F5B">
              <w:rPr>
                <w:sz w:val="20"/>
                <w:szCs w:val="20"/>
                <w:lang w:val="en-AU"/>
              </w:rPr>
              <w:t>Some cross subsidisation of owners by taxpayers and of owners requiring &gt; 1.29 hrs attendance by those requiring &lt; 1.29hrs</w:t>
            </w:r>
          </w:p>
        </w:tc>
        <w:tc>
          <w:tcPr>
            <w:tcW w:w="2126" w:type="dxa"/>
            <w:tcBorders>
              <w:top w:val="single" w:sz="4" w:space="0" w:color="ED7C5D"/>
              <w:bottom w:val="single" w:sz="4" w:space="0" w:color="ED7C5D"/>
            </w:tcBorders>
            <w:vAlign w:val="center"/>
          </w:tcPr>
          <w:p w14:paraId="708E0C03" w14:textId="3259D3EC" w:rsidR="00CC52BD" w:rsidRPr="00503F5B" w:rsidRDefault="006F419B" w:rsidP="00CC52BD">
            <w:pPr>
              <w:jc w:val="center"/>
              <w:rPr>
                <w:sz w:val="20"/>
                <w:szCs w:val="20"/>
                <w:lang w:val="en-AU"/>
              </w:rPr>
            </w:pPr>
            <w:r w:rsidRPr="00503F5B">
              <w:rPr>
                <w:sz w:val="20"/>
                <w:szCs w:val="20"/>
                <w:lang w:val="en-AU"/>
              </w:rPr>
              <w:t xml:space="preserve">Yes - </w:t>
            </w:r>
            <w:r w:rsidR="00CC52BD" w:rsidRPr="00503F5B">
              <w:rPr>
                <w:sz w:val="20"/>
                <w:szCs w:val="20"/>
                <w:lang w:val="en-AU"/>
              </w:rPr>
              <w:t xml:space="preserve">Incentive to circumvent/challenge potentially </w:t>
            </w:r>
            <w:r w:rsidR="00363174" w:rsidRPr="00503F5B">
              <w:rPr>
                <w:sz w:val="20"/>
                <w:szCs w:val="20"/>
                <w:lang w:val="en-AU"/>
              </w:rPr>
              <w:t>&gt;</w:t>
            </w:r>
            <w:r w:rsidR="00CC52BD" w:rsidRPr="00503F5B">
              <w:rPr>
                <w:sz w:val="20"/>
                <w:szCs w:val="20"/>
                <w:lang w:val="en-AU"/>
              </w:rPr>
              <w:t xml:space="preserve"> Option </w:t>
            </w:r>
            <w:r w:rsidR="00EA2804" w:rsidRPr="00503F5B">
              <w:rPr>
                <w:sz w:val="20"/>
                <w:szCs w:val="20"/>
                <w:lang w:val="en-AU"/>
              </w:rPr>
              <w:t>3</w:t>
            </w:r>
          </w:p>
        </w:tc>
      </w:tr>
    </w:tbl>
    <w:p w14:paraId="1CE6CAA8" w14:textId="77777777" w:rsidR="00290F56" w:rsidRPr="00503F5B" w:rsidRDefault="00290F56" w:rsidP="00290F56">
      <w:pPr>
        <w:pStyle w:val="BodyText12"/>
        <w:spacing w:before="0" w:after="0"/>
        <w:rPr>
          <w:rFonts w:ascii="Calibri" w:hAnsi="Calibri"/>
          <w:sz w:val="22"/>
          <w:szCs w:val="22"/>
        </w:rPr>
      </w:pPr>
    </w:p>
    <w:p w14:paraId="5CF96233" w14:textId="566050D3" w:rsidR="00290F56" w:rsidRPr="00503F5B" w:rsidRDefault="00290F56" w:rsidP="00290F56">
      <w:pPr>
        <w:pStyle w:val="BodyText12"/>
        <w:spacing w:before="0" w:after="0"/>
        <w:rPr>
          <w:rFonts w:ascii="Calibri" w:hAnsi="Calibri"/>
          <w:sz w:val="22"/>
          <w:szCs w:val="22"/>
        </w:rPr>
      </w:pPr>
      <w:r w:rsidRPr="00503F5B">
        <w:rPr>
          <w:rFonts w:ascii="Calibri" w:hAnsi="Calibri"/>
          <w:sz w:val="22"/>
          <w:szCs w:val="22"/>
        </w:rPr>
        <w:t>The overall scores and comparison of options against the base case using the MCA is summarised in Table 2</w:t>
      </w:r>
      <w:r w:rsidR="004902B1" w:rsidRPr="00503F5B">
        <w:rPr>
          <w:rFonts w:ascii="Calibri" w:hAnsi="Calibri"/>
          <w:sz w:val="22"/>
          <w:szCs w:val="22"/>
        </w:rPr>
        <w:t>6</w:t>
      </w:r>
      <w:r w:rsidRPr="00503F5B">
        <w:rPr>
          <w:rFonts w:ascii="Calibri" w:hAnsi="Calibri"/>
          <w:sz w:val="22"/>
          <w:szCs w:val="22"/>
        </w:rPr>
        <w:t xml:space="preserve">. </w:t>
      </w:r>
    </w:p>
    <w:p w14:paraId="66393031" w14:textId="77777777" w:rsidR="00290F56" w:rsidRPr="00503F5B" w:rsidRDefault="00290F56" w:rsidP="00290F56">
      <w:pPr>
        <w:pStyle w:val="BodyText12"/>
        <w:spacing w:before="0" w:after="0"/>
        <w:rPr>
          <w:rFonts w:ascii="Calibri" w:hAnsi="Calibri"/>
          <w:sz w:val="22"/>
          <w:szCs w:val="22"/>
        </w:rPr>
      </w:pPr>
    </w:p>
    <w:p w14:paraId="3AFAB6B2" w14:textId="480989EA" w:rsidR="00290F56" w:rsidRPr="00503F5B" w:rsidRDefault="00290F56" w:rsidP="00290F56">
      <w:pPr>
        <w:pStyle w:val="BodyText12"/>
        <w:spacing w:before="0" w:after="0"/>
        <w:jc w:val="center"/>
        <w:rPr>
          <w:rFonts w:ascii="Calibri" w:eastAsia="Times New Roman" w:hAnsi="Calibri"/>
          <w:b/>
          <w:sz w:val="20"/>
        </w:rPr>
      </w:pPr>
      <w:r w:rsidRPr="00503F5B">
        <w:rPr>
          <w:rFonts w:ascii="Calibri" w:eastAsia="Times New Roman" w:hAnsi="Calibri"/>
          <w:b/>
          <w:sz w:val="20"/>
        </w:rPr>
        <w:t>Table 2</w:t>
      </w:r>
      <w:r w:rsidR="004902B1" w:rsidRPr="00503F5B">
        <w:rPr>
          <w:rFonts w:ascii="Calibri" w:eastAsia="Times New Roman" w:hAnsi="Calibri"/>
          <w:b/>
          <w:sz w:val="20"/>
        </w:rPr>
        <w:t>6</w:t>
      </w:r>
      <w:r w:rsidRPr="00503F5B">
        <w:rPr>
          <w:rFonts w:ascii="Calibri" w:eastAsia="Times New Roman" w:hAnsi="Calibri"/>
          <w:b/>
          <w:sz w:val="20"/>
        </w:rPr>
        <w:t>: Multi-Criteria Analysis (MCA)</w:t>
      </w:r>
    </w:p>
    <w:p w14:paraId="3F3F9DE9" w14:textId="77777777" w:rsidR="00290F56" w:rsidRPr="00503F5B" w:rsidRDefault="00290F56" w:rsidP="00290F56">
      <w:pPr>
        <w:pStyle w:val="BodyText12"/>
        <w:spacing w:before="0" w:after="0"/>
        <w:jc w:val="center"/>
        <w:rPr>
          <w:rFonts w:ascii="Calibri" w:eastAsia="Times New Roman" w:hAnsi="Calibri"/>
          <w:b/>
          <w:sz w:val="20"/>
        </w:rPr>
      </w:pPr>
    </w:p>
    <w:tbl>
      <w:tblPr>
        <w:tblStyle w:val="TableGridLight1"/>
        <w:tblW w:w="85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125"/>
        <w:gridCol w:w="1137"/>
        <w:gridCol w:w="1105"/>
        <w:gridCol w:w="1085"/>
        <w:gridCol w:w="1177"/>
        <w:gridCol w:w="968"/>
        <w:gridCol w:w="917"/>
      </w:tblGrid>
      <w:tr w:rsidR="00290F56" w:rsidRPr="00503F5B" w14:paraId="25302E8C" w14:textId="77777777" w:rsidTr="009917B8">
        <w:trPr>
          <w:trHeight w:val="530"/>
          <w:jc w:val="center"/>
        </w:trPr>
        <w:tc>
          <w:tcPr>
            <w:tcW w:w="993" w:type="dxa"/>
            <w:tcBorders>
              <w:top w:val="single" w:sz="4" w:space="0" w:color="ED7C5D"/>
              <w:bottom w:val="double" w:sz="4" w:space="0" w:color="ED7C5D"/>
            </w:tcBorders>
          </w:tcPr>
          <w:p w14:paraId="0699C5EB" w14:textId="77777777" w:rsidR="00290F56" w:rsidRPr="00503F5B" w:rsidRDefault="00290F56" w:rsidP="007D5ED3">
            <w:pPr>
              <w:pStyle w:val="BodyText11"/>
              <w:spacing w:before="0" w:after="0"/>
              <w:jc w:val="center"/>
              <w:rPr>
                <w:rFonts w:ascii="Calibri" w:hAnsi="Calibri"/>
                <w:b/>
                <w:color w:val="000000" w:themeColor="text1"/>
                <w:sz w:val="18"/>
                <w:szCs w:val="18"/>
                <w:lang w:val="en-AU"/>
              </w:rPr>
            </w:pPr>
          </w:p>
        </w:tc>
        <w:tc>
          <w:tcPr>
            <w:tcW w:w="1125" w:type="dxa"/>
            <w:tcBorders>
              <w:top w:val="single" w:sz="4" w:space="0" w:color="ED7C5D"/>
              <w:bottom w:val="double" w:sz="4" w:space="0" w:color="ED7C5D"/>
            </w:tcBorders>
          </w:tcPr>
          <w:p w14:paraId="544A8CC8" w14:textId="77777777" w:rsidR="00290F56" w:rsidRPr="00503F5B" w:rsidRDefault="00290F56" w:rsidP="007D5ED3">
            <w:pPr>
              <w:pStyle w:val="BodyText11"/>
              <w:spacing w:before="0" w:after="0"/>
              <w:jc w:val="center"/>
              <w:rPr>
                <w:rFonts w:ascii="Calibri" w:hAnsi="Calibri"/>
                <w:color w:val="000000" w:themeColor="text1"/>
                <w:sz w:val="18"/>
                <w:szCs w:val="18"/>
                <w:lang w:val="en-AU"/>
              </w:rPr>
            </w:pPr>
            <w:r w:rsidRPr="00503F5B">
              <w:rPr>
                <w:rFonts w:ascii="Calibri" w:hAnsi="Calibri"/>
                <w:color w:val="000000" w:themeColor="text1"/>
                <w:sz w:val="18"/>
                <w:szCs w:val="18"/>
                <w:lang w:val="en-AU"/>
              </w:rPr>
              <w:t>Efficiency</w:t>
            </w:r>
          </w:p>
          <w:p w14:paraId="4B07A847" w14:textId="77777777" w:rsidR="00290F56" w:rsidRPr="00503F5B" w:rsidRDefault="00290F56" w:rsidP="007D5ED3">
            <w:pPr>
              <w:pStyle w:val="BodyText11"/>
              <w:spacing w:before="0" w:after="0"/>
              <w:jc w:val="center"/>
              <w:rPr>
                <w:rFonts w:ascii="Calibri" w:hAnsi="Calibri"/>
                <w:color w:val="000000" w:themeColor="text1"/>
                <w:sz w:val="18"/>
                <w:szCs w:val="18"/>
                <w:lang w:val="en-AU"/>
              </w:rPr>
            </w:pPr>
          </w:p>
        </w:tc>
        <w:tc>
          <w:tcPr>
            <w:tcW w:w="1137" w:type="dxa"/>
            <w:tcBorders>
              <w:top w:val="single" w:sz="4" w:space="0" w:color="ED7C5D"/>
              <w:bottom w:val="double" w:sz="4" w:space="0" w:color="ED7C5D"/>
            </w:tcBorders>
          </w:tcPr>
          <w:p w14:paraId="7FCF7A8A" w14:textId="77777777" w:rsidR="00290F56" w:rsidRPr="00503F5B" w:rsidRDefault="00290F56" w:rsidP="007D5ED3">
            <w:pPr>
              <w:pStyle w:val="BodyText11"/>
              <w:spacing w:before="0" w:after="0"/>
              <w:jc w:val="center"/>
              <w:rPr>
                <w:rFonts w:ascii="Calibri" w:hAnsi="Calibri"/>
                <w:color w:val="000000" w:themeColor="text1"/>
                <w:sz w:val="18"/>
                <w:szCs w:val="18"/>
                <w:lang w:val="en-AU"/>
              </w:rPr>
            </w:pPr>
            <w:r w:rsidRPr="00503F5B">
              <w:rPr>
                <w:rFonts w:ascii="Calibri" w:hAnsi="Calibri"/>
                <w:color w:val="000000" w:themeColor="text1"/>
                <w:sz w:val="18"/>
                <w:szCs w:val="18"/>
                <w:lang w:val="en-AU"/>
              </w:rPr>
              <w:t>Weighting</w:t>
            </w:r>
          </w:p>
          <w:p w14:paraId="559CFCAA" w14:textId="30FCB8FD" w:rsidR="00290F56" w:rsidRPr="00503F5B" w:rsidRDefault="00856B57" w:rsidP="007D5ED3">
            <w:pPr>
              <w:pStyle w:val="BodyText11"/>
              <w:spacing w:before="0" w:after="0"/>
              <w:jc w:val="center"/>
              <w:rPr>
                <w:rFonts w:ascii="Calibri" w:hAnsi="Calibri"/>
                <w:color w:val="000000" w:themeColor="text1"/>
                <w:sz w:val="18"/>
                <w:szCs w:val="18"/>
                <w:lang w:val="en-AU"/>
              </w:rPr>
            </w:pPr>
            <w:r w:rsidRPr="00503F5B">
              <w:rPr>
                <w:rFonts w:ascii="Calibri" w:hAnsi="Calibri"/>
                <w:color w:val="000000" w:themeColor="text1"/>
                <w:sz w:val="18"/>
                <w:szCs w:val="18"/>
                <w:lang w:val="en-AU"/>
              </w:rPr>
              <w:t>20</w:t>
            </w:r>
            <w:r w:rsidR="00290F56" w:rsidRPr="00503F5B">
              <w:rPr>
                <w:rFonts w:ascii="Calibri" w:hAnsi="Calibri"/>
                <w:color w:val="000000" w:themeColor="text1"/>
                <w:sz w:val="18"/>
                <w:szCs w:val="18"/>
                <w:lang w:val="en-AU"/>
              </w:rPr>
              <w:t>%</w:t>
            </w:r>
          </w:p>
        </w:tc>
        <w:tc>
          <w:tcPr>
            <w:tcW w:w="1105" w:type="dxa"/>
            <w:tcBorders>
              <w:top w:val="single" w:sz="4" w:space="0" w:color="ED7C5D"/>
              <w:bottom w:val="double" w:sz="4" w:space="0" w:color="ED7C5D"/>
            </w:tcBorders>
          </w:tcPr>
          <w:p w14:paraId="0295DB68" w14:textId="77777777" w:rsidR="00290F56" w:rsidRPr="00503F5B" w:rsidRDefault="00290F56" w:rsidP="007D5ED3">
            <w:pPr>
              <w:pStyle w:val="BodyText11"/>
              <w:spacing w:before="0" w:after="0"/>
              <w:jc w:val="center"/>
              <w:rPr>
                <w:rFonts w:ascii="Calibri" w:hAnsi="Calibri"/>
                <w:color w:val="000000" w:themeColor="text1"/>
                <w:sz w:val="18"/>
                <w:szCs w:val="18"/>
                <w:lang w:val="en-AU"/>
              </w:rPr>
            </w:pPr>
            <w:r w:rsidRPr="00503F5B">
              <w:rPr>
                <w:rFonts w:ascii="Calibri" w:hAnsi="Calibri"/>
                <w:color w:val="000000" w:themeColor="text1"/>
                <w:sz w:val="18"/>
                <w:szCs w:val="18"/>
                <w:lang w:val="en-AU"/>
              </w:rPr>
              <w:t xml:space="preserve">Equity </w:t>
            </w:r>
          </w:p>
          <w:p w14:paraId="4A0EC97F" w14:textId="77777777" w:rsidR="00290F56" w:rsidRPr="00503F5B" w:rsidRDefault="00290F56" w:rsidP="007D5ED3">
            <w:pPr>
              <w:pStyle w:val="BodyText11"/>
              <w:spacing w:before="0" w:after="0"/>
              <w:jc w:val="center"/>
              <w:rPr>
                <w:rFonts w:ascii="Calibri" w:hAnsi="Calibri"/>
                <w:color w:val="000000" w:themeColor="text1"/>
                <w:sz w:val="18"/>
                <w:szCs w:val="18"/>
                <w:lang w:val="en-AU"/>
              </w:rPr>
            </w:pPr>
          </w:p>
        </w:tc>
        <w:tc>
          <w:tcPr>
            <w:tcW w:w="1085" w:type="dxa"/>
            <w:tcBorders>
              <w:top w:val="single" w:sz="4" w:space="0" w:color="ED7C5D"/>
              <w:bottom w:val="double" w:sz="4" w:space="0" w:color="ED7C5D"/>
            </w:tcBorders>
          </w:tcPr>
          <w:p w14:paraId="3454E721" w14:textId="6A5199B9" w:rsidR="00290F56" w:rsidRPr="00503F5B" w:rsidRDefault="00290F56" w:rsidP="007D5ED3">
            <w:pPr>
              <w:pStyle w:val="BodyText11"/>
              <w:spacing w:before="0" w:after="0"/>
              <w:jc w:val="center"/>
              <w:rPr>
                <w:rFonts w:ascii="Calibri" w:hAnsi="Calibri"/>
                <w:color w:val="000000" w:themeColor="text1"/>
                <w:sz w:val="18"/>
                <w:szCs w:val="18"/>
                <w:lang w:val="en-AU"/>
              </w:rPr>
            </w:pPr>
            <w:r w:rsidRPr="00503F5B">
              <w:rPr>
                <w:rFonts w:ascii="Calibri" w:hAnsi="Calibri"/>
                <w:color w:val="000000" w:themeColor="text1"/>
                <w:sz w:val="18"/>
                <w:szCs w:val="18"/>
                <w:lang w:val="en-AU"/>
              </w:rPr>
              <w:t xml:space="preserve">Weighting </w:t>
            </w:r>
            <w:r w:rsidR="00856B57" w:rsidRPr="00503F5B">
              <w:rPr>
                <w:rFonts w:ascii="Calibri" w:hAnsi="Calibri"/>
                <w:color w:val="000000" w:themeColor="text1"/>
                <w:sz w:val="18"/>
                <w:szCs w:val="18"/>
                <w:lang w:val="en-AU"/>
              </w:rPr>
              <w:t>20</w:t>
            </w:r>
            <w:r w:rsidRPr="00503F5B">
              <w:rPr>
                <w:rFonts w:ascii="Calibri" w:hAnsi="Calibri"/>
                <w:color w:val="000000" w:themeColor="text1"/>
                <w:sz w:val="18"/>
                <w:szCs w:val="18"/>
                <w:lang w:val="en-AU"/>
              </w:rPr>
              <w:t>%</w:t>
            </w:r>
          </w:p>
        </w:tc>
        <w:tc>
          <w:tcPr>
            <w:tcW w:w="1177" w:type="dxa"/>
            <w:tcBorders>
              <w:top w:val="single" w:sz="4" w:space="0" w:color="ED7C5D"/>
              <w:bottom w:val="double" w:sz="4" w:space="0" w:color="ED7C5D"/>
            </w:tcBorders>
          </w:tcPr>
          <w:p w14:paraId="3833AD3D" w14:textId="77777777" w:rsidR="00290F56" w:rsidRPr="00503F5B" w:rsidRDefault="00290F56" w:rsidP="007D5ED3">
            <w:pPr>
              <w:pStyle w:val="BodyText11"/>
              <w:spacing w:before="0" w:after="0"/>
              <w:jc w:val="center"/>
              <w:rPr>
                <w:rFonts w:ascii="Calibri" w:hAnsi="Calibri"/>
                <w:color w:val="000000" w:themeColor="text1"/>
                <w:sz w:val="18"/>
                <w:szCs w:val="18"/>
                <w:lang w:val="en-AU"/>
              </w:rPr>
            </w:pPr>
            <w:r w:rsidRPr="00503F5B">
              <w:rPr>
                <w:rFonts w:ascii="Calibri" w:hAnsi="Calibri"/>
                <w:color w:val="000000" w:themeColor="text1"/>
                <w:sz w:val="18"/>
                <w:szCs w:val="18"/>
                <w:lang w:val="en-AU"/>
              </w:rPr>
              <w:t>Effectiveness</w:t>
            </w:r>
          </w:p>
          <w:p w14:paraId="3189C53E" w14:textId="77777777" w:rsidR="00290F56" w:rsidRPr="00503F5B" w:rsidRDefault="00290F56" w:rsidP="007D5ED3">
            <w:pPr>
              <w:pStyle w:val="BodyText11"/>
              <w:spacing w:before="0" w:after="0"/>
              <w:jc w:val="center"/>
              <w:rPr>
                <w:rFonts w:ascii="Calibri" w:hAnsi="Calibri"/>
                <w:color w:val="000000" w:themeColor="text1"/>
                <w:sz w:val="18"/>
                <w:szCs w:val="18"/>
                <w:lang w:val="en-AU"/>
              </w:rPr>
            </w:pPr>
          </w:p>
        </w:tc>
        <w:tc>
          <w:tcPr>
            <w:tcW w:w="968" w:type="dxa"/>
            <w:tcBorders>
              <w:top w:val="single" w:sz="4" w:space="0" w:color="ED7C5D"/>
              <w:bottom w:val="double" w:sz="4" w:space="0" w:color="ED7C5D"/>
            </w:tcBorders>
          </w:tcPr>
          <w:p w14:paraId="0D60AB53" w14:textId="578349EA" w:rsidR="00290F56" w:rsidRPr="00503F5B" w:rsidRDefault="00290F56" w:rsidP="007D5ED3">
            <w:pPr>
              <w:pStyle w:val="BodyText11"/>
              <w:spacing w:before="0" w:after="0"/>
              <w:jc w:val="center"/>
              <w:rPr>
                <w:rFonts w:ascii="Calibri" w:hAnsi="Calibri"/>
                <w:color w:val="000000" w:themeColor="text1"/>
                <w:sz w:val="18"/>
                <w:szCs w:val="18"/>
                <w:lang w:val="en-AU"/>
              </w:rPr>
            </w:pPr>
            <w:r w:rsidRPr="00503F5B">
              <w:rPr>
                <w:rFonts w:ascii="Calibri" w:hAnsi="Calibri"/>
                <w:color w:val="000000" w:themeColor="text1"/>
                <w:sz w:val="18"/>
                <w:szCs w:val="18"/>
                <w:lang w:val="en-AU"/>
              </w:rPr>
              <w:t xml:space="preserve">Weighting </w:t>
            </w:r>
            <w:r w:rsidR="00856B57" w:rsidRPr="00503F5B">
              <w:rPr>
                <w:rFonts w:ascii="Calibri" w:hAnsi="Calibri"/>
                <w:color w:val="000000" w:themeColor="text1"/>
                <w:sz w:val="18"/>
                <w:szCs w:val="18"/>
                <w:lang w:val="en-AU"/>
              </w:rPr>
              <w:t>60</w:t>
            </w:r>
            <w:r w:rsidRPr="00503F5B">
              <w:rPr>
                <w:rFonts w:ascii="Calibri" w:hAnsi="Calibri"/>
                <w:color w:val="000000" w:themeColor="text1"/>
                <w:sz w:val="18"/>
                <w:szCs w:val="18"/>
                <w:lang w:val="en-AU"/>
              </w:rPr>
              <w:t>%</w:t>
            </w:r>
          </w:p>
        </w:tc>
        <w:tc>
          <w:tcPr>
            <w:tcW w:w="917" w:type="dxa"/>
            <w:tcBorders>
              <w:top w:val="single" w:sz="4" w:space="0" w:color="ED7C5D"/>
              <w:bottom w:val="double" w:sz="4" w:space="0" w:color="ED7C5D"/>
            </w:tcBorders>
          </w:tcPr>
          <w:p w14:paraId="509953C9" w14:textId="77777777" w:rsidR="00290F56" w:rsidRPr="00503F5B" w:rsidRDefault="00290F56" w:rsidP="007D5ED3">
            <w:pPr>
              <w:pStyle w:val="BodyText11"/>
              <w:spacing w:before="0" w:after="0"/>
              <w:jc w:val="center"/>
              <w:rPr>
                <w:rFonts w:ascii="Calibri" w:hAnsi="Calibri"/>
                <w:b/>
                <w:color w:val="000000" w:themeColor="text1"/>
                <w:sz w:val="18"/>
                <w:szCs w:val="18"/>
                <w:lang w:val="en-AU"/>
              </w:rPr>
            </w:pPr>
            <w:r w:rsidRPr="00503F5B">
              <w:rPr>
                <w:rFonts w:ascii="Calibri" w:hAnsi="Calibri"/>
                <w:b/>
                <w:color w:val="000000" w:themeColor="text1"/>
                <w:sz w:val="18"/>
                <w:szCs w:val="18"/>
                <w:lang w:val="en-AU"/>
              </w:rPr>
              <w:t>Total weighted score</w:t>
            </w:r>
          </w:p>
        </w:tc>
      </w:tr>
      <w:tr w:rsidR="00290F56" w:rsidRPr="00503F5B" w14:paraId="23DDBC26" w14:textId="77777777" w:rsidTr="009917B8">
        <w:trPr>
          <w:jc w:val="center"/>
        </w:trPr>
        <w:tc>
          <w:tcPr>
            <w:tcW w:w="993" w:type="dxa"/>
            <w:tcBorders>
              <w:top w:val="double" w:sz="4" w:space="0" w:color="ED7C5D"/>
              <w:bottom w:val="single" w:sz="4" w:space="0" w:color="ED7C5D"/>
            </w:tcBorders>
          </w:tcPr>
          <w:p w14:paraId="4476733F" w14:textId="77777777" w:rsidR="00290F56" w:rsidRPr="00503F5B" w:rsidRDefault="00290F56" w:rsidP="007D5ED3">
            <w:pPr>
              <w:pStyle w:val="BodyText11"/>
              <w:spacing w:before="0" w:after="0"/>
              <w:jc w:val="center"/>
              <w:rPr>
                <w:rFonts w:ascii="Calibri" w:hAnsi="Calibri"/>
                <w:b/>
                <w:color w:val="000000" w:themeColor="text1"/>
                <w:sz w:val="18"/>
                <w:szCs w:val="18"/>
                <w:lang w:val="en-AU"/>
              </w:rPr>
            </w:pPr>
            <w:r w:rsidRPr="00503F5B">
              <w:rPr>
                <w:rFonts w:ascii="Calibri" w:hAnsi="Calibri"/>
                <w:b/>
                <w:color w:val="000000" w:themeColor="text1"/>
                <w:sz w:val="18"/>
                <w:szCs w:val="18"/>
                <w:lang w:val="en-AU"/>
              </w:rPr>
              <w:t>Option</w:t>
            </w:r>
          </w:p>
        </w:tc>
        <w:tc>
          <w:tcPr>
            <w:tcW w:w="1125" w:type="dxa"/>
            <w:tcBorders>
              <w:top w:val="double" w:sz="4" w:space="0" w:color="ED7C5D"/>
              <w:bottom w:val="single" w:sz="4" w:space="0" w:color="ED7C5D"/>
            </w:tcBorders>
          </w:tcPr>
          <w:p w14:paraId="0F300F2E" w14:textId="77777777" w:rsidR="00290F56" w:rsidRPr="00503F5B" w:rsidRDefault="00290F56" w:rsidP="00D86BC8">
            <w:pPr>
              <w:pStyle w:val="BodyText11"/>
              <w:spacing w:before="0" w:after="0"/>
              <w:jc w:val="right"/>
              <w:rPr>
                <w:rFonts w:ascii="Calibri" w:hAnsi="Calibri"/>
                <w:b/>
                <w:color w:val="000000" w:themeColor="text1"/>
                <w:sz w:val="18"/>
                <w:szCs w:val="18"/>
                <w:lang w:val="en-AU"/>
              </w:rPr>
            </w:pPr>
            <w:r w:rsidRPr="00503F5B">
              <w:rPr>
                <w:rFonts w:ascii="Calibri" w:hAnsi="Calibri"/>
                <w:b/>
                <w:color w:val="000000" w:themeColor="text1"/>
                <w:sz w:val="18"/>
                <w:szCs w:val="18"/>
                <w:lang w:val="en-AU"/>
              </w:rPr>
              <w:t>Score</w:t>
            </w:r>
          </w:p>
        </w:tc>
        <w:tc>
          <w:tcPr>
            <w:tcW w:w="1137" w:type="dxa"/>
            <w:tcBorders>
              <w:top w:val="double" w:sz="4" w:space="0" w:color="ED7C5D"/>
              <w:bottom w:val="single" w:sz="4" w:space="0" w:color="ED7C5D"/>
            </w:tcBorders>
          </w:tcPr>
          <w:p w14:paraId="41C322A4" w14:textId="77777777" w:rsidR="00290F56" w:rsidRPr="00503F5B" w:rsidRDefault="00290F56" w:rsidP="00D86BC8">
            <w:pPr>
              <w:pStyle w:val="BodyText11"/>
              <w:spacing w:before="0" w:after="0"/>
              <w:jc w:val="right"/>
              <w:rPr>
                <w:rFonts w:ascii="Calibri" w:hAnsi="Calibri"/>
                <w:b/>
                <w:color w:val="000000" w:themeColor="text1"/>
                <w:sz w:val="18"/>
                <w:szCs w:val="18"/>
                <w:lang w:val="en-AU"/>
              </w:rPr>
            </w:pPr>
            <w:r w:rsidRPr="00503F5B">
              <w:rPr>
                <w:rFonts w:ascii="Calibri" w:hAnsi="Calibri"/>
                <w:b/>
                <w:color w:val="000000" w:themeColor="text1"/>
                <w:sz w:val="18"/>
                <w:szCs w:val="18"/>
                <w:lang w:val="en-AU"/>
              </w:rPr>
              <w:t>Weighted score</w:t>
            </w:r>
          </w:p>
        </w:tc>
        <w:tc>
          <w:tcPr>
            <w:tcW w:w="1105" w:type="dxa"/>
            <w:tcBorders>
              <w:top w:val="double" w:sz="4" w:space="0" w:color="ED7C5D"/>
              <w:bottom w:val="single" w:sz="4" w:space="0" w:color="ED7C5D"/>
            </w:tcBorders>
          </w:tcPr>
          <w:p w14:paraId="7614B9A1" w14:textId="77777777" w:rsidR="00290F56" w:rsidRPr="00503F5B" w:rsidRDefault="00290F56" w:rsidP="00D86BC8">
            <w:pPr>
              <w:pStyle w:val="BodyText11"/>
              <w:spacing w:before="0" w:after="0"/>
              <w:jc w:val="right"/>
              <w:rPr>
                <w:rFonts w:ascii="Calibri" w:hAnsi="Calibri"/>
                <w:b/>
                <w:color w:val="000000" w:themeColor="text1"/>
                <w:sz w:val="18"/>
                <w:szCs w:val="18"/>
                <w:lang w:val="en-AU"/>
              </w:rPr>
            </w:pPr>
            <w:r w:rsidRPr="00503F5B">
              <w:rPr>
                <w:rFonts w:ascii="Calibri" w:hAnsi="Calibri"/>
                <w:b/>
                <w:color w:val="000000" w:themeColor="text1"/>
                <w:sz w:val="18"/>
                <w:szCs w:val="18"/>
                <w:lang w:val="en-AU"/>
              </w:rPr>
              <w:t>Score</w:t>
            </w:r>
          </w:p>
        </w:tc>
        <w:tc>
          <w:tcPr>
            <w:tcW w:w="1085" w:type="dxa"/>
            <w:tcBorders>
              <w:top w:val="double" w:sz="4" w:space="0" w:color="ED7C5D"/>
              <w:bottom w:val="single" w:sz="4" w:space="0" w:color="ED7C5D"/>
            </w:tcBorders>
          </w:tcPr>
          <w:p w14:paraId="14223D58" w14:textId="77777777" w:rsidR="00290F56" w:rsidRPr="00503F5B" w:rsidRDefault="00290F56" w:rsidP="00D86BC8">
            <w:pPr>
              <w:pStyle w:val="BodyText11"/>
              <w:spacing w:before="0" w:after="0"/>
              <w:jc w:val="right"/>
              <w:rPr>
                <w:rFonts w:ascii="Calibri" w:hAnsi="Calibri"/>
                <w:b/>
                <w:color w:val="000000" w:themeColor="text1"/>
                <w:sz w:val="18"/>
                <w:szCs w:val="18"/>
                <w:lang w:val="en-AU"/>
              </w:rPr>
            </w:pPr>
            <w:r w:rsidRPr="00503F5B">
              <w:rPr>
                <w:rFonts w:ascii="Calibri" w:hAnsi="Calibri"/>
                <w:b/>
                <w:color w:val="000000" w:themeColor="text1"/>
                <w:sz w:val="18"/>
                <w:szCs w:val="18"/>
                <w:lang w:val="en-AU"/>
              </w:rPr>
              <w:t>Weighted score</w:t>
            </w:r>
          </w:p>
        </w:tc>
        <w:tc>
          <w:tcPr>
            <w:tcW w:w="1177" w:type="dxa"/>
            <w:tcBorders>
              <w:top w:val="double" w:sz="4" w:space="0" w:color="ED7C5D"/>
              <w:bottom w:val="single" w:sz="4" w:space="0" w:color="ED7C5D"/>
            </w:tcBorders>
          </w:tcPr>
          <w:p w14:paraId="00980328" w14:textId="77777777" w:rsidR="00290F56" w:rsidRPr="00503F5B" w:rsidRDefault="00290F56" w:rsidP="00D86BC8">
            <w:pPr>
              <w:pStyle w:val="BodyText11"/>
              <w:spacing w:before="0" w:after="0"/>
              <w:jc w:val="right"/>
              <w:rPr>
                <w:rFonts w:ascii="Calibri" w:hAnsi="Calibri"/>
                <w:b/>
                <w:color w:val="000000" w:themeColor="text1"/>
                <w:sz w:val="18"/>
                <w:szCs w:val="18"/>
                <w:lang w:val="en-AU"/>
              </w:rPr>
            </w:pPr>
            <w:r w:rsidRPr="00503F5B">
              <w:rPr>
                <w:rFonts w:ascii="Calibri" w:hAnsi="Calibri"/>
                <w:b/>
                <w:color w:val="000000" w:themeColor="text1"/>
                <w:sz w:val="18"/>
                <w:szCs w:val="18"/>
                <w:lang w:val="en-AU"/>
              </w:rPr>
              <w:t>Score</w:t>
            </w:r>
          </w:p>
        </w:tc>
        <w:tc>
          <w:tcPr>
            <w:tcW w:w="968" w:type="dxa"/>
            <w:tcBorders>
              <w:top w:val="double" w:sz="4" w:space="0" w:color="ED7C5D"/>
              <w:bottom w:val="single" w:sz="4" w:space="0" w:color="ED7C5D"/>
            </w:tcBorders>
          </w:tcPr>
          <w:p w14:paraId="62BDD31F" w14:textId="77777777" w:rsidR="00290F56" w:rsidRPr="00503F5B" w:rsidRDefault="00290F56" w:rsidP="00D86BC8">
            <w:pPr>
              <w:pStyle w:val="BodyText11"/>
              <w:spacing w:before="0" w:after="0"/>
              <w:jc w:val="right"/>
              <w:rPr>
                <w:rFonts w:ascii="Calibri" w:hAnsi="Calibri"/>
                <w:b/>
                <w:color w:val="000000" w:themeColor="text1"/>
                <w:sz w:val="18"/>
                <w:szCs w:val="18"/>
                <w:lang w:val="en-AU"/>
              </w:rPr>
            </w:pPr>
            <w:r w:rsidRPr="00503F5B">
              <w:rPr>
                <w:rFonts w:ascii="Calibri" w:hAnsi="Calibri"/>
                <w:b/>
                <w:color w:val="000000" w:themeColor="text1"/>
                <w:sz w:val="18"/>
                <w:szCs w:val="18"/>
                <w:lang w:val="en-AU"/>
              </w:rPr>
              <w:t>Weighted score</w:t>
            </w:r>
          </w:p>
        </w:tc>
        <w:tc>
          <w:tcPr>
            <w:tcW w:w="917" w:type="dxa"/>
            <w:tcBorders>
              <w:top w:val="double" w:sz="4" w:space="0" w:color="ED7C5D"/>
              <w:bottom w:val="single" w:sz="4" w:space="0" w:color="ED7C5D"/>
            </w:tcBorders>
          </w:tcPr>
          <w:p w14:paraId="275931F1" w14:textId="77777777" w:rsidR="00290F56" w:rsidRPr="00503F5B" w:rsidRDefault="00290F56" w:rsidP="00D86BC8">
            <w:pPr>
              <w:pStyle w:val="BodyText11"/>
              <w:spacing w:before="0" w:after="0"/>
              <w:jc w:val="right"/>
              <w:rPr>
                <w:rFonts w:ascii="Calibri" w:hAnsi="Calibri"/>
                <w:b/>
                <w:color w:val="000000" w:themeColor="text1"/>
                <w:sz w:val="18"/>
                <w:szCs w:val="18"/>
                <w:lang w:val="en-AU"/>
              </w:rPr>
            </w:pPr>
          </w:p>
        </w:tc>
      </w:tr>
      <w:tr w:rsidR="004902B1" w:rsidRPr="00503F5B" w14:paraId="7B7D9493" w14:textId="77777777" w:rsidTr="009917B8">
        <w:trPr>
          <w:trHeight w:val="57"/>
          <w:jc w:val="center"/>
        </w:trPr>
        <w:tc>
          <w:tcPr>
            <w:tcW w:w="993" w:type="dxa"/>
            <w:tcBorders>
              <w:top w:val="single" w:sz="4" w:space="0" w:color="ED7C5D"/>
            </w:tcBorders>
          </w:tcPr>
          <w:p w14:paraId="0C87D03B" w14:textId="77777777" w:rsidR="004902B1" w:rsidRPr="00503F5B" w:rsidRDefault="004902B1" w:rsidP="004902B1">
            <w:pPr>
              <w:pStyle w:val="BodyText11"/>
              <w:spacing w:before="0" w:after="0"/>
              <w:jc w:val="center"/>
              <w:rPr>
                <w:rFonts w:ascii="Calibri" w:hAnsi="Calibri"/>
                <w:color w:val="000000" w:themeColor="text1"/>
                <w:sz w:val="18"/>
                <w:szCs w:val="18"/>
                <w:lang w:val="en-AU"/>
              </w:rPr>
            </w:pPr>
            <w:r w:rsidRPr="00503F5B">
              <w:rPr>
                <w:rFonts w:ascii="Calibri" w:hAnsi="Calibri"/>
                <w:color w:val="000000" w:themeColor="text1"/>
                <w:sz w:val="18"/>
                <w:szCs w:val="18"/>
                <w:lang w:val="en-AU"/>
              </w:rPr>
              <w:t>Base Case</w:t>
            </w:r>
          </w:p>
        </w:tc>
        <w:tc>
          <w:tcPr>
            <w:tcW w:w="1125" w:type="dxa"/>
            <w:tcBorders>
              <w:top w:val="single" w:sz="4" w:space="0" w:color="ED7C5D"/>
            </w:tcBorders>
          </w:tcPr>
          <w:p w14:paraId="514C136A" w14:textId="62B76B93" w:rsidR="004902B1" w:rsidRPr="00503F5B" w:rsidRDefault="004902B1" w:rsidP="004902B1">
            <w:pPr>
              <w:pStyle w:val="BodyText11"/>
              <w:spacing w:before="0" w:after="0"/>
              <w:jc w:val="right"/>
              <w:rPr>
                <w:rFonts w:asciiTheme="minorHAnsi" w:hAnsiTheme="minorHAnsi" w:cstheme="minorHAnsi"/>
                <w:color w:val="000000" w:themeColor="text1"/>
                <w:sz w:val="18"/>
                <w:szCs w:val="18"/>
                <w:lang w:val="en-AU"/>
              </w:rPr>
            </w:pPr>
            <w:r w:rsidRPr="00503F5B">
              <w:rPr>
                <w:rFonts w:asciiTheme="minorHAnsi" w:hAnsiTheme="minorHAnsi" w:cstheme="minorHAnsi"/>
                <w:sz w:val="18"/>
                <w:szCs w:val="18"/>
                <w:lang w:val="en-AU"/>
              </w:rPr>
              <w:t>+0.00</w:t>
            </w:r>
          </w:p>
        </w:tc>
        <w:tc>
          <w:tcPr>
            <w:tcW w:w="1137" w:type="dxa"/>
            <w:tcBorders>
              <w:top w:val="single" w:sz="4" w:space="0" w:color="ED7C5D"/>
            </w:tcBorders>
          </w:tcPr>
          <w:p w14:paraId="6E91BB3F" w14:textId="31A6D0E0" w:rsidR="004902B1" w:rsidRPr="00503F5B" w:rsidRDefault="004902B1" w:rsidP="004902B1">
            <w:pPr>
              <w:pStyle w:val="BodyText11"/>
              <w:spacing w:before="0" w:after="0"/>
              <w:jc w:val="right"/>
              <w:rPr>
                <w:rFonts w:asciiTheme="minorHAnsi" w:hAnsiTheme="minorHAnsi" w:cstheme="minorHAnsi"/>
                <w:b/>
                <w:bCs/>
                <w:color w:val="000000" w:themeColor="text1"/>
                <w:sz w:val="18"/>
                <w:szCs w:val="18"/>
                <w:lang w:val="en-AU"/>
              </w:rPr>
            </w:pPr>
            <w:r w:rsidRPr="00503F5B">
              <w:rPr>
                <w:rFonts w:asciiTheme="minorHAnsi" w:hAnsiTheme="minorHAnsi" w:cstheme="minorHAnsi"/>
                <w:b/>
                <w:bCs/>
                <w:sz w:val="18"/>
                <w:szCs w:val="18"/>
                <w:lang w:val="en-AU"/>
              </w:rPr>
              <w:t>+0.00</w:t>
            </w:r>
          </w:p>
        </w:tc>
        <w:tc>
          <w:tcPr>
            <w:tcW w:w="1105" w:type="dxa"/>
            <w:tcBorders>
              <w:top w:val="single" w:sz="4" w:space="0" w:color="ED7C5D"/>
            </w:tcBorders>
          </w:tcPr>
          <w:p w14:paraId="67C955BF" w14:textId="67A7FF7C" w:rsidR="004902B1" w:rsidRPr="00503F5B" w:rsidRDefault="004902B1" w:rsidP="004902B1">
            <w:pPr>
              <w:pStyle w:val="BodyText11"/>
              <w:spacing w:before="0" w:after="0"/>
              <w:jc w:val="right"/>
              <w:rPr>
                <w:rFonts w:asciiTheme="minorHAnsi" w:hAnsiTheme="minorHAnsi" w:cstheme="minorHAnsi"/>
                <w:color w:val="000000" w:themeColor="text1"/>
                <w:sz w:val="18"/>
                <w:szCs w:val="18"/>
                <w:lang w:val="en-AU"/>
              </w:rPr>
            </w:pPr>
            <w:r w:rsidRPr="00503F5B">
              <w:rPr>
                <w:rFonts w:asciiTheme="minorHAnsi" w:hAnsiTheme="minorHAnsi" w:cstheme="minorHAnsi"/>
                <w:sz w:val="18"/>
                <w:szCs w:val="18"/>
                <w:lang w:val="en-AU"/>
              </w:rPr>
              <w:t>+0.00</w:t>
            </w:r>
          </w:p>
        </w:tc>
        <w:tc>
          <w:tcPr>
            <w:tcW w:w="1085" w:type="dxa"/>
            <w:tcBorders>
              <w:top w:val="single" w:sz="4" w:space="0" w:color="ED7C5D"/>
            </w:tcBorders>
          </w:tcPr>
          <w:p w14:paraId="31EB75F3" w14:textId="33011748" w:rsidR="004902B1" w:rsidRPr="00503F5B" w:rsidRDefault="004902B1" w:rsidP="004902B1">
            <w:pPr>
              <w:pStyle w:val="BodyText11"/>
              <w:spacing w:before="0" w:after="0"/>
              <w:jc w:val="right"/>
              <w:rPr>
                <w:rFonts w:asciiTheme="minorHAnsi" w:hAnsiTheme="minorHAnsi" w:cstheme="minorHAnsi"/>
                <w:b/>
                <w:bCs/>
                <w:color w:val="000000" w:themeColor="text1"/>
                <w:sz w:val="18"/>
                <w:szCs w:val="18"/>
                <w:lang w:val="en-AU"/>
              </w:rPr>
            </w:pPr>
            <w:r w:rsidRPr="00503F5B">
              <w:rPr>
                <w:rFonts w:asciiTheme="minorHAnsi" w:hAnsiTheme="minorHAnsi" w:cstheme="minorHAnsi"/>
                <w:b/>
                <w:bCs/>
                <w:sz w:val="18"/>
                <w:szCs w:val="18"/>
                <w:lang w:val="en-AU"/>
              </w:rPr>
              <w:t>+0.00</w:t>
            </w:r>
          </w:p>
        </w:tc>
        <w:tc>
          <w:tcPr>
            <w:tcW w:w="1177" w:type="dxa"/>
            <w:tcBorders>
              <w:top w:val="single" w:sz="4" w:space="0" w:color="ED7C5D"/>
            </w:tcBorders>
          </w:tcPr>
          <w:p w14:paraId="3118C4E5" w14:textId="4BE6F9D3" w:rsidR="004902B1" w:rsidRPr="00503F5B" w:rsidRDefault="004902B1" w:rsidP="004902B1">
            <w:pPr>
              <w:pStyle w:val="BodyText11"/>
              <w:spacing w:before="0" w:after="0"/>
              <w:jc w:val="right"/>
              <w:rPr>
                <w:rFonts w:asciiTheme="minorHAnsi" w:hAnsiTheme="minorHAnsi" w:cstheme="minorHAnsi"/>
                <w:color w:val="000000" w:themeColor="text1"/>
                <w:sz w:val="18"/>
                <w:szCs w:val="18"/>
                <w:lang w:val="en-AU"/>
              </w:rPr>
            </w:pPr>
            <w:r w:rsidRPr="00503F5B">
              <w:rPr>
                <w:rFonts w:asciiTheme="minorHAnsi" w:hAnsiTheme="minorHAnsi" w:cstheme="minorHAnsi"/>
                <w:sz w:val="18"/>
                <w:szCs w:val="18"/>
                <w:lang w:val="en-AU"/>
              </w:rPr>
              <w:t>+0.00</w:t>
            </w:r>
          </w:p>
        </w:tc>
        <w:tc>
          <w:tcPr>
            <w:tcW w:w="968" w:type="dxa"/>
            <w:tcBorders>
              <w:top w:val="single" w:sz="4" w:space="0" w:color="ED7C5D"/>
            </w:tcBorders>
          </w:tcPr>
          <w:p w14:paraId="1E4641F6" w14:textId="770AF73B" w:rsidR="004902B1" w:rsidRPr="00503F5B" w:rsidRDefault="004902B1" w:rsidP="004902B1">
            <w:pPr>
              <w:pStyle w:val="BodyText11"/>
              <w:spacing w:before="0" w:after="0"/>
              <w:jc w:val="right"/>
              <w:rPr>
                <w:rFonts w:asciiTheme="minorHAnsi" w:hAnsiTheme="minorHAnsi" w:cstheme="minorHAnsi"/>
                <w:b/>
                <w:bCs/>
                <w:color w:val="000000" w:themeColor="text1"/>
                <w:sz w:val="18"/>
                <w:szCs w:val="18"/>
                <w:lang w:val="en-AU"/>
              </w:rPr>
            </w:pPr>
            <w:r w:rsidRPr="00503F5B">
              <w:rPr>
                <w:rFonts w:asciiTheme="minorHAnsi" w:hAnsiTheme="minorHAnsi" w:cstheme="minorHAnsi"/>
                <w:b/>
                <w:bCs/>
                <w:sz w:val="18"/>
                <w:szCs w:val="18"/>
                <w:lang w:val="en-AU"/>
              </w:rPr>
              <w:t>+0.00</w:t>
            </w:r>
          </w:p>
        </w:tc>
        <w:tc>
          <w:tcPr>
            <w:tcW w:w="917" w:type="dxa"/>
            <w:tcBorders>
              <w:top w:val="single" w:sz="4" w:space="0" w:color="ED7C5D"/>
            </w:tcBorders>
          </w:tcPr>
          <w:p w14:paraId="085D39C3" w14:textId="7ABB7BA1" w:rsidR="004902B1" w:rsidRPr="00503F5B" w:rsidRDefault="004902B1" w:rsidP="004902B1">
            <w:pPr>
              <w:pStyle w:val="BodyText11"/>
              <w:spacing w:before="0" w:after="0"/>
              <w:jc w:val="right"/>
              <w:rPr>
                <w:rFonts w:asciiTheme="minorHAnsi" w:hAnsiTheme="minorHAnsi" w:cstheme="minorHAnsi"/>
                <w:b/>
                <w:bCs/>
                <w:i/>
                <w:iCs/>
                <w:color w:val="000000" w:themeColor="text1"/>
                <w:sz w:val="18"/>
                <w:szCs w:val="18"/>
                <w:lang w:val="en-AU"/>
              </w:rPr>
            </w:pPr>
            <w:r w:rsidRPr="00503F5B">
              <w:rPr>
                <w:rFonts w:asciiTheme="minorHAnsi" w:hAnsiTheme="minorHAnsi" w:cstheme="minorHAnsi"/>
                <w:b/>
                <w:bCs/>
                <w:i/>
                <w:iCs/>
                <w:sz w:val="18"/>
                <w:szCs w:val="18"/>
                <w:lang w:val="en-AU"/>
              </w:rPr>
              <w:t>+0.00</w:t>
            </w:r>
          </w:p>
        </w:tc>
      </w:tr>
      <w:tr w:rsidR="004902B1" w:rsidRPr="00503F5B" w14:paraId="5C610DDF" w14:textId="77777777" w:rsidTr="009917B8">
        <w:trPr>
          <w:trHeight w:val="245"/>
          <w:jc w:val="center"/>
        </w:trPr>
        <w:tc>
          <w:tcPr>
            <w:tcW w:w="993" w:type="dxa"/>
          </w:tcPr>
          <w:p w14:paraId="1BB9C816" w14:textId="77777777" w:rsidR="004902B1" w:rsidRPr="00503F5B" w:rsidRDefault="004902B1" w:rsidP="004902B1">
            <w:pPr>
              <w:pStyle w:val="BodyText11"/>
              <w:spacing w:before="0" w:after="0"/>
              <w:jc w:val="center"/>
              <w:rPr>
                <w:rFonts w:ascii="Calibri" w:hAnsi="Calibri"/>
                <w:color w:val="000000" w:themeColor="text1"/>
                <w:sz w:val="18"/>
                <w:szCs w:val="18"/>
                <w:lang w:val="en-AU"/>
              </w:rPr>
            </w:pPr>
            <w:r w:rsidRPr="00503F5B">
              <w:rPr>
                <w:rFonts w:ascii="Calibri" w:hAnsi="Calibri"/>
                <w:color w:val="000000" w:themeColor="text1"/>
                <w:sz w:val="18"/>
                <w:szCs w:val="18"/>
                <w:lang w:val="en-AU"/>
              </w:rPr>
              <w:t>Option 1</w:t>
            </w:r>
          </w:p>
        </w:tc>
        <w:tc>
          <w:tcPr>
            <w:tcW w:w="1125" w:type="dxa"/>
          </w:tcPr>
          <w:p w14:paraId="413DB10F" w14:textId="06890980" w:rsidR="004902B1" w:rsidRPr="00503F5B" w:rsidRDefault="004902B1" w:rsidP="004902B1">
            <w:pPr>
              <w:pStyle w:val="BodyText11"/>
              <w:spacing w:before="0" w:after="0"/>
              <w:jc w:val="right"/>
              <w:rPr>
                <w:rFonts w:asciiTheme="minorHAnsi" w:hAnsiTheme="minorHAnsi" w:cstheme="minorHAnsi"/>
                <w:color w:val="000000" w:themeColor="text1"/>
                <w:sz w:val="18"/>
                <w:szCs w:val="18"/>
                <w:lang w:val="en-AU"/>
              </w:rPr>
            </w:pPr>
            <w:r w:rsidRPr="00503F5B">
              <w:rPr>
                <w:rFonts w:asciiTheme="minorHAnsi" w:hAnsiTheme="minorHAnsi" w:cstheme="minorHAnsi"/>
                <w:sz w:val="18"/>
                <w:szCs w:val="18"/>
                <w:lang w:val="en-AU"/>
              </w:rPr>
              <w:t>+5.00</w:t>
            </w:r>
          </w:p>
        </w:tc>
        <w:tc>
          <w:tcPr>
            <w:tcW w:w="1137" w:type="dxa"/>
          </w:tcPr>
          <w:p w14:paraId="76BE67B5" w14:textId="523E2268" w:rsidR="004902B1" w:rsidRPr="00503F5B" w:rsidRDefault="004902B1" w:rsidP="004902B1">
            <w:pPr>
              <w:pStyle w:val="BodyText11"/>
              <w:spacing w:before="0" w:after="0"/>
              <w:jc w:val="right"/>
              <w:rPr>
                <w:rFonts w:asciiTheme="minorHAnsi" w:hAnsiTheme="minorHAnsi" w:cstheme="minorHAnsi"/>
                <w:b/>
                <w:bCs/>
                <w:color w:val="000000" w:themeColor="text1"/>
                <w:sz w:val="18"/>
                <w:szCs w:val="18"/>
                <w:lang w:val="en-AU"/>
              </w:rPr>
            </w:pPr>
            <w:r w:rsidRPr="00503F5B">
              <w:rPr>
                <w:rFonts w:asciiTheme="minorHAnsi" w:hAnsiTheme="minorHAnsi" w:cstheme="minorHAnsi"/>
                <w:b/>
                <w:bCs/>
                <w:sz w:val="18"/>
                <w:szCs w:val="18"/>
                <w:lang w:val="en-AU"/>
              </w:rPr>
              <w:t>+1.00</w:t>
            </w:r>
          </w:p>
        </w:tc>
        <w:tc>
          <w:tcPr>
            <w:tcW w:w="1105" w:type="dxa"/>
          </w:tcPr>
          <w:p w14:paraId="019D941A" w14:textId="34BABE62" w:rsidR="004902B1" w:rsidRPr="00503F5B" w:rsidRDefault="004902B1" w:rsidP="004902B1">
            <w:pPr>
              <w:pStyle w:val="BodyText11"/>
              <w:spacing w:before="0" w:after="0"/>
              <w:jc w:val="right"/>
              <w:rPr>
                <w:rFonts w:asciiTheme="minorHAnsi" w:hAnsiTheme="minorHAnsi" w:cstheme="minorHAnsi"/>
                <w:color w:val="000000" w:themeColor="text1"/>
                <w:sz w:val="18"/>
                <w:szCs w:val="18"/>
                <w:lang w:val="en-AU"/>
              </w:rPr>
            </w:pPr>
            <w:r w:rsidRPr="00503F5B">
              <w:rPr>
                <w:rFonts w:asciiTheme="minorHAnsi" w:hAnsiTheme="minorHAnsi" w:cstheme="minorHAnsi"/>
                <w:sz w:val="18"/>
                <w:szCs w:val="18"/>
                <w:lang w:val="en-AU"/>
              </w:rPr>
              <w:t>+5.00</w:t>
            </w:r>
          </w:p>
        </w:tc>
        <w:tc>
          <w:tcPr>
            <w:tcW w:w="1085" w:type="dxa"/>
          </w:tcPr>
          <w:p w14:paraId="15475AFA" w14:textId="7B267DD4" w:rsidR="004902B1" w:rsidRPr="00503F5B" w:rsidRDefault="004902B1" w:rsidP="004902B1">
            <w:pPr>
              <w:pStyle w:val="BodyText11"/>
              <w:spacing w:before="0" w:after="0"/>
              <w:jc w:val="right"/>
              <w:rPr>
                <w:rFonts w:asciiTheme="minorHAnsi" w:hAnsiTheme="minorHAnsi" w:cstheme="minorHAnsi"/>
                <w:b/>
                <w:bCs/>
                <w:color w:val="000000" w:themeColor="text1"/>
                <w:sz w:val="18"/>
                <w:szCs w:val="18"/>
                <w:lang w:val="en-AU"/>
              </w:rPr>
            </w:pPr>
            <w:r w:rsidRPr="00503F5B">
              <w:rPr>
                <w:rFonts w:asciiTheme="minorHAnsi" w:hAnsiTheme="minorHAnsi" w:cstheme="minorHAnsi"/>
                <w:b/>
                <w:bCs/>
                <w:sz w:val="18"/>
                <w:szCs w:val="18"/>
                <w:lang w:val="en-AU"/>
              </w:rPr>
              <w:t>+1.00</w:t>
            </w:r>
          </w:p>
        </w:tc>
        <w:tc>
          <w:tcPr>
            <w:tcW w:w="1177" w:type="dxa"/>
          </w:tcPr>
          <w:p w14:paraId="6D79DEC4" w14:textId="44892A25" w:rsidR="004902B1" w:rsidRPr="00503F5B" w:rsidRDefault="004902B1" w:rsidP="004902B1">
            <w:pPr>
              <w:pStyle w:val="BodyText11"/>
              <w:spacing w:before="0" w:after="0"/>
              <w:jc w:val="right"/>
              <w:rPr>
                <w:rFonts w:asciiTheme="minorHAnsi" w:hAnsiTheme="minorHAnsi" w:cstheme="minorHAnsi"/>
                <w:color w:val="000000" w:themeColor="text1"/>
                <w:sz w:val="18"/>
                <w:szCs w:val="18"/>
                <w:lang w:val="en-AU"/>
              </w:rPr>
            </w:pPr>
            <w:r w:rsidRPr="00503F5B">
              <w:rPr>
                <w:rFonts w:asciiTheme="minorHAnsi" w:hAnsiTheme="minorHAnsi" w:cstheme="minorHAnsi"/>
                <w:sz w:val="18"/>
                <w:szCs w:val="18"/>
                <w:lang w:val="en-AU"/>
              </w:rPr>
              <w:t>-2.</w:t>
            </w:r>
            <w:r w:rsidR="00FA5A37">
              <w:rPr>
                <w:rFonts w:asciiTheme="minorHAnsi" w:hAnsiTheme="minorHAnsi" w:cstheme="minorHAnsi"/>
                <w:sz w:val="18"/>
                <w:szCs w:val="18"/>
                <w:lang w:val="en-AU"/>
              </w:rPr>
              <w:t>00</w:t>
            </w:r>
          </w:p>
        </w:tc>
        <w:tc>
          <w:tcPr>
            <w:tcW w:w="968" w:type="dxa"/>
          </w:tcPr>
          <w:p w14:paraId="77640883" w14:textId="5D22AD33" w:rsidR="004902B1" w:rsidRPr="00503F5B" w:rsidRDefault="004902B1" w:rsidP="004902B1">
            <w:pPr>
              <w:pStyle w:val="BodyText11"/>
              <w:spacing w:before="0" w:after="0"/>
              <w:jc w:val="right"/>
              <w:rPr>
                <w:rFonts w:asciiTheme="minorHAnsi" w:hAnsiTheme="minorHAnsi" w:cstheme="minorHAnsi"/>
                <w:b/>
                <w:bCs/>
                <w:color w:val="000000" w:themeColor="text1"/>
                <w:sz w:val="18"/>
                <w:szCs w:val="18"/>
                <w:lang w:val="en-AU"/>
              </w:rPr>
            </w:pPr>
            <w:r w:rsidRPr="00503F5B">
              <w:rPr>
                <w:rFonts w:asciiTheme="minorHAnsi" w:hAnsiTheme="minorHAnsi" w:cstheme="minorHAnsi"/>
                <w:b/>
                <w:bCs/>
                <w:sz w:val="18"/>
                <w:szCs w:val="18"/>
                <w:lang w:val="en-AU"/>
              </w:rPr>
              <w:t>-1.</w:t>
            </w:r>
            <w:r w:rsidR="00FA5A37">
              <w:rPr>
                <w:rFonts w:asciiTheme="minorHAnsi" w:hAnsiTheme="minorHAnsi" w:cstheme="minorHAnsi"/>
                <w:b/>
                <w:bCs/>
                <w:sz w:val="18"/>
                <w:szCs w:val="18"/>
                <w:lang w:val="en-AU"/>
              </w:rPr>
              <w:t>20</w:t>
            </w:r>
          </w:p>
        </w:tc>
        <w:tc>
          <w:tcPr>
            <w:tcW w:w="917" w:type="dxa"/>
          </w:tcPr>
          <w:p w14:paraId="53A78333" w14:textId="165B5C9D" w:rsidR="004902B1" w:rsidRPr="00503F5B" w:rsidRDefault="004902B1" w:rsidP="004902B1">
            <w:pPr>
              <w:pStyle w:val="BodyText11"/>
              <w:spacing w:before="0" w:after="0"/>
              <w:jc w:val="right"/>
              <w:rPr>
                <w:rFonts w:asciiTheme="minorHAnsi" w:hAnsiTheme="minorHAnsi" w:cstheme="minorHAnsi"/>
                <w:b/>
                <w:bCs/>
                <w:i/>
                <w:iCs/>
                <w:color w:val="000000" w:themeColor="text1"/>
                <w:sz w:val="18"/>
                <w:szCs w:val="18"/>
                <w:lang w:val="en-AU"/>
              </w:rPr>
            </w:pPr>
            <w:r w:rsidRPr="00503F5B">
              <w:rPr>
                <w:rFonts w:asciiTheme="minorHAnsi" w:hAnsiTheme="minorHAnsi" w:cstheme="minorHAnsi"/>
                <w:b/>
                <w:bCs/>
                <w:i/>
                <w:iCs/>
                <w:sz w:val="18"/>
                <w:szCs w:val="18"/>
                <w:lang w:val="en-AU"/>
              </w:rPr>
              <w:t>+0.</w:t>
            </w:r>
            <w:r w:rsidR="00FA5A37">
              <w:rPr>
                <w:rFonts w:asciiTheme="minorHAnsi" w:hAnsiTheme="minorHAnsi" w:cstheme="minorHAnsi"/>
                <w:b/>
                <w:bCs/>
                <w:i/>
                <w:iCs/>
                <w:sz w:val="18"/>
                <w:szCs w:val="18"/>
                <w:lang w:val="en-AU"/>
              </w:rPr>
              <w:t>80</w:t>
            </w:r>
          </w:p>
        </w:tc>
      </w:tr>
      <w:tr w:rsidR="004902B1" w:rsidRPr="00503F5B" w14:paraId="4BE3C26B" w14:textId="77777777" w:rsidTr="009917B8">
        <w:trPr>
          <w:jc w:val="center"/>
        </w:trPr>
        <w:tc>
          <w:tcPr>
            <w:tcW w:w="993" w:type="dxa"/>
          </w:tcPr>
          <w:p w14:paraId="125E15C2" w14:textId="77777777" w:rsidR="004902B1" w:rsidRPr="00503F5B" w:rsidRDefault="004902B1" w:rsidP="004902B1">
            <w:pPr>
              <w:pStyle w:val="BodyText11"/>
              <w:spacing w:before="0" w:after="0"/>
              <w:jc w:val="center"/>
              <w:rPr>
                <w:rFonts w:ascii="Calibri" w:hAnsi="Calibri"/>
                <w:color w:val="000000" w:themeColor="text1"/>
                <w:sz w:val="18"/>
                <w:szCs w:val="18"/>
                <w:lang w:val="en-AU"/>
              </w:rPr>
            </w:pPr>
            <w:r w:rsidRPr="00503F5B">
              <w:rPr>
                <w:rFonts w:ascii="Calibri" w:hAnsi="Calibri"/>
                <w:color w:val="000000" w:themeColor="text1"/>
                <w:sz w:val="18"/>
                <w:szCs w:val="18"/>
                <w:lang w:val="en-AU"/>
              </w:rPr>
              <w:t>Option 2</w:t>
            </w:r>
          </w:p>
        </w:tc>
        <w:tc>
          <w:tcPr>
            <w:tcW w:w="1125" w:type="dxa"/>
          </w:tcPr>
          <w:p w14:paraId="3E755C9D" w14:textId="49FCB9C4" w:rsidR="004902B1" w:rsidRPr="00503F5B" w:rsidRDefault="004902B1" w:rsidP="004902B1">
            <w:pPr>
              <w:pStyle w:val="BodyText11"/>
              <w:spacing w:before="0" w:after="0"/>
              <w:jc w:val="right"/>
              <w:rPr>
                <w:rFonts w:asciiTheme="minorHAnsi" w:hAnsiTheme="minorHAnsi" w:cstheme="minorHAnsi"/>
                <w:color w:val="000000" w:themeColor="text1"/>
                <w:sz w:val="18"/>
                <w:szCs w:val="18"/>
                <w:lang w:val="en-AU"/>
              </w:rPr>
            </w:pPr>
            <w:r w:rsidRPr="00503F5B">
              <w:rPr>
                <w:rFonts w:asciiTheme="minorHAnsi" w:hAnsiTheme="minorHAnsi" w:cstheme="minorHAnsi"/>
                <w:sz w:val="18"/>
                <w:szCs w:val="18"/>
                <w:lang w:val="en-AU"/>
              </w:rPr>
              <w:t>+1.</w:t>
            </w:r>
            <w:r w:rsidR="00FA5A37">
              <w:rPr>
                <w:rFonts w:asciiTheme="minorHAnsi" w:hAnsiTheme="minorHAnsi" w:cstheme="minorHAnsi"/>
                <w:sz w:val="18"/>
                <w:szCs w:val="18"/>
                <w:lang w:val="en-AU"/>
              </w:rPr>
              <w:t>15</w:t>
            </w:r>
          </w:p>
        </w:tc>
        <w:tc>
          <w:tcPr>
            <w:tcW w:w="1137" w:type="dxa"/>
          </w:tcPr>
          <w:p w14:paraId="376EC229" w14:textId="7F6F8005" w:rsidR="004902B1" w:rsidRPr="00503F5B" w:rsidRDefault="004902B1" w:rsidP="004902B1">
            <w:pPr>
              <w:pStyle w:val="BodyText11"/>
              <w:spacing w:before="0" w:after="0"/>
              <w:jc w:val="right"/>
              <w:rPr>
                <w:rFonts w:asciiTheme="minorHAnsi" w:hAnsiTheme="minorHAnsi" w:cstheme="minorHAnsi"/>
                <w:b/>
                <w:bCs/>
                <w:color w:val="000000" w:themeColor="text1"/>
                <w:sz w:val="18"/>
                <w:szCs w:val="18"/>
                <w:lang w:val="en-AU"/>
              </w:rPr>
            </w:pPr>
            <w:r w:rsidRPr="00503F5B">
              <w:rPr>
                <w:rFonts w:asciiTheme="minorHAnsi" w:hAnsiTheme="minorHAnsi" w:cstheme="minorHAnsi"/>
                <w:b/>
                <w:bCs/>
                <w:sz w:val="18"/>
                <w:szCs w:val="18"/>
                <w:lang w:val="en-AU"/>
              </w:rPr>
              <w:t>+0.2</w:t>
            </w:r>
            <w:r w:rsidR="00FA5A37">
              <w:rPr>
                <w:rFonts w:asciiTheme="minorHAnsi" w:hAnsiTheme="minorHAnsi" w:cstheme="minorHAnsi"/>
                <w:b/>
                <w:bCs/>
                <w:sz w:val="18"/>
                <w:szCs w:val="18"/>
                <w:lang w:val="en-AU"/>
              </w:rPr>
              <w:t>3</w:t>
            </w:r>
          </w:p>
        </w:tc>
        <w:tc>
          <w:tcPr>
            <w:tcW w:w="1105" w:type="dxa"/>
          </w:tcPr>
          <w:p w14:paraId="2F1B718B" w14:textId="738F4EA0" w:rsidR="004902B1" w:rsidRPr="00503F5B" w:rsidRDefault="004902B1" w:rsidP="004902B1">
            <w:pPr>
              <w:pStyle w:val="BodyText11"/>
              <w:spacing w:before="0" w:after="0"/>
              <w:jc w:val="right"/>
              <w:rPr>
                <w:rFonts w:asciiTheme="minorHAnsi" w:hAnsiTheme="minorHAnsi" w:cstheme="minorHAnsi"/>
                <w:color w:val="000000" w:themeColor="text1"/>
                <w:sz w:val="18"/>
                <w:szCs w:val="18"/>
                <w:lang w:val="en-AU"/>
              </w:rPr>
            </w:pPr>
            <w:r w:rsidRPr="00503F5B">
              <w:rPr>
                <w:rFonts w:asciiTheme="minorHAnsi" w:hAnsiTheme="minorHAnsi" w:cstheme="minorHAnsi"/>
                <w:sz w:val="18"/>
                <w:szCs w:val="18"/>
                <w:lang w:val="en-AU"/>
              </w:rPr>
              <w:t>+1.</w:t>
            </w:r>
            <w:r w:rsidR="00FA5A37">
              <w:rPr>
                <w:rFonts w:asciiTheme="minorHAnsi" w:hAnsiTheme="minorHAnsi" w:cstheme="minorHAnsi"/>
                <w:sz w:val="18"/>
                <w:szCs w:val="18"/>
                <w:lang w:val="en-AU"/>
              </w:rPr>
              <w:t>15</w:t>
            </w:r>
          </w:p>
        </w:tc>
        <w:tc>
          <w:tcPr>
            <w:tcW w:w="1085" w:type="dxa"/>
          </w:tcPr>
          <w:p w14:paraId="4ADFA262" w14:textId="5BC8586B" w:rsidR="004902B1" w:rsidRPr="00503F5B" w:rsidRDefault="004902B1" w:rsidP="004902B1">
            <w:pPr>
              <w:pStyle w:val="BodyText11"/>
              <w:spacing w:before="0" w:after="0"/>
              <w:jc w:val="right"/>
              <w:rPr>
                <w:rFonts w:asciiTheme="minorHAnsi" w:hAnsiTheme="minorHAnsi" w:cstheme="minorHAnsi"/>
                <w:b/>
                <w:bCs/>
                <w:color w:val="000000" w:themeColor="text1"/>
                <w:sz w:val="18"/>
                <w:szCs w:val="18"/>
                <w:lang w:val="en-AU"/>
              </w:rPr>
            </w:pPr>
            <w:r w:rsidRPr="00503F5B">
              <w:rPr>
                <w:rFonts w:asciiTheme="minorHAnsi" w:hAnsiTheme="minorHAnsi" w:cstheme="minorHAnsi"/>
                <w:b/>
                <w:bCs/>
                <w:sz w:val="18"/>
                <w:szCs w:val="18"/>
                <w:lang w:val="en-AU"/>
              </w:rPr>
              <w:t>+0.2</w:t>
            </w:r>
            <w:r w:rsidR="00FA5A37">
              <w:rPr>
                <w:rFonts w:asciiTheme="minorHAnsi" w:hAnsiTheme="minorHAnsi" w:cstheme="minorHAnsi"/>
                <w:b/>
                <w:bCs/>
                <w:sz w:val="18"/>
                <w:szCs w:val="18"/>
                <w:lang w:val="en-AU"/>
              </w:rPr>
              <w:t>3</w:t>
            </w:r>
          </w:p>
        </w:tc>
        <w:tc>
          <w:tcPr>
            <w:tcW w:w="1177" w:type="dxa"/>
          </w:tcPr>
          <w:p w14:paraId="00656EFC" w14:textId="2FF4EA4C" w:rsidR="004902B1" w:rsidRPr="00503F5B" w:rsidRDefault="004902B1" w:rsidP="004902B1">
            <w:pPr>
              <w:pStyle w:val="BodyText11"/>
              <w:spacing w:before="0" w:after="0"/>
              <w:jc w:val="right"/>
              <w:rPr>
                <w:rFonts w:asciiTheme="minorHAnsi" w:hAnsiTheme="minorHAnsi" w:cstheme="minorHAnsi"/>
                <w:color w:val="000000" w:themeColor="text1"/>
                <w:sz w:val="18"/>
                <w:szCs w:val="18"/>
                <w:lang w:val="en-AU"/>
              </w:rPr>
            </w:pPr>
            <w:r w:rsidRPr="00503F5B">
              <w:rPr>
                <w:rFonts w:asciiTheme="minorHAnsi" w:hAnsiTheme="minorHAnsi" w:cstheme="minorHAnsi"/>
                <w:sz w:val="18"/>
                <w:szCs w:val="18"/>
                <w:lang w:val="en-AU"/>
              </w:rPr>
              <w:t>-0.</w:t>
            </w:r>
            <w:r w:rsidR="00FA5A37">
              <w:rPr>
                <w:rFonts w:asciiTheme="minorHAnsi" w:hAnsiTheme="minorHAnsi" w:cstheme="minorHAnsi"/>
                <w:sz w:val="18"/>
                <w:szCs w:val="18"/>
                <w:lang w:val="en-AU"/>
              </w:rPr>
              <w:t>05</w:t>
            </w:r>
          </w:p>
        </w:tc>
        <w:tc>
          <w:tcPr>
            <w:tcW w:w="968" w:type="dxa"/>
          </w:tcPr>
          <w:p w14:paraId="4E5F63CE" w14:textId="61CD2EE3" w:rsidR="004902B1" w:rsidRPr="00503F5B" w:rsidRDefault="004902B1" w:rsidP="004902B1">
            <w:pPr>
              <w:pStyle w:val="BodyText11"/>
              <w:spacing w:before="0" w:after="0"/>
              <w:jc w:val="right"/>
              <w:rPr>
                <w:rFonts w:asciiTheme="minorHAnsi" w:hAnsiTheme="minorHAnsi" w:cstheme="minorHAnsi"/>
                <w:b/>
                <w:bCs/>
                <w:color w:val="000000" w:themeColor="text1"/>
                <w:sz w:val="18"/>
                <w:szCs w:val="18"/>
                <w:lang w:val="en-AU"/>
              </w:rPr>
            </w:pPr>
            <w:r w:rsidRPr="00503F5B">
              <w:rPr>
                <w:rFonts w:asciiTheme="minorHAnsi" w:hAnsiTheme="minorHAnsi" w:cstheme="minorHAnsi"/>
                <w:b/>
                <w:bCs/>
                <w:sz w:val="18"/>
                <w:szCs w:val="18"/>
                <w:lang w:val="en-AU"/>
              </w:rPr>
              <w:t>-0.</w:t>
            </w:r>
            <w:r w:rsidR="00FA5A37">
              <w:rPr>
                <w:rFonts w:asciiTheme="minorHAnsi" w:hAnsiTheme="minorHAnsi" w:cstheme="minorHAnsi"/>
                <w:b/>
                <w:bCs/>
                <w:sz w:val="18"/>
                <w:szCs w:val="18"/>
                <w:lang w:val="en-AU"/>
              </w:rPr>
              <w:t>30</w:t>
            </w:r>
          </w:p>
        </w:tc>
        <w:tc>
          <w:tcPr>
            <w:tcW w:w="917" w:type="dxa"/>
          </w:tcPr>
          <w:p w14:paraId="3C84C0C3" w14:textId="178CAD08" w:rsidR="004902B1" w:rsidRPr="00503F5B" w:rsidRDefault="004902B1" w:rsidP="004902B1">
            <w:pPr>
              <w:pStyle w:val="BodyText11"/>
              <w:spacing w:before="0" w:after="0"/>
              <w:jc w:val="right"/>
              <w:rPr>
                <w:rFonts w:asciiTheme="minorHAnsi" w:hAnsiTheme="minorHAnsi" w:cstheme="minorHAnsi"/>
                <w:b/>
                <w:bCs/>
                <w:i/>
                <w:iCs/>
                <w:color w:val="000000" w:themeColor="text1"/>
                <w:sz w:val="18"/>
                <w:szCs w:val="18"/>
                <w:lang w:val="en-AU"/>
              </w:rPr>
            </w:pPr>
            <w:r w:rsidRPr="00503F5B">
              <w:rPr>
                <w:rFonts w:asciiTheme="minorHAnsi" w:hAnsiTheme="minorHAnsi" w:cstheme="minorHAnsi"/>
                <w:b/>
                <w:bCs/>
                <w:i/>
                <w:iCs/>
                <w:sz w:val="18"/>
                <w:szCs w:val="18"/>
                <w:lang w:val="en-AU"/>
              </w:rPr>
              <w:t>+0.</w:t>
            </w:r>
            <w:r w:rsidR="00FA5A37">
              <w:rPr>
                <w:rFonts w:asciiTheme="minorHAnsi" w:hAnsiTheme="minorHAnsi" w:cstheme="minorHAnsi"/>
                <w:b/>
                <w:bCs/>
                <w:i/>
                <w:iCs/>
                <w:sz w:val="18"/>
                <w:szCs w:val="18"/>
                <w:lang w:val="en-AU"/>
              </w:rPr>
              <w:t>16</w:t>
            </w:r>
          </w:p>
        </w:tc>
      </w:tr>
      <w:tr w:rsidR="004902B1" w:rsidRPr="00503F5B" w14:paraId="6A20106B" w14:textId="77777777" w:rsidTr="009917B8">
        <w:trPr>
          <w:jc w:val="center"/>
        </w:trPr>
        <w:tc>
          <w:tcPr>
            <w:tcW w:w="993" w:type="dxa"/>
          </w:tcPr>
          <w:p w14:paraId="7BA66AF1" w14:textId="77777777" w:rsidR="004902B1" w:rsidRPr="00503F5B" w:rsidRDefault="004902B1" w:rsidP="004902B1">
            <w:pPr>
              <w:pStyle w:val="BodyText11"/>
              <w:spacing w:before="0" w:after="0"/>
              <w:jc w:val="center"/>
              <w:rPr>
                <w:rFonts w:ascii="Calibri" w:hAnsi="Calibri"/>
                <w:color w:val="000000" w:themeColor="text1"/>
                <w:sz w:val="18"/>
                <w:szCs w:val="18"/>
                <w:lang w:val="en-AU"/>
              </w:rPr>
            </w:pPr>
            <w:r w:rsidRPr="00503F5B">
              <w:rPr>
                <w:rFonts w:ascii="Calibri" w:hAnsi="Calibri"/>
                <w:color w:val="000000" w:themeColor="text1"/>
                <w:sz w:val="18"/>
                <w:szCs w:val="18"/>
                <w:lang w:val="en-AU"/>
              </w:rPr>
              <w:lastRenderedPageBreak/>
              <w:t>Option 3</w:t>
            </w:r>
          </w:p>
        </w:tc>
        <w:tc>
          <w:tcPr>
            <w:tcW w:w="1125" w:type="dxa"/>
          </w:tcPr>
          <w:p w14:paraId="3A61AB38" w14:textId="06D1CA19" w:rsidR="004902B1" w:rsidRPr="00503F5B" w:rsidRDefault="004902B1" w:rsidP="004902B1">
            <w:pPr>
              <w:pStyle w:val="BodyText11"/>
              <w:spacing w:before="0" w:after="0"/>
              <w:jc w:val="right"/>
              <w:rPr>
                <w:rFonts w:asciiTheme="minorHAnsi" w:hAnsiTheme="minorHAnsi" w:cstheme="minorHAnsi"/>
                <w:color w:val="000000" w:themeColor="text1"/>
                <w:sz w:val="18"/>
                <w:szCs w:val="18"/>
                <w:lang w:val="en-AU"/>
              </w:rPr>
            </w:pPr>
            <w:r w:rsidRPr="00503F5B">
              <w:rPr>
                <w:rFonts w:asciiTheme="minorHAnsi" w:hAnsiTheme="minorHAnsi" w:cstheme="minorHAnsi"/>
                <w:sz w:val="18"/>
                <w:szCs w:val="18"/>
                <w:lang w:val="en-AU"/>
              </w:rPr>
              <w:t>+0.57</w:t>
            </w:r>
          </w:p>
        </w:tc>
        <w:tc>
          <w:tcPr>
            <w:tcW w:w="1137" w:type="dxa"/>
          </w:tcPr>
          <w:p w14:paraId="4FF24CFF" w14:textId="3942CCC4" w:rsidR="004902B1" w:rsidRPr="00503F5B" w:rsidRDefault="004902B1" w:rsidP="004902B1">
            <w:pPr>
              <w:pStyle w:val="BodyText11"/>
              <w:spacing w:before="0" w:after="0"/>
              <w:jc w:val="right"/>
              <w:rPr>
                <w:rFonts w:asciiTheme="minorHAnsi" w:hAnsiTheme="minorHAnsi" w:cstheme="minorHAnsi"/>
                <w:b/>
                <w:bCs/>
                <w:color w:val="000000" w:themeColor="text1"/>
                <w:sz w:val="18"/>
                <w:szCs w:val="18"/>
                <w:lang w:val="en-AU"/>
              </w:rPr>
            </w:pPr>
            <w:r w:rsidRPr="00503F5B">
              <w:rPr>
                <w:rFonts w:asciiTheme="minorHAnsi" w:hAnsiTheme="minorHAnsi" w:cstheme="minorHAnsi"/>
                <w:b/>
                <w:bCs/>
                <w:sz w:val="18"/>
                <w:szCs w:val="18"/>
                <w:lang w:val="en-AU"/>
              </w:rPr>
              <w:t>+0.11</w:t>
            </w:r>
          </w:p>
        </w:tc>
        <w:tc>
          <w:tcPr>
            <w:tcW w:w="1105" w:type="dxa"/>
          </w:tcPr>
          <w:p w14:paraId="1D80C1AF" w14:textId="52B65112" w:rsidR="004902B1" w:rsidRPr="00503F5B" w:rsidRDefault="004902B1" w:rsidP="004902B1">
            <w:pPr>
              <w:pStyle w:val="BodyText11"/>
              <w:spacing w:before="0" w:after="0"/>
              <w:jc w:val="right"/>
              <w:rPr>
                <w:rFonts w:asciiTheme="minorHAnsi" w:hAnsiTheme="minorHAnsi" w:cstheme="minorHAnsi"/>
                <w:color w:val="000000" w:themeColor="text1"/>
                <w:sz w:val="18"/>
                <w:szCs w:val="18"/>
                <w:lang w:val="en-AU"/>
              </w:rPr>
            </w:pPr>
            <w:r w:rsidRPr="00503F5B">
              <w:rPr>
                <w:rFonts w:asciiTheme="minorHAnsi" w:hAnsiTheme="minorHAnsi" w:cstheme="minorHAnsi"/>
                <w:sz w:val="18"/>
                <w:szCs w:val="18"/>
                <w:lang w:val="en-AU"/>
              </w:rPr>
              <w:t>+0.57</w:t>
            </w:r>
          </w:p>
        </w:tc>
        <w:tc>
          <w:tcPr>
            <w:tcW w:w="1085" w:type="dxa"/>
          </w:tcPr>
          <w:p w14:paraId="6F931164" w14:textId="3750FF86" w:rsidR="004902B1" w:rsidRPr="00503F5B" w:rsidRDefault="004902B1" w:rsidP="004902B1">
            <w:pPr>
              <w:pStyle w:val="BodyText11"/>
              <w:spacing w:before="0" w:after="0"/>
              <w:jc w:val="right"/>
              <w:rPr>
                <w:rFonts w:asciiTheme="minorHAnsi" w:hAnsiTheme="minorHAnsi" w:cstheme="minorHAnsi"/>
                <w:b/>
                <w:bCs/>
                <w:color w:val="000000" w:themeColor="text1"/>
                <w:sz w:val="18"/>
                <w:szCs w:val="18"/>
                <w:lang w:val="en-AU"/>
              </w:rPr>
            </w:pPr>
            <w:r w:rsidRPr="00503F5B">
              <w:rPr>
                <w:rFonts w:asciiTheme="minorHAnsi" w:hAnsiTheme="minorHAnsi" w:cstheme="minorHAnsi"/>
                <w:b/>
                <w:bCs/>
                <w:sz w:val="18"/>
                <w:szCs w:val="18"/>
                <w:lang w:val="en-AU"/>
              </w:rPr>
              <w:t>+0.11</w:t>
            </w:r>
          </w:p>
        </w:tc>
        <w:tc>
          <w:tcPr>
            <w:tcW w:w="1177" w:type="dxa"/>
          </w:tcPr>
          <w:p w14:paraId="780F19B8" w14:textId="0AD6DB55" w:rsidR="004902B1" w:rsidRPr="00503F5B" w:rsidRDefault="004902B1" w:rsidP="004902B1">
            <w:pPr>
              <w:pStyle w:val="BodyText11"/>
              <w:spacing w:before="0" w:after="0"/>
              <w:jc w:val="right"/>
              <w:rPr>
                <w:rFonts w:asciiTheme="minorHAnsi" w:hAnsiTheme="minorHAnsi" w:cstheme="minorHAnsi"/>
                <w:color w:val="000000" w:themeColor="text1"/>
                <w:sz w:val="18"/>
                <w:szCs w:val="18"/>
                <w:lang w:val="en-AU"/>
              </w:rPr>
            </w:pPr>
            <w:r w:rsidRPr="00503F5B">
              <w:rPr>
                <w:rFonts w:asciiTheme="minorHAnsi" w:hAnsiTheme="minorHAnsi" w:cstheme="minorHAnsi"/>
                <w:sz w:val="18"/>
                <w:szCs w:val="18"/>
                <w:lang w:val="en-AU"/>
              </w:rPr>
              <w:t>-0.</w:t>
            </w:r>
            <w:r w:rsidR="00FA5A37">
              <w:rPr>
                <w:rFonts w:asciiTheme="minorHAnsi" w:hAnsiTheme="minorHAnsi" w:cstheme="minorHAnsi"/>
                <w:sz w:val="18"/>
                <w:szCs w:val="18"/>
                <w:lang w:val="en-AU"/>
              </w:rPr>
              <w:t>23</w:t>
            </w:r>
          </w:p>
        </w:tc>
        <w:tc>
          <w:tcPr>
            <w:tcW w:w="968" w:type="dxa"/>
          </w:tcPr>
          <w:p w14:paraId="765A935D" w14:textId="6FA91408" w:rsidR="004902B1" w:rsidRPr="00503F5B" w:rsidRDefault="004902B1" w:rsidP="004902B1">
            <w:pPr>
              <w:pStyle w:val="BodyText11"/>
              <w:spacing w:before="0" w:after="0"/>
              <w:jc w:val="right"/>
              <w:rPr>
                <w:rFonts w:asciiTheme="minorHAnsi" w:hAnsiTheme="minorHAnsi" w:cstheme="minorHAnsi"/>
                <w:b/>
                <w:bCs/>
                <w:color w:val="000000" w:themeColor="text1"/>
                <w:sz w:val="18"/>
                <w:szCs w:val="18"/>
                <w:lang w:val="en-AU"/>
              </w:rPr>
            </w:pPr>
            <w:r w:rsidRPr="00503F5B">
              <w:rPr>
                <w:rFonts w:asciiTheme="minorHAnsi" w:hAnsiTheme="minorHAnsi" w:cstheme="minorHAnsi"/>
                <w:b/>
                <w:bCs/>
                <w:sz w:val="18"/>
                <w:szCs w:val="18"/>
                <w:lang w:val="en-AU"/>
              </w:rPr>
              <w:t>-0.1</w:t>
            </w:r>
            <w:r w:rsidR="00FA5A37">
              <w:rPr>
                <w:rFonts w:asciiTheme="minorHAnsi" w:hAnsiTheme="minorHAnsi" w:cstheme="minorHAnsi"/>
                <w:b/>
                <w:bCs/>
                <w:sz w:val="18"/>
                <w:szCs w:val="18"/>
                <w:lang w:val="en-AU"/>
              </w:rPr>
              <w:t>4</w:t>
            </w:r>
          </w:p>
        </w:tc>
        <w:tc>
          <w:tcPr>
            <w:tcW w:w="917" w:type="dxa"/>
          </w:tcPr>
          <w:p w14:paraId="0BD449CE" w14:textId="44727409" w:rsidR="004902B1" w:rsidRPr="00503F5B" w:rsidRDefault="004902B1" w:rsidP="004902B1">
            <w:pPr>
              <w:pStyle w:val="BodyText11"/>
              <w:spacing w:before="0" w:after="0"/>
              <w:jc w:val="right"/>
              <w:rPr>
                <w:rFonts w:asciiTheme="minorHAnsi" w:hAnsiTheme="minorHAnsi" w:cstheme="minorHAnsi"/>
                <w:b/>
                <w:bCs/>
                <w:i/>
                <w:iCs/>
                <w:color w:val="000000" w:themeColor="text1"/>
                <w:sz w:val="18"/>
                <w:szCs w:val="18"/>
                <w:lang w:val="en-AU"/>
              </w:rPr>
            </w:pPr>
            <w:r w:rsidRPr="00503F5B">
              <w:rPr>
                <w:rFonts w:asciiTheme="minorHAnsi" w:hAnsiTheme="minorHAnsi" w:cstheme="minorHAnsi"/>
                <w:b/>
                <w:bCs/>
                <w:i/>
                <w:iCs/>
                <w:sz w:val="18"/>
                <w:szCs w:val="18"/>
                <w:lang w:val="en-AU"/>
              </w:rPr>
              <w:t>+0.0</w:t>
            </w:r>
            <w:r w:rsidR="00FA5A37">
              <w:rPr>
                <w:rFonts w:asciiTheme="minorHAnsi" w:hAnsiTheme="minorHAnsi" w:cstheme="minorHAnsi"/>
                <w:b/>
                <w:bCs/>
                <w:i/>
                <w:iCs/>
                <w:sz w:val="18"/>
                <w:szCs w:val="18"/>
                <w:lang w:val="en-AU"/>
              </w:rPr>
              <w:t>9</w:t>
            </w:r>
          </w:p>
        </w:tc>
      </w:tr>
      <w:tr w:rsidR="004902B1" w:rsidRPr="00503F5B" w14:paraId="0EF1BF77" w14:textId="77777777" w:rsidTr="009917B8">
        <w:trPr>
          <w:jc w:val="center"/>
        </w:trPr>
        <w:tc>
          <w:tcPr>
            <w:tcW w:w="993" w:type="dxa"/>
            <w:tcBorders>
              <w:bottom w:val="single" w:sz="4" w:space="0" w:color="ED7C5D"/>
            </w:tcBorders>
          </w:tcPr>
          <w:p w14:paraId="5FFC5B2E" w14:textId="70EEE662" w:rsidR="004902B1" w:rsidRPr="00503F5B" w:rsidRDefault="004902B1" w:rsidP="004902B1">
            <w:pPr>
              <w:pStyle w:val="BodyText11"/>
              <w:spacing w:before="0" w:after="0"/>
              <w:jc w:val="center"/>
              <w:rPr>
                <w:rFonts w:ascii="Calibri" w:hAnsi="Calibri"/>
                <w:color w:val="000000" w:themeColor="text1"/>
                <w:sz w:val="18"/>
                <w:szCs w:val="18"/>
                <w:lang w:val="en-AU"/>
              </w:rPr>
            </w:pPr>
            <w:r w:rsidRPr="00503F5B">
              <w:rPr>
                <w:rFonts w:ascii="Calibri" w:hAnsi="Calibri"/>
                <w:color w:val="000000" w:themeColor="text1"/>
                <w:sz w:val="18"/>
                <w:szCs w:val="18"/>
                <w:lang w:val="en-AU"/>
              </w:rPr>
              <w:t>Option 4</w:t>
            </w:r>
          </w:p>
        </w:tc>
        <w:tc>
          <w:tcPr>
            <w:tcW w:w="1125" w:type="dxa"/>
            <w:tcBorders>
              <w:bottom w:val="single" w:sz="4" w:space="0" w:color="ED7C5D"/>
            </w:tcBorders>
          </w:tcPr>
          <w:p w14:paraId="6F42EDB1" w14:textId="71EAEA25" w:rsidR="004902B1" w:rsidRPr="00503F5B" w:rsidRDefault="004902B1" w:rsidP="004902B1">
            <w:pPr>
              <w:pStyle w:val="BodyText11"/>
              <w:spacing w:before="0" w:after="0"/>
              <w:jc w:val="right"/>
              <w:rPr>
                <w:rFonts w:asciiTheme="minorHAnsi" w:eastAsia="Times New Roman" w:hAnsiTheme="minorHAnsi" w:cstheme="minorHAnsi"/>
                <w:color w:val="000000"/>
                <w:sz w:val="18"/>
                <w:szCs w:val="18"/>
                <w:lang w:val="en-AU"/>
              </w:rPr>
            </w:pPr>
            <w:r w:rsidRPr="00503F5B">
              <w:rPr>
                <w:rFonts w:asciiTheme="minorHAnsi" w:hAnsiTheme="minorHAnsi" w:cstheme="minorHAnsi"/>
                <w:sz w:val="18"/>
                <w:szCs w:val="18"/>
                <w:lang w:val="en-AU"/>
              </w:rPr>
              <w:t>+0.03</w:t>
            </w:r>
          </w:p>
        </w:tc>
        <w:tc>
          <w:tcPr>
            <w:tcW w:w="1137" w:type="dxa"/>
            <w:tcBorders>
              <w:bottom w:val="single" w:sz="4" w:space="0" w:color="ED7C5D"/>
            </w:tcBorders>
          </w:tcPr>
          <w:p w14:paraId="75A59469" w14:textId="5C257E22" w:rsidR="004902B1" w:rsidRPr="00503F5B" w:rsidRDefault="004902B1" w:rsidP="004902B1">
            <w:pPr>
              <w:pStyle w:val="BodyText11"/>
              <w:spacing w:before="0" w:after="0"/>
              <w:jc w:val="right"/>
              <w:rPr>
                <w:rFonts w:asciiTheme="minorHAnsi" w:eastAsia="Times New Roman" w:hAnsiTheme="minorHAnsi" w:cstheme="minorHAnsi"/>
                <w:b/>
                <w:bCs/>
                <w:color w:val="000000"/>
                <w:sz w:val="18"/>
                <w:szCs w:val="18"/>
                <w:lang w:val="en-AU"/>
              </w:rPr>
            </w:pPr>
            <w:r w:rsidRPr="00503F5B">
              <w:rPr>
                <w:rFonts w:asciiTheme="minorHAnsi" w:hAnsiTheme="minorHAnsi" w:cstheme="minorHAnsi"/>
                <w:b/>
                <w:bCs/>
                <w:sz w:val="18"/>
                <w:szCs w:val="18"/>
                <w:lang w:val="en-AU"/>
              </w:rPr>
              <w:t>+0.01</w:t>
            </w:r>
          </w:p>
        </w:tc>
        <w:tc>
          <w:tcPr>
            <w:tcW w:w="1105" w:type="dxa"/>
            <w:tcBorders>
              <w:bottom w:val="single" w:sz="4" w:space="0" w:color="ED7C5D"/>
            </w:tcBorders>
          </w:tcPr>
          <w:p w14:paraId="6C3B7CBF" w14:textId="75DA644B" w:rsidR="004902B1" w:rsidRPr="00503F5B" w:rsidRDefault="004902B1" w:rsidP="004902B1">
            <w:pPr>
              <w:pStyle w:val="BodyText11"/>
              <w:spacing w:before="0" w:after="0"/>
              <w:jc w:val="right"/>
              <w:rPr>
                <w:rFonts w:asciiTheme="minorHAnsi" w:eastAsia="Times New Roman" w:hAnsiTheme="minorHAnsi" w:cstheme="minorHAnsi"/>
                <w:color w:val="000000"/>
                <w:sz w:val="18"/>
                <w:szCs w:val="18"/>
                <w:lang w:val="en-AU"/>
              </w:rPr>
            </w:pPr>
            <w:r w:rsidRPr="00503F5B">
              <w:rPr>
                <w:rFonts w:asciiTheme="minorHAnsi" w:hAnsiTheme="minorHAnsi" w:cstheme="minorHAnsi"/>
                <w:sz w:val="18"/>
                <w:szCs w:val="18"/>
                <w:lang w:val="en-AU"/>
              </w:rPr>
              <w:t>+0.0</w:t>
            </w:r>
            <w:r w:rsidR="00A55A0C">
              <w:rPr>
                <w:rFonts w:asciiTheme="minorHAnsi" w:hAnsiTheme="minorHAnsi" w:cstheme="minorHAnsi"/>
                <w:sz w:val="18"/>
                <w:szCs w:val="18"/>
                <w:lang w:val="en-AU"/>
              </w:rPr>
              <w:t>8</w:t>
            </w:r>
          </w:p>
        </w:tc>
        <w:tc>
          <w:tcPr>
            <w:tcW w:w="1085" w:type="dxa"/>
            <w:tcBorders>
              <w:bottom w:val="single" w:sz="4" w:space="0" w:color="ED7C5D"/>
            </w:tcBorders>
          </w:tcPr>
          <w:p w14:paraId="412DAE49" w14:textId="56468815" w:rsidR="004902B1" w:rsidRPr="00503F5B" w:rsidRDefault="004902B1" w:rsidP="004902B1">
            <w:pPr>
              <w:pStyle w:val="BodyText11"/>
              <w:spacing w:before="0" w:after="0"/>
              <w:jc w:val="right"/>
              <w:rPr>
                <w:rFonts w:asciiTheme="minorHAnsi" w:eastAsia="Times New Roman" w:hAnsiTheme="minorHAnsi" w:cstheme="minorHAnsi"/>
                <w:b/>
                <w:bCs/>
                <w:color w:val="000000"/>
                <w:sz w:val="18"/>
                <w:szCs w:val="18"/>
                <w:lang w:val="en-AU"/>
              </w:rPr>
            </w:pPr>
            <w:r w:rsidRPr="00503F5B">
              <w:rPr>
                <w:rFonts w:asciiTheme="minorHAnsi" w:hAnsiTheme="minorHAnsi" w:cstheme="minorHAnsi"/>
                <w:b/>
                <w:bCs/>
                <w:sz w:val="18"/>
                <w:szCs w:val="18"/>
                <w:lang w:val="en-AU"/>
              </w:rPr>
              <w:t>+0.0</w:t>
            </w:r>
            <w:r w:rsidR="00FA5A37">
              <w:rPr>
                <w:rFonts w:asciiTheme="minorHAnsi" w:hAnsiTheme="minorHAnsi" w:cstheme="minorHAnsi"/>
                <w:b/>
                <w:bCs/>
                <w:sz w:val="18"/>
                <w:szCs w:val="18"/>
                <w:lang w:val="en-AU"/>
              </w:rPr>
              <w:t>2</w:t>
            </w:r>
          </w:p>
        </w:tc>
        <w:tc>
          <w:tcPr>
            <w:tcW w:w="1177" w:type="dxa"/>
            <w:tcBorders>
              <w:bottom w:val="single" w:sz="4" w:space="0" w:color="ED7C5D"/>
            </w:tcBorders>
          </w:tcPr>
          <w:p w14:paraId="10840CF3" w14:textId="6ADF6AC3" w:rsidR="004902B1" w:rsidRPr="00503F5B" w:rsidRDefault="004902B1" w:rsidP="004902B1">
            <w:pPr>
              <w:pStyle w:val="BodyText11"/>
              <w:spacing w:before="0" w:after="0"/>
              <w:jc w:val="right"/>
              <w:rPr>
                <w:rFonts w:asciiTheme="minorHAnsi" w:eastAsia="Times New Roman" w:hAnsiTheme="minorHAnsi" w:cstheme="minorHAnsi"/>
                <w:color w:val="000000"/>
                <w:sz w:val="18"/>
                <w:szCs w:val="18"/>
                <w:lang w:val="en-AU"/>
              </w:rPr>
            </w:pPr>
            <w:r w:rsidRPr="00503F5B">
              <w:rPr>
                <w:rFonts w:asciiTheme="minorHAnsi" w:hAnsiTheme="minorHAnsi" w:cstheme="minorHAnsi"/>
                <w:sz w:val="18"/>
                <w:szCs w:val="18"/>
                <w:lang w:val="en-AU"/>
              </w:rPr>
              <w:t>-0.</w:t>
            </w:r>
            <w:r w:rsidR="00FA5A37">
              <w:rPr>
                <w:rFonts w:asciiTheme="minorHAnsi" w:hAnsiTheme="minorHAnsi" w:cstheme="minorHAnsi"/>
                <w:sz w:val="18"/>
                <w:szCs w:val="18"/>
                <w:lang w:val="en-AU"/>
              </w:rPr>
              <w:t>45</w:t>
            </w:r>
          </w:p>
        </w:tc>
        <w:tc>
          <w:tcPr>
            <w:tcW w:w="968" w:type="dxa"/>
            <w:tcBorders>
              <w:bottom w:val="single" w:sz="4" w:space="0" w:color="ED7C5D"/>
            </w:tcBorders>
          </w:tcPr>
          <w:p w14:paraId="34F1855E" w14:textId="180FB294" w:rsidR="004902B1" w:rsidRPr="00503F5B" w:rsidRDefault="004902B1" w:rsidP="004902B1">
            <w:pPr>
              <w:pStyle w:val="BodyText11"/>
              <w:spacing w:before="0" w:after="0"/>
              <w:jc w:val="right"/>
              <w:rPr>
                <w:rFonts w:asciiTheme="minorHAnsi" w:eastAsia="Times New Roman" w:hAnsiTheme="minorHAnsi" w:cstheme="minorHAnsi"/>
                <w:b/>
                <w:bCs/>
                <w:color w:val="000000"/>
                <w:sz w:val="18"/>
                <w:szCs w:val="18"/>
                <w:lang w:val="en-AU"/>
              </w:rPr>
            </w:pPr>
            <w:r w:rsidRPr="00503F5B">
              <w:rPr>
                <w:rFonts w:asciiTheme="minorHAnsi" w:hAnsiTheme="minorHAnsi" w:cstheme="minorHAnsi"/>
                <w:b/>
                <w:bCs/>
                <w:sz w:val="18"/>
                <w:szCs w:val="18"/>
                <w:lang w:val="en-AU"/>
              </w:rPr>
              <w:t>-0.</w:t>
            </w:r>
            <w:r w:rsidR="00FA5A37">
              <w:rPr>
                <w:rFonts w:asciiTheme="minorHAnsi" w:hAnsiTheme="minorHAnsi" w:cstheme="minorHAnsi"/>
                <w:b/>
                <w:bCs/>
                <w:sz w:val="18"/>
                <w:szCs w:val="18"/>
                <w:lang w:val="en-AU"/>
              </w:rPr>
              <w:t>27</w:t>
            </w:r>
          </w:p>
        </w:tc>
        <w:tc>
          <w:tcPr>
            <w:tcW w:w="917" w:type="dxa"/>
            <w:tcBorders>
              <w:bottom w:val="single" w:sz="4" w:space="0" w:color="ED7C5D"/>
            </w:tcBorders>
          </w:tcPr>
          <w:p w14:paraId="30963EBE" w14:textId="2D42956F" w:rsidR="004902B1" w:rsidRPr="00503F5B" w:rsidRDefault="004902B1" w:rsidP="004902B1">
            <w:pPr>
              <w:pStyle w:val="BodyText11"/>
              <w:spacing w:before="0" w:after="0"/>
              <w:jc w:val="right"/>
              <w:rPr>
                <w:rFonts w:asciiTheme="minorHAnsi" w:eastAsia="Times New Roman" w:hAnsiTheme="minorHAnsi" w:cstheme="minorHAnsi"/>
                <w:b/>
                <w:bCs/>
                <w:i/>
                <w:iCs/>
                <w:color w:val="000000"/>
                <w:sz w:val="18"/>
                <w:szCs w:val="18"/>
                <w:lang w:val="en-AU"/>
              </w:rPr>
            </w:pPr>
            <w:r w:rsidRPr="00503F5B">
              <w:rPr>
                <w:rFonts w:asciiTheme="minorHAnsi" w:hAnsiTheme="minorHAnsi" w:cstheme="minorHAnsi"/>
                <w:b/>
                <w:bCs/>
                <w:i/>
                <w:iCs/>
                <w:sz w:val="18"/>
                <w:szCs w:val="18"/>
                <w:lang w:val="en-AU"/>
              </w:rPr>
              <w:t>-0.</w:t>
            </w:r>
            <w:r w:rsidR="00FA5A37">
              <w:rPr>
                <w:rFonts w:asciiTheme="minorHAnsi" w:hAnsiTheme="minorHAnsi" w:cstheme="minorHAnsi"/>
                <w:b/>
                <w:bCs/>
                <w:i/>
                <w:iCs/>
                <w:sz w:val="18"/>
                <w:szCs w:val="18"/>
                <w:lang w:val="en-AU"/>
              </w:rPr>
              <w:t>25</w:t>
            </w:r>
          </w:p>
        </w:tc>
      </w:tr>
    </w:tbl>
    <w:p w14:paraId="6B22B5A1" w14:textId="77777777" w:rsidR="00290F56" w:rsidRPr="00503F5B" w:rsidRDefault="00290F56" w:rsidP="00290F56">
      <w:pPr>
        <w:rPr>
          <w:highlight w:val="yellow"/>
        </w:rPr>
      </w:pPr>
    </w:p>
    <w:p w14:paraId="4595D23C" w14:textId="35E3385F" w:rsidR="00F154EE" w:rsidRPr="00503F5B" w:rsidRDefault="00290F56" w:rsidP="00290F56">
      <w:pPr>
        <w:jc w:val="both"/>
      </w:pPr>
      <w:r w:rsidRPr="00503F5B">
        <w:t xml:space="preserve">As shown in Table </w:t>
      </w:r>
      <w:r w:rsidR="004902B1" w:rsidRPr="00503F5B">
        <w:t>26</w:t>
      </w:r>
      <w:r w:rsidRPr="00503F5B">
        <w:t xml:space="preserve">, </w:t>
      </w:r>
      <w:r w:rsidRPr="00503F5B">
        <w:rPr>
          <w:i/>
        </w:rPr>
        <w:t xml:space="preserve">Option </w:t>
      </w:r>
      <w:r w:rsidR="00FF5BF9" w:rsidRPr="00503F5B">
        <w:rPr>
          <w:i/>
        </w:rPr>
        <w:t>1</w:t>
      </w:r>
      <w:r w:rsidRPr="00503F5B">
        <w:rPr>
          <w:i/>
        </w:rPr>
        <w:t xml:space="preserve"> provides the highest weighted score of </w:t>
      </w:r>
      <w:r w:rsidR="00FF5BF9" w:rsidRPr="00503F5B">
        <w:rPr>
          <w:i/>
        </w:rPr>
        <w:t>+0.</w:t>
      </w:r>
      <w:r w:rsidR="00FA5A37">
        <w:rPr>
          <w:i/>
        </w:rPr>
        <w:t>8</w:t>
      </w:r>
      <w:r w:rsidR="00F154EE" w:rsidRPr="00503F5B">
        <w:t xml:space="preserve"> and </w:t>
      </w:r>
      <w:r w:rsidRPr="00503F5B">
        <w:t xml:space="preserve">Option </w:t>
      </w:r>
      <w:r w:rsidR="00FF5BF9" w:rsidRPr="00503F5B">
        <w:t>2</w:t>
      </w:r>
      <w:r w:rsidRPr="00503F5B">
        <w:t xml:space="preserve"> </w:t>
      </w:r>
      <w:r w:rsidR="00FF5BF9" w:rsidRPr="00503F5B">
        <w:t>(</w:t>
      </w:r>
      <w:r w:rsidR="00E03A18" w:rsidRPr="00503F5B">
        <w:t xml:space="preserve">the proposed option with </w:t>
      </w:r>
      <w:r w:rsidR="00FF5BF9" w:rsidRPr="00503F5B">
        <w:t xml:space="preserve">current fees) </w:t>
      </w:r>
      <w:r w:rsidRPr="00503F5B">
        <w:t xml:space="preserve">provides the second highest score of </w:t>
      </w:r>
      <w:r w:rsidR="00FF5BF9" w:rsidRPr="00503F5B">
        <w:rPr>
          <w:i/>
        </w:rPr>
        <w:t>+0.</w:t>
      </w:r>
      <w:r w:rsidR="00FA5A37">
        <w:rPr>
          <w:i/>
        </w:rPr>
        <w:t>16</w:t>
      </w:r>
      <w:r w:rsidR="00F154EE" w:rsidRPr="00503F5B">
        <w:t xml:space="preserve">.  </w:t>
      </w:r>
      <w:r w:rsidR="00D73A9F" w:rsidRPr="00503F5B">
        <w:t xml:space="preserve"> </w:t>
      </w:r>
      <w:r w:rsidR="00D86BC8" w:rsidRPr="00503F5B">
        <w:t xml:space="preserve">Option </w:t>
      </w:r>
      <w:r w:rsidR="00FF5BF9" w:rsidRPr="00503F5B">
        <w:t xml:space="preserve">3 </w:t>
      </w:r>
      <w:r w:rsidR="009917B8" w:rsidRPr="00503F5B">
        <w:t>provides</w:t>
      </w:r>
      <w:r w:rsidR="00D86BC8" w:rsidRPr="00503F5B">
        <w:t xml:space="preserve"> the third highest score of </w:t>
      </w:r>
      <w:r w:rsidR="00FF5BF9" w:rsidRPr="00503F5B">
        <w:rPr>
          <w:i/>
          <w:iCs/>
        </w:rPr>
        <w:t>+0.0</w:t>
      </w:r>
      <w:r w:rsidR="00FA5A37">
        <w:rPr>
          <w:i/>
          <w:iCs/>
        </w:rPr>
        <w:t>9</w:t>
      </w:r>
      <w:r w:rsidR="00D86BC8" w:rsidRPr="00503F5B">
        <w:t>.</w:t>
      </w:r>
      <w:r w:rsidRPr="00503F5B">
        <w:t xml:space="preserve">  Option </w:t>
      </w:r>
      <w:r w:rsidR="00FF5BF9" w:rsidRPr="00503F5B">
        <w:t>4</w:t>
      </w:r>
      <w:r w:rsidRPr="00503F5B">
        <w:t xml:space="preserve"> provides </w:t>
      </w:r>
      <w:r w:rsidRPr="00503F5B">
        <w:rPr>
          <w:i/>
          <w:iCs/>
        </w:rPr>
        <w:t xml:space="preserve">the lowest </w:t>
      </w:r>
      <w:r w:rsidR="00B833C0" w:rsidRPr="00503F5B">
        <w:rPr>
          <w:i/>
          <w:iCs/>
        </w:rPr>
        <w:t xml:space="preserve">‘negative’ </w:t>
      </w:r>
      <w:r w:rsidRPr="00503F5B">
        <w:rPr>
          <w:i/>
          <w:iCs/>
        </w:rPr>
        <w:t>weighted score</w:t>
      </w:r>
      <w:r w:rsidRPr="00503F5B">
        <w:t xml:space="preserve"> of </w:t>
      </w:r>
      <w:r w:rsidR="00FF5BF9" w:rsidRPr="00503F5B">
        <w:t>-</w:t>
      </w:r>
      <w:r w:rsidR="00FF5BF9" w:rsidRPr="00503F5B">
        <w:rPr>
          <w:i/>
        </w:rPr>
        <w:t>0.</w:t>
      </w:r>
      <w:r w:rsidR="00FA5A37">
        <w:rPr>
          <w:i/>
        </w:rPr>
        <w:t>25</w:t>
      </w:r>
      <w:r w:rsidRPr="00503F5B">
        <w:t xml:space="preserve">. Therefore, </w:t>
      </w:r>
      <w:proofErr w:type="gramStart"/>
      <w:r w:rsidRPr="00503F5B">
        <w:t>on the basis of</w:t>
      </w:r>
      <w:proofErr w:type="gramEnd"/>
      <w:r w:rsidRPr="00503F5B">
        <w:t xml:space="preserve"> MCA results alone, </w:t>
      </w:r>
      <w:r w:rsidRPr="00503F5B">
        <w:rPr>
          <w:i/>
        </w:rPr>
        <w:t xml:space="preserve">Option </w:t>
      </w:r>
      <w:r w:rsidR="00E03A18" w:rsidRPr="00503F5B">
        <w:rPr>
          <w:i/>
        </w:rPr>
        <w:t>2</w:t>
      </w:r>
      <w:r w:rsidRPr="00503F5B">
        <w:rPr>
          <w:i/>
        </w:rPr>
        <w:t>, the proposed regulations</w:t>
      </w:r>
      <w:r w:rsidRPr="00503F5B">
        <w:rPr>
          <w:rStyle w:val="FootnoteReference"/>
          <w:i/>
        </w:rPr>
        <w:footnoteReference w:id="155"/>
      </w:r>
      <w:r w:rsidRPr="00503F5B">
        <w:rPr>
          <w:i/>
        </w:rPr>
        <w:t>,</w:t>
      </w:r>
      <w:r w:rsidRPr="00503F5B">
        <w:t xml:space="preserve"> </w:t>
      </w:r>
      <w:r w:rsidRPr="00503F5B">
        <w:rPr>
          <w:i/>
        </w:rPr>
        <w:t>is not necessarily the best option</w:t>
      </w:r>
      <w:r w:rsidR="00F154EE" w:rsidRPr="00503F5B">
        <w:t xml:space="preserve"> given the criteria of efficiency, equity and effectiveness combined.</w:t>
      </w:r>
      <w:r w:rsidRPr="00503F5B">
        <w:t xml:space="preserve">  </w:t>
      </w:r>
    </w:p>
    <w:p w14:paraId="718AE598" w14:textId="27C7D092" w:rsidR="0034102C" w:rsidRPr="00503F5B" w:rsidRDefault="006638E6" w:rsidP="009917B8">
      <w:pPr>
        <w:pStyle w:val="Heading2"/>
      </w:pPr>
      <w:r w:rsidRPr="00503F5B" w:rsidDel="00F154EE">
        <w:t xml:space="preserve"> </w:t>
      </w:r>
      <w:bookmarkStart w:id="178" w:name="_Toc457772547"/>
      <w:bookmarkStart w:id="179" w:name="_Toc35804147"/>
      <w:bookmarkStart w:id="180" w:name="_Toc35804641"/>
      <w:bookmarkStart w:id="181" w:name="_Toc35812685"/>
      <w:r w:rsidR="0034102C" w:rsidRPr="00503F5B">
        <w:t>5.4 Sensitivity analysis</w:t>
      </w:r>
      <w:bookmarkEnd w:id="178"/>
      <w:bookmarkEnd w:id="179"/>
      <w:bookmarkEnd w:id="180"/>
      <w:bookmarkEnd w:id="181"/>
    </w:p>
    <w:p w14:paraId="52BF593D" w14:textId="7EA898FD" w:rsidR="0034102C" w:rsidRPr="00503F5B" w:rsidRDefault="00D73A9F" w:rsidP="009917B8">
      <w:pPr>
        <w:jc w:val="both"/>
      </w:pPr>
      <w:r w:rsidRPr="00503F5B">
        <w:t>On the other hand, a</w:t>
      </w:r>
      <w:r w:rsidR="0034102C" w:rsidRPr="00503F5B">
        <w:t xml:space="preserve"> sensitivity analysis is </w:t>
      </w:r>
      <w:r w:rsidRPr="00503F5B">
        <w:t xml:space="preserve">also </w:t>
      </w:r>
      <w:r w:rsidR="0034102C" w:rsidRPr="00503F5B">
        <w:t>conducted on the weightings for efficiency</w:t>
      </w:r>
      <w:r w:rsidRPr="00503F5B">
        <w:t xml:space="preserve">, </w:t>
      </w:r>
      <w:r w:rsidR="0034102C" w:rsidRPr="00503F5B">
        <w:t>equity</w:t>
      </w:r>
      <w:r w:rsidRPr="00503F5B">
        <w:t xml:space="preserve"> and effectiveness</w:t>
      </w:r>
      <w:r w:rsidR="0034102C" w:rsidRPr="00503F5B">
        <w:t xml:space="preserve"> to look at the impact on relative scores</w:t>
      </w:r>
      <w:r w:rsidRPr="00503F5B">
        <w:t xml:space="preserve"> and maintaining the raw scores as they are in Table 26</w:t>
      </w:r>
      <w:r w:rsidR="0034102C" w:rsidRPr="00503F5B">
        <w:t>. The sensitivity scores are summarised in Table 2</w:t>
      </w:r>
      <w:r w:rsidRPr="00503F5B">
        <w:t>7</w:t>
      </w:r>
      <w:r w:rsidR="0034102C" w:rsidRPr="00503F5B">
        <w:t>.</w:t>
      </w:r>
    </w:p>
    <w:p w14:paraId="11CF61D7" w14:textId="77777777" w:rsidR="0034102C" w:rsidRPr="00503F5B" w:rsidRDefault="0034102C" w:rsidP="0034102C"/>
    <w:p w14:paraId="5BE91F10" w14:textId="29369ECE" w:rsidR="0034102C" w:rsidRPr="00503F5B" w:rsidRDefault="0034102C" w:rsidP="0034102C">
      <w:pPr>
        <w:jc w:val="center"/>
        <w:rPr>
          <w:sz w:val="20"/>
          <w:szCs w:val="20"/>
        </w:rPr>
      </w:pPr>
      <w:r w:rsidRPr="00503F5B">
        <w:rPr>
          <w:b/>
          <w:sz w:val="20"/>
          <w:szCs w:val="20"/>
        </w:rPr>
        <w:t>Table 26: Summary of sensitivity scores for Options 1 to 4</w:t>
      </w:r>
    </w:p>
    <w:p w14:paraId="19599E3A" w14:textId="77777777" w:rsidR="0034102C" w:rsidRPr="00503F5B" w:rsidRDefault="0034102C" w:rsidP="0034102C">
      <w:pPr>
        <w:jc w:val="center"/>
        <w:rPr>
          <w:sz w:val="20"/>
          <w:szCs w:val="20"/>
        </w:rPr>
      </w:pPr>
    </w:p>
    <w:tbl>
      <w:tblPr>
        <w:tblW w:w="9042" w:type="dxa"/>
        <w:jc w:val="center"/>
        <w:tblLook w:val="00A0" w:firstRow="1" w:lastRow="0" w:firstColumn="1" w:lastColumn="0" w:noHBand="0" w:noVBand="0"/>
      </w:tblPr>
      <w:tblGrid>
        <w:gridCol w:w="794"/>
        <w:gridCol w:w="1386"/>
        <w:gridCol w:w="1348"/>
        <w:gridCol w:w="1306"/>
        <w:gridCol w:w="1399"/>
        <w:gridCol w:w="1306"/>
        <w:gridCol w:w="1503"/>
      </w:tblGrid>
      <w:tr w:rsidR="003867C8" w:rsidRPr="00503F5B" w14:paraId="16918F3F" w14:textId="77777777" w:rsidTr="00A422C1">
        <w:trPr>
          <w:tblHeader/>
          <w:jc w:val="center"/>
        </w:trPr>
        <w:tc>
          <w:tcPr>
            <w:tcW w:w="794" w:type="dxa"/>
            <w:tcBorders>
              <w:top w:val="single" w:sz="4" w:space="0" w:color="ED7C5D"/>
              <w:bottom w:val="double" w:sz="4" w:space="0" w:color="ED7C5D"/>
            </w:tcBorders>
            <w:shd w:val="clear" w:color="auto" w:fill="auto"/>
          </w:tcPr>
          <w:p w14:paraId="1E17E2C0" w14:textId="77777777" w:rsidR="003867C8" w:rsidRPr="00503F5B" w:rsidRDefault="003867C8" w:rsidP="003867C8">
            <w:pPr>
              <w:rPr>
                <w:sz w:val="20"/>
                <w:szCs w:val="20"/>
              </w:rPr>
            </w:pPr>
            <w:r w:rsidRPr="00503F5B">
              <w:rPr>
                <w:b/>
                <w:color w:val="BE2A18"/>
                <w:sz w:val="20"/>
                <w:szCs w:val="20"/>
              </w:rPr>
              <w:t>Option</w:t>
            </w:r>
          </w:p>
        </w:tc>
        <w:tc>
          <w:tcPr>
            <w:tcW w:w="1386" w:type="dxa"/>
            <w:tcBorders>
              <w:top w:val="single" w:sz="4" w:space="0" w:color="ED7C5D"/>
              <w:bottom w:val="double" w:sz="4" w:space="0" w:color="ED7C5D"/>
            </w:tcBorders>
            <w:shd w:val="clear" w:color="auto" w:fill="auto"/>
          </w:tcPr>
          <w:p w14:paraId="1562A4C3" w14:textId="25020D0F" w:rsidR="003867C8" w:rsidRPr="00503F5B" w:rsidRDefault="003867C8" w:rsidP="003867C8">
            <w:pPr>
              <w:jc w:val="center"/>
              <w:rPr>
                <w:sz w:val="20"/>
                <w:szCs w:val="20"/>
              </w:rPr>
            </w:pPr>
            <w:r w:rsidRPr="00503F5B">
              <w:rPr>
                <w:b/>
                <w:color w:val="BE2A18"/>
                <w:sz w:val="20"/>
                <w:szCs w:val="20"/>
              </w:rPr>
              <w:t>Efficiency 10%</w:t>
            </w:r>
          </w:p>
          <w:p w14:paraId="04578B7C" w14:textId="5ABBC8B2" w:rsidR="003867C8" w:rsidRPr="00503F5B" w:rsidRDefault="003867C8" w:rsidP="003867C8">
            <w:pPr>
              <w:jc w:val="center"/>
              <w:rPr>
                <w:sz w:val="20"/>
                <w:szCs w:val="20"/>
              </w:rPr>
            </w:pPr>
            <w:r w:rsidRPr="00503F5B">
              <w:rPr>
                <w:b/>
                <w:color w:val="BE2A18"/>
                <w:sz w:val="20"/>
                <w:szCs w:val="20"/>
              </w:rPr>
              <w:t>Equity 10%</w:t>
            </w:r>
          </w:p>
          <w:p w14:paraId="2D8EC1D4" w14:textId="710F431B" w:rsidR="003867C8" w:rsidRPr="00503F5B" w:rsidRDefault="003867C8" w:rsidP="003867C8">
            <w:pPr>
              <w:jc w:val="center"/>
              <w:rPr>
                <w:sz w:val="20"/>
                <w:szCs w:val="20"/>
              </w:rPr>
            </w:pPr>
            <w:r w:rsidRPr="00503F5B">
              <w:rPr>
                <w:b/>
                <w:color w:val="BE2A18"/>
                <w:sz w:val="20"/>
                <w:szCs w:val="20"/>
              </w:rPr>
              <w:t>Effectiveness 80%</w:t>
            </w:r>
          </w:p>
        </w:tc>
        <w:tc>
          <w:tcPr>
            <w:tcW w:w="1348" w:type="dxa"/>
            <w:tcBorders>
              <w:top w:val="single" w:sz="4" w:space="0" w:color="ED7C5D"/>
              <w:bottom w:val="double" w:sz="4" w:space="0" w:color="ED7C5D"/>
            </w:tcBorders>
          </w:tcPr>
          <w:p w14:paraId="14E1D0A0" w14:textId="4DFD6682" w:rsidR="003867C8" w:rsidRPr="00503F5B" w:rsidRDefault="003867C8" w:rsidP="003867C8">
            <w:pPr>
              <w:jc w:val="center"/>
              <w:rPr>
                <w:sz w:val="20"/>
                <w:szCs w:val="20"/>
              </w:rPr>
            </w:pPr>
            <w:r w:rsidRPr="00503F5B">
              <w:rPr>
                <w:b/>
                <w:color w:val="BE2A18"/>
                <w:sz w:val="20"/>
                <w:szCs w:val="20"/>
              </w:rPr>
              <w:t>Efficiency 1</w:t>
            </w:r>
            <w:r w:rsidR="00A422C1">
              <w:rPr>
                <w:b/>
                <w:color w:val="BE2A18"/>
                <w:sz w:val="20"/>
                <w:szCs w:val="20"/>
              </w:rPr>
              <w:t>4</w:t>
            </w:r>
            <w:r w:rsidRPr="00503F5B">
              <w:rPr>
                <w:b/>
                <w:color w:val="BE2A18"/>
                <w:sz w:val="20"/>
                <w:szCs w:val="20"/>
              </w:rPr>
              <w:t>.</w:t>
            </w:r>
            <w:r w:rsidR="00A422C1">
              <w:rPr>
                <w:b/>
                <w:color w:val="BE2A18"/>
                <w:sz w:val="20"/>
                <w:szCs w:val="20"/>
              </w:rPr>
              <w:t>3</w:t>
            </w:r>
            <w:r w:rsidRPr="00503F5B">
              <w:rPr>
                <w:b/>
                <w:color w:val="BE2A18"/>
                <w:sz w:val="20"/>
                <w:szCs w:val="20"/>
              </w:rPr>
              <w:t>%</w:t>
            </w:r>
          </w:p>
          <w:p w14:paraId="360D477E" w14:textId="2EAEFDD4" w:rsidR="003867C8" w:rsidRPr="00503F5B" w:rsidRDefault="003867C8" w:rsidP="003867C8">
            <w:pPr>
              <w:jc w:val="center"/>
              <w:rPr>
                <w:sz w:val="20"/>
                <w:szCs w:val="20"/>
              </w:rPr>
            </w:pPr>
            <w:r w:rsidRPr="00503F5B">
              <w:rPr>
                <w:b/>
                <w:color w:val="BE2A18"/>
                <w:sz w:val="20"/>
                <w:szCs w:val="20"/>
              </w:rPr>
              <w:t>Equity 1</w:t>
            </w:r>
            <w:r w:rsidR="00A422C1">
              <w:rPr>
                <w:b/>
                <w:color w:val="BE2A18"/>
                <w:sz w:val="20"/>
                <w:szCs w:val="20"/>
              </w:rPr>
              <w:t>4</w:t>
            </w:r>
            <w:r w:rsidRPr="00503F5B">
              <w:rPr>
                <w:b/>
                <w:color w:val="BE2A18"/>
                <w:sz w:val="20"/>
                <w:szCs w:val="20"/>
              </w:rPr>
              <w:t>.</w:t>
            </w:r>
            <w:r w:rsidR="00A422C1">
              <w:rPr>
                <w:b/>
                <w:color w:val="BE2A18"/>
                <w:sz w:val="20"/>
                <w:szCs w:val="20"/>
              </w:rPr>
              <w:t>3</w:t>
            </w:r>
            <w:r w:rsidRPr="00503F5B">
              <w:rPr>
                <w:b/>
                <w:color w:val="BE2A18"/>
                <w:sz w:val="20"/>
                <w:szCs w:val="20"/>
              </w:rPr>
              <w:t>%</w:t>
            </w:r>
          </w:p>
          <w:p w14:paraId="4B8D02AA" w14:textId="34413707" w:rsidR="003867C8" w:rsidRPr="00503F5B" w:rsidRDefault="003867C8" w:rsidP="003867C8">
            <w:pPr>
              <w:jc w:val="center"/>
              <w:rPr>
                <w:b/>
                <w:color w:val="BE2A18"/>
                <w:sz w:val="20"/>
                <w:szCs w:val="20"/>
              </w:rPr>
            </w:pPr>
            <w:r w:rsidRPr="00503F5B">
              <w:rPr>
                <w:b/>
                <w:color w:val="BE2A18"/>
                <w:sz w:val="20"/>
                <w:szCs w:val="20"/>
              </w:rPr>
              <w:t xml:space="preserve">Effectiveness </w:t>
            </w:r>
            <w:r w:rsidR="00A422C1">
              <w:rPr>
                <w:b/>
                <w:color w:val="BE2A18"/>
                <w:sz w:val="20"/>
                <w:szCs w:val="20"/>
              </w:rPr>
              <w:t>71</w:t>
            </w:r>
            <w:r w:rsidRPr="00503F5B">
              <w:rPr>
                <w:b/>
                <w:color w:val="BE2A18"/>
                <w:sz w:val="20"/>
                <w:szCs w:val="20"/>
              </w:rPr>
              <w:t>.</w:t>
            </w:r>
            <w:r w:rsidR="00A422C1">
              <w:rPr>
                <w:b/>
                <w:color w:val="BE2A18"/>
                <w:sz w:val="20"/>
                <w:szCs w:val="20"/>
              </w:rPr>
              <w:t>4</w:t>
            </w:r>
            <w:r w:rsidRPr="00503F5B">
              <w:rPr>
                <w:b/>
                <w:color w:val="BE2A18"/>
                <w:sz w:val="20"/>
                <w:szCs w:val="20"/>
              </w:rPr>
              <w:t>%</w:t>
            </w:r>
          </w:p>
        </w:tc>
        <w:tc>
          <w:tcPr>
            <w:tcW w:w="1306" w:type="dxa"/>
            <w:tcBorders>
              <w:top w:val="single" w:sz="4" w:space="0" w:color="ED7C5D"/>
              <w:bottom w:val="double" w:sz="4" w:space="0" w:color="ED7C5D"/>
            </w:tcBorders>
          </w:tcPr>
          <w:p w14:paraId="11585A16" w14:textId="44E8C642" w:rsidR="003867C8" w:rsidRPr="00503F5B" w:rsidRDefault="003867C8" w:rsidP="003867C8">
            <w:pPr>
              <w:jc w:val="center"/>
              <w:rPr>
                <w:sz w:val="20"/>
                <w:szCs w:val="20"/>
              </w:rPr>
            </w:pPr>
            <w:r w:rsidRPr="00503F5B">
              <w:rPr>
                <w:b/>
                <w:color w:val="BE2A18"/>
                <w:sz w:val="20"/>
                <w:szCs w:val="20"/>
              </w:rPr>
              <w:t>Efficiency 1</w:t>
            </w:r>
            <w:r w:rsidR="00A422C1">
              <w:rPr>
                <w:b/>
                <w:color w:val="BE2A18"/>
                <w:sz w:val="20"/>
                <w:szCs w:val="20"/>
              </w:rPr>
              <w:t>5</w:t>
            </w:r>
            <w:r w:rsidRPr="00503F5B">
              <w:rPr>
                <w:b/>
                <w:color w:val="BE2A18"/>
                <w:sz w:val="20"/>
                <w:szCs w:val="20"/>
              </w:rPr>
              <w:t>%</w:t>
            </w:r>
          </w:p>
          <w:p w14:paraId="0584B6B8" w14:textId="310AAD17" w:rsidR="003867C8" w:rsidRPr="00503F5B" w:rsidRDefault="003867C8" w:rsidP="003867C8">
            <w:pPr>
              <w:jc w:val="center"/>
              <w:rPr>
                <w:sz w:val="20"/>
                <w:szCs w:val="20"/>
              </w:rPr>
            </w:pPr>
            <w:r w:rsidRPr="00503F5B">
              <w:rPr>
                <w:b/>
                <w:color w:val="BE2A18"/>
                <w:sz w:val="20"/>
                <w:szCs w:val="20"/>
              </w:rPr>
              <w:t>Equity 1</w:t>
            </w:r>
            <w:r w:rsidR="00A422C1">
              <w:rPr>
                <w:b/>
                <w:color w:val="BE2A18"/>
                <w:sz w:val="20"/>
                <w:szCs w:val="20"/>
              </w:rPr>
              <w:t>5</w:t>
            </w:r>
            <w:r w:rsidRPr="00503F5B">
              <w:rPr>
                <w:b/>
                <w:color w:val="BE2A18"/>
                <w:sz w:val="20"/>
                <w:szCs w:val="20"/>
              </w:rPr>
              <w:t>%</w:t>
            </w:r>
          </w:p>
          <w:p w14:paraId="25F964B6" w14:textId="019F2067" w:rsidR="003867C8" w:rsidRPr="00503F5B" w:rsidRDefault="003867C8" w:rsidP="003867C8">
            <w:pPr>
              <w:jc w:val="center"/>
              <w:rPr>
                <w:b/>
                <w:color w:val="BE2A18"/>
                <w:sz w:val="20"/>
                <w:szCs w:val="20"/>
              </w:rPr>
            </w:pPr>
            <w:r w:rsidRPr="00503F5B">
              <w:rPr>
                <w:b/>
                <w:color w:val="BE2A18"/>
                <w:sz w:val="20"/>
                <w:szCs w:val="20"/>
              </w:rPr>
              <w:t xml:space="preserve">Effectiveness </w:t>
            </w:r>
            <w:r w:rsidR="00A422C1">
              <w:rPr>
                <w:b/>
                <w:color w:val="BE2A18"/>
                <w:sz w:val="20"/>
                <w:szCs w:val="20"/>
              </w:rPr>
              <w:t>70</w:t>
            </w:r>
            <w:r w:rsidRPr="00503F5B">
              <w:rPr>
                <w:b/>
                <w:color w:val="BE2A18"/>
                <w:sz w:val="20"/>
                <w:szCs w:val="20"/>
              </w:rPr>
              <w:t>%</w:t>
            </w:r>
          </w:p>
        </w:tc>
        <w:tc>
          <w:tcPr>
            <w:tcW w:w="1399" w:type="dxa"/>
            <w:tcBorders>
              <w:top w:val="single" w:sz="4" w:space="0" w:color="ED7C5D"/>
              <w:bottom w:val="double" w:sz="4" w:space="0" w:color="ED7C5D"/>
            </w:tcBorders>
          </w:tcPr>
          <w:p w14:paraId="287AF96E" w14:textId="42F23221" w:rsidR="003867C8" w:rsidRPr="00503F5B" w:rsidRDefault="003867C8" w:rsidP="003867C8">
            <w:pPr>
              <w:jc w:val="center"/>
              <w:rPr>
                <w:sz w:val="20"/>
                <w:szCs w:val="20"/>
              </w:rPr>
            </w:pPr>
            <w:r w:rsidRPr="00503F5B">
              <w:rPr>
                <w:b/>
                <w:color w:val="BE2A18"/>
                <w:sz w:val="20"/>
                <w:szCs w:val="20"/>
              </w:rPr>
              <w:t>Efficiency 1</w:t>
            </w:r>
            <w:r w:rsidR="00A422C1">
              <w:rPr>
                <w:b/>
                <w:color w:val="BE2A18"/>
                <w:sz w:val="20"/>
                <w:szCs w:val="20"/>
              </w:rPr>
              <w:t>6</w:t>
            </w:r>
            <w:r w:rsidR="00C9708E" w:rsidRPr="00503F5B">
              <w:rPr>
                <w:b/>
                <w:color w:val="BE2A18"/>
                <w:sz w:val="20"/>
                <w:szCs w:val="20"/>
              </w:rPr>
              <w:t>.</w:t>
            </w:r>
            <w:r w:rsidR="00A422C1">
              <w:rPr>
                <w:b/>
                <w:color w:val="BE2A18"/>
                <w:sz w:val="20"/>
                <w:szCs w:val="20"/>
              </w:rPr>
              <w:t>2</w:t>
            </w:r>
            <w:r w:rsidRPr="00503F5B">
              <w:rPr>
                <w:b/>
                <w:color w:val="BE2A18"/>
                <w:sz w:val="20"/>
                <w:szCs w:val="20"/>
              </w:rPr>
              <w:t>%</w:t>
            </w:r>
          </w:p>
          <w:p w14:paraId="10BFC63C" w14:textId="43FABF1E" w:rsidR="003867C8" w:rsidRPr="00503F5B" w:rsidRDefault="003867C8" w:rsidP="003867C8">
            <w:pPr>
              <w:jc w:val="center"/>
              <w:rPr>
                <w:sz w:val="20"/>
                <w:szCs w:val="20"/>
              </w:rPr>
            </w:pPr>
            <w:r w:rsidRPr="00503F5B">
              <w:rPr>
                <w:b/>
                <w:color w:val="BE2A18"/>
                <w:sz w:val="20"/>
                <w:szCs w:val="20"/>
              </w:rPr>
              <w:t xml:space="preserve">Equity </w:t>
            </w:r>
            <w:r w:rsidR="00C9708E" w:rsidRPr="00503F5B">
              <w:rPr>
                <w:b/>
                <w:color w:val="BE2A18"/>
                <w:sz w:val="20"/>
                <w:szCs w:val="20"/>
              </w:rPr>
              <w:t>1</w:t>
            </w:r>
            <w:r w:rsidR="00A422C1">
              <w:rPr>
                <w:b/>
                <w:color w:val="BE2A18"/>
                <w:sz w:val="20"/>
                <w:szCs w:val="20"/>
              </w:rPr>
              <w:t>6</w:t>
            </w:r>
            <w:r w:rsidR="00C9708E" w:rsidRPr="00503F5B">
              <w:rPr>
                <w:b/>
                <w:color w:val="BE2A18"/>
                <w:sz w:val="20"/>
                <w:szCs w:val="20"/>
              </w:rPr>
              <w:t>.</w:t>
            </w:r>
            <w:r w:rsidR="00A422C1">
              <w:rPr>
                <w:b/>
                <w:color w:val="BE2A18"/>
                <w:sz w:val="20"/>
                <w:szCs w:val="20"/>
              </w:rPr>
              <w:t>2</w:t>
            </w:r>
            <w:r w:rsidRPr="00503F5B">
              <w:rPr>
                <w:b/>
                <w:color w:val="BE2A18"/>
                <w:sz w:val="20"/>
                <w:szCs w:val="20"/>
              </w:rPr>
              <w:t>%</w:t>
            </w:r>
          </w:p>
          <w:p w14:paraId="4B6EB7FB" w14:textId="00FC2F45" w:rsidR="003867C8" w:rsidRPr="00503F5B" w:rsidRDefault="003867C8" w:rsidP="003867C8">
            <w:pPr>
              <w:jc w:val="center"/>
              <w:rPr>
                <w:b/>
                <w:color w:val="BE2A18"/>
                <w:sz w:val="20"/>
                <w:szCs w:val="20"/>
              </w:rPr>
            </w:pPr>
            <w:r w:rsidRPr="00503F5B">
              <w:rPr>
                <w:b/>
                <w:color w:val="BE2A18"/>
                <w:sz w:val="20"/>
                <w:szCs w:val="20"/>
              </w:rPr>
              <w:t>Effectiveness 6</w:t>
            </w:r>
            <w:r w:rsidR="00A422C1">
              <w:rPr>
                <w:b/>
                <w:color w:val="BE2A18"/>
                <w:sz w:val="20"/>
                <w:szCs w:val="20"/>
              </w:rPr>
              <w:t>7</w:t>
            </w:r>
            <w:r w:rsidR="00C9708E" w:rsidRPr="00503F5B">
              <w:rPr>
                <w:b/>
                <w:color w:val="BE2A18"/>
                <w:sz w:val="20"/>
                <w:szCs w:val="20"/>
              </w:rPr>
              <w:t>.</w:t>
            </w:r>
            <w:r w:rsidR="00A422C1">
              <w:rPr>
                <w:b/>
                <w:color w:val="BE2A18"/>
                <w:sz w:val="20"/>
                <w:szCs w:val="20"/>
              </w:rPr>
              <w:t>6</w:t>
            </w:r>
            <w:r w:rsidRPr="00503F5B">
              <w:rPr>
                <w:b/>
                <w:color w:val="BE2A18"/>
                <w:sz w:val="20"/>
                <w:szCs w:val="20"/>
              </w:rPr>
              <w:t>%</w:t>
            </w:r>
          </w:p>
        </w:tc>
        <w:tc>
          <w:tcPr>
            <w:tcW w:w="1306" w:type="dxa"/>
            <w:tcBorders>
              <w:top w:val="single" w:sz="4" w:space="0" w:color="ED7C5D"/>
              <w:bottom w:val="double" w:sz="4" w:space="0" w:color="ED7C5D"/>
            </w:tcBorders>
            <w:shd w:val="clear" w:color="auto" w:fill="auto"/>
          </w:tcPr>
          <w:p w14:paraId="58AEBB2E" w14:textId="5E49AC95" w:rsidR="003867C8" w:rsidRPr="00503F5B" w:rsidRDefault="003867C8" w:rsidP="003867C8">
            <w:pPr>
              <w:jc w:val="center"/>
              <w:rPr>
                <w:sz w:val="20"/>
                <w:szCs w:val="20"/>
              </w:rPr>
            </w:pPr>
            <w:r w:rsidRPr="00503F5B">
              <w:rPr>
                <w:b/>
                <w:color w:val="BE2A18"/>
                <w:sz w:val="20"/>
                <w:szCs w:val="20"/>
              </w:rPr>
              <w:t>Efficiency 25%</w:t>
            </w:r>
          </w:p>
          <w:p w14:paraId="424FB365" w14:textId="77777777" w:rsidR="003867C8" w:rsidRPr="00503F5B" w:rsidRDefault="003867C8" w:rsidP="003867C8">
            <w:pPr>
              <w:jc w:val="center"/>
              <w:rPr>
                <w:sz w:val="20"/>
                <w:szCs w:val="20"/>
              </w:rPr>
            </w:pPr>
            <w:r w:rsidRPr="00503F5B">
              <w:rPr>
                <w:b/>
                <w:color w:val="BE2A18"/>
                <w:sz w:val="20"/>
                <w:szCs w:val="20"/>
              </w:rPr>
              <w:t>Equity 25%</w:t>
            </w:r>
          </w:p>
          <w:p w14:paraId="06A201D0" w14:textId="77777777" w:rsidR="003867C8" w:rsidRPr="00503F5B" w:rsidRDefault="003867C8" w:rsidP="003867C8">
            <w:pPr>
              <w:jc w:val="center"/>
              <w:rPr>
                <w:sz w:val="20"/>
                <w:szCs w:val="20"/>
              </w:rPr>
            </w:pPr>
            <w:r w:rsidRPr="00503F5B">
              <w:rPr>
                <w:b/>
                <w:color w:val="BE2A18"/>
                <w:sz w:val="20"/>
                <w:szCs w:val="20"/>
              </w:rPr>
              <w:t>Effectiveness 50%</w:t>
            </w:r>
          </w:p>
        </w:tc>
        <w:tc>
          <w:tcPr>
            <w:tcW w:w="1503" w:type="dxa"/>
            <w:tcBorders>
              <w:top w:val="single" w:sz="4" w:space="0" w:color="ED7C5D"/>
              <w:bottom w:val="double" w:sz="4" w:space="0" w:color="ED7C5D"/>
            </w:tcBorders>
          </w:tcPr>
          <w:p w14:paraId="102C2D0E" w14:textId="77777777" w:rsidR="003867C8" w:rsidRPr="00503F5B" w:rsidRDefault="003867C8" w:rsidP="003867C8">
            <w:pPr>
              <w:jc w:val="center"/>
              <w:rPr>
                <w:b/>
                <w:color w:val="BE2A18"/>
                <w:sz w:val="20"/>
                <w:szCs w:val="20"/>
              </w:rPr>
            </w:pPr>
            <w:r w:rsidRPr="00503F5B">
              <w:rPr>
                <w:b/>
                <w:color w:val="BE2A18"/>
                <w:sz w:val="20"/>
                <w:szCs w:val="20"/>
              </w:rPr>
              <w:t>Efficiency 33.3%</w:t>
            </w:r>
          </w:p>
          <w:p w14:paraId="09C9372C" w14:textId="77777777" w:rsidR="003867C8" w:rsidRPr="00503F5B" w:rsidRDefault="003867C8" w:rsidP="003867C8">
            <w:pPr>
              <w:jc w:val="center"/>
              <w:rPr>
                <w:b/>
                <w:color w:val="BE2A18"/>
                <w:sz w:val="20"/>
                <w:szCs w:val="20"/>
              </w:rPr>
            </w:pPr>
            <w:r w:rsidRPr="00503F5B">
              <w:rPr>
                <w:b/>
                <w:color w:val="BE2A18"/>
                <w:sz w:val="20"/>
                <w:szCs w:val="20"/>
              </w:rPr>
              <w:t>Equity 33.3%</w:t>
            </w:r>
          </w:p>
          <w:p w14:paraId="07565899" w14:textId="77777777" w:rsidR="003867C8" w:rsidRPr="00503F5B" w:rsidRDefault="003867C8" w:rsidP="003867C8">
            <w:pPr>
              <w:jc w:val="center"/>
              <w:rPr>
                <w:b/>
                <w:color w:val="BE2A18"/>
                <w:sz w:val="20"/>
                <w:szCs w:val="20"/>
              </w:rPr>
            </w:pPr>
            <w:r w:rsidRPr="00503F5B">
              <w:rPr>
                <w:b/>
                <w:color w:val="BE2A18"/>
                <w:sz w:val="20"/>
                <w:szCs w:val="20"/>
              </w:rPr>
              <w:t>Effectiveness 33.3%</w:t>
            </w:r>
          </w:p>
        </w:tc>
      </w:tr>
      <w:tr w:rsidR="00A422C1" w:rsidRPr="00503F5B" w14:paraId="796B6F25" w14:textId="77777777" w:rsidTr="001B042C">
        <w:trPr>
          <w:jc w:val="center"/>
        </w:trPr>
        <w:tc>
          <w:tcPr>
            <w:tcW w:w="794" w:type="dxa"/>
            <w:tcBorders>
              <w:top w:val="double" w:sz="4" w:space="0" w:color="ED7C5D"/>
            </w:tcBorders>
            <w:shd w:val="clear" w:color="auto" w:fill="auto"/>
          </w:tcPr>
          <w:p w14:paraId="69311710" w14:textId="77777777" w:rsidR="00A422C1" w:rsidRPr="00503F5B" w:rsidRDefault="00A422C1" w:rsidP="00A422C1">
            <w:pPr>
              <w:rPr>
                <w:b/>
                <w:i/>
                <w:sz w:val="20"/>
                <w:szCs w:val="20"/>
              </w:rPr>
            </w:pPr>
            <w:r w:rsidRPr="00503F5B">
              <w:rPr>
                <w:b/>
                <w:i/>
                <w:sz w:val="20"/>
                <w:szCs w:val="20"/>
              </w:rPr>
              <w:t>1</w:t>
            </w:r>
          </w:p>
        </w:tc>
        <w:tc>
          <w:tcPr>
            <w:tcW w:w="1386" w:type="dxa"/>
            <w:tcBorders>
              <w:top w:val="double" w:sz="4" w:space="0" w:color="ED7C5D"/>
            </w:tcBorders>
            <w:shd w:val="clear" w:color="auto" w:fill="auto"/>
          </w:tcPr>
          <w:p w14:paraId="1B4E9CFA" w14:textId="65AE24E2" w:rsidR="00A422C1" w:rsidRPr="00A422C1" w:rsidRDefault="00A422C1" w:rsidP="00A422C1">
            <w:pPr>
              <w:jc w:val="center"/>
              <w:rPr>
                <w:sz w:val="20"/>
                <w:szCs w:val="20"/>
              </w:rPr>
            </w:pPr>
            <w:r w:rsidRPr="001B042C">
              <w:rPr>
                <w:rFonts w:eastAsia="Times New Roman" w:cs="Calibri"/>
                <w:sz w:val="18"/>
                <w:szCs w:val="18"/>
                <w:lang w:eastAsia="en-AU"/>
              </w:rPr>
              <w:t>-0.60</w:t>
            </w:r>
          </w:p>
        </w:tc>
        <w:tc>
          <w:tcPr>
            <w:tcW w:w="1348" w:type="dxa"/>
            <w:tcBorders>
              <w:top w:val="double" w:sz="4" w:space="0" w:color="ED7C5D"/>
            </w:tcBorders>
          </w:tcPr>
          <w:p w14:paraId="128F9863" w14:textId="2B21F2AF" w:rsidR="00A422C1" w:rsidRPr="00503F5B" w:rsidRDefault="00A422C1" w:rsidP="00A422C1">
            <w:pPr>
              <w:jc w:val="center"/>
              <w:rPr>
                <w:rFonts w:cs="Calibri"/>
                <w:b/>
                <w:bCs/>
                <w:i/>
                <w:iCs/>
                <w:sz w:val="18"/>
                <w:szCs w:val="18"/>
              </w:rPr>
            </w:pPr>
            <w:r w:rsidRPr="00503F5B">
              <w:rPr>
                <w:b/>
                <w:bCs/>
                <w:i/>
                <w:iCs/>
                <w:sz w:val="18"/>
                <w:szCs w:val="18"/>
              </w:rPr>
              <w:t>+0.00</w:t>
            </w:r>
          </w:p>
        </w:tc>
        <w:tc>
          <w:tcPr>
            <w:tcW w:w="1306" w:type="dxa"/>
            <w:tcBorders>
              <w:top w:val="double" w:sz="4" w:space="0" w:color="ED7C5D"/>
            </w:tcBorders>
            <w:vAlign w:val="center"/>
          </w:tcPr>
          <w:p w14:paraId="716B0F87" w14:textId="64C9E27E" w:rsidR="00A422C1" w:rsidRPr="00503F5B" w:rsidRDefault="00A422C1" w:rsidP="00A422C1">
            <w:pPr>
              <w:jc w:val="center"/>
              <w:rPr>
                <w:rFonts w:eastAsia="Times New Roman"/>
                <w:b/>
                <w:bCs/>
                <w:i/>
                <w:iCs/>
                <w:sz w:val="18"/>
                <w:szCs w:val="18"/>
              </w:rPr>
            </w:pPr>
            <w:r w:rsidRPr="00503F5B">
              <w:rPr>
                <w:rFonts w:cs="Calibri"/>
                <w:b/>
                <w:bCs/>
                <w:i/>
                <w:iCs/>
                <w:sz w:val="18"/>
                <w:szCs w:val="18"/>
              </w:rPr>
              <w:t>+0.</w:t>
            </w:r>
            <w:r>
              <w:rPr>
                <w:rFonts w:cs="Calibri"/>
                <w:b/>
                <w:bCs/>
                <w:i/>
                <w:iCs/>
                <w:sz w:val="18"/>
                <w:szCs w:val="18"/>
              </w:rPr>
              <w:t>10</w:t>
            </w:r>
          </w:p>
        </w:tc>
        <w:tc>
          <w:tcPr>
            <w:tcW w:w="1399" w:type="dxa"/>
            <w:tcBorders>
              <w:top w:val="double" w:sz="4" w:space="0" w:color="ED7C5D"/>
            </w:tcBorders>
            <w:vAlign w:val="center"/>
          </w:tcPr>
          <w:p w14:paraId="78AB7225" w14:textId="3002F2C3" w:rsidR="00A422C1" w:rsidRPr="00503F5B" w:rsidRDefault="00A422C1" w:rsidP="00A422C1">
            <w:pPr>
              <w:jc w:val="center"/>
              <w:rPr>
                <w:rFonts w:cs="Calibri"/>
                <w:b/>
                <w:bCs/>
                <w:i/>
                <w:iCs/>
                <w:sz w:val="18"/>
                <w:szCs w:val="18"/>
              </w:rPr>
            </w:pPr>
            <w:r w:rsidRPr="00503F5B">
              <w:rPr>
                <w:rFonts w:cs="Calibri"/>
                <w:b/>
                <w:bCs/>
                <w:i/>
                <w:iCs/>
                <w:sz w:val="18"/>
                <w:szCs w:val="18"/>
              </w:rPr>
              <w:t>+0.</w:t>
            </w:r>
            <w:r>
              <w:rPr>
                <w:rFonts w:cs="Calibri"/>
                <w:b/>
                <w:bCs/>
                <w:i/>
                <w:iCs/>
                <w:sz w:val="18"/>
                <w:szCs w:val="18"/>
              </w:rPr>
              <w:t>27</w:t>
            </w:r>
          </w:p>
        </w:tc>
        <w:tc>
          <w:tcPr>
            <w:tcW w:w="1306" w:type="dxa"/>
            <w:tcBorders>
              <w:top w:val="double" w:sz="4" w:space="0" w:color="ED7C5D"/>
            </w:tcBorders>
            <w:shd w:val="clear" w:color="auto" w:fill="auto"/>
            <w:vAlign w:val="center"/>
          </w:tcPr>
          <w:p w14:paraId="31E8E655" w14:textId="7C27E765" w:rsidR="00A422C1" w:rsidRPr="00503F5B" w:rsidRDefault="00A422C1" w:rsidP="00A422C1">
            <w:pPr>
              <w:jc w:val="center"/>
              <w:rPr>
                <w:b/>
                <w:i/>
                <w:iCs/>
                <w:sz w:val="20"/>
                <w:szCs w:val="20"/>
              </w:rPr>
            </w:pPr>
            <w:r w:rsidRPr="00503F5B">
              <w:rPr>
                <w:rFonts w:cs="Calibri"/>
                <w:b/>
                <w:bCs/>
                <w:i/>
                <w:iCs/>
                <w:sz w:val="18"/>
                <w:szCs w:val="18"/>
              </w:rPr>
              <w:t>+1.</w:t>
            </w:r>
            <w:r>
              <w:rPr>
                <w:rFonts w:cs="Calibri"/>
                <w:b/>
                <w:bCs/>
                <w:i/>
                <w:iCs/>
                <w:sz w:val="18"/>
                <w:szCs w:val="18"/>
              </w:rPr>
              <w:t>50</w:t>
            </w:r>
          </w:p>
        </w:tc>
        <w:tc>
          <w:tcPr>
            <w:tcW w:w="1503" w:type="dxa"/>
            <w:tcBorders>
              <w:top w:val="double" w:sz="4" w:space="0" w:color="ED7C5D"/>
            </w:tcBorders>
            <w:vAlign w:val="center"/>
          </w:tcPr>
          <w:p w14:paraId="4ED9179B" w14:textId="21E5159D" w:rsidR="00A422C1" w:rsidRPr="00503F5B" w:rsidRDefault="00A422C1" w:rsidP="00A422C1">
            <w:pPr>
              <w:jc w:val="center"/>
              <w:rPr>
                <w:rFonts w:eastAsia="Times New Roman"/>
                <w:b/>
                <w:bCs/>
                <w:i/>
                <w:iCs/>
                <w:color w:val="000000" w:themeColor="text1"/>
                <w:sz w:val="20"/>
                <w:szCs w:val="20"/>
              </w:rPr>
            </w:pPr>
            <w:r w:rsidRPr="00503F5B">
              <w:rPr>
                <w:rFonts w:cs="Calibri"/>
                <w:b/>
                <w:bCs/>
                <w:i/>
                <w:iCs/>
                <w:sz w:val="18"/>
                <w:szCs w:val="18"/>
              </w:rPr>
              <w:t>2.</w:t>
            </w:r>
            <w:r>
              <w:rPr>
                <w:rFonts w:cs="Calibri"/>
                <w:b/>
                <w:bCs/>
                <w:i/>
                <w:iCs/>
                <w:sz w:val="18"/>
                <w:szCs w:val="18"/>
              </w:rPr>
              <w:t>67</w:t>
            </w:r>
          </w:p>
        </w:tc>
      </w:tr>
      <w:tr w:rsidR="00A422C1" w:rsidRPr="00503F5B" w14:paraId="63DE6397" w14:textId="77777777" w:rsidTr="001B042C">
        <w:trPr>
          <w:jc w:val="center"/>
        </w:trPr>
        <w:tc>
          <w:tcPr>
            <w:tcW w:w="794" w:type="dxa"/>
            <w:shd w:val="clear" w:color="auto" w:fill="auto"/>
          </w:tcPr>
          <w:p w14:paraId="2993D67A" w14:textId="77777777" w:rsidR="00A422C1" w:rsidRPr="00503F5B" w:rsidRDefault="00A422C1" w:rsidP="00A422C1">
            <w:pPr>
              <w:rPr>
                <w:b/>
                <w:bCs/>
                <w:sz w:val="20"/>
                <w:szCs w:val="20"/>
              </w:rPr>
            </w:pPr>
            <w:r w:rsidRPr="00503F5B">
              <w:rPr>
                <w:b/>
                <w:bCs/>
                <w:sz w:val="20"/>
                <w:szCs w:val="20"/>
              </w:rPr>
              <w:t>2</w:t>
            </w:r>
          </w:p>
        </w:tc>
        <w:tc>
          <w:tcPr>
            <w:tcW w:w="1386" w:type="dxa"/>
            <w:shd w:val="clear" w:color="auto" w:fill="auto"/>
          </w:tcPr>
          <w:p w14:paraId="2797DFDD" w14:textId="6C7AEEB1" w:rsidR="00A422C1" w:rsidRPr="00A422C1" w:rsidRDefault="00A422C1" w:rsidP="00A422C1">
            <w:pPr>
              <w:jc w:val="center"/>
              <w:rPr>
                <w:sz w:val="20"/>
                <w:szCs w:val="20"/>
              </w:rPr>
            </w:pPr>
            <w:r w:rsidRPr="001B042C">
              <w:rPr>
                <w:rFonts w:eastAsia="Times New Roman" w:cs="Calibri"/>
                <w:sz w:val="18"/>
                <w:szCs w:val="18"/>
                <w:lang w:eastAsia="en-AU"/>
              </w:rPr>
              <w:t>-0.17</w:t>
            </w:r>
          </w:p>
        </w:tc>
        <w:tc>
          <w:tcPr>
            <w:tcW w:w="1348" w:type="dxa"/>
          </w:tcPr>
          <w:p w14:paraId="08FA9743" w14:textId="4323E128" w:rsidR="00A422C1" w:rsidRPr="00503F5B" w:rsidRDefault="00A422C1" w:rsidP="00A422C1">
            <w:pPr>
              <w:jc w:val="center"/>
              <w:rPr>
                <w:rFonts w:cs="Calibri"/>
                <w:sz w:val="18"/>
                <w:szCs w:val="18"/>
              </w:rPr>
            </w:pPr>
            <w:r w:rsidRPr="00503F5B">
              <w:rPr>
                <w:sz w:val="18"/>
                <w:szCs w:val="18"/>
              </w:rPr>
              <w:t>-0.0</w:t>
            </w:r>
            <w:r>
              <w:rPr>
                <w:sz w:val="18"/>
                <w:szCs w:val="18"/>
              </w:rPr>
              <w:t>3</w:t>
            </w:r>
          </w:p>
        </w:tc>
        <w:tc>
          <w:tcPr>
            <w:tcW w:w="1306" w:type="dxa"/>
            <w:vAlign w:val="center"/>
          </w:tcPr>
          <w:p w14:paraId="6A86930B" w14:textId="29D5C530" w:rsidR="00A422C1" w:rsidRPr="00503F5B" w:rsidRDefault="00A422C1" w:rsidP="00A422C1">
            <w:pPr>
              <w:jc w:val="center"/>
              <w:rPr>
                <w:rFonts w:eastAsia="Times New Roman"/>
                <w:sz w:val="18"/>
                <w:szCs w:val="18"/>
              </w:rPr>
            </w:pPr>
            <w:r w:rsidRPr="00503F5B">
              <w:rPr>
                <w:rFonts w:cs="Calibri"/>
                <w:sz w:val="18"/>
                <w:szCs w:val="18"/>
              </w:rPr>
              <w:t>-0.01</w:t>
            </w:r>
          </w:p>
        </w:tc>
        <w:tc>
          <w:tcPr>
            <w:tcW w:w="1399" w:type="dxa"/>
            <w:vAlign w:val="center"/>
          </w:tcPr>
          <w:p w14:paraId="0E8D2C3F" w14:textId="528181E3" w:rsidR="00A422C1" w:rsidRPr="00503F5B" w:rsidRDefault="00A422C1" w:rsidP="00A422C1">
            <w:pPr>
              <w:jc w:val="center"/>
              <w:rPr>
                <w:rFonts w:cs="Calibri"/>
                <w:b/>
                <w:bCs/>
                <w:sz w:val="18"/>
                <w:szCs w:val="18"/>
              </w:rPr>
            </w:pPr>
            <w:r w:rsidRPr="00503F5B">
              <w:rPr>
                <w:rFonts w:cs="Calibri"/>
                <w:b/>
                <w:bCs/>
                <w:sz w:val="18"/>
                <w:szCs w:val="18"/>
              </w:rPr>
              <w:t>+0.0</w:t>
            </w:r>
            <w:r>
              <w:rPr>
                <w:rFonts w:cs="Calibri"/>
                <w:b/>
                <w:bCs/>
                <w:sz w:val="18"/>
                <w:szCs w:val="18"/>
              </w:rPr>
              <w:t>4</w:t>
            </w:r>
          </w:p>
        </w:tc>
        <w:tc>
          <w:tcPr>
            <w:tcW w:w="1306" w:type="dxa"/>
            <w:shd w:val="clear" w:color="auto" w:fill="auto"/>
            <w:vAlign w:val="center"/>
          </w:tcPr>
          <w:p w14:paraId="0873D716" w14:textId="4D60D0CF" w:rsidR="00A422C1" w:rsidRPr="00503F5B" w:rsidRDefault="00A422C1" w:rsidP="00A422C1">
            <w:pPr>
              <w:jc w:val="center"/>
              <w:rPr>
                <w:b/>
                <w:bCs/>
                <w:sz w:val="20"/>
                <w:szCs w:val="20"/>
              </w:rPr>
            </w:pPr>
            <w:r w:rsidRPr="00503F5B">
              <w:rPr>
                <w:rFonts w:cs="Calibri"/>
                <w:b/>
                <w:bCs/>
                <w:sz w:val="18"/>
                <w:szCs w:val="18"/>
              </w:rPr>
              <w:t>+0.</w:t>
            </w:r>
            <w:r>
              <w:rPr>
                <w:rFonts w:cs="Calibri"/>
                <w:b/>
                <w:bCs/>
                <w:sz w:val="18"/>
                <w:szCs w:val="18"/>
              </w:rPr>
              <w:t>33</w:t>
            </w:r>
          </w:p>
        </w:tc>
        <w:tc>
          <w:tcPr>
            <w:tcW w:w="1503" w:type="dxa"/>
            <w:vAlign w:val="center"/>
          </w:tcPr>
          <w:p w14:paraId="5F0F2A80" w14:textId="16376BE5" w:rsidR="00A422C1" w:rsidRPr="00503F5B" w:rsidRDefault="00A422C1" w:rsidP="00A422C1">
            <w:pPr>
              <w:jc w:val="center"/>
              <w:rPr>
                <w:rFonts w:eastAsia="Times New Roman"/>
                <w:b/>
                <w:bCs/>
                <w:color w:val="000000" w:themeColor="text1"/>
                <w:sz w:val="20"/>
                <w:szCs w:val="20"/>
              </w:rPr>
            </w:pPr>
            <w:r w:rsidRPr="00503F5B">
              <w:rPr>
                <w:rFonts w:cs="Calibri"/>
                <w:b/>
                <w:bCs/>
                <w:sz w:val="18"/>
                <w:szCs w:val="18"/>
              </w:rPr>
              <w:t>0.</w:t>
            </w:r>
            <w:r>
              <w:rPr>
                <w:rFonts w:cs="Calibri"/>
                <w:b/>
                <w:bCs/>
                <w:sz w:val="18"/>
                <w:szCs w:val="18"/>
              </w:rPr>
              <w:t>60</w:t>
            </w:r>
          </w:p>
        </w:tc>
      </w:tr>
      <w:tr w:rsidR="00A422C1" w:rsidRPr="00503F5B" w14:paraId="20C8AA7A" w14:textId="77777777" w:rsidTr="001B042C">
        <w:trPr>
          <w:jc w:val="center"/>
        </w:trPr>
        <w:tc>
          <w:tcPr>
            <w:tcW w:w="794" w:type="dxa"/>
            <w:shd w:val="clear" w:color="auto" w:fill="auto"/>
          </w:tcPr>
          <w:p w14:paraId="6567C10F" w14:textId="4D40CD61" w:rsidR="00A422C1" w:rsidRPr="00503F5B" w:rsidRDefault="00A422C1" w:rsidP="00A422C1">
            <w:pPr>
              <w:rPr>
                <w:b/>
                <w:bCs/>
                <w:i/>
                <w:iCs/>
                <w:sz w:val="20"/>
                <w:szCs w:val="20"/>
              </w:rPr>
            </w:pPr>
            <w:r w:rsidRPr="00503F5B">
              <w:rPr>
                <w:b/>
                <w:bCs/>
                <w:i/>
                <w:iCs/>
                <w:sz w:val="20"/>
                <w:szCs w:val="20"/>
              </w:rPr>
              <w:t>3</w:t>
            </w:r>
          </w:p>
        </w:tc>
        <w:tc>
          <w:tcPr>
            <w:tcW w:w="1386" w:type="dxa"/>
            <w:shd w:val="clear" w:color="auto" w:fill="auto"/>
          </w:tcPr>
          <w:p w14:paraId="586641E7" w14:textId="6732E9BC" w:rsidR="00A422C1" w:rsidRPr="00A422C1" w:rsidRDefault="00A422C1" w:rsidP="00A422C1">
            <w:pPr>
              <w:jc w:val="center"/>
              <w:rPr>
                <w:rFonts w:eastAsia="Times New Roman"/>
                <w:b/>
                <w:bCs/>
                <w:i/>
                <w:iCs/>
                <w:sz w:val="18"/>
                <w:szCs w:val="18"/>
              </w:rPr>
            </w:pPr>
            <w:r w:rsidRPr="00A422C1">
              <w:rPr>
                <w:rFonts w:eastAsia="Times New Roman" w:cs="Calibri"/>
                <w:b/>
                <w:bCs/>
                <w:i/>
                <w:iCs/>
                <w:sz w:val="18"/>
                <w:szCs w:val="18"/>
                <w:lang w:eastAsia="en-AU"/>
              </w:rPr>
              <w:t>-0.07</w:t>
            </w:r>
          </w:p>
        </w:tc>
        <w:tc>
          <w:tcPr>
            <w:tcW w:w="1348" w:type="dxa"/>
          </w:tcPr>
          <w:p w14:paraId="0784F4F3" w14:textId="5067FACA" w:rsidR="00A422C1" w:rsidRPr="00503F5B" w:rsidRDefault="00A422C1" w:rsidP="00A422C1">
            <w:pPr>
              <w:jc w:val="center"/>
              <w:rPr>
                <w:rFonts w:cs="Calibri"/>
                <w:b/>
                <w:bCs/>
                <w:i/>
                <w:iCs/>
                <w:sz w:val="18"/>
                <w:szCs w:val="18"/>
              </w:rPr>
            </w:pPr>
            <w:r w:rsidRPr="00503F5B">
              <w:rPr>
                <w:b/>
                <w:bCs/>
                <w:i/>
                <w:iCs/>
                <w:sz w:val="18"/>
                <w:szCs w:val="18"/>
              </w:rPr>
              <w:t>+0.00</w:t>
            </w:r>
          </w:p>
        </w:tc>
        <w:tc>
          <w:tcPr>
            <w:tcW w:w="1306" w:type="dxa"/>
            <w:vAlign w:val="center"/>
          </w:tcPr>
          <w:p w14:paraId="60A46718" w14:textId="14A526C9" w:rsidR="00A422C1" w:rsidRPr="00503F5B" w:rsidRDefault="00A422C1" w:rsidP="00A422C1">
            <w:pPr>
              <w:jc w:val="center"/>
              <w:rPr>
                <w:rFonts w:eastAsia="Times New Roman"/>
                <w:b/>
                <w:bCs/>
                <w:sz w:val="18"/>
                <w:szCs w:val="18"/>
              </w:rPr>
            </w:pPr>
            <w:r w:rsidRPr="00503F5B">
              <w:rPr>
                <w:rFonts w:cs="Calibri"/>
                <w:b/>
                <w:bCs/>
                <w:sz w:val="18"/>
                <w:szCs w:val="18"/>
              </w:rPr>
              <w:t>+0.00</w:t>
            </w:r>
          </w:p>
        </w:tc>
        <w:tc>
          <w:tcPr>
            <w:tcW w:w="1399" w:type="dxa"/>
            <w:vAlign w:val="center"/>
          </w:tcPr>
          <w:p w14:paraId="3801E83D" w14:textId="273DBE52" w:rsidR="00A422C1" w:rsidRPr="00503F5B" w:rsidRDefault="00A422C1" w:rsidP="00A422C1">
            <w:pPr>
              <w:jc w:val="center"/>
              <w:rPr>
                <w:rFonts w:cs="Calibri"/>
                <w:sz w:val="18"/>
                <w:szCs w:val="18"/>
              </w:rPr>
            </w:pPr>
            <w:r w:rsidRPr="00503F5B">
              <w:rPr>
                <w:rFonts w:cs="Calibri"/>
                <w:sz w:val="18"/>
                <w:szCs w:val="18"/>
              </w:rPr>
              <w:t>+0.0</w:t>
            </w:r>
            <w:r>
              <w:rPr>
                <w:rFonts w:cs="Calibri"/>
                <w:sz w:val="18"/>
                <w:szCs w:val="18"/>
              </w:rPr>
              <w:t>3</w:t>
            </w:r>
          </w:p>
        </w:tc>
        <w:tc>
          <w:tcPr>
            <w:tcW w:w="1306" w:type="dxa"/>
            <w:shd w:val="clear" w:color="auto" w:fill="auto"/>
            <w:vAlign w:val="center"/>
          </w:tcPr>
          <w:p w14:paraId="65FB1282" w14:textId="06BB0E48" w:rsidR="00A422C1" w:rsidRPr="00503F5B" w:rsidRDefault="00A422C1" w:rsidP="00A422C1">
            <w:pPr>
              <w:jc w:val="center"/>
              <w:rPr>
                <w:rFonts w:eastAsia="Times New Roman"/>
                <w:sz w:val="18"/>
                <w:szCs w:val="18"/>
              </w:rPr>
            </w:pPr>
            <w:r w:rsidRPr="00503F5B">
              <w:rPr>
                <w:rFonts w:cs="Calibri"/>
                <w:sz w:val="18"/>
                <w:szCs w:val="18"/>
              </w:rPr>
              <w:t>+0.1</w:t>
            </w:r>
            <w:r>
              <w:rPr>
                <w:rFonts w:cs="Calibri"/>
                <w:sz w:val="18"/>
                <w:szCs w:val="18"/>
              </w:rPr>
              <w:t>7</w:t>
            </w:r>
          </w:p>
        </w:tc>
        <w:tc>
          <w:tcPr>
            <w:tcW w:w="1503" w:type="dxa"/>
            <w:vAlign w:val="center"/>
          </w:tcPr>
          <w:p w14:paraId="6C01EC07" w14:textId="511FA65D" w:rsidR="00A422C1" w:rsidRPr="00503F5B" w:rsidRDefault="00A422C1" w:rsidP="00A422C1">
            <w:pPr>
              <w:jc w:val="center"/>
              <w:rPr>
                <w:rFonts w:eastAsia="Times New Roman"/>
                <w:sz w:val="20"/>
                <w:szCs w:val="20"/>
              </w:rPr>
            </w:pPr>
            <w:r w:rsidRPr="00503F5B">
              <w:rPr>
                <w:rFonts w:cs="Calibri"/>
                <w:sz w:val="18"/>
                <w:szCs w:val="18"/>
              </w:rPr>
              <w:t>0.</w:t>
            </w:r>
            <w:r>
              <w:rPr>
                <w:rFonts w:cs="Calibri"/>
                <w:sz w:val="18"/>
                <w:szCs w:val="18"/>
              </w:rPr>
              <w:t>30</w:t>
            </w:r>
          </w:p>
        </w:tc>
      </w:tr>
      <w:tr w:rsidR="00A422C1" w:rsidRPr="00503F5B" w14:paraId="7D7EBF04" w14:textId="77777777" w:rsidTr="001B042C">
        <w:trPr>
          <w:jc w:val="center"/>
        </w:trPr>
        <w:tc>
          <w:tcPr>
            <w:tcW w:w="794" w:type="dxa"/>
            <w:tcBorders>
              <w:bottom w:val="single" w:sz="4" w:space="0" w:color="ED7C5D"/>
            </w:tcBorders>
            <w:shd w:val="clear" w:color="auto" w:fill="auto"/>
          </w:tcPr>
          <w:p w14:paraId="659F71B1" w14:textId="7A33374D" w:rsidR="00A422C1" w:rsidRPr="00503F5B" w:rsidRDefault="00A422C1" w:rsidP="00A422C1">
            <w:pPr>
              <w:rPr>
                <w:sz w:val="20"/>
                <w:szCs w:val="20"/>
              </w:rPr>
            </w:pPr>
            <w:r w:rsidRPr="00503F5B">
              <w:rPr>
                <w:sz w:val="20"/>
                <w:szCs w:val="20"/>
              </w:rPr>
              <w:t>4</w:t>
            </w:r>
          </w:p>
        </w:tc>
        <w:tc>
          <w:tcPr>
            <w:tcW w:w="1386" w:type="dxa"/>
            <w:tcBorders>
              <w:bottom w:val="single" w:sz="4" w:space="0" w:color="ED7C5D"/>
            </w:tcBorders>
            <w:shd w:val="clear" w:color="auto" w:fill="auto"/>
          </w:tcPr>
          <w:p w14:paraId="30D98B56" w14:textId="583F79BC" w:rsidR="00A422C1" w:rsidRPr="00A422C1" w:rsidRDefault="00A422C1" w:rsidP="00A422C1">
            <w:pPr>
              <w:jc w:val="center"/>
              <w:rPr>
                <w:sz w:val="20"/>
                <w:szCs w:val="20"/>
              </w:rPr>
            </w:pPr>
            <w:r w:rsidRPr="001B042C">
              <w:rPr>
                <w:rFonts w:eastAsia="Times New Roman" w:cs="Calibri"/>
                <w:sz w:val="18"/>
                <w:szCs w:val="18"/>
                <w:lang w:eastAsia="en-AU"/>
              </w:rPr>
              <w:t>-0.35</w:t>
            </w:r>
          </w:p>
        </w:tc>
        <w:tc>
          <w:tcPr>
            <w:tcW w:w="1348" w:type="dxa"/>
            <w:tcBorders>
              <w:bottom w:val="single" w:sz="4" w:space="0" w:color="ED7C5D"/>
            </w:tcBorders>
          </w:tcPr>
          <w:p w14:paraId="621617F0" w14:textId="162E0075" w:rsidR="00A422C1" w:rsidRPr="00503F5B" w:rsidRDefault="00A422C1" w:rsidP="00A422C1">
            <w:pPr>
              <w:jc w:val="center"/>
              <w:rPr>
                <w:rFonts w:cs="Calibri"/>
                <w:sz w:val="18"/>
                <w:szCs w:val="18"/>
              </w:rPr>
            </w:pPr>
            <w:r w:rsidRPr="00503F5B">
              <w:rPr>
                <w:sz w:val="18"/>
                <w:szCs w:val="18"/>
              </w:rPr>
              <w:t>-0.</w:t>
            </w:r>
            <w:r>
              <w:rPr>
                <w:sz w:val="18"/>
                <w:szCs w:val="18"/>
              </w:rPr>
              <w:t>31</w:t>
            </w:r>
          </w:p>
        </w:tc>
        <w:tc>
          <w:tcPr>
            <w:tcW w:w="1306" w:type="dxa"/>
            <w:tcBorders>
              <w:bottom w:val="single" w:sz="4" w:space="0" w:color="ED7C5D"/>
            </w:tcBorders>
            <w:vAlign w:val="center"/>
          </w:tcPr>
          <w:p w14:paraId="24F77F0B" w14:textId="7DD45633" w:rsidR="00A422C1" w:rsidRPr="00503F5B" w:rsidRDefault="00A422C1" w:rsidP="00A422C1">
            <w:pPr>
              <w:jc w:val="center"/>
              <w:rPr>
                <w:rFonts w:eastAsia="Times New Roman"/>
                <w:sz w:val="18"/>
                <w:szCs w:val="18"/>
              </w:rPr>
            </w:pPr>
            <w:r w:rsidRPr="00503F5B">
              <w:rPr>
                <w:rFonts w:cs="Calibri"/>
                <w:sz w:val="18"/>
                <w:szCs w:val="18"/>
              </w:rPr>
              <w:t>-0.</w:t>
            </w:r>
            <w:r>
              <w:rPr>
                <w:rFonts w:cs="Calibri"/>
                <w:sz w:val="18"/>
                <w:szCs w:val="18"/>
              </w:rPr>
              <w:t>30</w:t>
            </w:r>
          </w:p>
        </w:tc>
        <w:tc>
          <w:tcPr>
            <w:tcW w:w="1399" w:type="dxa"/>
            <w:tcBorders>
              <w:bottom w:val="single" w:sz="4" w:space="0" w:color="ED7C5D"/>
            </w:tcBorders>
            <w:vAlign w:val="center"/>
          </w:tcPr>
          <w:p w14:paraId="2FC19CF5" w14:textId="55FBF097" w:rsidR="00A422C1" w:rsidRPr="00503F5B" w:rsidRDefault="00A422C1" w:rsidP="00A422C1">
            <w:pPr>
              <w:jc w:val="center"/>
              <w:rPr>
                <w:rFonts w:cs="Calibri"/>
                <w:sz w:val="18"/>
                <w:szCs w:val="18"/>
              </w:rPr>
            </w:pPr>
            <w:r w:rsidRPr="00503F5B">
              <w:rPr>
                <w:rFonts w:cs="Calibri"/>
                <w:sz w:val="18"/>
                <w:szCs w:val="18"/>
              </w:rPr>
              <w:t>-0.</w:t>
            </w:r>
            <w:r>
              <w:rPr>
                <w:rFonts w:cs="Calibri"/>
                <w:sz w:val="18"/>
                <w:szCs w:val="18"/>
              </w:rPr>
              <w:t>2</w:t>
            </w:r>
            <w:r w:rsidRPr="00503F5B">
              <w:rPr>
                <w:rFonts w:cs="Calibri"/>
                <w:sz w:val="18"/>
                <w:szCs w:val="18"/>
              </w:rPr>
              <w:t>9</w:t>
            </w:r>
          </w:p>
        </w:tc>
        <w:tc>
          <w:tcPr>
            <w:tcW w:w="1306" w:type="dxa"/>
            <w:tcBorders>
              <w:bottom w:val="single" w:sz="4" w:space="0" w:color="ED7C5D"/>
            </w:tcBorders>
            <w:shd w:val="clear" w:color="auto" w:fill="auto"/>
            <w:vAlign w:val="center"/>
          </w:tcPr>
          <w:p w14:paraId="24C33BA2" w14:textId="3D49B9AE" w:rsidR="00A422C1" w:rsidRPr="00503F5B" w:rsidRDefault="00A422C1" w:rsidP="00A422C1">
            <w:pPr>
              <w:jc w:val="center"/>
              <w:rPr>
                <w:sz w:val="20"/>
                <w:szCs w:val="20"/>
              </w:rPr>
            </w:pPr>
            <w:r w:rsidRPr="00503F5B">
              <w:rPr>
                <w:rFonts w:cs="Calibri"/>
                <w:sz w:val="18"/>
                <w:szCs w:val="18"/>
              </w:rPr>
              <w:t>-0.</w:t>
            </w:r>
            <w:r>
              <w:rPr>
                <w:rFonts w:cs="Calibri"/>
                <w:sz w:val="18"/>
                <w:szCs w:val="18"/>
              </w:rPr>
              <w:t>20</w:t>
            </w:r>
          </w:p>
        </w:tc>
        <w:tc>
          <w:tcPr>
            <w:tcW w:w="1503" w:type="dxa"/>
            <w:tcBorders>
              <w:bottom w:val="single" w:sz="4" w:space="0" w:color="ED7C5D"/>
            </w:tcBorders>
            <w:vAlign w:val="center"/>
          </w:tcPr>
          <w:p w14:paraId="70D38413" w14:textId="50652678" w:rsidR="00A422C1" w:rsidRPr="00503F5B" w:rsidRDefault="00A422C1" w:rsidP="00A422C1">
            <w:pPr>
              <w:jc w:val="center"/>
              <w:rPr>
                <w:rFonts w:eastAsia="Times New Roman"/>
                <w:color w:val="000000" w:themeColor="text1"/>
                <w:sz w:val="20"/>
                <w:szCs w:val="20"/>
              </w:rPr>
            </w:pPr>
            <w:r w:rsidRPr="00503F5B">
              <w:rPr>
                <w:rFonts w:cs="Calibri"/>
                <w:sz w:val="18"/>
                <w:szCs w:val="18"/>
              </w:rPr>
              <w:t>-0.</w:t>
            </w:r>
            <w:r>
              <w:rPr>
                <w:rFonts w:cs="Calibri"/>
                <w:sz w:val="18"/>
                <w:szCs w:val="18"/>
              </w:rPr>
              <w:t>12</w:t>
            </w:r>
          </w:p>
        </w:tc>
      </w:tr>
    </w:tbl>
    <w:p w14:paraId="0272EEDF" w14:textId="77777777" w:rsidR="0034102C" w:rsidRPr="00503F5B" w:rsidRDefault="0034102C" w:rsidP="00517C6D"/>
    <w:p w14:paraId="0E42A294" w14:textId="1BE734B5" w:rsidR="0034102C" w:rsidRPr="00503F5B" w:rsidRDefault="0034102C" w:rsidP="0034102C">
      <w:pPr>
        <w:jc w:val="both"/>
      </w:pPr>
      <w:r w:rsidRPr="00503F5B">
        <w:t xml:space="preserve">Changing the weightings above as shown in Table 26 shifts the emphasis away from ‘effectiveness’ and concerns around the incentivisation of circumvention and </w:t>
      </w:r>
      <w:r w:rsidR="00BF045A" w:rsidRPr="00503F5B">
        <w:t xml:space="preserve">unmeritorious </w:t>
      </w:r>
      <w:r w:rsidRPr="00503F5B">
        <w:t>VCAT challenge activities through high fees</w:t>
      </w:r>
      <w:r w:rsidR="00202676" w:rsidRPr="00503F5B">
        <w:t xml:space="preserve"> toward efficiency and equity</w:t>
      </w:r>
      <w:r w:rsidRPr="00503F5B">
        <w:t xml:space="preserve">.  The change in the weights alters the ranking of options with </w:t>
      </w:r>
      <w:r w:rsidR="00202676" w:rsidRPr="00503F5B">
        <w:t>Option 3 providing the lowest negative score where effectiveness is given a priority of 80</w:t>
      </w:r>
      <w:r w:rsidR="009733F0" w:rsidRPr="00503F5B">
        <w:t xml:space="preserve"> per cent</w:t>
      </w:r>
      <w:r w:rsidR="00202676" w:rsidRPr="00503F5B">
        <w:t xml:space="preserve">.  </w:t>
      </w:r>
      <w:r w:rsidR="0033661C" w:rsidRPr="00503F5B">
        <w:t xml:space="preserve">At a threshold weighting of </w:t>
      </w:r>
      <w:r w:rsidR="00A422C1">
        <w:t>71</w:t>
      </w:r>
      <w:r w:rsidR="0033661C" w:rsidRPr="00503F5B">
        <w:t>.</w:t>
      </w:r>
      <w:r w:rsidR="00A422C1">
        <w:t>4</w:t>
      </w:r>
      <w:r w:rsidR="009733F0" w:rsidRPr="00503F5B">
        <w:t xml:space="preserve"> per cent</w:t>
      </w:r>
      <w:r w:rsidR="0033661C" w:rsidRPr="00503F5B">
        <w:t xml:space="preserve"> for effectiveness, </w:t>
      </w:r>
      <w:r w:rsidRPr="00503F5B">
        <w:t>Option</w:t>
      </w:r>
      <w:r w:rsidR="0033661C" w:rsidRPr="00503F5B">
        <w:t>s</w:t>
      </w:r>
      <w:r w:rsidRPr="00503F5B">
        <w:t xml:space="preserve"> 1</w:t>
      </w:r>
      <w:r w:rsidR="0033661C" w:rsidRPr="00503F5B">
        <w:t xml:space="preserve"> and 3 both provide higher scores</w:t>
      </w:r>
      <w:r w:rsidR="003867C8" w:rsidRPr="00503F5B">
        <w:t xml:space="preserve"> and at </w:t>
      </w:r>
      <w:r w:rsidR="00A422C1">
        <w:t>70</w:t>
      </w:r>
      <w:r w:rsidR="003867C8" w:rsidRPr="00503F5B">
        <w:t xml:space="preserve"> percent </w:t>
      </w:r>
      <w:r w:rsidR="00A422C1">
        <w:t xml:space="preserve">with </w:t>
      </w:r>
      <w:r w:rsidR="003867C8" w:rsidRPr="00503F5B">
        <w:t>Option 3 provid</w:t>
      </w:r>
      <w:r w:rsidR="00A422C1">
        <w:t>ing</w:t>
      </w:r>
      <w:r w:rsidR="003867C8" w:rsidRPr="00503F5B">
        <w:t xml:space="preserve"> the second highest score.  However, with effectiveness given a </w:t>
      </w:r>
      <w:r w:rsidR="00C9708E" w:rsidRPr="00503F5B">
        <w:t xml:space="preserve">threshold </w:t>
      </w:r>
      <w:r w:rsidR="003867C8" w:rsidRPr="00503F5B">
        <w:t>priority of 6</w:t>
      </w:r>
      <w:r w:rsidR="00A422C1">
        <w:t>7</w:t>
      </w:r>
      <w:r w:rsidR="00C9708E" w:rsidRPr="00503F5B">
        <w:t>.</w:t>
      </w:r>
      <w:r w:rsidR="00A422C1">
        <w:t>6</w:t>
      </w:r>
      <w:r w:rsidR="003867C8" w:rsidRPr="00503F5B">
        <w:t xml:space="preserve">% or less, Option 2 provides the second highest score ahead of Option 3. </w:t>
      </w:r>
    </w:p>
    <w:p w14:paraId="20A58F9F" w14:textId="0A8398D0" w:rsidR="00F154EE" w:rsidRPr="00503F5B" w:rsidRDefault="00F154EE" w:rsidP="0034102C">
      <w:pPr>
        <w:jc w:val="both"/>
      </w:pPr>
    </w:p>
    <w:p w14:paraId="0F4038FA" w14:textId="0CDC729B" w:rsidR="0033661C" w:rsidRPr="00503F5B" w:rsidRDefault="0033661C" w:rsidP="00F154EE">
      <w:pPr>
        <w:pBdr>
          <w:top w:val="single" w:sz="4" w:space="1" w:color="auto"/>
          <w:left w:val="single" w:sz="4" w:space="4" w:color="auto"/>
          <w:bottom w:val="single" w:sz="4" w:space="1" w:color="auto"/>
          <w:right w:val="single" w:sz="4" w:space="4" w:color="auto"/>
        </w:pBdr>
        <w:shd w:val="clear" w:color="auto" w:fill="FBE4D5" w:themeFill="accent2" w:themeFillTint="33"/>
        <w:jc w:val="both"/>
        <w:rPr>
          <w:i/>
          <w:iCs/>
        </w:rPr>
      </w:pPr>
      <w:r w:rsidRPr="00503F5B">
        <w:rPr>
          <w:i/>
          <w:iCs/>
        </w:rPr>
        <w:t>G</w:t>
      </w:r>
      <w:r w:rsidR="00F154EE" w:rsidRPr="00503F5B">
        <w:rPr>
          <w:i/>
          <w:iCs/>
        </w:rPr>
        <w:t>iven</w:t>
      </w:r>
      <w:r w:rsidRPr="00503F5B">
        <w:rPr>
          <w:i/>
          <w:iCs/>
        </w:rPr>
        <w:t>:</w:t>
      </w:r>
      <w:r w:rsidR="00F154EE" w:rsidRPr="00503F5B">
        <w:rPr>
          <w:i/>
          <w:iCs/>
        </w:rPr>
        <w:t xml:space="preserve"> </w:t>
      </w:r>
    </w:p>
    <w:p w14:paraId="1806DE28" w14:textId="77777777" w:rsidR="0033661C" w:rsidRPr="00503F5B" w:rsidRDefault="0033661C" w:rsidP="00F154EE">
      <w:pPr>
        <w:pBdr>
          <w:top w:val="single" w:sz="4" w:space="1" w:color="auto"/>
          <w:left w:val="single" w:sz="4" w:space="4" w:color="auto"/>
          <w:bottom w:val="single" w:sz="4" w:space="1" w:color="auto"/>
          <w:right w:val="single" w:sz="4" w:space="4" w:color="auto"/>
        </w:pBdr>
        <w:shd w:val="clear" w:color="auto" w:fill="FBE4D5" w:themeFill="accent2" w:themeFillTint="33"/>
        <w:jc w:val="both"/>
        <w:rPr>
          <w:i/>
          <w:iCs/>
        </w:rPr>
      </w:pPr>
    </w:p>
    <w:p w14:paraId="313BA7C1" w14:textId="1949E438" w:rsidR="0033661C" w:rsidRPr="00503F5B" w:rsidRDefault="0033661C" w:rsidP="00F154EE">
      <w:pPr>
        <w:pBdr>
          <w:top w:val="single" w:sz="4" w:space="1" w:color="auto"/>
          <w:left w:val="single" w:sz="4" w:space="4" w:color="auto"/>
          <w:bottom w:val="single" w:sz="4" w:space="1" w:color="auto"/>
          <w:right w:val="single" w:sz="4" w:space="4" w:color="auto"/>
        </w:pBdr>
        <w:shd w:val="clear" w:color="auto" w:fill="FBE4D5" w:themeFill="accent2" w:themeFillTint="33"/>
        <w:jc w:val="both"/>
        <w:rPr>
          <w:i/>
          <w:iCs/>
        </w:rPr>
      </w:pPr>
      <w:r w:rsidRPr="00503F5B">
        <w:rPr>
          <w:i/>
          <w:iCs/>
        </w:rPr>
        <w:t xml:space="preserve">a) </w:t>
      </w:r>
      <w:r w:rsidR="00F154EE" w:rsidRPr="00503F5B">
        <w:rPr>
          <w:i/>
          <w:iCs/>
        </w:rPr>
        <w:t xml:space="preserve">the unknown but potentially very serious nature of unintended consequences and lack of data over the threshold fee driving circumvention activities and increased </w:t>
      </w:r>
      <w:r w:rsidR="00F37EEB" w:rsidRPr="00503F5B">
        <w:rPr>
          <w:i/>
          <w:iCs/>
        </w:rPr>
        <w:t xml:space="preserve">unmeritorious </w:t>
      </w:r>
      <w:r w:rsidR="00F154EE" w:rsidRPr="00503F5B">
        <w:rPr>
          <w:i/>
          <w:iCs/>
        </w:rPr>
        <w:t>VCAT challenge</w:t>
      </w:r>
      <w:r w:rsidRPr="00503F5B">
        <w:rPr>
          <w:i/>
          <w:iCs/>
        </w:rPr>
        <w:t xml:space="preserve">s; </w:t>
      </w:r>
    </w:p>
    <w:p w14:paraId="4C4F8D80" w14:textId="1CB7E669" w:rsidR="0033661C" w:rsidRPr="00503F5B" w:rsidRDefault="0033661C" w:rsidP="00F154EE">
      <w:pPr>
        <w:pBdr>
          <w:top w:val="single" w:sz="4" w:space="1" w:color="auto"/>
          <w:left w:val="single" w:sz="4" w:space="4" w:color="auto"/>
          <w:bottom w:val="single" w:sz="4" w:space="1" w:color="auto"/>
          <w:right w:val="single" w:sz="4" w:space="4" w:color="auto"/>
        </w:pBdr>
        <w:shd w:val="clear" w:color="auto" w:fill="FBE4D5" w:themeFill="accent2" w:themeFillTint="33"/>
        <w:jc w:val="both"/>
        <w:rPr>
          <w:i/>
          <w:iCs/>
        </w:rPr>
      </w:pPr>
      <w:r w:rsidRPr="00503F5B">
        <w:rPr>
          <w:i/>
          <w:iCs/>
        </w:rPr>
        <w:t>b)</w:t>
      </w:r>
      <w:r w:rsidR="00F154EE" w:rsidRPr="00503F5B">
        <w:rPr>
          <w:i/>
          <w:iCs/>
        </w:rPr>
        <w:t xml:space="preserve"> </w:t>
      </w:r>
      <w:r w:rsidRPr="00503F5B">
        <w:rPr>
          <w:i/>
          <w:iCs/>
        </w:rPr>
        <w:t xml:space="preserve">the uncertainty around the weighting given to unintended consequences (the effectiveness criteria); </w:t>
      </w:r>
    </w:p>
    <w:p w14:paraId="49D7855F" w14:textId="6C412FCA" w:rsidR="0033661C" w:rsidRPr="00503F5B" w:rsidRDefault="0033661C" w:rsidP="00F154EE">
      <w:pPr>
        <w:pBdr>
          <w:top w:val="single" w:sz="4" w:space="1" w:color="auto"/>
          <w:left w:val="single" w:sz="4" w:space="4" w:color="auto"/>
          <w:bottom w:val="single" w:sz="4" w:space="1" w:color="auto"/>
          <w:right w:val="single" w:sz="4" w:space="4" w:color="auto"/>
        </w:pBdr>
        <w:shd w:val="clear" w:color="auto" w:fill="FBE4D5" w:themeFill="accent2" w:themeFillTint="33"/>
        <w:jc w:val="both"/>
        <w:rPr>
          <w:i/>
          <w:iCs/>
        </w:rPr>
      </w:pPr>
      <w:r w:rsidRPr="00503F5B">
        <w:rPr>
          <w:i/>
          <w:iCs/>
        </w:rPr>
        <w:t xml:space="preserve">c) </w:t>
      </w:r>
      <w:r w:rsidR="00F154EE" w:rsidRPr="00503F5B">
        <w:rPr>
          <w:i/>
          <w:iCs/>
        </w:rPr>
        <w:t xml:space="preserve">the desire </w:t>
      </w:r>
      <w:r w:rsidRPr="00503F5B">
        <w:rPr>
          <w:i/>
          <w:iCs/>
        </w:rPr>
        <w:t xml:space="preserve">of </w:t>
      </w:r>
      <w:r w:rsidR="00F154EE" w:rsidRPr="00503F5B">
        <w:rPr>
          <w:i/>
          <w:iCs/>
        </w:rPr>
        <w:t>FRV to avoid the ‘risk’ of such consequences</w:t>
      </w:r>
      <w:r w:rsidR="00C9708E" w:rsidRPr="00503F5B">
        <w:rPr>
          <w:i/>
          <w:iCs/>
        </w:rPr>
        <w:t xml:space="preserve"> and consideration of alternative mechanisms for addressing rewiring issues as there is no real assurance that reducing fees will </w:t>
      </w:r>
      <w:proofErr w:type="gramStart"/>
      <w:r w:rsidR="00C9708E" w:rsidRPr="00503F5B">
        <w:rPr>
          <w:i/>
          <w:iCs/>
        </w:rPr>
        <w:t>actually affect</w:t>
      </w:r>
      <w:proofErr w:type="gramEnd"/>
      <w:r w:rsidR="00C9708E" w:rsidRPr="00503F5B">
        <w:rPr>
          <w:i/>
          <w:iCs/>
        </w:rPr>
        <w:t xml:space="preserve"> rewiring rates; </w:t>
      </w:r>
    </w:p>
    <w:p w14:paraId="1BD3537E" w14:textId="76168862" w:rsidR="00BF045A" w:rsidRPr="00503F5B" w:rsidRDefault="00BF045A" w:rsidP="00F154EE">
      <w:pPr>
        <w:pBdr>
          <w:top w:val="single" w:sz="4" w:space="1" w:color="auto"/>
          <w:left w:val="single" w:sz="4" w:space="4" w:color="auto"/>
          <w:bottom w:val="single" w:sz="4" w:space="1" w:color="auto"/>
          <w:right w:val="single" w:sz="4" w:space="4" w:color="auto"/>
        </w:pBdr>
        <w:shd w:val="clear" w:color="auto" w:fill="FBE4D5" w:themeFill="accent2" w:themeFillTint="33"/>
        <w:jc w:val="both"/>
        <w:rPr>
          <w:i/>
          <w:iCs/>
        </w:rPr>
      </w:pPr>
      <w:r w:rsidRPr="00503F5B">
        <w:rPr>
          <w:i/>
          <w:iCs/>
        </w:rPr>
        <w:t>d) the proven effect in incentivising proactive steps to maintain and manage alarm systems; and</w:t>
      </w:r>
    </w:p>
    <w:p w14:paraId="0477BB86" w14:textId="74854EC4" w:rsidR="00C9708E" w:rsidRPr="00503F5B" w:rsidRDefault="00BF045A" w:rsidP="00F154EE">
      <w:pPr>
        <w:pBdr>
          <w:top w:val="single" w:sz="4" w:space="1" w:color="auto"/>
          <w:left w:val="single" w:sz="4" w:space="4" w:color="auto"/>
          <w:bottom w:val="single" w:sz="4" w:space="1" w:color="auto"/>
          <w:right w:val="single" w:sz="4" w:space="4" w:color="auto"/>
        </w:pBdr>
        <w:shd w:val="clear" w:color="auto" w:fill="FBE4D5" w:themeFill="accent2" w:themeFillTint="33"/>
        <w:jc w:val="both"/>
        <w:rPr>
          <w:i/>
          <w:iCs/>
        </w:rPr>
      </w:pPr>
      <w:r w:rsidRPr="00503F5B">
        <w:rPr>
          <w:i/>
          <w:iCs/>
        </w:rPr>
        <w:lastRenderedPageBreak/>
        <w:t xml:space="preserve">e) reduction from full cost recovery is defensible from an equity point of view given that property owners already </w:t>
      </w:r>
      <w:proofErr w:type="gramStart"/>
      <w:r w:rsidRPr="00503F5B">
        <w:rPr>
          <w:i/>
          <w:iCs/>
        </w:rPr>
        <w:t>make a contribution</w:t>
      </w:r>
      <w:proofErr w:type="gramEnd"/>
      <w:r w:rsidRPr="00503F5B">
        <w:rPr>
          <w:i/>
          <w:iCs/>
        </w:rPr>
        <w:t xml:space="preserve"> to the cost of fire services through the FSPL</w:t>
      </w:r>
      <w:r w:rsidR="00503F5B" w:rsidRPr="00503F5B">
        <w:rPr>
          <w:i/>
          <w:iCs/>
        </w:rPr>
        <w:t>.</w:t>
      </w:r>
    </w:p>
    <w:p w14:paraId="4C27B329" w14:textId="77777777" w:rsidR="0033661C" w:rsidRPr="00503F5B" w:rsidRDefault="0033661C" w:rsidP="00F154EE">
      <w:pPr>
        <w:pBdr>
          <w:top w:val="single" w:sz="4" w:space="1" w:color="auto"/>
          <w:left w:val="single" w:sz="4" w:space="4" w:color="auto"/>
          <w:bottom w:val="single" w:sz="4" w:space="1" w:color="auto"/>
          <w:right w:val="single" w:sz="4" w:space="4" w:color="auto"/>
        </w:pBdr>
        <w:shd w:val="clear" w:color="auto" w:fill="FBE4D5" w:themeFill="accent2" w:themeFillTint="33"/>
        <w:jc w:val="both"/>
        <w:rPr>
          <w:i/>
          <w:iCs/>
        </w:rPr>
      </w:pPr>
    </w:p>
    <w:p w14:paraId="6147DF96" w14:textId="560F06D6" w:rsidR="00F154EE" w:rsidRPr="00503F5B" w:rsidRDefault="00F154EE" w:rsidP="00F154EE">
      <w:pPr>
        <w:pBdr>
          <w:top w:val="single" w:sz="4" w:space="1" w:color="auto"/>
          <w:left w:val="single" w:sz="4" w:space="4" w:color="auto"/>
          <w:bottom w:val="single" w:sz="4" w:space="1" w:color="auto"/>
          <w:right w:val="single" w:sz="4" w:space="4" w:color="auto"/>
        </w:pBdr>
        <w:shd w:val="clear" w:color="auto" w:fill="FBE4D5" w:themeFill="accent2" w:themeFillTint="33"/>
        <w:jc w:val="both"/>
        <w:rPr>
          <w:b/>
          <w:bCs/>
          <w:i/>
          <w:iCs/>
        </w:rPr>
      </w:pPr>
      <w:r w:rsidRPr="00503F5B">
        <w:rPr>
          <w:b/>
          <w:bCs/>
          <w:i/>
          <w:iCs/>
        </w:rPr>
        <w:t xml:space="preserve">– Option </w:t>
      </w:r>
      <w:r w:rsidR="003867C8" w:rsidRPr="00503F5B">
        <w:rPr>
          <w:b/>
          <w:bCs/>
          <w:i/>
          <w:iCs/>
        </w:rPr>
        <w:t>2</w:t>
      </w:r>
      <w:r w:rsidRPr="00503F5B">
        <w:rPr>
          <w:b/>
          <w:bCs/>
          <w:i/>
          <w:iCs/>
        </w:rPr>
        <w:t xml:space="preserve"> </w:t>
      </w:r>
      <w:r w:rsidR="00C9708E" w:rsidRPr="00503F5B">
        <w:rPr>
          <w:b/>
          <w:bCs/>
          <w:i/>
          <w:iCs/>
        </w:rPr>
        <w:t xml:space="preserve">based on current fee units </w:t>
      </w:r>
      <w:r w:rsidRPr="00503F5B">
        <w:rPr>
          <w:b/>
          <w:bCs/>
          <w:i/>
          <w:iCs/>
        </w:rPr>
        <w:t>is selected as the preferred option based on a conservative approach</w:t>
      </w:r>
      <w:r w:rsidR="00C9708E" w:rsidRPr="00503F5B">
        <w:rPr>
          <w:b/>
          <w:bCs/>
          <w:i/>
          <w:iCs/>
        </w:rPr>
        <w:t>.</w:t>
      </w:r>
      <w:r w:rsidRPr="00503F5B">
        <w:rPr>
          <w:b/>
          <w:bCs/>
          <w:i/>
          <w:iCs/>
        </w:rPr>
        <w:t xml:space="preserve"> </w:t>
      </w:r>
    </w:p>
    <w:p w14:paraId="24145B07" w14:textId="77777777" w:rsidR="001D51D6" w:rsidRPr="00503F5B" w:rsidRDefault="001D51D6" w:rsidP="0080683B">
      <w:pPr>
        <w:pStyle w:val="Heading1"/>
      </w:pPr>
      <w:bookmarkStart w:id="182" w:name="_Toc457772548"/>
      <w:bookmarkStart w:id="183" w:name="_Toc35804148"/>
      <w:bookmarkStart w:id="184" w:name="_Toc35804642"/>
      <w:bookmarkStart w:id="185" w:name="_Toc35812686"/>
      <w:r w:rsidRPr="00503F5B">
        <w:t>Section 7: Impact on small business</w:t>
      </w:r>
      <w:bookmarkEnd w:id="182"/>
      <w:bookmarkEnd w:id="183"/>
      <w:bookmarkEnd w:id="184"/>
      <w:bookmarkEnd w:id="185"/>
    </w:p>
    <w:p w14:paraId="19552265" w14:textId="7E8F2C2A" w:rsidR="00D366E8" w:rsidRPr="00503F5B" w:rsidRDefault="00D366E8" w:rsidP="00D366E8">
      <w:pPr>
        <w:pStyle w:val="BodyText2"/>
        <w:rPr>
          <w:rFonts w:ascii="Calibri" w:hAnsi="Calibri"/>
          <w:sz w:val="22"/>
          <w:szCs w:val="22"/>
        </w:rPr>
      </w:pPr>
      <w:r w:rsidRPr="00503F5B">
        <w:rPr>
          <w:rFonts w:ascii="Calibri" w:hAnsi="Calibri"/>
          <w:sz w:val="22"/>
          <w:szCs w:val="22"/>
        </w:rPr>
        <w:t>The proposed emergency attendance fee (proposed regulation 1</w:t>
      </w:r>
      <w:r w:rsidR="001A6758">
        <w:rPr>
          <w:rFonts w:ascii="Calibri" w:hAnsi="Calibri"/>
          <w:sz w:val="22"/>
          <w:szCs w:val="22"/>
        </w:rPr>
        <w:t>7</w:t>
      </w:r>
      <w:r w:rsidR="008D17F8" w:rsidRPr="00503F5B">
        <w:rPr>
          <w:rFonts w:ascii="Calibri" w:hAnsi="Calibri"/>
          <w:sz w:val="22"/>
          <w:szCs w:val="22"/>
        </w:rPr>
        <w:t>((a)</w:t>
      </w:r>
      <w:r w:rsidRPr="00503F5B">
        <w:rPr>
          <w:rFonts w:ascii="Calibri" w:hAnsi="Calibri"/>
          <w:sz w:val="22"/>
          <w:szCs w:val="22"/>
        </w:rPr>
        <w:t>) affects owners of alarm systems however the distribution of small</w:t>
      </w:r>
      <w:r w:rsidRPr="00503F5B">
        <w:rPr>
          <w:rFonts w:ascii="Calibri" w:hAnsi="Calibri"/>
          <w:sz w:val="22"/>
          <w:szCs w:val="22"/>
          <w:vertAlign w:val="superscript"/>
        </w:rPr>
        <w:footnoteReference w:id="156"/>
      </w:r>
      <w:r w:rsidRPr="00503F5B">
        <w:rPr>
          <w:rFonts w:ascii="Calibri" w:hAnsi="Calibri"/>
          <w:sz w:val="22"/>
          <w:szCs w:val="22"/>
          <w:vertAlign w:val="superscript"/>
        </w:rPr>
        <w:t xml:space="preserve"> </w:t>
      </w:r>
      <w:r w:rsidRPr="00503F5B">
        <w:rPr>
          <w:rFonts w:ascii="Calibri" w:hAnsi="Calibri"/>
          <w:sz w:val="22"/>
          <w:szCs w:val="22"/>
        </w:rPr>
        <w:t>and large</w:t>
      </w:r>
      <w:r w:rsidRPr="00503F5B">
        <w:rPr>
          <w:rStyle w:val="FootnoteReference"/>
          <w:rFonts w:ascii="Calibri" w:hAnsi="Calibri"/>
          <w:sz w:val="22"/>
          <w:szCs w:val="22"/>
        </w:rPr>
        <w:footnoteReference w:id="157"/>
      </w:r>
      <w:r w:rsidRPr="00503F5B">
        <w:rPr>
          <w:rFonts w:ascii="Calibri" w:hAnsi="Calibri"/>
          <w:sz w:val="22"/>
          <w:szCs w:val="22"/>
        </w:rPr>
        <w:t xml:space="preserve"> businesses/properties affected remains unknown. </w:t>
      </w:r>
      <w:proofErr w:type="gramStart"/>
      <w:r w:rsidRPr="00503F5B">
        <w:rPr>
          <w:rFonts w:ascii="Calibri" w:hAnsi="Calibri"/>
          <w:sz w:val="22"/>
          <w:szCs w:val="22"/>
        </w:rPr>
        <w:t>That is to say, MFB</w:t>
      </w:r>
      <w:proofErr w:type="gramEnd"/>
      <w:r w:rsidRPr="00503F5B">
        <w:rPr>
          <w:rFonts w:ascii="Calibri" w:hAnsi="Calibri"/>
          <w:sz w:val="22"/>
          <w:szCs w:val="22"/>
        </w:rPr>
        <w:t xml:space="preserve"> data management processes do not currently capture the size of the business being invoiced. However, MFB note</w:t>
      </w:r>
      <w:r w:rsidR="00B36EEE" w:rsidRPr="00503F5B">
        <w:rPr>
          <w:rFonts w:ascii="Calibri" w:hAnsi="Calibri"/>
          <w:sz w:val="22"/>
          <w:szCs w:val="22"/>
        </w:rPr>
        <w:t>s</w:t>
      </w:r>
      <w:r w:rsidRPr="00503F5B">
        <w:rPr>
          <w:rFonts w:ascii="Calibri" w:hAnsi="Calibri"/>
          <w:sz w:val="22"/>
          <w:szCs w:val="22"/>
        </w:rPr>
        <w:t xml:space="preserve"> that large businesses/properties including universities and hospitals make up the ‘top 20’ in terms of false alarm calls due their high representation of ASE ownership</w:t>
      </w:r>
      <w:r w:rsidRPr="00503F5B">
        <w:rPr>
          <w:rStyle w:val="FootnoteReference"/>
          <w:rFonts w:ascii="Calibri" w:hAnsi="Calibri"/>
          <w:sz w:val="22"/>
          <w:szCs w:val="22"/>
        </w:rPr>
        <w:footnoteReference w:id="158"/>
      </w:r>
      <w:r w:rsidRPr="00503F5B">
        <w:rPr>
          <w:rFonts w:ascii="Calibri" w:hAnsi="Calibri"/>
          <w:sz w:val="22"/>
          <w:szCs w:val="22"/>
        </w:rPr>
        <w:t>.  Given that the proposed quarter hourly rate per appliance is $</w:t>
      </w:r>
      <w:r w:rsidR="004A65B1" w:rsidRPr="00503F5B">
        <w:rPr>
          <w:rFonts w:ascii="Calibri" w:hAnsi="Calibri"/>
          <w:sz w:val="22"/>
          <w:szCs w:val="22"/>
        </w:rPr>
        <w:t>578</w:t>
      </w:r>
      <w:r w:rsidRPr="00503F5B">
        <w:rPr>
          <w:rFonts w:ascii="Calibri" w:hAnsi="Calibri"/>
          <w:sz w:val="22"/>
          <w:szCs w:val="22"/>
        </w:rPr>
        <w:t>.</w:t>
      </w:r>
      <w:r w:rsidR="004A65B1" w:rsidRPr="00503F5B">
        <w:rPr>
          <w:rFonts w:ascii="Calibri" w:hAnsi="Calibri"/>
          <w:sz w:val="22"/>
          <w:szCs w:val="22"/>
        </w:rPr>
        <w:t>4</w:t>
      </w:r>
      <w:r w:rsidRPr="00503F5B">
        <w:rPr>
          <w:rFonts w:ascii="Calibri" w:hAnsi="Calibri"/>
          <w:sz w:val="22"/>
          <w:szCs w:val="22"/>
        </w:rPr>
        <w:t>8 and that on average there are 1.29</w:t>
      </w:r>
      <w:r w:rsidR="00C74012" w:rsidRPr="00503F5B">
        <w:rPr>
          <w:rStyle w:val="FootnoteReference"/>
          <w:rFonts w:ascii="Calibri" w:hAnsi="Calibri"/>
          <w:sz w:val="22"/>
          <w:szCs w:val="22"/>
        </w:rPr>
        <w:footnoteReference w:id="159"/>
      </w:r>
      <w:r w:rsidRPr="00503F5B">
        <w:rPr>
          <w:rFonts w:ascii="Calibri" w:hAnsi="Calibri"/>
          <w:sz w:val="22"/>
          <w:szCs w:val="22"/>
        </w:rPr>
        <w:t xml:space="preserve"> hours spent by appliances during an attendance – a cost of </w:t>
      </w:r>
      <w:r w:rsidR="004A65B1" w:rsidRPr="00503F5B">
        <w:rPr>
          <w:rFonts w:ascii="Calibri" w:hAnsi="Calibri"/>
          <w:sz w:val="22"/>
          <w:szCs w:val="22"/>
        </w:rPr>
        <w:t>around $2,977</w:t>
      </w:r>
      <w:r w:rsidRPr="00503F5B">
        <w:rPr>
          <w:rFonts w:ascii="Calibri" w:hAnsi="Calibri"/>
          <w:sz w:val="22"/>
          <w:szCs w:val="22"/>
        </w:rPr>
        <w:t xml:space="preserve"> would be incurred on average per attendance (see Section A3.</w:t>
      </w:r>
      <w:r w:rsidR="004A65B1" w:rsidRPr="00503F5B">
        <w:rPr>
          <w:rFonts w:ascii="Calibri" w:hAnsi="Calibri"/>
          <w:sz w:val="22"/>
          <w:szCs w:val="22"/>
        </w:rPr>
        <w:t>3</w:t>
      </w:r>
      <w:r w:rsidRPr="00503F5B">
        <w:rPr>
          <w:rFonts w:ascii="Calibri" w:hAnsi="Calibri"/>
          <w:sz w:val="22"/>
          <w:szCs w:val="22"/>
        </w:rPr>
        <w:t xml:space="preserve">.1. of Appendix 3). Taking an average of 1.4 calls per ASE per annum (see Chart </w:t>
      </w:r>
      <w:r w:rsidR="00C74012" w:rsidRPr="00503F5B">
        <w:rPr>
          <w:rFonts w:ascii="Calibri" w:hAnsi="Calibri"/>
          <w:sz w:val="22"/>
          <w:szCs w:val="22"/>
        </w:rPr>
        <w:t>5</w:t>
      </w:r>
      <w:r w:rsidRPr="00503F5B">
        <w:rPr>
          <w:rFonts w:ascii="Calibri" w:hAnsi="Calibri"/>
          <w:sz w:val="22"/>
          <w:szCs w:val="22"/>
        </w:rPr>
        <w:t xml:space="preserve"> in this RIS) – this would result in an average estimated annual cost of around $</w:t>
      </w:r>
      <w:r w:rsidR="004A65B1" w:rsidRPr="00503F5B">
        <w:rPr>
          <w:rFonts w:ascii="Calibri" w:hAnsi="Calibri"/>
          <w:sz w:val="22"/>
          <w:szCs w:val="22"/>
        </w:rPr>
        <w:t>4</w:t>
      </w:r>
      <w:r w:rsidRPr="00503F5B">
        <w:rPr>
          <w:rFonts w:ascii="Calibri" w:hAnsi="Calibri"/>
          <w:sz w:val="22"/>
          <w:szCs w:val="22"/>
        </w:rPr>
        <w:t>,</w:t>
      </w:r>
      <w:r w:rsidR="004A65B1" w:rsidRPr="00503F5B">
        <w:rPr>
          <w:rFonts w:ascii="Calibri" w:hAnsi="Calibri"/>
          <w:sz w:val="22"/>
          <w:szCs w:val="22"/>
        </w:rPr>
        <w:t>168</w:t>
      </w:r>
      <w:r w:rsidRPr="00503F5B">
        <w:rPr>
          <w:rFonts w:ascii="Calibri" w:hAnsi="Calibri"/>
          <w:sz w:val="22"/>
          <w:szCs w:val="22"/>
        </w:rPr>
        <w:t xml:space="preserve"> per ASE. </w:t>
      </w:r>
      <w:r w:rsidR="00503F5B" w:rsidRPr="00503F5B">
        <w:rPr>
          <w:rFonts w:ascii="Calibri" w:hAnsi="Calibri"/>
          <w:sz w:val="22"/>
          <w:szCs w:val="22"/>
        </w:rPr>
        <w:t>G</w:t>
      </w:r>
      <w:r w:rsidRPr="00503F5B">
        <w:rPr>
          <w:rFonts w:ascii="Calibri" w:hAnsi="Calibri"/>
          <w:sz w:val="22"/>
          <w:szCs w:val="22"/>
        </w:rPr>
        <w:t>iven that large businesses/properties have a higher representation of ASEs this average of 1.4 calls per ASE is likely to be even smaller for small businesses.</w:t>
      </w:r>
      <w:r w:rsidR="003D2461" w:rsidRPr="00503F5B">
        <w:rPr>
          <w:rFonts w:ascii="Calibri" w:hAnsi="Calibri"/>
          <w:sz w:val="22"/>
          <w:szCs w:val="22"/>
        </w:rPr>
        <w:t xml:space="preserve"> </w:t>
      </w:r>
      <w:r w:rsidR="008D17F8" w:rsidRPr="00503F5B">
        <w:rPr>
          <w:rFonts w:ascii="Calibri" w:hAnsi="Calibri"/>
          <w:sz w:val="22"/>
          <w:szCs w:val="22"/>
        </w:rPr>
        <w:t xml:space="preserve">Moreover, given that the proposed option, Option </w:t>
      </w:r>
      <w:r w:rsidR="004A65B1" w:rsidRPr="00503F5B">
        <w:rPr>
          <w:rFonts w:ascii="Calibri" w:hAnsi="Calibri"/>
          <w:sz w:val="22"/>
          <w:szCs w:val="22"/>
        </w:rPr>
        <w:t>2</w:t>
      </w:r>
      <w:r w:rsidR="008D17F8" w:rsidRPr="00503F5B">
        <w:rPr>
          <w:rFonts w:ascii="Calibri" w:hAnsi="Calibri"/>
          <w:sz w:val="22"/>
          <w:szCs w:val="22"/>
        </w:rPr>
        <w:t xml:space="preserve">, is below full cost recovery </w:t>
      </w:r>
      <w:r w:rsidR="00CA6EEB" w:rsidRPr="00503F5B">
        <w:rPr>
          <w:rFonts w:ascii="Calibri" w:hAnsi="Calibri"/>
          <w:sz w:val="22"/>
          <w:szCs w:val="22"/>
        </w:rPr>
        <w:t>t</w:t>
      </w:r>
      <w:r w:rsidR="008D17F8" w:rsidRPr="00503F5B">
        <w:rPr>
          <w:rFonts w:ascii="Calibri" w:hAnsi="Calibri"/>
          <w:sz w:val="22"/>
          <w:szCs w:val="22"/>
        </w:rPr>
        <w:t xml:space="preserve">his further reduces the potential impact on small business as does the fact that there is not fixed fee as with Option 4. </w:t>
      </w:r>
    </w:p>
    <w:p w14:paraId="72152F91" w14:textId="77777777" w:rsidR="00D366E8" w:rsidRPr="00503F5B" w:rsidRDefault="00D366E8" w:rsidP="00D366E8">
      <w:pPr>
        <w:pStyle w:val="BodyText2"/>
        <w:rPr>
          <w:rFonts w:ascii="Calibri" w:hAnsi="Calibri"/>
          <w:sz w:val="22"/>
          <w:szCs w:val="22"/>
        </w:rPr>
      </w:pPr>
    </w:p>
    <w:p w14:paraId="31CEB454" w14:textId="66797BAE" w:rsidR="00D366E8" w:rsidRPr="00503F5B" w:rsidRDefault="00D366E8" w:rsidP="00D366E8">
      <w:pPr>
        <w:pStyle w:val="BodyText2"/>
        <w:rPr>
          <w:rFonts w:ascii="Calibri" w:hAnsi="Calibri"/>
          <w:sz w:val="22"/>
          <w:szCs w:val="22"/>
        </w:rPr>
      </w:pPr>
      <w:r w:rsidRPr="00503F5B">
        <w:rPr>
          <w:rFonts w:ascii="Calibri" w:hAnsi="Calibri"/>
          <w:sz w:val="22"/>
          <w:szCs w:val="22"/>
        </w:rPr>
        <w:t>Smaller businesses, such as neighbo</w:t>
      </w:r>
      <w:r w:rsidR="001812D0">
        <w:rPr>
          <w:rFonts w:ascii="Calibri" w:hAnsi="Calibri"/>
          <w:sz w:val="22"/>
          <w:szCs w:val="22"/>
        </w:rPr>
        <w:t>u</w:t>
      </w:r>
      <w:r w:rsidRPr="00503F5B">
        <w:rPr>
          <w:rFonts w:ascii="Calibri" w:hAnsi="Calibri"/>
          <w:sz w:val="22"/>
          <w:szCs w:val="22"/>
        </w:rPr>
        <w:t>rhood shops, provide for an annual turnover of at least $300,000 per annum</w:t>
      </w:r>
      <w:r w:rsidRPr="00503F5B">
        <w:rPr>
          <w:rStyle w:val="FootnoteReference"/>
          <w:rFonts w:ascii="Calibri" w:hAnsi="Calibri"/>
          <w:sz w:val="22"/>
          <w:szCs w:val="22"/>
        </w:rPr>
        <w:footnoteReference w:id="160"/>
      </w:r>
      <w:r w:rsidR="00C74012" w:rsidRPr="00503F5B">
        <w:rPr>
          <w:rFonts w:ascii="Calibri" w:hAnsi="Calibri"/>
          <w:sz w:val="22"/>
          <w:szCs w:val="22"/>
        </w:rPr>
        <w:t xml:space="preserve"> </w:t>
      </w:r>
      <w:r w:rsidRPr="00503F5B">
        <w:rPr>
          <w:rFonts w:ascii="Calibri" w:hAnsi="Calibri"/>
          <w:sz w:val="22"/>
          <w:szCs w:val="22"/>
        </w:rPr>
        <w:t>(a conservative estimate). The average annual cost of false alarm charges of around $</w:t>
      </w:r>
      <w:r w:rsidR="004A65B1" w:rsidRPr="00503F5B">
        <w:rPr>
          <w:rFonts w:ascii="Calibri" w:hAnsi="Calibri"/>
          <w:sz w:val="22"/>
          <w:szCs w:val="22"/>
        </w:rPr>
        <w:t>4</w:t>
      </w:r>
      <w:r w:rsidR="00C74012" w:rsidRPr="00503F5B">
        <w:rPr>
          <w:rFonts w:ascii="Calibri" w:hAnsi="Calibri"/>
          <w:sz w:val="22"/>
          <w:szCs w:val="22"/>
        </w:rPr>
        <w:t>,</w:t>
      </w:r>
      <w:r w:rsidR="004A65B1" w:rsidRPr="00503F5B">
        <w:rPr>
          <w:rFonts w:ascii="Calibri" w:hAnsi="Calibri"/>
          <w:sz w:val="22"/>
          <w:szCs w:val="22"/>
        </w:rPr>
        <w:t>168</w:t>
      </w:r>
      <w:r w:rsidRPr="00503F5B">
        <w:rPr>
          <w:rFonts w:ascii="Calibri" w:hAnsi="Calibri"/>
          <w:sz w:val="22"/>
          <w:szCs w:val="22"/>
        </w:rPr>
        <w:t xml:space="preserve"> per ASE is unlikely to represent more than </w:t>
      </w:r>
      <w:r w:rsidR="004A65B1" w:rsidRPr="00503F5B">
        <w:rPr>
          <w:rFonts w:ascii="Calibri" w:hAnsi="Calibri"/>
          <w:sz w:val="22"/>
          <w:szCs w:val="22"/>
        </w:rPr>
        <w:t>1</w:t>
      </w:r>
      <w:r w:rsidRPr="00503F5B">
        <w:rPr>
          <w:rFonts w:ascii="Calibri" w:hAnsi="Calibri"/>
          <w:sz w:val="22"/>
          <w:szCs w:val="22"/>
        </w:rPr>
        <w:t>.</w:t>
      </w:r>
      <w:r w:rsidR="004A65B1" w:rsidRPr="00503F5B">
        <w:rPr>
          <w:rFonts w:ascii="Calibri" w:hAnsi="Calibri"/>
          <w:sz w:val="22"/>
          <w:szCs w:val="22"/>
        </w:rPr>
        <w:t>4 per cent</w:t>
      </w:r>
      <w:r w:rsidRPr="00503F5B">
        <w:rPr>
          <w:rFonts w:ascii="Calibri" w:hAnsi="Calibri"/>
          <w:sz w:val="22"/>
          <w:szCs w:val="22"/>
        </w:rPr>
        <w:t xml:space="preserve"> of such a revenue. In this context, a one-off false alarm charge is likely to be absorbed by any small business and is unlikely to represent a significant proportion of their annual business costs.  An exception would be the case where a small business’s alarm system is repeatedly being activated due to continuous poor management or maintenance practices by the owner.</w:t>
      </w:r>
    </w:p>
    <w:p w14:paraId="61E8CEA9" w14:textId="77777777" w:rsidR="00D366E8" w:rsidRPr="00503F5B" w:rsidRDefault="00D366E8" w:rsidP="00D366E8">
      <w:pPr>
        <w:pStyle w:val="BodyText2"/>
        <w:rPr>
          <w:rFonts w:ascii="Calibri" w:hAnsi="Calibri"/>
          <w:sz w:val="22"/>
          <w:szCs w:val="22"/>
        </w:rPr>
      </w:pPr>
    </w:p>
    <w:p w14:paraId="3B4D028F" w14:textId="12DFB4ED" w:rsidR="00D366E8" w:rsidRPr="00503F5B" w:rsidRDefault="00D366E8" w:rsidP="00D366E8">
      <w:pPr>
        <w:pStyle w:val="BodyText2"/>
        <w:rPr>
          <w:rFonts w:ascii="Calibri" w:hAnsi="Calibri"/>
          <w:sz w:val="22"/>
          <w:szCs w:val="22"/>
        </w:rPr>
      </w:pPr>
      <w:r w:rsidRPr="00503F5B">
        <w:rPr>
          <w:rFonts w:ascii="Calibri" w:hAnsi="Calibri"/>
          <w:sz w:val="22"/>
          <w:szCs w:val="22"/>
        </w:rPr>
        <w:t xml:space="preserve">However, it is important to note that each case for charging is assessed against a range of factors before an invoice is sent. In many instances, if the site in question can prove that they will make improvements to their system or put better procedures in place to reduce the likelihood of future false alarms occurring at their premises, </w:t>
      </w:r>
      <w:r w:rsidR="00C74012" w:rsidRPr="00503F5B">
        <w:rPr>
          <w:rFonts w:ascii="Calibri" w:hAnsi="Calibri"/>
          <w:sz w:val="22"/>
          <w:szCs w:val="22"/>
        </w:rPr>
        <w:t xml:space="preserve">FRV </w:t>
      </w:r>
      <w:r w:rsidRPr="00503F5B">
        <w:rPr>
          <w:rFonts w:ascii="Calibri" w:hAnsi="Calibri"/>
          <w:sz w:val="22"/>
          <w:szCs w:val="22"/>
        </w:rPr>
        <w:t xml:space="preserve">will </w:t>
      </w:r>
      <w:r w:rsidR="00B36EEE" w:rsidRPr="00503F5B">
        <w:rPr>
          <w:rFonts w:ascii="Calibri" w:hAnsi="Calibri"/>
          <w:sz w:val="22"/>
          <w:szCs w:val="22"/>
        </w:rPr>
        <w:t xml:space="preserve">‘excuse’ </w:t>
      </w:r>
      <w:r w:rsidRPr="00503F5B">
        <w:rPr>
          <w:rFonts w:ascii="Calibri" w:hAnsi="Calibri"/>
          <w:sz w:val="22"/>
          <w:szCs w:val="22"/>
        </w:rPr>
        <w:t xml:space="preserve">the charge </w:t>
      </w:r>
      <w:r w:rsidR="00B36EEE" w:rsidRPr="00503F5B">
        <w:rPr>
          <w:rFonts w:ascii="Calibri" w:hAnsi="Calibri"/>
          <w:sz w:val="22"/>
          <w:szCs w:val="22"/>
        </w:rPr>
        <w:t xml:space="preserve">(s.66A(2) of the Act) </w:t>
      </w:r>
      <w:r w:rsidRPr="00503F5B">
        <w:rPr>
          <w:rFonts w:ascii="Calibri" w:hAnsi="Calibri"/>
          <w:sz w:val="22"/>
          <w:szCs w:val="22"/>
        </w:rPr>
        <w:t xml:space="preserve">and give them the opportunity to use those funds to implement false alarms reduction strategies. The overarching philosophy and objective of </w:t>
      </w:r>
      <w:r w:rsidR="00C74012" w:rsidRPr="00503F5B">
        <w:rPr>
          <w:rFonts w:ascii="Calibri" w:hAnsi="Calibri"/>
          <w:sz w:val="22"/>
          <w:szCs w:val="22"/>
        </w:rPr>
        <w:t xml:space="preserve">FRV </w:t>
      </w:r>
      <w:r w:rsidRPr="00503F5B">
        <w:rPr>
          <w:rFonts w:ascii="Calibri" w:hAnsi="Calibri"/>
          <w:sz w:val="22"/>
          <w:szCs w:val="22"/>
        </w:rPr>
        <w:t>is to reduce false alarms.</w:t>
      </w:r>
    </w:p>
    <w:p w14:paraId="146807A3" w14:textId="77777777" w:rsidR="00D366E8" w:rsidRPr="00503F5B" w:rsidRDefault="00D366E8" w:rsidP="00D366E8">
      <w:pPr>
        <w:pStyle w:val="BodyText2"/>
        <w:rPr>
          <w:rFonts w:ascii="Calibri" w:hAnsi="Calibri"/>
          <w:sz w:val="22"/>
          <w:szCs w:val="22"/>
        </w:rPr>
      </w:pPr>
    </w:p>
    <w:p w14:paraId="75F9A9F7" w14:textId="441838D4" w:rsidR="00D366E8" w:rsidRPr="00503F5B" w:rsidRDefault="00D366E8" w:rsidP="00D366E8">
      <w:pPr>
        <w:pStyle w:val="BodyText2"/>
        <w:rPr>
          <w:rFonts w:ascii="Calibri" w:hAnsi="Calibri"/>
          <w:sz w:val="22"/>
          <w:szCs w:val="22"/>
        </w:rPr>
      </w:pPr>
      <w:r w:rsidRPr="00503F5B">
        <w:rPr>
          <w:rFonts w:ascii="Calibri" w:hAnsi="Calibri"/>
          <w:sz w:val="22"/>
          <w:szCs w:val="22"/>
        </w:rPr>
        <w:t>In the case of proposed regulation 1</w:t>
      </w:r>
      <w:r w:rsidR="00503F5B" w:rsidRPr="00503F5B">
        <w:rPr>
          <w:rFonts w:ascii="Calibri" w:hAnsi="Calibri"/>
          <w:sz w:val="22"/>
          <w:szCs w:val="22"/>
        </w:rPr>
        <w:t>8</w:t>
      </w:r>
      <w:r w:rsidRPr="00503F5B">
        <w:rPr>
          <w:rFonts w:ascii="Calibri" w:hAnsi="Calibri"/>
          <w:sz w:val="22"/>
          <w:szCs w:val="22"/>
        </w:rPr>
        <w:t xml:space="preserve">, which deals with additional costs for dealing with hazardous materials or toxic fires, it is not likely that fees would have a disproportionate </w:t>
      </w:r>
      <w:r w:rsidRPr="00503F5B">
        <w:rPr>
          <w:rFonts w:ascii="Calibri" w:hAnsi="Calibri"/>
          <w:sz w:val="22"/>
          <w:szCs w:val="22"/>
        </w:rPr>
        <w:lastRenderedPageBreak/>
        <w:t>impact on small businesses given that such small businesses are unlikely to be involved ‘disproportionately’ with such incidents. Moreover, fees will vary depending on the nature/extent of the incident.</w:t>
      </w:r>
    </w:p>
    <w:p w14:paraId="05FA59F3" w14:textId="77777777" w:rsidR="00D366E8" w:rsidRPr="00503F5B" w:rsidRDefault="00D366E8" w:rsidP="00D366E8">
      <w:pPr>
        <w:pStyle w:val="BodyText2"/>
        <w:rPr>
          <w:rFonts w:ascii="Calibri" w:hAnsi="Calibri"/>
          <w:sz w:val="22"/>
          <w:szCs w:val="22"/>
        </w:rPr>
      </w:pPr>
    </w:p>
    <w:p w14:paraId="7059846F" w14:textId="5227F572" w:rsidR="00D366E8" w:rsidRPr="00503F5B" w:rsidRDefault="00D366E8" w:rsidP="00D366E8">
      <w:pPr>
        <w:pStyle w:val="BodyText2"/>
        <w:rPr>
          <w:rFonts w:ascii="Calibri" w:hAnsi="Calibri"/>
          <w:sz w:val="22"/>
          <w:szCs w:val="22"/>
        </w:rPr>
      </w:pPr>
      <w:r w:rsidRPr="00503F5B">
        <w:rPr>
          <w:rFonts w:ascii="Calibri" w:hAnsi="Calibri"/>
          <w:sz w:val="22"/>
          <w:szCs w:val="22"/>
        </w:rPr>
        <w:t xml:space="preserve">In the case of proposed regulation </w:t>
      </w:r>
      <w:r w:rsidR="00503F5B" w:rsidRPr="00503F5B">
        <w:rPr>
          <w:rFonts w:ascii="Calibri" w:hAnsi="Calibri"/>
          <w:sz w:val="22"/>
          <w:szCs w:val="22"/>
        </w:rPr>
        <w:t>19</w:t>
      </w:r>
      <w:r w:rsidRPr="00503F5B">
        <w:rPr>
          <w:rFonts w:ascii="Calibri" w:hAnsi="Calibri"/>
          <w:sz w:val="22"/>
          <w:szCs w:val="22"/>
        </w:rPr>
        <w:t xml:space="preserve">, property protection or loss mitigation service fees are set administratively by </w:t>
      </w:r>
      <w:r w:rsidR="00B36EEE" w:rsidRPr="00503F5B">
        <w:rPr>
          <w:rFonts w:ascii="Calibri" w:hAnsi="Calibri"/>
          <w:sz w:val="22"/>
          <w:szCs w:val="22"/>
        </w:rPr>
        <w:t>FRV</w:t>
      </w:r>
      <w:r w:rsidRPr="00503F5B">
        <w:rPr>
          <w:rFonts w:ascii="Calibri" w:hAnsi="Calibri"/>
          <w:sz w:val="22"/>
          <w:szCs w:val="22"/>
        </w:rPr>
        <w:t xml:space="preserve"> as it sees fit and are not applied in a pre-determined ongoing way. More importantly, this fee applies to the situation where </w:t>
      </w:r>
      <w:r w:rsidR="00D23B9E" w:rsidRPr="00503F5B">
        <w:rPr>
          <w:rFonts w:ascii="Calibri" w:hAnsi="Calibri"/>
          <w:sz w:val="22"/>
          <w:szCs w:val="22"/>
        </w:rPr>
        <w:t>FRV</w:t>
      </w:r>
      <w:r w:rsidRPr="00503F5B">
        <w:rPr>
          <w:rFonts w:ascii="Calibri" w:hAnsi="Calibri"/>
          <w:sz w:val="22"/>
          <w:szCs w:val="22"/>
        </w:rPr>
        <w:t xml:space="preserve"> needs to arrange an agreement with any person to provide property protection or loss mitigation services, however this is typically the case involving large businesses/properties. Therefore, it is unlikely that proposed regulation </w:t>
      </w:r>
      <w:r w:rsidR="00503F5B" w:rsidRPr="00503F5B">
        <w:rPr>
          <w:rFonts w:ascii="Calibri" w:hAnsi="Calibri"/>
          <w:sz w:val="22"/>
          <w:szCs w:val="22"/>
        </w:rPr>
        <w:t>19</w:t>
      </w:r>
      <w:r w:rsidRPr="00503F5B">
        <w:rPr>
          <w:rFonts w:ascii="Calibri" w:hAnsi="Calibri"/>
          <w:sz w:val="22"/>
          <w:szCs w:val="22"/>
        </w:rPr>
        <w:t xml:space="preserve"> will affect small businesses disproportionately. </w:t>
      </w:r>
    </w:p>
    <w:p w14:paraId="353A8944" w14:textId="77777777" w:rsidR="00D366E8" w:rsidRPr="00503F5B" w:rsidRDefault="00D366E8" w:rsidP="00D366E8">
      <w:pPr>
        <w:pStyle w:val="BodyText2"/>
        <w:rPr>
          <w:rFonts w:ascii="Calibri" w:hAnsi="Calibri"/>
          <w:sz w:val="22"/>
          <w:szCs w:val="22"/>
        </w:rPr>
      </w:pPr>
    </w:p>
    <w:p w14:paraId="21B0C1C2" w14:textId="149469C6" w:rsidR="00D366E8" w:rsidRPr="00503F5B" w:rsidRDefault="00D366E8" w:rsidP="00D366E8">
      <w:pPr>
        <w:pStyle w:val="BodyText2"/>
        <w:rPr>
          <w:rFonts w:ascii="Calibri" w:hAnsi="Calibri"/>
          <w:sz w:val="22"/>
          <w:szCs w:val="22"/>
        </w:rPr>
      </w:pPr>
      <w:r w:rsidRPr="00503F5B">
        <w:rPr>
          <w:rFonts w:ascii="Calibri" w:hAnsi="Calibri"/>
          <w:sz w:val="22"/>
          <w:szCs w:val="22"/>
        </w:rPr>
        <w:t>Proposed regulation 2</w:t>
      </w:r>
      <w:r w:rsidR="00503F5B" w:rsidRPr="00503F5B">
        <w:rPr>
          <w:rFonts w:ascii="Calibri" w:hAnsi="Calibri"/>
          <w:sz w:val="22"/>
          <w:szCs w:val="22"/>
        </w:rPr>
        <w:t>0</w:t>
      </w:r>
      <w:r w:rsidRPr="00503F5B">
        <w:rPr>
          <w:rFonts w:ascii="Calibri" w:hAnsi="Calibri"/>
          <w:sz w:val="22"/>
          <w:szCs w:val="22"/>
        </w:rPr>
        <w:t xml:space="preserve"> applies to road accident services and not businesses.</w:t>
      </w:r>
    </w:p>
    <w:p w14:paraId="1505F0F8" w14:textId="6B7F94CB" w:rsidR="00D366E8" w:rsidRPr="00503F5B" w:rsidRDefault="00D366E8" w:rsidP="00D366E8">
      <w:pPr>
        <w:pStyle w:val="BodyText2"/>
        <w:rPr>
          <w:rFonts w:ascii="Calibri" w:hAnsi="Calibri"/>
          <w:sz w:val="22"/>
          <w:szCs w:val="22"/>
        </w:rPr>
      </w:pPr>
      <w:r w:rsidRPr="00503F5B">
        <w:rPr>
          <w:rFonts w:ascii="Calibri" w:hAnsi="Calibri"/>
          <w:sz w:val="22"/>
          <w:szCs w:val="22"/>
        </w:rPr>
        <w:br/>
        <w:t xml:space="preserve">Finally, the proposed regulation </w:t>
      </w:r>
      <w:r w:rsidR="00C74012" w:rsidRPr="00503F5B">
        <w:rPr>
          <w:rFonts w:ascii="Calibri" w:hAnsi="Calibri"/>
          <w:sz w:val="22"/>
          <w:szCs w:val="22"/>
        </w:rPr>
        <w:t>2</w:t>
      </w:r>
      <w:r w:rsidR="00503F5B" w:rsidRPr="00503F5B">
        <w:rPr>
          <w:rFonts w:ascii="Calibri" w:hAnsi="Calibri"/>
          <w:sz w:val="22"/>
          <w:szCs w:val="22"/>
        </w:rPr>
        <w:t>1</w:t>
      </w:r>
      <w:r w:rsidR="00C74012" w:rsidRPr="00503F5B">
        <w:rPr>
          <w:rFonts w:ascii="Calibri" w:hAnsi="Calibri"/>
          <w:sz w:val="22"/>
          <w:szCs w:val="22"/>
        </w:rPr>
        <w:t xml:space="preserve"> which seeks to </w:t>
      </w:r>
      <w:r w:rsidRPr="00503F5B">
        <w:rPr>
          <w:rFonts w:ascii="Calibri" w:hAnsi="Calibri"/>
          <w:sz w:val="22"/>
          <w:szCs w:val="22"/>
        </w:rPr>
        <w:t>prescrib</w:t>
      </w:r>
      <w:r w:rsidR="00C74012" w:rsidRPr="00503F5B">
        <w:rPr>
          <w:rFonts w:ascii="Calibri" w:hAnsi="Calibri"/>
          <w:sz w:val="22"/>
          <w:szCs w:val="22"/>
        </w:rPr>
        <w:t xml:space="preserve">e a charge </w:t>
      </w:r>
      <w:r w:rsidRPr="00503F5B">
        <w:rPr>
          <w:rFonts w:ascii="Calibri" w:hAnsi="Calibri"/>
          <w:sz w:val="22"/>
          <w:szCs w:val="22"/>
        </w:rPr>
        <w:t>of $</w:t>
      </w:r>
      <w:r w:rsidR="00C74012" w:rsidRPr="00503F5B">
        <w:rPr>
          <w:rFonts w:ascii="Calibri" w:hAnsi="Calibri"/>
          <w:sz w:val="22"/>
          <w:szCs w:val="22"/>
        </w:rPr>
        <w:t>148</w:t>
      </w:r>
      <w:r w:rsidRPr="00503F5B">
        <w:rPr>
          <w:rFonts w:ascii="Calibri" w:hAnsi="Calibri"/>
          <w:sz w:val="22"/>
          <w:szCs w:val="22"/>
        </w:rPr>
        <w:t>.</w:t>
      </w:r>
      <w:r w:rsidR="00C74012" w:rsidRPr="00503F5B">
        <w:rPr>
          <w:rFonts w:ascii="Calibri" w:hAnsi="Calibri"/>
          <w:sz w:val="22"/>
          <w:szCs w:val="22"/>
        </w:rPr>
        <w:t>10 for the first hour and $27.03 for every quarter after thereof</w:t>
      </w:r>
      <w:r w:rsidRPr="00503F5B">
        <w:rPr>
          <w:rFonts w:ascii="Calibri" w:hAnsi="Calibri"/>
          <w:sz w:val="22"/>
          <w:szCs w:val="22"/>
        </w:rPr>
        <w:t xml:space="preserve"> (excluding GST) for fire protection services is unlikely to represent a significant proportion of annual turnover for small business even with around up to 8 hours</w:t>
      </w:r>
      <w:r w:rsidRPr="00503F5B">
        <w:rPr>
          <w:rStyle w:val="FootnoteReference"/>
          <w:rFonts w:ascii="Calibri" w:hAnsi="Calibri"/>
          <w:sz w:val="22"/>
          <w:szCs w:val="22"/>
        </w:rPr>
        <w:footnoteReference w:id="161"/>
      </w:r>
      <w:r w:rsidRPr="00503F5B">
        <w:rPr>
          <w:rFonts w:ascii="Calibri" w:hAnsi="Calibri"/>
          <w:sz w:val="22"/>
          <w:szCs w:val="22"/>
        </w:rPr>
        <w:t xml:space="preserve"> of work (i.e. $</w:t>
      </w:r>
      <w:r w:rsidR="00BF6FF3" w:rsidRPr="00503F5B">
        <w:rPr>
          <w:rFonts w:ascii="Calibri" w:hAnsi="Calibri"/>
          <w:sz w:val="22"/>
          <w:szCs w:val="22"/>
        </w:rPr>
        <w:t>904.94</w:t>
      </w:r>
      <w:r w:rsidRPr="00503F5B">
        <w:rPr>
          <w:rFonts w:ascii="Calibri" w:hAnsi="Calibri"/>
          <w:sz w:val="22"/>
          <w:szCs w:val="22"/>
        </w:rPr>
        <w:t xml:space="preserve"> total cost).</w:t>
      </w:r>
    </w:p>
    <w:p w14:paraId="3BD04C4E" w14:textId="77777777" w:rsidR="001D51D6" w:rsidRPr="00503F5B" w:rsidRDefault="001D51D6" w:rsidP="0080683B">
      <w:pPr>
        <w:pStyle w:val="Heading1"/>
      </w:pPr>
      <w:bookmarkStart w:id="186" w:name="_Toc457772549"/>
      <w:bookmarkStart w:id="187" w:name="_Toc35804149"/>
      <w:bookmarkStart w:id="188" w:name="_Toc35804643"/>
      <w:bookmarkStart w:id="189" w:name="_Toc35812687"/>
      <w:r w:rsidRPr="00503F5B">
        <w:t xml:space="preserve">Section 8: Competition </w:t>
      </w:r>
      <w:bookmarkEnd w:id="186"/>
      <w:r w:rsidRPr="00503F5B">
        <w:t>Impact</w:t>
      </w:r>
      <w:bookmarkEnd w:id="187"/>
      <w:bookmarkEnd w:id="188"/>
      <w:bookmarkEnd w:id="189"/>
    </w:p>
    <w:p w14:paraId="2C49DA56" w14:textId="29B068F5" w:rsidR="00421320" w:rsidRPr="00503F5B" w:rsidRDefault="00421320" w:rsidP="00421320">
      <w:pPr>
        <w:jc w:val="both"/>
      </w:pPr>
      <w:r w:rsidRPr="00503F5B">
        <w:t>According to Victorian guidelines</w:t>
      </w:r>
      <w:r w:rsidRPr="00503F5B">
        <w:rPr>
          <w:vertAlign w:val="superscript"/>
        </w:rPr>
        <w:footnoteReference w:id="162"/>
      </w:r>
      <w:r w:rsidRPr="00503F5B">
        <w:t xml:space="preserve"> it is necessary as part of the assessment in this RIS to: </w:t>
      </w:r>
    </w:p>
    <w:p w14:paraId="2849EF02" w14:textId="77777777" w:rsidR="00421320" w:rsidRPr="00503F5B" w:rsidRDefault="00421320" w:rsidP="00421320">
      <w:pPr>
        <w:jc w:val="both"/>
      </w:pPr>
    </w:p>
    <w:p w14:paraId="3762EA6E" w14:textId="7A597CB3" w:rsidR="00421320" w:rsidRPr="00503F5B" w:rsidRDefault="00421320" w:rsidP="00101EC8">
      <w:pPr>
        <w:pStyle w:val="ListParagraph"/>
        <w:numPr>
          <w:ilvl w:val="0"/>
          <w:numId w:val="27"/>
        </w:numPr>
        <w:jc w:val="both"/>
      </w:pPr>
      <w:r w:rsidRPr="00503F5B">
        <w:t>Identify the market/s affected by the proposed regulations; and</w:t>
      </w:r>
    </w:p>
    <w:p w14:paraId="2BEFC2D0" w14:textId="2EC80A0E" w:rsidR="00421320" w:rsidRPr="00503F5B" w:rsidRDefault="00421320" w:rsidP="00101EC8">
      <w:pPr>
        <w:pStyle w:val="ListParagraph"/>
        <w:numPr>
          <w:ilvl w:val="0"/>
          <w:numId w:val="27"/>
        </w:numPr>
        <w:jc w:val="both"/>
      </w:pPr>
      <w:r w:rsidRPr="00503F5B">
        <w:t>Identify whether the proposed regulations contain as restriction on competition.</w:t>
      </w:r>
    </w:p>
    <w:p w14:paraId="3FDEC048" w14:textId="77777777" w:rsidR="00421320" w:rsidRPr="00503F5B" w:rsidRDefault="00421320" w:rsidP="001D51D6">
      <w:pPr>
        <w:jc w:val="both"/>
      </w:pPr>
    </w:p>
    <w:p w14:paraId="6AF2CFC0" w14:textId="0CFE0AAF" w:rsidR="00421320" w:rsidRPr="00503F5B" w:rsidRDefault="00421320" w:rsidP="00421320">
      <w:pPr>
        <w:pStyle w:val="BodyText2"/>
        <w:rPr>
          <w:rFonts w:ascii="Calibri" w:hAnsi="Calibri"/>
          <w:sz w:val="22"/>
          <w:szCs w:val="22"/>
        </w:rPr>
      </w:pPr>
      <w:r w:rsidRPr="00503F5B">
        <w:rPr>
          <w:rFonts w:ascii="Calibri" w:hAnsi="Calibri"/>
          <w:sz w:val="22"/>
          <w:szCs w:val="22"/>
        </w:rPr>
        <w:t>As discussed in Appendix 4, the non-fee regulations are not expected to have any material burden and especially on markets.  However, a wide array of markets come under proposed fee regulation 1</w:t>
      </w:r>
      <w:r w:rsidR="001A6758">
        <w:rPr>
          <w:rFonts w:ascii="Calibri" w:hAnsi="Calibri"/>
          <w:sz w:val="22"/>
          <w:szCs w:val="22"/>
        </w:rPr>
        <w:t>7</w:t>
      </w:r>
      <w:r w:rsidRPr="00503F5B">
        <w:rPr>
          <w:rFonts w:ascii="Calibri" w:hAnsi="Calibri"/>
          <w:sz w:val="22"/>
          <w:szCs w:val="22"/>
        </w:rPr>
        <w:t xml:space="preserve"> and in the case of businesses that have fire alarm systems. However, keeping in line with the discussion of impacts on small business in Section 7 of this RIS, proposed fee regulation 1</w:t>
      </w:r>
      <w:r w:rsidR="001A6758">
        <w:rPr>
          <w:rFonts w:ascii="Calibri" w:hAnsi="Calibri"/>
          <w:sz w:val="22"/>
          <w:szCs w:val="22"/>
        </w:rPr>
        <w:t>7</w:t>
      </w:r>
      <w:r w:rsidR="003D2461" w:rsidRPr="00503F5B">
        <w:rPr>
          <w:rFonts w:ascii="Calibri" w:hAnsi="Calibri"/>
          <w:sz w:val="22"/>
          <w:szCs w:val="22"/>
        </w:rPr>
        <w:t>(1)(a)</w:t>
      </w:r>
      <w:r w:rsidRPr="00503F5B">
        <w:rPr>
          <w:rFonts w:ascii="Calibri" w:hAnsi="Calibri"/>
          <w:sz w:val="22"/>
          <w:szCs w:val="22"/>
        </w:rPr>
        <w:t xml:space="preserve"> is highly unlikely to have an impact on the number or size of participants in relevant markets, including neighbourhood shops or make it difficult for new firms or individuals to enter the various industries. The proposed emergency attendance fee (proposed regulation 1</w:t>
      </w:r>
      <w:r w:rsidR="001A6758">
        <w:rPr>
          <w:rFonts w:ascii="Calibri" w:hAnsi="Calibri"/>
          <w:sz w:val="22"/>
          <w:szCs w:val="22"/>
        </w:rPr>
        <w:t>7</w:t>
      </w:r>
      <w:r w:rsidR="003D2461" w:rsidRPr="00503F5B">
        <w:rPr>
          <w:rFonts w:ascii="Calibri" w:hAnsi="Calibri"/>
          <w:sz w:val="22"/>
          <w:szCs w:val="22"/>
        </w:rPr>
        <w:t>(1)(a)</w:t>
      </w:r>
      <w:r w:rsidRPr="00503F5B">
        <w:rPr>
          <w:rFonts w:ascii="Calibri" w:hAnsi="Calibri"/>
          <w:sz w:val="22"/>
          <w:szCs w:val="22"/>
        </w:rPr>
        <w:t>) is not expected to affect the costs of a business (even small business) sufficiently or in an ongoing way as to create any significant impact on competition including any barriers to entry. As discussed in Section 7, even in the case of smaller businesses with an annual turnover of $300,000, proposed regulation 1</w:t>
      </w:r>
      <w:r w:rsidR="001A6758">
        <w:rPr>
          <w:rFonts w:ascii="Calibri" w:hAnsi="Calibri"/>
          <w:sz w:val="22"/>
          <w:szCs w:val="22"/>
        </w:rPr>
        <w:t>7</w:t>
      </w:r>
      <w:r w:rsidR="003D2461" w:rsidRPr="00503F5B">
        <w:rPr>
          <w:rFonts w:ascii="Calibri" w:hAnsi="Calibri"/>
          <w:sz w:val="22"/>
          <w:szCs w:val="22"/>
        </w:rPr>
        <w:t>(1)(a)</w:t>
      </w:r>
      <w:r w:rsidRPr="00503F5B">
        <w:rPr>
          <w:rFonts w:ascii="Calibri" w:hAnsi="Calibri"/>
          <w:sz w:val="22"/>
          <w:szCs w:val="22"/>
        </w:rPr>
        <w:t xml:space="preserve"> is not likely to represent more than </w:t>
      </w:r>
      <w:r w:rsidR="004A65B1" w:rsidRPr="00503F5B">
        <w:rPr>
          <w:rFonts w:ascii="Calibri" w:hAnsi="Calibri"/>
          <w:sz w:val="22"/>
          <w:szCs w:val="22"/>
        </w:rPr>
        <w:t>1</w:t>
      </w:r>
      <w:r w:rsidRPr="00503F5B">
        <w:rPr>
          <w:rFonts w:ascii="Calibri" w:hAnsi="Calibri"/>
          <w:sz w:val="22"/>
          <w:szCs w:val="22"/>
        </w:rPr>
        <w:t>.</w:t>
      </w:r>
      <w:r w:rsidR="004A65B1" w:rsidRPr="00503F5B">
        <w:rPr>
          <w:rFonts w:ascii="Calibri" w:hAnsi="Calibri"/>
          <w:sz w:val="22"/>
          <w:szCs w:val="22"/>
        </w:rPr>
        <w:t xml:space="preserve">4 per cent </w:t>
      </w:r>
      <w:r w:rsidRPr="00503F5B">
        <w:rPr>
          <w:rFonts w:ascii="Calibri" w:hAnsi="Calibri"/>
          <w:sz w:val="22"/>
          <w:szCs w:val="22"/>
        </w:rPr>
        <w:t>(i.e. assuming a</w:t>
      </w:r>
      <w:r w:rsidR="003D2461" w:rsidRPr="00503F5B">
        <w:rPr>
          <w:rFonts w:ascii="Calibri" w:hAnsi="Calibri"/>
          <w:sz w:val="22"/>
          <w:szCs w:val="22"/>
        </w:rPr>
        <w:t xml:space="preserve"> maximum</w:t>
      </w:r>
      <w:r w:rsidRPr="00503F5B">
        <w:rPr>
          <w:rFonts w:ascii="Calibri" w:hAnsi="Calibri"/>
          <w:sz w:val="22"/>
          <w:szCs w:val="22"/>
        </w:rPr>
        <w:t xml:space="preserve"> estimated annual cost of around $</w:t>
      </w:r>
      <w:r w:rsidR="004A65B1" w:rsidRPr="00503F5B">
        <w:rPr>
          <w:rFonts w:ascii="Calibri" w:hAnsi="Calibri"/>
          <w:sz w:val="22"/>
          <w:szCs w:val="22"/>
        </w:rPr>
        <w:t>4</w:t>
      </w:r>
      <w:r w:rsidR="003D2461" w:rsidRPr="00503F5B">
        <w:rPr>
          <w:rFonts w:ascii="Calibri" w:hAnsi="Calibri"/>
          <w:sz w:val="22"/>
          <w:szCs w:val="22"/>
        </w:rPr>
        <w:t>,</w:t>
      </w:r>
      <w:r w:rsidR="004A65B1" w:rsidRPr="00503F5B">
        <w:rPr>
          <w:rFonts w:ascii="Calibri" w:hAnsi="Calibri"/>
          <w:sz w:val="22"/>
          <w:szCs w:val="22"/>
        </w:rPr>
        <w:t>168</w:t>
      </w:r>
      <w:r w:rsidRPr="00503F5B">
        <w:rPr>
          <w:rFonts w:ascii="Calibri" w:hAnsi="Calibri"/>
          <w:sz w:val="22"/>
          <w:szCs w:val="22"/>
        </w:rPr>
        <w:t xml:space="preserve"> per ASE).</w:t>
      </w:r>
    </w:p>
    <w:p w14:paraId="0018D84A" w14:textId="77777777" w:rsidR="00421320" w:rsidRPr="00503F5B" w:rsidRDefault="00421320" w:rsidP="00421320">
      <w:pPr>
        <w:pStyle w:val="BodyText2"/>
        <w:rPr>
          <w:rFonts w:ascii="Calibri" w:hAnsi="Calibri"/>
          <w:sz w:val="22"/>
          <w:szCs w:val="22"/>
        </w:rPr>
      </w:pPr>
    </w:p>
    <w:p w14:paraId="542E32C6" w14:textId="0729EB52" w:rsidR="00421320" w:rsidRPr="00503F5B" w:rsidRDefault="00421320" w:rsidP="00421320">
      <w:pPr>
        <w:pStyle w:val="BodyText2"/>
        <w:rPr>
          <w:rFonts w:ascii="Calibri" w:hAnsi="Calibri"/>
          <w:sz w:val="22"/>
          <w:szCs w:val="22"/>
        </w:rPr>
      </w:pPr>
      <w:r w:rsidRPr="00503F5B">
        <w:rPr>
          <w:rFonts w:ascii="Calibri" w:hAnsi="Calibri"/>
          <w:sz w:val="22"/>
          <w:szCs w:val="22"/>
        </w:rPr>
        <w:t>With respect to fire protection related charges, the proposed regulation 2</w:t>
      </w:r>
      <w:r w:rsidR="00503F5B">
        <w:rPr>
          <w:rFonts w:ascii="Calibri" w:hAnsi="Calibri"/>
          <w:sz w:val="22"/>
          <w:szCs w:val="22"/>
        </w:rPr>
        <w:t>1</w:t>
      </w:r>
      <w:r w:rsidRPr="00503F5B">
        <w:rPr>
          <w:rFonts w:ascii="Calibri" w:hAnsi="Calibri"/>
          <w:sz w:val="22"/>
          <w:szCs w:val="22"/>
        </w:rPr>
        <w:t xml:space="preserve"> is again unlikely to have an impact on competition given that a ‘high end’ type transaction would be around $904.94 for around 8 hours of fire protection services offered by FRV (which would not be typical).</w:t>
      </w:r>
    </w:p>
    <w:p w14:paraId="60B0AC9E" w14:textId="77777777" w:rsidR="001D51D6" w:rsidRPr="00503F5B" w:rsidRDefault="001D51D6" w:rsidP="0080683B">
      <w:pPr>
        <w:pStyle w:val="Heading1"/>
      </w:pPr>
      <w:bookmarkStart w:id="190" w:name="_Toc457772550"/>
      <w:bookmarkStart w:id="191" w:name="_Toc35804150"/>
      <w:bookmarkStart w:id="192" w:name="_Toc35804644"/>
      <w:bookmarkStart w:id="193" w:name="_Toc35812688"/>
      <w:r w:rsidRPr="00503F5B">
        <w:lastRenderedPageBreak/>
        <w:t>Section 9: Description of the effect</w:t>
      </w:r>
      <w:bookmarkEnd w:id="190"/>
      <w:r w:rsidRPr="00503F5B">
        <w:t xml:space="preserve"> of the preferred option</w:t>
      </w:r>
      <w:bookmarkEnd w:id="191"/>
      <w:bookmarkEnd w:id="192"/>
      <w:bookmarkEnd w:id="193"/>
    </w:p>
    <w:p w14:paraId="16549D21" w14:textId="77777777" w:rsidR="008C7584" w:rsidRPr="00503F5B" w:rsidRDefault="008C7584" w:rsidP="008C7584">
      <w:pPr>
        <w:pStyle w:val="Heading2"/>
      </w:pPr>
      <w:bookmarkStart w:id="194" w:name="_Toc457772551"/>
      <w:bookmarkStart w:id="195" w:name="_Toc35804151"/>
      <w:bookmarkStart w:id="196" w:name="_Toc35804645"/>
      <w:bookmarkStart w:id="197" w:name="_Toc35812689"/>
      <w:bookmarkStart w:id="198" w:name="_Toc457772554"/>
      <w:r w:rsidRPr="00503F5B">
        <w:t>9.1 Effects of fee regulations</w:t>
      </w:r>
      <w:bookmarkEnd w:id="194"/>
      <w:bookmarkEnd w:id="195"/>
      <w:bookmarkEnd w:id="196"/>
      <w:bookmarkEnd w:id="197"/>
    </w:p>
    <w:p w14:paraId="471CB582" w14:textId="5B3973E3" w:rsidR="008C7584" w:rsidRPr="00503F5B" w:rsidRDefault="008C7584" w:rsidP="008C7584">
      <w:pPr>
        <w:ind w:left="29"/>
        <w:jc w:val="both"/>
      </w:pPr>
      <w:r w:rsidRPr="00503F5B">
        <w:t xml:space="preserve">The preferred option, Option </w:t>
      </w:r>
      <w:r w:rsidR="004A65B1" w:rsidRPr="00503F5B">
        <w:t>2</w:t>
      </w:r>
      <w:r w:rsidRPr="00503F5B">
        <w:t>, involves r</w:t>
      </w:r>
      <w:r w:rsidR="004A65B1" w:rsidRPr="00503F5B">
        <w:t>emaking the</w:t>
      </w:r>
      <w:r w:rsidRPr="00503F5B">
        <w:t xml:space="preserve"> existing sunsetting </w:t>
      </w:r>
      <w:r w:rsidR="003D2461" w:rsidRPr="00503F5B">
        <w:t xml:space="preserve">quarterly hour </w:t>
      </w:r>
      <w:r w:rsidRPr="00503F5B">
        <w:t>fee of $578.48 (39.06 fee units) on 1 July 2020. Specifically, under proposed regulation 1</w:t>
      </w:r>
      <w:r w:rsidR="00503F5B">
        <w:t>7</w:t>
      </w:r>
      <w:r w:rsidR="003D2461" w:rsidRPr="00503F5B">
        <w:t>(1)(a)</w:t>
      </w:r>
      <w:r w:rsidRPr="00503F5B">
        <w:t xml:space="preserve">, the prescribed fee for emergency attendance </w:t>
      </w:r>
      <w:r w:rsidR="003D2461" w:rsidRPr="00503F5B">
        <w:t xml:space="preserve">for false alarms </w:t>
      </w:r>
      <w:r w:rsidRPr="00503F5B">
        <w:t>under the Act will have no significant impacts on small business or competition under the preferred option, as outlined in sections 7 and 8 of this RIS. The impact on current estimated revenue of around $1</w:t>
      </w:r>
      <w:r w:rsidR="004B70EB" w:rsidRPr="00503F5B">
        <w:t>21</w:t>
      </w:r>
      <w:r w:rsidRPr="00503F5B">
        <w:t>.</w:t>
      </w:r>
      <w:r w:rsidR="004B70EB" w:rsidRPr="00503F5B">
        <w:t>97</w:t>
      </w:r>
      <w:r w:rsidRPr="00503F5B">
        <w:t xml:space="preserve"> million over 10-years in present value dollars is expected to be </w:t>
      </w:r>
      <w:r w:rsidR="00BA104C" w:rsidRPr="00503F5B">
        <w:t xml:space="preserve">slightly </w:t>
      </w:r>
      <w:r w:rsidR="004B70EB" w:rsidRPr="00503F5B">
        <w:t xml:space="preserve">negative </w:t>
      </w:r>
      <w:r w:rsidRPr="00503F5B">
        <w:t>over 10 years with an estimated $</w:t>
      </w:r>
      <w:r w:rsidR="00BA104C" w:rsidRPr="00503F5B">
        <w:t>121</w:t>
      </w:r>
      <w:r w:rsidRPr="00503F5B">
        <w:t>.</w:t>
      </w:r>
      <w:r w:rsidR="00BA104C" w:rsidRPr="00503F5B">
        <w:t>4</w:t>
      </w:r>
      <w:r w:rsidRPr="00503F5B">
        <w:t xml:space="preserve"> million</w:t>
      </w:r>
      <w:r w:rsidR="004B70EB" w:rsidRPr="00503F5B">
        <w:rPr>
          <w:rStyle w:val="FootnoteReference"/>
        </w:rPr>
        <w:footnoteReference w:id="163"/>
      </w:r>
      <w:r w:rsidRPr="00503F5B">
        <w:t xml:space="preserve"> to be collected in false alarm charges under the proposed fee.</w:t>
      </w:r>
      <w:r w:rsidR="00AA0F0E" w:rsidRPr="00503F5B">
        <w:t xml:space="preserve"> </w:t>
      </w:r>
    </w:p>
    <w:p w14:paraId="3A7594F2" w14:textId="4BDFE50D" w:rsidR="007B0DB7" w:rsidRPr="00503F5B" w:rsidRDefault="007B0DB7" w:rsidP="008C7584">
      <w:pPr>
        <w:ind w:left="29"/>
        <w:jc w:val="both"/>
      </w:pPr>
    </w:p>
    <w:p w14:paraId="6762F518" w14:textId="2072C8F2" w:rsidR="007B0DB7" w:rsidRPr="00503F5B" w:rsidRDefault="007B0DB7" w:rsidP="008C7584">
      <w:pPr>
        <w:ind w:left="29"/>
        <w:jc w:val="both"/>
      </w:pPr>
      <w:r w:rsidRPr="00503F5B">
        <w:t>Fees to be set under proposed regulations 1</w:t>
      </w:r>
      <w:r w:rsidR="00503F5B">
        <w:t>7</w:t>
      </w:r>
      <w:r w:rsidRPr="00503F5B">
        <w:t>(1)(b) to 1</w:t>
      </w:r>
      <w:r w:rsidR="00503F5B">
        <w:t>7</w:t>
      </w:r>
      <w:r w:rsidRPr="00503F5B">
        <w:t>(1)(e), covering false reports, vessels, hazardous and toxic materials, and a ‘catch all’ of special circumstances, respectively will be maintained at 39.06 fee units</w:t>
      </w:r>
      <w:r w:rsidR="00F74120" w:rsidRPr="00503F5B">
        <w:t xml:space="preserve">. </w:t>
      </w:r>
      <w:r w:rsidRPr="00503F5B">
        <w:t xml:space="preserve"> </w:t>
      </w:r>
      <w:r w:rsidR="00F74120" w:rsidRPr="00503F5B">
        <w:t xml:space="preserve">This </w:t>
      </w:r>
      <w:r w:rsidRPr="00503F5B">
        <w:t>is expected to have a minimal</w:t>
      </w:r>
      <w:r w:rsidR="00F74120" w:rsidRPr="00503F5B">
        <w:t xml:space="preserve"> </w:t>
      </w:r>
      <w:r w:rsidRPr="00503F5B">
        <w:t>impact in terms of very infrequent</w:t>
      </w:r>
      <w:r w:rsidR="00F74120" w:rsidRPr="00503F5B">
        <w:t xml:space="preserve"> or negligible occurrences and with only around $0.34 million of charges collected in 2018-19 for </w:t>
      </w:r>
      <w:r w:rsidR="00503F5B">
        <w:t xml:space="preserve">regulation </w:t>
      </w:r>
      <w:r w:rsidR="00F74120" w:rsidRPr="00503F5B">
        <w:t>1</w:t>
      </w:r>
      <w:r w:rsidR="00503F5B">
        <w:t>7</w:t>
      </w:r>
      <w:r w:rsidR="00F74120" w:rsidRPr="00503F5B">
        <w:t xml:space="preserve">(1)(d) – for 6 invoices/incidents involving hazardous and toxic materials.  </w:t>
      </w:r>
      <w:r w:rsidR="004B45D5" w:rsidRPr="00503F5B">
        <w:t>Proposed regulation 1</w:t>
      </w:r>
      <w:r w:rsidR="00503F5B">
        <w:t>7</w:t>
      </w:r>
      <w:r w:rsidR="004B45D5" w:rsidRPr="00503F5B">
        <w:t>(1)(d) is expected to have a negative impact in relation to the costs of attending hazardous and toxic material incidents as fee units based on current levels would only recover 23.</w:t>
      </w:r>
      <w:r w:rsidR="004A65B1" w:rsidRPr="00503F5B">
        <w:t>04</w:t>
      </w:r>
      <w:r w:rsidR="006E7749" w:rsidRPr="00503F5B">
        <w:t xml:space="preserve"> per cent</w:t>
      </w:r>
      <w:r w:rsidR="004B45D5" w:rsidRPr="00503F5B">
        <w:t xml:space="preserve"> of the full cost of attendance.  However, it is important to note that a</w:t>
      </w:r>
      <w:r w:rsidR="00F74120" w:rsidRPr="00503F5B">
        <w:t xml:space="preserve">dditional charges for incidents involving hazardous and toxic materials would be set administratively </w:t>
      </w:r>
      <w:r w:rsidR="004B45D5" w:rsidRPr="00503F5B">
        <w:t xml:space="preserve">and could be recovered </w:t>
      </w:r>
      <w:r w:rsidR="00F74120" w:rsidRPr="00503F5B">
        <w:t xml:space="preserve">under proposed regulation 19. </w:t>
      </w:r>
      <w:r w:rsidR="004B45D5" w:rsidRPr="00503F5B">
        <w:t>Ultimately, t</w:t>
      </w:r>
      <w:r w:rsidR="00F74120" w:rsidRPr="00503F5B">
        <w:t xml:space="preserve">he aim of maintaining the fee units to current levels will be to prevent </w:t>
      </w:r>
      <w:r w:rsidR="004B45D5" w:rsidRPr="00503F5B">
        <w:t xml:space="preserve">an increase in </w:t>
      </w:r>
      <w:r w:rsidR="00F74120" w:rsidRPr="00503F5B">
        <w:t>careless behaviour in relation to false reports, vessels, hazardous and toxic materials and special circumstance notwithstanding their infrequent occurrences</w:t>
      </w:r>
      <w:r w:rsidR="004B45D5" w:rsidRPr="00503F5B">
        <w:t xml:space="preserve"> which FRV anticipates with the lowering of </w:t>
      </w:r>
      <w:r w:rsidR="006E7749" w:rsidRPr="00503F5B">
        <w:t xml:space="preserve">any </w:t>
      </w:r>
      <w:r w:rsidR="004B45D5" w:rsidRPr="00503F5B">
        <w:t>fees.</w:t>
      </w:r>
    </w:p>
    <w:p w14:paraId="5826CFE1" w14:textId="77777777" w:rsidR="00754C75" w:rsidRPr="00503F5B" w:rsidRDefault="00754C75" w:rsidP="008C7584">
      <w:pPr>
        <w:jc w:val="both"/>
      </w:pPr>
    </w:p>
    <w:p w14:paraId="5D98B7E4" w14:textId="36FB8175" w:rsidR="001914F9" w:rsidRPr="00503F5B" w:rsidRDefault="001914F9" w:rsidP="001914F9">
      <w:pPr>
        <w:jc w:val="both"/>
      </w:pPr>
      <w:r w:rsidRPr="00503F5B">
        <w:t>Proposed regulation 2</w:t>
      </w:r>
      <w:r w:rsidR="00503F5B">
        <w:t>1</w:t>
      </w:r>
      <w:r w:rsidRPr="00503F5B">
        <w:t xml:space="preserve"> will provide the power to set fees and charges administratively for the following</w:t>
      </w:r>
      <w:r w:rsidR="004956B1" w:rsidRPr="00503F5B">
        <w:t>:</w:t>
      </w:r>
    </w:p>
    <w:p w14:paraId="46D394CC" w14:textId="77777777" w:rsidR="001914F9" w:rsidRPr="00503F5B" w:rsidRDefault="001914F9" w:rsidP="001914F9">
      <w:pPr>
        <w:jc w:val="both"/>
      </w:pPr>
    </w:p>
    <w:p w14:paraId="3E003053" w14:textId="5713B69F" w:rsidR="001914F9" w:rsidRPr="00503F5B" w:rsidRDefault="001914F9" w:rsidP="001914F9">
      <w:pPr>
        <w:jc w:val="both"/>
      </w:pPr>
      <w:r w:rsidRPr="00503F5B">
        <w:t>a) statutory fire protection services</w:t>
      </w:r>
      <w:r w:rsidRPr="00503F5B">
        <w:rPr>
          <w:rStyle w:val="FootnoteReference"/>
        </w:rPr>
        <w:footnoteReference w:id="164"/>
      </w:r>
      <w:r w:rsidRPr="00503F5B">
        <w:t xml:space="preserve"> (currently being charged by MFB under the </w:t>
      </w:r>
      <w:r w:rsidRPr="00503F5B">
        <w:rPr>
          <w:i/>
        </w:rPr>
        <w:t xml:space="preserve">Building Act 1993 </w:t>
      </w:r>
      <w:r w:rsidRPr="00503F5B">
        <w:rPr>
          <w:iCs/>
        </w:rPr>
        <w:t>at a fee of $121</w:t>
      </w:r>
      <w:r w:rsidRPr="00503F5B">
        <w:rPr>
          <w:rStyle w:val="FootnoteReference"/>
          <w:iCs/>
        </w:rPr>
        <w:footnoteReference w:id="165"/>
      </w:r>
      <w:r w:rsidRPr="00503F5B">
        <w:rPr>
          <w:iCs/>
        </w:rPr>
        <w:t xml:space="preserve"> per hour (excl GST))</w:t>
      </w:r>
      <w:r w:rsidRPr="00503F5B">
        <w:t>:</w:t>
      </w:r>
    </w:p>
    <w:p w14:paraId="284AAE4E" w14:textId="77777777" w:rsidR="001914F9" w:rsidRPr="00503F5B" w:rsidRDefault="001914F9" w:rsidP="001914F9">
      <w:pPr>
        <w:jc w:val="both"/>
      </w:pPr>
    </w:p>
    <w:p w14:paraId="540DAB1F" w14:textId="77777777" w:rsidR="001914F9" w:rsidRPr="00503F5B" w:rsidRDefault="001914F9" w:rsidP="001914F9">
      <w:pPr>
        <w:pStyle w:val="ListParagraph"/>
        <w:numPr>
          <w:ilvl w:val="0"/>
          <w:numId w:val="21"/>
        </w:numPr>
        <w:jc w:val="both"/>
      </w:pPr>
      <w:r w:rsidRPr="00503F5B">
        <w:t>reports in relation to an application for a building permit; and</w:t>
      </w:r>
    </w:p>
    <w:p w14:paraId="2B6A945D" w14:textId="77777777" w:rsidR="001914F9" w:rsidRPr="00503F5B" w:rsidRDefault="001914F9" w:rsidP="001914F9">
      <w:pPr>
        <w:pStyle w:val="ListParagraph"/>
        <w:numPr>
          <w:ilvl w:val="0"/>
          <w:numId w:val="21"/>
        </w:numPr>
        <w:jc w:val="both"/>
      </w:pPr>
      <w:r w:rsidRPr="00503F5B">
        <w:t>reports in relation to an application for an occupancy permit</w:t>
      </w:r>
    </w:p>
    <w:p w14:paraId="32CA6DEE" w14:textId="77777777" w:rsidR="001914F9" w:rsidRPr="00503F5B" w:rsidRDefault="001914F9" w:rsidP="001914F9">
      <w:pPr>
        <w:jc w:val="both"/>
      </w:pPr>
    </w:p>
    <w:p w14:paraId="1AE81B81" w14:textId="77777777" w:rsidR="001914F9" w:rsidRPr="00503F5B" w:rsidRDefault="001914F9" w:rsidP="001914F9">
      <w:pPr>
        <w:jc w:val="both"/>
      </w:pPr>
      <w:r w:rsidRPr="00503F5B">
        <w:t xml:space="preserve">and </w:t>
      </w:r>
    </w:p>
    <w:p w14:paraId="5573E7BF" w14:textId="77777777" w:rsidR="001914F9" w:rsidRPr="00503F5B" w:rsidRDefault="001914F9" w:rsidP="001914F9">
      <w:pPr>
        <w:jc w:val="both"/>
      </w:pPr>
    </w:p>
    <w:p w14:paraId="5A8E79F4" w14:textId="77777777" w:rsidR="001914F9" w:rsidRPr="00503F5B" w:rsidRDefault="001914F9" w:rsidP="001914F9">
      <w:pPr>
        <w:jc w:val="both"/>
      </w:pPr>
      <w:r w:rsidRPr="00503F5B">
        <w:t xml:space="preserve">b) various currently </w:t>
      </w:r>
      <w:r w:rsidRPr="00503F5B">
        <w:rPr>
          <w:i/>
          <w:iCs/>
        </w:rPr>
        <w:t>non-billable</w:t>
      </w:r>
      <w:r w:rsidRPr="00503F5B">
        <w:t xml:space="preserve"> functions to be taken by FRV in future including those with respect to:</w:t>
      </w:r>
    </w:p>
    <w:p w14:paraId="26E9713D" w14:textId="77777777" w:rsidR="001914F9" w:rsidRPr="00503F5B" w:rsidRDefault="001914F9" w:rsidP="001914F9">
      <w:pPr>
        <w:jc w:val="both"/>
      </w:pPr>
    </w:p>
    <w:p w14:paraId="64AA04B4" w14:textId="77777777" w:rsidR="001914F9" w:rsidRPr="00503F5B" w:rsidRDefault="001914F9" w:rsidP="001914F9">
      <w:pPr>
        <w:pStyle w:val="ListParagraph"/>
        <w:numPr>
          <w:ilvl w:val="0"/>
          <w:numId w:val="22"/>
        </w:numPr>
        <w:spacing w:after="120"/>
        <w:ind w:left="714" w:hanging="357"/>
        <w:contextualSpacing w:val="0"/>
        <w:rPr>
          <w:rFonts w:eastAsia="Times New Roman" w:cs="Calibri"/>
          <w:color w:val="auto"/>
        </w:rPr>
      </w:pPr>
      <w:r w:rsidRPr="00503F5B">
        <w:rPr>
          <w:i/>
          <w:iCs/>
        </w:rPr>
        <w:t>Dangerous Goods:</w:t>
      </w:r>
      <w:r w:rsidRPr="00503F5B">
        <w:rPr>
          <w:rFonts w:eastAsia="Times New Roman" w:cs="Calibri"/>
          <w:color w:val="auto"/>
        </w:rPr>
        <w:t xml:space="preserve">  </w:t>
      </w:r>
      <w:r w:rsidRPr="00503F5B">
        <w:t>Reports or letters of advice with regards to placarding; fire protection; emergency procedures; explosives; major hazard facility;</w:t>
      </w:r>
    </w:p>
    <w:p w14:paraId="69835B88" w14:textId="1323242E" w:rsidR="001914F9" w:rsidRPr="00503F5B" w:rsidRDefault="001914F9" w:rsidP="001914F9">
      <w:pPr>
        <w:pStyle w:val="ListParagraph"/>
        <w:numPr>
          <w:ilvl w:val="0"/>
          <w:numId w:val="22"/>
        </w:numPr>
        <w:spacing w:after="120"/>
        <w:ind w:left="714" w:hanging="357"/>
        <w:contextualSpacing w:val="0"/>
        <w:rPr>
          <w:rFonts w:eastAsia="Times New Roman" w:cs="Calibri"/>
          <w:i/>
          <w:iCs/>
          <w:color w:val="auto"/>
        </w:rPr>
      </w:pPr>
      <w:r w:rsidRPr="00503F5B">
        <w:rPr>
          <w:rFonts w:eastAsia="Times New Roman" w:cs="Calibri"/>
          <w:i/>
          <w:iCs/>
          <w:color w:val="auto"/>
        </w:rPr>
        <w:lastRenderedPageBreak/>
        <w:t>Building Codes and Audits:</w:t>
      </w:r>
      <w:r w:rsidRPr="00503F5B">
        <w:rPr>
          <w:rFonts w:eastAsia="Times New Roman" w:cs="Calibri"/>
          <w:color w:val="auto"/>
        </w:rPr>
        <w:t xml:space="preserve"> a) </w:t>
      </w:r>
      <w:r w:rsidRPr="00503F5B">
        <w:t>Letters of Advice (</w:t>
      </w:r>
      <w:r w:rsidR="00503F5B">
        <w:t>and</w:t>
      </w:r>
      <w:r w:rsidRPr="00503F5B">
        <w:t xml:space="preserve"> pre application review) with regards to general fire protection correspondence (includes pre application conceptual design review) and b) inspections of buildings, fire protection systems and perimeter access roads, as well as, c) Building Appeals Board (BAB) referrals (Section 160 &amp; 160A advice to the BAB);</w:t>
      </w:r>
    </w:p>
    <w:p w14:paraId="6F5B710E" w14:textId="77777777" w:rsidR="001914F9" w:rsidRPr="00503F5B" w:rsidRDefault="001914F9" w:rsidP="001914F9">
      <w:pPr>
        <w:pStyle w:val="ListParagraph"/>
        <w:numPr>
          <w:ilvl w:val="0"/>
          <w:numId w:val="22"/>
        </w:numPr>
        <w:spacing w:after="120"/>
        <w:ind w:left="714" w:hanging="357"/>
        <w:contextualSpacing w:val="0"/>
        <w:rPr>
          <w:rFonts w:eastAsia="Times New Roman" w:cs="Calibri"/>
          <w:i/>
          <w:iCs/>
          <w:color w:val="auto"/>
        </w:rPr>
      </w:pPr>
      <w:r w:rsidRPr="00503F5B">
        <w:rPr>
          <w:rFonts w:eastAsia="Times New Roman" w:cs="Calibri"/>
          <w:i/>
          <w:iCs/>
          <w:color w:val="auto"/>
        </w:rPr>
        <w:t xml:space="preserve">Community Safety Technical Department: </w:t>
      </w:r>
      <w:r w:rsidRPr="00503F5B">
        <w:t>a) reports including the Fire Engineering Brief referrals - IFEG 2005 Stakeholder Consultation; and Fire Engineering Report referral and review; and b) inspections of buildings, MHFs, fire protection infrastructure and perimeter access roads; and</w:t>
      </w:r>
    </w:p>
    <w:p w14:paraId="220D2192" w14:textId="77777777" w:rsidR="001914F9" w:rsidRPr="00503F5B" w:rsidRDefault="001914F9" w:rsidP="001914F9">
      <w:pPr>
        <w:pStyle w:val="ListParagraph"/>
        <w:numPr>
          <w:ilvl w:val="0"/>
          <w:numId w:val="22"/>
        </w:numPr>
        <w:spacing w:after="120"/>
        <w:ind w:left="714" w:hanging="357"/>
        <w:contextualSpacing w:val="0"/>
        <w:rPr>
          <w:rFonts w:eastAsia="Times New Roman" w:cs="Calibri"/>
          <w:color w:val="auto"/>
        </w:rPr>
      </w:pPr>
      <w:r w:rsidRPr="00503F5B">
        <w:rPr>
          <w:rFonts w:eastAsia="Times New Roman" w:cs="Calibri"/>
          <w:i/>
          <w:iCs/>
          <w:color w:val="auto"/>
        </w:rPr>
        <w:t xml:space="preserve">Building Inspection and Compliance: </w:t>
      </w:r>
      <w:r w:rsidRPr="00503F5B">
        <w:rPr>
          <w:rFonts w:eastAsia="Times New Roman" w:cs="Calibri"/>
          <w:color w:val="auto"/>
        </w:rPr>
        <w:t>Place of Public Entertainment inspection (Joint inspection request by municipality issuing Occupancy Permit)</w:t>
      </w:r>
    </w:p>
    <w:p w14:paraId="623A4ED8" w14:textId="77777777" w:rsidR="001914F9" w:rsidRPr="00503F5B" w:rsidRDefault="001914F9" w:rsidP="008C7584">
      <w:pPr>
        <w:jc w:val="both"/>
      </w:pPr>
    </w:p>
    <w:p w14:paraId="53CB4507" w14:textId="2D80300E" w:rsidR="008C7584" w:rsidRPr="00503F5B" w:rsidRDefault="00CA6EEB" w:rsidP="008C7584">
      <w:pPr>
        <w:jc w:val="both"/>
      </w:pPr>
      <w:bookmarkStart w:id="199" w:name="_Hlk35811568"/>
      <w:r w:rsidRPr="00503F5B">
        <w:t xml:space="preserve">The proposed regulations are substantively the same as the current requirements.  However, </w:t>
      </w:r>
      <w:r w:rsidR="00F37EEB" w:rsidRPr="00503F5B">
        <w:t xml:space="preserve">it is proposed </w:t>
      </w:r>
      <w:r w:rsidRPr="00503F5B">
        <w:t>to incorporate proposed regulation 2</w:t>
      </w:r>
      <w:r w:rsidR="00503F5B">
        <w:t>1</w:t>
      </w:r>
      <w:r w:rsidRPr="00503F5B">
        <w:t xml:space="preserve"> for fire protection charges to align with CFA regulation 100 and allow fire protection costs to be set administratively. </w:t>
      </w:r>
      <w:r w:rsidR="001914F9" w:rsidRPr="00503F5B">
        <w:t xml:space="preserve">The charges will </w:t>
      </w:r>
      <w:r w:rsidRPr="00503F5B">
        <w:t xml:space="preserve">reflect </w:t>
      </w:r>
      <w:r w:rsidR="00754C75" w:rsidRPr="00503F5B">
        <w:t>the Residential Tenancies (Caravan Parks and Moveable Dwellings Registration and Standards) Regulations 2010</w:t>
      </w:r>
      <w:r w:rsidRPr="00503F5B">
        <w:t xml:space="preserve">. </w:t>
      </w:r>
      <w:r w:rsidR="00F34422" w:rsidRPr="00503F5B">
        <w:t>Proposed regulation 2</w:t>
      </w:r>
      <w:r w:rsidR="00503F5B">
        <w:t>1</w:t>
      </w:r>
      <w:r w:rsidR="00F34422" w:rsidRPr="00503F5B">
        <w:t xml:space="preserve"> will </w:t>
      </w:r>
      <w:r w:rsidR="00ED0134" w:rsidRPr="00503F5B">
        <w:t xml:space="preserve">allow for </w:t>
      </w:r>
      <w:r w:rsidR="00F34422" w:rsidRPr="00503F5B">
        <w:t xml:space="preserve">a charge of $148.10 for the first hour and $27.03 for every quarter after thereof (excluding GST) for fire protection services </w:t>
      </w:r>
      <w:r w:rsidR="00ED0134" w:rsidRPr="00503F5B">
        <w:t xml:space="preserve">to be set administratively </w:t>
      </w:r>
      <w:r w:rsidR="008C7584" w:rsidRPr="00503F5B">
        <w:t>with a 10-year present value revenue estimated to be $</w:t>
      </w:r>
      <w:r w:rsidR="004956B1" w:rsidRPr="00503F5B">
        <w:t>8.96</w:t>
      </w:r>
      <w:r w:rsidR="008C7584" w:rsidRPr="00503F5B">
        <w:t xml:space="preserve"> million</w:t>
      </w:r>
      <w:r w:rsidR="008C7584" w:rsidRPr="00503F5B">
        <w:rPr>
          <w:rStyle w:val="FootnoteReference"/>
        </w:rPr>
        <w:footnoteReference w:id="166"/>
      </w:r>
      <w:r w:rsidR="008C7584" w:rsidRPr="00503F5B">
        <w:t xml:space="preserve"> which is an increase from the 10-year revenue of $4.</w:t>
      </w:r>
      <w:r w:rsidR="001C2B49" w:rsidRPr="00503F5B">
        <w:t>0</w:t>
      </w:r>
      <w:r w:rsidR="004956B1" w:rsidRPr="00503F5B">
        <w:t>7</w:t>
      </w:r>
      <w:r w:rsidR="008C7584" w:rsidRPr="00503F5B">
        <w:t xml:space="preserve"> million</w:t>
      </w:r>
      <w:r w:rsidR="008C7584" w:rsidRPr="00503F5B">
        <w:rPr>
          <w:rStyle w:val="FootnoteReference"/>
        </w:rPr>
        <w:footnoteReference w:id="167"/>
      </w:r>
      <w:r w:rsidR="008C7584" w:rsidRPr="00503F5B">
        <w:t xml:space="preserve"> estimated for the current fee of $121 plus GST</w:t>
      </w:r>
      <w:r w:rsidR="00F34422" w:rsidRPr="00503F5B">
        <w:t xml:space="preserve"> </w:t>
      </w:r>
      <w:r w:rsidR="001C2B49" w:rsidRPr="00503F5B">
        <w:t xml:space="preserve">and which covers </w:t>
      </w:r>
      <w:r w:rsidR="00F34422" w:rsidRPr="00503F5B">
        <w:t>BCA services only</w:t>
      </w:r>
      <w:r w:rsidR="008C7584" w:rsidRPr="00503F5B">
        <w:t xml:space="preserve">. </w:t>
      </w:r>
    </w:p>
    <w:p w14:paraId="3FB24AC7" w14:textId="30D35634" w:rsidR="00CA6EEB" w:rsidRPr="00503F5B" w:rsidRDefault="00CA6EEB" w:rsidP="008C7584">
      <w:pPr>
        <w:jc w:val="both"/>
      </w:pPr>
    </w:p>
    <w:bookmarkEnd w:id="199"/>
    <w:p w14:paraId="5A5FB389" w14:textId="7FD9FD4B" w:rsidR="008C7584" w:rsidRPr="00503F5B" w:rsidRDefault="008C7584" w:rsidP="008C7584">
      <w:pPr>
        <w:jc w:val="both"/>
      </w:pPr>
      <w:r w:rsidRPr="00503F5B">
        <w:t>It is the intention to remake the other fee regulations and replace them in the proposed regulations. These will include proposed fee regulations 1</w:t>
      </w:r>
      <w:r w:rsidR="00503F5B">
        <w:t>8</w:t>
      </w:r>
      <w:r w:rsidRPr="00503F5B">
        <w:t xml:space="preserve">, </w:t>
      </w:r>
      <w:r w:rsidR="00503F5B">
        <w:t>19</w:t>
      </w:r>
      <w:r w:rsidRPr="00503F5B">
        <w:t xml:space="preserve"> and </w:t>
      </w:r>
      <w:r w:rsidR="00F34422" w:rsidRPr="00503F5B">
        <w:t>2</w:t>
      </w:r>
      <w:r w:rsidR="00503F5B">
        <w:t>0</w:t>
      </w:r>
      <w:r w:rsidRPr="00503F5B">
        <w:t xml:space="preserve">. </w:t>
      </w:r>
    </w:p>
    <w:p w14:paraId="24776E61" w14:textId="77777777" w:rsidR="008C7584" w:rsidRPr="00503F5B" w:rsidRDefault="008C7584" w:rsidP="008C7584">
      <w:pPr>
        <w:jc w:val="both"/>
      </w:pPr>
    </w:p>
    <w:p w14:paraId="14D25063" w14:textId="1C095BB4" w:rsidR="008C7584" w:rsidRPr="00503F5B" w:rsidRDefault="008C7584" w:rsidP="008C7584">
      <w:pPr>
        <w:jc w:val="both"/>
      </w:pPr>
      <w:r w:rsidRPr="00503F5B">
        <w:t>Proposed regulation 1</w:t>
      </w:r>
      <w:r w:rsidR="00503F5B">
        <w:t>8</w:t>
      </w:r>
      <w:r w:rsidRPr="00503F5B">
        <w:t xml:space="preserve"> will set additional fees for emergency attendances at hazardous materials or toxic fire incidents. These fees are for any additional costs incurred by </w:t>
      </w:r>
      <w:r w:rsidR="00595DFB" w:rsidRPr="00503F5B">
        <w:t>MFB</w:t>
      </w:r>
      <w:r w:rsidRPr="00503F5B">
        <w:t xml:space="preserve"> when attending these incidents, including cleaning, repairing and/or replacing protective equipment, hiring additional equipment, obtaining specialised advice and use of consumable products. Over three years 2012-13 to 2014-15, </w:t>
      </w:r>
      <w:r w:rsidR="00595DFB" w:rsidRPr="00503F5B">
        <w:t>MFB</w:t>
      </w:r>
      <w:r w:rsidRPr="00503F5B">
        <w:t xml:space="preserve"> spent an average 1,524 appliance hours in responding to an average of 737 hazardous material calls. </w:t>
      </w:r>
    </w:p>
    <w:p w14:paraId="6362B4F0" w14:textId="77777777" w:rsidR="008C7584" w:rsidRPr="00503F5B" w:rsidRDefault="008C7584" w:rsidP="008C7584">
      <w:pPr>
        <w:jc w:val="both"/>
      </w:pPr>
    </w:p>
    <w:p w14:paraId="5CC44642" w14:textId="5D12C33C" w:rsidR="008C7584" w:rsidRPr="00503F5B" w:rsidRDefault="008C7584" w:rsidP="008C7584">
      <w:pPr>
        <w:jc w:val="both"/>
      </w:pPr>
      <w:r w:rsidRPr="00503F5B">
        <w:t xml:space="preserve">Proposed regulation </w:t>
      </w:r>
      <w:r w:rsidR="00503F5B">
        <w:t>19</w:t>
      </w:r>
      <w:r w:rsidRPr="00503F5B">
        <w:t xml:space="preserve"> will enable </w:t>
      </w:r>
      <w:r w:rsidR="00F34422" w:rsidRPr="00503F5B">
        <w:t xml:space="preserve">FRV </w:t>
      </w:r>
      <w:r w:rsidRPr="00503F5B">
        <w:t>to provide property protection or loss mitigation services, and to set the fees for these services (rather than prescribing the fees in the regulations). This proposed regulation will include updated terminology.</w:t>
      </w:r>
    </w:p>
    <w:p w14:paraId="70C84178" w14:textId="77777777" w:rsidR="008C7584" w:rsidRPr="00503F5B" w:rsidRDefault="008C7584" w:rsidP="008C7584">
      <w:pPr>
        <w:jc w:val="both"/>
      </w:pPr>
    </w:p>
    <w:p w14:paraId="7B08FAE3" w14:textId="287FB464" w:rsidR="008C7584" w:rsidRPr="00503F5B" w:rsidRDefault="008C7584" w:rsidP="00F34422">
      <w:pPr>
        <w:jc w:val="both"/>
      </w:pPr>
      <w:r w:rsidRPr="00503F5B">
        <w:t>Proposed regulation 2</w:t>
      </w:r>
      <w:r w:rsidR="00503F5B">
        <w:t>0</w:t>
      </w:r>
      <w:r w:rsidRPr="00503F5B">
        <w:t xml:space="preserve"> will enable </w:t>
      </w:r>
      <w:r w:rsidR="00F34422" w:rsidRPr="00503F5B">
        <w:t xml:space="preserve">FRV </w:t>
      </w:r>
      <w:r w:rsidRPr="00503F5B">
        <w:t xml:space="preserve">to charge the Transport Accident Commission (TAC) or the Victorian WorkCover Authority (VWA) for attending road accidents. </w:t>
      </w:r>
    </w:p>
    <w:p w14:paraId="6CA60E77" w14:textId="49BD57B4" w:rsidR="00886331" w:rsidRPr="00503F5B" w:rsidRDefault="00886331" w:rsidP="003F215B">
      <w:pPr>
        <w:pStyle w:val="Heading2"/>
      </w:pPr>
      <w:bookmarkStart w:id="200" w:name="_Toc457772552"/>
      <w:bookmarkStart w:id="201" w:name="_Toc35804152"/>
      <w:bookmarkStart w:id="202" w:name="_Toc35804646"/>
      <w:bookmarkStart w:id="203" w:name="_Toc35812690"/>
      <w:r w:rsidRPr="00503F5B">
        <w:t>9.2 Effects of non-fee regulations</w:t>
      </w:r>
      <w:bookmarkEnd w:id="200"/>
      <w:bookmarkEnd w:id="201"/>
      <w:bookmarkEnd w:id="202"/>
      <w:bookmarkEnd w:id="203"/>
    </w:p>
    <w:p w14:paraId="0223C286" w14:textId="356E89B7" w:rsidR="00886331" w:rsidRPr="00503F5B" w:rsidRDefault="00886331" w:rsidP="00886331">
      <w:pPr>
        <w:jc w:val="both"/>
      </w:pPr>
      <w:r w:rsidRPr="00503F5B">
        <w:t>Proposed non-fee regulations 1 to 5 will cover the objective, authorizing provision, commencement and definitions (i.e. machinery).</w:t>
      </w:r>
    </w:p>
    <w:p w14:paraId="30EA509E" w14:textId="77777777" w:rsidR="00886331" w:rsidRPr="00503F5B" w:rsidRDefault="00886331" w:rsidP="00886331">
      <w:pPr>
        <w:jc w:val="both"/>
      </w:pPr>
    </w:p>
    <w:p w14:paraId="2823913F" w14:textId="5E22F913" w:rsidR="00886331" w:rsidRPr="00503F5B" w:rsidRDefault="00886331" w:rsidP="00886331">
      <w:pPr>
        <w:jc w:val="both"/>
      </w:pPr>
      <w:r w:rsidRPr="00503F5B">
        <w:t xml:space="preserve">Proposed non-fee regulation 6 will prescribe requirements in relation to the insignia of FRV that only persons acting in the lawful execution of a power conferred by the Act or </w:t>
      </w:r>
      <w:r w:rsidRPr="00503F5B">
        <w:lastRenderedPageBreak/>
        <w:t>Regulations and any property used for the purposes of the Act or regulations may use the insignia of FRV in schedule 1.</w:t>
      </w:r>
    </w:p>
    <w:p w14:paraId="7787F22E" w14:textId="77777777" w:rsidR="00886331" w:rsidRPr="00503F5B" w:rsidRDefault="00886331" w:rsidP="00886331">
      <w:pPr>
        <w:jc w:val="both"/>
      </w:pPr>
    </w:p>
    <w:p w14:paraId="5CC258DF" w14:textId="77777777" w:rsidR="0098700E" w:rsidRPr="00503F5B" w:rsidRDefault="00886331" w:rsidP="00886331">
      <w:pPr>
        <w:jc w:val="both"/>
      </w:pPr>
      <w:proofErr w:type="gramStart"/>
      <w:r w:rsidRPr="00503F5B">
        <w:t>A number of</w:t>
      </w:r>
      <w:proofErr w:type="gramEnd"/>
      <w:r w:rsidRPr="00503F5B">
        <w:t xml:space="preserve"> the proposed non-fee regulations will focus on employment and management issues. </w:t>
      </w:r>
    </w:p>
    <w:p w14:paraId="537D6804" w14:textId="77777777" w:rsidR="0098700E" w:rsidRPr="00503F5B" w:rsidRDefault="0098700E" w:rsidP="00886331">
      <w:pPr>
        <w:jc w:val="both"/>
      </w:pPr>
    </w:p>
    <w:p w14:paraId="3562B5D0" w14:textId="527F8673" w:rsidR="00886331" w:rsidRPr="00503F5B" w:rsidRDefault="00886331" w:rsidP="00886331">
      <w:pPr>
        <w:jc w:val="both"/>
      </w:pPr>
      <w:r w:rsidRPr="00503F5B">
        <w:t xml:space="preserve">Proposed regulation 7 will define continuous service as service with FRV where long service leave/pay in lieu has not been granted; commencing not more than 4 weeks from termination (or determination by FRV for special circumstances); and includes period of war service in the Australian armed forces that ended not more than 12 months before commencement of service with FRV. Proposed regulation 8 will require that applicants for appointment are required to satisfy a medical officer of their fitness for service and provide consent for a criminal record search to be conducted at a cost of around $80,509 per annum to FRV and $20,240 per annum to the applicants based on around 190 applicants per annum (see Appendix 4). Proposed regulation </w:t>
      </w:r>
      <w:r w:rsidR="00ED3257" w:rsidRPr="00503F5B">
        <w:t xml:space="preserve">9 </w:t>
      </w:r>
      <w:r w:rsidRPr="00503F5B">
        <w:t xml:space="preserve">will require operational staff members to satisfy a medical officer that he or she is fit for duty with an annual cost of $18,939 to FRV and $7,774 for FRV operational staff members (in terms of time cost) for around 75 examinations per annum (see Appendix 4).  Proposed regulation </w:t>
      </w:r>
      <w:r w:rsidR="001D51FC" w:rsidRPr="00503F5B">
        <w:t>10</w:t>
      </w:r>
      <w:r w:rsidRPr="00503F5B">
        <w:t xml:space="preserve"> will set out procedural requirements for the promotions process with an annual cost of $18,554 for FRV and $4,455 for FRV operational staff members for around 84 promotions per annum (see Appendix 4). Proposed regulations </w:t>
      </w:r>
      <w:r w:rsidR="001D51FC" w:rsidRPr="00503F5B">
        <w:t>11</w:t>
      </w:r>
      <w:r w:rsidRPr="00503F5B">
        <w:t xml:space="preserve">, </w:t>
      </w:r>
      <w:r w:rsidR="001D51FC" w:rsidRPr="00503F5B">
        <w:t>12</w:t>
      </w:r>
      <w:r w:rsidRPr="00503F5B">
        <w:t xml:space="preserve">, </w:t>
      </w:r>
      <w:r w:rsidR="001D51FC" w:rsidRPr="00503F5B">
        <w:t>13</w:t>
      </w:r>
      <w:r w:rsidRPr="00503F5B">
        <w:t xml:space="preserve">, </w:t>
      </w:r>
      <w:r w:rsidR="001D51FC" w:rsidRPr="00503F5B">
        <w:t>14</w:t>
      </w:r>
      <w:r w:rsidRPr="00503F5B">
        <w:t xml:space="preserve"> &amp; </w:t>
      </w:r>
      <w:r w:rsidR="001D51FC" w:rsidRPr="00503F5B">
        <w:t>15</w:t>
      </w:r>
      <w:r w:rsidRPr="00503F5B">
        <w:t xml:space="preserve"> and </w:t>
      </w:r>
      <w:r w:rsidR="001D51FC" w:rsidRPr="00503F5B">
        <w:t>16</w:t>
      </w:r>
      <w:r w:rsidRPr="00503F5B">
        <w:t xml:space="preserve"> will set out the following respectively:</w:t>
      </w:r>
    </w:p>
    <w:p w14:paraId="26E5C401" w14:textId="77777777" w:rsidR="00886331" w:rsidRPr="00503F5B" w:rsidRDefault="00886331" w:rsidP="00886331">
      <w:pPr>
        <w:jc w:val="both"/>
      </w:pPr>
    </w:p>
    <w:p w14:paraId="579D333A" w14:textId="623DB1CE" w:rsidR="00886331" w:rsidRPr="00503F5B" w:rsidRDefault="00886331" w:rsidP="00886331">
      <w:pPr>
        <w:pStyle w:val="ListParagraph"/>
        <w:numPr>
          <w:ilvl w:val="0"/>
          <w:numId w:val="5"/>
        </w:numPr>
        <w:jc w:val="both"/>
      </w:pPr>
      <w:r w:rsidRPr="00503F5B">
        <w:rPr>
          <w:rFonts w:cs="P%[ˇ"/>
        </w:rPr>
        <w:t>(1</w:t>
      </w:r>
      <w:r w:rsidR="001D51FC" w:rsidRPr="00503F5B">
        <w:rPr>
          <w:rFonts w:cs="P%[ˇ"/>
        </w:rPr>
        <w:t>1</w:t>
      </w:r>
      <w:r w:rsidRPr="00503F5B">
        <w:rPr>
          <w:rFonts w:cs="P%[ˇ"/>
        </w:rPr>
        <w:t xml:space="preserve">) </w:t>
      </w:r>
      <w:r w:rsidR="00B36EEE" w:rsidRPr="00503F5B">
        <w:rPr>
          <w:rFonts w:cs="P%[ˇ"/>
        </w:rPr>
        <w:t>Issuing of general</w:t>
      </w:r>
      <w:r w:rsidRPr="00503F5B">
        <w:rPr>
          <w:rFonts w:cs="P%[ˇ"/>
        </w:rPr>
        <w:t xml:space="preserve"> orders and making them available electronically;</w:t>
      </w:r>
    </w:p>
    <w:p w14:paraId="44C3223E" w14:textId="2250DE4A" w:rsidR="00886331" w:rsidRPr="00503F5B" w:rsidRDefault="00886331" w:rsidP="00886331">
      <w:pPr>
        <w:pStyle w:val="ListParagraph"/>
        <w:numPr>
          <w:ilvl w:val="0"/>
          <w:numId w:val="5"/>
        </w:numPr>
        <w:jc w:val="both"/>
      </w:pPr>
      <w:r w:rsidRPr="00503F5B">
        <w:t>(1</w:t>
      </w:r>
      <w:r w:rsidR="001D51FC" w:rsidRPr="00503F5B">
        <w:t>2</w:t>
      </w:r>
      <w:r w:rsidRPr="00503F5B">
        <w:t>) Specific prohibitions on the conduct of</w:t>
      </w:r>
      <w:r w:rsidR="00B36EEE" w:rsidRPr="00503F5B">
        <w:t xml:space="preserve"> operational</w:t>
      </w:r>
      <w:r w:rsidRPr="00503F5B">
        <w:t xml:space="preserve"> staff;</w:t>
      </w:r>
    </w:p>
    <w:p w14:paraId="0D058D20" w14:textId="60998CC7" w:rsidR="00886331" w:rsidRPr="00503F5B" w:rsidRDefault="00886331" w:rsidP="00886331">
      <w:pPr>
        <w:pStyle w:val="ListParagraph"/>
        <w:numPr>
          <w:ilvl w:val="0"/>
          <w:numId w:val="5"/>
        </w:numPr>
        <w:jc w:val="both"/>
      </w:pPr>
      <w:r w:rsidRPr="00503F5B">
        <w:t>(1</w:t>
      </w:r>
      <w:r w:rsidR="001D51FC" w:rsidRPr="00503F5B">
        <w:t>3</w:t>
      </w:r>
      <w:r w:rsidRPr="00503F5B">
        <w:t>) Procedures in relation to charges laid</w:t>
      </w:r>
      <w:r w:rsidR="00B36EEE" w:rsidRPr="00503F5B">
        <w:t xml:space="preserve"> against operational staff</w:t>
      </w:r>
      <w:r w:rsidRPr="00503F5B">
        <w:t xml:space="preserve"> for offences under the Act;</w:t>
      </w:r>
    </w:p>
    <w:p w14:paraId="2903CDFB" w14:textId="70EBBA71" w:rsidR="00886331" w:rsidRPr="00503F5B" w:rsidRDefault="00886331" w:rsidP="00886331">
      <w:pPr>
        <w:pStyle w:val="ListParagraph"/>
        <w:numPr>
          <w:ilvl w:val="0"/>
          <w:numId w:val="5"/>
        </w:numPr>
        <w:jc w:val="both"/>
        <w:rPr>
          <w:szCs w:val="20"/>
        </w:rPr>
      </w:pPr>
      <w:r w:rsidRPr="00503F5B">
        <w:rPr>
          <w:szCs w:val="20"/>
        </w:rPr>
        <w:t>(1</w:t>
      </w:r>
      <w:r w:rsidR="001D51FC" w:rsidRPr="00503F5B">
        <w:rPr>
          <w:szCs w:val="20"/>
        </w:rPr>
        <w:t>4</w:t>
      </w:r>
      <w:r w:rsidRPr="00503F5B">
        <w:rPr>
          <w:szCs w:val="20"/>
        </w:rPr>
        <w:t xml:space="preserve"> &amp; 1</w:t>
      </w:r>
      <w:r w:rsidR="001D51FC" w:rsidRPr="00503F5B">
        <w:rPr>
          <w:szCs w:val="20"/>
        </w:rPr>
        <w:t>5</w:t>
      </w:r>
      <w:r w:rsidRPr="00503F5B">
        <w:rPr>
          <w:szCs w:val="20"/>
        </w:rPr>
        <w:t>) That all information relevant to the appeal must be provided by the appellant to be given a minimum of 14 days’ notice of a hearing being scheduled; and</w:t>
      </w:r>
    </w:p>
    <w:p w14:paraId="1201E95B" w14:textId="5934CD07" w:rsidR="00886331" w:rsidRPr="00503F5B" w:rsidRDefault="001D51FC" w:rsidP="00886331">
      <w:pPr>
        <w:pStyle w:val="ListParagraph"/>
        <w:numPr>
          <w:ilvl w:val="0"/>
          <w:numId w:val="5"/>
        </w:numPr>
        <w:jc w:val="both"/>
        <w:rPr>
          <w:szCs w:val="20"/>
        </w:rPr>
      </w:pPr>
      <w:r w:rsidRPr="00503F5B">
        <w:rPr>
          <w:szCs w:val="20"/>
        </w:rPr>
        <w:t>(</w:t>
      </w:r>
      <w:r w:rsidR="00886331" w:rsidRPr="00503F5B">
        <w:rPr>
          <w:szCs w:val="20"/>
        </w:rPr>
        <w:t>1</w:t>
      </w:r>
      <w:r w:rsidRPr="00503F5B">
        <w:rPr>
          <w:szCs w:val="20"/>
        </w:rPr>
        <w:t>6</w:t>
      </w:r>
      <w:r w:rsidR="00886331" w:rsidRPr="00503F5B">
        <w:rPr>
          <w:szCs w:val="20"/>
        </w:rPr>
        <w:t xml:space="preserve">) </w:t>
      </w:r>
      <w:r w:rsidR="00726A19">
        <w:rPr>
          <w:szCs w:val="20"/>
        </w:rPr>
        <w:t>T</w:t>
      </w:r>
      <w:r w:rsidR="00886331" w:rsidRPr="00503F5B">
        <w:rPr>
          <w:szCs w:val="20"/>
        </w:rPr>
        <w:t>hat the Appeals Commission keep a register of each appeal in which every entry must be signed</w:t>
      </w:r>
      <w:r w:rsidR="00726A19">
        <w:rPr>
          <w:szCs w:val="20"/>
        </w:rPr>
        <w:t>.</w:t>
      </w:r>
    </w:p>
    <w:p w14:paraId="6E62135C" w14:textId="77777777" w:rsidR="00886331" w:rsidRPr="00503F5B" w:rsidRDefault="00886331" w:rsidP="00886331">
      <w:pPr>
        <w:jc w:val="both"/>
      </w:pPr>
    </w:p>
    <w:p w14:paraId="438D9F51" w14:textId="34EDF34F" w:rsidR="00886331" w:rsidRPr="00503F5B" w:rsidRDefault="00886331" w:rsidP="00886331">
      <w:pPr>
        <w:jc w:val="both"/>
      </w:pPr>
      <w:r w:rsidRPr="00503F5B">
        <w:t xml:space="preserve">The total annual cost of the proposed non-fee regulations pertaining to employment and management issues will be around </w:t>
      </w:r>
      <w:r w:rsidR="0098700E" w:rsidRPr="00503F5B">
        <w:t>$154,742</w:t>
      </w:r>
      <w:r w:rsidRPr="00503F5B">
        <w:t xml:space="preserve"> or $</w:t>
      </w:r>
      <w:r w:rsidR="0098700E" w:rsidRPr="00503F5B">
        <w:t>1.41 million</w:t>
      </w:r>
      <w:r w:rsidRPr="00503F5B">
        <w:t xml:space="preserve"> over 10 years in present value dollars.</w:t>
      </w:r>
    </w:p>
    <w:p w14:paraId="2B25B9AC" w14:textId="77777777" w:rsidR="00886331" w:rsidRPr="00503F5B" w:rsidRDefault="00886331" w:rsidP="00886331">
      <w:pPr>
        <w:jc w:val="both"/>
      </w:pPr>
    </w:p>
    <w:p w14:paraId="6150CDC1" w14:textId="1A7FD193" w:rsidR="00886331" w:rsidRPr="00503F5B" w:rsidRDefault="00886331" w:rsidP="00886331">
      <w:pPr>
        <w:jc w:val="both"/>
      </w:pPr>
      <w:proofErr w:type="gramStart"/>
      <w:r w:rsidRPr="00503F5B">
        <w:t>A number of</w:t>
      </w:r>
      <w:proofErr w:type="gramEnd"/>
      <w:r w:rsidRPr="00503F5B">
        <w:t xml:space="preserve"> the proposed non-fee regulations will focus on public safety issues.  Proposed regulation 2</w:t>
      </w:r>
      <w:r w:rsidR="00726A19">
        <w:t>2</w:t>
      </w:r>
      <w:r w:rsidRPr="00503F5B">
        <w:t xml:space="preserve"> prescribes the form of a fire prevention notice and the form to be published in a newspaper where the owner of the property or their whereabouts is unknown.  Propose</w:t>
      </w:r>
      <w:r w:rsidR="00ED0134" w:rsidRPr="00503F5B">
        <w:t>d</w:t>
      </w:r>
      <w:r w:rsidRPr="00503F5B">
        <w:t xml:space="preserve"> regulations 2</w:t>
      </w:r>
      <w:r w:rsidR="00726A19">
        <w:t>3</w:t>
      </w:r>
      <w:r w:rsidRPr="00503F5B">
        <w:t xml:space="preserve"> to </w:t>
      </w:r>
      <w:r w:rsidR="00726A19">
        <w:t>29</w:t>
      </w:r>
      <w:r w:rsidRPr="00503F5B">
        <w:t xml:space="preserve"> will prescribe the information that a person who conducts a fire alarm monitoring service must provide, on written notice, to the fire services, and the prescribed timeframes for providing such information, in the case of an alarm pre-connection, connection, modification and disconnection, and for verification purposes.</w:t>
      </w:r>
      <w:r w:rsidR="00C51100" w:rsidRPr="00503F5B">
        <w:t xml:space="preserve">  The nature of the information </w:t>
      </w:r>
      <w:proofErr w:type="gramStart"/>
      <w:r w:rsidR="00C51100" w:rsidRPr="00503F5B">
        <w:t>required</w:t>
      </w:r>
      <w:proofErr w:type="gramEnd"/>
      <w:r w:rsidR="00C51100" w:rsidRPr="00503F5B">
        <w:t xml:space="preserve"> and time frames are not considered to impose a significant burden.</w:t>
      </w:r>
    </w:p>
    <w:p w14:paraId="73F24FE2" w14:textId="77777777" w:rsidR="00886331" w:rsidRPr="00503F5B" w:rsidRDefault="00886331" w:rsidP="00886331">
      <w:pPr>
        <w:pStyle w:val="Heading2"/>
      </w:pPr>
      <w:bookmarkStart w:id="204" w:name="_Toc457772553"/>
      <w:bookmarkStart w:id="205" w:name="_Toc35804153"/>
      <w:bookmarkStart w:id="206" w:name="_Toc35804647"/>
      <w:bookmarkStart w:id="207" w:name="_Toc35812691"/>
      <w:r w:rsidRPr="00503F5B">
        <w:t>9.3 Methodology behind fee calculation and basis for cost recovery</w:t>
      </w:r>
      <w:bookmarkEnd w:id="204"/>
      <w:bookmarkEnd w:id="205"/>
      <w:bookmarkEnd w:id="206"/>
      <w:bookmarkEnd w:id="207"/>
    </w:p>
    <w:p w14:paraId="31EF8B16" w14:textId="6BF33FB7" w:rsidR="00886331" w:rsidRPr="00503F5B" w:rsidRDefault="00886331" w:rsidP="00886331">
      <w:pPr>
        <w:widowControl w:val="0"/>
        <w:autoSpaceDE w:val="0"/>
        <w:autoSpaceDN w:val="0"/>
        <w:adjustRightInd w:val="0"/>
        <w:jc w:val="both"/>
        <w:rPr>
          <w:rFonts w:cs="Calibri"/>
          <w:color w:val="auto"/>
        </w:rPr>
      </w:pPr>
      <w:r w:rsidRPr="00503F5B">
        <w:rPr>
          <w:rFonts w:cs="Calibri"/>
          <w:color w:val="auto"/>
        </w:rPr>
        <w:t>The costing methodology behind the emergency attendance fee calculation under proposed regulation 1</w:t>
      </w:r>
      <w:r w:rsidR="00726A19">
        <w:rPr>
          <w:rFonts w:cs="Calibri"/>
          <w:color w:val="auto"/>
        </w:rPr>
        <w:t>7</w:t>
      </w:r>
      <w:r w:rsidRPr="00503F5B">
        <w:rPr>
          <w:rFonts w:cs="Calibri"/>
          <w:color w:val="auto"/>
        </w:rPr>
        <w:t>, involved identifying the portion of total MFB costs</w:t>
      </w:r>
      <w:r w:rsidR="00B473B8" w:rsidRPr="00503F5B">
        <w:rPr>
          <w:rFonts w:cs="Calibri"/>
          <w:color w:val="auto"/>
        </w:rPr>
        <w:t xml:space="preserve"> and CFA integrated station </w:t>
      </w:r>
      <w:r w:rsidR="00B473B8" w:rsidRPr="00503F5B">
        <w:rPr>
          <w:rFonts w:cs="Calibri"/>
          <w:color w:val="auto"/>
        </w:rPr>
        <w:lastRenderedPageBreak/>
        <w:t>costs</w:t>
      </w:r>
      <w:r w:rsidRPr="00503F5B">
        <w:rPr>
          <w:rFonts w:cs="Calibri"/>
          <w:color w:val="auto"/>
        </w:rPr>
        <w:t xml:space="preserve"> incurred as a result of having </w:t>
      </w:r>
      <w:proofErr w:type="gramStart"/>
      <w:r w:rsidRPr="00503F5B">
        <w:rPr>
          <w:rFonts w:cs="Calibri"/>
          <w:color w:val="auto"/>
        </w:rPr>
        <w:t>sufficient</w:t>
      </w:r>
      <w:proofErr w:type="gramEnd"/>
      <w:r w:rsidRPr="00503F5B">
        <w:rPr>
          <w:rFonts w:cs="Calibri"/>
          <w:color w:val="auto"/>
        </w:rPr>
        <w:t xml:space="preserve"> appliances and crews on standby in order to respond to false alarms. MFB's costs </w:t>
      </w:r>
      <w:r w:rsidR="00B473B8" w:rsidRPr="00503F5B">
        <w:rPr>
          <w:rFonts w:cs="Calibri"/>
          <w:color w:val="auto"/>
        </w:rPr>
        <w:t xml:space="preserve">and CFA’s integrated station costs </w:t>
      </w:r>
      <w:r w:rsidRPr="00503F5B">
        <w:rPr>
          <w:rFonts w:cs="Calibri"/>
          <w:color w:val="auto"/>
        </w:rPr>
        <w:t xml:space="preserve">were calculated on a “per appliance” and “station to station” basis and involved estimating the total variable direct and indirect costs of total MFB </w:t>
      </w:r>
      <w:r w:rsidR="00B473B8" w:rsidRPr="00503F5B">
        <w:rPr>
          <w:rFonts w:cs="Calibri"/>
          <w:color w:val="auto"/>
        </w:rPr>
        <w:t xml:space="preserve">and CFA integrated station </w:t>
      </w:r>
      <w:r w:rsidRPr="00503F5B">
        <w:rPr>
          <w:rFonts w:cs="Calibri"/>
          <w:color w:val="auto"/>
        </w:rPr>
        <w:t>emergency attendances and attributing variable costs to false alarms on a pro rata basis (</w:t>
      </w:r>
      <w:r w:rsidR="006E7749" w:rsidRPr="00503F5B">
        <w:rPr>
          <w:rFonts w:cs="Calibri"/>
          <w:color w:val="auto"/>
        </w:rPr>
        <w:t>percentage</w:t>
      </w:r>
      <w:r w:rsidRPr="00503F5B">
        <w:rPr>
          <w:rFonts w:cs="Calibri"/>
          <w:color w:val="auto"/>
        </w:rPr>
        <w:t xml:space="preserve"> of appliance time spent on false alarms).  Finally, the cost per false alarm was then estimated by taking dividing the total dollar estimate of additional capacity required by false alarms by the total time spent false alarms</w:t>
      </w:r>
      <w:r w:rsidR="00B473B8" w:rsidRPr="00503F5B">
        <w:rPr>
          <w:rFonts w:cs="Calibri"/>
          <w:color w:val="auto"/>
        </w:rPr>
        <w:t xml:space="preserve"> and ‘weighting’ of MFB and CFA integrated station activities based on the proportion of 10-year transactions projected (2020-21 to 2029-30).  </w:t>
      </w:r>
      <w:r w:rsidRPr="00503F5B">
        <w:t>For a detailed discussion of this methodology see Appendix 1.</w:t>
      </w:r>
    </w:p>
    <w:p w14:paraId="11460AC4" w14:textId="3D0B715E" w:rsidR="001D51D6" w:rsidRPr="00503F5B" w:rsidRDefault="001D51D6" w:rsidP="0080683B">
      <w:pPr>
        <w:pStyle w:val="Heading1"/>
      </w:pPr>
      <w:bookmarkStart w:id="208" w:name="_Toc35804154"/>
      <w:bookmarkStart w:id="209" w:name="_Toc35804648"/>
      <w:bookmarkStart w:id="210" w:name="_Toc35812692"/>
      <w:bookmarkStart w:id="211" w:name="_Hlk38560161"/>
      <w:r w:rsidRPr="00503F5B">
        <w:t>Section 10: Implementation plan for the preferred option</w:t>
      </w:r>
      <w:bookmarkEnd w:id="198"/>
      <w:bookmarkEnd w:id="208"/>
      <w:bookmarkEnd w:id="209"/>
      <w:bookmarkEnd w:id="210"/>
    </w:p>
    <w:p w14:paraId="6CC45161" w14:textId="4B1939DB" w:rsidR="00B473B8" w:rsidRPr="00503F5B" w:rsidRDefault="00B473B8" w:rsidP="00B473B8">
      <w:pPr>
        <w:autoSpaceDE w:val="0"/>
        <w:autoSpaceDN w:val="0"/>
        <w:adjustRightInd w:val="0"/>
        <w:jc w:val="both"/>
      </w:pPr>
      <w:bookmarkStart w:id="212" w:name="_Toc457772555"/>
      <w:r w:rsidRPr="00503F5B">
        <w:t xml:space="preserve">As the proposed regulations are substantially the same as the current regulations, an implementation plan is provided only in relation to the proposed fee changes. </w:t>
      </w:r>
    </w:p>
    <w:p w14:paraId="4272EDC0" w14:textId="77777777" w:rsidR="00B473B8" w:rsidRPr="00503F5B" w:rsidRDefault="00B473B8" w:rsidP="00B473B8">
      <w:pPr>
        <w:autoSpaceDE w:val="0"/>
        <w:autoSpaceDN w:val="0"/>
        <w:adjustRightInd w:val="0"/>
        <w:jc w:val="both"/>
      </w:pPr>
    </w:p>
    <w:p w14:paraId="4E17ADCC" w14:textId="4CB5989F" w:rsidR="00B473B8" w:rsidRPr="00503F5B" w:rsidRDefault="00D23B9E" w:rsidP="00B473B8">
      <w:pPr>
        <w:autoSpaceDE w:val="0"/>
        <w:autoSpaceDN w:val="0"/>
        <w:adjustRightInd w:val="0"/>
        <w:jc w:val="both"/>
      </w:pPr>
      <w:r w:rsidRPr="00503F5B">
        <w:t>FRV</w:t>
      </w:r>
      <w:r w:rsidR="00B473B8" w:rsidRPr="00503F5B">
        <w:t xml:space="preserve"> will communicate all the fee changes on its website, which is accessible to the public. In relation to fees for responding to false alarms, FRV will attach the new fee structure to each warning and on the first occasion it corresponds with a person charged under the new fee structure. </w:t>
      </w:r>
    </w:p>
    <w:p w14:paraId="7D735D26" w14:textId="77777777" w:rsidR="00B473B8" w:rsidRPr="00503F5B" w:rsidRDefault="00B473B8" w:rsidP="00B473B8">
      <w:pPr>
        <w:autoSpaceDE w:val="0"/>
        <w:autoSpaceDN w:val="0"/>
        <w:adjustRightInd w:val="0"/>
        <w:jc w:val="both"/>
      </w:pPr>
    </w:p>
    <w:p w14:paraId="4DC9662D" w14:textId="056AD0AE" w:rsidR="00B473B8" w:rsidRPr="00503F5B" w:rsidRDefault="00B473B8" w:rsidP="00B473B8">
      <w:pPr>
        <w:jc w:val="both"/>
      </w:pPr>
      <w:r w:rsidRPr="00503F5B">
        <w:t>In relation to Building Compliance Audit (‘BCA’) fee changes, FRV will attach a notification about the new fee increase to each invoice sent. FRV will also send a letter to the current BCA customer database, informing of the new fee changes, when they come into effect.</w:t>
      </w:r>
    </w:p>
    <w:p w14:paraId="6DD45F27" w14:textId="35E7C4C7" w:rsidR="00B473B8" w:rsidRPr="00503F5B" w:rsidRDefault="00B473B8" w:rsidP="00B473B8">
      <w:pPr>
        <w:jc w:val="both"/>
      </w:pPr>
    </w:p>
    <w:p w14:paraId="074B03F7" w14:textId="0BF63B8F" w:rsidR="00EF4247" w:rsidRPr="00503F5B" w:rsidRDefault="00EF4247" w:rsidP="00B473B8">
      <w:pPr>
        <w:jc w:val="both"/>
      </w:pPr>
      <w:r w:rsidRPr="00503F5B">
        <w:t>For the remaining non-BCA functions, FRV will raise public awareness of the charges by including an update on its website, and advising the recipient of the fees and charges associated with inspection, advice and testing as those services are requested. The implementation of the charge will also require FRV to develop forms, processes for providing cost estimates and processes for charging the recipient of the services.</w:t>
      </w:r>
    </w:p>
    <w:p w14:paraId="750DB6C6" w14:textId="77777777" w:rsidR="001D51D6" w:rsidRPr="00503F5B" w:rsidRDefault="001D51D6" w:rsidP="0080683B">
      <w:pPr>
        <w:pStyle w:val="Heading1"/>
      </w:pPr>
      <w:bookmarkStart w:id="213" w:name="_Toc35804155"/>
      <w:bookmarkStart w:id="214" w:name="_Toc35804649"/>
      <w:bookmarkStart w:id="215" w:name="_Toc35812693"/>
      <w:bookmarkEnd w:id="211"/>
      <w:r w:rsidRPr="00503F5B">
        <w:t>Section 11: Evaluation strategy</w:t>
      </w:r>
      <w:bookmarkEnd w:id="212"/>
      <w:bookmarkEnd w:id="213"/>
      <w:bookmarkEnd w:id="214"/>
      <w:bookmarkEnd w:id="215"/>
    </w:p>
    <w:p w14:paraId="26E7E63E" w14:textId="7DC21495" w:rsidR="00B473B8" w:rsidRPr="00503F5B" w:rsidRDefault="00B473B8" w:rsidP="00B473B8">
      <w:pPr>
        <w:jc w:val="both"/>
      </w:pPr>
      <w:bookmarkStart w:id="216" w:name="_Toc457772556"/>
      <w:r w:rsidRPr="00503F5B">
        <w:t>In order to enhance the efficiency and effectiveness of the regulations in meeting the specified objectives and to ensure that there is robust evidence base for future decision-making, the proposed evaluation strategy</w:t>
      </w:r>
      <w:r w:rsidR="0033661C" w:rsidRPr="00503F5B">
        <w:t xml:space="preserve"> </w:t>
      </w:r>
      <w:r w:rsidRPr="00503F5B">
        <w:t>will:</w:t>
      </w:r>
    </w:p>
    <w:p w14:paraId="2978A421" w14:textId="21BAD544" w:rsidR="00B473B8" w:rsidRPr="00503F5B" w:rsidRDefault="00B473B8" w:rsidP="00B473B8">
      <w:pPr>
        <w:jc w:val="both"/>
      </w:pPr>
    </w:p>
    <w:p w14:paraId="143D4408" w14:textId="32E33132" w:rsidR="00B473B8" w:rsidRPr="00503F5B" w:rsidRDefault="00B473B8" w:rsidP="00101EC8">
      <w:pPr>
        <w:pStyle w:val="ListParagraph"/>
        <w:numPr>
          <w:ilvl w:val="0"/>
          <w:numId w:val="34"/>
        </w:numPr>
      </w:pPr>
      <w:r w:rsidRPr="00503F5B">
        <w:t>Review the cost base;</w:t>
      </w:r>
    </w:p>
    <w:p w14:paraId="50E3242E" w14:textId="77777777" w:rsidR="00B473B8" w:rsidRPr="00503F5B" w:rsidRDefault="00B473B8" w:rsidP="00B473B8">
      <w:pPr>
        <w:pStyle w:val="ListParagraph"/>
      </w:pPr>
    </w:p>
    <w:p w14:paraId="0D67A9AC" w14:textId="77777777" w:rsidR="00B473B8" w:rsidRPr="00503F5B" w:rsidRDefault="00B473B8" w:rsidP="00101EC8">
      <w:pPr>
        <w:pStyle w:val="ListParagraph"/>
        <w:numPr>
          <w:ilvl w:val="0"/>
          <w:numId w:val="34"/>
        </w:numPr>
      </w:pPr>
      <w:r w:rsidRPr="00503F5B">
        <w:t>Collect and analyse data on:</w:t>
      </w:r>
    </w:p>
    <w:p w14:paraId="5CE4D8E4" w14:textId="77777777" w:rsidR="00B473B8" w:rsidRPr="00503F5B" w:rsidRDefault="00B473B8" w:rsidP="00101EC8">
      <w:pPr>
        <w:pStyle w:val="ListParagraph"/>
        <w:numPr>
          <w:ilvl w:val="1"/>
          <w:numId w:val="34"/>
        </w:numPr>
      </w:pPr>
      <w:r w:rsidRPr="00503F5B">
        <w:t>time taken to attend emergencies;</w:t>
      </w:r>
    </w:p>
    <w:p w14:paraId="52617F83" w14:textId="77777777" w:rsidR="00B473B8" w:rsidRPr="00503F5B" w:rsidRDefault="00B473B8" w:rsidP="00101EC8">
      <w:pPr>
        <w:pStyle w:val="ListParagraph"/>
        <w:numPr>
          <w:ilvl w:val="1"/>
          <w:numId w:val="34"/>
        </w:numPr>
      </w:pPr>
      <w:r w:rsidRPr="00503F5B">
        <w:t xml:space="preserve">the average incidence of false alarms per alarm signalling equipment; </w:t>
      </w:r>
    </w:p>
    <w:p w14:paraId="0165B8E2" w14:textId="77777777" w:rsidR="00B473B8" w:rsidRPr="00503F5B" w:rsidRDefault="00B473B8" w:rsidP="00101EC8">
      <w:pPr>
        <w:pStyle w:val="ListParagraph"/>
        <w:numPr>
          <w:ilvl w:val="1"/>
          <w:numId w:val="34"/>
        </w:numPr>
      </w:pPr>
      <w:r w:rsidRPr="00503F5B">
        <w:t>causes of different false alarms;</w:t>
      </w:r>
    </w:p>
    <w:p w14:paraId="367265FB" w14:textId="199C8AD9" w:rsidR="00B473B8" w:rsidRPr="00503F5B" w:rsidRDefault="00B473B8" w:rsidP="00101EC8">
      <w:pPr>
        <w:pStyle w:val="ListParagraph"/>
        <w:numPr>
          <w:ilvl w:val="1"/>
          <w:numId w:val="34"/>
        </w:numPr>
      </w:pPr>
      <w:r w:rsidRPr="00503F5B">
        <w:t>the number of repeat offences where owners are failing to maintain their systems properly;</w:t>
      </w:r>
    </w:p>
    <w:p w14:paraId="5DBF2AA5" w14:textId="54EE76B2" w:rsidR="00B473B8" w:rsidRPr="00503F5B" w:rsidRDefault="00B473B8" w:rsidP="00101EC8">
      <w:pPr>
        <w:pStyle w:val="ListParagraph"/>
        <w:numPr>
          <w:ilvl w:val="1"/>
          <w:numId w:val="34"/>
        </w:numPr>
      </w:pPr>
      <w:r w:rsidRPr="00503F5B">
        <w:t>fee revenue recovered;</w:t>
      </w:r>
      <w:r w:rsidR="00AA0F0E" w:rsidRPr="00503F5B">
        <w:t xml:space="preserve"> and</w:t>
      </w:r>
    </w:p>
    <w:p w14:paraId="26EB7D9F" w14:textId="5D7895E5" w:rsidR="00AA0F0E" w:rsidRPr="00503F5B" w:rsidRDefault="00AA0F0E" w:rsidP="00101EC8">
      <w:pPr>
        <w:pStyle w:val="ListParagraph"/>
        <w:numPr>
          <w:ilvl w:val="1"/>
          <w:numId w:val="34"/>
        </w:numPr>
      </w:pPr>
      <w:r w:rsidRPr="00503F5B">
        <w:t>premises type and size.</w:t>
      </w:r>
    </w:p>
    <w:p w14:paraId="1AFAC741" w14:textId="77777777" w:rsidR="00B473B8" w:rsidRPr="00503F5B" w:rsidRDefault="00B473B8" w:rsidP="00B473B8">
      <w:pPr>
        <w:pStyle w:val="ListParagraph"/>
        <w:ind w:left="1440"/>
      </w:pPr>
    </w:p>
    <w:p w14:paraId="09D3E6CB" w14:textId="34EFCA75" w:rsidR="00B473B8" w:rsidRPr="00503F5B" w:rsidRDefault="00B473B8" w:rsidP="00101EC8">
      <w:pPr>
        <w:pStyle w:val="ListParagraph"/>
        <w:numPr>
          <w:ilvl w:val="0"/>
          <w:numId w:val="34"/>
        </w:numPr>
        <w:jc w:val="both"/>
      </w:pPr>
      <w:r w:rsidRPr="00503F5B">
        <w:lastRenderedPageBreak/>
        <w:t>Gather data on offenders and where possible, audit information regarding rewiring and tampering with FIPs and the collation of qualitative information from fire incident investigations involving circumvention behaviour (including for example time to evacuate).  This could involve further statistical analysis of circumventions due to either rewiring or tampering with FIPs and levels of effective attendance fees.</w:t>
      </w:r>
    </w:p>
    <w:p w14:paraId="6E36CADC" w14:textId="77777777" w:rsidR="00B473B8" w:rsidRPr="00503F5B" w:rsidRDefault="00B473B8" w:rsidP="00B473B8">
      <w:pPr>
        <w:pStyle w:val="ListParagraph"/>
        <w:jc w:val="both"/>
      </w:pPr>
    </w:p>
    <w:p w14:paraId="2149ADF9" w14:textId="7BF71452" w:rsidR="00B473B8" w:rsidRPr="00503F5B" w:rsidRDefault="00B473B8" w:rsidP="00101EC8">
      <w:pPr>
        <w:pStyle w:val="ListParagraph"/>
        <w:numPr>
          <w:ilvl w:val="0"/>
          <w:numId w:val="34"/>
        </w:numPr>
        <w:jc w:val="both"/>
      </w:pPr>
      <w:r w:rsidRPr="00503F5B">
        <w:t xml:space="preserve">Monitor the relationship between the number of VCAT challenges and the ‘effective attendance fee’ (i.e. the actual total amount invoiced as opposed the 15-minute rate per appliance) – through statistical methods. </w:t>
      </w:r>
      <w:r w:rsidR="006008DA" w:rsidRPr="00503F5B">
        <w:t xml:space="preserve">The number of unmeritorious VCAT challenges could be monitored by collecting time series data on the number of successful vs unsuccessful challenges. </w:t>
      </w:r>
      <w:r w:rsidRPr="00503F5B">
        <w:t xml:space="preserve">This will help EMV and FRV to better understand the behaviour of owners in relation to challenges in the face of </w:t>
      </w:r>
      <w:proofErr w:type="gramStart"/>
      <w:r w:rsidRPr="00503F5B">
        <w:t>particular effective</w:t>
      </w:r>
      <w:proofErr w:type="gramEnd"/>
      <w:r w:rsidRPr="00503F5B">
        <w:t xml:space="preserve"> prices (i.e. tipping points).</w:t>
      </w:r>
    </w:p>
    <w:p w14:paraId="72E36455" w14:textId="77777777" w:rsidR="004B45D5" w:rsidRPr="00503F5B" w:rsidRDefault="004B45D5" w:rsidP="009917B8">
      <w:pPr>
        <w:pStyle w:val="ListParagraph"/>
        <w:jc w:val="both"/>
      </w:pPr>
    </w:p>
    <w:p w14:paraId="04CC60E4" w14:textId="4761888B" w:rsidR="004B45D5" w:rsidRPr="00503F5B" w:rsidRDefault="004B45D5" w:rsidP="00101EC8">
      <w:pPr>
        <w:pStyle w:val="ListParagraph"/>
        <w:numPr>
          <w:ilvl w:val="0"/>
          <w:numId w:val="34"/>
        </w:numPr>
        <w:jc w:val="both"/>
      </w:pPr>
      <w:r w:rsidRPr="00503F5B">
        <w:t>Gather data on the sensitivity of careless behaviour in relation to false reports, vessels, hazardous and toxic materials and any special circumstances (noting this last area to be a catch all).</w:t>
      </w:r>
    </w:p>
    <w:p w14:paraId="0CA1EFB9" w14:textId="77777777" w:rsidR="004B45D5" w:rsidRPr="00503F5B" w:rsidRDefault="004B45D5" w:rsidP="009917B8">
      <w:pPr>
        <w:jc w:val="both"/>
      </w:pPr>
    </w:p>
    <w:p w14:paraId="06D7C68A" w14:textId="77777777" w:rsidR="00B473B8" w:rsidRPr="00503F5B" w:rsidRDefault="00B473B8" w:rsidP="00B473B8">
      <w:pPr>
        <w:jc w:val="both"/>
      </w:pPr>
      <w:r w:rsidRPr="00503F5B">
        <w:t>Given the substantial cross-subsidisation of alarm owners by the taxpaying community and the fact that the proposed regulation is of high impact, consideration will be given to an appropriate level of primary research that might be undertaken to better understand the relationship between false alarm charges and circumvention and challenge behaviours.</w:t>
      </w:r>
    </w:p>
    <w:p w14:paraId="1EE847BE" w14:textId="77777777" w:rsidR="00B473B8" w:rsidRPr="00503F5B" w:rsidRDefault="00B473B8" w:rsidP="00B473B8">
      <w:pPr>
        <w:jc w:val="both"/>
      </w:pPr>
    </w:p>
    <w:p w14:paraId="501512EC" w14:textId="25875DE8" w:rsidR="00B473B8" w:rsidRPr="00503F5B" w:rsidRDefault="00B473B8" w:rsidP="00B473B8">
      <w:pPr>
        <w:jc w:val="both"/>
      </w:pPr>
      <w:r w:rsidRPr="00726A19">
        <w:t>Given the scale of the costs of activities undertaken in response to false alarms and the revenue raised from the fees charged for those activities, the Department</w:t>
      </w:r>
      <w:r w:rsidR="00B36EEE" w:rsidRPr="00726A19">
        <w:t xml:space="preserve"> of Justice and Community Safety</w:t>
      </w:r>
      <w:r w:rsidRPr="00726A19">
        <w:t xml:space="preserve"> will foreshadow a more detailed strategy before commencing this evaluation, and will conclude the evaluation within 3 to 5 years of implementation</w:t>
      </w:r>
      <w:r w:rsidR="0033661C" w:rsidRPr="00726A19">
        <w:t>.</w:t>
      </w:r>
    </w:p>
    <w:p w14:paraId="1FF18F77" w14:textId="77777777" w:rsidR="001D51D6" w:rsidRPr="00503F5B" w:rsidRDefault="001D51D6" w:rsidP="0080683B">
      <w:pPr>
        <w:pStyle w:val="Heading1"/>
      </w:pPr>
      <w:bookmarkStart w:id="217" w:name="_Toc35804156"/>
      <w:bookmarkStart w:id="218" w:name="_Toc35804650"/>
      <w:bookmarkStart w:id="219" w:name="_Toc35812694"/>
      <w:r w:rsidRPr="00503F5B">
        <w:t>Section 12: Consultation undertaken</w:t>
      </w:r>
      <w:bookmarkEnd w:id="216"/>
      <w:bookmarkEnd w:id="217"/>
      <w:bookmarkEnd w:id="218"/>
      <w:bookmarkEnd w:id="219"/>
    </w:p>
    <w:p w14:paraId="2348435C" w14:textId="1847CE40" w:rsidR="00B473B8" w:rsidRPr="00503F5B" w:rsidRDefault="00B473B8" w:rsidP="00B473B8">
      <w:pPr>
        <w:autoSpaceDE w:val="0"/>
        <w:autoSpaceDN w:val="0"/>
        <w:adjustRightInd w:val="0"/>
        <w:jc w:val="both"/>
        <w:rPr>
          <w:rFonts w:eastAsia="Times New Roman" w:cs="Courier New"/>
          <w:lang w:eastAsia="en-AU"/>
        </w:rPr>
      </w:pPr>
      <w:bookmarkStart w:id="220" w:name="_Toc457772557"/>
      <w:r w:rsidRPr="00503F5B">
        <w:rPr>
          <w:rFonts w:eastAsia="Times New Roman" w:cs="Courier New"/>
          <w:lang w:eastAsia="en-AU"/>
        </w:rPr>
        <w:t xml:space="preserve">Specific consultation with stakeholder groups has been limited </w:t>
      </w:r>
      <w:proofErr w:type="gramStart"/>
      <w:r w:rsidRPr="00503F5B">
        <w:rPr>
          <w:rFonts w:eastAsia="Times New Roman" w:cs="Courier New"/>
          <w:lang w:eastAsia="en-AU"/>
        </w:rPr>
        <w:t>during the course of</w:t>
      </w:r>
      <w:proofErr w:type="gramEnd"/>
      <w:r w:rsidRPr="00503F5B">
        <w:rPr>
          <w:rFonts w:eastAsia="Times New Roman" w:cs="Courier New"/>
          <w:lang w:eastAsia="en-AU"/>
        </w:rPr>
        <w:t xml:space="preserve"> the development of the proposed regulations. </w:t>
      </w:r>
      <w:r w:rsidR="00EB6F5C" w:rsidRPr="00503F5B">
        <w:rPr>
          <w:rFonts w:eastAsia="Times New Roman" w:cs="Courier New"/>
          <w:lang w:eastAsia="en-AU"/>
        </w:rPr>
        <w:t xml:space="preserve"> However, </w:t>
      </w:r>
      <w:r w:rsidRPr="00503F5B">
        <w:rPr>
          <w:rFonts w:eastAsia="Times New Roman" w:cs="Courier New"/>
          <w:lang w:eastAsia="en-AU"/>
        </w:rPr>
        <w:t>MFB</w:t>
      </w:r>
      <w:r w:rsidR="00EB6F5C" w:rsidRPr="00503F5B">
        <w:rPr>
          <w:rFonts w:eastAsia="Times New Roman" w:cs="Courier New"/>
          <w:lang w:eastAsia="en-AU"/>
        </w:rPr>
        <w:t xml:space="preserve"> and CFA</w:t>
      </w:r>
      <w:r w:rsidRPr="00503F5B">
        <w:rPr>
          <w:rFonts w:eastAsia="Times New Roman" w:cs="Courier New"/>
          <w:lang w:eastAsia="en-AU"/>
        </w:rPr>
        <w:t xml:space="preserve"> management and the administrative staff were consulted extensively during the development of this document, particularly in relation to requests for data and information and testing of assumptions that rely on that data and information.</w:t>
      </w:r>
    </w:p>
    <w:p w14:paraId="264CD792" w14:textId="77777777" w:rsidR="00B473B8" w:rsidRPr="00503F5B" w:rsidRDefault="00B473B8" w:rsidP="00B473B8">
      <w:pPr>
        <w:autoSpaceDE w:val="0"/>
        <w:autoSpaceDN w:val="0"/>
        <w:adjustRightInd w:val="0"/>
        <w:jc w:val="both"/>
        <w:rPr>
          <w:rFonts w:eastAsia="Times New Roman" w:cs="Courier New"/>
          <w:lang w:eastAsia="en-AU"/>
        </w:rPr>
      </w:pPr>
    </w:p>
    <w:p w14:paraId="6CF6C9E3" w14:textId="3026D99A" w:rsidR="00B473B8" w:rsidRPr="00503F5B" w:rsidRDefault="00B473B8" w:rsidP="00B473B8">
      <w:pPr>
        <w:autoSpaceDE w:val="0"/>
        <w:autoSpaceDN w:val="0"/>
        <w:adjustRightInd w:val="0"/>
        <w:jc w:val="both"/>
        <w:rPr>
          <w:rFonts w:eastAsia="Times New Roman" w:cs="Courier New"/>
          <w:lang w:eastAsia="en-AU"/>
        </w:rPr>
      </w:pPr>
      <w:r w:rsidRPr="00503F5B">
        <w:rPr>
          <w:rFonts w:eastAsia="Times New Roman" w:cs="Courier New"/>
          <w:lang w:eastAsia="en-AU"/>
        </w:rPr>
        <w:t xml:space="preserve">Given the above, the release of this RIS for public comment will constitute the main mechanism for stakeholder consultation in the context of the remaking of the regulations. The RIS will be available and public comment will be </w:t>
      </w:r>
      <w:r w:rsidRPr="00503F5B">
        <w:rPr>
          <w:rFonts w:eastAsia="Times New Roman" w:cs="Courier New"/>
          <w:color w:val="auto"/>
          <w:lang w:eastAsia="en-AU"/>
        </w:rPr>
        <w:t>received for a period of</w:t>
      </w:r>
      <w:r w:rsidR="00C51100" w:rsidRPr="00503F5B">
        <w:rPr>
          <w:rFonts w:eastAsia="Times New Roman" w:cs="Courier New"/>
          <w:color w:val="auto"/>
          <w:lang w:eastAsia="en-AU"/>
        </w:rPr>
        <w:t xml:space="preserve"> 28</w:t>
      </w:r>
      <w:r w:rsidRPr="00503F5B">
        <w:rPr>
          <w:rFonts w:eastAsia="Times New Roman" w:cs="Courier New"/>
          <w:color w:val="auto"/>
          <w:lang w:eastAsia="en-AU"/>
        </w:rPr>
        <w:t xml:space="preserve"> days. </w:t>
      </w:r>
      <w:r w:rsidRPr="00503F5B">
        <w:rPr>
          <w:rFonts w:eastAsia="Times New Roman" w:cs="Courier New"/>
          <w:lang w:eastAsia="en-AU"/>
        </w:rPr>
        <w:t>The lack of consultation on the regulations reflects, in part, the fact that the proposed regulations will largely remake the existing regulations without amendment, together with the fact that amending regulations were passed as recently as 201</w:t>
      </w:r>
      <w:r w:rsidR="00EB6F5C" w:rsidRPr="00503F5B">
        <w:rPr>
          <w:rFonts w:eastAsia="Times New Roman" w:cs="Courier New"/>
          <w:lang w:eastAsia="en-AU"/>
        </w:rPr>
        <w:t>4</w:t>
      </w:r>
      <w:r w:rsidRPr="00503F5B">
        <w:rPr>
          <w:rFonts w:eastAsia="Times New Roman" w:cs="Courier New"/>
          <w:lang w:eastAsia="en-AU"/>
        </w:rPr>
        <w:t xml:space="preserve">. </w:t>
      </w:r>
      <w:r w:rsidR="00EB6F5C" w:rsidRPr="00503F5B">
        <w:rPr>
          <w:rFonts w:eastAsia="Times New Roman" w:cs="Courier New"/>
          <w:lang w:eastAsia="en-AU"/>
        </w:rPr>
        <w:t>EMV</w:t>
      </w:r>
      <w:r w:rsidRPr="00503F5B">
        <w:rPr>
          <w:rFonts w:eastAsia="Times New Roman" w:cs="Courier New"/>
          <w:lang w:eastAsia="en-AU"/>
        </w:rPr>
        <w:t xml:space="preserve"> and </w:t>
      </w:r>
      <w:r w:rsidR="00595DFB" w:rsidRPr="00503F5B">
        <w:rPr>
          <w:rFonts w:eastAsia="Times New Roman" w:cs="Courier New"/>
          <w:lang w:eastAsia="en-AU"/>
        </w:rPr>
        <w:t>MFB</w:t>
      </w:r>
      <w:r w:rsidRPr="00503F5B">
        <w:rPr>
          <w:rFonts w:eastAsia="Times New Roman" w:cs="Courier New"/>
          <w:lang w:eastAsia="en-AU"/>
        </w:rPr>
        <w:t xml:space="preserve"> believe that stakeholders are generally supportive of the existing regulations and will therefore support their remaking with limited amendments.</w:t>
      </w:r>
    </w:p>
    <w:p w14:paraId="1C660BEA" w14:textId="77777777" w:rsidR="001D51D6" w:rsidRPr="00503F5B" w:rsidRDefault="001D51D6" w:rsidP="001D51D6">
      <w:pPr>
        <w:rPr>
          <w:i/>
          <w:sz w:val="20"/>
          <w:szCs w:val="20"/>
          <w:highlight w:val="yellow"/>
        </w:rPr>
      </w:pPr>
      <w:bookmarkStart w:id="221" w:name="_Toc457772558"/>
      <w:bookmarkEnd w:id="220"/>
    </w:p>
    <w:p w14:paraId="072BBD03" w14:textId="77777777" w:rsidR="004D5753" w:rsidRPr="00503F5B" w:rsidRDefault="004D5753" w:rsidP="00517C6D">
      <w:pPr>
        <w:rPr>
          <w:highlight w:val="yellow"/>
        </w:rPr>
      </w:pPr>
      <w:r w:rsidRPr="00503F5B">
        <w:rPr>
          <w:highlight w:val="yellow"/>
        </w:rPr>
        <w:br w:type="page"/>
      </w:r>
    </w:p>
    <w:p w14:paraId="697061FC" w14:textId="77777777" w:rsidR="001D51D6" w:rsidRPr="00503F5B" w:rsidRDefault="001D51D6" w:rsidP="0080683B">
      <w:pPr>
        <w:pStyle w:val="Heading1"/>
      </w:pPr>
      <w:bookmarkStart w:id="222" w:name="_Toc35804157"/>
      <w:bookmarkStart w:id="223" w:name="_Toc35804651"/>
      <w:bookmarkStart w:id="224" w:name="_Toc35812695"/>
      <w:r w:rsidRPr="00503F5B">
        <w:lastRenderedPageBreak/>
        <w:t>Bibliography of references</w:t>
      </w:r>
      <w:bookmarkEnd w:id="221"/>
      <w:bookmarkEnd w:id="222"/>
      <w:bookmarkEnd w:id="223"/>
      <w:bookmarkEnd w:id="224"/>
    </w:p>
    <w:p w14:paraId="176BEED8" w14:textId="3FB277D2" w:rsidR="001D51D6" w:rsidRPr="00503F5B" w:rsidRDefault="001D51D6" w:rsidP="001D51D6">
      <w:pPr>
        <w:rPr>
          <w:sz w:val="20"/>
          <w:szCs w:val="20"/>
        </w:rPr>
      </w:pPr>
      <w:r w:rsidRPr="00503F5B">
        <w:rPr>
          <w:sz w:val="20"/>
          <w:szCs w:val="20"/>
        </w:rPr>
        <w:t>ABS, Consumer Price Index, cat. no 6401.0</w:t>
      </w:r>
      <w:r w:rsidR="005A1BE8" w:rsidRPr="00503F5B">
        <w:rPr>
          <w:sz w:val="20"/>
          <w:szCs w:val="20"/>
        </w:rPr>
        <w:t>, December 2019</w:t>
      </w:r>
    </w:p>
    <w:p w14:paraId="7DC79B7D" w14:textId="77777777" w:rsidR="005A1BE8" w:rsidRPr="00503F5B" w:rsidRDefault="005A1BE8" w:rsidP="001D51D6">
      <w:pPr>
        <w:rPr>
          <w:sz w:val="20"/>
          <w:szCs w:val="20"/>
        </w:rPr>
      </w:pPr>
    </w:p>
    <w:p w14:paraId="1F9B9D60" w14:textId="0CC940B1" w:rsidR="005A1BE8" w:rsidRPr="00503F5B" w:rsidRDefault="005A1BE8" w:rsidP="001D51D6">
      <w:pPr>
        <w:rPr>
          <w:sz w:val="20"/>
          <w:szCs w:val="20"/>
        </w:rPr>
      </w:pPr>
      <w:r w:rsidRPr="00503F5B">
        <w:rPr>
          <w:sz w:val="20"/>
          <w:szCs w:val="20"/>
        </w:rPr>
        <w:t>ABS, Average Weekly Earnings, Australia, cat.no 6302.0, May 2019</w:t>
      </w:r>
    </w:p>
    <w:p w14:paraId="22B69655" w14:textId="77777777" w:rsidR="001D51D6" w:rsidRPr="00503F5B" w:rsidRDefault="001D51D6" w:rsidP="001D51D6">
      <w:pPr>
        <w:rPr>
          <w:sz w:val="20"/>
          <w:szCs w:val="20"/>
        </w:rPr>
      </w:pPr>
    </w:p>
    <w:p w14:paraId="51B207C1" w14:textId="77777777" w:rsidR="001D51D6" w:rsidRPr="00503F5B" w:rsidRDefault="001D51D6" w:rsidP="001D51D6">
      <w:pPr>
        <w:rPr>
          <w:sz w:val="20"/>
          <w:szCs w:val="20"/>
        </w:rPr>
      </w:pPr>
      <w:r w:rsidRPr="00503F5B">
        <w:rPr>
          <w:sz w:val="20"/>
          <w:szCs w:val="20"/>
        </w:rPr>
        <w:t>ABS, Regional Population Growth, Australia, 2014-15, Catalogue number 3218.0</w:t>
      </w:r>
    </w:p>
    <w:p w14:paraId="35E05EE4" w14:textId="77777777" w:rsidR="001D51D6" w:rsidRPr="00503F5B" w:rsidRDefault="001D51D6" w:rsidP="001D51D6">
      <w:pPr>
        <w:rPr>
          <w:sz w:val="20"/>
          <w:szCs w:val="20"/>
        </w:rPr>
      </w:pPr>
    </w:p>
    <w:p w14:paraId="7BA51A41" w14:textId="77777777" w:rsidR="001D51D6" w:rsidRPr="00503F5B" w:rsidRDefault="001D51D6" w:rsidP="001D51D6">
      <w:pPr>
        <w:rPr>
          <w:sz w:val="20"/>
          <w:szCs w:val="20"/>
        </w:rPr>
      </w:pPr>
      <w:r w:rsidRPr="00503F5B">
        <w:rPr>
          <w:sz w:val="20"/>
          <w:szCs w:val="20"/>
        </w:rPr>
        <w:t>ABS, Small Business in Australia, Catalogue 1321.0</w:t>
      </w:r>
    </w:p>
    <w:p w14:paraId="07ED301E" w14:textId="77777777" w:rsidR="001D51D6" w:rsidRPr="00503F5B" w:rsidRDefault="001D51D6" w:rsidP="001D51D6">
      <w:pPr>
        <w:rPr>
          <w:sz w:val="20"/>
          <w:szCs w:val="20"/>
        </w:rPr>
      </w:pPr>
    </w:p>
    <w:p w14:paraId="315BB628" w14:textId="77777777" w:rsidR="001D51D6" w:rsidRPr="00503F5B" w:rsidRDefault="001D51D6" w:rsidP="001D51D6">
      <w:pPr>
        <w:rPr>
          <w:sz w:val="20"/>
          <w:szCs w:val="20"/>
        </w:rPr>
      </w:pPr>
      <w:proofErr w:type="spellStart"/>
      <w:r w:rsidRPr="00503F5B">
        <w:rPr>
          <w:sz w:val="20"/>
          <w:szCs w:val="20"/>
        </w:rPr>
        <w:t>Ahn</w:t>
      </w:r>
      <w:proofErr w:type="spellEnd"/>
      <w:r w:rsidRPr="00503F5B">
        <w:rPr>
          <w:sz w:val="20"/>
          <w:szCs w:val="20"/>
        </w:rPr>
        <w:t xml:space="preserve">, C.S., and </w:t>
      </w:r>
      <w:proofErr w:type="spellStart"/>
      <w:r w:rsidRPr="00503F5B">
        <w:rPr>
          <w:sz w:val="20"/>
          <w:szCs w:val="20"/>
        </w:rPr>
        <w:t>Maitz</w:t>
      </w:r>
      <w:proofErr w:type="spellEnd"/>
      <w:r w:rsidRPr="00503F5B">
        <w:rPr>
          <w:sz w:val="20"/>
          <w:szCs w:val="20"/>
        </w:rPr>
        <w:t xml:space="preserve">, P.K.M, (November 2012), “The True Cost of Burn”, </w:t>
      </w:r>
      <w:r w:rsidRPr="00503F5B">
        <w:rPr>
          <w:i/>
          <w:sz w:val="20"/>
          <w:szCs w:val="20"/>
        </w:rPr>
        <w:t>Burns</w:t>
      </w:r>
      <w:r w:rsidRPr="00503F5B">
        <w:rPr>
          <w:sz w:val="20"/>
          <w:szCs w:val="20"/>
        </w:rPr>
        <w:t>, Volume 38, Issue 7, Pages 967–974</w:t>
      </w:r>
    </w:p>
    <w:p w14:paraId="2667EC68" w14:textId="77777777" w:rsidR="001D51D6" w:rsidRPr="00503F5B" w:rsidRDefault="001D51D6" w:rsidP="001D51D6">
      <w:pPr>
        <w:rPr>
          <w:sz w:val="20"/>
          <w:szCs w:val="20"/>
        </w:rPr>
      </w:pPr>
    </w:p>
    <w:p w14:paraId="7BE51D61" w14:textId="77777777" w:rsidR="001D51D6" w:rsidRPr="00503F5B" w:rsidRDefault="001D51D6" w:rsidP="001D51D6">
      <w:pPr>
        <w:rPr>
          <w:sz w:val="20"/>
          <w:szCs w:val="20"/>
        </w:rPr>
      </w:pPr>
      <w:r w:rsidRPr="00503F5B">
        <w:rPr>
          <w:sz w:val="20"/>
          <w:szCs w:val="20"/>
        </w:rPr>
        <w:t>Blackstone, E.A., Buck, A.J., and Hakim, S., November 2007, The Economics of Emergency Response</w:t>
      </w:r>
    </w:p>
    <w:p w14:paraId="1FA51D02" w14:textId="77777777" w:rsidR="001D51D6" w:rsidRPr="00503F5B" w:rsidRDefault="001D51D6" w:rsidP="001D51D6">
      <w:pPr>
        <w:rPr>
          <w:sz w:val="20"/>
          <w:szCs w:val="20"/>
        </w:rPr>
      </w:pPr>
    </w:p>
    <w:p w14:paraId="1C56987D" w14:textId="77777777" w:rsidR="001D51D6" w:rsidRPr="00503F5B" w:rsidRDefault="001D51D6" w:rsidP="001D51D6">
      <w:pPr>
        <w:rPr>
          <w:sz w:val="20"/>
          <w:szCs w:val="20"/>
        </w:rPr>
      </w:pPr>
      <w:r w:rsidRPr="00503F5B">
        <w:rPr>
          <w:sz w:val="20"/>
          <w:szCs w:val="20"/>
        </w:rPr>
        <w:t>Buck, A.J., Blackstone, E.A., and Hakim, S., January 7, 2004, Evaluation of Alternative Policies to Combat False Emergency Calls</w:t>
      </w:r>
    </w:p>
    <w:p w14:paraId="4124C72E" w14:textId="77777777" w:rsidR="001D51D6" w:rsidRPr="00503F5B" w:rsidRDefault="001D51D6" w:rsidP="001D51D6">
      <w:pPr>
        <w:rPr>
          <w:sz w:val="20"/>
          <w:szCs w:val="20"/>
        </w:rPr>
      </w:pPr>
    </w:p>
    <w:p w14:paraId="0C4DCDFC" w14:textId="77777777" w:rsidR="001D51D6" w:rsidRPr="00503F5B" w:rsidRDefault="001D51D6" w:rsidP="001D51D6">
      <w:pPr>
        <w:rPr>
          <w:sz w:val="20"/>
          <w:szCs w:val="20"/>
        </w:rPr>
      </w:pPr>
      <w:r w:rsidRPr="00503F5B">
        <w:rPr>
          <w:sz w:val="20"/>
          <w:szCs w:val="20"/>
        </w:rPr>
        <w:t xml:space="preserve">Government of Victoria, January 2013, </w:t>
      </w:r>
      <w:r w:rsidRPr="00503F5B">
        <w:rPr>
          <w:i/>
          <w:sz w:val="20"/>
          <w:szCs w:val="20"/>
        </w:rPr>
        <w:t>Cost Recovery Guidelines</w:t>
      </w:r>
      <w:r w:rsidRPr="00503F5B">
        <w:rPr>
          <w:sz w:val="20"/>
          <w:szCs w:val="20"/>
        </w:rPr>
        <w:t>, Department of Treasury and Finance, Melbourne</w:t>
      </w:r>
    </w:p>
    <w:p w14:paraId="1FE406BA" w14:textId="45A74A41" w:rsidR="001D51D6" w:rsidRPr="00503F5B" w:rsidRDefault="001D51D6" w:rsidP="001D51D6">
      <w:pPr>
        <w:rPr>
          <w:sz w:val="20"/>
          <w:szCs w:val="20"/>
        </w:rPr>
      </w:pPr>
    </w:p>
    <w:p w14:paraId="3DD8849E" w14:textId="5B0A7C61" w:rsidR="004B537E" w:rsidRPr="00503F5B" w:rsidRDefault="004B537E" w:rsidP="001D51D6">
      <w:pPr>
        <w:rPr>
          <w:sz w:val="20"/>
          <w:szCs w:val="20"/>
        </w:rPr>
      </w:pPr>
      <w:r w:rsidRPr="00503F5B">
        <w:rPr>
          <w:sz w:val="20"/>
          <w:szCs w:val="20"/>
        </w:rPr>
        <w:t>Government of Victoria, 2014, Victorian Guide to Regulation, Department of Treasury and Finance</w:t>
      </w:r>
    </w:p>
    <w:p w14:paraId="3C528675" w14:textId="77777777" w:rsidR="004B537E" w:rsidRPr="00503F5B" w:rsidRDefault="004B537E" w:rsidP="001D51D6">
      <w:pPr>
        <w:rPr>
          <w:sz w:val="20"/>
          <w:szCs w:val="20"/>
        </w:rPr>
      </w:pPr>
    </w:p>
    <w:p w14:paraId="5FD1C474" w14:textId="0A17B70C" w:rsidR="001D51D6" w:rsidRPr="00503F5B" w:rsidRDefault="005A1BE8" w:rsidP="001D51D6">
      <w:pPr>
        <w:rPr>
          <w:sz w:val="20"/>
          <w:szCs w:val="20"/>
        </w:rPr>
      </w:pPr>
      <w:r w:rsidRPr="00503F5B">
        <w:rPr>
          <w:sz w:val="20"/>
          <w:szCs w:val="20"/>
        </w:rPr>
        <w:t xml:space="preserve">Government of Victoria, 2016, </w:t>
      </w:r>
      <w:r w:rsidRPr="00503F5B">
        <w:rPr>
          <w:i/>
          <w:iCs/>
          <w:sz w:val="20"/>
          <w:szCs w:val="20"/>
        </w:rPr>
        <w:t>Victorian Guide to Regulation</w:t>
      </w:r>
      <w:r w:rsidRPr="00503F5B">
        <w:rPr>
          <w:sz w:val="20"/>
          <w:szCs w:val="20"/>
        </w:rPr>
        <w:t xml:space="preserve">: A handbook for </w:t>
      </w:r>
      <w:proofErr w:type="gramStart"/>
      <w:r w:rsidRPr="00503F5B">
        <w:rPr>
          <w:sz w:val="20"/>
          <w:szCs w:val="20"/>
        </w:rPr>
        <w:t>policy-makers</w:t>
      </w:r>
      <w:proofErr w:type="gramEnd"/>
      <w:r w:rsidRPr="00503F5B">
        <w:rPr>
          <w:sz w:val="20"/>
          <w:szCs w:val="20"/>
        </w:rPr>
        <w:t xml:space="preserve"> in Victoria, Department of Treasury and Finance, Melbourne</w:t>
      </w:r>
    </w:p>
    <w:p w14:paraId="4AD600C1" w14:textId="27DCDE8C" w:rsidR="005A1BE8" w:rsidRPr="00503F5B" w:rsidRDefault="005A1BE8" w:rsidP="001D51D6">
      <w:pPr>
        <w:rPr>
          <w:sz w:val="20"/>
          <w:szCs w:val="20"/>
        </w:rPr>
      </w:pPr>
    </w:p>
    <w:p w14:paraId="76CD3E24" w14:textId="77777777" w:rsidR="004B537E" w:rsidRPr="00503F5B" w:rsidRDefault="004B537E" w:rsidP="004B537E">
      <w:pPr>
        <w:rPr>
          <w:sz w:val="20"/>
          <w:szCs w:val="20"/>
        </w:rPr>
      </w:pPr>
      <w:r w:rsidRPr="00503F5B">
        <w:rPr>
          <w:sz w:val="20"/>
          <w:szCs w:val="20"/>
        </w:rPr>
        <w:t xml:space="preserve">Guidance note 230 </w:t>
      </w:r>
      <w:r w:rsidRPr="00503F5B">
        <w:rPr>
          <w:i/>
          <w:sz w:val="20"/>
          <w:szCs w:val="20"/>
        </w:rPr>
        <w:t>Subordinate Legislation Act 1994</w:t>
      </w:r>
      <w:r w:rsidRPr="00503F5B">
        <w:rPr>
          <w:sz w:val="20"/>
          <w:szCs w:val="20"/>
        </w:rPr>
        <w:t xml:space="preserve"> Guidelines 2016.</w:t>
      </w:r>
    </w:p>
    <w:p w14:paraId="5F5263D8" w14:textId="77777777" w:rsidR="004B537E" w:rsidRPr="00503F5B" w:rsidRDefault="004B537E" w:rsidP="001D51D6">
      <w:pPr>
        <w:rPr>
          <w:sz w:val="20"/>
          <w:szCs w:val="20"/>
        </w:rPr>
      </w:pPr>
    </w:p>
    <w:p w14:paraId="22C2C337" w14:textId="2AF68937" w:rsidR="001D51D6" w:rsidRPr="00503F5B" w:rsidRDefault="001D51D6" w:rsidP="001D51D6">
      <w:pPr>
        <w:rPr>
          <w:sz w:val="20"/>
          <w:szCs w:val="20"/>
        </w:rPr>
      </w:pPr>
      <w:r w:rsidRPr="00503F5B">
        <w:rPr>
          <w:sz w:val="20"/>
          <w:szCs w:val="20"/>
        </w:rPr>
        <w:t>http://publications.mfb.vic.gov.au/annualreport2011/index.php?/MFB-Annual-Report-2010-About-Us/fire-station-and-boundaries.html</w:t>
      </w:r>
    </w:p>
    <w:p w14:paraId="24C7C7A2" w14:textId="77777777" w:rsidR="001D51D6" w:rsidRPr="00503F5B" w:rsidRDefault="001D51D6" w:rsidP="001D51D6">
      <w:pPr>
        <w:rPr>
          <w:sz w:val="20"/>
          <w:szCs w:val="20"/>
        </w:rPr>
      </w:pPr>
    </w:p>
    <w:p w14:paraId="3AB469CF" w14:textId="52F56A81" w:rsidR="004B537E" w:rsidRPr="00503F5B" w:rsidRDefault="004B537E" w:rsidP="001D51D6">
      <w:pPr>
        <w:rPr>
          <w:sz w:val="20"/>
          <w:szCs w:val="20"/>
        </w:rPr>
      </w:pPr>
      <w:r w:rsidRPr="00503F5B">
        <w:rPr>
          <w:sz w:val="20"/>
          <w:szCs w:val="20"/>
        </w:rPr>
        <w:t>https://www.cfa.vic.gov.au/about/what-we-do</w:t>
      </w:r>
    </w:p>
    <w:p w14:paraId="19CE6D24" w14:textId="77777777" w:rsidR="004B537E" w:rsidRPr="00503F5B" w:rsidRDefault="004B537E" w:rsidP="001D51D6">
      <w:pPr>
        <w:rPr>
          <w:sz w:val="20"/>
          <w:szCs w:val="20"/>
        </w:rPr>
      </w:pPr>
    </w:p>
    <w:p w14:paraId="6CFA7A4A" w14:textId="4EFAD3D4" w:rsidR="00380787" w:rsidRPr="00503F5B" w:rsidRDefault="00380787" w:rsidP="001D51D6">
      <w:pPr>
        <w:rPr>
          <w:sz w:val="20"/>
          <w:szCs w:val="20"/>
        </w:rPr>
      </w:pPr>
      <w:r w:rsidRPr="00503F5B">
        <w:rPr>
          <w:sz w:val="20"/>
          <w:szCs w:val="20"/>
        </w:rPr>
        <w:t>Http://www.vic.gov.au/fire-services-reform</w:t>
      </w:r>
    </w:p>
    <w:p w14:paraId="70A46A48" w14:textId="77777777" w:rsidR="00380787" w:rsidRPr="00503F5B" w:rsidRDefault="00380787" w:rsidP="001D51D6">
      <w:pPr>
        <w:rPr>
          <w:sz w:val="20"/>
          <w:szCs w:val="20"/>
        </w:rPr>
      </w:pPr>
    </w:p>
    <w:p w14:paraId="79A79559" w14:textId="2A7F4C72" w:rsidR="001D51D6" w:rsidRPr="00503F5B" w:rsidRDefault="001D51D6" w:rsidP="001D51D6">
      <w:pPr>
        <w:rPr>
          <w:sz w:val="20"/>
          <w:szCs w:val="20"/>
        </w:rPr>
      </w:pPr>
      <w:r w:rsidRPr="00503F5B">
        <w:rPr>
          <w:sz w:val="20"/>
          <w:szCs w:val="20"/>
        </w:rPr>
        <w:t xml:space="preserve">http://www.fire.tas.gov.au/Show?pageId=colFeesAndCharges </w:t>
      </w:r>
    </w:p>
    <w:p w14:paraId="2D1969FA" w14:textId="77777777" w:rsidR="001D51D6" w:rsidRPr="00503F5B" w:rsidRDefault="001D51D6" w:rsidP="001D51D6">
      <w:pPr>
        <w:rPr>
          <w:sz w:val="20"/>
          <w:szCs w:val="20"/>
        </w:rPr>
      </w:pPr>
    </w:p>
    <w:p w14:paraId="7E7BE0BC" w14:textId="1A5009DD" w:rsidR="00C35213" w:rsidRPr="00503F5B" w:rsidRDefault="00C35213" w:rsidP="00C35213">
      <w:pPr>
        <w:rPr>
          <w:sz w:val="20"/>
          <w:szCs w:val="20"/>
        </w:rPr>
      </w:pPr>
      <w:r w:rsidRPr="00503F5B">
        <w:rPr>
          <w:sz w:val="20"/>
          <w:szCs w:val="20"/>
        </w:rPr>
        <w:t>http://www.mfb.vic.gov.au/About-Us/Our-History.html#link51</w:t>
      </w:r>
    </w:p>
    <w:p w14:paraId="723C5A50" w14:textId="77777777" w:rsidR="001D51D6" w:rsidRPr="00503F5B" w:rsidRDefault="001D51D6" w:rsidP="001D51D6">
      <w:pPr>
        <w:rPr>
          <w:sz w:val="20"/>
          <w:szCs w:val="20"/>
        </w:rPr>
      </w:pPr>
    </w:p>
    <w:p w14:paraId="106197BE" w14:textId="15D275D6" w:rsidR="001D51D6" w:rsidRPr="00503F5B" w:rsidRDefault="001D51D6" w:rsidP="001D51D6">
      <w:pPr>
        <w:rPr>
          <w:sz w:val="20"/>
          <w:szCs w:val="20"/>
        </w:rPr>
      </w:pPr>
      <w:r w:rsidRPr="00503F5B">
        <w:rPr>
          <w:sz w:val="20"/>
          <w:szCs w:val="20"/>
        </w:rPr>
        <w:t xml:space="preserve">http://www.mfb.vic.gov.au/Industry/Managing-False-Alarms.html </w:t>
      </w:r>
    </w:p>
    <w:p w14:paraId="0B06FE10" w14:textId="77777777" w:rsidR="001D51D6" w:rsidRPr="00503F5B" w:rsidRDefault="001D51D6" w:rsidP="001D51D6">
      <w:pPr>
        <w:rPr>
          <w:sz w:val="20"/>
          <w:szCs w:val="20"/>
        </w:rPr>
      </w:pPr>
    </w:p>
    <w:p w14:paraId="264D5B78" w14:textId="62856A8E" w:rsidR="001D51D6" w:rsidRPr="00503F5B" w:rsidRDefault="001D51D6" w:rsidP="001D51D6">
      <w:pPr>
        <w:rPr>
          <w:sz w:val="20"/>
          <w:szCs w:val="20"/>
        </w:rPr>
      </w:pPr>
      <w:r w:rsidRPr="00503F5B">
        <w:rPr>
          <w:sz w:val="20"/>
          <w:szCs w:val="20"/>
        </w:rPr>
        <w:t xml:space="preserve">http://www.mfb.vic.gov.au/Industry/Managing-False-Alarms/Direct-Automatic-Alarms/How-a-Typical-System-Works-.html </w:t>
      </w:r>
    </w:p>
    <w:p w14:paraId="00BAD228" w14:textId="77777777" w:rsidR="001D51D6" w:rsidRPr="00503F5B" w:rsidRDefault="001D51D6" w:rsidP="001D51D6">
      <w:pPr>
        <w:rPr>
          <w:sz w:val="20"/>
          <w:szCs w:val="20"/>
        </w:rPr>
      </w:pPr>
    </w:p>
    <w:p w14:paraId="1A1CE78E" w14:textId="3355B974" w:rsidR="001D51D6" w:rsidRPr="00503F5B" w:rsidRDefault="001D51D6" w:rsidP="001D51D6">
      <w:pPr>
        <w:rPr>
          <w:sz w:val="20"/>
          <w:szCs w:val="20"/>
        </w:rPr>
      </w:pPr>
      <w:r w:rsidRPr="00503F5B">
        <w:rPr>
          <w:sz w:val="20"/>
          <w:szCs w:val="20"/>
        </w:rPr>
        <w:t xml:space="preserve">http://www.mfb.vic.gov.au/News/MFB-firefighters-attending-increasing-number-of-medical-calls.html </w:t>
      </w:r>
    </w:p>
    <w:p w14:paraId="61EBEDB4" w14:textId="77777777" w:rsidR="001D51D6" w:rsidRPr="00503F5B" w:rsidRDefault="001D51D6" w:rsidP="001D51D6">
      <w:pPr>
        <w:rPr>
          <w:sz w:val="20"/>
          <w:szCs w:val="20"/>
        </w:rPr>
      </w:pPr>
    </w:p>
    <w:p w14:paraId="5748D900" w14:textId="11E9F250" w:rsidR="001D51D6" w:rsidRPr="00503F5B" w:rsidRDefault="001D51D6" w:rsidP="001D51D6">
      <w:pPr>
        <w:rPr>
          <w:sz w:val="20"/>
          <w:szCs w:val="20"/>
        </w:rPr>
      </w:pPr>
      <w:r w:rsidRPr="00503F5B">
        <w:rPr>
          <w:sz w:val="20"/>
          <w:szCs w:val="20"/>
        </w:rPr>
        <w:t>http://www.vba.vic.gov.au/practitioners/legislation#building_regulations.</w:t>
      </w:r>
    </w:p>
    <w:p w14:paraId="20B9BD61" w14:textId="77777777" w:rsidR="001D51D6" w:rsidRPr="00503F5B" w:rsidRDefault="001D51D6" w:rsidP="001D51D6">
      <w:pPr>
        <w:rPr>
          <w:sz w:val="20"/>
          <w:szCs w:val="20"/>
        </w:rPr>
      </w:pPr>
    </w:p>
    <w:p w14:paraId="10A2E6B1" w14:textId="2134BD07" w:rsidR="001D51D6" w:rsidRPr="00503F5B" w:rsidRDefault="001D51D6" w:rsidP="001D51D6">
      <w:pPr>
        <w:rPr>
          <w:sz w:val="20"/>
          <w:szCs w:val="20"/>
        </w:rPr>
      </w:pPr>
      <w:r w:rsidRPr="00503F5B">
        <w:rPr>
          <w:sz w:val="20"/>
          <w:szCs w:val="20"/>
        </w:rPr>
        <w:t>http://www.vba.vic.gov.au/practitioners/legislation#the_building_act</w:t>
      </w:r>
    </w:p>
    <w:p w14:paraId="5478CD78" w14:textId="77777777" w:rsidR="001D51D6" w:rsidRPr="00503F5B" w:rsidRDefault="001D51D6" w:rsidP="001D51D6">
      <w:pPr>
        <w:rPr>
          <w:sz w:val="20"/>
          <w:szCs w:val="20"/>
        </w:rPr>
      </w:pPr>
    </w:p>
    <w:p w14:paraId="396F6523" w14:textId="47D7B85D" w:rsidR="001D51D6" w:rsidRPr="00503F5B" w:rsidRDefault="001D51D6" w:rsidP="001D51D6">
      <w:pPr>
        <w:rPr>
          <w:sz w:val="20"/>
          <w:szCs w:val="20"/>
        </w:rPr>
      </w:pPr>
      <w:r w:rsidRPr="00503F5B">
        <w:rPr>
          <w:sz w:val="20"/>
          <w:szCs w:val="20"/>
        </w:rPr>
        <w:t>MFB Annual Report</w:t>
      </w:r>
      <w:r w:rsidR="002216BE" w:rsidRPr="00503F5B">
        <w:rPr>
          <w:sz w:val="20"/>
          <w:szCs w:val="20"/>
        </w:rPr>
        <w:t>s</w:t>
      </w:r>
      <w:r w:rsidRPr="00503F5B">
        <w:rPr>
          <w:sz w:val="20"/>
          <w:szCs w:val="20"/>
        </w:rPr>
        <w:t xml:space="preserve"> 2014-15</w:t>
      </w:r>
      <w:r w:rsidR="002216BE" w:rsidRPr="00503F5B">
        <w:rPr>
          <w:sz w:val="20"/>
          <w:szCs w:val="20"/>
        </w:rPr>
        <w:t xml:space="preserve"> to 2018-19</w:t>
      </w:r>
    </w:p>
    <w:p w14:paraId="0187C2D1" w14:textId="77777777" w:rsidR="001D51D6" w:rsidRPr="00503F5B" w:rsidRDefault="001D51D6" w:rsidP="001D51D6">
      <w:pPr>
        <w:rPr>
          <w:sz w:val="20"/>
          <w:szCs w:val="20"/>
        </w:rPr>
      </w:pPr>
    </w:p>
    <w:p w14:paraId="504969E5" w14:textId="77777777" w:rsidR="001D51D6" w:rsidRPr="00503F5B" w:rsidRDefault="001D51D6" w:rsidP="001D51D6">
      <w:pPr>
        <w:rPr>
          <w:sz w:val="20"/>
          <w:szCs w:val="20"/>
        </w:rPr>
      </w:pPr>
      <w:r w:rsidRPr="00503F5B">
        <w:rPr>
          <w:sz w:val="20"/>
          <w:szCs w:val="20"/>
        </w:rPr>
        <w:t>Monitored Automatic Alarms: A Guide for Building Owners &amp; Managers 3rd edition.</w:t>
      </w:r>
    </w:p>
    <w:p w14:paraId="2B706936" w14:textId="77777777" w:rsidR="001D51D6" w:rsidRPr="00503F5B" w:rsidRDefault="001D51D6" w:rsidP="001D51D6">
      <w:pPr>
        <w:rPr>
          <w:sz w:val="20"/>
          <w:szCs w:val="20"/>
        </w:rPr>
      </w:pPr>
    </w:p>
    <w:p w14:paraId="1280F497" w14:textId="77777777" w:rsidR="001D51D6" w:rsidRPr="00503F5B" w:rsidRDefault="001D51D6" w:rsidP="001D51D6">
      <w:pPr>
        <w:rPr>
          <w:sz w:val="20"/>
          <w:szCs w:val="20"/>
        </w:rPr>
      </w:pPr>
      <w:r w:rsidRPr="00503F5B">
        <w:rPr>
          <w:sz w:val="20"/>
          <w:szCs w:val="20"/>
        </w:rPr>
        <w:lastRenderedPageBreak/>
        <w:t>OBPR, Best Practice Regulation Guidance Note Value of statistical life December 2014</w:t>
      </w:r>
    </w:p>
    <w:p w14:paraId="783412A1" w14:textId="77777777" w:rsidR="001D51D6" w:rsidRPr="00503F5B" w:rsidRDefault="001D51D6" w:rsidP="001D51D6">
      <w:pPr>
        <w:rPr>
          <w:sz w:val="20"/>
          <w:szCs w:val="20"/>
        </w:rPr>
      </w:pPr>
    </w:p>
    <w:p w14:paraId="00BB9929" w14:textId="77777777" w:rsidR="001D51D6" w:rsidRPr="00503F5B" w:rsidRDefault="001D51D6" w:rsidP="001D51D6">
      <w:pPr>
        <w:rPr>
          <w:sz w:val="20"/>
          <w:szCs w:val="20"/>
        </w:rPr>
      </w:pPr>
      <w:r w:rsidRPr="00503F5B">
        <w:rPr>
          <w:sz w:val="20"/>
          <w:szCs w:val="20"/>
        </w:rPr>
        <w:t>SCRGSP (Steering Committee for the Review of Government Service Provision) 2015, Report on Government Services 2015, vol. D, Emergency management, Productivity Commission, Canberra.</w:t>
      </w:r>
    </w:p>
    <w:p w14:paraId="37EF7850" w14:textId="77777777" w:rsidR="001D51D6" w:rsidRPr="00503F5B" w:rsidRDefault="001D51D6" w:rsidP="001D51D6">
      <w:pPr>
        <w:rPr>
          <w:sz w:val="20"/>
          <w:szCs w:val="20"/>
        </w:rPr>
      </w:pPr>
    </w:p>
    <w:p w14:paraId="78E7544D" w14:textId="77777777" w:rsidR="001D51D6" w:rsidRPr="00503F5B" w:rsidRDefault="001D51D6" w:rsidP="001D51D6">
      <w:pPr>
        <w:rPr>
          <w:rFonts w:asciiTheme="majorHAnsi" w:hAnsiTheme="majorHAnsi"/>
          <w:sz w:val="20"/>
          <w:szCs w:val="20"/>
        </w:rPr>
      </w:pPr>
      <w:r w:rsidRPr="00503F5B">
        <w:rPr>
          <w:rFonts w:asciiTheme="majorHAnsi" w:hAnsiTheme="majorHAnsi"/>
          <w:sz w:val="20"/>
          <w:szCs w:val="20"/>
        </w:rPr>
        <w:t xml:space="preserve">Victorian Competition and Efficiency Commission 2006, </w:t>
      </w:r>
      <w:r w:rsidRPr="00503F5B">
        <w:rPr>
          <w:rFonts w:asciiTheme="majorHAnsi" w:hAnsiTheme="majorHAnsi"/>
          <w:i/>
          <w:sz w:val="20"/>
          <w:szCs w:val="20"/>
        </w:rPr>
        <w:t>Guidance Note on Suggested Default Methodology and Values for Staff Time in BIA/RIS Analysis</w:t>
      </w:r>
      <w:r w:rsidRPr="00503F5B">
        <w:rPr>
          <w:rFonts w:asciiTheme="majorHAnsi" w:hAnsiTheme="majorHAnsi"/>
          <w:sz w:val="20"/>
          <w:szCs w:val="20"/>
        </w:rPr>
        <w:t>, Melbourne</w:t>
      </w:r>
    </w:p>
    <w:p w14:paraId="5D99FEF7" w14:textId="77777777" w:rsidR="001D51D6" w:rsidRPr="00503F5B" w:rsidRDefault="001D51D6" w:rsidP="001D51D6">
      <w:pPr>
        <w:rPr>
          <w:sz w:val="20"/>
          <w:szCs w:val="20"/>
        </w:rPr>
      </w:pPr>
    </w:p>
    <w:p w14:paraId="77D72045" w14:textId="77777777" w:rsidR="001D51D6" w:rsidRPr="00503F5B" w:rsidRDefault="001D51D6" w:rsidP="001D51D6">
      <w:pPr>
        <w:rPr>
          <w:i/>
          <w:sz w:val="20"/>
          <w:szCs w:val="20"/>
        </w:rPr>
      </w:pPr>
      <w:r w:rsidRPr="00503F5B">
        <w:rPr>
          <w:i/>
          <w:sz w:val="20"/>
          <w:szCs w:val="20"/>
        </w:rPr>
        <w:t>Victoria in Future 2014</w:t>
      </w:r>
    </w:p>
    <w:p w14:paraId="12FDEF68" w14:textId="77777777" w:rsidR="001D51D6" w:rsidRPr="00503F5B" w:rsidRDefault="001D51D6" w:rsidP="001D51D6">
      <w:pPr>
        <w:rPr>
          <w:i/>
          <w:sz w:val="20"/>
          <w:szCs w:val="20"/>
        </w:rPr>
      </w:pPr>
    </w:p>
    <w:p w14:paraId="5968F445" w14:textId="77777777" w:rsidR="001D51D6" w:rsidRPr="00503F5B" w:rsidRDefault="001D51D6" w:rsidP="001D51D6"/>
    <w:p w14:paraId="5267D418" w14:textId="77777777" w:rsidR="004D5753" w:rsidRPr="00503F5B" w:rsidRDefault="004D5753" w:rsidP="00517C6D">
      <w:r w:rsidRPr="00503F5B">
        <w:br w:type="page"/>
      </w:r>
    </w:p>
    <w:p w14:paraId="08F54B49" w14:textId="33FED616" w:rsidR="004F0F77" w:rsidRPr="00503F5B" w:rsidRDefault="004F0F77" w:rsidP="004F0F77">
      <w:pPr>
        <w:spacing w:before="120" w:after="120"/>
      </w:pPr>
      <w:r w:rsidRPr="00503F5B">
        <w:rPr>
          <w:color w:val="BE2A18"/>
          <w:sz w:val="32"/>
          <w:szCs w:val="32"/>
        </w:rPr>
        <w:lastRenderedPageBreak/>
        <w:t>Appendices</w:t>
      </w:r>
    </w:p>
    <w:p w14:paraId="4555F2BC" w14:textId="77777777" w:rsidR="004F0F77" w:rsidRPr="00503F5B" w:rsidRDefault="004F0F77" w:rsidP="004F0F77">
      <w:pPr>
        <w:numPr>
          <w:ilvl w:val="0"/>
          <w:numId w:val="2"/>
        </w:numPr>
        <w:overflowPunct w:val="0"/>
        <w:autoSpaceDE w:val="0"/>
        <w:autoSpaceDN w:val="0"/>
        <w:adjustRightInd w:val="0"/>
        <w:ind w:left="284" w:hanging="284"/>
        <w:textAlignment w:val="baseline"/>
        <w:rPr>
          <w:rFonts w:ascii="Arial" w:hAnsi="Arial" w:cs="Arial"/>
          <w:i/>
        </w:rPr>
      </w:pPr>
      <w:r w:rsidRPr="00503F5B">
        <w:rPr>
          <w:rFonts w:ascii="Arial" w:hAnsi="Arial" w:cs="Arial"/>
          <w:i/>
        </w:rPr>
        <w:t>Cost estimate of false alarm emergency attendance by MFB</w:t>
      </w:r>
    </w:p>
    <w:p w14:paraId="0D4DDE26" w14:textId="77777777" w:rsidR="004F0F77" w:rsidRPr="00503F5B" w:rsidRDefault="004F0F77" w:rsidP="004F0F77">
      <w:pPr>
        <w:overflowPunct w:val="0"/>
        <w:autoSpaceDE w:val="0"/>
        <w:autoSpaceDN w:val="0"/>
        <w:adjustRightInd w:val="0"/>
        <w:textAlignment w:val="baseline"/>
        <w:rPr>
          <w:rFonts w:ascii="Arial" w:hAnsi="Arial" w:cs="Arial"/>
          <w:i/>
        </w:rPr>
      </w:pPr>
    </w:p>
    <w:p w14:paraId="7F500369" w14:textId="77777777" w:rsidR="004F0F77" w:rsidRPr="00503F5B" w:rsidRDefault="004F0F77" w:rsidP="004F0F77">
      <w:pPr>
        <w:numPr>
          <w:ilvl w:val="0"/>
          <w:numId w:val="2"/>
        </w:numPr>
        <w:overflowPunct w:val="0"/>
        <w:autoSpaceDE w:val="0"/>
        <w:autoSpaceDN w:val="0"/>
        <w:adjustRightInd w:val="0"/>
        <w:ind w:left="284" w:hanging="284"/>
        <w:textAlignment w:val="baseline"/>
        <w:rPr>
          <w:rFonts w:ascii="Arial" w:hAnsi="Arial" w:cs="Arial"/>
          <w:i/>
        </w:rPr>
      </w:pPr>
      <w:r w:rsidRPr="00503F5B">
        <w:rPr>
          <w:rFonts w:ascii="Arial" w:hAnsi="Arial" w:cs="Arial"/>
          <w:i/>
        </w:rPr>
        <w:t>Cost estimate of false alarm emergency attendance by CFA integrated stations</w:t>
      </w:r>
    </w:p>
    <w:p w14:paraId="3B9FC868" w14:textId="77777777" w:rsidR="004F0F77" w:rsidRPr="00503F5B" w:rsidRDefault="004F0F77" w:rsidP="004F0F77">
      <w:pPr>
        <w:overflowPunct w:val="0"/>
        <w:autoSpaceDE w:val="0"/>
        <w:autoSpaceDN w:val="0"/>
        <w:adjustRightInd w:val="0"/>
        <w:textAlignment w:val="baseline"/>
        <w:rPr>
          <w:rFonts w:ascii="Arial" w:hAnsi="Arial" w:cs="Arial"/>
          <w:i/>
        </w:rPr>
      </w:pPr>
    </w:p>
    <w:p w14:paraId="7BD821F5" w14:textId="77777777" w:rsidR="004F0F77" w:rsidRPr="00503F5B" w:rsidRDefault="004F0F77" w:rsidP="004F0F77">
      <w:pPr>
        <w:numPr>
          <w:ilvl w:val="0"/>
          <w:numId w:val="2"/>
        </w:numPr>
        <w:overflowPunct w:val="0"/>
        <w:autoSpaceDE w:val="0"/>
        <w:autoSpaceDN w:val="0"/>
        <w:adjustRightInd w:val="0"/>
        <w:ind w:left="284" w:hanging="284"/>
        <w:textAlignment w:val="baseline"/>
        <w:rPr>
          <w:rFonts w:ascii="Arial" w:hAnsi="Arial" w:cs="Arial"/>
          <w:i/>
        </w:rPr>
      </w:pPr>
      <w:r w:rsidRPr="00503F5B">
        <w:rPr>
          <w:rFonts w:ascii="Arial" w:hAnsi="Arial" w:cs="Arial"/>
          <w:i/>
        </w:rPr>
        <w:t>Determination of false alarm emergency attendance fee and revenue under Options 1, 2 and 3</w:t>
      </w:r>
    </w:p>
    <w:p w14:paraId="2D9BAE97" w14:textId="77777777" w:rsidR="004F0F77" w:rsidRPr="00503F5B" w:rsidRDefault="004F0F77" w:rsidP="004F0F77">
      <w:pPr>
        <w:overflowPunct w:val="0"/>
        <w:autoSpaceDE w:val="0"/>
        <w:autoSpaceDN w:val="0"/>
        <w:adjustRightInd w:val="0"/>
        <w:textAlignment w:val="baseline"/>
        <w:rPr>
          <w:rFonts w:ascii="Arial" w:hAnsi="Arial" w:cs="Arial"/>
          <w:i/>
        </w:rPr>
      </w:pPr>
    </w:p>
    <w:p w14:paraId="488590A0" w14:textId="77777777" w:rsidR="004F0F77" w:rsidRPr="00503F5B" w:rsidRDefault="004F0F77" w:rsidP="004F0F77">
      <w:pPr>
        <w:numPr>
          <w:ilvl w:val="0"/>
          <w:numId w:val="2"/>
        </w:numPr>
        <w:overflowPunct w:val="0"/>
        <w:autoSpaceDE w:val="0"/>
        <w:autoSpaceDN w:val="0"/>
        <w:adjustRightInd w:val="0"/>
        <w:ind w:left="284" w:hanging="284"/>
        <w:textAlignment w:val="baseline"/>
        <w:rPr>
          <w:rFonts w:ascii="Arial" w:hAnsi="Arial" w:cs="Arial"/>
          <w:i/>
        </w:rPr>
      </w:pPr>
      <w:r w:rsidRPr="00503F5B">
        <w:rPr>
          <w:rFonts w:ascii="Arial" w:hAnsi="Arial" w:cs="Arial"/>
          <w:i/>
        </w:rPr>
        <w:t>Nonmaterial impact/burden of proposed non-fee regulations</w:t>
      </w:r>
    </w:p>
    <w:p w14:paraId="470A25B0" w14:textId="77777777" w:rsidR="004F0F77" w:rsidRPr="00503F5B" w:rsidRDefault="004F0F77" w:rsidP="004F0F77">
      <w:pPr>
        <w:overflowPunct w:val="0"/>
        <w:autoSpaceDE w:val="0"/>
        <w:autoSpaceDN w:val="0"/>
        <w:adjustRightInd w:val="0"/>
        <w:textAlignment w:val="baseline"/>
        <w:rPr>
          <w:rFonts w:ascii="Arial" w:hAnsi="Arial" w:cs="Arial"/>
          <w:i/>
        </w:rPr>
      </w:pPr>
    </w:p>
    <w:p w14:paraId="6B54A96D" w14:textId="274758EF" w:rsidR="004F0F77" w:rsidRPr="00503F5B" w:rsidRDefault="004952E6" w:rsidP="004F0F77">
      <w:pPr>
        <w:numPr>
          <w:ilvl w:val="0"/>
          <w:numId w:val="2"/>
        </w:numPr>
        <w:overflowPunct w:val="0"/>
        <w:autoSpaceDE w:val="0"/>
        <w:autoSpaceDN w:val="0"/>
        <w:adjustRightInd w:val="0"/>
        <w:ind w:left="284" w:hanging="284"/>
        <w:textAlignment w:val="baseline"/>
        <w:rPr>
          <w:rFonts w:ascii="Arial" w:hAnsi="Arial" w:cs="Arial"/>
          <w:i/>
        </w:rPr>
      </w:pPr>
      <w:r w:rsidRPr="00503F5B">
        <w:rPr>
          <w:rFonts w:ascii="Arial" w:hAnsi="Arial" w:cs="Arial"/>
          <w:i/>
        </w:rPr>
        <w:t>Annual c</w:t>
      </w:r>
      <w:r w:rsidR="00F542F1" w:rsidRPr="00503F5B">
        <w:rPr>
          <w:rFonts w:ascii="Arial" w:hAnsi="Arial" w:cs="Arial"/>
          <w:i/>
        </w:rPr>
        <w:t>ost estimate of fire protection services</w:t>
      </w:r>
    </w:p>
    <w:p w14:paraId="29F4A84B" w14:textId="77777777" w:rsidR="004F0F77" w:rsidRPr="00503F5B" w:rsidRDefault="004F0F77" w:rsidP="004F0F77">
      <w:pPr>
        <w:overflowPunct w:val="0"/>
        <w:autoSpaceDE w:val="0"/>
        <w:autoSpaceDN w:val="0"/>
        <w:adjustRightInd w:val="0"/>
        <w:textAlignment w:val="baseline"/>
        <w:rPr>
          <w:rFonts w:ascii="Arial" w:hAnsi="Arial" w:cs="Arial"/>
          <w:i/>
        </w:rPr>
      </w:pPr>
    </w:p>
    <w:p w14:paraId="29E91C17" w14:textId="77777777" w:rsidR="004F0F77" w:rsidRPr="00503F5B" w:rsidRDefault="004F0F77" w:rsidP="004F0F77">
      <w:pPr>
        <w:numPr>
          <w:ilvl w:val="0"/>
          <w:numId w:val="2"/>
        </w:numPr>
        <w:overflowPunct w:val="0"/>
        <w:autoSpaceDE w:val="0"/>
        <w:autoSpaceDN w:val="0"/>
        <w:adjustRightInd w:val="0"/>
        <w:ind w:left="284" w:hanging="284"/>
        <w:textAlignment w:val="baseline"/>
        <w:rPr>
          <w:rFonts w:ascii="Arial" w:hAnsi="Arial" w:cs="Arial"/>
          <w:i/>
        </w:rPr>
      </w:pPr>
      <w:r w:rsidRPr="00503F5B">
        <w:rPr>
          <w:rFonts w:ascii="Arial" w:hAnsi="Arial" w:cs="Arial"/>
          <w:i/>
        </w:rPr>
        <w:t>False alarm call data</w:t>
      </w:r>
    </w:p>
    <w:p w14:paraId="6EE765D6" w14:textId="77777777" w:rsidR="004F0F77" w:rsidRPr="00503F5B" w:rsidRDefault="004F0F77" w:rsidP="004F0F77">
      <w:pPr>
        <w:overflowPunct w:val="0"/>
        <w:autoSpaceDE w:val="0"/>
        <w:autoSpaceDN w:val="0"/>
        <w:adjustRightInd w:val="0"/>
        <w:textAlignment w:val="baseline"/>
        <w:rPr>
          <w:rFonts w:ascii="Arial" w:hAnsi="Arial" w:cs="Arial"/>
          <w:i/>
        </w:rPr>
      </w:pPr>
    </w:p>
    <w:p w14:paraId="3E3AA785" w14:textId="6324A55A" w:rsidR="004F0F77" w:rsidRPr="00503F5B" w:rsidRDefault="004F0F77" w:rsidP="004F0F77">
      <w:pPr>
        <w:numPr>
          <w:ilvl w:val="0"/>
          <w:numId w:val="2"/>
        </w:numPr>
        <w:tabs>
          <w:tab w:val="num" w:pos="0"/>
        </w:tabs>
        <w:overflowPunct w:val="0"/>
        <w:autoSpaceDE w:val="0"/>
        <w:autoSpaceDN w:val="0"/>
        <w:adjustRightInd w:val="0"/>
        <w:ind w:left="284" w:hanging="284"/>
        <w:textAlignment w:val="baseline"/>
        <w:rPr>
          <w:rFonts w:ascii="Arial" w:hAnsi="Arial" w:cs="Arial"/>
          <w:i/>
        </w:rPr>
      </w:pPr>
      <w:r w:rsidRPr="00503F5B">
        <w:rPr>
          <w:rFonts w:ascii="Arial" w:hAnsi="Arial" w:cs="Arial"/>
          <w:i/>
        </w:rPr>
        <w:t xml:space="preserve">Proposed </w:t>
      </w:r>
      <w:r w:rsidR="00E04C6D" w:rsidRPr="00503F5B">
        <w:rPr>
          <w:rFonts w:ascii="Arial" w:hAnsi="Arial" w:cs="Arial"/>
          <w:i/>
        </w:rPr>
        <w:t>Fire Rescue Victoria (General) R</w:t>
      </w:r>
      <w:r w:rsidRPr="00503F5B">
        <w:rPr>
          <w:rFonts w:ascii="Arial" w:hAnsi="Arial" w:cs="Arial"/>
          <w:i/>
        </w:rPr>
        <w:t>egulations</w:t>
      </w:r>
      <w:r w:rsidR="00E04C6D" w:rsidRPr="00503F5B">
        <w:rPr>
          <w:rFonts w:ascii="Arial" w:hAnsi="Arial" w:cs="Arial"/>
          <w:i/>
        </w:rPr>
        <w:t xml:space="preserve"> 2020</w:t>
      </w:r>
    </w:p>
    <w:p w14:paraId="5A2836DF" w14:textId="3241DA02" w:rsidR="004B6D3C" w:rsidRPr="00503F5B" w:rsidRDefault="004B6D3C"/>
    <w:p w14:paraId="23553B6C" w14:textId="17D556A8" w:rsidR="004F0F77" w:rsidRPr="00503F5B" w:rsidRDefault="004F0F77"/>
    <w:p w14:paraId="52E01B9F" w14:textId="77777777" w:rsidR="003F215B" w:rsidRPr="00503F5B" w:rsidRDefault="003F215B" w:rsidP="00517C6D">
      <w:bookmarkStart w:id="225" w:name="_Toc457772559"/>
      <w:r w:rsidRPr="00503F5B">
        <w:br w:type="page"/>
      </w:r>
    </w:p>
    <w:p w14:paraId="67A8BFB4" w14:textId="485DD5CE" w:rsidR="00E04C6D" w:rsidRPr="00503F5B" w:rsidRDefault="00E04C6D" w:rsidP="0080683B">
      <w:pPr>
        <w:pStyle w:val="Heading1"/>
      </w:pPr>
      <w:bookmarkStart w:id="226" w:name="_Toc35804158"/>
      <w:bookmarkStart w:id="227" w:name="_Toc35804652"/>
      <w:bookmarkStart w:id="228" w:name="_Toc35812696"/>
      <w:r w:rsidRPr="00503F5B">
        <w:lastRenderedPageBreak/>
        <w:t>Appendix 1 – Cost estimation of false alarm emergency attendances</w:t>
      </w:r>
      <w:bookmarkEnd w:id="225"/>
      <w:r w:rsidRPr="00503F5B">
        <w:t xml:space="preserve"> by MFB</w:t>
      </w:r>
      <w:bookmarkEnd w:id="226"/>
      <w:bookmarkEnd w:id="227"/>
      <w:bookmarkEnd w:id="228"/>
    </w:p>
    <w:p w14:paraId="4FCF39C1" w14:textId="772B9326" w:rsidR="00E04C6D" w:rsidRPr="00503F5B" w:rsidRDefault="00E04C6D" w:rsidP="00E04C6D">
      <w:pPr>
        <w:widowControl w:val="0"/>
        <w:autoSpaceDE w:val="0"/>
        <w:autoSpaceDN w:val="0"/>
        <w:adjustRightInd w:val="0"/>
        <w:jc w:val="both"/>
        <w:rPr>
          <w:rFonts w:cs="Calibri"/>
          <w:color w:val="auto"/>
        </w:rPr>
      </w:pPr>
      <w:r w:rsidRPr="00503F5B">
        <w:rPr>
          <w:rFonts w:cs="Calibri"/>
          <w:color w:val="auto"/>
        </w:rPr>
        <w:t xml:space="preserve">Appendix 1 identifies the portion of total Fire Rescue Victoria (FRV) costs – generated for the current MFB – that are incurred as a result of having </w:t>
      </w:r>
      <w:proofErr w:type="gramStart"/>
      <w:r w:rsidRPr="00503F5B">
        <w:rPr>
          <w:rFonts w:cs="Calibri"/>
          <w:color w:val="auto"/>
        </w:rPr>
        <w:t>sufficient</w:t>
      </w:r>
      <w:proofErr w:type="gramEnd"/>
      <w:r w:rsidRPr="00503F5B">
        <w:rPr>
          <w:rFonts w:cs="Calibri"/>
          <w:color w:val="auto"/>
        </w:rPr>
        <w:t xml:space="preserve"> appliances and crews on standby in order to respond to false alarms. In this way Appendix 1 answers the question of ‘what resources are required for </w:t>
      </w:r>
      <w:r w:rsidR="00595DFB" w:rsidRPr="00503F5B">
        <w:rPr>
          <w:rFonts w:cs="Calibri"/>
          <w:color w:val="auto"/>
        </w:rPr>
        <w:t>MFB</w:t>
      </w:r>
      <w:r w:rsidRPr="00503F5B">
        <w:rPr>
          <w:rFonts w:cs="Calibri"/>
          <w:color w:val="auto"/>
        </w:rPr>
        <w:t xml:space="preserve"> portion of FRV to attend false alarms?’.   </w:t>
      </w:r>
    </w:p>
    <w:p w14:paraId="5BE77807" w14:textId="77777777" w:rsidR="00E04C6D" w:rsidRPr="00503F5B" w:rsidRDefault="00E04C6D" w:rsidP="00E04C6D">
      <w:pPr>
        <w:widowControl w:val="0"/>
        <w:autoSpaceDE w:val="0"/>
        <w:autoSpaceDN w:val="0"/>
        <w:adjustRightInd w:val="0"/>
        <w:jc w:val="both"/>
        <w:rPr>
          <w:rFonts w:cs="Calibri"/>
          <w:color w:val="auto"/>
        </w:rPr>
      </w:pPr>
    </w:p>
    <w:p w14:paraId="59F4995B" w14:textId="77777777" w:rsidR="00E04C6D" w:rsidRPr="00503F5B" w:rsidRDefault="00E04C6D" w:rsidP="00E04C6D">
      <w:pPr>
        <w:widowControl w:val="0"/>
        <w:autoSpaceDE w:val="0"/>
        <w:autoSpaceDN w:val="0"/>
        <w:adjustRightInd w:val="0"/>
        <w:jc w:val="both"/>
        <w:rPr>
          <w:rFonts w:cs="Calibri"/>
          <w:color w:val="auto"/>
        </w:rPr>
      </w:pPr>
      <w:r w:rsidRPr="00503F5B">
        <w:rPr>
          <w:rFonts w:cs="Calibri"/>
          <w:color w:val="auto"/>
        </w:rPr>
        <w:t xml:space="preserve">MFB's costs are calculated on a “per appliance” and “station to station” basis.  That is, the time charged includes travelling time, as well as the time spent attending at the premises from which the call has been made.  The “per appliance” costing basis is adopted as the basic operational unit of the organisation in relation to emergency attendances and crews </w:t>
      </w:r>
      <w:proofErr w:type="gramStart"/>
      <w:r w:rsidRPr="00503F5B">
        <w:rPr>
          <w:rFonts w:cs="Calibri"/>
          <w:color w:val="auto"/>
        </w:rPr>
        <w:t>must remain with their appliances (and hence ready to respond immediately to emergency calls) at all times</w:t>
      </w:r>
      <w:proofErr w:type="gramEnd"/>
      <w:r w:rsidRPr="00503F5B">
        <w:rPr>
          <w:rFonts w:cs="Calibri"/>
          <w:color w:val="auto"/>
        </w:rPr>
        <w:t xml:space="preserve"> while on duty. Thus, appliances and their crews are, in effect, indivisible units.  </w:t>
      </w:r>
    </w:p>
    <w:p w14:paraId="17AC18B8" w14:textId="77777777" w:rsidR="00E04C6D" w:rsidRPr="00503F5B" w:rsidRDefault="00E04C6D" w:rsidP="00E04C6D">
      <w:pPr>
        <w:widowControl w:val="0"/>
        <w:autoSpaceDE w:val="0"/>
        <w:autoSpaceDN w:val="0"/>
        <w:adjustRightInd w:val="0"/>
        <w:jc w:val="both"/>
        <w:rPr>
          <w:rFonts w:cs="Calibri"/>
          <w:color w:val="auto"/>
        </w:rPr>
      </w:pPr>
    </w:p>
    <w:p w14:paraId="403D0A75" w14:textId="77777777" w:rsidR="00E04C6D" w:rsidRPr="00503F5B" w:rsidRDefault="00E04C6D" w:rsidP="00E04C6D">
      <w:pPr>
        <w:widowControl w:val="0"/>
        <w:autoSpaceDE w:val="0"/>
        <w:autoSpaceDN w:val="0"/>
        <w:adjustRightInd w:val="0"/>
        <w:jc w:val="both"/>
        <w:rPr>
          <w:rFonts w:cs="Calibri"/>
          <w:color w:val="auto"/>
        </w:rPr>
      </w:pPr>
      <w:r w:rsidRPr="00503F5B">
        <w:rPr>
          <w:rFonts w:cs="Calibri"/>
          <w:color w:val="auto"/>
        </w:rPr>
        <w:t xml:space="preserve">The costing methodology for MFB false alarm emergency attendance resources involves firstly estimating the overall total variable direct and indirect costs of total MFB emergency attendances (see Section A1.1).  The dollar estimates of variable costs attributable to false alarms (i.e. additional capacity) is then calculated on a pro rata basis (% of appliance time spent on false alarms) using data from the breakdown in total hours spent by MFB appliances by incident type (see Section A1.2).  </w:t>
      </w:r>
    </w:p>
    <w:p w14:paraId="00C70C84" w14:textId="77777777" w:rsidR="00E04C6D" w:rsidRPr="00503F5B" w:rsidRDefault="00E04C6D" w:rsidP="00E04C6D">
      <w:pPr>
        <w:widowControl w:val="0"/>
        <w:autoSpaceDE w:val="0"/>
        <w:autoSpaceDN w:val="0"/>
        <w:adjustRightInd w:val="0"/>
        <w:jc w:val="both"/>
        <w:rPr>
          <w:rFonts w:cs="Calibri"/>
          <w:color w:val="auto"/>
        </w:rPr>
      </w:pPr>
    </w:p>
    <w:p w14:paraId="6F37C78B" w14:textId="368F9D0D" w:rsidR="00E04C6D" w:rsidRPr="00503F5B" w:rsidRDefault="00E04C6D" w:rsidP="00E04C6D">
      <w:pPr>
        <w:widowControl w:val="0"/>
        <w:autoSpaceDE w:val="0"/>
        <w:autoSpaceDN w:val="0"/>
        <w:adjustRightInd w:val="0"/>
        <w:jc w:val="both"/>
        <w:rPr>
          <w:rFonts w:cs="Calibri"/>
          <w:color w:val="auto"/>
        </w:rPr>
      </w:pPr>
      <w:r w:rsidRPr="00503F5B">
        <w:rPr>
          <w:rFonts w:cs="Calibri"/>
          <w:color w:val="auto"/>
        </w:rPr>
        <w:t xml:space="preserve">The cost per false alarm for MFB is then estimated by dividing the total dollar estimate of additional capacity required by false alarms, by the total time spent for false alarms. </w:t>
      </w:r>
    </w:p>
    <w:p w14:paraId="49EF040D" w14:textId="77777777" w:rsidR="00E04C6D" w:rsidRPr="00503F5B" w:rsidRDefault="00E04C6D" w:rsidP="00E04C6D">
      <w:pPr>
        <w:widowControl w:val="0"/>
        <w:autoSpaceDE w:val="0"/>
        <w:autoSpaceDN w:val="0"/>
        <w:adjustRightInd w:val="0"/>
        <w:jc w:val="both"/>
        <w:rPr>
          <w:rFonts w:cs="Calibri"/>
          <w:color w:val="auto"/>
        </w:rPr>
      </w:pPr>
    </w:p>
    <w:p w14:paraId="20C4A1D9" w14:textId="7190C7F8" w:rsidR="00E04C6D" w:rsidRPr="00503F5B" w:rsidRDefault="00E04C6D" w:rsidP="00E04C6D">
      <w:pPr>
        <w:widowControl w:val="0"/>
        <w:autoSpaceDE w:val="0"/>
        <w:autoSpaceDN w:val="0"/>
        <w:adjustRightInd w:val="0"/>
        <w:jc w:val="both"/>
        <w:rPr>
          <w:rFonts w:cs="Calibri"/>
          <w:color w:val="auto"/>
        </w:rPr>
      </w:pPr>
      <w:r w:rsidRPr="00503F5B">
        <w:rPr>
          <w:rFonts w:cs="Calibri"/>
          <w:color w:val="auto"/>
        </w:rPr>
        <w:t xml:space="preserve">The portion of FRV costs relating to CFA integrated station services and attending false alarms is captured in Appendix 2.  </w:t>
      </w:r>
      <w:r w:rsidR="00875550" w:rsidRPr="00503F5B">
        <w:rPr>
          <w:rFonts w:cs="Calibri"/>
          <w:color w:val="auto"/>
        </w:rPr>
        <w:t>CFA has a different costing methodology from MFB, and costings are not directly comparable.  CFA provided a per unit attendance cost for false alarm attendances at a protected premise for inclusion in this mode</w:t>
      </w:r>
      <w:r w:rsidR="00726A19">
        <w:rPr>
          <w:rFonts w:cs="Calibri"/>
          <w:color w:val="auto"/>
        </w:rPr>
        <w:t>l</w:t>
      </w:r>
      <w:r w:rsidR="00875550" w:rsidRPr="00503F5B">
        <w:rPr>
          <w:rFonts w:cs="Calibri"/>
          <w:color w:val="auto"/>
        </w:rPr>
        <w:t>ling.</w:t>
      </w:r>
    </w:p>
    <w:p w14:paraId="30EE7CE7" w14:textId="77777777" w:rsidR="00875550" w:rsidRPr="00503F5B" w:rsidRDefault="00875550" w:rsidP="00E04C6D">
      <w:pPr>
        <w:widowControl w:val="0"/>
        <w:autoSpaceDE w:val="0"/>
        <w:autoSpaceDN w:val="0"/>
        <w:adjustRightInd w:val="0"/>
        <w:jc w:val="both"/>
        <w:rPr>
          <w:rFonts w:cs="Calibri"/>
          <w:color w:val="auto"/>
        </w:rPr>
      </w:pPr>
    </w:p>
    <w:p w14:paraId="3281CA97" w14:textId="126B1417" w:rsidR="00E04C6D" w:rsidRPr="00503F5B" w:rsidRDefault="00E04C6D" w:rsidP="00E04C6D">
      <w:pPr>
        <w:widowControl w:val="0"/>
        <w:autoSpaceDE w:val="0"/>
        <w:autoSpaceDN w:val="0"/>
        <w:adjustRightInd w:val="0"/>
        <w:jc w:val="both"/>
        <w:rPr>
          <w:rFonts w:cs="Calibri"/>
          <w:color w:val="auto"/>
        </w:rPr>
      </w:pPr>
      <w:r w:rsidRPr="00503F5B">
        <w:rPr>
          <w:rFonts w:cs="Calibri"/>
          <w:color w:val="auto"/>
        </w:rPr>
        <w:t>Finally, MFB and CFA integrated station costs are combined into one cost estimation in Appendix 3 using the appropriate weighting.</w:t>
      </w:r>
    </w:p>
    <w:p w14:paraId="3845C4A5" w14:textId="77777777" w:rsidR="00E04C6D" w:rsidRPr="00503F5B" w:rsidRDefault="00E04C6D" w:rsidP="00E04C6D">
      <w:pPr>
        <w:pStyle w:val="Heading2"/>
      </w:pPr>
      <w:bookmarkStart w:id="229" w:name="_Toc457772560"/>
      <w:bookmarkStart w:id="230" w:name="_Toc35804159"/>
      <w:bookmarkStart w:id="231" w:name="_Toc35804653"/>
      <w:bookmarkStart w:id="232" w:name="_Toc35812697"/>
      <w:r w:rsidRPr="00503F5B">
        <w:t>A1.1 Estimated total costs of total MFB emergency attendances – all incidents</w:t>
      </w:r>
      <w:bookmarkEnd w:id="229"/>
      <w:bookmarkEnd w:id="230"/>
      <w:bookmarkEnd w:id="231"/>
      <w:bookmarkEnd w:id="232"/>
    </w:p>
    <w:p w14:paraId="6795B3D9" w14:textId="77777777" w:rsidR="00E04C6D" w:rsidRPr="00503F5B" w:rsidRDefault="00E04C6D" w:rsidP="00E04C6D">
      <w:pPr>
        <w:widowControl w:val="0"/>
        <w:autoSpaceDE w:val="0"/>
        <w:autoSpaceDN w:val="0"/>
        <w:adjustRightInd w:val="0"/>
        <w:jc w:val="both"/>
      </w:pPr>
      <w:r w:rsidRPr="00503F5B">
        <w:t xml:space="preserve">The estimation of total costs, including direct appliance operational staff and appliance costs and indirect appliance costs, in relation to total MFB emergency attendances – is provided in the following sections. Estimates are based purely on emergency response vehicle hours and do not </w:t>
      </w:r>
      <w:proofErr w:type="gramStart"/>
      <w:r w:rsidRPr="00503F5B">
        <w:t>take into account</w:t>
      </w:r>
      <w:proofErr w:type="gramEnd"/>
      <w:r w:rsidRPr="00503F5B">
        <w:t xml:space="preserve"> any other out of station activities such as community safety and training</w:t>
      </w:r>
      <w:r w:rsidRPr="00503F5B">
        <w:rPr>
          <w:rStyle w:val="FootnoteReference"/>
        </w:rPr>
        <w:footnoteReference w:id="168"/>
      </w:r>
      <w:r w:rsidRPr="00503F5B">
        <w:t xml:space="preserve">. </w:t>
      </w:r>
    </w:p>
    <w:p w14:paraId="752177BA" w14:textId="77777777" w:rsidR="00E04C6D" w:rsidRPr="00503F5B" w:rsidRDefault="00E04C6D" w:rsidP="00E04C6D">
      <w:pPr>
        <w:widowControl w:val="0"/>
        <w:autoSpaceDE w:val="0"/>
        <w:autoSpaceDN w:val="0"/>
        <w:adjustRightInd w:val="0"/>
        <w:jc w:val="both"/>
      </w:pPr>
    </w:p>
    <w:p w14:paraId="1FFB09FE" w14:textId="20883ED2" w:rsidR="00E04C6D" w:rsidRPr="00503F5B" w:rsidRDefault="00E04C6D" w:rsidP="00E04C6D">
      <w:pPr>
        <w:widowControl w:val="0"/>
        <w:autoSpaceDE w:val="0"/>
        <w:autoSpaceDN w:val="0"/>
        <w:adjustRightInd w:val="0"/>
        <w:jc w:val="both"/>
        <w:rPr>
          <w:rFonts w:cs="Calibri"/>
          <w:color w:val="auto"/>
        </w:rPr>
      </w:pPr>
      <w:r w:rsidRPr="00503F5B">
        <w:rPr>
          <w:rFonts w:cs="Calibri"/>
          <w:color w:val="auto"/>
        </w:rPr>
        <w:t xml:space="preserve">As at January 2020, </w:t>
      </w:r>
      <w:r w:rsidR="00595DFB" w:rsidRPr="00503F5B">
        <w:rPr>
          <w:rFonts w:cs="Calibri"/>
          <w:color w:val="auto"/>
        </w:rPr>
        <w:t>MFB</w:t>
      </w:r>
      <w:r w:rsidRPr="00503F5B">
        <w:rPr>
          <w:rFonts w:cs="Calibri"/>
          <w:color w:val="auto"/>
        </w:rPr>
        <w:t xml:space="preserve"> had nine vessels (fire boats) and whilst a separate time-based cost could be determined for these appliances, according to </w:t>
      </w:r>
      <w:r w:rsidR="00595DFB" w:rsidRPr="00503F5B">
        <w:rPr>
          <w:rFonts w:cs="Calibri"/>
          <w:color w:val="auto"/>
        </w:rPr>
        <w:t>MFB</w:t>
      </w:r>
      <w:r w:rsidRPr="00503F5B">
        <w:rPr>
          <w:rFonts w:cs="Calibri"/>
          <w:color w:val="auto"/>
        </w:rPr>
        <w:t xml:space="preserve"> there are not many calls on these resources regarding false alarms and the costs are not likely to be prohibitive. Therefore, the cost of fireboats is absorbed into </w:t>
      </w:r>
      <w:r w:rsidR="00595DFB" w:rsidRPr="00503F5B">
        <w:rPr>
          <w:rFonts w:cs="Calibri"/>
          <w:color w:val="auto"/>
        </w:rPr>
        <w:t>MFB</w:t>
      </w:r>
      <w:r w:rsidRPr="00503F5B">
        <w:rPr>
          <w:rFonts w:cs="Calibri"/>
          <w:color w:val="auto"/>
        </w:rPr>
        <w:t>’s overall cost base.</w:t>
      </w:r>
    </w:p>
    <w:p w14:paraId="7CBB0CA4" w14:textId="77777777" w:rsidR="00E04C6D" w:rsidRPr="00503F5B" w:rsidRDefault="00E04C6D" w:rsidP="00E04C6D">
      <w:pPr>
        <w:jc w:val="both"/>
      </w:pPr>
    </w:p>
    <w:p w14:paraId="2EE0F8B3" w14:textId="1F27CA71" w:rsidR="00E04C6D" w:rsidRPr="00503F5B" w:rsidRDefault="00E04C6D" w:rsidP="00F94B17">
      <w:pPr>
        <w:pStyle w:val="Heading3"/>
      </w:pPr>
      <w:bookmarkStart w:id="233" w:name="_Toc457772561"/>
      <w:bookmarkStart w:id="234" w:name="_Toc35804160"/>
      <w:bookmarkStart w:id="235" w:name="_Toc35804654"/>
      <w:bookmarkStart w:id="236" w:name="_Toc35812698"/>
      <w:r w:rsidRPr="00503F5B">
        <w:lastRenderedPageBreak/>
        <w:t>A1.1.1 Total annual direct costs of MFB emergency attendances with and without false alarms – 2018-1</w:t>
      </w:r>
      <w:bookmarkEnd w:id="233"/>
      <w:r w:rsidRPr="00503F5B">
        <w:t>9</w:t>
      </w:r>
      <w:bookmarkEnd w:id="234"/>
      <w:bookmarkEnd w:id="235"/>
      <w:bookmarkEnd w:id="236"/>
    </w:p>
    <w:p w14:paraId="2A59820E" w14:textId="77777777" w:rsidR="00E04C6D" w:rsidRPr="00503F5B" w:rsidRDefault="00E04C6D" w:rsidP="00E04C6D"/>
    <w:p w14:paraId="07B1AE18" w14:textId="77777777" w:rsidR="00E04C6D" w:rsidRPr="00503F5B" w:rsidRDefault="00E04C6D" w:rsidP="00AC4EC0">
      <w:pPr>
        <w:pStyle w:val="Heading4"/>
      </w:pPr>
      <w:r w:rsidRPr="00503F5B">
        <w:t>Total direct appliance operational staffing costs</w:t>
      </w:r>
    </w:p>
    <w:p w14:paraId="467071A3" w14:textId="77777777" w:rsidR="00E04C6D" w:rsidRPr="00503F5B" w:rsidRDefault="00E04C6D" w:rsidP="00E04C6D">
      <w:pPr>
        <w:jc w:val="both"/>
      </w:pPr>
    </w:p>
    <w:p w14:paraId="62C4466A" w14:textId="77777777" w:rsidR="00E04C6D" w:rsidRPr="00503F5B" w:rsidRDefault="00E04C6D" w:rsidP="00E04C6D">
      <w:pPr>
        <w:jc w:val="both"/>
      </w:pPr>
      <w:r w:rsidRPr="00503F5B">
        <w:t xml:space="preserve">The estimate of direct total annual operational staff costs per appliance assumes an </w:t>
      </w:r>
      <w:r w:rsidRPr="00503F5B">
        <w:rPr>
          <w:i/>
        </w:rPr>
        <w:t>average</w:t>
      </w:r>
      <w:r w:rsidRPr="00503F5B">
        <w:t xml:space="preserve"> of three and a half personnel per appliance including one Station Officer and two and a half Leading Firefighters.  Salary costs and on-costs for these personal in summarised in Table A1.1.  </w:t>
      </w:r>
    </w:p>
    <w:p w14:paraId="1ECE464C" w14:textId="77777777" w:rsidR="00E04C6D" w:rsidRPr="00503F5B" w:rsidRDefault="00E04C6D" w:rsidP="00E04C6D">
      <w:pPr>
        <w:jc w:val="both"/>
      </w:pPr>
    </w:p>
    <w:p w14:paraId="6A6B99C3" w14:textId="77777777" w:rsidR="00E04C6D" w:rsidRPr="00503F5B" w:rsidRDefault="00E04C6D" w:rsidP="00E04C6D">
      <w:pPr>
        <w:jc w:val="center"/>
        <w:rPr>
          <w:b/>
          <w:sz w:val="20"/>
          <w:szCs w:val="20"/>
        </w:rPr>
      </w:pPr>
      <w:r w:rsidRPr="00503F5B">
        <w:rPr>
          <w:b/>
          <w:sz w:val="20"/>
          <w:szCs w:val="20"/>
        </w:rPr>
        <w:t>Table A1.1: Estimated total direct operational staff costs per appliance – 2018-19</w:t>
      </w:r>
    </w:p>
    <w:p w14:paraId="3CF6CAF8" w14:textId="77777777" w:rsidR="00E04C6D" w:rsidRPr="00503F5B" w:rsidRDefault="00E04C6D" w:rsidP="00E04C6D">
      <w:pPr>
        <w:jc w:val="center"/>
        <w:rPr>
          <w:b/>
          <w:sz w:val="20"/>
          <w:szCs w:val="20"/>
        </w:rPr>
      </w:pPr>
    </w:p>
    <w:tbl>
      <w:tblPr>
        <w:tblW w:w="7112" w:type="dxa"/>
        <w:jc w:val="center"/>
        <w:tblLook w:val="04A0" w:firstRow="1" w:lastRow="0" w:firstColumn="1" w:lastColumn="0" w:noHBand="0" w:noVBand="1"/>
      </w:tblPr>
      <w:tblGrid>
        <w:gridCol w:w="1843"/>
        <w:gridCol w:w="1047"/>
        <w:gridCol w:w="1387"/>
        <w:gridCol w:w="1316"/>
        <w:gridCol w:w="1519"/>
      </w:tblGrid>
      <w:tr w:rsidR="00E04C6D" w:rsidRPr="00503F5B" w14:paraId="40BA5110" w14:textId="77777777" w:rsidTr="00872971">
        <w:trPr>
          <w:trHeight w:val="840"/>
          <w:jc w:val="center"/>
        </w:trPr>
        <w:tc>
          <w:tcPr>
            <w:tcW w:w="1843" w:type="dxa"/>
            <w:tcBorders>
              <w:top w:val="single" w:sz="4" w:space="0" w:color="ED7C5D"/>
              <w:left w:val="nil"/>
              <w:bottom w:val="double" w:sz="4" w:space="0" w:color="ED7C5D"/>
              <w:right w:val="nil"/>
            </w:tcBorders>
            <w:shd w:val="clear" w:color="000000" w:fill="FFFFFF"/>
            <w:vAlign w:val="center"/>
            <w:hideMark/>
          </w:tcPr>
          <w:p w14:paraId="62D572F8" w14:textId="77777777" w:rsidR="00E04C6D" w:rsidRPr="00503F5B" w:rsidRDefault="00E04C6D" w:rsidP="00E04C6D">
            <w:pPr>
              <w:rPr>
                <w:rFonts w:eastAsia="Times New Roman" w:cs="Calibri"/>
                <w:b/>
                <w:bCs/>
                <w:color w:val="BE2A18"/>
                <w:sz w:val="20"/>
                <w:szCs w:val="20"/>
                <w:lang w:eastAsia="en-AU"/>
              </w:rPr>
            </w:pPr>
            <w:r w:rsidRPr="00503F5B">
              <w:rPr>
                <w:rFonts w:eastAsia="Times New Roman" w:cs="Calibri"/>
                <w:b/>
                <w:bCs/>
                <w:color w:val="BE2A18"/>
                <w:sz w:val="20"/>
                <w:szCs w:val="20"/>
                <w:lang w:eastAsia="en-AU"/>
              </w:rPr>
              <w:t>Personnel type</w:t>
            </w:r>
          </w:p>
        </w:tc>
        <w:tc>
          <w:tcPr>
            <w:tcW w:w="1047" w:type="dxa"/>
            <w:tcBorders>
              <w:top w:val="single" w:sz="4" w:space="0" w:color="ED7C5D"/>
              <w:left w:val="nil"/>
              <w:bottom w:val="double" w:sz="4" w:space="0" w:color="ED7C5D"/>
              <w:right w:val="nil"/>
            </w:tcBorders>
            <w:shd w:val="clear" w:color="000000" w:fill="FFFFFF"/>
            <w:vAlign w:val="center"/>
            <w:hideMark/>
          </w:tcPr>
          <w:p w14:paraId="31A87CFF" w14:textId="77777777" w:rsidR="00E04C6D" w:rsidRPr="00503F5B" w:rsidRDefault="00E04C6D" w:rsidP="00E04C6D">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No. personnel</w:t>
            </w:r>
          </w:p>
        </w:tc>
        <w:tc>
          <w:tcPr>
            <w:tcW w:w="1387" w:type="dxa"/>
            <w:tcBorders>
              <w:top w:val="single" w:sz="4" w:space="0" w:color="ED7C5D"/>
              <w:left w:val="nil"/>
              <w:bottom w:val="double" w:sz="4" w:space="0" w:color="ED7C5D"/>
              <w:right w:val="nil"/>
            </w:tcBorders>
            <w:shd w:val="clear" w:color="auto" w:fill="auto"/>
            <w:vAlign w:val="center"/>
            <w:hideMark/>
          </w:tcPr>
          <w:p w14:paraId="27D00181" w14:textId="77777777" w:rsidR="00E04C6D" w:rsidRPr="00503F5B" w:rsidRDefault="00E04C6D" w:rsidP="00E04C6D">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2019-20 annual Salary</w:t>
            </w:r>
          </w:p>
        </w:tc>
        <w:tc>
          <w:tcPr>
            <w:tcW w:w="1316" w:type="dxa"/>
            <w:tcBorders>
              <w:top w:val="single" w:sz="4" w:space="0" w:color="ED7C5D"/>
              <w:left w:val="nil"/>
              <w:bottom w:val="double" w:sz="4" w:space="0" w:color="ED7C5D"/>
              <w:right w:val="nil"/>
            </w:tcBorders>
            <w:shd w:val="clear" w:color="000000" w:fill="FFFFFF"/>
            <w:vAlign w:val="center"/>
            <w:hideMark/>
          </w:tcPr>
          <w:p w14:paraId="71D6748C" w14:textId="77777777" w:rsidR="00E04C6D" w:rsidRPr="00503F5B" w:rsidRDefault="00E04C6D" w:rsidP="00E04C6D">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Salary on costs per person</w:t>
            </w:r>
            <w:r w:rsidRPr="00503F5B">
              <w:rPr>
                <w:rStyle w:val="FootnoteReference"/>
                <w:b/>
                <w:color w:val="BE2A18"/>
                <w:sz w:val="20"/>
                <w:szCs w:val="20"/>
              </w:rPr>
              <w:footnoteReference w:id="169"/>
            </w:r>
          </w:p>
        </w:tc>
        <w:tc>
          <w:tcPr>
            <w:tcW w:w="1519" w:type="dxa"/>
            <w:tcBorders>
              <w:top w:val="single" w:sz="4" w:space="0" w:color="ED7C5D"/>
              <w:left w:val="nil"/>
              <w:bottom w:val="double" w:sz="4" w:space="0" w:color="ED7C5D"/>
              <w:right w:val="nil"/>
            </w:tcBorders>
            <w:shd w:val="clear" w:color="000000" w:fill="FFFFFF"/>
            <w:vAlign w:val="center"/>
            <w:hideMark/>
          </w:tcPr>
          <w:p w14:paraId="4B421206" w14:textId="77777777" w:rsidR="00E04C6D" w:rsidRPr="00503F5B" w:rsidRDefault="00E04C6D" w:rsidP="00E04C6D">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 xml:space="preserve">Total annual salary plus salary on costs </w:t>
            </w:r>
          </w:p>
        </w:tc>
      </w:tr>
      <w:tr w:rsidR="00E04C6D" w:rsidRPr="00503F5B" w14:paraId="7E191D66" w14:textId="77777777" w:rsidTr="00872971">
        <w:trPr>
          <w:trHeight w:val="300"/>
          <w:jc w:val="center"/>
        </w:trPr>
        <w:tc>
          <w:tcPr>
            <w:tcW w:w="1843" w:type="dxa"/>
            <w:tcBorders>
              <w:top w:val="double" w:sz="4" w:space="0" w:color="ED7C5D"/>
              <w:left w:val="nil"/>
              <w:bottom w:val="nil"/>
              <w:right w:val="nil"/>
            </w:tcBorders>
            <w:shd w:val="clear" w:color="000000" w:fill="FFFFFF"/>
            <w:hideMark/>
          </w:tcPr>
          <w:p w14:paraId="46C4A755"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Station Officer</w:t>
            </w:r>
          </w:p>
        </w:tc>
        <w:tc>
          <w:tcPr>
            <w:tcW w:w="1047" w:type="dxa"/>
            <w:tcBorders>
              <w:top w:val="double" w:sz="4" w:space="0" w:color="ED7C5D"/>
              <w:left w:val="nil"/>
              <w:bottom w:val="nil"/>
              <w:right w:val="nil"/>
            </w:tcBorders>
            <w:shd w:val="clear" w:color="000000" w:fill="FFFFFF"/>
            <w:hideMark/>
          </w:tcPr>
          <w:p w14:paraId="01543D87"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w:t>
            </w:r>
          </w:p>
        </w:tc>
        <w:tc>
          <w:tcPr>
            <w:tcW w:w="1387" w:type="dxa"/>
            <w:tcBorders>
              <w:top w:val="double" w:sz="4" w:space="0" w:color="ED7C5D"/>
              <w:left w:val="nil"/>
              <w:bottom w:val="nil"/>
              <w:right w:val="nil"/>
            </w:tcBorders>
            <w:shd w:val="clear" w:color="auto" w:fill="auto"/>
            <w:hideMark/>
          </w:tcPr>
          <w:p w14:paraId="17C908C3"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$120,464</w:t>
            </w:r>
          </w:p>
        </w:tc>
        <w:tc>
          <w:tcPr>
            <w:tcW w:w="1316" w:type="dxa"/>
            <w:tcBorders>
              <w:top w:val="double" w:sz="4" w:space="0" w:color="ED7C5D"/>
              <w:left w:val="nil"/>
              <w:bottom w:val="nil"/>
              <w:right w:val="nil"/>
            </w:tcBorders>
            <w:shd w:val="clear" w:color="000000" w:fill="FFFFFF"/>
            <w:hideMark/>
          </w:tcPr>
          <w:p w14:paraId="1661D478"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$32,597</w:t>
            </w:r>
          </w:p>
        </w:tc>
        <w:tc>
          <w:tcPr>
            <w:tcW w:w="1519" w:type="dxa"/>
            <w:tcBorders>
              <w:top w:val="double" w:sz="4" w:space="0" w:color="ED7C5D"/>
              <w:left w:val="nil"/>
              <w:bottom w:val="nil"/>
              <w:right w:val="nil"/>
            </w:tcBorders>
            <w:shd w:val="clear" w:color="000000" w:fill="FFFFFF"/>
            <w:hideMark/>
          </w:tcPr>
          <w:p w14:paraId="4220C457"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$153,061</w:t>
            </w:r>
          </w:p>
        </w:tc>
      </w:tr>
      <w:tr w:rsidR="00E04C6D" w:rsidRPr="00503F5B" w14:paraId="42B1C01C" w14:textId="77777777" w:rsidTr="00E04C6D">
        <w:trPr>
          <w:trHeight w:val="288"/>
          <w:jc w:val="center"/>
        </w:trPr>
        <w:tc>
          <w:tcPr>
            <w:tcW w:w="1843" w:type="dxa"/>
            <w:tcBorders>
              <w:top w:val="nil"/>
              <w:left w:val="nil"/>
              <w:bottom w:val="nil"/>
              <w:right w:val="nil"/>
            </w:tcBorders>
            <w:shd w:val="clear" w:color="000000" w:fill="FFFFFF"/>
            <w:hideMark/>
          </w:tcPr>
          <w:p w14:paraId="2489C7D8"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Leading Firefighter</w:t>
            </w:r>
          </w:p>
        </w:tc>
        <w:tc>
          <w:tcPr>
            <w:tcW w:w="1047" w:type="dxa"/>
            <w:tcBorders>
              <w:top w:val="nil"/>
              <w:left w:val="nil"/>
              <w:bottom w:val="nil"/>
              <w:right w:val="nil"/>
            </w:tcBorders>
            <w:shd w:val="clear" w:color="000000" w:fill="FFFFFF"/>
            <w:hideMark/>
          </w:tcPr>
          <w:p w14:paraId="54C471A0"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2.5</w:t>
            </w:r>
          </w:p>
        </w:tc>
        <w:tc>
          <w:tcPr>
            <w:tcW w:w="1387" w:type="dxa"/>
            <w:tcBorders>
              <w:top w:val="nil"/>
              <w:left w:val="nil"/>
              <w:bottom w:val="nil"/>
              <w:right w:val="nil"/>
            </w:tcBorders>
            <w:shd w:val="clear" w:color="auto" w:fill="auto"/>
            <w:noWrap/>
            <w:hideMark/>
          </w:tcPr>
          <w:p w14:paraId="0F47DDE5"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$113,568</w:t>
            </w:r>
          </w:p>
        </w:tc>
        <w:tc>
          <w:tcPr>
            <w:tcW w:w="1316" w:type="dxa"/>
            <w:tcBorders>
              <w:top w:val="nil"/>
              <w:left w:val="nil"/>
              <w:bottom w:val="nil"/>
              <w:right w:val="nil"/>
            </w:tcBorders>
            <w:shd w:val="clear" w:color="000000" w:fill="FFFFFF"/>
            <w:hideMark/>
          </w:tcPr>
          <w:p w14:paraId="53185AB4"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$30,731</w:t>
            </w:r>
          </w:p>
        </w:tc>
        <w:tc>
          <w:tcPr>
            <w:tcW w:w="1519" w:type="dxa"/>
            <w:tcBorders>
              <w:top w:val="nil"/>
              <w:left w:val="nil"/>
              <w:bottom w:val="nil"/>
              <w:right w:val="nil"/>
            </w:tcBorders>
            <w:shd w:val="clear" w:color="000000" w:fill="FFFFFF"/>
            <w:hideMark/>
          </w:tcPr>
          <w:p w14:paraId="685C944A"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$360,748</w:t>
            </w:r>
          </w:p>
        </w:tc>
      </w:tr>
      <w:tr w:rsidR="00E04C6D" w:rsidRPr="00503F5B" w14:paraId="767315C9" w14:textId="77777777" w:rsidTr="00872971">
        <w:trPr>
          <w:trHeight w:val="288"/>
          <w:jc w:val="center"/>
        </w:trPr>
        <w:tc>
          <w:tcPr>
            <w:tcW w:w="1843" w:type="dxa"/>
            <w:tcBorders>
              <w:top w:val="nil"/>
              <w:left w:val="nil"/>
              <w:bottom w:val="single" w:sz="4" w:space="0" w:color="ED7C5D"/>
              <w:right w:val="nil"/>
            </w:tcBorders>
            <w:shd w:val="clear" w:color="000000" w:fill="FFFFFF"/>
            <w:hideMark/>
          </w:tcPr>
          <w:p w14:paraId="3823DB39"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EMR allowance</w:t>
            </w:r>
          </w:p>
        </w:tc>
        <w:tc>
          <w:tcPr>
            <w:tcW w:w="1047" w:type="dxa"/>
            <w:tcBorders>
              <w:top w:val="nil"/>
              <w:left w:val="nil"/>
              <w:bottom w:val="single" w:sz="4" w:space="0" w:color="ED7C5D"/>
              <w:right w:val="nil"/>
            </w:tcBorders>
            <w:shd w:val="clear" w:color="000000" w:fill="FFFFFF"/>
            <w:hideMark/>
          </w:tcPr>
          <w:p w14:paraId="529DE682"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3.5</w:t>
            </w:r>
          </w:p>
        </w:tc>
        <w:tc>
          <w:tcPr>
            <w:tcW w:w="1387" w:type="dxa"/>
            <w:tcBorders>
              <w:top w:val="nil"/>
              <w:left w:val="nil"/>
              <w:bottom w:val="single" w:sz="4" w:space="0" w:color="ED7C5D"/>
              <w:right w:val="nil"/>
            </w:tcBorders>
            <w:shd w:val="clear" w:color="auto" w:fill="auto"/>
            <w:hideMark/>
          </w:tcPr>
          <w:p w14:paraId="0EA0EA0A"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$5,023</w:t>
            </w:r>
          </w:p>
        </w:tc>
        <w:tc>
          <w:tcPr>
            <w:tcW w:w="1316" w:type="dxa"/>
            <w:tcBorders>
              <w:top w:val="nil"/>
              <w:left w:val="nil"/>
              <w:bottom w:val="single" w:sz="4" w:space="0" w:color="ED7C5D"/>
              <w:right w:val="nil"/>
            </w:tcBorders>
            <w:shd w:val="clear" w:color="000000" w:fill="FFFFFF"/>
            <w:hideMark/>
          </w:tcPr>
          <w:p w14:paraId="4E3F28D2"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$1,359</w:t>
            </w:r>
          </w:p>
        </w:tc>
        <w:tc>
          <w:tcPr>
            <w:tcW w:w="1519" w:type="dxa"/>
            <w:tcBorders>
              <w:top w:val="nil"/>
              <w:left w:val="nil"/>
              <w:bottom w:val="single" w:sz="4" w:space="0" w:color="ED7C5D"/>
              <w:right w:val="nil"/>
            </w:tcBorders>
            <w:shd w:val="clear" w:color="000000" w:fill="FFFFFF"/>
            <w:hideMark/>
          </w:tcPr>
          <w:p w14:paraId="680DDA0D"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$22,339</w:t>
            </w:r>
          </w:p>
        </w:tc>
      </w:tr>
      <w:tr w:rsidR="00E04C6D" w:rsidRPr="00503F5B" w14:paraId="3B45B07A" w14:textId="77777777" w:rsidTr="00872971">
        <w:trPr>
          <w:trHeight w:val="288"/>
          <w:jc w:val="center"/>
        </w:trPr>
        <w:tc>
          <w:tcPr>
            <w:tcW w:w="1843" w:type="dxa"/>
            <w:tcBorders>
              <w:top w:val="single" w:sz="4" w:space="0" w:color="ED7C5D"/>
              <w:left w:val="nil"/>
              <w:bottom w:val="single" w:sz="4" w:space="0" w:color="ED7C5D"/>
              <w:right w:val="nil"/>
            </w:tcBorders>
            <w:shd w:val="clear" w:color="000000" w:fill="FFFFFF"/>
            <w:hideMark/>
          </w:tcPr>
          <w:p w14:paraId="3817C3E5" w14:textId="77777777" w:rsidR="00E04C6D" w:rsidRPr="00503F5B" w:rsidRDefault="00E04C6D" w:rsidP="00E04C6D">
            <w:pPr>
              <w:rPr>
                <w:rFonts w:eastAsia="Times New Roman" w:cs="Calibri"/>
                <w:b/>
                <w:bCs/>
                <w:sz w:val="20"/>
                <w:szCs w:val="20"/>
                <w:lang w:eastAsia="en-AU"/>
              </w:rPr>
            </w:pPr>
            <w:r w:rsidRPr="00503F5B">
              <w:rPr>
                <w:rFonts w:eastAsia="Times New Roman" w:cs="Calibri"/>
                <w:b/>
                <w:bCs/>
                <w:sz w:val="20"/>
                <w:szCs w:val="20"/>
                <w:lang w:eastAsia="en-AU"/>
              </w:rPr>
              <w:t xml:space="preserve">Total </w:t>
            </w:r>
          </w:p>
        </w:tc>
        <w:tc>
          <w:tcPr>
            <w:tcW w:w="1047" w:type="dxa"/>
            <w:tcBorders>
              <w:top w:val="single" w:sz="4" w:space="0" w:color="ED7C5D"/>
              <w:left w:val="nil"/>
              <w:bottom w:val="single" w:sz="4" w:space="0" w:color="ED7C5D"/>
              <w:right w:val="nil"/>
            </w:tcBorders>
            <w:shd w:val="clear" w:color="000000" w:fill="FFFFFF"/>
            <w:hideMark/>
          </w:tcPr>
          <w:p w14:paraId="02C2F60C"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 </w:t>
            </w:r>
          </w:p>
        </w:tc>
        <w:tc>
          <w:tcPr>
            <w:tcW w:w="1387" w:type="dxa"/>
            <w:tcBorders>
              <w:top w:val="single" w:sz="4" w:space="0" w:color="ED7C5D"/>
              <w:left w:val="nil"/>
              <w:bottom w:val="single" w:sz="4" w:space="0" w:color="ED7C5D"/>
              <w:right w:val="nil"/>
            </w:tcBorders>
            <w:shd w:val="clear" w:color="000000" w:fill="FFFFFF"/>
            <w:hideMark/>
          </w:tcPr>
          <w:p w14:paraId="0C65D346"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$239,055</w:t>
            </w:r>
          </w:p>
        </w:tc>
        <w:tc>
          <w:tcPr>
            <w:tcW w:w="1316" w:type="dxa"/>
            <w:tcBorders>
              <w:top w:val="single" w:sz="4" w:space="0" w:color="ED7C5D"/>
              <w:left w:val="nil"/>
              <w:bottom w:val="single" w:sz="4" w:space="0" w:color="ED7C5D"/>
              <w:right w:val="nil"/>
            </w:tcBorders>
            <w:shd w:val="clear" w:color="000000" w:fill="FFFFFF"/>
            <w:hideMark/>
          </w:tcPr>
          <w:p w14:paraId="3966DEA7"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$64,688</w:t>
            </w:r>
          </w:p>
        </w:tc>
        <w:tc>
          <w:tcPr>
            <w:tcW w:w="1519" w:type="dxa"/>
            <w:tcBorders>
              <w:top w:val="single" w:sz="4" w:space="0" w:color="ED7C5D"/>
              <w:left w:val="nil"/>
              <w:bottom w:val="single" w:sz="4" w:space="0" w:color="ED7C5D"/>
              <w:right w:val="nil"/>
            </w:tcBorders>
            <w:shd w:val="clear" w:color="000000" w:fill="FFFFFF"/>
            <w:hideMark/>
          </w:tcPr>
          <w:p w14:paraId="3A787C4F"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$536,148</w:t>
            </w:r>
          </w:p>
        </w:tc>
      </w:tr>
    </w:tbl>
    <w:p w14:paraId="7B90009F" w14:textId="77777777" w:rsidR="00E04C6D" w:rsidRPr="00503F5B" w:rsidRDefault="00E04C6D" w:rsidP="00E04C6D">
      <w:pPr>
        <w:jc w:val="center"/>
        <w:rPr>
          <w:b/>
          <w:sz w:val="20"/>
          <w:szCs w:val="20"/>
        </w:rPr>
      </w:pPr>
    </w:p>
    <w:p w14:paraId="5E74DED4" w14:textId="72791109" w:rsidR="00E04C6D" w:rsidRPr="00503F5B" w:rsidRDefault="00E04C6D" w:rsidP="00E04C6D">
      <w:pPr>
        <w:rPr>
          <w:rFonts w:cs="Calibri"/>
          <w:color w:val="auto"/>
        </w:rPr>
      </w:pPr>
      <w:r w:rsidRPr="00503F5B">
        <w:t>Operational staff costs also include an Emergency Management Response (EMR) allowance of $5,023.20 per annum</w:t>
      </w:r>
      <w:r w:rsidRPr="00503F5B">
        <w:rPr>
          <w:rStyle w:val="FootnoteReference"/>
        </w:rPr>
        <w:footnoteReference w:id="170"/>
      </w:r>
      <w:r w:rsidRPr="00503F5B">
        <w:t xml:space="preserve"> per person.  As shown in Table A1.1 the total direct operational staff cost per appliance is estimated to be </w:t>
      </w:r>
      <w:r w:rsidRPr="00503F5B">
        <w:rPr>
          <w:i/>
        </w:rPr>
        <w:t>$536,148</w:t>
      </w:r>
      <w:r w:rsidRPr="00503F5B">
        <w:rPr>
          <w:rStyle w:val="FootnoteReference"/>
          <w:i/>
        </w:rPr>
        <w:footnoteReference w:id="171"/>
      </w:r>
      <w:r w:rsidRPr="00503F5B">
        <w:t xml:space="preserve"> for 2018-19.  </w:t>
      </w:r>
      <w:r w:rsidRPr="00503F5B">
        <w:rPr>
          <w:rFonts w:cs="Calibri"/>
          <w:color w:val="auto"/>
        </w:rPr>
        <w:t>The total annual salary, salary on costs and EMR allowances are then multiplied by a crewing factor</w:t>
      </w:r>
      <w:r w:rsidRPr="00503F5B">
        <w:rPr>
          <w:rStyle w:val="FootnoteReference"/>
          <w:rFonts w:cs="Calibri"/>
          <w:color w:val="auto"/>
        </w:rPr>
        <w:footnoteReference w:id="172"/>
      </w:r>
      <w:r w:rsidRPr="00503F5B">
        <w:rPr>
          <w:rFonts w:cs="Calibri"/>
          <w:color w:val="auto"/>
        </w:rPr>
        <w:t xml:space="preserve"> of 5.89 and the ratio of average number of appliances on the road (86) to the maximum number of appliances on the road (107).  This provides a total annual direct operational staffing cost of </w:t>
      </w:r>
      <w:r w:rsidRPr="00503F5B">
        <w:rPr>
          <w:rFonts w:cs="Calibri"/>
          <w:i/>
          <w:color w:val="auto"/>
        </w:rPr>
        <w:t>$2,538,135 per appliance</w:t>
      </w:r>
      <w:r w:rsidRPr="00503F5B">
        <w:rPr>
          <w:rFonts w:cs="Calibri"/>
          <w:color w:val="auto"/>
        </w:rPr>
        <w:t xml:space="preserve">. Based on 107 maximum appliances, the total direct cost of annual appliance staffing is estimated to be </w:t>
      </w:r>
      <w:r w:rsidRPr="00503F5B">
        <w:rPr>
          <w:rFonts w:cs="Calibri"/>
          <w:b/>
          <w:color w:val="auto"/>
        </w:rPr>
        <w:t xml:space="preserve">$271,580,455 </w:t>
      </w:r>
      <w:r w:rsidRPr="00503F5B">
        <w:rPr>
          <w:rFonts w:cs="Calibri"/>
          <w:color w:val="auto"/>
        </w:rPr>
        <w:t xml:space="preserve">for 2018-19. </w:t>
      </w:r>
    </w:p>
    <w:p w14:paraId="298F69ED" w14:textId="77777777" w:rsidR="00E04C6D" w:rsidRPr="00503F5B" w:rsidRDefault="00E04C6D" w:rsidP="00E04C6D"/>
    <w:p w14:paraId="449549A6" w14:textId="77777777" w:rsidR="00E04C6D" w:rsidRPr="00503F5B" w:rsidRDefault="00E04C6D" w:rsidP="00AC4EC0">
      <w:pPr>
        <w:pStyle w:val="Heading4"/>
      </w:pPr>
      <w:r w:rsidRPr="00503F5B">
        <w:t>Total direct ‘other’ costs</w:t>
      </w:r>
    </w:p>
    <w:p w14:paraId="2E374EF4" w14:textId="77777777" w:rsidR="00E04C6D" w:rsidRPr="00503F5B" w:rsidRDefault="00E04C6D" w:rsidP="00E04C6D">
      <w:pPr>
        <w:widowControl w:val="0"/>
        <w:autoSpaceDE w:val="0"/>
        <w:autoSpaceDN w:val="0"/>
        <w:adjustRightInd w:val="0"/>
        <w:jc w:val="both"/>
        <w:rPr>
          <w:rFonts w:cs="Calibri"/>
          <w:color w:val="auto"/>
        </w:rPr>
      </w:pPr>
    </w:p>
    <w:p w14:paraId="1ADCC4D4" w14:textId="77777777" w:rsidR="00E04C6D" w:rsidRPr="00503F5B" w:rsidRDefault="00E04C6D" w:rsidP="00E04C6D">
      <w:pPr>
        <w:widowControl w:val="0"/>
        <w:autoSpaceDE w:val="0"/>
        <w:autoSpaceDN w:val="0"/>
        <w:adjustRightInd w:val="0"/>
        <w:jc w:val="both"/>
        <w:rPr>
          <w:rFonts w:cs="Calibri"/>
          <w:color w:val="auto"/>
        </w:rPr>
      </w:pPr>
      <w:r w:rsidRPr="00503F5B">
        <w:rPr>
          <w:rFonts w:cs="Calibri"/>
          <w:color w:val="auto"/>
        </w:rPr>
        <w:t>Total direct appliance fuel and maintenance costs for MFB emergency attendances are estimated to be $879,815 and $6,117,978, respectively</w:t>
      </w:r>
      <w:r w:rsidRPr="00503F5B">
        <w:rPr>
          <w:rStyle w:val="FootnoteReference"/>
          <w:rFonts w:cs="Calibri"/>
          <w:color w:val="auto"/>
        </w:rPr>
        <w:footnoteReference w:id="173"/>
      </w:r>
      <w:r w:rsidRPr="00503F5B">
        <w:rPr>
          <w:rFonts w:cs="Calibri"/>
          <w:color w:val="auto"/>
        </w:rPr>
        <w:t>, for 2018-19. Additional appliance registration and insurance costs for 2018-19 are estimated to be $319,415</w:t>
      </w:r>
      <w:r w:rsidRPr="00503F5B">
        <w:rPr>
          <w:rStyle w:val="FootnoteReference"/>
          <w:rFonts w:cs="Calibri"/>
          <w:color w:val="auto"/>
        </w:rPr>
        <w:footnoteReference w:id="174"/>
      </w:r>
      <w:r w:rsidRPr="00503F5B">
        <w:rPr>
          <w:rFonts w:cs="Calibri"/>
          <w:color w:val="auto"/>
        </w:rPr>
        <w:t xml:space="preserve">.  Total direct ‘other’ appliance costs of MFB emergency attendances is estimated to be </w:t>
      </w:r>
      <w:r w:rsidRPr="00503F5B">
        <w:rPr>
          <w:rFonts w:cs="Calibri"/>
          <w:b/>
          <w:color w:val="auto"/>
        </w:rPr>
        <w:t xml:space="preserve">$7,317,208 </w:t>
      </w:r>
      <w:r w:rsidRPr="00503F5B">
        <w:rPr>
          <w:rFonts w:cs="Calibri"/>
          <w:color w:val="auto"/>
        </w:rPr>
        <w:t>for 2018-19.  These costs do not include water and other firefighting materials used in emergency attendances.</w:t>
      </w:r>
    </w:p>
    <w:p w14:paraId="65FB7A1B" w14:textId="77777777" w:rsidR="00E04C6D" w:rsidRPr="00503F5B" w:rsidRDefault="00E04C6D" w:rsidP="00E04C6D">
      <w:pPr>
        <w:widowControl w:val="0"/>
        <w:autoSpaceDE w:val="0"/>
        <w:autoSpaceDN w:val="0"/>
        <w:adjustRightInd w:val="0"/>
        <w:jc w:val="both"/>
        <w:rPr>
          <w:rFonts w:cs="Calibri"/>
          <w:color w:val="auto"/>
        </w:rPr>
      </w:pPr>
    </w:p>
    <w:p w14:paraId="16F72FDE" w14:textId="77777777" w:rsidR="003F215B" w:rsidRPr="00503F5B" w:rsidRDefault="003F215B" w:rsidP="00517C6D">
      <w:bookmarkStart w:id="237" w:name="_Toc457772562"/>
      <w:r w:rsidRPr="00503F5B">
        <w:br w:type="page"/>
      </w:r>
    </w:p>
    <w:p w14:paraId="7B8841C2" w14:textId="7A909027" w:rsidR="00E04C6D" w:rsidRPr="00503F5B" w:rsidRDefault="00E04C6D" w:rsidP="00F94B17">
      <w:pPr>
        <w:pStyle w:val="Heading3"/>
      </w:pPr>
      <w:bookmarkStart w:id="238" w:name="_Toc35804161"/>
      <w:bookmarkStart w:id="239" w:name="_Toc35804655"/>
      <w:bookmarkStart w:id="240" w:name="_Toc35812699"/>
      <w:r w:rsidRPr="00503F5B">
        <w:lastRenderedPageBreak/>
        <w:t>A1.1.2 Total annual direct and indirect costs of MFB emergency attendances – 2018-1</w:t>
      </w:r>
      <w:bookmarkEnd w:id="237"/>
      <w:r w:rsidRPr="00503F5B">
        <w:t>9</w:t>
      </w:r>
      <w:bookmarkEnd w:id="238"/>
      <w:bookmarkEnd w:id="239"/>
      <w:bookmarkEnd w:id="240"/>
    </w:p>
    <w:p w14:paraId="354FBB85" w14:textId="77777777" w:rsidR="00E04C6D" w:rsidRPr="00503F5B" w:rsidRDefault="00E04C6D" w:rsidP="00E04C6D">
      <w:pPr>
        <w:widowControl w:val="0"/>
        <w:autoSpaceDE w:val="0"/>
        <w:autoSpaceDN w:val="0"/>
        <w:adjustRightInd w:val="0"/>
        <w:rPr>
          <w:rFonts w:cs="Calibri"/>
          <w:color w:val="auto"/>
        </w:rPr>
      </w:pPr>
    </w:p>
    <w:p w14:paraId="4ED9A386" w14:textId="77777777" w:rsidR="00E04C6D" w:rsidRPr="00503F5B" w:rsidRDefault="00E04C6D" w:rsidP="00E04C6D">
      <w:pPr>
        <w:widowControl w:val="0"/>
        <w:autoSpaceDE w:val="0"/>
        <w:autoSpaceDN w:val="0"/>
        <w:adjustRightInd w:val="0"/>
        <w:jc w:val="both"/>
        <w:rPr>
          <w:rFonts w:cs="Calibri"/>
          <w:color w:val="auto"/>
        </w:rPr>
      </w:pPr>
      <w:r w:rsidRPr="00503F5B">
        <w:rPr>
          <w:rFonts w:cs="Calibri"/>
          <w:color w:val="auto"/>
        </w:rPr>
        <w:t xml:space="preserve">Total annual direct and indirect appliance costs for MFB emergency attendances is summarised in Table A1.2 and estimated to be </w:t>
      </w:r>
      <w:r w:rsidRPr="00503F5B">
        <w:rPr>
          <w:rFonts w:cs="Calibri"/>
          <w:b/>
          <w:i/>
          <w:color w:val="auto"/>
        </w:rPr>
        <w:t>$371,950,644</w:t>
      </w:r>
      <w:r w:rsidRPr="00503F5B">
        <w:rPr>
          <w:rFonts w:cs="Calibri"/>
          <w:color w:val="auto"/>
        </w:rPr>
        <w:t xml:space="preserve"> for 2018-19.  These annual appliance costs include estimates for direct appliance operational staffing costs (the largest proportion of costs 73.02% of overall costs) and direct other appliance costs (see A1.1.1 for all direct costs), as well as, estimates for indirect appliance costs including</w:t>
      </w:r>
      <w:r w:rsidRPr="000C18EC">
        <w:rPr>
          <w:rFonts w:cs="Calibri"/>
          <w:color w:val="auto"/>
        </w:rPr>
        <w:t>: overtime and allowances for station personnel</w:t>
      </w:r>
      <w:r w:rsidRPr="00503F5B">
        <w:rPr>
          <w:rFonts w:cs="Calibri"/>
          <w:color w:val="auto"/>
        </w:rPr>
        <w:t>; personal protective equipment  (PPE); training</w:t>
      </w:r>
      <w:r w:rsidRPr="00503F5B">
        <w:rPr>
          <w:rStyle w:val="FootnoteReference"/>
          <w:rFonts w:cs="Calibri"/>
          <w:color w:val="auto"/>
        </w:rPr>
        <w:footnoteReference w:id="175"/>
      </w:r>
      <w:r w:rsidRPr="00503F5B">
        <w:rPr>
          <w:rFonts w:cs="Calibri"/>
          <w:color w:val="auto"/>
        </w:rPr>
        <w:t>; and administrative support costs</w:t>
      </w:r>
      <w:r w:rsidRPr="00503F5B">
        <w:rPr>
          <w:rStyle w:val="FootnoteReference"/>
          <w:rFonts w:cs="Calibri"/>
          <w:color w:val="auto"/>
        </w:rPr>
        <w:footnoteReference w:id="176"/>
      </w:r>
      <w:r w:rsidRPr="00503F5B">
        <w:rPr>
          <w:rFonts w:cs="Calibri"/>
          <w:color w:val="auto"/>
        </w:rPr>
        <w:t xml:space="preserve"> (13.07% of overall costs).</w:t>
      </w:r>
    </w:p>
    <w:p w14:paraId="0E632D17" w14:textId="77777777" w:rsidR="00E04C6D" w:rsidRPr="00503F5B" w:rsidRDefault="00E04C6D" w:rsidP="00E04C6D">
      <w:pPr>
        <w:widowControl w:val="0"/>
        <w:autoSpaceDE w:val="0"/>
        <w:autoSpaceDN w:val="0"/>
        <w:adjustRightInd w:val="0"/>
        <w:rPr>
          <w:rFonts w:cs="Calibri"/>
          <w:color w:val="auto"/>
        </w:rPr>
      </w:pPr>
    </w:p>
    <w:p w14:paraId="0DC583EE" w14:textId="77777777" w:rsidR="00E04C6D" w:rsidRPr="00503F5B" w:rsidRDefault="00E04C6D" w:rsidP="00E04C6D">
      <w:pPr>
        <w:widowControl w:val="0"/>
        <w:autoSpaceDE w:val="0"/>
        <w:autoSpaceDN w:val="0"/>
        <w:adjustRightInd w:val="0"/>
        <w:jc w:val="center"/>
        <w:rPr>
          <w:rFonts w:cs="Calibri"/>
          <w:b/>
          <w:color w:val="auto"/>
          <w:sz w:val="20"/>
          <w:szCs w:val="20"/>
        </w:rPr>
      </w:pPr>
      <w:r w:rsidRPr="00503F5B">
        <w:rPr>
          <w:rFonts w:cs="Calibri"/>
          <w:b/>
          <w:color w:val="auto"/>
          <w:sz w:val="20"/>
          <w:szCs w:val="20"/>
        </w:rPr>
        <w:t>Table A1.2: Total estimated direct and indirect costs for MFB attendances – 2018-19</w:t>
      </w:r>
    </w:p>
    <w:p w14:paraId="6D62FA41" w14:textId="77777777" w:rsidR="00E04C6D" w:rsidRPr="00503F5B" w:rsidRDefault="00E04C6D" w:rsidP="00E04C6D">
      <w:pPr>
        <w:widowControl w:val="0"/>
        <w:autoSpaceDE w:val="0"/>
        <w:autoSpaceDN w:val="0"/>
        <w:adjustRightInd w:val="0"/>
        <w:rPr>
          <w:rFonts w:cs="Calibri"/>
          <w:color w:val="BE2A18"/>
        </w:rPr>
      </w:pPr>
    </w:p>
    <w:tbl>
      <w:tblPr>
        <w:tblW w:w="0" w:type="auto"/>
        <w:jc w:val="center"/>
        <w:tblLook w:val="04A0" w:firstRow="1" w:lastRow="0" w:firstColumn="1" w:lastColumn="0" w:noHBand="0" w:noVBand="1"/>
      </w:tblPr>
      <w:tblGrid>
        <w:gridCol w:w="4263"/>
        <w:gridCol w:w="1629"/>
        <w:gridCol w:w="1906"/>
      </w:tblGrid>
      <w:tr w:rsidR="00E04C6D" w:rsidRPr="00503F5B" w14:paraId="198CFBBA" w14:textId="77777777" w:rsidTr="00872971">
        <w:trPr>
          <w:trHeight w:val="59"/>
          <w:jc w:val="center"/>
        </w:trPr>
        <w:tc>
          <w:tcPr>
            <w:tcW w:w="4263" w:type="dxa"/>
            <w:tcBorders>
              <w:top w:val="single" w:sz="4" w:space="0" w:color="ED7C5D"/>
              <w:bottom w:val="double" w:sz="4" w:space="0" w:color="ED7C5D"/>
            </w:tcBorders>
            <w:noWrap/>
            <w:hideMark/>
          </w:tcPr>
          <w:p w14:paraId="092783AE" w14:textId="77777777" w:rsidR="00E04C6D" w:rsidRPr="00503F5B" w:rsidRDefault="00E04C6D" w:rsidP="00E04C6D">
            <w:pPr>
              <w:widowControl w:val="0"/>
              <w:autoSpaceDE w:val="0"/>
              <w:autoSpaceDN w:val="0"/>
              <w:adjustRightInd w:val="0"/>
              <w:rPr>
                <w:rFonts w:cs="Calibri"/>
                <w:b/>
                <w:bCs/>
                <w:color w:val="BE2A18"/>
                <w:sz w:val="20"/>
                <w:szCs w:val="20"/>
              </w:rPr>
            </w:pPr>
            <w:r w:rsidRPr="00503F5B">
              <w:rPr>
                <w:rFonts w:cs="Calibri"/>
                <w:b/>
                <w:bCs/>
                <w:color w:val="BE2A18"/>
                <w:sz w:val="20"/>
                <w:szCs w:val="20"/>
              </w:rPr>
              <w:t>Direct and indirect costs</w:t>
            </w:r>
          </w:p>
        </w:tc>
        <w:tc>
          <w:tcPr>
            <w:tcW w:w="1629" w:type="dxa"/>
            <w:tcBorders>
              <w:top w:val="single" w:sz="4" w:space="0" w:color="ED7C5D"/>
              <w:bottom w:val="double" w:sz="4" w:space="0" w:color="ED7C5D"/>
            </w:tcBorders>
            <w:noWrap/>
            <w:hideMark/>
          </w:tcPr>
          <w:p w14:paraId="4BF36B9F" w14:textId="77777777" w:rsidR="00E04C6D" w:rsidRPr="00503F5B" w:rsidRDefault="00E04C6D" w:rsidP="00E04C6D">
            <w:pPr>
              <w:widowControl w:val="0"/>
              <w:autoSpaceDE w:val="0"/>
              <w:autoSpaceDN w:val="0"/>
              <w:adjustRightInd w:val="0"/>
              <w:jc w:val="right"/>
              <w:rPr>
                <w:rFonts w:cs="Calibri"/>
                <w:b/>
                <w:bCs/>
                <w:color w:val="BE2A18"/>
                <w:sz w:val="20"/>
                <w:szCs w:val="20"/>
              </w:rPr>
            </w:pPr>
            <w:r w:rsidRPr="00503F5B">
              <w:rPr>
                <w:rFonts w:cs="Calibri"/>
                <w:b/>
                <w:bCs/>
                <w:color w:val="BE2A18"/>
                <w:sz w:val="20"/>
                <w:szCs w:val="20"/>
              </w:rPr>
              <w:t>Annual cost</w:t>
            </w:r>
          </w:p>
        </w:tc>
        <w:tc>
          <w:tcPr>
            <w:tcW w:w="1906" w:type="dxa"/>
            <w:tcBorders>
              <w:top w:val="single" w:sz="4" w:space="0" w:color="ED7C5D"/>
              <w:bottom w:val="double" w:sz="4" w:space="0" w:color="ED7C5D"/>
            </w:tcBorders>
          </w:tcPr>
          <w:p w14:paraId="5474A28E" w14:textId="77777777" w:rsidR="00E04C6D" w:rsidRPr="00503F5B" w:rsidRDefault="00E04C6D" w:rsidP="00E04C6D">
            <w:pPr>
              <w:widowControl w:val="0"/>
              <w:autoSpaceDE w:val="0"/>
              <w:autoSpaceDN w:val="0"/>
              <w:adjustRightInd w:val="0"/>
              <w:jc w:val="right"/>
              <w:rPr>
                <w:rFonts w:cs="Calibri"/>
                <w:b/>
                <w:bCs/>
                <w:color w:val="BE2A18"/>
                <w:sz w:val="20"/>
                <w:szCs w:val="20"/>
              </w:rPr>
            </w:pPr>
            <w:r w:rsidRPr="00503F5B">
              <w:rPr>
                <w:rFonts w:cs="Calibri"/>
                <w:b/>
                <w:bCs/>
                <w:color w:val="BE2A18"/>
                <w:sz w:val="20"/>
                <w:szCs w:val="20"/>
              </w:rPr>
              <w:t>% total annual cost</w:t>
            </w:r>
          </w:p>
        </w:tc>
      </w:tr>
      <w:tr w:rsidR="00E04C6D" w:rsidRPr="00503F5B" w14:paraId="2C39CB2A" w14:textId="77777777" w:rsidTr="00E04C6D">
        <w:trPr>
          <w:trHeight w:val="59"/>
          <w:jc w:val="center"/>
        </w:trPr>
        <w:tc>
          <w:tcPr>
            <w:tcW w:w="4263" w:type="dxa"/>
            <w:tcBorders>
              <w:top w:val="double" w:sz="4" w:space="0" w:color="ED7C5D"/>
            </w:tcBorders>
            <w:noWrap/>
            <w:vAlign w:val="bottom"/>
            <w:hideMark/>
          </w:tcPr>
          <w:p w14:paraId="50A1D5C0" w14:textId="77777777" w:rsidR="00E04C6D" w:rsidRPr="00503F5B" w:rsidRDefault="00E04C6D" w:rsidP="00E04C6D">
            <w:pPr>
              <w:widowControl w:val="0"/>
              <w:autoSpaceDE w:val="0"/>
              <w:autoSpaceDN w:val="0"/>
              <w:adjustRightInd w:val="0"/>
              <w:rPr>
                <w:rFonts w:cs="Calibri"/>
                <w:b/>
                <w:bCs/>
                <w:color w:val="auto"/>
                <w:sz w:val="20"/>
                <w:szCs w:val="20"/>
              </w:rPr>
            </w:pPr>
            <w:r w:rsidRPr="00503F5B">
              <w:rPr>
                <w:rFonts w:cs="Calibri"/>
                <w:b/>
                <w:bCs/>
                <w:sz w:val="20"/>
                <w:szCs w:val="20"/>
              </w:rPr>
              <w:t>Direct costs</w:t>
            </w:r>
          </w:p>
        </w:tc>
        <w:tc>
          <w:tcPr>
            <w:tcW w:w="1629" w:type="dxa"/>
            <w:tcBorders>
              <w:top w:val="double" w:sz="4" w:space="0" w:color="ED7C5D"/>
            </w:tcBorders>
            <w:noWrap/>
            <w:vAlign w:val="bottom"/>
            <w:hideMark/>
          </w:tcPr>
          <w:p w14:paraId="6B921604" w14:textId="77777777" w:rsidR="00E04C6D" w:rsidRPr="00503F5B" w:rsidRDefault="00E04C6D" w:rsidP="00E04C6D">
            <w:pPr>
              <w:widowControl w:val="0"/>
              <w:autoSpaceDE w:val="0"/>
              <w:autoSpaceDN w:val="0"/>
              <w:adjustRightInd w:val="0"/>
              <w:rPr>
                <w:rFonts w:cs="Calibri"/>
                <w:b/>
                <w:color w:val="auto"/>
                <w:sz w:val="20"/>
                <w:szCs w:val="20"/>
              </w:rPr>
            </w:pPr>
            <w:r w:rsidRPr="00503F5B">
              <w:rPr>
                <w:rFonts w:cs="Calibri"/>
                <w:sz w:val="20"/>
                <w:szCs w:val="20"/>
              </w:rPr>
              <w:t> </w:t>
            </w:r>
          </w:p>
        </w:tc>
        <w:tc>
          <w:tcPr>
            <w:tcW w:w="1906" w:type="dxa"/>
            <w:tcBorders>
              <w:top w:val="double" w:sz="4" w:space="0" w:color="ED7C5D"/>
            </w:tcBorders>
            <w:vAlign w:val="bottom"/>
          </w:tcPr>
          <w:p w14:paraId="5E638D8A" w14:textId="77777777" w:rsidR="00E04C6D" w:rsidRPr="00503F5B" w:rsidRDefault="00E04C6D" w:rsidP="00E04C6D">
            <w:pPr>
              <w:widowControl w:val="0"/>
              <w:autoSpaceDE w:val="0"/>
              <w:autoSpaceDN w:val="0"/>
              <w:adjustRightInd w:val="0"/>
              <w:rPr>
                <w:rFonts w:cs="Calibri"/>
                <w:b/>
                <w:color w:val="auto"/>
                <w:sz w:val="20"/>
                <w:szCs w:val="20"/>
              </w:rPr>
            </w:pPr>
            <w:r w:rsidRPr="00503F5B">
              <w:rPr>
                <w:rFonts w:cs="Calibri"/>
                <w:sz w:val="20"/>
                <w:szCs w:val="20"/>
              </w:rPr>
              <w:t> </w:t>
            </w:r>
          </w:p>
        </w:tc>
      </w:tr>
      <w:tr w:rsidR="00E04C6D" w:rsidRPr="00503F5B" w14:paraId="7131732A" w14:textId="77777777" w:rsidTr="00E04C6D">
        <w:trPr>
          <w:trHeight w:val="59"/>
          <w:jc w:val="center"/>
        </w:trPr>
        <w:tc>
          <w:tcPr>
            <w:tcW w:w="4263" w:type="dxa"/>
            <w:noWrap/>
            <w:vAlign w:val="bottom"/>
            <w:hideMark/>
          </w:tcPr>
          <w:p w14:paraId="4033D08A" w14:textId="77777777" w:rsidR="00E04C6D" w:rsidRPr="00503F5B" w:rsidRDefault="00E04C6D" w:rsidP="00E04C6D">
            <w:pPr>
              <w:widowControl w:val="0"/>
              <w:autoSpaceDE w:val="0"/>
              <w:autoSpaceDN w:val="0"/>
              <w:adjustRightInd w:val="0"/>
              <w:rPr>
                <w:rFonts w:cs="Calibri"/>
                <w:color w:val="auto"/>
                <w:sz w:val="20"/>
                <w:szCs w:val="20"/>
              </w:rPr>
            </w:pPr>
            <w:r w:rsidRPr="00503F5B">
              <w:rPr>
                <w:rFonts w:cs="Calibri"/>
                <w:sz w:val="20"/>
                <w:szCs w:val="20"/>
              </w:rPr>
              <w:t>Appliance operational staffing</w:t>
            </w:r>
          </w:p>
        </w:tc>
        <w:tc>
          <w:tcPr>
            <w:tcW w:w="1629" w:type="dxa"/>
            <w:noWrap/>
            <w:hideMark/>
          </w:tcPr>
          <w:p w14:paraId="1ED42683" w14:textId="77777777" w:rsidR="00E04C6D" w:rsidRPr="00503F5B" w:rsidRDefault="00E04C6D" w:rsidP="00E04C6D">
            <w:pPr>
              <w:widowControl w:val="0"/>
              <w:autoSpaceDE w:val="0"/>
              <w:autoSpaceDN w:val="0"/>
              <w:adjustRightInd w:val="0"/>
              <w:jc w:val="right"/>
              <w:rPr>
                <w:rFonts w:cs="Calibri"/>
                <w:color w:val="auto"/>
                <w:sz w:val="20"/>
                <w:szCs w:val="20"/>
              </w:rPr>
            </w:pPr>
            <w:bookmarkStart w:id="241" w:name="_Hlk32060018"/>
            <w:r w:rsidRPr="00503F5B">
              <w:rPr>
                <w:rFonts w:cs="Calibri"/>
                <w:sz w:val="20"/>
                <w:szCs w:val="20"/>
              </w:rPr>
              <w:t>$271,580,455</w:t>
            </w:r>
            <w:bookmarkEnd w:id="241"/>
          </w:p>
        </w:tc>
        <w:tc>
          <w:tcPr>
            <w:tcW w:w="1906" w:type="dxa"/>
          </w:tcPr>
          <w:p w14:paraId="4BD6240A" w14:textId="77777777" w:rsidR="00E04C6D" w:rsidRPr="00503F5B" w:rsidRDefault="00E04C6D" w:rsidP="00E04C6D">
            <w:pPr>
              <w:widowControl w:val="0"/>
              <w:autoSpaceDE w:val="0"/>
              <w:autoSpaceDN w:val="0"/>
              <w:adjustRightInd w:val="0"/>
              <w:jc w:val="right"/>
              <w:rPr>
                <w:rFonts w:cs="Calibri"/>
                <w:color w:val="auto"/>
                <w:sz w:val="20"/>
                <w:szCs w:val="20"/>
              </w:rPr>
            </w:pPr>
            <w:r w:rsidRPr="00503F5B">
              <w:rPr>
                <w:rFonts w:cs="Calibri"/>
                <w:sz w:val="20"/>
                <w:szCs w:val="20"/>
              </w:rPr>
              <w:t>73.02%</w:t>
            </w:r>
          </w:p>
        </w:tc>
      </w:tr>
      <w:tr w:rsidR="00E04C6D" w:rsidRPr="00503F5B" w14:paraId="04A72176" w14:textId="77777777" w:rsidTr="00E04C6D">
        <w:trPr>
          <w:trHeight w:val="80"/>
          <w:jc w:val="center"/>
        </w:trPr>
        <w:tc>
          <w:tcPr>
            <w:tcW w:w="4263" w:type="dxa"/>
            <w:noWrap/>
            <w:vAlign w:val="bottom"/>
            <w:hideMark/>
          </w:tcPr>
          <w:p w14:paraId="111C02CE" w14:textId="77777777" w:rsidR="00E04C6D" w:rsidRPr="00503F5B" w:rsidRDefault="00E04C6D" w:rsidP="00E04C6D">
            <w:pPr>
              <w:widowControl w:val="0"/>
              <w:autoSpaceDE w:val="0"/>
              <w:autoSpaceDN w:val="0"/>
              <w:adjustRightInd w:val="0"/>
              <w:rPr>
                <w:rFonts w:cs="Calibri"/>
                <w:color w:val="auto"/>
                <w:sz w:val="20"/>
                <w:szCs w:val="20"/>
              </w:rPr>
            </w:pPr>
            <w:r w:rsidRPr="00503F5B">
              <w:rPr>
                <w:rFonts w:cs="Calibri"/>
                <w:sz w:val="20"/>
                <w:szCs w:val="20"/>
              </w:rPr>
              <w:t>Appliance fuel</w:t>
            </w:r>
          </w:p>
        </w:tc>
        <w:tc>
          <w:tcPr>
            <w:tcW w:w="1629" w:type="dxa"/>
            <w:noWrap/>
            <w:hideMark/>
          </w:tcPr>
          <w:p w14:paraId="7AA445B7" w14:textId="77777777" w:rsidR="00E04C6D" w:rsidRPr="00503F5B" w:rsidRDefault="00E04C6D" w:rsidP="00E04C6D">
            <w:pPr>
              <w:widowControl w:val="0"/>
              <w:autoSpaceDE w:val="0"/>
              <w:autoSpaceDN w:val="0"/>
              <w:adjustRightInd w:val="0"/>
              <w:jc w:val="right"/>
              <w:rPr>
                <w:rFonts w:cs="Calibri"/>
                <w:color w:val="auto"/>
                <w:sz w:val="20"/>
                <w:szCs w:val="20"/>
              </w:rPr>
            </w:pPr>
            <w:r w:rsidRPr="00503F5B">
              <w:rPr>
                <w:rFonts w:cs="Calibri"/>
                <w:sz w:val="20"/>
                <w:szCs w:val="20"/>
              </w:rPr>
              <w:t>$879,815</w:t>
            </w:r>
          </w:p>
        </w:tc>
        <w:tc>
          <w:tcPr>
            <w:tcW w:w="1906" w:type="dxa"/>
          </w:tcPr>
          <w:p w14:paraId="0B13761E" w14:textId="77777777" w:rsidR="00E04C6D" w:rsidRPr="00503F5B" w:rsidRDefault="00E04C6D" w:rsidP="00E04C6D">
            <w:pPr>
              <w:widowControl w:val="0"/>
              <w:autoSpaceDE w:val="0"/>
              <w:autoSpaceDN w:val="0"/>
              <w:adjustRightInd w:val="0"/>
              <w:jc w:val="right"/>
              <w:rPr>
                <w:rFonts w:cs="Calibri"/>
                <w:color w:val="auto"/>
                <w:sz w:val="20"/>
                <w:szCs w:val="20"/>
              </w:rPr>
            </w:pPr>
            <w:r w:rsidRPr="00503F5B">
              <w:rPr>
                <w:rFonts w:cs="Calibri"/>
                <w:sz w:val="20"/>
                <w:szCs w:val="20"/>
              </w:rPr>
              <w:t>0.24%</w:t>
            </w:r>
          </w:p>
        </w:tc>
      </w:tr>
      <w:tr w:rsidR="00E04C6D" w:rsidRPr="00503F5B" w14:paraId="478F1D34" w14:textId="77777777" w:rsidTr="00E04C6D">
        <w:trPr>
          <w:trHeight w:val="80"/>
          <w:jc w:val="center"/>
        </w:trPr>
        <w:tc>
          <w:tcPr>
            <w:tcW w:w="4263" w:type="dxa"/>
            <w:noWrap/>
            <w:vAlign w:val="bottom"/>
            <w:hideMark/>
          </w:tcPr>
          <w:p w14:paraId="1ABB6710" w14:textId="77777777" w:rsidR="00E04C6D" w:rsidRPr="00503F5B" w:rsidRDefault="00E04C6D" w:rsidP="00E04C6D">
            <w:pPr>
              <w:widowControl w:val="0"/>
              <w:autoSpaceDE w:val="0"/>
              <w:autoSpaceDN w:val="0"/>
              <w:adjustRightInd w:val="0"/>
              <w:rPr>
                <w:rFonts w:cs="Calibri"/>
                <w:color w:val="auto"/>
                <w:sz w:val="20"/>
                <w:szCs w:val="20"/>
              </w:rPr>
            </w:pPr>
            <w:r w:rsidRPr="00503F5B">
              <w:rPr>
                <w:rFonts w:cs="Calibri"/>
                <w:sz w:val="20"/>
                <w:szCs w:val="20"/>
              </w:rPr>
              <w:t>Appliance maintenance</w:t>
            </w:r>
          </w:p>
        </w:tc>
        <w:tc>
          <w:tcPr>
            <w:tcW w:w="1629" w:type="dxa"/>
            <w:noWrap/>
            <w:hideMark/>
          </w:tcPr>
          <w:p w14:paraId="226D9752" w14:textId="77777777" w:rsidR="00E04C6D" w:rsidRPr="00503F5B" w:rsidRDefault="00E04C6D" w:rsidP="00E04C6D">
            <w:pPr>
              <w:widowControl w:val="0"/>
              <w:autoSpaceDE w:val="0"/>
              <w:autoSpaceDN w:val="0"/>
              <w:adjustRightInd w:val="0"/>
              <w:jc w:val="right"/>
              <w:rPr>
                <w:rFonts w:cs="Calibri"/>
                <w:color w:val="auto"/>
                <w:sz w:val="20"/>
                <w:szCs w:val="20"/>
              </w:rPr>
            </w:pPr>
            <w:r w:rsidRPr="00503F5B">
              <w:rPr>
                <w:rFonts w:cs="Calibri"/>
                <w:sz w:val="20"/>
                <w:szCs w:val="20"/>
              </w:rPr>
              <w:t>$6,117,978</w:t>
            </w:r>
          </w:p>
        </w:tc>
        <w:tc>
          <w:tcPr>
            <w:tcW w:w="1906" w:type="dxa"/>
          </w:tcPr>
          <w:p w14:paraId="6152FBB4" w14:textId="77777777" w:rsidR="00E04C6D" w:rsidRPr="00503F5B" w:rsidRDefault="00E04C6D" w:rsidP="00E04C6D">
            <w:pPr>
              <w:widowControl w:val="0"/>
              <w:autoSpaceDE w:val="0"/>
              <w:autoSpaceDN w:val="0"/>
              <w:adjustRightInd w:val="0"/>
              <w:jc w:val="right"/>
              <w:rPr>
                <w:rFonts w:cs="Calibri"/>
                <w:color w:val="auto"/>
                <w:sz w:val="20"/>
                <w:szCs w:val="20"/>
              </w:rPr>
            </w:pPr>
            <w:r w:rsidRPr="00503F5B">
              <w:rPr>
                <w:rFonts w:cs="Calibri"/>
                <w:sz w:val="20"/>
                <w:szCs w:val="20"/>
              </w:rPr>
              <w:t>1.64%</w:t>
            </w:r>
          </w:p>
        </w:tc>
      </w:tr>
      <w:tr w:rsidR="00E04C6D" w:rsidRPr="00503F5B" w14:paraId="5509BAB4" w14:textId="77777777" w:rsidTr="00872971">
        <w:trPr>
          <w:trHeight w:val="59"/>
          <w:jc w:val="center"/>
        </w:trPr>
        <w:tc>
          <w:tcPr>
            <w:tcW w:w="4263" w:type="dxa"/>
            <w:tcBorders>
              <w:bottom w:val="single" w:sz="4" w:space="0" w:color="ED7C5D"/>
            </w:tcBorders>
            <w:noWrap/>
            <w:vAlign w:val="bottom"/>
            <w:hideMark/>
          </w:tcPr>
          <w:p w14:paraId="5860348C" w14:textId="77777777" w:rsidR="00E04C6D" w:rsidRPr="00503F5B" w:rsidRDefault="00E04C6D" w:rsidP="00E04C6D">
            <w:pPr>
              <w:widowControl w:val="0"/>
              <w:autoSpaceDE w:val="0"/>
              <w:autoSpaceDN w:val="0"/>
              <w:adjustRightInd w:val="0"/>
              <w:rPr>
                <w:rFonts w:cs="Calibri"/>
                <w:color w:val="auto"/>
                <w:sz w:val="20"/>
                <w:szCs w:val="20"/>
              </w:rPr>
            </w:pPr>
            <w:r w:rsidRPr="00503F5B">
              <w:rPr>
                <w:rFonts w:cs="Calibri"/>
                <w:sz w:val="20"/>
                <w:szCs w:val="20"/>
              </w:rPr>
              <w:t>Appliance registration and insurance</w:t>
            </w:r>
          </w:p>
        </w:tc>
        <w:tc>
          <w:tcPr>
            <w:tcW w:w="1629" w:type="dxa"/>
            <w:tcBorders>
              <w:bottom w:val="single" w:sz="4" w:space="0" w:color="ED7C5D"/>
            </w:tcBorders>
            <w:noWrap/>
            <w:hideMark/>
          </w:tcPr>
          <w:p w14:paraId="7DCCC4D5" w14:textId="77777777" w:rsidR="00E04C6D" w:rsidRPr="00503F5B" w:rsidRDefault="00E04C6D" w:rsidP="00E04C6D">
            <w:pPr>
              <w:widowControl w:val="0"/>
              <w:autoSpaceDE w:val="0"/>
              <w:autoSpaceDN w:val="0"/>
              <w:adjustRightInd w:val="0"/>
              <w:jc w:val="right"/>
              <w:rPr>
                <w:rFonts w:cs="Calibri"/>
                <w:color w:val="auto"/>
                <w:sz w:val="20"/>
                <w:szCs w:val="20"/>
              </w:rPr>
            </w:pPr>
            <w:r w:rsidRPr="00503F5B">
              <w:rPr>
                <w:rFonts w:cs="Calibri"/>
                <w:sz w:val="20"/>
                <w:szCs w:val="20"/>
              </w:rPr>
              <w:t>$319,415</w:t>
            </w:r>
          </w:p>
        </w:tc>
        <w:tc>
          <w:tcPr>
            <w:tcW w:w="1906" w:type="dxa"/>
            <w:tcBorders>
              <w:bottom w:val="single" w:sz="4" w:space="0" w:color="ED7C5D"/>
            </w:tcBorders>
          </w:tcPr>
          <w:p w14:paraId="33A827C0" w14:textId="77777777" w:rsidR="00E04C6D" w:rsidRPr="00503F5B" w:rsidRDefault="00E04C6D" w:rsidP="00E04C6D">
            <w:pPr>
              <w:widowControl w:val="0"/>
              <w:autoSpaceDE w:val="0"/>
              <w:autoSpaceDN w:val="0"/>
              <w:adjustRightInd w:val="0"/>
              <w:jc w:val="right"/>
              <w:rPr>
                <w:rFonts w:cs="Calibri"/>
                <w:color w:val="auto"/>
                <w:sz w:val="20"/>
                <w:szCs w:val="20"/>
              </w:rPr>
            </w:pPr>
            <w:r w:rsidRPr="00503F5B">
              <w:rPr>
                <w:rFonts w:cs="Calibri"/>
                <w:sz w:val="20"/>
                <w:szCs w:val="20"/>
              </w:rPr>
              <w:t>0.09%</w:t>
            </w:r>
          </w:p>
        </w:tc>
      </w:tr>
      <w:tr w:rsidR="00E04C6D" w:rsidRPr="00503F5B" w14:paraId="4705FA9E" w14:textId="77777777" w:rsidTr="00872971">
        <w:trPr>
          <w:trHeight w:val="70"/>
          <w:jc w:val="center"/>
        </w:trPr>
        <w:tc>
          <w:tcPr>
            <w:tcW w:w="4263" w:type="dxa"/>
            <w:tcBorders>
              <w:top w:val="single" w:sz="4" w:space="0" w:color="ED7C5D"/>
              <w:bottom w:val="single" w:sz="4" w:space="0" w:color="ED7C5D"/>
            </w:tcBorders>
            <w:noWrap/>
            <w:vAlign w:val="bottom"/>
            <w:hideMark/>
          </w:tcPr>
          <w:p w14:paraId="714C6FF1" w14:textId="77777777" w:rsidR="00E04C6D" w:rsidRPr="00503F5B" w:rsidRDefault="00E04C6D" w:rsidP="00E04C6D">
            <w:pPr>
              <w:widowControl w:val="0"/>
              <w:autoSpaceDE w:val="0"/>
              <w:autoSpaceDN w:val="0"/>
              <w:adjustRightInd w:val="0"/>
              <w:rPr>
                <w:rFonts w:cs="Calibri"/>
                <w:b/>
                <w:color w:val="auto"/>
                <w:sz w:val="20"/>
                <w:szCs w:val="20"/>
              </w:rPr>
            </w:pPr>
            <w:r w:rsidRPr="00503F5B">
              <w:rPr>
                <w:rFonts w:cs="Calibri"/>
                <w:b/>
                <w:bCs/>
                <w:sz w:val="20"/>
                <w:szCs w:val="20"/>
              </w:rPr>
              <w:t>Sub-total direct costs</w:t>
            </w:r>
          </w:p>
        </w:tc>
        <w:tc>
          <w:tcPr>
            <w:tcW w:w="1629" w:type="dxa"/>
            <w:tcBorders>
              <w:top w:val="single" w:sz="4" w:space="0" w:color="ED7C5D"/>
              <w:bottom w:val="single" w:sz="4" w:space="0" w:color="ED7C5D"/>
            </w:tcBorders>
            <w:noWrap/>
            <w:hideMark/>
          </w:tcPr>
          <w:p w14:paraId="1C6F679D" w14:textId="77777777" w:rsidR="00E04C6D" w:rsidRPr="00503F5B" w:rsidRDefault="00E04C6D" w:rsidP="00E04C6D">
            <w:pPr>
              <w:widowControl w:val="0"/>
              <w:autoSpaceDE w:val="0"/>
              <w:autoSpaceDN w:val="0"/>
              <w:adjustRightInd w:val="0"/>
              <w:jc w:val="right"/>
              <w:rPr>
                <w:rFonts w:cs="Calibri"/>
                <w:b/>
                <w:color w:val="auto"/>
                <w:sz w:val="20"/>
                <w:szCs w:val="20"/>
              </w:rPr>
            </w:pPr>
            <w:r w:rsidRPr="00503F5B">
              <w:rPr>
                <w:rFonts w:cs="Calibri"/>
                <w:b/>
                <w:bCs/>
                <w:sz w:val="20"/>
                <w:szCs w:val="20"/>
              </w:rPr>
              <w:t>$278,897,663</w:t>
            </w:r>
          </w:p>
        </w:tc>
        <w:tc>
          <w:tcPr>
            <w:tcW w:w="1906" w:type="dxa"/>
            <w:tcBorders>
              <w:top w:val="single" w:sz="4" w:space="0" w:color="ED7C5D"/>
              <w:bottom w:val="single" w:sz="4" w:space="0" w:color="ED7C5D"/>
            </w:tcBorders>
          </w:tcPr>
          <w:p w14:paraId="78E6BDA2" w14:textId="77777777" w:rsidR="00E04C6D" w:rsidRPr="00503F5B" w:rsidRDefault="00E04C6D" w:rsidP="00E04C6D">
            <w:pPr>
              <w:widowControl w:val="0"/>
              <w:autoSpaceDE w:val="0"/>
              <w:autoSpaceDN w:val="0"/>
              <w:adjustRightInd w:val="0"/>
              <w:jc w:val="right"/>
              <w:rPr>
                <w:rFonts w:cs="Calibri"/>
                <w:b/>
                <w:color w:val="auto"/>
                <w:sz w:val="20"/>
                <w:szCs w:val="20"/>
              </w:rPr>
            </w:pPr>
            <w:r w:rsidRPr="00503F5B">
              <w:rPr>
                <w:rFonts w:cs="Calibri"/>
                <w:b/>
                <w:bCs/>
                <w:sz w:val="20"/>
                <w:szCs w:val="20"/>
              </w:rPr>
              <w:t>74.98%</w:t>
            </w:r>
          </w:p>
        </w:tc>
      </w:tr>
      <w:tr w:rsidR="00E04C6D" w:rsidRPr="00503F5B" w14:paraId="7F198B27" w14:textId="77777777" w:rsidTr="00872971">
        <w:trPr>
          <w:trHeight w:val="70"/>
          <w:jc w:val="center"/>
        </w:trPr>
        <w:tc>
          <w:tcPr>
            <w:tcW w:w="4263" w:type="dxa"/>
            <w:tcBorders>
              <w:top w:val="single" w:sz="4" w:space="0" w:color="ED7C5D"/>
            </w:tcBorders>
            <w:noWrap/>
            <w:vAlign w:val="bottom"/>
            <w:hideMark/>
          </w:tcPr>
          <w:p w14:paraId="4B6C6886" w14:textId="77777777" w:rsidR="00E04C6D" w:rsidRPr="00503F5B" w:rsidRDefault="00E04C6D" w:rsidP="00E04C6D">
            <w:pPr>
              <w:widowControl w:val="0"/>
              <w:autoSpaceDE w:val="0"/>
              <w:autoSpaceDN w:val="0"/>
              <w:adjustRightInd w:val="0"/>
              <w:rPr>
                <w:rFonts w:cs="Calibri"/>
                <w:b/>
                <w:bCs/>
                <w:color w:val="auto"/>
                <w:sz w:val="20"/>
                <w:szCs w:val="20"/>
              </w:rPr>
            </w:pPr>
            <w:r w:rsidRPr="00503F5B">
              <w:rPr>
                <w:rFonts w:cs="Calibri"/>
                <w:b/>
                <w:bCs/>
                <w:sz w:val="20"/>
                <w:szCs w:val="20"/>
              </w:rPr>
              <w:t>Indirect costs</w:t>
            </w:r>
          </w:p>
        </w:tc>
        <w:tc>
          <w:tcPr>
            <w:tcW w:w="1629" w:type="dxa"/>
            <w:tcBorders>
              <w:top w:val="single" w:sz="4" w:space="0" w:color="ED7C5D"/>
            </w:tcBorders>
            <w:noWrap/>
            <w:hideMark/>
          </w:tcPr>
          <w:p w14:paraId="18F2B074" w14:textId="77777777" w:rsidR="00E04C6D" w:rsidRPr="00503F5B" w:rsidRDefault="00E04C6D" w:rsidP="00E04C6D">
            <w:pPr>
              <w:widowControl w:val="0"/>
              <w:autoSpaceDE w:val="0"/>
              <w:autoSpaceDN w:val="0"/>
              <w:adjustRightInd w:val="0"/>
              <w:jc w:val="right"/>
              <w:rPr>
                <w:rFonts w:cs="Calibri"/>
                <w:b/>
                <w:color w:val="auto"/>
                <w:sz w:val="20"/>
                <w:szCs w:val="20"/>
              </w:rPr>
            </w:pPr>
            <w:r w:rsidRPr="00503F5B">
              <w:rPr>
                <w:rFonts w:cs="Calibri"/>
                <w:sz w:val="20"/>
                <w:szCs w:val="20"/>
              </w:rPr>
              <w:t> </w:t>
            </w:r>
          </w:p>
        </w:tc>
        <w:tc>
          <w:tcPr>
            <w:tcW w:w="1906" w:type="dxa"/>
            <w:tcBorders>
              <w:top w:val="single" w:sz="4" w:space="0" w:color="ED7C5D"/>
            </w:tcBorders>
          </w:tcPr>
          <w:p w14:paraId="31680877" w14:textId="77777777" w:rsidR="00E04C6D" w:rsidRPr="00503F5B" w:rsidRDefault="00E04C6D" w:rsidP="00E04C6D">
            <w:pPr>
              <w:widowControl w:val="0"/>
              <w:autoSpaceDE w:val="0"/>
              <w:autoSpaceDN w:val="0"/>
              <w:adjustRightInd w:val="0"/>
              <w:jc w:val="right"/>
              <w:rPr>
                <w:rFonts w:cs="Calibri"/>
                <w:b/>
                <w:color w:val="auto"/>
                <w:sz w:val="20"/>
                <w:szCs w:val="20"/>
              </w:rPr>
            </w:pPr>
            <w:r w:rsidRPr="00503F5B">
              <w:rPr>
                <w:rFonts w:cs="Calibri"/>
                <w:sz w:val="20"/>
                <w:szCs w:val="20"/>
              </w:rPr>
              <w:t> </w:t>
            </w:r>
          </w:p>
        </w:tc>
      </w:tr>
      <w:tr w:rsidR="00E04C6D" w:rsidRPr="00503F5B" w14:paraId="1BA1889E" w14:textId="77777777" w:rsidTr="00E04C6D">
        <w:trPr>
          <w:trHeight w:val="80"/>
          <w:jc w:val="center"/>
        </w:trPr>
        <w:tc>
          <w:tcPr>
            <w:tcW w:w="4263" w:type="dxa"/>
            <w:noWrap/>
            <w:vAlign w:val="bottom"/>
            <w:hideMark/>
          </w:tcPr>
          <w:p w14:paraId="11FC53C7" w14:textId="77777777" w:rsidR="00E04C6D" w:rsidRPr="000C18EC" w:rsidRDefault="00E04C6D" w:rsidP="00E04C6D">
            <w:pPr>
              <w:widowControl w:val="0"/>
              <w:autoSpaceDE w:val="0"/>
              <w:autoSpaceDN w:val="0"/>
              <w:adjustRightInd w:val="0"/>
              <w:rPr>
                <w:rFonts w:cs="Calibri"/>
                <w:color w:val="auto"/>
                <w:sz w:val="20"/>
                <w:szCs w:val="20"/>
              </w:rPr>
            </w:pPr>
            <w:r w:rsidRPr="000C18EC">
              <w:rPr>
                <w:rFonts w:cs="Calibri"/>
                <w:sz w:val="20"/>
                <w:szCs w:val="20"/>
              </w:rPr>
              <w:t>Overtime and allowances for station personnel</w:t>
            </w:r>
          </w:p>
        </w:tc>
        <w:tc>
          <w:tcPr>
            <w:tcW w:w="1629" w:type="dxa"/>
            <w:noWrap/>
            <w:hideMark/>
          </w:tcPr>
          <w:p w14:paraId="1826AF78" w14:textId="77777777" w:rsidR="00E04C6D" w:rsidRPr="000C18EC" w:rsidRDefault="00E04C6D" w:rsidP="00E04C6D">
            <w:pPr>
              <w:widowControl w:val="0"/>
              <w:autoSpaceDE w:val="0"/>
              <w:autoSpaceDN w:val="0"/>
              <w:adjustRightInd w:val="0"/>
              <w:jc w:val="right"/>
              <w:rPr>
                <w:rFonts w:cs="Calibri"/>
                <w:color w:val="auto"/>
                <w:sz w:val="20"/>
                <w:szCs w:val="20"/>
              </w:rPr>
            </w:pPr>
            <w:r w:rsidRPr="000C18EC">
              <w:rPr>
                <w:rFonts w:cs="Calibri"/>
                <w:sz w:val="20"/>
                <w:szCs w:val="20"/>
              </w:rPr>
              <w:t>$41,155,632</w:t>
            </w:r>
          </w:p>
        </w:tc>
        <w:tc>
          <w:tcPr>
            <w:tcW w:w="1906" w:type="dxa"/>
          </w:tcPr>
          <w:p w14:paraId="1F264E96" w14:textId="77777777" w:rsidR="00E04C6D" w:rsidRPr="00503F5B" w:rsidRDefault="00E04C6D" w:rsidP="00E04C6D">
            <w:pPr>
              <w:widowControl w:val="0"/>
              <w:autoSpaceDE w:val="0"/>
              <w:autoSpaceDN w:val="0"/>
              <w:adjustRightInd w:val="0"/>
              <w:jc w:val="right"/>
              <w:rPr>
                <w:rFonts w:cs="Calibri"/>
                <w:color w:val="auto"/>
                <w:sz w:val="20"/>
                <w:szCs w:val="20"/>
              </w:rPr>
            </w:pPr>
            <w:r w:rsidRPr="000C18EC">
              <w:rPr>
                <w:rFonts w:cs="Calibri"/>
                <w:sz w:val="20"/>
                <w:szCs w:val="20"/>
              </w:rPr>
              <w:t>11.06%</w:t>
            </w:r>
          </w:p>
        </w:tc>
      </w:tr>
      <w:tr w:rsidR="00E04C6D" w:rsidRPr="00503F5B" w14:paraId="013DFD0C" w14:textId="77777777" w:rsidTr="00E04C6D">
        <w:trPr>
          <w:trHeight w:val="119"/>
          <w:jc w:val="center"/>
        </w:trPr>
        <w:tc>
          <w:tcPr>
            <w:tcW w:w="4263" w:type="dxa"/>
            <w:noWrap/>
            <w:vAlign w:val="bottom"/>
            <w:hideMark/>
          </w:tcPr>
          <w:p w14:paraId="1F02CAC0" w14:textId="77777777" w:rsidR="00E04C6D" w:rsidRPr="00503F5B" w:rsidRDefault="00E04C6D" w:rsidP="00E04C6D">
            <w:pPr>
              <w:widowControl w:val="0"/>
              <w:autoSpaceDE w:val="0"/>
              <w:autoSpaceDN w:val="0"/>
              <w:adjustRightInd w:val="0"/>
              <w:rPr>
                <w:rFonts w:cs="Calibri"/>
                <w:color w:val="auto"/>
                <w:sz w:val="20"/>
                <w:szCs w:val="20"/>
              </w:rPr>
            </w:pPr>
            <w:r w:rsidRPr="00503F5B">
              <w:rPr>
                <w:rFonts w:cs="Calibri"/>
                <w:sz w:val="20"/>
                <w:szCs w:val="20"/>
              </w:rPr>
              <w:t>PPE</w:t>
            </w:r>
          </w:p>
        </w:tc>
        <w:tc>
          <w:tcPr>
            <w:tcW w:w="1629" w:type="dxa"/>
            <w:noWrap/>
            <w:hideMark/>
          </w:tcPr>
          <w:p w14:paraId="4928E7D0" w14:textId="77777777" w:rsidR="00E04C6D" w:rsidRPr="00503F5B" w:rsidRDefault="00E04C6D" w:rsidP="00E04C6D">
            <w:pPr>
              <w:widowControl w:val="0"/>
              <w:autoSpaceDE w:val="0"/>
              <w:autoSpaceDN w:val="0"/>
              <w:adjustRightInd w:val="0"/>
              <w:jc w:val="right"/>
              <w:rPr>
                <w:rFonts w:cs="Calibri"/>
                <w:color w:val="auto"/>
                <w:sz w:val="20"/>
                <w:szCs w:val="20"/>
              </w:rPr>
            </w:pPr>
            <w:r w:rsidRPr="00503F5B">
              <w:rPr>
                <w:rFonts w:cs="Calibri"/>
                <w:sz w:val="20"/>
                <w:szCs w:val="20"/>
              </w:rPr>
              <w:t>$2,617,404</w:t>
            </w:r>
          </w:p>
        </w:tc>
        <w:tc>
          <w:tcPr>
            <w:tcW w:w="1906" w:type="dxa"/>
          </w:tcPr>
          <w:p w14:paraId="4151FC04" w14:textId="77777777" w:rsidR="00E04C6D" w:rsidRPr="00503F5B" w:rsidRDefault="00E04C6D" w:rsidP="00E04C6D">
            <w:pPr>
              <w:widowControl w:val="0"/>
              <w:autoSpaceDE w:val="0"/>
              <w:autoSpaceDN w:val="0"/>
              <w:adjustRightInd w:val="0"/>
              <w:jc w:val="right"/>
              <w:rPr>
                <w:rFonts w:cs="Calibri"/>
                <w:color w:val="auto"/>
                <w:sz w:val="20"/>
                <w:szCs w:val="20"/>
              </w:rPr>
            </w:pPr>
            <w:r w:rsidRPr="00503F5B">
              <w:rPr>
                <w:rFonts w:cs="Calibri"/>
                <w:sz w:val="20"/>
                <w:szCs w:val="20"/>
              </w:rPr>
              <w:t>0.70%</w:t>
            </w:r>
          </w:p>
        </w:tc>
      </w:tr>
      <w:tr w:rsidR="00E04C6D" w:rsidRPr="00503F5B" w14:paraId="67677712" w14:textId="77777777" w:rsidTr="00E04C6D">
        <w:trPr>
          <w:trHeight w:val="59"/>
          <w:jc w:val="center"/>
        </w:trPr>
        <w:tc>
          <w:tcPr>
            <w:tcW w:w="4263" w:type="dxa"/>
            <w:noWrap/>
            <w:vAlign w:val="bottom"/>
            <w:hideMark/>
          </w:tcPr>
          <w:p w14:paraId="422175CC" w14:textId="77777777" w:rsidR="00E04C6D" w:rsidRPr="00503F5B" w:rsidRDefault="00E04C6D" w:rsidP="00E04C6D">
            <w:pPr>
              <w:widowControl w:val="0"/>
              <w:autoSpaceDE w:val="0"/>
              <w:autoSpaceDN w:val="0"/>
              <w:adjustRightInd w:val="0"/>
              <w:rPr>
                <w:rFonts w:cs="Calibri"/>
                <w:color w:val="auto"/>
                <w:sz w:val="20"/>
                <w:szCs w:val="20"/>
              </w:rPr>
            </w:pPr>
            <w:r w:rsidRPr="00503F5B">
              <w:rPr>
                <w:rFonts w:cs="Calibri"/>
                <w:sz w:val="20"/>
                <w:szCs w:val="20"/>
              </w:rPr>
              <w:t>Training</w:t>
            </w:r>
          </w:p>
        </w:tc>
        <w:tc>
          <w:tcPr>
            <w:tcW w:w="1629" w:type="dxa"/>
            <w:noWrap/>
            <w:hideMark/>
          </w:tcPr>
          <w:p w14:paraId="18B0F50B" w14:textId="77777777" w:rsidR="00E04C6D" w:rsidRPr="00503F5B" w:rsidRDefault="00E04C6D" w:rsidP="00E04C6D">
            <w:pPr>
              <w:widowControl w:val="0"/>
              <w:autoSpaceDE w:val="0"/>
              <w:autoSpaceDN w:val="0"/>
              <w:adjustRightInd w:val="0"/>
              <w:jc w:val="right"/>
              <w:rPr>
                <w:rFonts w:cs="Calibri"/>
                <w:color w:val="auto"/>
                <w:sz w:val="20"/>
                <w:szCs w:val="20"/>
              </w:rPr>
            </w:pPr>
            <w:r w:rsidRPr="00503F5B">
              <w:rPr>
                <w:rFonts w:cs="Calibri"/>
                <w:sz w:val="20"/>
                <w:szCs w:val="20"/>
              </w:rPr>
              <w:t>$661,154.00</w:t>
            </w:r>
          </w:p>
        </w:tc>
        <w:tc>
          <w:tcPr>
            <w:tcW w:w="1906" w:type="dxa"/>
          </w:tcPr>
          <w:p w14:paraId="57B57572" w14:textId="77777777" w:rsidR="00E04C6D" w:rsidRPr="00503F5B" w:rsidRDefault="00E04C6D" w:rsidP="00E04C6D">
            <w:pPr>
              <w:widowControl w:val="0"/>
              <w:autoSpaceDE w:val="0"/>
              <w:autoSpaceDN w:val="0"/>
              <w:adjustRightInd w:val="0"/>
              <w:jc w:val="right"/>
              <w:rPr>
                <w:rFonts w:cs="Calibri"/>
                <w:color w:val="auto"/>
                <w:sz w:val="20"/>
                <w:szCs w:val="20"/>
              </w:rPr>
            </w:pPr>
            <w:r w:rsidRPr="00503F5B">
              <w:rPr>
                <w:rFonts w:cs="Calibri"/>
                <w:sz w:val="20"/>
                <w:szCs w:val="20"/>
              </w:rPr>
              <w:t>0.18%</w:t>
            </w:r>
          </w:p>
        </w:tc>
      </w:tr>
      <w:tr w:rsidR="00E04C6D" w:rsidRPr="00503F5B" w14:paraId="45BDA958" w14:textId="77777777" w:rsidTr="00872971">
        <w:trPr>
          <w:trHeight w:val="59"/>
          <w:jc w:val="center"/>
        </w:trPr>
        <w:tc>
          <w:tcPr>
            <w:tcW w:w="4263" w:type="dxa"/>
            <w:tcBorders>
              <w:bottom w:val="single" w:sz="4" w:space="0" w:color="ED7C5D"/>
            </w:tcBorders>
            <w:noWrap/>
            <w:vAlign w:val="bottom"/>
            <w:hideMark/>
          </w:tcPr>
          <w:p w14:paraId="074FD385" w14:textId="77777777" w:rsidR="00E04C6D" w:rsidRPr="00503F5B" w:rsidRDefault="00E04C6D" w:rsidP="00E04C6D">
            <w:pPr>
              <w:widowControl w:val="0"/>
              <w:autoSpaceDE w:val="0"/>
              <w:autoSpaceDN w:val="0"/>
              <w:adjustRightInd w:val="0"/>
              <w:rPr>
                <w:rFonts w:cs="Calibri"/>
                <w:color w:val="auto"/>
                <w:sz w:val="20"/>
                <w:szCs w:val="20"/>
              </w:rPr>
            </w:pPr>
            <w:r w:rsidRPr="00503F5B">
              <w:rPr>
                <w:rFonts w:cs="Calibri"/>
                <w:sz w:val="20"/>
                <w:szCs w:val="20"/>
              </w:rPr>
              <w:t>Administrative support</w:t>
            </w:r>
          </w:p>
        </w:tc>
        <w:tc>
          <w:tcPr>
            <w:tcW w:w="1629" w:type="dxa"/>
            <w:tcBorders>
              <w:bottom w:val="single" w:sz="4" w:space="0" w:color="ED7C5D"/>
            </w:tcBorders>
            <w:noWrap/>
            <w:hideMark/>
          </w:tcPr>
          <w:p w14:paraId="1C7250F6" w14:textId="77777777" w:rsidR="00E04C6D" w:rsidRPr="00503F5B" w:rsidRDefault="00E04C6D" w:rsidP="00E04C6D">
            <w:pPr>
              <w:widowControl w:val="0"/>
              <w:autoSpaceDE w:val="0"/>
              <w:autoSpaceDN w:val="0"/>
              <w:adjustRightInd w:val="0"/>
              <w:jc w:val="right"/>
              <w:rPr>
                <w:rFonts w:cs="Calibri"/>
                <w:color w:val="auto"/>
                <w:sz w:val="20"/>
                <w:szCs w:val="20"/>
              </w:rPr>
            </w:pPr>
            <w:r w:rsidRPr="00503F5B">
              <w:rPr>
                <w:rFonts w:cs="Calibri"/>
                <w:sz w:val="20"/>
                <w:szCs w:val="20"/>
              </w:rPr>
              <w:t>$48,618,791</w:t>
            </w:r>
          </w:p>
        </w:tc>
        <w:tc>
          <w:tcPr>
            <w:tcW w:w="1906" w:type="dxa"/>
            <w:tcBorders>
              <w:bottom w:val="single" w:sz="4" w:space="0" w:color="ED7C5D"/>
            </w:tcBorders>
          </w:tcPr>
          <w:p w14:paraId="6898B752" w14:textId="77777777" w:rsidR="00E04C6D" w:rsidRPr="00503F5B" w:rsidRDefault="00E04C6D" w:rsidP="00E04C6D">
            <w:pPr>
              <w:widowControl w:val="0"/>
              <w:autoSpaceDE w:val="0"/>
              <w:autoSpaceDN w:val="0"/>
              <w:adjustRightInd w:val="0"/>
              <w:jc w:val="right"/>
              <w:rPr>
                <w:rFonts w:cs="Calibri"/>
                <w:color w:val="auto"/>
                <w:sz w:val="20"/>
                <w:szCs w:val="20"/>
              </w:rPr>
            </w:pPr>
            <w:r w:rsidRPr="00503F5B">
              <w:rPr>
                <w:rFonts w:cs="Calibri"/>
                <w:sz w:val="20"/>
                <w:szCs w:val="20"/>
              </w:rPr>
              <w:t>13.07%</w:t>
            </w:r>
          </w:p>
        </w:tc>
      </w:tr>
      <w:tr w:rsidR="00E04C6D" w:rsidRPr="00503F5B" w14:paraId="4B6DE4E8" w14:textId="77777777" w:rsidTr="00872971">
        <w:trPr>
          <w:trHeight w:val="59"/>
          <w:jc w:val="center"/>
        </w:trPr>
        <w:tc>
          <w:tcPr>
            <w:tcW w:w="4263" w:type="dxa"/>
            <w:tcBorders>
              <w:top w:val="single" w:sz="4" w:space="0" w:color="ED7C5D"/>
              <w:bottom w:val="single" w:sz="4" w:space="0" w:color="ED7C5D"/>
            </w:tcBorders>
            <w:noWrap/>
            <w:vAlign w:val="bottom"/>
            <w:hideMark/>
          </w:tcPr>
          <w:p w14:paraId="181665AB" w14:textId="77777777" w:rsidR="00E04C6D" w:rsidRPr="00503F5B" w:rsidRDefault="00E04C6D" w:rsidP="00E04C6D">
            <w:pPr>
              <w:widowControl w:val="0"/>
              <w:autoSpaceDE w:val="0"/>
              <w:autoSpaceDN w:val="0"/>
              <w:adjustRightInd w:val="0"/>
              <w:rPr>
                <w:rFonts w:cs="Calibri"/>
                <w:b/>
                <w:color w:val="auto"/>
                <w:sz w:val="20"/>
                <w:szCs w:val="20"/>
              </w:rPr>
            </w:pPr>
            <w:r w:rsidRPr="00503F5B">
              <w:rPr>
                <w:rFonts w:cs="Calibri"/>
                <w:b/>
                <w:bCs/>
                <w:sz w:val="20"/>
                <w:szCs w:val="20"/>
              </w:rPr>
              <w:t>Sub-total indirect costs</w:t>
            </w:r>
          </w:p>
        </w:tc>
        <w:tc>
          <w:tcPr>
            <w:tcW w:w="1629" w:type="dxa"/>
            <w:tcBorders>
              <w:top w:val="single" w:sz="4" w:space="0" w:color="ED7C5D"/>
              <w:bottom w:val="single" w:sz="4" w:space="0" w:color="ED7C5D"/>
            </w:tcBorders>
            <w:noWrap/>
            <w:hideMark/>
          </w:tcPr>
          <w:p w14:paraId="2E471CA6" w14:textId="77777777" w:rsidR="00E04C6D" w:rsidRPr="00503F5B" w:rsidRDefault="00E04C6D" w:rsidP="00E04C6D">
            <w:pPr>
              <w:widowControl w:val="0"/>
              <w:autoSpaceDE w:val="0"/>
              <w:autoSpaceDN w:val="0"/>
              <w:adjustRightInd w:val="0"/>
              <w:jc w:val="right"/>
              <w:rPr>
                <w:rFonts w:cs="Calibri"/>
                <w:b/>
                <w:color w:val="auto"/>
                <w:sz w:val="20"/>
                <w:szCs w:val="20"/>
              </w:rPr>
            </w:pPr>
            <w:r w:rsidRPr="00503F5B">
              <w:rPr>
                <w:rFonts w:cs="Calibri"/>
                <w:b/>
                <w:bCs/>
                <w:sz w:val="20"/>
                <w:szCs w:val="20"/>
              </w:rPr>
              <w:t>$93,052,980</w:t>
            </w:r>
          </w:p>
        </w:tc>
        <w:tc>
          <w:tcPr>
            <w:tcW w:w="1906" w:type="dxa"/>
            <w:tcBorders>
              <w:top w:val="single" w:sz="4" w:space="0" w:color="ED7C5D"/>
              <w:bottom w:val="single" w:sz="4" w:space="0" w:color="ED7C5D"/>
            </w:tcBorders>
          </w:tcPr>
          <w:p w14:paraId="7922E9BD" w14:textId="77777777" w:rsidR="00E04C6D" w:rsidRPr="00503F5B" w:rsidRDefault="00E04C6D" w:rsidP="00E04C6D">
            <w:pPr>
              <w:widowControl w:val="0"/>
              <w:autoSpaceDE w:val="0"/>
              <w:autoSpaceDN w:val="0"/>
              <w:adjustRightInd w:val="0"/>
              <w:jc w:val="right"/>
              <w:rPr>
                <w:rFonts w:cs="Calibri"/>
                <w:b/>
                <w:color w:val="auto"/>
                <w:sz w:val="20"/>
                <w:szCs w:val="20"/>
              </w:rPr>
            </w:pPr>
            <w:r w:rsidRPr="00503F5B">
              <w:rPr>
                <w:rFonts w:cs="Calibri"/>
                <w:b/>
                <w:bCs/>
                <w:sz w:val="20"/>
                <w:szCs w:val="20"/>
              </w:rPr>
              <w:t>25.02%</w:t>
            </w:r>
          </w:p>
        </w:tc>
      </w:tr>
      <w:tr w:rsidR="00E04C6D" w:rsidRPr="00503F5B" w14:paraId="0F995D2E" w14:textId="77777777" w:rsidTr="00872971">
        <w:trPr>
          <w:trHeight w:val="59"/>
          <w:jc w:val="center"/>
        </w:trPr>
        <w:tc>
          <w:tcPr>
            <w:tcW w:w="4263" w:type="dxa"/>
            <w:tcBorders>
              <w:top w:val="single" w:sz="4" w:space="0" w:color="ED7C5D"/>
              <w:bottom w:val="single" w:sz="4" w:space="0" w:color="ED7C5D"/>
            </w:tcBorders>
            <w:noWrap/>
            <w:vAlign w:val="bottom"/>
            <w:hideMark/>
          </w:tcPr>
          <w:p w14:paraId="51F36BD3" w14:textId="77777777" w:rsidR="00E04C6D" w:rsidRPr="00503F5B" w:rsidRDefault="00E04C6D" w:rsidP="00E04C6D">
            <w:pPr>
              <w:widowControl w:val="0"/>
              <w:autoSpaceDE w:val="0"/>
              <w:autoSpaceDN w:val="0"/>
              <w:adjustRightInd w:val="0"/>
              <w:rPr>
                <w:rFonts w:cs="Calibri"/>
                <w:b/>
                <w:bCs/>
                <w:i/>
                <w:color w:val="auto"/>
                <w:sz w:val="20"/>
                <w:szCs w:val="20"/>
              </w:rPr>
            </w:pPr>
            <w:r w:rsidRPr="00503F5B">
              <w:rPr>
                <w:rFonts w:cs="Calibri"/>
                <w:b/>
                <w:bCs/>
                <w:i/>
                <w:iCs/>
                <w:sz w:val="20"/>
                <w:szCs w:val="20"/>
              </w:rPr>
              <w:t>Total annual cost of emergency attendances</w:t>
            </w:r>
          </w:p>
        </w:tc>
        <w:tc>
          <w:tcPr>
            <w:tcW w:w="1629" w:type="dxa"/>
            <w:tcBorders>
              <w:top w:val="single" w:sz="4" w:space="0" w:color="ED7C5D"/>
              <w:bottom w:val="single" w:sz="4" w:space="0" w:color="ED7C5D"/>
            </w:tcBorders>
            <w:noWrap/>
            <w:hideMark/>
          </w:tcPr>
          <w:p w14:paraId="027C6BCD" w14:textId="77777777" w:rsidR="00E04C6D" w:rsidRPr="00503F5B" w:rsidRDefault="00E04C6D" w:rsidP="00E04C6D">
            <w:pPr>
              <w:widowControl w:val="0"/>
              <w:autoSpaceDE w:val="0"/>
              <w:autoSpaceDN w:val="0"/>
              <w:adjustRightInd w:val="0"/>
              <w:jc w:val="right"/>
              <w:rPr>
                <w:rFonts w:cs="Calibri"/>
                <w:b/>
                <w:bCs/>
                <w:i/>
                <w:color w:val="auto"/>
                <w:sz w:val="20"/>
                <w:szCs w:val="20"/>
              </w:rPr>
            </w:pPr>
            <w:r w:rsidRPr="00503F5B">
              <w:rPr>
                <w:rFonts w:cs="Calibri"/>
                <w:b/>
                <w:bCs/>
                <w:i/>
                <w:iCs/>
                <w:sz w:val="20"/>
                <w:szCs w:val="20"/>
              </w:rPr>
              <w:t>$371,950,644</w:t>
            </w:r>
          </w:p>
        </w:tc>
        <w:tc>
          <w:tcPr>
            <w:tcW w:w="1906" w:type="dxa"/>
            <w:tcBorders>
              <w:top w:val="single" w:sz="4" w:space="0" w:color="ED7C5D"/>
              <w:bottom w:val="single" w:sz="4" w:space="0" w:color="ED7C5D"/>
            </w:tcBorders>
          </w:tcPr>
          <w:p w14:paraId="7A404B65" w14:textId="77777777" w:rsidR="00E04C6D" w:rsidRPr="00503F5B" w:rsidRDefault="00E04C6D" w:rsidP="00E04C6D">
            <w:pPr>
              <w:widowControl w:val="0"/>
              <w:autoSpaceDE w:val="0"/>
              <w:autoSpaceDN w:val="0"/>
              <w:adjustRightInd w:val="0"/>
              <w:jc w:val="right"/>
              <w:rPr>
                <w:rFonts w:cs="Calibri"/>
                <w:b/>
                <w:bCs/>
                <w:i/>
                <w:color w:val="auto"/>
                <w:sz w:val="20"/>
                <w:szCs w:val="20"/>
              </w:rPr>
            </w:pPr>
            <w:r w:rsidRPr="00503F5B">
              <w:rPr>
                <w:rFonts w:cs="Calibri"/>
                <w:b/>
                <w:bCs/>
                <w:i/>
                <w:iCs/>
                <w:sz w:val="20"/>
                <w:szCs w:val="20"/>
              </w:rPr>
              <w:t>100.00%</w:t>
            </w:r>
          </w:p>
        </w:tc>
      </w:tr>
    </w:tbl>
    <w:p w14:paraId="09985F18" w14:textId="77777777" w:rsidR="00E04C6D" w:rsidRPr="00503F5B" w:rsidRDefault="00E04C6D" w:rsidP="00E04C6D">
      <w:pPr>
        <w:widowControl w:val="0"/>
        <w:autoSpaceDE w:val="0"/>
        <w:autoSpaceDN w:val="0"/>
        <w:adjustRightInd w:val="0"/>
        <w:rPr>
          <w:rFonts w:cs="Calibri"/>
          <w:color w:val="auto"/>
        </w:rPr>
      </w:pPr>
    </w:p>
    <w:p w14:paraId="3584C3BB" w14:textId="77777777" w:rsidR="00E04C6D" w:rsidRPr="00503F5B" w:rsidRDefault="00E04C6D" w:rsidP="00E04C6D">
      <w:pPr>
        <w:widowControl w:val="0"/>
        <w:autoSpaceDE w:val="0"/>
        <w:autoSpaceDN w:val="0"/>
        <w:adjustRightInd w:val="0"/>
        <w:rPr>
          <w:rFonts w:cs="Calibri"/>
          <w:color w:val="auto"/>
        </w:rPr>
      </w:pPr>
      <w:r w:rsidRPr="00503F5B">
        <w:rPr>
          <w:rFonts w:cs="Calibri"/>
          <w:color w:val="auto"/>
        </w:rPr>
        <w:t xml:space="preserve">Based on the total annual cost of emergency attendances, the average annual direct and indirect costs of running an appliance (given a total of 107 appliances) is estimated to be </w:t>
      </w:r>
      <w:r w:rsidRPr="00503F5B">
        <w:rPr>
          <w:rFonts w:cs="Calibri"/>
          <w:b/>
          <w:i/>
          <w:color w:val="auto"/>
        </w:rPr>
        <w:t xml:space="preserve">$3,476,174 </w:t>
      </w:r>
      <w:r w:rsidRPr="00503F5B">
        <w:rPr>
          <w:rFonts w:cs="Calibri"/>
          <w:color w:val="auto"/>
        </w:rPr>
        <w:t>for 2018-19.</w:t>
      </w:r>
    </w:p>
    <w:p w14:paraId="4155B69F" w14:textId="77777777" w:rsidR="00E04C6D" w:rsidRPr="00503F5B" w:rsidRDefault="00E04C6D">
      <w:bookmarkStart w:id="242" w:name="_Toc457772563"/>
      <w:r w:rsidRPr="00503F5B">
        <w:br w:type="page"/>
      </w:r>
    </w:p>
    <w:p w14:paraId="104BDBDD" w14:textId="77777777" w:rsidR="00E04C6D" w:rsidRPr="00503F5B" w:rsidRDefault="00E04C6D" w:rsidP="00E04C6D">
      <w:pPr>
        <w:pStyle w:val="Heading2"/>
      </w:pPr>
      <w:bookmarkStart w:id="243" w:name="_Toc35804162"/>
      <w:bookmarkStart w:id="244" w:name="_Toc35804656"/>
      <w:bookmarkStart w:id="245" w:name="_Toc35812700"/>
      <w:r w:rsidRPr="00503F5B">
        <w:lastRenderedPageBreak/>
        <w:t>A1.2 Estimated total annual avoidable costs of total MFB emergency attendances in relation to all false alarms</w:t>
      </w:r>
      <w:bookmarkEnd w:id="242"/>
      <w:bookmarkEnd w:id="243"/>
      <w:bookmarkEnd w:id="244"/>
      <w:bookmarkEnd w:id="245"/>
    </w:p>
    <w:p w14:paraId="493E688E" w14:textId="431A52D6" w:rsidR="00E04C6D" w:rsidRPr="00503F5B" w:rsidRDefault="00E04C6D" w:rsidP="00E04C6D">
      <w:pPr>
        <w:jc w:val="both"/>
      </w:pPr>
      <w:r w:rsidRPr="00503F5B">
        <w:t>The dollar estimates of variable direct and indirect costs attributable to false alarms are calculated on a pro rata basis using the percentage of appliance time spent on false alarms.  Table A1.3 shows the distribution of total annual direct and indirect appliance costs of emergenc</w:t>
      </w:r>
      <w:r w:rsidR="004025FC" w:rsidRPr="00503F5B">
        <w:t>y</w:t>
      </w:r>
      <w:r w:rsidRPr="00503F5B">
        <w:t xml:space="preserve"> attendances against the percentage of appliance time for each category of attendance (as taken from Table </w:t>
      </w:r>
      <w:r w:rsidR="00C37569" w:rsidRPr="00503F5B">
        <w:t>6</w:t>
      </w:r>
      <w:r w:rsidRPr="00503F5B">
        <w:t xml:space="preserve"> in this RIS).   </w:t>
      </w:r>
    </w:p>
    <w:p w14:paraId="7A3DDD0F" w14:textId="77777777" w:rsidR="00E04C6D" w:rsidRPr="00503F5B" w:rsidRDefault="00E04C6D" w:rsidP="00E04C6D">
      <w:pPr>
        <w:jc w:val="both"/>
      </w:pPr>
    </w:p>
    <w:p w14:paraId="3256819C" w14:textId="77777777" w:rsidR="00E04C6D" w:rsidRPr="00503F5B" w:rsidRDefault="00E04C6D" w:rsidP="00E04C6D">
      <w:pPr>
        <w:jc w:val="center"/>
        <w:rPr>
          <w:b/>
          <w:sz w:val="20"/>
          <w:szCs w:val="20"/>
        </w:rPr>
      </w:pPr>
      <w:r w:rsidRPr="00503F5B">
        <w:rPr>
          <w:b/>
          <w:sz w:val="20"/>
          <w:szCs w:val="20"/>
        </w:rPr>
        <w:t>Table A1.3: Distribution of total annual direct and indirect emergency attendance costs by incident type – 2018-19</w:t>
      </w:r>
    </w:p>
    <w:p w14:paraId="3BB70C92" w14:textId="77777777" w:rsidR="00E04C6D" w:rsidRPr="00503F5B" w:rsidRDefault="00E04C6D" w:rsidP="00E04C6D">
      <w:pPr>
        <w:jc w:val="both"/>
      </w:pPr>
    </w:p>
    <w:tbl>
      <w:tblPr>
        <w:tblW w:w="7900" w:type="dxa"/>
        <w:jc w:val="center"/>
        <w:tblLayout w:type="fixed"/>
        <w:tblLook w:val="04A0" w:firstRow="1" w:lastRow="0" w:firstColumn="1" w:lastColumn="0" w:noHBand="0" w:noVBand="1"/>
      </w:tblPr>
      <w:tblGrid>
        <w:gridCol w:w="4253"/>
        <w:gridCol w:w="2126"/>
        <w:gridCol w:w="1521"/>
      </w:tblGrid>
      <w:tr w:rsidR="00E04C6D" w:rsidRPr="00503F5B" w14:paraId="30547DB1" w14:textId="77777777" w:rsidTr="00E04C6D">
        <w:trPr>
          <w:trHeight w:val="320"/>
          <w:tblHeader/>
          <w:jc w:val="center"/>
        </w:trPr>
        <w:tc>
          <w:tcPr>
            <w:tcW w:w="4253" w:type="dxa"/>
            <w:tcBorders>
              <w:top w:val="single" w:sz="4" w:space="0" w:color="ED7C5D"/>
              <w:bottom w:val="double" w:sz="4" w:space="0" w:color="ED7C5D"/>
            </w:tcBorders>
            <w:noWrap/>
            <w:hideMark/>
          </w:tcPr>
          <w:p w14:paraId="786A2124" w14:textId="77777777" w:rsidR="00E04C6D" w:rsidRPr="00503F5B" w:rsidRDefault="00E04C6D" w:rsidP="00E04C6D">
            <w:pPr>
              <w:rPr>
                <w:b/>
                <w:color w:val="BE2A18"/>
                <w:sz w:val="20"/>
                <w:szCs w:val="20"/>
              </w:rPr>
            </w:pPr>
            <w:r w:rsidRPr="00503F5B">
              <w:rPr>
                <w:b/>
                <w:color w:val="BE2A18"/>
                <w:sz w:val="20"/>
                <w:szCs w:val="20"/>
              </w:rPr>
              <w:t>Incident</w:t>
            </w:r>
          </w:p>
        </w:tc>
        <w:tc>
          <w:tcPr>
            <w:tcW w:w="2126" w:type="dxa"/>
            <w:tcBorders>
              <w:top w:val="single" w:sz="4" w:space="0" w:color="ED7C5D"/>
              <w:bottom w:val="double" w:sz="4" w:space="0" w:color="ED7C5D"/>
            </w:tcBorders>
            <w:noWrap/>
            <w:hideMark/>
          </w:tcPr>
          <w:p w14:paraId="1A8655B2" w14:textId="77777777" w:rsidR="00E04C6D" w:rsidRPr="00503F5B" w:rsidRDefault="00E04C6D" w:rsidP="00E04C6D">
            <w:pPr>
              <w:jc w:val="center"/>
              <w:rPr>
                <w:b/>
                <w:color w:val="BE2A18"/>
                <w:sz w:val="20"/>
                <w:szCs w:val="20"/>
              </w:rPr>
            </w:pPr>
            <w:r w:rsidRPr="00503F5B">
              <w:rPr>
                <w:b/>
                <w:color w:val="BE2A18"/>
                <w:sz w:val="20"/>
                <w:szCs w:val="20"/>
              </w:rPr>
              <w:t>% of time spent by appliances per annum</w:t>
            </w:r>
          </w:p>
          <w:p w14:paraId="2E924BA2" w14:textId="77777777" w:rsidR="00E04C6D" w:rsidRPr="00503F5B" w:rsidRDefault="00E04C6D" w:rsidP="00E04C6D">
            <w:pPr>
              <w:jc w:val="center"/>
              <w:rPr>
                <w:b/>
                <w:color w:val="BE2A18"/>
                <w:sz w:val="20"/>
                <w:szCs w:val="20"/>
              </w:rPr>
            </w:pPr>
            <w:r w:rsidRPr="00503F5B">
              <w:rPr>
                <w:b/>
                <w:color w:val="BE2A18"/>
                <w:sz w:val="20"/>
                <w:szCs w:val="20"/>
              </w:rPr>
              <w:t>(8-year average 2011-12 to 2018-19)</w:t>
            </w:r>
            <w:r w:rsidRPr="00503F5B">
              <w:rPr>
                <w:rStyle w:val="FootnoteReference"/>
                <w:b/>
                <w:color w:val="BE2A18"/>
                <w:sz w:val="20"/>
                <w:szCs w:val="20"/>
              </w:rPr>
              <w:footnoteReference w:id="177"/>
            </w:r>
          </w:p>
        </w:tc>
        <w:tc>
          <w:tcPr>
            <w:tcW w:w="1521" w:type="dxa"/>
            <w:tcBorders>
              <w:top w:val="single" w:sz="4" w:space="0" w:color="ED7C5D"/>
              <w:bottom w:val="double" w:sz="4" w:space="0" w:color="ED7C5D"/>
            </w:tcBorders>
            <w:noWrap/>
            <w:hideMark/>
          </w:tcPr>
          <w:p w14:paraId="3D6C41A5" w14:textId="77777777" w:rsidR="00E04C6D" w:rsidRPr="00503F5B" w:rsidRDefault="00E04C6D" w:rsidP="00E04C6D">
            <w:pPr>
              <w:jc w:val="center"/>
              <w:rPr>
                <w:b/>
                <w:color w:val="BE2A18"/>
                <w:sz w:val="20"/>
                <w:szCs w:val="20"/>
              </w:rPr>
            </w:pPr>
            <w:r w:rsidRPr="00503F5B">
              <w:rPr>
                <w:b/>
                <w:color w:val="BE2A18"/>
                <w:sz w:val="20"/>
                <w:szCs w:val="20"/>
              </w:rPr>
              <w:t xml:space="preserve">Annual pro rata cost </w:t>
            </w:r>
          </w:p>
          <w:p w14:paraId="7D1F2ED4" w14:textId="77777777" w:rsidR="00E04C6D" w:rsidRPr="00503F5B" w:rsidRDefault="00E04C6D" w:rsidP="00E04C6D">
            <w:pPr>
              <w:jc w:val="center"/>
              <w:rPr>
                <w:b/>
                <w:color w:val="BE2A18"/>
                <w:sz w:val="20"/>
                <w:szCs w:val="20"/>
              </w:rPr>
            </w:pPr>
            <w:r w:rsidRPr="00503F5B">
              <w:rPr>
                <w:b/>
                <w:color w:val="BE2A18"/>
                <w:sz w:val="20"/>
                <w:szCs w:val="20"/>
              </w:rPr>
              <w:t>2018-19</w:t>
            </w:r>
          </w:p>
        </w:tc>
      </w:tr>
      <w:tr w:rsidR="00E04C6D" w:rsidRPr="00503F5B" w14:paraId="309C3298" w14:textId="77777777" w:rsidTr="00E04C6D">
        <w:trPr>
          <w:trHeight w:val="59"/>
          <w:jc w:val="center"/>
        </w:trPr>
        <w:tc>
          <w:tcPr>
            <w:tcW w:w="4253" w:type="dxa"/>
            <w:tcBorders>
              <w:top w:val="double" w:sz="4" w:space="0" w:color="ED7C5D"/>
            </w:tcBorders>
            <w:noWrap/>
            <w:hideMark/>
          </w:tcPr>
          <w:p w14:paraId="3466C0C0" w14:textId="77777777" w:rsidR="00E04C6D" w:rsidRPr="00503F5B" w:rsidRDefault="00E04C6D" w:rsidP="00E04C6D">
            <w:pPr>
              <w:rPr>
                <w:sz w:val="20"/>
                <w:szCs w:val="20"/>
              </w:rPr>
            </w:pPr>
            <w:r w:rsidRPr="00503F5B">
              <w:rPr>
                <w:sz w:val="20"/>
                <w:szCs w:val="20"/>
              </w:rPr>
              <w:t>Fires and Explosions</w:t>
            </w:r>
          </w:p>
        </w:tc>
        <w:tc>
          <w:tcPr>
            <w:tcW w:w="2126" w:type="dxa"/>
            <w:tcBorders>
              <w:top w:val="double" w:sz="4" w:space="0" w:color="ED7C5D"/>
            </w:tcBorders>
            <w:noWrap/>
            <w:hideMark/>
          </w:tcPr>
          <w:p w14:paraId="64FD4A3C" w14:textId="77777777" w:rsidR="00E04C6D" w:rsidRPr="00503F5B" w:rsidRDefault="00E04C6D" w:rsidP="00E04C6D">
            <w:pPr>
              <w:jc w:val="right"/>
              <w:rPr>
                <w:sz w:val="20"/>
                <w:szCs w:val="20"/>
              </w:rPr>
            </w:pPr>
            <w:r w:rsidRPr="00503F5B">
              <w:rPr>
                <w:rFonts w:cs="Calibri"/>
                <w:sz w:val="20"/>
                <w:szCs w:val="20"/>
              </w:rPr>
              <w:t>38.29%</w:t>
            </w:r>
          </w:p>
        </w:tc>
        <w:tc>
          <w:tcPr>
            <w:tcW w:w="1521" w:type="dxa"/>
            <w:tcBorders>
              <w:top w:val="double" w:sz="4" w:space="0" w:color="ED7C5D"/>
            </w:tcBorders>
            <w:noWrap/>
            <w:hideMark/>
          </w:tcPr>
          <w:p w14:paraId="6415BA62" w14:textId="77777777" w:rsidR="00E04C6D" w:rsidRPr="00503F5B" w:rsidRDefault="00E04C6D" w:rsidP="00E04C6D">
            <w:pPr>
              <w:jc w:val="right"/>
              <w:rPr>
                <w:sz w:val="20"/>
                <w:szCs w:val="20"/>
              </w:rPr>
            </w:pPr>
            <w:r w:rsidRPr="00503F5B">
              <w:rPr>
                <w:rFonts w:cs="Calibri"/>
                <w:sz w:val="20"/>
                <w:szCs w:val="20"/>
              </w:rPr>
              <w:t>$142,417,612</w:t>
            </w:r>
          </w:p>
        </w:tc>
      </w:tr>
      <w:tr w:rsidR="00E04C6D" w:rsidRPr="00503F5B" w14:paraId="5D9AE1B6" w14:textId="77777777" w:rsidTr="00E04C6D">
        <w:trPr>
          <w:trHeight w:val="59"/>
          <w:jc w:val="center"/>
        </w:trPr>
        <w:tc>
          <w:tcPr>
            <w:tcW w:w="4253" w:type="dxa"/>
            <w:noWrap/>
            <w:hideMark/>
          </w:tcPr>
          <w:p w14:paraId="734DC7C2" w14:textId="77777777" w:rsidR="00E04C6D" w:rsidRPr="00503F5B" w:rsidRDefault="00E04C6D" w:rsidP="00E04C6D">
            <w:pPr>
              <w:rPr>
                <w:sz w:val="20"/>
                <w:szCs w:val="20"/>
              </w:rPr>
            </w:pPr>
            <w:r w:rsidRPr="00503F5B">
              <w:rPr>
                <w:sz w:val="20"/>
                <w:szCs w:val="20"/>
              </w:rPr>
              <w:t>Emergency medical response (EMR)</w:t>
            </w:r>
          </w:p>
        </w:tc>
        <w:tc>
          <w:tcPr>
            <w:tcW w:w="2126" w:type="dxa"/>
            <w:noWrap/>
            <w:hideMark/>
          </w:tcPr>
          <w:p w14:paraId="09F555D1" w14:textId="77777777" w:rsidR="00E04C6D" w:rsidRPr="00503F5B" w:rsidRDefault="00E04C6D" w:rsidP="00E04C6D">
            <w:pPr>
              <w:jc w:val="right"/>
              <w:rPr>
                <w:sz w:val="20"/>
                <w:szCs w:val="20"/>
              </w:rPr>
            </w:pPr>
            <w:r w:rsidRPr="00503F5B">
              <w:rPr>
                <w:rFonts w:cs="Calibri"/>
                <w:sz w:val="20"/>
                <w:szCs w:val="20"/>
              </w:rPr>
              <w:t>4.29%</w:t>
            </w:r>
          </w:p>
        </w:tc>
        <w:tc>
          <w:tcPr>
            <w:tcW w:w="1521" w:type="dxa"/>
            <w:noWrap/>
            <w:hideMark/>
          </w:tcPr>
          <w:p w14:paraId="23E9DB9D" w14:textId="77777777" w:rsidR="00E04C6D" w:rsidRPr="00503F5B" w:rsidRDefault="00E04C6D" w:rsidP="00E04C6D">
            <w:pPr>
              <w:jc w:val="right"/>
              <w:rPr>
                <w:sz w:val="20"/>
                <w:szCs w:val="20"/>
              </w:rPr>
            </w:pPr>
            <w:r w:rsidRPr="00503F5B">
              <w:rPr>
                <w:rFonts w:cs="Calibri"/>
                <w:sz w:val="20"/>
                <w:szCs w:val="20"/>
              </w:rPr>
              <w:t>$15,954,629</w:t>
            </w:r>
          </w:p>
        </w:tc>
      </w:tr>
      <w:tr w:rsidR="00E04C6D" w:rsidRPr="00503F5B" w14:paraId="699643D5" w14:textId="77777777" w:rsidTr="00E04C6D">
        <w:trPr>
          <w:trHeight w:val="59"/>
          <w:jc w:val="center"/>
        </w:trPr>
        <w:tc>
          <w:tcPr>
            <w:tcW w:w="4253" w:type="dxa"/>
            <w:noWrap/>
            <w:hideMark/>
          </w:tcPr>
          <w:p w14:paraId="19D1EE7E" w14:textId="77777777" w:rsidR="00E04C6D" w:rsidRPr="00503F5B" w:rsidRDefault="00E04C6D" w:rsidP="00E04C6D">
            <w:pPr>
              <w:rPr>
                <w:sz w:val="20"/>
                <w:szCs w:val="20"/>
              </w:rPr>
            </w:pPr>
            <w:r w:rsidRPr="00503F5B">
              <w:rPr>
                <w:sz w:val="20"/>
                <w:szCs w:val="20"/>
              </w:rPr>
              <w:t>Motor Vehicle Accidents (MVA)</w:t>
            </w:r>
          </w:p>
        </w:tc>
        <w:tc>
          <w:tcPr>
            <w:tcW w:w="2126" w:type="dxa"/>
            <w:noWrap/>
            <w:hideMark/>
          </w:tcPr>
          <w:p w14:paraId="25B7166A" w14:textId="77777777" w:rsidR="00E04C6D" w:rsidRPr="00503F5B" w:rsidRDefault="00E04C6D" w:rsidP="00E04C6D">
            <w:pPr>
              <w:jc w:val="right"/>
              <w:rPr>
                <w:sz w:val="20"/>
                <w:szCs w:val="20"/>
              </w:rPr>
            </w:pPr>
            <w:r w:rsidRPr="00503F5B">
              <w:rPr>
                <w:rFonts w:cs="Calibri"/>
                <w:sz w:val="20"/>
                <w:szCs w:val="20"/>
              </w:rPr>
              <w:t>5.99%</w:t>
            </w:r>
          </w:p>
        </w:tc>
        <w:tc>
          <w:tcPr>
            <w:tcW w:w="1521" w:type="dxa"/>
            <w:noWrap/>
            <w:hideMark/>
          </w:tcPr>
          <w:p w14:paraId="7BE3B4A6" w14:textId="77777777" w:rsidR="00E04C6D" w:rsidRPr="00503F5B" w:rsidRDefault="00E04C6D" w:rsidP="00E04C6D">
            <w:pPr>
              <w:jc w:val="right"/>
              <w:rPr>
                <w:sz w:val="20"/>
                <w:szCs w:val="20"/>
              </w:rPr>
            </w:pPr>
            <w:r w:rsidRPr="00503F5B">
              <w:rPr>
                <w:rFonts w:cs="Calibri"/>
                <w:sz w:val="20"/>
                <w:szCs w:val="20"/>
              </w:rPr>
              <w:t>$22,265,952</w:t>
            </w:r>
          </w:p>
        </w:tc>
      </w:tr>
      <w:tr w:rsidR="00E04C6D" w:rsidRPr="00503F5B" w14:paraId="15C398FE" w14:textId="77777777" w:rsidTr="00E04C6D">
        <w:trPr>
          <w:trHeight w:val="59"/>
          <w:jc w:val="center"/>
        </w:trPr>
        <w:tc>
          <w:tcPr>
            <w:tcW w:w="4253" w:type="dxa"/>
            <w:noWrap/>
            <w:hideMark/>
          </w:tcPr>
          <w:p w14:paraId="44B52236" w14:textId="77777777" w:rsidR="00E04C6D" w:rsidRPr="00503F5B" w:rsidRDefault="00E04C6D" w:rsidP="00E04C6D">
            <w:pPr>
              <w:rPr>
                <w:sz w:val="20"/>
                <w:szCs w:val="20"/>
              </w:rPr>
            </w:pPr>
            <w:r w:rsidRPr="00503F5B">
              <w:rPr>
                <w:sz w:val="20"/>
                <w:szCs w:val="20"/>
              </w:rPr>
              <w:t>Rescues and Medical Assistance Other than EMR</w:t>
            </w:r>
          </w:p>
        </w:tc>
        <w:tc>
          <w:tcPr>
            <w:tcW w:w="2126" w:type="dxa"/>
            <w:noWrap/>
            <w:hideMark/>
          </w:tcPr>
          <w:p w14:paraId="73EE57AB" w14:textId="77777777" w:rsidR="00E04C6D" w:rsidRPr="00503F5B" w:rsidRDefault="00E04C6D" w:rsidP="00E04C6D">
            <w:pPr>
              <w:jc w:val="right"/>
              <w:rPr>
                <w:sz w:val="20"/>
                <w:szCs w:val="20"/>
              </w:rPr>
            </w:pPr>
            <w:r w:rsidRPr="00503F5B">
              <w:rPr>
                <w:rFonts w:cs="Calibri"/>
                <w:sz w:val="20"/>
                <w:szCs w:val="20"/>
              </w:rPr>
              <w:t>2.43%</w:t>
            </w:r>
          </w:p>
        </w:tc>
        <w:tc>
          <w:tcPr>
            <w:tcW w:w="1521" w:type="dxa"/>
            <w:noWrap/>
            <w:hideMark/>
          </w:tcPr>
          <w:p w14:paraId="19A62419" w14:textId="77777777" w:rsidR="00E04C6D" w:rsidRPr="00503F5B" w:rsidRDefault="00E04C6D" w:rsidP="00E04C6D">
            <w:pPr>
              <w:jc w:val="right"/>
              <w:rPr>
                <w:sz w:val="20"/>
                <w:szCs w:val="20"/>
              </w:rPr>
            </w:pPr>
            <w:r w:rsidRPr="00503F5B">
              <w:rPr>
                <w:rFonts w:cs="Calibri"/>
                <w:sz w:val="20"/>
                <w:szCs w:val="20"/>
              </w:rPr>
              <w:t>$9,045,280</w:t>
            </w:r>
          </w:p>
        </w:tc>
      </w:tr>
      <w:tr w:rsidR="00E04C6D" w:rsidRPr="00503F5B" w14:paraId="7007A75D" w14:textId="77777777" w:rsidTr="00E04C6D">
        <w:trPr>
          <w:trHeight w:val="59"/>
          <w:jc w:val="center"/>
        </w:trPr>
        <w:tc>
          <w:tcPr>
            <w:tcW w:w="4253" w:type="dxa"/>
            <w:noWrap/>
            <w:hideMark/>
          </w:tcPr>
          <w:p w14:paraId="0BD10DCF" w14:textId="77777777" w:rsidR="00E04C6D" w:rsidRPr="00503F5B" w:rsidRDefault="00E04C6D" w:rsidP="00E04C6D">
            <w:pPr>
              <w:rPr>
                <w:sz w:val="20"/>
                <w:szCs w:val="20"/>
              </w:rPr>
            </w:pPr>
            <w:r w:rsidRPr="00503F5B">
              <w:rPr>
                <w:sz w:val="20"/>
                <w:szCs w:val="20"/>
              </w:rPr>
              <w:t>HazMat</w:t>
            </w:r>
          </w:p>
        </w:tc>
        <w:tc>
          <w:tcPr>
            <w:tcW w:w="2126" w:type="dxa"/>
            <w:noWrap/>
            <w:hideMark/>
          </w:tcPr>
          <w:p w14:paraId="6E0B8740" w14:textId="77777777" w:rsidR="00E04C6D" w:rsidRPr="00503F5B" w:rsidRDefault="00E04C6D" w:rsidP="00E04C6D">
            <w:pPr>
              <w:jc w:val="right"/>
              <w:rPr>
                <w:sz w:val="20"/>
                <w:szCs w:val="20"/>
              </w:rPr>
            </w:pPr>
            <w:r w:rsidRPr="00503F5B">
              <w:rPr>
                <w:rFonts w:cs="Calibri"/>
                <w:sz w:val="20"/>
                <w:szCs w:val="20"/>
              </w:rPr>
              <w:t>3.92%</w:t>
            </w:r>
          </w:p>
        </w:tc>
        <w:tc>
          <w:tcPr>
            <w:tcW w:w="1521" w:type="dxa"/>
            <w:noWrap/>
            <w:hideMark/>
          </w:tcPr>
          <w:p w14:paraId="4B50A646" w14:textId="77777777" w:rsidR="00E04C6D" w:rsidRPr="00503F5B" w:rsidRDefault="00E04C6D" w:rsidP="00E04C6D">
            <w:pPr>
              <w:jc w:val="right"/>
              <w:rPr>
                <w:sz w:val="20"/>
                <w:szCs w:val="20"/>
              </w:rPr>
            </w:pPr>
            <w:r w:rsidRPr="00503F5B">
              <w:rPr>
                <w:rFonts w:cs="Calibri"/>
                <w:sz w:val="20"/>
                <w:szCs w:val="20"/>
              </w:rPr>
              <w:t>$14,575,799</w:t>
            </w:r>
          </w:p>
        </w:tc>
      </w:tr>
      <w:tr w:rsidR="00E04C6D" w:rsidRPr="00503F5B" w14:paraId="03584105" w14:textId="77777777" w:rsidTr="00E04C6D">
        <w:trPr>
          <w:trHeight w:val="59"/>
          <w:jc w:val="center"/>
        </w:trPr>
        <w:tc>
          <w:tcPr>
            <w:tcW w:w="4253" w:type="dxa"/>
            <w:noWrap/>
            <w:hideMark/>
          </w:tcPr>
          <w:p w14:paraId="70AC961D" w14:textId="77777777" w:rsidR="00E04C6D" w:rsidRPr="00503F5B" w:rsidRDefault="00E04C6D" w:rsidP="00E04C6D">
            <w:pPr>
              <w:rPr>
                <w:sz w:val="20"/>
                <w:szCs w:val="20"/>
              </w:rPr>
            </w:pPr>
            <w:r w:rsidRPr="00503F5B">
              <w:rPr>
                <w:sz w:val="20"/>
                <w:szCs w:val="20"/>
              </w:rPr>
              <w:t>Haz not HazMat</w:t>
            </w:r>
          </w:p>
        </w:tc>
        <w:tc>
          <w:tcPr>
            <w:tcW w:w="2126" w:type="dxa"/>
            <w:noWrap/>
            <w:hideMark/>
          </w:tcPr>
          <w:p w14:paraId="2807D624" w14:textId="77777777" w:rsidR="00E04C6D" w:rsidRPr="00503F5B" w:rsidRDefault="00E04C6D" w:rsidP="00E04C6D">
            <w:pPr>
              <w:jc w:val="right"/>
              <w:rPr>
                <w:sz w:val="20"/>
                <w:szCs w:val="20"/>
              </w:rPr>
            </w:pPr>
            <w:r w:rsidRPr="00503F5B">
              <w:rPr>
                <w:rFonts w:cs="Calibri"/>
                <w:sz w:val="20"/>
                <w:szCs w:val="20"/>
              </w:rPr>
              <w:t>5.61%</w:t>
            </w:r>
          </w:p>
        </w:tc>
        <w:tc>
          <w:tcPr>
            <w:tcW w:w="1521" w:type="dxa"/>
            <w:noWrap/>
            <w:hideMark/>
          </w:tcPr>
          <w:p w14:paraId="4FAEE371" w14:textId="77777777" w:rsidR="00E04C6D" w:rsidRPr="00503F5B" w:rsidRDefault="00E04C6D" w:rsidP="00E04C6D">
            <w:pPr>
              <w:jc w:val="right"/>
              <w:rPr>
                <w:sz w:val="20"/>
                <w:szCs w:val="20"/>
              </w:rPr>
            </w:pPr>
            <w:r w:rsidRPr="00503F5B">
              <w:rPr>
                <w:rFonts w:cs="Calibri"/>
                <w:sz w:val="20"/>
                <w:szCs w:val="20"/>
              </w:rPr>
              <w:t>$20,863,657</w:t>
            </w:r>
          </w:p>
        </w:tc>
      </w:tr>
      <w:tr w:rsidR="00E04C6D" w:rsidRPr="00503F5B" w14:paraId="0F01D260" w14:textId="77777777" w:rsidTr="00E04C6D">
        <w:trPr>
          <w:trHeight w:val="59"/>
          <w:jc w:val="center"/>
        </w:trPr>
        <w:tc>
          <w:tcPr>
            <w:tcW w:w="4253" w:type="dxa"/>
            <w:noWrap/>
            <w:hideMark/>
          </w:tcPr>
          <w:p w14:paraId="6BC2FD8F" w14:textId="77777777" w:rsidR="00E04C6D" w:rsidRPr="00503F5B" w:rsidRDefault="00E04C6D" w:rsidP="00E04C6D">
            <w:pPr>
              <w:rPr>
                <w:sz w:val="20"/>
                <w:szCs w:val="20"/>
              </w:rPr>
            </w:pPr>
            <w:r w:rsidRPr="00503F5B">
              <w:rPr>
                <w:sz w:val="20"/>
                <w:szCs w:val="20"/>
              </w:rPr>
              <w:t>Service Calls</w:t>
            </w:r>
          </w:p>
        </w:tc>
        <w:tc>
          <w:tcPr>
            <w:tcW w:w="2126" w:type="dxa"/>
            <w:noWrap/>
            <w:hideMark/>
          </w:tcPr>
          <w:p w14:paraId="32863F40" w14:textId="77777777" w:rsidR="00E04C6D" w:rsidRPr="00503F5B" w:rsidRDefault="00E04C6D" w:rsidP="00E04C6D">
            <w:pPr>
              <w:jc w:val="right"/>
              <w:rPr>
                <w:sz w:val="20"/>
                <w:szCs w:val="20"/>
              </w:rPr>
            </w:pPr>
            <w:r w:rsidRPr="00503F5B">
              <w:rPr>
                <w:rFonts w:cs="Calibri"/>
                <w:sz w:val="20"/>
                <w:szCs w:val="20"/>
              </w:rPr>
              <w:t>3.70%</w:t>
            </w:r>
          </w:p>
        </w:tc>
        <w:tc>
          <w:tcPr>
            <w:tcW w:w="1521" w:type="dxa"/>
            <w:noWrap/>
            <w:hideMark/>
          </w:tcPr>
          <w:p w14:paraId="63354E18" w14:textId="77777777" w:rsidR="00E04C6D" w:rsidRPr="00503F5B" w:rsidRDefault="00E04C6D" w:rsidP="00E04C6D">
            <w:pPr>
              <w:jc w:val="right"/>
              <w:rPr>
                <w:sz w:val="20"/>
                <w:szCs w:val="20"/>
              </w:rPr>
            </w:pPr>
            <w:r w:rsidRPr="00503F5B">
              <w:rPr>
                <w:rFonts w:cs="Calibri"/>
                <w:sz w:val="20"/>
                <w:szCs w:val="20"/>
              </w:rPr>
              <w:t>$13,769,711</w:t>
            </w:r>
          </w:p>
        </w:tc>
      </w:tr>
      <w:tr w:rsidR="00E04C6D" w:rsidRPr="00503F5B" w14:paraId="3E28C9C8" w14:textId="77777777" w:rsidTr="00E04C6D">
        <w:trPr>
          <w:trHeight w:val="59"/>
          <w:jc w:val="center"/>
        </w:trPr>
        <w:tc>
          <w:tcPr>
            <w:tcW w:w="4253" w:type="dxa"/>
            <w:noWrap/>
            <w:hideMark/>
          </w:tcPr>
          <w:p w14:paraId="53F076AE" w14:textId="77777777" w:rsidR="00E04C6D" w:rsidRPr="00503F5B" w:rsidRDefault="00E04C6D" w:rsidP="00E04C6D">
            <w:pPr>
              <w:rPr>
                <w:sz w:val="20"/>
                <w:szCs w:val="20"/>
              </w:rPr>
            </w:pPr>
            <w:r w:rsidRPr="00503F5B">
              <w:rPr>
                <w:sz w:val="20"/>
                <w:szCs w:val="20"/>
              </w:rPr>
              <w:t>Good Intent</w:t>
            </w:r>
          </w:p>
        </w:tc>
        <w:tc>
          <w:tcPr>
            <w:tcW w:w="2126" w:type="dxa"/>
            <w:noWrap/>
            <w:hideMark/>
          </w:tcPr>
          <w:p w14:paraId="4B05C7D4" w14:textId="77777777" w:rsidR="00E04C6D" w:rsidRPr="00503F5B" w:rsidRDefault="00E04C6D" w:rsidP="00E04C6D">
            <w:pPr>
              <w:jc w:val="right"/>
              <w:rPr>
                <w:sz w:val="20"/>
                <w:szCs w:val="20"/>
              </w:rPr>
            </w:pPr>
            <w:r w:rsidRPr="00503F5B">
              <w:rPr>
                <w:rFonts w:cs="Calibri"/>
                <w:sz w:val="20"/>
                <w:szCs w:val="20"/>
              </w:rPr>
              <w:t>7.24%</w:t>
            </w:r>
          </w:p>
        </w:tc>
        <w:tc>
          <w:tcPr>
            <w:tcW w:w="1521" w:type="dxa"/>
            <w:noWrap/>
            <w:hideMark/>
          </w:tcPr>
          <w:p w14:paraId="37CFE8F5" w14:textId="77777777" w:rsidR="00E04C6D" w:rsidRPr="00503F5B" w:rsidRDefault="00E04C6D" w:rsidP="00E04C6D">
            <w:pPr>
              <w:jc w:val="right"/>
              <w:rPr>
                <w:sz w:val="20"/>
                <w:szCs w:val="20"/>
              </w:rPr>
            </w:pPr>
            <w:r w:rsidRPr="00503F5B">
              <w:rPr>
                <w:rFonts w:cs="Calibri"/>
                <w:sz w:val="20"/>
                <w:szCs w:val="20"/>
              </w:rPr>
              <w:t>$26,940,639</w:t>
            </w:r>
          </w:p>
        </w:tc>
      </w:tr>
      <w:tr w:rsidR="00E04C6D" w:rsidRPr="00503F5B" w14:paraId="61A325DF" w14:textId="77777777" w:rsidTr="00E04C6D">
        <w:trPr>
          <w:trHeight w:val="59"/>
          <w:jc w:val="center"/>
        </w:trPr>
        <w:tc>
          <w:tcPr>
            <w:tcW w:w="4253" w:type="dxa"/>
            <w:noWrap/>
            <w:hideMark/>
          </w:tcPr>
          <w:p w14:paraId="3DD1E223" w14:textId="77777777" w:rsidR="00E04C6D" w:rsidRPr="00503F5B" w:rsidRDefault="00E04C6D" w:rsidP="00E04C6D">
            <w:pPr>
              <w:rPr>
                <w:sz w:val="20"/>
                <w:szCs w:val="20"/>
              </w:rPr>
            </w:pPr>
            <w:r w:rsidRPr="00503F5B">
              <w:rPr>
                <w:sz w:val="20"/>
                <w:szCs w:val="20"/>
              </w:rPr>
              <w:t>Malicious</w:t>
            </w:r>
          </w:p>
        </w:tc>
        <w:tc>
          <w:tcPr>
            <w:tcW w:w="2126" w:type="dxa"/>
            <w:noWrap/>
            <w:hideMark/>
          </w:tcPr>
          <w:p w14:paraId="37DD2272" w14:textId="77777777" w:rsidR="00E04C6D" w:rsidRPr="00503F5B" w:rsidRDefault="00E04C6D" w:rsidP="00E04C6D">
            <w:pPr>
              <w:jc w:val="right"/>
              <w:rPr>
                <w:sz w:val="20"/>
                <w:szCs w:val="20"/>
              </w:rPr>
            </w:pPr>
            <w:r w:rsidRPr="00503F5B">
              <w:rPr>
                <w:rFonts w:cs="Calibri"/>
                <w:sz w:val="20"/>
                <w:szCs w:val="20"/>
              </w:rPr>
              <w:t>1.24%</w:t>
            </w:r>
          </w:p>
        </w:tc>
        <w:tc>
          <w:tcPr>
            <w:tcW w:w="1521" w:type="dxa"/>
            <w:noWrap/>
            <w:hideMark/>
          </w:tcPr>
          <w:p w14:paraId="397F3F10" w14:textId="77777777" w:rsidR="00E04C6D" w:rsidRPr="00503F5B" w:rsidRDefault="00E04C6D" w:rsidP="00E04C6D">
            <w:pPr>
              <w:jc w:val="right"/>
              <w:rPr>
                <w:sz w:val="20"/>
                <w:szCs w:val="20"/>
              </w:rPr>
            </w:pPr>
            <w:r w:rsidRPr="00503F5B">
              <w:rPr>
                <w:rFonts w:cs="Calibri"/>
                <w:sz w:val="20"/>
                <w:szCs w:val="20"/>
              </w:rPr>
              <w:t>$4,630,010</w:t>
            </w:r>
          </w:p>
        </w:tc>
      </w:tr>
      <w:tr w:rsidR="00E04C6D" w:rsidRPr="00503F5B" w14:paraId="66D8F6E7" w14:textId="77777777" w:rsidTr="00535EE3">
        <w:trPr>
          <w:trHeight w:val="59"/>
          <w:jc w:val="center"/>
        </w:trPr>
        <w:tc>
          <w:tcPr>
            <w:tcW w:w="4253" w:type="dxa"/>
            <w:shd w:val="clear" w:color="auto" w:fill="FBE4D5" w:themeFill="accent2" w:themeFillTint="33"/>
            <w:noWrap/>
            <w:hideMark/>
          </w:tcPr>
          <w:p w14:paraId="4AF0CCC7" w14:textId="77777777" w:rsidR="00E04C6D" w:rsidRPr="00503F5B" w:rsidRDefault="00E04C6D" w:rsidP="00E04C6D">
            <w:pPr>
              <w:rPr>
                <w:sz w:val="20"/>
                <w:szCs w:val="20"/>
              </w:rPr>
            </w:pPr>
            <w:r w:rsidRPr="00503F5B">
              <w:rPr>
                <w:sz w:val="20"/>
                <w:szCs w:val="20"/>
              </w:rPr>
              <w:t>False Alarms</w:t>
            </w:r>
          </w:p>
        </w:tc>
        <w:tc>
          <w:tcPr>
            <w:tcW w:w="2126" w:type="dxa"/>
            <w:shd w:val="clear" w:color="auto" w:fill="FBE4D5" w:themeFill="accent2" w:themeFillTint="33"/>
            <w:noWrap/>
            <w:hideMark/>
          </w:tcPr>
          <w:p w14:paraId="12ECD64C" w14:textId="77777777" w:rsidR="00E04C6D" w:rsidRPr="00503F5B" w:rsidRDefault="00E04C6D" w:rsidP="00E04C6D">
            <w:pPr>
              <w:jc w:val="right"/>
              <w:rPr>
                <w:sz w:val="20"/>
                <w:szCs w:val="20"/>
              </w:rPr>
            </w:pPr>
            <w:r w:rsidRPr="00503F5B">
              <w:rPr>
                <w:rFonts w:cs="Calibri"/>
                <w:sz w:val="20"/>
                <w:szCs w:val="20"/>
              </w:rPr>
              <w:t>26.38%</w:t>
            </w:r>
          </w:p>
        </w:tc>
        <w:tc>
          <w:tcPr>
            <w:tcW w:w="1521" w:type="dxa"/>
            <w:shd w:val="clear" w:color="auto" w:fill="FBE4D5" w:themeFill="accent2" w:themeFillTint="33"/>
            <w:noWrap/>
            <w:hideMark/>
          </w:tcPr>
          <w:p w14:paraId="22E5D995" w14:textId="77777777" w:rsidR="00E04C6D" w:rsidRPr="00503F5B" w:rsidRDefault="00E04C6D" w:rsidP="00E04C6D">
            <w:pPr>
              <w:jc w:val="right"/>
              <w:rPr>
                <w:sz w:val="20"/>
                <w:szCs w:val="20"/>
              </w:rPr>
            </w:pPr>
            <w:bookmarkStart w:id="246" w:name="_Hlk31739914"/>
            <w:r w:rsidRPr="00503F5B">
              <w:rPr>
                <w:rFonts w:cs="Calibri"/>
                <w:sz w:val="20"/>
                <w:szCs w:val="20"/>
              </w:rPr>
              <w:t>$98,128,758</w:t>
            </w:r>
            <w:bookmarkEnd w:id="246"/>
          </w:p>
        </w:tc>
      </w:tr>
      <w:tr w:rsidR="00E04C6D" w:rsidRPr="00503F5B" w14:paraId="578A10C2" w14:textId="77777777" w:rsidTr="00E04C6D">
        <w:trPr>
          <w:trHeight w:val="59"/>
          <w:jc w:val="center"/>
        </w:trPr>
        <w:tc>
          <w:tcPr>
            <w:tcW w:w="4253" w:type="dxa"/>
            <w:tcBorders>
              <w:bottom w:val="single" w:sz="4" w:space="0" w:color="ED7C5D"/>
            </w:tcBorders>
            <w:noWrap/>
            <w:hideMark/>
          </w:tcPr>
          <w:p w14:paraId="2C84EA97" w14:textId="77777777" w:rsidR="00E04C6D" w:rsidRPr="00503F5B" w:rsidRDefault="00E04C6D" w:rsidP="00E04C6D">
            <w:pPr>
              <w:rPr>
                <w:sz w:val="20"/>
                <w:szCs w:val="20"/>
              </w:rPr>
            </w:pPr>
            <w:r w:rsidRPr="00503F5B">
              <w:rPr>
                <w:sz w:val="20"/>
                <w:szCs w:val="20"/>
              </w:rPr>
              <w:t>Other</w:t>
            </w:r>
          </w:p>
        </w:tc>
        <w:tc>
          <w:tcPr>
            <w:tcW w:w="2126" w:type="dxa"/>
            <w:tcBorders>
              <w:bottom w:val="single" w:sz="4" w:space="0" w:color="ED7C5D"/>
            </w:tcBorders>
            <w:noWrap/>
            <w:hideMark/>
          </w:tcPr>
          <w:p w14:paraId="02286133" w14:textId="77777777" w:rsidR="00E04C6D" w:rsidRPr="00503F5B" w:rsidRDefault="00E04C6D" w:rsidP="00E04C6D">
            <w:pPr>
              <w:jc w:val="right"/>
              <w:rPr>
                <w:sz w:val="20"/>
                <w:szCs w:val="20"/>
              </w:rPr>
            </w:pPr>
            <w:r w:rsidRPr="00503F5B">
              <w:rPr>
                <w:rFonts w:cs="Calibri"/>
                <w:sz w:val="20"/>
                <w:szCs w:val="20"/>
              </w:rPr>
              <w:t>0.90%</w:t>
            </w:r>
          </w:p>
        </w:tc>
        <w:tc>
          <w:tcPr>
            <w:tcW w:w="1521" w:type="dxa"/>
            <w:tcBorders>
              <w:bottom w:val="single" w:sz="4" w:space="0" w:color="ED7C5D"/>
            </w:tcBorders>
            <w:noWrap/>
            <w:hideMark/>
          </w:tcPr>
          <w:p w14:paraId="622599CC" w14:textId="77777777" w:rsidR="00E04C6D" w:rsidRPr="00503F5B" w:rsidRDefault="00E04C6D" w:rsidP="00E04C6D">
            <w:pPr>
              <w:jc w:val="right"/>
              <w:rPr>
                <w:sz w:val="20"/>
                <w:szCs w:val="20"/>
              </w:rPr>
            </w:pPr>
            <w:r w:rsidRPr="00503F5B">
              <w:rPr>
                <w:rFonts w:cs="Calibri"/>
                <w:sz w:val="20"/>
                <w:szCs w:val="20"/>
              </w:rPr>
              <w:t>$3,358,597</w:t>
            </w:r>
          </w:p>
        </w:tc>
      </w:tr>
      <w:tr w:rsidR="00E04C6D" w:rsidRPr="00503F5B" w14:paraId="69568B31" w14:textId="77777777" w:rsidTr="00E04C6D">
        <w:trPr>
          <w:trHeight w:val="59"/>
          <w:jc w:val="center"/>
        </w:trPr>
        <w:tc>
          <w:tcPr>
            <w:tcW w:w="4253" w:type="dxa"/>
            <w:tcBorders>
              <w:top w:val="single" w:sz="4" w:space="0" w:color="ED7C5D"/>
              <w:bottom w:val="single" w:sz="4" w:space="0" w:color="ED7C5D"/>
            </w:tcBorders>
            <w:noWrap/>
            <w:hideMark/>
          </w:tcPr>
          <w:p w14:paraId="66B1D7AA" w14:textId="77777777" w:rsidR="00E04C6D" w:rsidRPr="00503F5B" w:rsidRDefault="00E04C6D" w:rsidP="00E04C6D">
            <w:pPr>
              <w:rPr>
                <w:b/>
                <w:sz w:val="20"/>
                <w:szCs w:val="20"/>
              </w:rPr>
            </w:pPr>
            <w:r w:rsidRPr="00503F5B">
              <w:rPr>
                <w:b/>
                <w:sz w:val="20"/>
                <w:szCs w:val="20"/>
              </w:rPr>
              <w:t>Total time spent by appliances (hours)</w:t>
            </w:r>
          </w:p>
        </w:tc>
        <w:tc>
          <w:tcPr>
            <w:tcW w:w="2126" w:type="dxa"/>
            <w:tcBorders>
              <w:top w:val="single" w:sz="4" w:space="0" w:color="ED7C5D"/>
              <w:bottom w:val="single" w:sz="4" w:space="0" w:color="ED7C5D"/>
            </w:tcBorders>
            <w:noWrap/>
            <w:hideMark/>
          </w:tcPr>
          <w:p w14:paraId="4FAB71E5" w14:textId="77777777" w:rsidR="00E04C6D" w:rsidRPr="00503F5B" w:rsidRDefault="00E04C6D" w:rsidP="00E04C6D">
            <w:pPr>
              <w:jc w:val="right"/>
              <w:rPr>
                <w:b/>
                <w:sz w:val="20"/>
                <w:szCs w:val="20"/>
              </w:rPr>
            </w:pPr>
            <w:r w:rsidRPr="00503F5B">
              <w:rPr>
                <w:rFonts w:cs="Calibri"/>
                <w:b/>
                <w:bCs/>
                <w:sz w:val="20"/>
                <w:szCs w:val="20"/>
              </w:rPr>
              <w:t>100.00%</w:t>
            </w:r>
          </w:p>
        </w:tc>
        <w:tc>
          <w:tcPr>
            <w:tcW w:w="1521" w:type="dxa"/>
            <w:tcBorders>
              <w:top w:val="single" w:sz="4" w:space="0" w:color="ED7C5D"/>
              <w:bottom w:val="single" w:sz="4" w:space="0" w:color="ED7C5D"/>
            </w:tcBorders>
            <w:noWrap/>
            <w:hideMark/>
          </w:tcPr>
          <w:p w14:paraId="7F3D2F8F" w14:textId="77777777" w:rsidR="00E04C6D" w:rsidRPr="00503F5B" w:rsidRDefault="00E04C6D" w:rsidP="00E04C6D">
            <w:pPr>
              <w:jc w:val="right"/>
              <w:rPr>
                <w:b/>
                <w:sz w:val="20"/>
                <w:szCs w:val="20"/>
              </w:rPr>
            </w:pPr>
            <w:r w:rsidRPr="00503F5B">
              <w:rPr>
                <w:rFonts w:cs="Calibri"/>
                <w:b/>
                <w:bCs/>
                <w:i/>
                <w:iCs/>
                <w:sz w:val="20"/>
                <w:szCs w:val="20"/>
              </w:rPr>
              <w:t>$371,950,644</w:t>
            </w:r>
          </w:p>
        </w:tc>
      </w:tr>
    </w:tbl>
    <w:p w14:paraId="3826B596" w14:textId="77777777" w:rsidR="00E04C6D" w:rsidRPr="00503F5B" w:rsidRDefault="00E04C6D" w:rsidP="00E04C6D">
      <w:pPr>
        <w:jc w:val="both"/>
      </w:pPr>
    </w:p>
    <w:p w14:paraId="40110CB7" w14:textId="04A9B6AE" w:rsidR="00E04C6D" w:rsidRPr="00503F5B" w:rsidRDefault="00E04C6D" w:rsidP="00E04C6D">
      <w:pPr>
        <w:jc w:val="both"/>
      </w:pPr>
      <w:r w:rsidRPr="00503F5B">
        <w:t xml:space="preserve">As shown in Table A1.3, the annual emergency attendance costs estimated for false alarms is estimated to be </w:t>
      </w:r>
      <w:r w:rsidRPr="00503F5B">
        <w:rPr>
          <w:b/>
          <w:i/>
        </w:rPr>
        <w:t>$98,128,758</w:t>
      </w:r>
      <w:r w:rsidRPr="00503F5B">
        <w:t xml:space="preserve"> for 2018-19.</w:t>
      </w:r>
    </w:p>
    <w:p w14:paraId="69219E6C" w14:textId="77777777" w:rsidR="00E04C6D" w:rsidRPr="00503F5B" w:rsidRDefault="00E04C6D" w:rsidP="00E04C6D">
      <w:pPr>
        <w:pStyle w:val="Heading2"/>
      </w:pPr>
      <w:bookmarkStart w:id="247" w:name="_Toc457772564"/>
      <w:bookmarkStart w:id="248" w:name="_Toc35804163"/>
      <w:bookmarkStart w:id="249" w:name="_Toc35804657"/>
      <w:bookmarkStart w:id="250" w:name="_Toc35812701"/>
      <w:r w:rsidRPr="00503F5B">
        <w:t>A1.3 Estimated total costs MFB emergency attendances in relation to false alarms per appliance- per quarterly hour</w:t>
      </w:r>
      <w:bookmarkEnd w:id="247"/>
      <w:bookmarkEnd w:id="248"/>
      <w:bookmarkEnd w:id="249"/>
      <w:bookmarkEnd w:id="250"/>
    </w:p>
    <w:p w14:paraId="49C77C30" w14:textId="238E73BC" w:rsidR="00E04C6D" w:rsidRPr="00503F5B" w:rsidRDefault="00E04C6D" w:rsidP="00E04C6D">
      <w:pPr>
        <w:jc w:val="both"/>
      </w:pPr>
      <w:r w:rsidRPr="00503F5B">
        <w:t xml:space="preserve">The total hourly cost of a false alarm per appliance is estimated by dividing the total direct and indirect attendance cost for all false alarms (i.e. $98,128,758), as </w:t>
      </w:r>
      <w:r w:rsidR="00535EE3" w:rsidRPr="00503F5B">
        <w:t>highlighted</w:t>
      </w:r>
      <w:r w:rsidRPr="00503F5B">
        <w:t xml:space="preserve"> in Table A1.3 by the 8-year annual average of the total number of hours spent by appliances for false alarm incidents in Table </w:t>
      </w:r>
      <w:r w:rsidR="006A444F" w:rsidRPr="00503F5B">
        <w:t>6</w:t>
      </w:r>
      <w:r w:rsidRPr="00503F5B">
        <w:t xml:space="preserve"> (i.e. 9,514 hours).  This provides an </w:t>
      </w:r>
      <w:r w:rsidRPr="00503F5B">
        <w:rPr>
          <w:b/>
        </w:rPr>
        <w:t xml:space="preserve">hourly cost per appliance of $10,314.27 – </w:t>
      </w:r>
      <w:r w:rsidRPr="00503F5B">
        <w:rPr>
          <w:bCs/>
        </w:rPr>
        <w:t xml:space="preserve">as shown in Table A1.4 </w:t>
      </w:r>
      <w:r w:rsidRPr="00503F5B">
        <w:t xml:space="preserve">or a </w:t>
      </w:r>
      <w:r w:rsidRPr="00503F5B">
        <w:rPr>
          <w:b/>
          <w:i/>
        </w:rPr>
        <w:t xml:space="preserve">quarterly hour cost per appliance of $2,578.57 – </w:t>
      </w:r>
      <w:r w:rsidRPr="00503F5B">
        <w:rPr>
          <w:bCs/>
          <w:iCs/>
        </w:rPr>
        <w:t>as shown in Table A1.5,</w:t>
      </w:r>
      <w:r w:rsidRPr="00503F5B">
        <w:rPr>
          <w:b/>
          <w:i/>
        </w:rPr>
        <w:t xml:space="preserve"> </w:t>
      </w:r>
      <w:r w:rsidRPr="00503F5B">
        <w:t>for false alarm attendances.  The breakup of hourly cost per appliance is shown in Tables A1.4 and A1.5 are based on the percentage allocation of annual costs in Table A1.2 with operational staff comprising 73.02% of overall cost followed by administrative support at 13.07% of overall cost.</w:t>
      </w:r>
    </w:p>
    <w:p w14:paraId="04F406F2" w14:textId="77777777" w:rsidR="00E04C6D" w:rsidRPr="00503F5B" w:rsidRDefault="00E04C6D" w:rsidP="00E04C6D">
      <w:pPr>
        <w:jc w:val="both"/>
      </w:pPr>
    </w:p>
    <w:p w14:paraId="20BB2CA9" w14:textId="77777777" w:rsidR="00E04C6D" w:rsidRPr="00503F5B" w:rsidRDefault="00E04C6D" w:rsidP="00E04C6D">
      <w:pPr>
        <w:rPr>
          <w:b/>
          <w:sz w:val="21"/>
        </w:rPr>
      </w:pPr>
      <w:r w:rsidRPr="00503F5B">
        <w:rPr>
          <w:b/>
          <w:sz w:val="21"/>
        </w:rPr>
        <w:br w:type="page"/>
      </w:r>
    </w:p>
    <w:p w14:paraId="47AD1275" w14:textId="77777777" w:rsidR="00E04C6D" w:rsidRPr="00503F5B" w:rsidRDefault="00E04C6D" w:rsidP="00E04C6D">
      <w:pPr>
        <w:jc w:val="center"/>
        <w:rPr>
          <w:b/>
          <w:sz w:val="20"/>
          <w:szCs w:val="20"/>
        </w:rPr>
      </w:pPr>
      <w:r w:rsidRPr="00503F5B">
        <w:rPr>
          <w:b/>
          <w:sz w:val="20"/>
          <w:szCs w:val="20"/>
        </w:rPr>
        <w:lastRenderedPageBreak/>
        <w:t>Table A1.4: Hourly cost per appliance for false alarm attendances by MFB – 2018-19</w:t>
      </w:r>
    </w:p>
    <w:p w14:paraId="55A9DBC8" w14:textId="77777777" w:rsidR="00E04C6D" w:rsidRPr="00503F5B" w:rsidRDefault="00E04C6D" w:rsidP="00E04C6D">
      <w:pPr>
        <w:jc w:val="both"/>
      </w:pPr>
    </w:p>
    <w:tbl>
      <w:tblPr>
        <w:tblW w:w="0" w:type="auto"/>
        <w:jc w:val="center"/>
        <w:tblLook w:val="04A0" w:firstRow="1" w:lastRow="0" w:firstColumn="1" w:lastColumn="0" w:noHBand="0" w:noVBand="1"/>
      </w:tblPr>
      <w:tblGrid>
        <w:gridCol w:w="5387"/>
        <w:gridCol w:w="2276"/>
      </w:tblGrid>
      <w:tr w:rsidR="00E04C6D" w:rsidRPr="00503F5B" w14:paraId="56CA5C82" w14:textId="77777777" w:rsidTr="00E04C6D">
        <w:trPr>
          <w:trHeight w:val="320"/>
          <w:tblHeader/>
          <w:jc w:val="center"/>
        </w:trPr>
        <w:tc>
          <w:tcPr>
            <w:tcW w:w="5387" w:type="dxa"/>
            <w:tcBorders>
              <w:top w:val="single" w:sz="4" w:space="0" w:color="ED7C5D"/>
              <w:bottom w:val="double" w:sz="4" w:space="0" w:color="ED7C5D"/>
            </w:tcBorders>
            <w:noWrap/>
            <w:hideMark/>
          </w:tcPr>
          <w:p w14:paraId="70617A38" w14:textId="77777777" w:rsidR="00E04C6D" w:rsidRPr="00503F5B" w:rsidRDefault="00E04C6D" w:rsidP="00E04C6D">
            <w:pPr>
              <w:rPr>
                <w:b/>
                <w:bCs/>
                <w:color w:val="BE2A18"/>
                <w:sz w:val="20"/>
                <w:szCs w:val="20"/>
              </w:rPr>
            </w:pPr>
            <w:r w:rsidRPr="00503F5B">
              <w:rPr>
                <w:b/>
                <w:bCs/>
                <w:color w:val="BE2A18"/>
                <w:sz w:val="20"/>
                <w:szCs w:val="20"/>
              </w:rPr>
              <w:t>Direct and indirect cost category</w:t>
            </w:r>
          </w:p>
        </w:tc>
        <w:tc>
          <w:tcPr>
            <w:tcW w:w="2276" w:type="dxa"/>
            <w:tcBorders>
              <w:top w:val="single" w:sz="4" w:space="0" w:color="ED7C5D"/>
              <w:bottom w:val="double" w:sz="4" w:space="0" w:color="ED7C5D"/>
            </w:tcBorders>
            <w:noWrap/>
            <w:hideMark/>
          </w:tcPr>
          <w:p w14:paraId="669AAC21" w14:textId="77777777" w:rsidR="00E04C6D" w:rsidRPr="00503F5B" w:rsidRDefault="00E04C6D" w:rsidP="00E04C6D">
            <w:pPr>
              <w:jc w:val="center"/>
              <w:rPr>
                <w:b/>
                <w:bCs/>
                <w:color w:val="BE2A18"/>
                <w:sz w:val="20"/>
                <w:szCs w:val="20"/>
              </w:rPr>
            </w:pPr>
            <w:r w:rsidRPr="00503F5B">
              <w:rPr>
                <w:b/>
                <w:bCs/>
                <w:color w:val="BE2A18"/>
                <w:sz w:val="20"/>
                <w:szCs w:val="20"/>
              </w:rPr>
              <w:t xml:space="preserve"> Hourly cost of attendance per appliance for false alarms</w:t>
            </w:r>
            <w:r w:rsidRPr="00503F5B">
              <w:rPr>
                <w:rStyle w:val="FootnoteReference"/>
                <w:b/>
                <w:bCs/>
                <w:color w:val="BE2A18"/>
                <w:sz w:val="20"/>
                <w:szCs w:val="20"/>
              </w:rPr>
              <w:footnoteReference w:id="178"/>
            </w:r>
          </w:p>
        </w:tc>
      </w:tr>
      <w:tr w:rsidR="00E04C6D" w:rsidRPr="00503F5B" w14:paraId="4240BAB4" w14:textId="77777777" w:rsidTr="00E04C6D">
        <w:trPr>
          <w:trHeight w:val="70"/>
          <w:jc w:val="center"/>
        </w:trPr>
        <w:tc>
          <w:tcPr>
            <w:tcW w:w="5387" w:type="dxa"/>
            <w:tcBorders>
              <w:top w:val="double" w:sz="4" w:space="0" w:color="ED7C5D"/>
            </w:tcBorders>
            <w:noWrap/>
            <w:hideMark/>
          </w:tcPr>
          <w:p w14:paraId="2C4BBDFF" w14:textId="77777777" w:rsidR="00E04C6D" w:rsidRPr="00503F5B" w:rsidRDefault="00E04C6D" w:rsidP="00E04C6D">
            <w:pPr>
              <w:rPr>
                <w:b/>
                <w:sz w:val="20"/>
                <w:szCs w:val="20"/>
              </w:rPr>
            </w:pPr>
            <w:r w:rsidRPr="00503F5B">
              <w:rPr>
                <w:b/>
                <w:sz w:val="20"/>
                <w:szCs w:val="20"/>
              </w:rPr>
              <w:t>Direct costs</w:t>
            </w:r>
          </w:p>
        </w:tc>
        <w:tc>
          <w:tcPr>
            <w:tcW w:w="2276" w:type="dxa"/>
            <w:tcBorders>
              <w:top w:val="double" w:sz="4" w:space="0" w:color="ED7C5D"/>
            </w:tcBorders>
            <w:noWrap/>
            <w:hideMark/>
          </w:tcPr>
          <w:p w14:paraId="70C4A026" w14:textId="77777777" w:rsidR="00E04C6D" w:rsidRPr="00503F5B" w:rsidRDefault="00E04C6D" w:rsidP="00E04C6D">
            <w:pPr>
              <w:jc w:val="both"/>
              <w:rPr>
                <w:sz w:val="20"/>
                <w:szCs w:val="20"/>
              </w:rPr>
            </w:pPr>
            <w:r w:rsidRPr="00503F5B">
              <w:rPr>
                <w:sz w:val="20"/>
                <w:szCs w:val="20"/>
              </w:rPr>
              <w:t> </w:t>
            </w:r>
          </w:p>
        </w:tc>
      </w:tr>
      <w:tr w:rsidR="00E04C6D" w:rsidRPr="00503F5B" w14:paraId="73737693" w14:textId="77777777" w:rsidTr="00E04C6D">
        <w:trPr>
          <w:trHeight w:val="80"/>
          <w:jc w:val="center"/>
        </w:trPr>
        <w:tc>
          <w:tcPr>
            <w:tcW w:w="5387" w:type="dxa"/>
            <w:noWrap/>
            <w:hideMark/>
          </w:tcPr>
          <w:p w14:paraId="4847709E" w14:textId="77777777" w:rsidR="00E04C6D" w:rsidRPr="00503F5B" w:rsidRDefault="00E04C6D" w:rsidP="00E04C6D">
            <w:pPr>
              <w:rPr>
                <w:sz w:val="20"/>
                <w:szCs w:val="20"/>
              </w:rPr>
            </w:pPr>
            <w:r w:rsidRPr="00503F5B">
              <w:rPr>
                <w:sz w:val="20"/>
                <w:szCs w:val="20"/>
              </w:rPr>
              <w:t>Appliance operational staffing</w:t>
            </w:r>
          </w:p>
        </w:tc>
        <w:tc>
          <w:tcPr>
            <w:tcW w:w="2276" w:type="dxa"/>
            <w:noWrap/>
            <w:hideMark/>
          </w:tcPr>
          <w:p w14:paraId="77B84672" w14:textId="77777777" w:rsidR="00E04C6D" w:rsidRPr="00503F5B" w:rsidRDefault="00E04C6D" w:rsidP="00E04C6D">
            <w:pPr>
              <w:jc w:val="right"/>
              <w:rPr>
                <w:sz w:val="20"/>
                <w:szCs w:val="20"/>
              </w:rPr>
            </w:pPr>
            <w:r w:rsidRPr="00503F5B">
              <w:rPr>
                <w:rFonts w:cs="Calibri"/>
                <w:sz w:val="20"/>
                <w:szCs w:val="20"/>
              </w:rPr>
              <w:t>$7,531</w:t>
            </w:r>
          </w:p>
        </w:tc>
      </w:tr>
      <w:tr w:rsidR="00E04C6D" w:rsidRPr="00503F5B" w14:paraId="69E7042A" w14:textId="77777777" w:rsidTr="00E04C6D">
        <w:trPr>
          <w:trHeight w:val="70"/>
          <w:jc w:val="center"/>
        </w:trPr>
        <w:tc>
          <w:tcPr>
            <w:tcW w:w="5387" w:type="dxa"/>
            <w:noWrap/>
            <w:hideMark/>
          </w:tcPr>
          <w:p w14:paraId="2F98ECA6" w14:textId="77777777" w:rsidR="00E04C6D" w:rsidRPr="00503F5B" w:rsidRDefault="00E04C6D" w:rsidP="00E04C6D">
            <w:pPr>
              <w:rPr>
                <w:sz w:val="20"/>
                <w:szCs w:val="20"/>
              </w:rPr>
            </w:pPr>
            <w:r w:rsidRPr="00503F5B">
              <w:rPr>
                <w:sz w:val="20"/>
                <w:szCs w:val="20"/>
              </w:rPr>
              <w:t>Appliance fuel</w:t>
            </w:r>
          </w:p>
        </w:tc>
        <w:tc>
          <w:tcPr>
            <w:tcW w:w="2276" w:type="dxa"/>
            <w:noWrap/>
            <w:hideMark/>
          </w:tcPr>
          <w:p w14:paraId="18BB70E7" w14:textId="77777777" w:rsidR="00E04C6D" w:rsidRPr="00503F5B" w:rsidRDefault="00E04C6D" w:rsidP="00E04C6D">
            <w:pPr>
              <w:jc w:val="right"/>
              <w:rPr>
                <w:sz w:val="20"/>
                <w:szCs w:val="20"/>
              </w:rPr>
            </w:pPr>
            <w:r w:rsidRPr="00503F5B">
              <w:rPr>
                <w:rFonts w:cs="Calibri"/>
                <w:sz w:val="20"/>
                <w:szCs w:val="20"/>
              </w:rPr>
              <w:t>$24</w:t>
            </w:r>
          </w:p>
        </w:tc>
      </w:tr>
      <w:tr w:rsidR="00E04C6D" w:rsidRPr="00503F5B" w14:paraId="3D0DC213" w14:textId="77777777" w:rsidTr="00E04C6D">
        <w:trPr>
          <w:trHeight w:val="70"/>
          <w:jc w:val="center"/>
        </w:trPr>
        <w:tc>
          <w:tcPr>
            <w:tcW w:w="5387" w:type="dxa"/>
            <w:noWrap/>
            <w:hideMark/>
          </w:tcPr>
          <w:p w14:paraId="5E97AC94" w14:textId="77777777" w:rsidR="00E04C6D" w:rsidRPr="00503F5B" w:rsidRDefault="00E04C6D" w:rsidP="00E04C6D">
            <w:pPr>
              <w:rPr>
                <w:sz w:val="20"/>
                <w:szCs w:val="20"/>
              </w:rPr>
            </w:pPr>
            <w:r w:rsidRPr="00503F5B">
              <w:rPr>
                <w:sz w:val="20"/>
                <w:szCs w:val="20"/>
              </w:rPr>
              <w:t>Appliance maintenance</w:t>
            </w:r>
          </w:p>
        </w:tc>
        <w:tc>
          <w:tcPr>
            <w:tcW w:w="2276" w:type="dxa"/>
            <w:noWrap/>
            <w:hideMark/>
          </w:tcPr>
          <w:p w14:paraId="7BC48420" w14:textId="77777777" w:rsidR="00E04C6D" w:rsidRPr="00503F5B" w:rsidRDefault="00E04C6D" w:rsidP="00E04C6D">
            <w:pPr>
              <w:jc w:val="right"/>
              <w:rPr>
                <w:sz w:val="20"/>
                <w:szCs w:val="20"/>
              </w:rPr>
            </w:pPr>
            <w:r w:rsidRPr="00503F5B">
              <w:rPr>
                <w:rFonts w:cs="Calibri"/>
                <w:sz w:val="20"/>
                <w:szCs w:val="20"/>
              </w:rPr>
              <w:t>$170</w:t>
            </w:r>
          </w:p>
        </w:tc>
      </w:tr>
      <w:tr w:rsidR="00E04C6D" w:rsidRPr="00503F5B" w14:paraId="22436AB7" w14:textId="77777777" w:rsidTr="00E04C6D">
        <w:trPr>
          <w:trHeight w:val="70"/>
          <w:jc w:val="center"/>
        </w:trPr>
        <w:tc>
          <w:tcPr>
            <w:tcW w:w="5387" w:type="dxa"/>
            <w:tcBorders>
              <w:bottom w:val="single" w:sz="4" w:space="0" w:color="ED7C5D"/>
            </w:tcBorders>
            <w:noWrap/>
            <w:hideMark/>
          </w:tcPr>
          <w:p w14:paraId="53DB35E2" w14:textId="77777777" w:rsidR="00E04C6D" w:rsidRPr="00503F5B" w:rsidRDefault="00E04C6D" w:rsidP="00E04C6D">
            <w:pPr>
              <w:rPr>
                <w:sz w:val="20"/>
                <w:szCs w:val="20"/>
              </w:rPr>
            </w:pPr>
            <w:r w:rsidRPr="00503F5B">
              <w:rPr>
                <w:sz w:val="20"/>
                <w:szCs w:val="20"/>
              </w:rPr>
              <w:t>Appliance fee</w:t>
            </w:r>
          </w:p>
        </w:tc>
        <w:tc>
          <w:tcPr>
            <w:tcW w:w="2276" w:type="dxa"/>
            <w:tcBorders>
              <w:bottom w:val="single" w:sz="4" w:space="0" w:color="ED7C5D"/>
            </w:tcBorders>
            <w:noWrap/>
            <w:hideMark/>
          </w:tcPr>
          <w:p w14:paraId="1BAEF6EC" w14:textId="77777777" w:rsidR="00E04C6D" w:rsidRPr="00503F5B" w:rsidRDefault="00E04C6D" w:rsidP="00E04C6D">
            <w:pPr>
              <w:jc w:val="right"/>
              <w:rPr>
                <w:sz w:val="20"/>
                <w:szCs w:val="20"/>
              </w:rPr>
            </w:pPr>
            <w:r w:rsidRPr="00503F5B">
              <w:rPr>
                <w:rFonts w:cs="Calibri"/>
                <w:sz w:val="20"/>
                <w:szCs w:val="20"/>
              </w:rPr>
              <w:t>$9</w:t>
            </w:r>
          </w:p>
        </w:tc>
      </w:tr>
      <w:tr w:rsidR="00E04C6D" w:rsidRPr="00503F5B" w14:paraId="1BFFCB7E" w14:textId="77777777" w:rsidTr="00E04C6D">
        <w:trPr>
          <w:trHeight w:val="70"/>
          <w:jc w:val="center"/>
        </w:trPr>
        <w:tc>
          <w:tcPr>
            <w:tcW w:w="5387" w:type="dxa"/>
            <w:tcBorders>
              <w:top w:val="single" w:sz="4" w:space="0" w:color="ED7C5D"/>
              <w:bottom w:val="single" w:sz="4" w:space="0" w:color="ED7C5D"/>
            </w:tcBorders>
            <w:noWrap/>
            <w:hideMark/>
          </w:tcPr>
          <w:p w14:paraId="0F61C40D" w14:textId="77777777" w:rsidR="00E04C6D" w:rsidRPr="00503F5B" w:rsidRDefault="00E04C6D" w:rsidP="00E04C6D">
            <w:pPr>
              <w:rPr>
                <w:b/>
                <w:sz w:val="20"/>
                <w:szCs w:val="20"/>
              </w:rPr>
            </w:pPr>
            <w:r w:rsidRPr="00503F5B">
              <w:rPr>
                <w:b/>
                <w:sz w:val="20"/>
                <w:szCs w:val="20"/>
              </w:rPr>
              <w:t>Sub-total direct hourly cost per appliance</w:t>
            </w:r>
          </w:p>
        </w:tc>
        <w:tc>
          <w:tcPr>
            <w:tcW w:w="2276" w:type="dxa"/>
            <w:tcBorders>
              <w:top w:val="single" w:sz="4" w:space="0" w:color="ED7C5D"/>
              <w:bottom w:val="single" w:sz="4" w:space="0" w:color="ED7C5D"/>
            </w:tcBorders>
            <w:noWrap/>
            <w:hideMark/>
          </w:tcPr>
          <w:p w14:paraId="34AAEAD5" w14:textId="77777777" w:rsidR="00E04C6D" w:rsidRPr="00503F5B" w:rsidRDefault="00E04C6D" w:rsidP="00E04C6D">
            <w:pPr>
              <w:jc w:val="right"/>
              <w:rPr>
                <w:b/>
                <w:sz w:val="20"/>
                <w:szCs w:val="20"/>
              </w:rPr>
            </w:pPr>
            <w:r w:rsidRPr="00503F5B">
              <w:rPr>
                <w:rFonts w:cs="Calibri"/>
                <w:b/>
                <w:bCs/>
                <w:sz w:val="20"/>
                <w:szCs w:val="20"/>
              </w:rPr>
              <w:t>$7,734</w:t>
            </w:r>
          </w:p>
        </w:tc>
      </w:tr>
      <w:tr w:rsidR="00E04C6D" w:rsidRPr="00503F5B" w14:paraId="44F5BB40" w14:textId="77777777" w:rsidTr="00E04C6D">
        <w:trPr>
          <w:trHeight w:val="70"/>
          <w:jc w:val="center"/>
        </w:trPr>
        <w:tc>
          <w:tcPr>
            <w:tcW w:w="5387" w:type="dxa"/>
            <w:tcBorders>
              <w:top w:val="single" w:sz="4" w:space="0" w:color="ED7C5D"/>
            </w:tcBorders>
            <w:noWrap/>
            <w:hideMark/>
          </w:tcPr>
          <w:p w14:paraId="3F2E59A5" w14:textId="77777777" w:rsidR="00E04C6D" w:rsidRPr="00503F5B" w:rsidRDefault="00E04C6D" w:rsidP="00E04C6D">
            <w:pPr>
              <w:rPr>
                <w:b/>
                <w:sz w:val="20"/>
                <w:szCs w:val="20"/>
              </w:rPr>
            </w:pPr>
            <w:r w:rsidRPr="00503F5B">
              <w:rPr>
                <w:b/>
                <w:sz w:val="20"/>
                <w:szCs w:val="20"/>
              </w:rPr>
              <w:t>Indirect costs</w:t>
            </w:r>
          </w:p>
        </w:tc>
        <w:tc>
          <w:tcPr>
            <w:tcW w:w="2276" w:type="dxa"/>
            <w:tcBorders>
              <w:top w:val="single" w:sz="4" w:space="0" w:color="ED7C5D"/>
            </w:tcBorders>
            <w:noWrap/>
            <w:hideMark/>
          </w:tcPr>
          <w:p w14:paraId="7031E39C" w14:textId="77777777" w:rsidR="00E04C6D" w:rsidRPr="00503F5B" w:rsidRDefault="00E04C6D" w:rsidP="00E04C6D">
            <w:pPr>
              <w:jc w:val="right"/>
              <w:rPr>
                <w:sz w:val="20"/>
                <w:szCs w:val="20"/>
              </w:rPr>
            </w:pPr>
            <w:r w:rsidRPr="00503F5B">
              <w:rPr>
                <w:rFonts w:cs="Calibri"/>
                <w:sz w:val="20"/>
                <w:szCs w:val="20"/>
              </w:rPr>
              <w:t> </w:t>
            </w:r>
          </w:p>
        </w:tc>
      </w:tr>
      <w:tr w:rsidR="00E04C6D" w:rsidRPr="00503F5B" w14:paraId="2FA82F69" w14:textId="77777777" w:rsidTr="00E04C6D">
        <w:trPr>
          <w:trHeight w:val="70"/>
          <w:jc w:val="center"/>
        </w:trPr>
        <w:tc>
          <w:tcPr>
            <w:tcW w:w="5387" w:type="dxa"/>
            <w:noWrap/>
            <w:hideMark/>
          </w:tcPr>
          <w:p w14:paraId="221D6F87" w14:textId="77777777" w:rsidR="00E04C6D" w:rsidRPr="00503F5B" w:rsidRDefault="00E04C6D" w:rsidP="00E04C6D">
            <w:pPr>
              <w:rPr>
                <w:sz w:val="20"/>
                <w:szCs w:val="20"/>
              </w:rPr>
            </w:pPr>
            <w:r w:rsidRPr="00503F5B">
              <w:rPr>
                <w:sz w:val="20"/>
                <w:szCs w:val="20"/>
              </w:rPr>
              <w:t>Overtime and allowances for station personnel</w:t>
            </w:r>
          </w:p>
        </w:tc>
        <w:tc>
          <w:tcPr>
            <w:tcW w:w="2276" w:type="dxa"/>
            <w:noWrap/>
            <w:hideMark/>
          </w:tcPr>
          <w:p w14:paraId="5E4C4962" w14:textId="77777777" w:rsidR="00E04C6D" w:rsidRPr="00503F5B" w:rsidRDefault="00E04C6D" w:rsidP="00E04C6D">
            <w:pPr>
              <w:jc w:val="right"/>
              <w:rPr>
                <w:sz w:val="20"/>
                <w:szCs w:val="20"/>
              </w:rPr>
            </w:pPr>
            <w:r w:rsidRPr="00503F5B">
              <w:rPr>
                <w:rFonts w:cs="Calibri"/>
                <w:sz w:val="20"/>
                <w:szCs w:val="20"/>
              </w:rPr>
              <w:t>$1,141</w:t>
            </w:r>
          </w:p>
        </w:tc>
      </w:tr>
      <w:tr w:rsidR="00E04C6D" w:rsidRPr="00503F5B" w14:paraId="6E0AA506" w14:textId="77777777" w:rsidTr="00E04C6D">
        <w:trPr>
          <w:trHeight w:val="70"/>
          <w:jc w:val="center"/>
        </w:trPr>
        <w:tc>
          <w:tcPr>
            <w:tcW w:w="5387" w:type="dxa"/>
            <w:noWrap/>
            <w:hideMark/>
          </w:tcPr>
          <w:p w14:paraId="622F9DD1" w14:textId="77777777" w:rsidR="00E04C6D" w:rsidRPr="00503F5B" w:rsidRDefault="00E04C6D" w:rsidP="00E04C6D">
            <w:pPr>
              <w:rPr>
                <w:sz w:val="20"/>
                <w:szCs w:val="20"/>
              </w:rPr>
            </w:pPr>
            <w:r w:rsidRPr="00503F5B">
              <w:rPr>
                <w:sz w:val="20"/>
                <w:szCs w:val="20"/>
              </w:rPr>
              <w:t>Personal protective equipment</w:t>
            </w:r>
          </w:p>
        </w:tc>
        <w:tc>
          <w:tcPr>
            <w:tcW w:w="2276" w:type="dxa"/>
            <w:noWrap/>
            <w:hideMark/>
          </w:tcPr>
          <w:p w14:paraId="57C6507D" w14:textId="77777777" w:rsidR="00E04C6D" w:rsidRPr="00503F5B" w:rsidRDefault="00E04C6D" w:rsidP="00E04C6D">
            <w:pPr>
              <w:jc w:val="right"/>
              <w:rPr>
                <w:sz w:val="20"/>
                <w:szCs w:val="20"/>
              </w:rPr>
            </w:pPr>
            <w:r w:rsidRPr="00503F5B">
              <w:rPr>
                <w:rFonts w:cs="Calibri"/>
                <w:sz w:val="20"/>
                <w:szCs w:val="20"/>
              </w:rPr>
              <w:t>$73</w:t>
            </w:r>
          </w:p>
        </w:tc>
      </w:tr>
      <w:tr w:rsidR="00E04C6D" w:rsidRPr="00503F5B" w14:paraId="775A651C" w14:textId="77777777" w:rsidTr="00E04C6D">
        <w:trPr>
          <w:trHeight w:val="70"/>
          <w:jc w:val="center"/>
        </w:trPr>
        <w:tc>
          <w:tcPr>
            <w:tcW w:w="5387" w:type="dxa"/>
            <w:noWrap/>
            <w:hideMark/>
          </w:tcPr>
          <w:p w14:paraId="2969BA50" w14:textId="77777777" w:rsidR="00E04C6D" w:rsidRPr="00503F5B" w:rsidRDefault="00E04C6D" w:rsidP="00E04C6D">
            <w:pPr>
              <w:rPr>
                <w:sz w:val="20"/>
                <w:szCs w:val="20"/>
              </w:rPr>
            </w:pPr>
            <w:r w:rsidRPr="00503F5B">
              <w:rPr>
                <w:sz w:val="20"/>
                <w:szCs w:val="20"/>
              </w:rPr>
              <w:t>Training</w:t>
            </w:r>
          </w:p>
        </w:tc>
        <w:tc>
          <w:tcPr>
            <w:tcW w:w="2276" w:type="dxa"/>
            <w:noWrap/>
            <w:hideMark/>
          </w:tcPr>
          <w:p w14:paraId="581D4E87" w14:textId="77777777" w:rsidR="00E04C6D" w:rsidRPr="00503F5B" w:rsidRDefault="00E04C6D" w:rsidP="00E04C6D">
            <w:pPr>
              <w:jc w:val="right"/>
              <w:rPr>
                <w:sz w:val="20"/>
                <w:szCs w:val="20"/>
              </w:rPr>
            </w:pPr>
            <w:r w:rsidRPr="00503F5B">
              <w:rPr>
                <w:rFonts w:cs="Calibri"/>
                <w:sz w:val="20"/>
                <w:szCs w:val="20"/>
              </w:rPr>
              <w:t>$18</w:t>
            </w:r>
          </w:p>
        </w:tc>
      </w:tr>
      <w:tr w:rsidR="00E04C6D" w:rsidRPr="00503F5B" w14:paraId="00C6A247" w14:textId="77777777" w:rsidTr="00E04C6D">
        <w:trPr>
          <w:trHeight w:val="70"/>
          <w:jc w:val="center"/>
        </w:trPr>
        <w:tc>
          <w:tcPr>
            <w:tcW w:w="5387" w:type="dxa"/>
            <w:tcBorders>
              <w:bottom w:val="single" w:sz="4" w:space="0" w:color="ED7C5D"/>
            </w:tcBorders>
            <w:noWrap/>
            <w:hideMark/>
          </w:tcPr>
          <w:p w14:paraId="61E5DBBB" w14:textId="77777777" w:rsidR="00E04C6D" w:rsidRPr="00503F5B" w:rsidRDefault="00E04C6D" w:rsidP="00E04C6D">
            <w:pPr>
              <w:rPr>
                <w:sz w:val="20"/>
                <w:szCs w:val="20"/>
              </w:rPr>
            </w:pPr>
            <w:r w:rsidRPr="00503F5B">
              <w:rPr>
                <w:sz w:val="20"/>
                <w:szCs w:val="20"/>
              </w:rPr>
              <w:t>Administrative support</w:t>
            </w:r>
          </w:p>
        </w:tc>
        <w:tc>
          <w:tcPr>
            <w:tcW w:w="2276" w:type="dxa"/>
            <w:tcBorders>
              <w:bottom w:val="single" w:sz="4" w:space="0" w:color="ED7C5D"/>
            </w:tcBorders>
            <w:noWrap/>
            <w:hideMark/>
          </w:tcPr>
          <w:p w14:paraId="4A2B78D0" w14:textId="77777777" w:rsidR="00E04C6D" w:rsidRPr="00503F5B" w:rsidRDefault="00E04C6D" w:rsidP="00E04C6D">
            <w:pPr>
              <w:jc w:val="right"/>
              <w:rPr>
                <w:sz w:val="20"/>
                <w:szCs w:val="20"/>
              </w:rPr>
            </w:pPr>
            <w:r w:rsidRPr="00503F5B">
              <w:rPr>
                <w:rFonts w:cs="Calibri"/>
                <w:sz w:val="20"/>
                <w:szCs w:val="20"/>
              </w:rPr>
              <w:t>$1,348</w:t>
            </w:r>
          </w:p>
        </w:tc>
      </w:tr>
      <w:tr w:rsidR="00E04C6D" w:rsidRPr="00503F5B" w14:paraId="6B4C2F41" w14:textId="77777777" w:rsidTr="00E04C6D">
        <w:trPr>
          <w:trHeight w:val="70"/>
          <w:jc w:val="center"/>
        </w:trPr>
        <w:tc>
          <w:tcPr>
            <w:tcW w:w="5387" w:type="dxa"/>
            <w:tcBorders>
              <w:top w:val="single" w:sz="4" w:space="0" w:color="ED7C5D"/>
              <w:bottom w:val="single" w:sz="4" w:space="0" w:color="ED7C5D"/>
            </w:tcBorders>
            <w:noWrap/>
            <w:hideMark/>
          </w:tcPr>
          <w:p w14:paraId="5F4C21AF" w14:textId="77777777" w:rsidR="00E04C6D" w:rsidRPr="00503F5B" w:rsidRDefault="00E04C6D" w:rsidP="00E04C6D">
            <w:pPr>
              <w:rPr>
                <w:b/>
                <w:sz w:val="20"/>
                <w:szCs w:val="20"/>
              </w:rPr>
            </w:pPr>
            <w:r w:rsidRPr="00503F5B">
              <w:rPr>
                <w:b/>
                <w:sz w:val="20"/>
                <w:szCs w:val="20"/>
              </w:rPr>
              <w:t>Sub-total indirect hourly cost per appliance</w:t>
            </w:r>
          </w:p>
        </w:tc>
        <w:tc>
          <w:tcPr>
            <w:tcW w:w="2276" w:type="dxa"/>
            <w:tcBorders>
              <w:top w:val="single" w:sz="4" w:space="0" w:color="ED7C5D"/>
              <w:bottom w:val="single" w:sz="4" w:space="0" w:color="ED7C5D"/>
            </w:tcBorders>
            <w:noWrap/>
            <w:hideMark/>
          </w:tcPr>
          <w:p w14:paraId="06B510A5" w14:textId="77777777" w:rsidR="00E04C6D" w:rsidRPr="00503F5B" w:rsidRDefault="00E04C6D" w:rsidP="00E04C6D">
            <w:pPr>
              <w:jc w:val="right"/>
              <w:rPr>
                <w:b/>
                <w:sz w:val="20"/>
                <w:szCs w:val="20"/>
              </w:rPr>
            </w:pPr>
            <w:r w:rsidRPr="00503F5B">
              <w:rPr>
                <w:rFonts w:cs="Calibri"/>
                <w:b/>
                <w:bCs/>
                <w:sz w:val="20"/>
                <w:szCs w:val="20"/>
              </w:rPr>
              <w:t>$2,580</w:t>
            </w:r>
          </w:p>
        </w:tc>
      </w:tr>
      <w:tr w:rsidR="00E04C6D" w:rsidRPr="00503F5B" w14:paraId="3282B03D" w14:textId="77777777" w:rsidTr="00E04C6D">
        <w:trPr>
          <w:trHeight w:val="80"/>
          <w:jc w:val="center"/>
        </w:trPr>
        <w:tc>
          <w:tcPr>
            <w:tcW w:w="5387" w:type="dxa"/>
            <w:tcBorders>
              <w:top w:val="single" w:sz="4" w:space="0" w:color="ED7C5D"/>
              <w:bottom w:val="single" w:sz="4" w:space="0" w:color="ED7C5D"/>
            </w:tcBorders>
            <w:noWrap/>
            <w:hideMark/>
          </w:tcPr>
          <w:p w14:paraId="64BDBBFC" w14:textId="77777777" w:rsidR="00E04C6D" w:rsidRPr="00503F5B" w:rsidRDefault="00E04C6D" w:rsidP="00E04C6D">
            <w:pPr>
              <w:rPr>
                <w:b/>
                <w:bCs/>
                <w:i/>
                <w:sz w:val="20"/>
                <w:szCs w:val="20"/>
              </w:rPr>
            </w:pPr>
            <w:r w:rsidRPr="00503F5B">
              <w:rPr>
                <w:b/>
                <w:bCs/>
                <w:i/>
                <w:sz w:val="20"/>
                <w:szCs w:val="20"/>
              </w:rPr>
              <w:t>Total hourly direct and indirect cost per appliance</w:t>
            </w:r>
          </w:p>
        </w:tc>
        <w:tc>
          <w:tcPr>
            <w:tcW w:w="2276" w:type="dxa"/>
            <w:tcBorders>
              <w:top w:val="single" w:sz="4" w:space="0" w:color="ED7C5D"/>
              <w:bottom w:val="single" w:sz="4" w:space="0" w:color="ED7C5D"/>
            </w:tcBorders>
            <w:noWrap/>
            <w:hideMark/>
          </w:tcPr>
          <w:p w14:paraId="5DE197A0" w14:textId="77777777" w:rsidR="00E04C6D" w:rsidRPr="00503F5B" w:rsidRDefault="00E04C6D" w:rsidP="00E04C6D">
            <w:pPr>
              <w:jc w:val="right"/>
              <w:rPr>
                <w:b/>
                <w:i/>
                <w:sz w:val="20"/>
                <w:szCs w:val="20"/>
              </w:rPr>
            </w:pPr>
            <w:r w:rsidRPr="00503F5B">
              <w:rPr>
                <w:rFonts w:cs="Calibri"/>
                <w:b/>
                <w:bCs/>
                <w:i/>
                <w:iCs/>
                <w:sz w:val="20"/>
                <w:szCs w:val="20"/>
              </w:rPr>
              <w:t>$10,314</w:t>
            </w:r>
          </w:p>
        </w:tc>
      </w:tr>
    </w:tbl>
    <w:p w14:paraId="5AAFE934" w14:textId="77777777" w:rsidR="00E04C6D" w:rsidRPr="00503F5B" w:rsidRDefault="00E04C6D" w:rsidP="00E04C6D">
      <w:bookmarkStart w:id="251" w:name="_Toc457772565"/>
    </w:p>
    <w:p w14:paraId="29924FF3" w14:textId="77777777" w:rsidR="00E04C6D" w:rsidRPr="00503F5B" w:rsidRDefault="00E04C6D" w:rsidP="00E04C6D">
      <w:pPr>
        <w:jc w:val="center"/>
        <w:rPr>
          <w:b/>
          <w:sz w:val="20"/>
          <w:szCs w:val="20"/>
        </w:rPr>
      </w:pPr>
      <w:r w:rsidRPr="00503F5B">
        <w:rPr>
          <w:b/>
          <w:sz w:val="20"/>
          <w:szCs w:val="20"/>
        </w:rPr>
        <w:t>Table A1.5: Quarterly hour cost per appliance for false alarm attendances by MFB – 2018-19</w:t>
      </w:r>
    </w:p>
    <w:p w14:paraId="6D11F1DE" w14:textId="77777777" w:rsidR="00E04C6D" w:rsidRPr="00503F5B" w:rsidRDefault="00E04C6D" w:rsidP="00E04C6D"/>
    <w:tbl>
      <w:tblPr>
        <w:tblW w:w="0" w:type="auto"/>
        <w:jc w:val="center"/>
        <w:tblLook w:val="04A0" w:firstRow="1" w:lastRow="0" w:firstColumn="1" w:lastColumn="0" w:noHBand="0" w:noVBand="1"/>
      </w:tblPr>
      <w:tblGrid>
        <w:gridCol w:w="5245"/>
        <w:gridCol w:w="2276"/>
      </w:tblGrid>
      <w:tr w:rsidR="00E04C6D" w:rsidRPr="00503F5B" w14:paraId="2F7290FE" w14:textId="77777777" w:rsidTr="00E04C6D">
        <w:trPr>
          <w:trHeight w:val="320"/>
          <w:tblHeader/>
          <w:jc w:val="center"/>
        </w:trPr>
        <w:tc>
          <w:tcPr>
            <w:tcW w:w="5245" w:type="dxa"/>
            <w:tcBorders>
              <w:top w:val="single" w:sz="4" w:space="0" w:color="ED7C5D"/>
              <w:bottom w:val="double" w:sz="4" w:space="0" w:color="ED7C5D"/>
            </w:tcBorders>
            <w:noWrap/>
            <w:hideMark/>
          </w:tcPr>
          <w:p w14:paraId="6478D49F" w14:textId="77777777" w:rsidR="00E04C6D" w:rsidRPr="00503F5B" w:rsidRDefault="00E04C6D" w:rsidP="00E04C6D">
            <w:pPr>
              <w:rPr>
                <w:b/>
                <w:bCs/>
                <w:color w:val="BE2A18"/>
                <w:sz w:val="20"/>
                <w:szCs w:val="20"/>
              </w:rPr>
            </w:pPr>
            <w:r w:rsidRPr="00503F5B">
              <w:rPr>
                <w:b/>
                <w:bCs/>
                <w:color w:val="BE2A18"/>
                <w:sz w:val="20"/>
                <w:szCs w:val="20"/>
              </w:rPr>
              <w:t>Direct and indirect cost category</w:t>
            </w:r>
          </w:p>
        </w:tc>
        <w:tc>
          <w:tcPr>
            <w:tcW w:w="2276" w:type="dxa"/>
            <w:tcBorders>
              <w:top w:val="single" w:sz="4" w:space="0" w:color="ED7C5D"/>
              <w:bottom w:val="double" w:sz="4" w:space="0" w:color="ED7C5D"/>
            </w:tcBorders>
            <w:noWrap/>
            <w:hideMark/>
          </w:tcPr>
          <w:p w14:paraId="0A81C516" w14:textId="77777777" w:rsidR="00E04C6D" w:rsidRPr="00503F5B" w:rsidRDefault="00E04C6D" w:rsidP="00E04C6D">
            <w:pPr>
              <w:jc w:val="center"/>
              <w:rPr>
                <w:b/>
                <w:bCs/>
                <w:color w:val="BE2A18"/>
                <w:sz w:val="20"/>
                <w:szCs w:val="20"/>
              </w:rPr>
            </w:pPr>
            <w:r w:rsidRPr="00503F5B">
              <w:rPr>
                <w:b/>
                <w:bCs/>
                <w:color w:val="BE2A18"/>
                <w:sz w:val="20"/>
                <w:szCs w:val="20"/>
              </w:rPr>
              <w:t xml:space="preserve"> Quarterly hour cost of attendance per appliance for false alarms</w:t>
            </w:r>
            <w:r w:rsidRPr="00503F5B">
              <w:rPr>
                <w:rStyle w:val="FootnoteReference"/>
                <w:b/>
                <w:bCs/>
                <w:color w:val="BE2A18"/>
                <w:sz w:val="20"/>
                <w:szCs w:val="20"/>
              </w:rPr>
              <w:footnoteReference w:id="179"/>
            </w:r>
          </w:p>
        </w:tc>
      </w:tr>
      <w:tr w:rsidR="00E04C6D" w:rsidRPr="00503F5B" w14:paraId="0E45FF5E" w14:textId="77777777" w:rsidTr="00E04C6D">
        <w:trPr>
          <w:trHeight w:val="70"/>
          <w:jc w:val="center"/>
        </w:trPr>
        <w:tc>
          <w:tcPr>
            <w:tcW w:w="5245" w:type="dxa"/>
            <w:tcBorders>
              <w:top w:val="double" w:sz="4" w:space="0" w:color="ED7C5D"/>
            </w:tcBorders>
            <w:noWrap/>
            <w:hideMark/>
          </w:tcPr>
          <w:p w14:paraId="59313C5C" w14:textId="77777777" w:rsidR="00E04C6D" w:rsidRPr="00503F5B" w:rsidRDefault="00E04C6D" w:rsidP="00E04C6D">
            <w:pPr>
              <w:rPr>
                <w:b/>
                <w:sz w:val="20"/>
                <w:szCs w:val="20"/>
              </w:rPr>
            </w:pPr>
            <w:r w:rsidRPr="00503F5B">
              <w:rPr>
                <w:b/>
                <w:sz w:val="20"/>
                <w:szCs w:val="20"/>
              </w:rPr>
              <w:t>Direct costs</w:t>
            </w:r>
          </w:p>
        </w:tc>
        <w:tc>
          <w:tcPr>
            <w:tcW w:w="2276" w:type="dxa"/>
            <w:tcBorders>
              <w:top w:val="double" w:sz="4" w:space="0" w:color="ED7C5D"/>
            </w:tcBorders>
            <w:noWrap/>
            <w:hideMark/>
          </w:tcPr>
          <w:p w14:paraId="50E57854" w14:textId="77777777" w:rsidR="00E04C6D" w:rsidRPr="00503F5B" w:rsidRDefault="00E04C6D" w:rsidP="00E04C6D">
            <w:pPr>
              <w:jc w:val="both"/>
              <w:rPr>
                <w:sz w:val="20"/>
                <w:szCs w:val="20"/>
              </w:rPr>
            </w:pPr>
            <w:r w:rsidRPr="00503F5B">
              <w:rPr>
                <w:sz w:val="20"/>
                <w:szCs w:val="20"/>
              </w:rPr>
              <w:t> </w:t>
            </w:r>
          </w:p>
        </w:tc>
      </w:tr>
      <w:tr w:rsidR="00E04C6D" w:rsidRPr="00503F5B" w14:paraId="6F4DE50B" w14:textId="77777777" w:rsidTr="00E04C6D">
        <w:trPr>
          <w:trHeight w:val="80"/>
          <w:jc w:val="center"/>
        </w:trPr>
        <w:tc>
          <w:tcPr>
            <w:tcW w:w="5245" w:type="dxa"/>
            <w:noWrap/>
            <w:hideMark/>
          </w:tcPr>
          <w:p w14:paraId="2E626C40" w14:textId="77777777" w:rsidR="00E04C6D" w:rsidRPr="00503F5B" w:rsidRDefault="00E04C6D" w:rsidP="00E04C6D">
            <w:pPr>
              <w:rPr>
                <w:sz w:val="20"/>
                <w:szCs w:val="20"/>
              </w:rPr>
            </w:pPr>
            <w:r w:rsidRPr="00503F5B">
              <w:rPr>
                <w:sz w:val="20"/>
                <w:szCs w:val="20"/>
              </w:rPr>
              <w:t>Appliance operational staffing</w:t>
            </w:r>
          </w:p>
        </w:tc>
        <w:tc>
          <w:tcPr>
            <w:tcW w:w="2276" w:type="dxa"/>
            <w:noWrap/>
            <w:vAlign w:val="bottom"/>
            <w:hideMark/>
          </w:tcPr>
          <w:p w14:paraId="10DFA872" w14:textId="77777777" w:rsidR="00E04C6D" w:rsidRPr="00503F5B" w:rsidRDefault="00E04C6D" w:rsidP="00E04C6D">
            <w:pPr>
              <w:jc w:val="right"/>
              <w:rPr>
                <w:sz w:val="20"/>
                <w:szCs w:val="20"/>
              </w:rPr>
            </w:pPr>
            <w:r w:rsidRPr="00503F5B">
              <w:rPr>
                <w:rFonts w:cs="Calibri"/>
                <w:sz w:val="20"/>
                <w:szCs w:val="20"/>
              </w:rPr>
              <w:t>$1,883</w:t>
            </w:r>
          </w:p>
        </w:tc>
      </w:tr>
      <w:tr w:rsidR="00E04C6D" w:rsidRPr="00503F5B" w14:paraId="21039678" w14:textId="77777777" w:rsidTr="00E04C6D">
        <w:trPr>
          <w:trHeight w:val="70"/>
          <w:jc w:val="center"/>
        </w:trPr>
        <w:tc>
          <w:tcPr>
            <w:tcW w:w="5245" w:type="dxa"/>
            <w:noWrap/>
            <w:hideMark/>
          </w:tcPr>
          <w:p w14:paraId="1A58C9B7" w14:textId="77777777" w:rsidR="00E04C6D" w:rsidRPr="00503F5B" w:rsidRDefault="00E04C6D" w:rsidP="00E04C6D">
            <w:pPr>
              <w:rPr>
                <w:sz w:val="20"/>
                <w:szCs w:val="20"/>
              </w:rPr>
            </w:pPr>
            <w:r w:rsidRPr="00503F5B">
              <w:rPr>
                <w:sz w:val="20"/>
                <w:szCs w:val="20"/>
              </w:rPr>
              <w:t>Appliance fuel</w:t>
            </w:r>
          </w:p>
        </w:tc>
        <w:tc>
          <w:tcPr>
            <w:tcW w:w="2276" w:type="dxa"/>
            <w:noWrap/>
            <w:vAlign w:val="bottom"/>
            <w:hideMark/>
          </w:tcPr>
          <w:p w14:paraId="5B3F288D" w14:textId="77777777" w:rsidR="00E04C6D" w:rsidRPr="00503F5B" w:rsidRDefault="00E04C6D" w:rsidP="00E04C6D">
            <w:pPr>
              <w:jc w:val="right"/>
              <w:rPr>
                <w:sz w:val="20"/>
                <w:szCs w:val="20"/>
              </w:rPr>
            </w:pPr>
            <w:r w:rsidRPr="00503F5B">
              <w:rPr>
                <w:rFonts w:cs="Calibri"/>
                <w:sz w:val="20"/>
                <w:szCs w:val="20"/>
              </w:rPr>
              <w:t>$6</w:t>
            </w:r>
          </w:p>
        </w:tc>
      </w:tr>
      <w:tr w:rsidR="00E04C6D" w:rsidRPr="00503F5B" w14:paraId="56086F6E" w14:textId="77777777" w:rsidTr="00E04C6D">
        <w:trPr>
          <w:trHeight w:val="70"/>
          <w:jc w:val="center"/>
        </w:trPr>
        <w:tc>
          <w:tcPr>
            <w:tcW w:w="5245" w:type="dxa"/>
            <w:noWrap/>
            <w:hideMark/>
          </w:tcPr>
          <w:p w14:paraId="21B04CFE" w14:textId="77777777" w:rsidR="00E04C6D" w:rsidRPr="00503F5B" w:rsidRDefault="00E04C6D" w:rsidP="00E04C6D">
            <w:pPr>
              <w:rPr>
                <w:sz w:val="20"/>
                <w:szCs w:val="20"/>
              </w:rPr>
            </w:pPr>
            <w:r w:rsidRPr="00503F5B">
              <w:rPr>
                <w:sz w:val="20"/>
                <w:szCs w:val="20"/>
              </w:rPr>
              <w:t>Appliance maintenance</w:t>
            </w:r>
          </w:p>
        </w:tc>
        <w:tc>
          <w:tcPr>
            <w:tcW w:w="2276" w:type="dxa"/>
            <w:noWrap/>
            <w:vAlign w:val="bottom"/>
            <w:hideMark/>
          </w:tcPr>
          <w:p w14:paraId="0386661F" w14:textId="77777777" w:rsidR="00E04C6D" w:rsidRPr="00503F5B" w:rsidRDefault="00E04C6D" w:rsidP="00E04C6D">
            <w:pPr>
              <w:jc w:val="right"/>
              <w:rPr>
                <w:sz w:val="20"/>
                <w:szCs w:val="20"/>
              </w:rPr>
            </w:pPr>
            <w:r w:rsidRPr="00503F5B">
              <w:rPr>
                <w:rFonts w:cs="Calibri"/>
                <w:sz w:val="20"/>
                <w:szCs w:val="20"/>
              </w:rPr>
              <w:t>$42</w:t>
            </w:r>
          </w:p>
        </w:tc>
      </w:tr>
      <w:tr w:rsidR="00E04C6D" w:rsidRPr="00503F5B" w14:paraId="1CF63CD1" w14:textId="77777777" w:rsidTr="00E04C6D">
        <w:trPr>
          <w:trHeight w:val="70"/>
          <w:jc w:val="center"/>
        </w:trPr>
        <w:tc>
          <w:tcPr>
            <w:tcW w:w="5245" w:type="dxa"/>
            <w:tcBorders>
              <w:bottom w:val="single" w:sz="4" w:space="0" w:color="ED7C5D"/>
            </w:tcBorders>
            <w:noWrap/>
            <w:hideMark/>
          </w:tcPr>
          <w:p w14:paraId="1CA7A355" w14:textId="77777777" w:rsidR="00E04C6D" w:rsidRPr="00503F5B" w:rsidRDefault="00E04C6D" w:rsidP="00E04C6D">
            <w:pPr>
              <w:rPr>
                <w:sz w:val="20"/>
                <w:szCs w:val="20"/>
              </w:rPr>
            </w:pPr>
            <w:r w:rsidRPr="00503F5B">
              <w:rPr>
                <w:sz w:val="20"/>
                <w:szCs w:val="20"/>
              </w:rPr>
              <w:t>Appliance fee</w:t>
            </w:r>
          </w:p>
        </w:tc>
        <w:tc>
          <w:tcPr>
            <w:tcW w:w="2276" w:type="dxa"/>
            <w:tcBorders>
              <w:bottom w:val="single" w:sz="4" w:space="0" w:color="ED7C5D"/>
            </w:tcBorders>
            <w:noWrap/>
            <w:vAlign w:val="bottom"/>
            <w:hideMark/>
          </w:tcPr>
          <w:p w14:paraId="6631BB95" w14:textId="77777777" w:rsidR="00E04C6D" w:rsidRPr="00503F5B" w:rsidRDefault="00E04C6D" w:rsidP="00E04C6D">
            <w:pPr>
              <w:jc w:val="right"/>
              <w:rPr>
                <w:sz w:val="20"/>
                <w:szCs w:val="20"/>
              </w:rPr>
            </w:pPr>
            <w:r w:rsidRPr="00503F5B">
              <w:rPr>
                <w:rFonts w:cs="Calibri"/>
                <w:sz w:val="20"/>
                <w:szCs w:val="20"/>
              </w:rPr>
              <w:t>$2</w:t>
            </w:r>
          </w:p>
        </w:tc>
      </w:tr>
      <w:tr w:rsidR="00E04C6D" w:rsidRPr="00503F5B" w14:paraId="27B6B29F" w14:textId="77777777" w:rsidTr="00E04C6D">
        <w:trPr>
          <w:trHeight w:val="70"/>
          <w:jc w:val="center"/>
        </w:trPr>
        <w:tc>
          <w:tcPr>
            <w:tcW w:w="5245" w:type="dxa"/>
            <w:tcBorders>
              <w:top w:val="single" w:sz="4" w:space="0" w:color="ED7C5D"/>
              <w:bottom w:val="single" w:sz="4" w:space="0" w:color="ED7C5D"/>
            </w:tcBorders>
            <w:noWrap/>
            <w:hideMark/>
          </w:tcPr>
          <w:p w14:paraId="2D87D0CE" w14:textId="77777777" w:rsidR="00E04C6D" w:rsidRPr="00503F5B" w:rsidRDefault="00E04C6D" w:rsidP="00E04C6D">
            <w:pPr>
              <w:rPr>
                <w:b/>
                <w:sz w:val="20"/>
                <w:szCs w:val="20"/>
              </w:rPr>
            </w:pPr>
            <w:r w:rsidRPr="00503F5B">
              <w:rPr>
                <w:b/>
                <w:sz w:val="20"/>
                <w:szCs w:val="20"/>
              </w:rPr>
              <w:t>Sub-total direct quarterly hourly cost per appliance</w:t>
            </w:r>
          </w:p>
        </w:tc>
        <w:tc>
          <w:tcPr>
            <w:tcW w:w="2276" w:type="dxa"/>
            <w:tcBorders>
              <w:top w:val="single" w:sz="4" w:space="0" w:color="ED7C5D"/>
              <w:bottom w:val="single" w:sz="4" w:space="0" w:color="ED7C5D"/>
            </w:tcBorders>
            <w:noWrap/>
            <w:vAlign w:val="bottom"/>
            <w:hideMark/>
          </w:tcPr>
          <w:p w14:paraId="4E622F20" w14:textId="77777777" w:rsidR="00E04C6D" w:rsidRPr="00503F5B" w:rsidRDefault="00E04C6D" w:rsidP="00E04C6D">
            <w:pPr>
              <w:jc w:val="right"/>
              <w:rPr>
                <w:b/>
                <w:sz w:val="20"/>
                <w:szCs w:val="20"/>
              </w:rPr>
            </w:pPr>
            <w:r w:rsidRPr="00503F5B">
              <w:rPr>
                <w:rFonts w:cs="Calibri"/>
                <w:b/>
                <w:bCs/>
                <w:sz w:val="20"/>
                <w:szCs w:val="20"/>
              </w:rPr>
              <w:t>$1,933</w:t>
            </w:r>
          </w:p>
        </w:tc>
      </w:tr>
      <w:tr w:rsidR="00E04C6D" w:rsidRPr="00503F5B" w14:paraId="79B05E1B" w14:textId="77777777" w:rsidTr="00E04C6D">
        <w:trPr>
          <w:trHeight w:val="70"/>
          <w:jc w:val="center"/>
        </w:trPr>
        <w:tc>
          <w:tcPr>
            <w:tcW w:w="5245" w:type="dxa"/>
            <w:tcBorders>
              <w:top w:val="single" w:sz="4" w:space="0" w:color="ED7C5D"/>
            </w:tcBorders>
            <w:noWrap/>
            <w:hideMark/>
          </w:tcPr>
          <w:p w14:paraId="26EF48FE" w14:textId="77777777" w:rsidR="00E04C6D" w:rsidRPr="00503F5B" w:rsidRDefault="00E04C6D" w:rsidP="00E04C6D">
            <w:pPr>
              <w:rPr>
                <w:b/>
                <w:sz w:val="20"/>
                <w:szCs w:val="20"/>
              </w:rPr>
            </w:pPr>
            <w:r w:rsidRPr="00503F5B">
              <w:rPr>
                <w:b/>
                <w:sz w:val="20"/>
                <w:szCs w:val="20"/>
              </w:rPr>
              <w:t>Indirect costs</w:t>
            </w:r>
          </w:p>
        </w:tc>
        <w:tc>
          <w:tcPr>
            <w:tcW w:w="2276" w:type="dxa"/>
            <w:tcBorders>
              <w:top w:val="single" w:sz="4" w:space="0" w:color="ED7C5D"/>
            </w:tcBorders>
            <w:noWrap/>
            <w:vAlign w:val="bottom"/>
            <w:hideMark/>
          </w:tcPr>
          <w:p w14:paraId="44CFF9D6" w14:textId="77777777" w:rsidR="00E04C6D" w:rsidRPr="00503F5B" w:rsidRDefault="00E04C6D" w:rsidP="00E04C6D">
            <w:pPr>
              <w:jc w:val="right"/>
              <w:rPr>
                <w:sz w:val="20"/>
                <w:szCs w:val="20"/>
              </w:rPr>
            </w:pPr>
            <w:r w:rsidRPr="00503F5B">
              <w:rPr>
                <w:rFonts w:cs="Calibri"/>
                <w:sz w:val="20"/>
                <w:szCs w:val="20"/>
              </w:rPr>
              <w:t>$0</w:t>
            </w:r>
          </w:p>
        </w:tc>
      </w:tr>
      <w:tr w:rsidR="00E04C6D" w:rsidRPr="00503F5B" w14:paraId="2C0F0FC4" w14:textId="77777777" w:rsidTr="00E04C6D">
        <w:trPr>
          <w:trHeight w:val="70"/>
          <w:jc w:val="center"/>
        </w:trPr>
        <w:tc>
          <w:tcPr>
            <w:tcW w:w="5245" w:type="dxa"/>
            <w:noWrap/>
            <w:hideMark/>
          </w:tcPr>
          <w:p w14:paraId="7E172A11" w14:textId="77777777" w:rsidR="00E04C6D" w:rsidRPr="00503F5B" w:rsidRDefault="00E04C6D" w:rsidP="00E04C6D">
            <w:pPr>
              <w:rPr>
                <w:sz w:val="20"/>
                <w:szCs w:val="20"/>
              </w:rPr>
            </w:pPr>
            <w:r w:rsidRPr="00503F5B">
              <w:rPr>
                <w:sz w:val="20"/>
                <w:szCs w:val="20"/>
              </w:rPr>
              <w:t>Overtime and allowances for station personnel</w:t>
            </w:r>
          </w:p>
        </w:tc>
        <w:tc>
          <w:tcPr>
            <w:tcW w:w="2276" w:type="dxa"/>
            <w:noWrap/>
            <w:vAlign w:val="bottom"/>
            <w:hideMark/>
          </w:tcPr>
          <w:p w14:paraId="59B5BC8B" w14:textId="77777777" w:rsidR="00E04C6D" w:rsidRPr="00503F5B" w:rsidRDefault="00E04C6D" w:rsidP="00E04C6D">
            <w:pPr>
              <w:jc w:val="right"/>
              <w:rPr>
                <w:sz w:val="20"/>
                <w:szCs w:val="20"/>
              </w:rPr>
            </w:pPr>
            <w:r w:rsidRPr="00503F5B">
              <w:rPr>
                <w:rFonts w:cs="Calibri"/>
                <w:sz w:val="20"/>
                <w:szCs w:val="20"/>
              </w:rPr>
              <w:t>$285</w:t>
            </w:r>
          </w:p>
        </w:tc>
      </w:tr>
      <w:tr w:rsidR="00E04C6D" w:rsidRPr="00503F5B" w14:paraId="722EE945" w14:textId="77777777" w:rsidTr="00E04C6D">
        <w:trPr>
          <w:trHeight w:val="70"/>
          <w:jc w:val="center"/>
        </w:trPr>
        <w:tc>
          <w:tcPr>
            <w:tcW w:w="5245" w:type="dxa"/>
            <w:noWrap/>
            <w:hideMark/>
          </w:tcPr>
          <w:p w14:paraId="58DCA1ED" w14:textId="77777777" w:rsidR="00E04C6D" w:rsidRPr="00503F5B" w:rsidRDefault="00E04C6D" w:rsidP="00E04C6D">
            <w:pPr>
              <w:rPr>
                <w:sz w:val="20"/>
                <w:szCs w:val="20"/>
              </w:rPr>
            </w:pPr>
            <w:r w:rsidRPr="00503F5B">
              <w:rPr>
                <w:sz w:val="20"/>
                <w:szCs w:val="20"/>
              </w:rPr>
              <w:t>Personal protective equipment</w:t>
            </w:r>
          </w:p>
        </w:tc>
        <w:tc>
          <w:tcPr>
            <w:tcW w:w="2276" w:type="dxa"/>
            <w:noWrap/>
            <w:vAlign w:val="bottom"/>
            <w:hideMark/>
          </w:tcPr>
          <w:p w14:paraId="233CE521" w14:textId="77777777" w:rsidR="00E04C6D" w:rsidRPr="00503F5B" w:rsidRDefault="00E04C6D" w:rsidP="00E04C6D">
            <w:pPr>
              <w:jc w:val="right"/>
              <w:rPr>
                <w:sz w:val="20"/>
                <w:szCs w:val="20"/>
              </w:rPr>
            </w:pPr>
            <w:r w:rsidRPr="00503F5B">
              <w:rPr>
                <w:rFonts w:cs="Calibri"/>
                <w:sz w:val="20"/>
                <w:szCs w:val="20"/>
              </w:rPr>
              <w:t>$18</w:t>
            </w:r>
          </w:p>
        </w:tc>
      </w:tr>
      <w:tr w:rsidR="00E04C6D" w:rsidRPr="00503F5B" w14:paraId="3C8EE6B1" w14:textId="77777777" w:rsidTr="00E04C6D">
        <w:trPr>
          <w:trHeight w:val="70"/>
          <w:jc w:val="center"/>
        </w:trPr>
        <w:tc>
          <w:tcPr>
            <w:tcW w:w="5245" w:type="dxa"/>
            <w:noWrap/>
            <w:hideMark/>
          </w:tcPr>
          <w:p w14:paraId="0CB7E472" w14:textId="77777777" w:rsidR="00E04C6D" w:rsidRPr="00503F5B" w:rsidRDefault="00E04C6D" w:rsidP="00E04C6D">
            <w:pPr>
              <w:rPr>
                <w:sz w:val="20"/>
                <w:szCs w:val="20"/>
              </w:rPr>
            </w:pPr>
            <w:r w:rsidRPr="00503F5B">
              <w:rPr>
                <w:sz w:val="20"/>
                <w:szCs w:val="20"/>
              </w:rPr>
              <w:t>Training</w:t>
            </w:r>
          </w:p>
        </w:tc>
        <w:tc>
          <w:tcPr>
            <w:tcW w:w="2276" w:type="dxa"/>
            <w:noWrap/>
            <w:vAlign w:val="bottom"/>
            <w:hideMark/>
          </w:tcPr>
          <w:p w14:paraId="05C39DF1" w14:textId="77777777" w:rsidR="00E04C6D" w:rsidRPr="00503F5B" w:rsidRDefault="00E04C6D" w:rsidP="00E04C6D">
            <w:pPr>
              <w:jc w:val="right"/>
              <w:rPr>
                <w:sz w:val="20"/>
                <w:szCs w:val="20"/>
              </w:rPr>
            </w:pPr>
            <w:r w:rsidRPr="00503F5B">
              <w:rPr>
                <w:rFonts w:cs="Calibri"/>
                <w:sz w:val="20"/>
                <w:szCs w:val="20"/>
              </w:rPr>
              <w:t>$5</w:t>
            </w:r>
          </w:p>
        </w:tc>
      </w:tr>
      <w:tr w:rsidR="00E04C6D" w:rsidRPr="00503F5B" w14:paraId="5472E801" w14:textId="77777777" w:rsidTr="00E04C6D">
        <w:trPr>
          <w:trHeight w:val="70"/>
          <w:jc w:val="center"/>
        </w:trPr>
        <w:tc>
          <w:tcPr>
            <w:tcW w:w="5245" w:type="dxa"/>
            <w:tcBorders>
              <w:bottom w:val="single" w:sz="4" w:space="0" w:color="ED7C5D"/>
            </w:tcBorders>
            <w:noWrap/>
            <w:hideMark/>
          </w:tcPr>
          <w:p w14:paraId="5134DA5C" w14:textId="77777777" w:rsidR="00E04C6D" w:rsidRPr="00503F5B" w:rsidRDefault="00E04C6D" w:rsidP="00E04C6D">
            <w:pPr>
              <w:rPr>
                <w:sz w:val="20"/>
                <w:szCs w:val="20"/>
              </w:rPr>
            </w:pPr>
            <w:r w:rsidRPr="00503F5B">
              <w:rPr>
                <w:sz w:val="20"/>
                <w:szCs w:val="20"/>
              </w:rPr>
              <w:t>Administrative support</w:t>
            </w:r>
          </w:p>
        </w:tc>
        <w:tc>
          <w:tcPr>
            <w:tcW w:w="2276" w:type="dxa"/>
            <w:tcBorders>
              <w:bottom w:val="single" w:sz="4" w:space="0" w:color="ED7C5D"/>
            </w:tcBorders>
            <w:noWrap/>
            <w:vAlign w:val="bottom"/>
            <w:hideMark/>
          </w:tcPr>
          <w:p w14:paraId="73A9CEE4" w14:textId="77777777" w:rsidR="00E04C6D" w:rsidRPr="00503F5B" w:rsidRDefault="00E04C6D" w:rsidP="00E04C6D">
            <w:pPr>
              <w:jc w:val="right"/>
              <w:rPr>
                <w:sz w:val="20"/>
                <w:szCs w:val="20"/>
              </w:rPr>
            </w:pPr>
            <w:r w:rsidRPr="00503F5B">
              <w:rPr>
                <w:rFonts w:cs="Calibri"/>
                <w:sz w:val="20"/>
                <w:szCs w:val="20"/>
              </w:rPr>
              <w:t>$337</w:t>
            </w:r>
          </w:p>
        </w:tc>
      </w:tr>
      <w:tr w:rsidR="00E04C6D" w:rsidRPr="00503F5B" w14:paraId="2F8846ED" w14:textId="77777777" w:rsidTr="00E04C6D">
        <w:trPr>
          <w:trHeight w:val="70"/>
          <w:jc w:val="center"/>
        </w:trPr>
        <w:tc>
          <w:tcPr>
            <w:tcW w:w="5245" w:type="dxa"/>
            <w:tcBorders>
              <w:top w:val="single" w:sz="4" w:space="0" w:color="ED7C5D"/>
              <w:bottom w:val="single" w:sz="4" w:space="0" w:color="ED7C5D"/>
            </w:tcBorders>
            <w:noWrap/>
            <w:hideMark/>
          </w:tcPr>
          <w:p w14:paraId="573B4CD9" w14:textId="77777777" w:rsidR="00E04C6D" w:rsidRPr="00503F5B" w:rsidRDefault="00E04C6D" w:rsidP="00E04C6D">
            <w:pPr>
              <w:rPr>
                <w:b/>
                <w:sz w:val="20"/>
                <w:szCs w:val="20"/>
              </w:rPr>
            </w:pPr>
            <w:r w:rsidRPr="00503F5B">
              <w:rPr>
                <w:b/>
                <w:sz w:val="20"/>
                <w:szCs w:val="20"/>
              </w:rPr>
              <w:t>Sub-total indirect quarterly hourly cost per appliance</w:t>
            </w:r>
          </w:p>
        </w:tc>
        <w:tc>
          <w:tcPr>
            <w:tcW w:w="2276" w:type="dxa"/>
            <w:tcBorders>
              <w:top w:val="single" w:sz="4" w:space="0" w:color="ED7C5D"/>
              <w:bottom w:val="single" w:sz="4" w:space="0" w:color="ED7C5D"/>
            </w:tcBorders>
            <w:noWrap/>
            <w:vAlign w:val="bottom"/>
            <w:hideMark/>
          </w:tcPr>
          <w:p w14:paraId="18FFFC8C" w14:textId="77777777" w:rsidR="00E04C6D" w:rsidRPr="00503F5B" w:rsidRDefault="00E04C6D" w:rsidP="00E04C6D">
            <w:pPr>
              <w:jc w:val="right"/>
              <w:rPr>
                <w:b/>
                <w:sz w:val="20"/>
                <w:szCs w:val="20"/>
              </w:rPr>
            </w:pPr>
            <w:r w:rsidRPr="00503F5B">
              <w:rPr>
                <w:rFonts w:cs="Calibri"/>
                <w:b/>
                <w:bCs/>
                <w:sz w:val="20"/>
                <w:szCs w:val="20"/>
              </w:rPr>
              <w:t>$645</w:t>
            </w:r>
          </w:p>
        </w:tc>
      </w:tr>
      <w:tr w:rsidR="00E04C6D" w:rsidRPr="00503F5B" w14:paraId="78603157" w14:textId="77777777" w:rsidTr="00E04C6D">
        <w:trPr>
          <w:trHeight w:val="80"/>
          <w:jc w:val="center"/>
        </w:trPr>
        <w:tc>
          <w:tcPr>
            <w:tcW w:w="5245" w:type="dxa"/>
            <w:tcBorders>
              <w:top w:val="single" w:sz="4" w:space="0" w:color="ED7C5D"/>
              <w:bottom w:val="single" w:sz="4" w:space="0" w:color="ED7C5D"/>
            </w:tcBorders>
            <w:noWrap/>
            <w:hideMark/>
          </w:tcPr>
          <w:p w14:paraId="1A15B131" w14:textId="77777777" w:rsidR="00E04C6D" w:rsidRPr="00503F5B" w:rsidRDefault="00E04C6D" w:rsidP="00E04C6D">
            <w:pPr>
              <w:rPr>
                <w:b/>
                <w:bCs/>
                <w:i/>
                <w:sz w:val="20"/>
                <w:szCs w:val="20"/>
              </w:rPr>
            </w:pPr>
            <w:r w:rsidRPr="00503F5B">
              <w:rPr>
                <w:b/>
                <w:bCs/>
                <w:i/>
                <w:sz w:val="20"/>
                <w:szCs w:val="20"/>
              </w:rPr>
              <w:t>Total quarterly hourly direct and indirect cost per appliance</w:t>
            </w:r>
          </w:p>
        </w:tc>
        <w:tc>
          <w:tcPr>
            <w:tcW w:w="2276" w:type="dxa"/>
            <w:tcBorders>
              <w:top w:val="single" w:sz="4" w:space="0" w:color="ED7C5D"/>
              <w:bottom w:val="single" w:sz="4" w:space="0" w:color="ED7C5D"/>
            </w:tcBorders>
            <w:noWrap/>
            <w:vAlign w:val="bottom"/>
            <w:hideMark/>
          </w:tcPr>
          <w:p w14:paraId="4D3B5607" w14:textId="77777777" w:rsidR="00E04C6D" w:rsidRPr="00503F5B" w:rsidRDefault="00E04C6D" w:rsidP="00E04C6D">
            <w:pPr>
              <w:jc w:val="right"/>
              <w:rPr>
                <w:b/>
                <w:i/>
                <w:sz w:val="20"/>
                <w:szCs w:val="20"/>
              </w:rPr>
            </w:pPr>
            <w:r w:rsidRPr="00503F5B">
              <w:rPr>
                <w:rFonts w:cs="Calibri"/>
                <w:b/>
                <w:bCs/>
                <w:i/>
                <w:iCs/>
                <w:sz w:val="20"/>
                <w:szCs w:val="20"/>
              </w:rPr>
              <w:t>$2,579</w:t>
            </w:r>
          </w:p>
        </w:tc>
      </w:tr>
    </w:tbl>
    <w:p w14:paraId="1D51DEE7" w14:textId="77777777" w:rsidR="00E04C6D" w:rsidRPr="00503F5B" w:rsidRDefault="00E04C6D" w:rsidP="00517C6D"/>
    <w:p w14:paraId="68E106FA" w14:textId="77777777" w:rsidR="00E04C6D" w:rsidRPr="00503F5B" w:rsidRDefault="00E04C6D">
      <w:r w:rsidRPr="00503F5B">
        <w:br w:type="page"/>
      </w:r>
    </w:p>
    <w:p w14:paraId="1BD59477" w14:textId="5ECFD5B5" w:rsidR="00E04C6D" w:rsidRPr="00503F5B" w:rsidRDefault="00E04C6D" w:rsidP="00E04C6D">
      <w:pPr>
        <w:pStyle w:val="Heading2"/>
      </w:pPr>
      <w:bookmarkStart w:id="252" w:name="_Toc35804164"/>
      <w:bookmarkStart w:id="253" w:name="_Toc35804658"/>
      <w:bookmarkStart w:id="254" w:name="_Toc35812702"/>
      <w:r w:rsidRPr="00503F5B">
        <w:lastRenderedPageBreak/>
        <w:t>A1.4 Estimated total costs per false alarm attendance</w:t>
      </w:r>
      <w:bookmarkEnd w:id="251"/>
      <w:r w:rsidRPr="00503F5B">
        <w:t xml:space="preserve"> for MFB</w:t>
      </w:r>
      <w:bookmarkEnd w:id="252"/>
      <w:bookmarkEnd w:id="253"/>
      <w:bookmarkEnd w:id="254"/>
    </w:p>
    <w:p w14:paraId="7DBB76FE" w14:textId="1AF5DA4E" w:rsidR="00535EE3" w:rsidRPr="00503F5B" w:rsidRDefault="00E04C6D" w:rsidP="00E04C6D">
      <w:pPr>
        <w:jc w:val="both"/>
        <w:rPr>
          <w:color w:val="auto"/>
        </w:rPr>
      </w:pPr>
      <w:r w:rsidRPr="00503F5B">
        <w:t xml:space="preserve">The total average cost of a false alarm </w:t>
      </w:r>
      <w:r w:rsidRPr="00503F5B">
        <w:rPr>
          <w:i/>
          <w:iCs/>
        </w:rPr>
        <w:t xml:space="preserve">per attendance </w:t>
      </w:r>
      <w:r w:rsidRPr="00503F5B">
        <w:t>for MFB is estimated by taking the product of the total hourly direct and indirect cost per appliance (i.e. $10,314) and</w:t>
      </w:r>
      <w:r w:rsidR="00535EE3" w:rsidRPr="00503F5B">
        <w:t xml:space="preserve"> the estimated</w:t>
      </w:r>
      <w:r w:rsidRPr="00503F5B">
        <w:t xml:space="preserve"> </w:t>
      </w:r>
      <w:r w:rsidR="00535EE3" w:rsidRPr="00503F5B">
        <w:t>1</w:t>
      </w:r>
      <w:r w:rsidRPr="00503F5B">
        <w:t>.</w:t>
      </w:r>
      <w:r w:rsidR="00535EE3" w:rsidRPr="00503F5B">
        <w:t>2</w:t>
      </w:r>
      <w:r w:rsidR="00B0595C" w:rsidRPr="00503F5B">
        <w:t>8</w:t>
      </w:r>
      <w:r w:rsidRPr="00503F5B">
        <w:t xml:space="preserve"> appliance hours spent per attendance</w:t>
      </w:r>
      <w:r w:rsidR="00535EE3" w:rsidRPr="00503F5B">
        <w:t xml:space="preserve"> </w:t>
      </w:r>
      <w:r w:rsidR="00EC6389" w:rsidRPr="00503F5B">
        <w:t xml:space="preserve">(including travel time) </w:t>
      </w:r>
      <w:r w:rsidR="00535EE3" w:rsidRPr="00503F5B">
        <w:t>calculated as</w:t>
      </w:r>
      <w:r w:rsidR="00535EE3" w:rsidRPr="00503F5B">
        <w:rPr>
          <w:color w:val="auto"/>
        </w:rPr>
        <w:t>:</w:t>
      </w:r>
    </w:p>
    <w:p w14:paraId="3AF15723" w14:textId="57A8A05F" w:rsidR="00EC6389" w:rsidRPr="00503F5B" w:rsidRDefault="00EC6389" w:rsidP="00E04C6D">
      <w:pPr>
        <w:jc w:val="both"/>
        <w:rPr>
          <w:color w:val="auto"/>
        </w:rPr>
      </w:pPr>
    </w:p>
    <w:p w14:paraId="7B1D415D" w14:textId="53D1E1A8" w:rsidR="00EC6389" w:rsidRPr="00503F5B" w:rsidRDefault="00836DD0" w:rsidP="00EC6389">
      <w:pPr>
        <w:jc w:val="center"/>
        <w:rPr>
          <w:color w:val="auto"/>
          <w:sz w:val="20"/>
          <w:szCs w:val="20"/>
        </w:rPr>
      </w:pPr>
      <w:r w:rsidRPr="00503F5B">
        <w:rPr>
          <w:color w:val="auto"/>
          <w:sz w:val="20"/>
          <w:szCs w:val="20"/>
        </w:rPr>
        <w:t>Current (2019-20) a</w:t>
      </w:r>
      <w:r w:rsidR="00EC6389" w:rsidRPr="00503F5B">
        <w:rPr>
          <w:color w:val="auto"/>
          <w:sz w:val="20"/>
          <w:szCs w:val="20"/>
        </w:rPr>
        <w:t>verage charge per attendance ($2,790)</w:t>
      </w:r>
      <w:r w:rsidR="0094007C" w:rsidRPr="00503F5B">
        <w:rPr>
          <w:sz w:val="20"/>
          <w:szCs w:val="20"/>
        </w:rPr>
        <w:t xml:space="preserve"> ÷ </w:t>
      </w:r>
      <w:r w:rsidR="00EC6389" w:rsidRPr="00503F5B">
        <w:rPr>
          <w:color w:val="auto"/>
          <w:sz w:val="20"/>
          <w:szCs w:val="20"/>
        </w:rPr>
        <w:t xml:space="preserve">current </w:t>
      </w:r>
      <w:r w:rsidRPr="00503F5B">
        <w:rPr>
          <w:color w:val="auto"/>
          <w:sz w:val="20"/>
          <w:szCs w:val="20"/>
        </w:rPr>
        <w:t xml:space="preserve">(2019-20) </w:t>
      </w:r>
      <w:r w:rsidR="00EC6389" w:rsidRPr="00503F5B">
        <w:rPr>
          <w:color w:val="auto"/>
          <w:sz w:val="20"/>
          <w:szCs w:val="20"/>
        </w:rPr>
        <w:t>quarterly hour charge ($578.47) x 15 minutes</w:t>
      </w:r>
      <w:r w:rsidR="0094007C" w:rsidRPr="00503F5B">
        <w:rPr>
          <w:color w:val="auto"/>
          <w:sz w:val="20"/>
          <w:szCs w:val="20"/>
        </w:rPr>
        <w:t xml:space="preserve"> </w:t>
      </w:r>
      <w:r w:rsidR="0094007C" w:rsidRPr="00503F5B">
        <w:rPr>
          <w:sz w:val="20"/>
          <w:szCs w:val="20"/>
        </w:rPr>
        <w:t xml:space="preserve">÷ </w:t>
      </w:r>
      <w:r w:rsidR="00EC6389" w:rsidRPr="00503F5B">
        <w:rPr>
          <w:color w:val="auto"/>
          <w:sz w:val="20"/>
          <w:szCs w:val="20"/>
        </w:rPr>
        <w:t xml:space="preserve">60 min = </w:t>
      </w:r>
      <w:r w:rsidR="00501A99" w:rsidRPr="00503F5B">
        <w:rPr>
          <w:i/>
          <w:iCs/>
          <w:color w:val="auto"/>
          <w:sz w:val="20"/>
          <w:szCs w:val="20"/>
        </w:rPr>
        <w:t xml:space="preserve">average </w:t>
      </w:r>
      <w:r w:rsidR="00EC6389" w:rsidRPr="00503F5B">
        <w:rPr>
          <w:i/>
          <w:iCs/>
          <w:color w:val="auto"/>
          <w:sz w:val="20"/>
          <w:szCs w:val="20"/>
        </w:rPr>
        <w:t>1.28</w:t>
      </w:r>
      <w:r w:rsidR="00B0595C" w:rsidRPr="00503F5B">
        <w:rPr>
          <w:i/>
          <w:iCs/>
          <w:color w:val="auto"/>
          <w:sz w:val="20"/>
          <w:szCs w:val="20"/>
        </w:rPr>
        <w:t>4</w:t>
      </w:r>
      <w:r w:rsidR="00501A99" w:rsidRPr="00503F5B">
        <w:rPr>
          <w:i/>
          <w:iCs/>
          <w:color w:val="auto"/>
          <w:sz w:val="20"/>
          <w:szCs w:val="20"/>
        </w:rPr>
        <w:t xml:space="preserve"> hours per attendance</w:t>
      </w:r>
    </w:p>
    <w:p w14:paraId="3995ED47" w14:textId="77777777" w:rsidR="00535EE3" w:rsidRPr="00503F5B" w:rsidRDefault="00535EE3" w:rsidP="00E04C6D">
      <w:pPr>
        <w:jc w:val="both"/>
        <w:rPr>
          <w:color w:val="auto"/>
        </w:rPr>
      </w:pPr>
    </w:p>
    <w:p w14:paraId="6BAD656E" w14:textId="3BABD166" w:rsidR="00E04C6D" w:rsidRPr="00503F5B" w:rsidRDefault="00E04C6D" w:rsidP="00E04C6D">
      <w:pPr>
        <w:jc w:val="both"/>
      </w:pPr>
      <w:r w:rsidRPr="00503F5B">
        <w:t xml:space="preserve">This provides an estimated cost of </w:t>
      </w:r>
      <w:r w:rsidR="00836DD0" w:rsidRPr="00503F5B">
        <w:rPr>
          <w:i/>
          <w:iCs/>
        </w:rPr>
        <w:t>$13,238.77</w:t>
      </w:r>
      <w:r w:rsidRPr="00503F5B">
        <w:t xml:space="preserve"> per attendance.  The breakup of direct and indirect costs per attendance is shown in Table A1.6 (based on the percentage allocation of annual costs in Table A1.2).</w:t>
      </w:r>
    </w:p>
    <w:p w14:paraId="761922BF" w14:textId="77777777" w:rsidR="00E04C6D" w:rsidRPr="00503F5B" w:rsidRDefault="00E04C6D" w:rsidP="00E04C6D">
      <w:pPr>
        <w:jc w:val="both"/>
      </w:pPr>
    </w:p>
    <w:p w14:paraId="3D56E7E8" w14:textId="77777777" w:rsidR="00E04C6D" w:rsidRPr="00503F5B" w:rsidRDefault="00E04C6D" w:rsidP="00E04C6D">
      <w:pPr>
        <w:jc w:val="center"/>
        <w:rPr>
          <w:b/>
          <w:sz w:val="20"/>
          <w:szCs w:val="20"/>
        </w:rPr>
      </w:pPr>
      <w:r w:rsidRPr="00503F5B">
        <w:rPr>
          <w:b/>
          <w:sz w:val="20"/>
          <w:szCs w:val="20"/>
        </w:rPr>
        <w:t>Table A1.6: Estimated cost per false alarm attendance by MFB – 2018-19</w:t>
      </w:r>
    </w:p>
    <w:p w14:paraId="4A0B861F" w14:textId="77777777" w:rsidR="00E04C6D" w:rsidRPr="00503F5B" w:rsidRDefault="00E04C6D" w:rsidP="00E04C6D">
      <w:pPr>
        <w:jc w:val="both"/>
      </w:pPr>
    </w:p>
    <w:tbl>
      <w:tblPr>
        <w:tblW w:w="0" w:type="auto"/>
        <w:jc w:val="center"/>
        <w:tblLook w:val="04A0" w:firstRow="1" w:lastRow="0" w:firstColumn="1" w:lastColumn="0" w:noHBand="0" w:noVBand="1"/>
      </w:tblPr>
      <w:tblGrid>
        <w:gridCol w:w="4812"/>
        <w:gridCol w:w="1567"/>
      </w:tblGrid>
      <w:tr w:rsidR="00E04C6D" w:rsidRPr="00503F5B" w14:paraId="40279918" w14:textId="77777777" w:rsidTr="00E04C6D">
        <w:trPr>
          <w:trHeight w:val="130"/>
          <w:tblHeader/>
          <w:jc w:val="center"/>
        </w:trPr>
        <w:tc>
          <w:tcPr>
            <w:tcW w:w="4812" w:type="dxa"/>
            <w:tcBorders>
              <w:top w:val="single" w:sz="4" w:space="0" w:color="ED7C5D"/>
              <w:bottom w:val="double" w:sz="4" w:space="0" w:color="ED7C5D"/>
            </w:tcBorders>
            <w:noWrap/>
            <w:hideMark/>
          </w:tcPr>
          <w:p w14:paraId="3725411C" w14:textId="77777777" w:rsidR="00E04C6D" w:rsidRPr="00503F5B" w:rsidRDefault="00E04C6D" w:rsidP="00E04C6D">
            <w:pPr>
              <w:rPr>
                <w:b/>
                <w:bCs/>
                <w:color w:val="BE2A18"/>
                <w:sz w:val="20"/>
                <w:szCs w:val="20"/>
              </w:rPr>
            </w:pPr>
            <w:bookmarkStart w:id="255" w:name="_Hlk32056121"/>
            <w:r w:rsidRPr="00503F5B">
              <w:rPr>
                <w:b/>
                <w:bCs/>
                <w:color w:val="BE2A18"/>
                <w:sz w:val="20"/>
                <w:szCs w:val="20"/>
              </w:rPr>
              <w:t>Direct and indirect cost category</w:t>
            </w:r>
          </w:p>
        </w:tc>
        <w:tc>
          <w:tcPr>
            <w:tcW w:w="1567" w:type="dxa"/>
            <w:tcBorders>
              <w:top w:val="single" w:sz="4" w:space="0" w:color="ED7C5D"/>
              <w:bottom w:val="double" w:sz="4" w:space="0" w:color="ED7C5D"/>
            </w:tcBorders>
            <w:noWrap/>
            <w:hideMark/>
          </w:tcPr>
          <w:p w14:paraId="2B3F8D97" w14:textId="77777777" w:rsidR="00E04C6D" w:rsidRPr="00503F5B" w:rsidRDefault="00E04C6D" w:rsidP="00E04C6D">
            <w:pPr>
              <w:jc w:val="center"/>
              <w:rPr>
                <w:b/>
                <w:bCs/>
                <w:color w:val="BE2A18"/>
                <w:sz w:val="20"/>
                <w:szCs w:val="20"/>
              </w:rPr>
            </w:pPr>
            <w:r w:rsidRPr="00503F5B">
              <w:rPr>
                <w:b/>
                <w:bCs/>
                <w:color w:val="BE2A18"/>
                <w:sz w:val="20"/>
                <w:szCs w:val="20"/>
              </w:rPr>
              <w:t xml:space="preserve"> Cost per false alarm attendance </w:t>
            </w:r>
            <w:r w:rsidRPr="00503F5B">
              <w:rPr>
                <w:rStyle w:val="FootnoteReference"/>
                <w:b/>
                <w:bCs/>
                <w:color w:val="BE2A18"/>
                <w:sz w:val="20"/>
                <w:szCs w:val="20"/>
              </w:rPr>
              <w:footnoteReference w:id="180"/>
            </w:r>
          </w:p>
        </w:tc>
      </w:tr>
      <w:tr w:rsidR="00E04C6D" w:rsidRPr="00503F5B" w14:paraId="7C399617" w14:textId="77777777" w:rsidTr="00E04C6D">
        <w:trPr>
          <w:trHeight w:val="70"/>
          <w:jc w:val="center"/>
        </w:trPr>
        <w:tc>
          <w:tcPr>
            <w:tcW w:w="4812" w:type="dxa"/>
            <w:tcBorders>
              <w:top w:val="double" w:sz="4" w:space="0" w:color="ED7C5D"/>
            </w:tcBorders>
            <w:noWrap/>
            <w:hideMark/>
          </w:tcPr>
          <w:p w14:paraId="4A29133F" w14:textId="77777777" w:rsidR="00E04C6D" w:rsidRPr="00503F5B" w:rsidRDefault="00E04C6D" w:rsidP="00E04C6D">
            <w:pPr>
              <w:rPr>
                <w:b/>
                <w:sz w:val="20"/>
                <w:szCs w:val="20"/>
              </w:rPr>
            </w:pPr>
            <w:r w:rsidRPr="00503F5B">
              <w:rPr>
                <w:b/>
                <w:sz w:val="20"/>
                <w:szCs w:val="20"/>
              </w:rPr>
              <w:t>Direct costs</w:t>
            </w:r>
          </w:p>
        </w:tc>
        <w:tc>
          <w:tcPr>
            <w:tcW w:w="1567" w:type="dxa"/>
            <w:tcBorders>
              <w:top w:val="double" w:sz="4" w:space="0" w:color="ED7C5D"/>
            </w:tcBorders>
            <w:noWrap/>
            <w:hideMark/>
          </w:tcPr>
          <w:p w14:paraId="24D43673" w14:textId="77777777" w:rsidR="00E04C6D" w:rsidRPr="00503F5B" w:rsidRDefault="00E04C6D" w:rsidP="00E04C6D">
            <w:pPr>
              <w:jc w:val="both"/>
              <w:rPr>
                <w:sz w:val="20"/>
                <w:szCs w:val="20"/>
              </w:rPr>
            </w:pPr>
            <w:r w:rsidRPr="00503F5B">
              <w:rPr>
                <w:sz w:val="20"/>
                <w:szCs w:val="20"/>
              </w:rPr>
              <w:t> </w:t>
            </w:r>
          </w:p>
        </w:tc>
      </w:tr>
      <w:tr w:rsidR="00836DD0" w:rsidRPr="00503F5B" w14:paraId="3767BDCC" w14:textId="77777777" w:rsidTr="00836DD0">
        <w:trPr>
          <w:trHeight w:val="80"/>
          <w:jc w:val="center"/>
        </w:trPr>
        <w:tc>
          <w:tcPr>
            <w:tcW w:w="4812" w:type="dxa"/>
            <w:noWrap/>
            <w:hideMark/>
          </w:tcPr>
          <w:p w14:paraId="483FF906" w14:textId="77777777" w:rsidR="00836DD0" w:rsidRPr="00503F5B" w:rsidRDefault="00836DD0" w:rsidP="00836DD0">
            <w:pPr>
              <w:rPr>
                <w:sz w:val="20"/>
                <w:szCs w:val="20"/>
              </w:rPr>
            </w:pPr>
            <w:r w:rsidRPr="00503F5B">
              <w:rPr>
                <w:sz w:val="20"/>
                <w:szCs w:val="20"/>
              </w:rPr>
              <w:t>Appliance operational staffing</w:t>
            </w:r>
          </w:p>
        </w:tc>
        <w:tc>
          <w:tcPr>
            <w:tcW w:w="1567" w:type="dxa"/>
            <w:noWrap/>
            <w:hideMark/>
          </w:tcPr>
          <w:p w14:paraId="59414102" w14:textId="567475FE" w:rsidR="00836DD0" w:rsidRPr="00503F5B" w:rsidRDefault="00836DD0" w:rsidP="00836DD0">
            <w:pPr>
              <w:jc w:val="right"/>
              <w:rPr>
                <w:sz w:val="20"/>
                <w:szCs w:val="20"/>
              </w:rPr>
            </w:pPr>
            <w:r w:rsidRPr="00503F5B">
              <w:rPr>
                <w:sz w:val="20"/>
                <w:szCs w:val="20"/>
              </w:rPr>
              <w:t>$9,666</w:t>
            </w:r>
          </w:p>
        </w:tc>
      </w:tr>
      <w:tr w:rsidR="00836DD0" w:rsidRPr="00503F5B" w14:paraId="7A8C35D1" w14:textId="77777777" w:rsidTr="00836DD0">
        <w:trPr>
          <w:trHeight w:val="80"/>
          <w:jc w:val="center"/>
        </w:trPr>
        <w:tc>
          <w:tcPr>
            <w:tcW w:w="4812" w:type="dxa"/>
            <w:noWrap/>
            <w:hideMark/>
          </w:tcPr>
          <w:p w14:paraId="21E90D4F" w14:textId="77777777" w:rsidR="00836DD0" w:rsidRPr="00503F5B" w:rsidRDefault="00836DD0" w:rsidP="00836DD0">
            <w:pPr>
              <w:rPr>
                <w:sz w:val="20"/>
                <w:szCs w:val="20"/>
              </w:rPr>
            </w:pPr>
            <w:r w:rsidRPr="00503F5B">
              <w:rPr>
                <w:sz w:val="20"/>
                <w:szCs w:val="20"/>
              </w:rPr>
              <w:t>Appliance fuel</w:t>
            </w:r>
          </w:p>
        </w:tc>
        <w:tc>
          <w:tcPr>
            <w:tcW w:w="1567" w:type="dxa"/>
            <w:noWrap/>
            <w:hideMark/>
          </w:tcPr>
          <w:p w14:paraId="04B04D25" w14:textId="33CC35CF" w:rsidR="00836DD0" w:rsidRPr="00503F5B" w:rsidRDefault="00836DD0" w:rsidP="00836DD0">
            <w:pPr>
              <w:jc w:val="right"/>
              <w:rPr>
                <w:sz w:val="20"/>
                <w:szCs w:val="20"/>
              </w:rPr>
            </w:pPr>
            <w:r w:rsidRPr="00503F5B">
              <w:rPr>
                <w:sz w:val="20"/>
                <w:szCs w:val="20"/>
              </w:rPr>
              <w:t>$31</w:t>
            </w:r>
          </w:p>
        </w:tc>
      </w:tr>
      <w:tr w:rsidR="00836DD0" w:rsidRPr="00503F5B" w14:paraId="04F7E555" w14:textId="77777777" w:rsidTr="00836DD0">
        <w:trPr>
          <w:trHeight w:val="70"/>
          <w:jc w:val="center"/>
        </w:trPr>
        <w:tc>
          <w:tcPr>
            <w:tcW w:w="4812" w:type="dxa"/>
            <w:noWrap/>
            <w:hideMark/>
          </w:tcPr>
          <w:p w14:paraId="6FF987A9" w14:textId="77777777" w:rsidR="00836DD0" w:rsidRPr="00503F5B" w:rsidRDefault="00836DD0" w:rsidP="00836DD0">
            <w:pPr>
              <w:rPr>
                <w:sz w:val="20"/>
                <w:szCs w:val="20"/>
              </w:rPr>
            </w:pPr>
            <w:r w:rsidRPr="00503F5B">
              <w:rPr>
                <w:sz w:val="20"/>
                <w:szCs w:val="20"/>
              </w:rPr>
              <w:t>Appliance maintenance</w:t>
            </w:r>
          </w:p>
        </w:tc>
        <w:tc>
          <w:tcPr>
            <w:tcW w:w="1567" w:type="dxa"/>
            <w:noWrap/>
            <w:hideMark/>
          </w:tcPr>
          <w:p w14:paraId="52D65E99" w14:textId="75D6F994" w:rsidR="00836DD0" w:rsidRPr="00503F5B" w:rsidRDefault="00836DD0" w:rsidP="00836DD0">
            <w:pPr>
              <w:jc w:val="right"/>
              <w:rPr>
                <w:sz w:val="20"/>
                <w:szCs w:val="20"/>
              </w:rPr>
            </w:pPr>
            <w:r w:rsidRPr="00503F5B">
              <w:rPr>
                <w:sz w:val="20"/>
                <w:szCs w:val="20"/>
              </w:rPr>
              <w:t>$218</w:t>
            </w:r>
          </w:p>
        </w:tc>
      </w:tr>
      <w:tr w:rsidR="00836DD0" w:rsidRPr="00503F5B" w14:paraId="7C5368CF" w14:textId="77777777" w:rsidTr="00836DD0">
        <w:trPr>
          <w:trHeight w:val="260"/>
          <w:jc w:val="center"/>
        </w:trPr>
        <w:tc>
          <w:tcPr>
            <w:tcW w:w="4812" w:type="dxa"/>
            <w:tcBorders>
              <w:bottom w:val="single" w:sz="4" w:space="0" w:color="ED7C5D"/>
            </w:tcBorders>
            <w:noWrap/>
            <w:hideMark/>
          </w:tcPr>
          <w:p w14:paraId="3525A7E0" w14:textId="77777777" w:rsidR="00836DD0" w:rsidRPr="00503F5B" w:rsidRDefault="00836DD0" w:rsidP="00836DD0">
            <w:pPr>
              <w:rPr>
                <w:sz w:val="20"/>
                <w:szCs w:val="20"/>
              </w:rPr>
            </w:pPr>
            <w:r w:rsidRPr="00503F5B">
              <w:rPr>
                <w:sz w:val="20"/>
                <w:szCs w:val="20"/>
              </w:rPr>
              <w:t>Appliance fee</w:t>
            </w:r>
          </w:p>
        </w:tc>
        <w:tc>
          <w:tcPr>
            <w:tcW w:w="1567" w:type="dxa"/>
            <w:tcBorders>
              <w:bottom w:val="single" w:sz="4" w:space="0" w:color="ED7C5D"/>
            </w:tcBorders>
            <w:noWrap/>
            <w:hideMark/>
          </w:tcPr>
          <w:p w14:paraId="00A6067C" w14:textId="317C9EE5" w:rsidR="00836DD0" w:rsidRPr="00503F5B" w:rsidRDefault="00836DD0" w:rsidP="00836DD0">
            <w:pPr>
              <w:jc w:val="right"/>
              <w:rPr>
                <w:sz w:val="20"/>
                <w:szCs w:val="20"/>
              </w:rPr>
            </w:pPr>
            <w:r w:rsidRPr="00503F5B">
              <w:rPr>
                <w:sz w:val="20"/>
                <w:szCs w:val="20"/>
              </w:rPr>
              <w:t>$11</w:t>
            </w:r>
          </w:p>
        </w:tc>
      </w:tr>
      <w:tr w:rsidR="00836DD0" w:rsidRPr="00503F5B" w14:paraId="17097312" w14:textId="77777777" w:rsidTr="00836DD0">
        <w:trPr>
          <w:trHeight w:val="70"/>
          <w:jc w:val="center"/>
        </w:trPr>
        <w:tc>
          <w:tcPr>
            <w:tcW w:w="4812" w:type="dxa"/>
            <w:tcBorders>
              <w:top w:val="single" w:sz="4" w:space="0" w:color="ED7C5D"/>
              <w:bottom w:val="single" w:sz="4" w:space="0" w:color="ED7C5D"/>
            </w:tcBorders>
            <w:noWrap/>
            <w:hideMark/>
          </w:tcPr>
          <w:p w14:paraId="26E8BC05" w14:textId="77777777" w:rsidR="00836DD0" w:rsidRPr="00503F5B" w:rsidRDefault="00836DD0" w:rsidP="00836DD0">
            <w:pPr>
              <w:rPr>
                <w:b/>
                <w:sz w:val="20"/>
                <w:szCs w:val="20"/>
              </w:rPr>
            </w:pPr>
            <w:r w:rsidRPr="00503F5B">
              <w:rPr>
                <w:b/>
                <w:sz w:val="20"/>
                <w:szCs w:val="20"/>
              </w:rPr>
              <w:t>Sub-total direct cost per attendance</w:t>
            </w:r>
          </w:p>
        </w:tc>
        <w:tc>
          <w:tcPr>
            <w:tcW w:w="1567" w:type="dxa"/>
            <w:tcBorders>
              <w:top w:val="single" w:sz="4" w:space="0" w:color="ED7C5D"/>
              <w:bottom w:val="single" w:sz="4" w:space="0" w:color="ED7C5D"/>
            </w:tcBorders>
            <w:noWrap/>
            <w:hideMark/>
          </w:tcPr>
          <w:p w14:paraId="4981E3B5" w14:textId="3747A624" w:rsidR="00836DD0" w:rsidRPr="00503F5B" w:rsidRDefault="00836DD0" w:rsidP="00836DD0">
            <w:pPr>
              <w:jc w:val="right"/>
              <w:rPr>
                <w:b/>
                <w:bCs/>
                <w:sz w:val="20"/>
                <w:szCs w:val="20"/>
              </w:rPr>
            </w:pPr>
            <w:r w:rsidRPr="00503F5B">
              <w:rPr>
                <w:b/>
                <w:bCs/>
                <w:sz w:val="20"/>
                <w:szCs w:val="20"/>
              </w:rPr>
              <w:t>$9,927</w:t>
            </w:r>
          </w:p>
        </w:tc>
      </w:tr>
      <w:tr w:rsidR="00836DD0" w:rsidRPr="00503F5B" w14:paraId="03718544" w14:textId="77777777" w:rsidTr="00836DD0">
        <w:trPr>
          <w:trHeight w:val="70"/>
          <w:jc w:val="center"/>
        </w:trPr>
        <w:tc>
          <w:tcPr>
            <w:tcW w:w="4812" w:type="dxa"/>
            <w:tcBorders>
              <w:top w:val="single" w:sz="4" w:space="0" w:color="ED7C5D"/>
            </w:tcBorders>
            <w:noWrap/>
            <w:hideMark/>
          </w:tcPr>
          <w:p w14:paraId="6090249F" w14:textId="77777777" w:rsidR="00836DD0" w:rsidRPr="00503F5B" w:rsidRDefault="00836DD0" w:rsidP="00836DD0">
            <w:pPr>
              <w:rPr>
                <w:b/>
                <w:sz w:val="20"/>
                <w:szCs w:val="20"/>
              </w:rPr>
            </w:pPr>
            <w:r w:rsidRPr="00503F5B">
              <w:rPr>
                <w:b/>
                <w:sz w:val="20"/>
                <w:szCs w:val="20"/>
              </w:rPr>
              <w:t>Indirect costs</w:t>
            </w:r>
          </w:p>
        </w:tc>
        <w:tc>
          <w:tcPr>
            <w:tcW w:w="1567" w:type="dxa"/>
            <w:tcBorders>
              <w:top w:val="single" w:sz="4" w:space="0" w:color="ED7C5D"/>
            </w:tcBorders>
            <w:noWrap/>
            <w:hideMark/>
          </w:tcPr>
          <w:p w14:paraId="14D9D29D" w14:textId="4D388084" w:rsidR="00836DD0" w:rsidRPr="00503F5B" w:rsidRDefault="00836DD0" w:rsidP="00836DD0">
            <w:pPr>
              <w:jc w:val="right"/>
              <w:rPr>
                <w:sz w:val="20"/>
                <w:szCs w:val="20"/>
              </w:rPr>
            </w:pPr>
            <w:r w:rsidRPr="00503F5B">
              <w:rPr>
                <w:sz w:val="20"/>
                <w:szCs w:val="20"/>
              </w:rPr>
              <w:t>$0</w:t>
            </w:r>
          </w:p>
        </w:tc>
      </w:tr>
      <w:tr w:rsidR="00836DD0" w:rsidRPr="00503F5B" w14:paraId="13DF4C30" w14:textId="77777777" w:rsidTr="00836DD0">
        <w:trPr>
          <w:trHeight w:val="70"/>
          <w:jc w:val="center"/>
        </w:trPr>
        <w:tc>
          <w:tcPr>
            <w:tcW w:w="4812" w:type="dxa"/>
            <w:noWrap/>
            <w:hideMark/>
          </w:tcPr>
          <w:p w14:paraId="351225F8" w14:textId="77777777" w:rsidR="00836DD0" w:rsidRPr="00503F5B" w:rsidRDefault="00836DD0" w:rsidP="00836DD0">
            <w:pPr>
              <w:rPr>
                <w:sz w:val="20"/>
                <w:szCs w:val="20"/>
              </w:rPr>
            </w:pPr>
            <w:r w:rsidRPr="00503F5B">
              <w:rPr>
                <w:sz w:val="20"/>
                <w:szCs w:val="20"/>
              </w:rPr>
              <w:t>Overtime and allowances for station personnel</w:t>
            </w:r>
          </w:p>
        </w:tc>
        <w:tc>
          <w:tcPr>
            <w:tcW w:w="1567" w:type="dxa"/>
            <w:noWrap/>
            <w:hideMark/>
          </w:tcPr>
          <w:p w14:paraId="144771A4" w14:textId="27188B4A" w:rsidR="00836DD0" w:rsidRPr="00503F5B" w:rsidRDefault="00836DD0" w:rsidP="00836DD0">
            <w:pPr>
              <w:jc w:val="right"/>
              <w:rPr>
                <w:sz w:val="20"/>
                <w:szCs w:val="20"/>
              </w:rPr>
            </w:pPr>
            <w:r w:rsidRPr="00503F5B">
              <w:rPr>
                <w:sz w:val="20"/>
                <w:szCs w:val="20"/>
              </w:rPr>
              <w:t>$1,465</w:t>
            </w:r>
          </w:p>
        </w:tc>
      </w:tr>
      <w:tr w:rsidR="00836DD0" w:rsidRPr="00503F5B" w14:paraId="4871EA95" w14:textId="77777777" w:rsidTr="00836DD0">
        <w:trPr>
          <w:trHeight w:val="70"/>
          <w:jc w:val="center"/>
        </w:trPr>
        <w:tc>
          <w:tcPr>
            <w:tcW w:w="4812" w:type="dxa"/>
            <w:noWrap/>
            <w:hideMark/>
          </w:tcPr>
          <w:p w14:paraId="787A9C55" w14:textId="77777777" w:rsidR="00836DD0" w:rsidRPr="00503F5B" w:rsidRDefault="00836DD0" w:rsidP="00836DD0">
            <w:pPr>
              <w:rPr>
                <w:sz w:val="20"/>
                <w:szCs w:val="20"/>
              </w:rPr>
            </w:pPr>
            <w:r w:rsidRPr="00503F5B">
              <w:rPr>
                <w:sz w:val="20"/>
                <w:szCs w:val="20"/>
              </w:rPr>
              <w:t>Personal protective equipment</w:t>
            </w:r>
          </w:p>
        </w:tc>
        <w:tc>
          <w:tcPr>
            <w:tcW w:w="1567" w:type="dxa"/>
            <w:noWrap/>
            <w:hideMark/>
          </w:tcPr>
          <w:p w14:paraId="12CC7359" w14:textId="0309244B" w:rsidR="00836DD0" w:rsidRPr="00503F5B" w:rsidRDefault="00836DD0" w:rsidP="00836DD0">
            <w:pPr>
              <w:jc w:val="right"/>
              <w:rPr>
                <w:sz w:val="20"/>
                <w:szCs w:val="20"/>
              </w:rPr>
            </w:pPr>
            <w:r w:rsidRPr="00503F5B">
              <w:rPr>
                <w:sz w:val="20"/>
                <w:szCs w:val="20"/>
              </w:rPr>
              <w:t>$93</w:t>
            </w:r>
          </w:p>
        </w:tc>
      </w:tr>
      <w:tr w:rsidR="00836DD0" w:rsidRPr="00503F5B" w14:paraId="68B0CD65" w14:textId="77777777" w:rsidTr="00836DD0">
        <w:trPr>
          <w:trHeight w:val="70"/>
          <w:jc w:val="center"/>
        </w:trPr>
        <w:tc>
          <w:tcPr>
            <w:tcW w:w="4812" w:type="dxa"/>
            <w:noWrap/>
            <w:hideMark/>
          </w:tcPr>
          <w:p w14:paraId="55413A62" w14:textId="77777777" w:rsidR="00836DD0" w:rsidRPr="00503F5B" w:rsidRDefault="00836DD0" w:rsidP="00836DD0">
            <w:pPr>
              <w:rPr>
                <w:sz w:val="20"/>
                <w:szCs w:val="20"/>
              </w:rPr>
            </w:pPr>
            <w:r w:rsidRPr="00503F5B">
              <w:rPr>
                <w:sz w:val="20"/>
                <w:szCs w:val="20"/>
              </w:rPr>
              <w:t>Training</w:t>
            </w:r>
          </w:p>
        </w:tc>
        <w:tc>
          <w:tcPr>
            <w:tcW w:w="1567" w:type="dxa"/>
            <w:noWrap/>
            <w:hideMark/>
          </w:tcPr>
          <w:p w14:paraId="42699CCA" w14:textId="7DA0C5DD" w:rsidR="00836DD0" w:rsidRPr="00503F5B" w:rsidRDefault="00836DD0" w:rsidP="00836DD0">
            <w:pPr>
              <w:jc w:val="right"/>
              <w:rPr>
                <w:sz w:val="20"/>
                <w:szCs w:val="20"/>
              </w:rPr>
            </w:pPr>
            <w:r w:rsidRPr="00503F5B">
              <w:rPr>
                <w:sz w:val="20"/>
                <w:szCs w:val="20"/>
              </w:rPr>
              <w:t>$24</w:t>
            </w:r>
          </w:p>
        </w:tc>
      </w:tr>
      <w:tr w:rsidR="00836DD0" w:rsidRPr="00503F5B" w14:paraId="0C05D199" w14:textId="77777777" w:rsidTr="00836DD0">
        <w:trPr>
          <w:trHeight w:val="70"/>
          <w:jc w:val="center"/>
        </w:trPr>
        <w:tc>
          <w:tcPr>
            <w:tcW w:w="4812" w:type="dxa"/>
            <w:tcBorders>
              <w:bottom w:val="single" w:sz="4" w:space="0" w:color="ED7C5D"/>
            </w:tcBorders>
            <w:noWrap/>
            <w:hideMark/>
          </w:tcPr>
          <w:p w14:paraId="61C477A0" w14:textId="77777777" w:rsidR="00836DD0" w:rsidRPr="00503F5B" w:rsidRDefault="00836DD0" w:rsidP="00836DD0">
            <w:pPr>
              <w:rPr>
                <w:sz w:val="20"/>
                <w:szCs w:val="20"/>
              </w:rPr>
            </w:pPr>
            <w:r w:rsidRPr="00503F5B">
              <w:rPr>
                <w:sz w:val="20"/>
                <w:szCs w:val="20"/>
              </w:rPr>
              <w:t>Administrative support</w:t>
            </w:r>
          </w:p>
        </w:tc>
        <w:tc>
          <w:tcPr>
            <w:tcW w:w="1567" w:type="dxa"/>
            <w:tcBorders>
              <w:bottom w:val="single" w:sz="4" w:space="0" w:color="ED7C5D"/>
            </w:tcBorders>
            <w:noWrap/>
            <w:hideMark/>
          </w:tcPr>
          <w:p w14:paraId="492E3075" w14:textId="1F7C68B7" w:rsidR="00836DD0" w:rsidRPr="00503F5B" w:rsidRDefault="00836DD0" w:rsidP="00836DD0">
            <w:pPr>
              <w:jc w:val="right"/>
              <w:rPr>
                <w:sz w:val="20"/>
                <w:szCs w:val="20"/>
              </w:rPr>
            </w:pPr>
            <w:r w:rsidRPr="00503F5B">
              <w:rPr>
                <w:sz w:val="20"/>
                <w:szCs w:val="20"/>
              </w:rPr>
              <w:t>$1,730</w:t>
            </w:r>
          </w:p>
        </w:tc>
      </w:tr>
      <w:tr w:rsidR="00836DD0" w:rsidRPr="00503F5B" w14:paraId="7C2BF54A" w14:textId="77777777" w:rsidTr="00836DD0">
        <w:trPr>
          <w:trHeight w:val="70"/>
          <w:jc w:val="center"/>
        </w:trPr>
        <w:tc>
          <w:tcPr>
            <w:tcW w:w="4812" w:type="dxa"/>
            <w:tcBorders>
              <w:top w:val="single" w:sz="4" w:space="0" w:color="ED7C5D"/>
              <w:bottom w:val="single" w:sz="4" w:space="0" w:color="ED7C5D"/>
            </w:tcBorders>
            <w:noWrap/>
            <w:hideMark/>
          </w:tcPr>
          <w:p w14:paraId="56468CEF" w14:textId="77777777" w:rsidR="00836DD0" w:rsidRPr="00503F5B" w:rsidRDefault="00836DD0" w:rsidP="00836DD0">
            <w:pPr>
              <w:rPr>
                <w:b/>
                <w:sz w:val="20"/>
                <w:szCs w:val="20"/>
              </w:rPr>
            </w:pPr>
            <w:r w:rsidRPr="00503F5B">
              <w:rPr>
                <w:b/>
                <w:sz w:val="20"/>
                <w:szCs w:val="20"/>
              </w:rPr>
              <w:t>Sub-total indirect cost per attendance</w:t>
            </w:r>
          </w:p>
        </w:tc>
        <w:tc>
          <w:tcPr>
            <w:tcW w:w="1567" w:type="dxa"/>
            <w:tcBorders>
              <w:top w:val="single" w:sz="4" w:space="0" w:color="ED7C5D"/>
              <w:bottom w:val="single" w:sz="4" w:space="0" w:color="ED7C5D"/>
            </w:tcBorders>
            <w:noWrap/>
            <w:hideMark/>
          </w:tcPr>
          <w:p w14:paraId="6B99890F" w14:textId="16AF155C" w:rsidR="00836DD0" w:rsidRPr="00503F5B" w:rsidRDefault="00836DD0" w:rsidP="00836DD0">
            <w:pPr>
              <w:jc w:val="right"/>
              <w:rPr>
                <w:b/>
                <w:bCs/>
                <w:sz w:val="20"/>
                <w:szCs w:val="20"/>
              </w:rPr>
            </w:pPr>
            <w:r w:rsidRPr="00503F5B">
              <w:rPr>
                <w:b/>
                <w:bCs/>
                <w:sz w:val="20"/>
                <w:szCs w:val="20"/>
              </w:rPr>
              <w:t>$3,312</w:t>
            </w:r>
          </w:p>
        </w:tc>
      </w:tr>
      <w:tr w:rsidR="00836DD0" w:rsidRPr="00503F5B" w14:paraId="08C444F3" w14:textId="77777777" w:rsidTr="00836DD0">
        <w:trPr>
          <w:trHeight w:val="80"/>
          <w:jc w:val="center"/>
        </w:trPr>
        <w:tc>
          <w:tcPr>
            <w:tcW w:w="4812" w:type="dxa"/>
            <w:tcBorders>
              <w:top w:val="single" w:sz="4" w:space="0" w:color="ED7C5D"/>
              <w:bottom w:val="single" w:sz="4" w:space="0" w:color="ED7C5D"/>
            </w:tcBorders>
            <w:noWrap/>
            <w:hideMark/>
          </w:tcPr>
          <w:p w14:paraId="3D6E0701" w14:textId="77777777" w:rsidR="00836DD0" w:rsidRPr="00503F5B" w:rsidRDefault="00836DD0" w:rsidP="00836DD0">
            <w:pPr>
              <w:rPr>
                <w:b/>
                <w:bCs/>
                <w:i/>
                <w:sz w:val="20"/>
                <w:szCs w:val="20"/>
              </w:rPr>
            </w:pPr>
            <w:r w:rsidRPr="00503F5B">
              <w:rPr>
                <w:b/>
                <w:bCs/>
                <w:i/>
                <w:sz w:val="20"/>
                <w:szCs w:val="20"/>
              </w:rPr>
              <w:t>Total direct and indirect cost per attendance</w:t>
            </w:r>
          </w:p>
        </w:tc>
        <w:tc>
          <w:tcPr>
            <w:tcW w:w="1567" w:type="dxa"/>
            <w:tcBorders>
              <w:top w:val="single" w:sz="4" w:space="0" w:color="ED7C5D"/>
              <w:bottom w:val="single" w:sz="4" w:space="0" w:color="ED7C5D"/>
            </w:tcBorders>
            <w:noWrap/>
            <w:hideMark/>
          </w:tcPr>
          <w:p w14:paraId="410F733A" w14:textId="6FD3EE8F" w:rsidR="00836DD0" w:rsidRPr="00503F5B" w:rsidRDefault="00836DD0" w:rsidP="00836DD0">
            <w:pPr>
              <w:jc w:val="right"/>
              <w:rPr>
                <w:b/>
                <w:bCs/>
                <w:i/>
                <w:iCs/>
                <w:sz w:val="20"/>
                <w:szCs w:val="20"/>
              </w:rPr>
            </w:pPr>
            <w:r w:rsidRPr="00503F5B">
              <w:rPr>
                <w:b/>
                <w:bCs/>
                <w:i/>
                <w:iCs/>
                <w:sz w:val="20"/>
                <w:szCs w:val="20"/>
              </w:rPr>
              <w:t>$13,239</w:t>
            </w:r>
          </w:p>
        </w:tc>
      </w:tr>
      <w:bookmarkEnd w:id="255"/>
    </w:tbl>
    <w:p w14:paraId="6C95DFB0" w14:textId="77777777" w:rsidR="00E04C6D" w:rsidRPr="00503F5B" w:rsidRDefault="00E04C6D" w:rsidP="00E04C6D">
      <w:pPr>
        <w:jc w:val="both"/>
      </w:pPr>
      <w:r w:rsidRPr="00503F5B">
        <w:br w:type="page"/>
      </w:r>
    </w:p>
    <w:p w14:paraId="4CB352BB" w14:textId="77777777" w:rsidR="00E04C6D" w:rsidRPr="00503F5B" w:rsidRDefault="00E04C6D" w:rsidP="0080683B">
      <w:pPr>
        <w:pStyle w:val="Heading1"/>
      </w:pPr>
      <w:bookmarkStart w:id="256" w:name="_Toc457772566"/>
      <w:bookmarkStart w:id="257" w:name="_Toc35804165"/>
      <w:bookmarkStart w:id="258" w:name="_Toc35804659"/>
      <w:bookmarkStart w:id="259" w:name="_Toc35812703"/>
      <w:r w:rsidRPr="00503F5B">
        <w:lastRenderedPageBreak/>
        <w:t>Appendix 2 – Cost</w:t>
      </w:r>
      <w:bookmarkEnd w:id="256"/>
      <w:r w:rsidRPr="00503F5B">
        <w:t xml:space="preserve"> estimate of false alarm emergency attendance by CFA integrated stations</w:t>
      </w:r>
      <w:bookmarkEnd w:id="257"/>
      <w:bookmarkEnd w:id="258"/>
      <w:bookmarkEnd w:id="259"/>
    </w:p>
    <w:p w14:paraId="1679AA13" w14:textId="30E5D303" w:rsidR="00E04C6D" w:rsidRPr="00503F5B" w:rsidRDefault="00E04C6D" w:rsidP="00E04C6D">
      <w:pPr>
        <w:jc w:val="both"/>
      </w:pPr>
      <w:r w:rsidRPr="00503F5B">
        <w:t>Appendix 2 estimates the level of cost attributable to false alarm emergency attendances by CFA integrated stations.</w:t>
      </w:r>
      <w:r w:rsidR="00EA4B91" w:rsidRPr="00503F5B">
        <w:t xml:space="preserve"> </w:t>
      </w:r>
    </w:p>
    <w:p w14:paraId="547E6215" w14:textId="77777777" w:rsidR="00E04C6D" w:rsidRPr="00503F5B" w:rsidRDefault="00E04C6D" w:rsidP="00E04C6D">
      <w:pPr>
        <w:pStyle w:val="Heading2"/>
      </w:pPr>
      <w:bookmarkStart w:id="260" w:name="_Toc35804166"/>
      <w:bookmarkStart w:id="261" w:name="_Toc35804660"/>
      <w:bookmarkStart w:id="262" w:name="_Toc35812704"/>
      <w:r w:rsidRPr="00503F5B">
        <w:t>A2.1 Total annual direct costs of emergency attendances by CFA integrated stations with and without false alarms – 2018-19</w:t>
      </w:r>
      <w:bookmarkEnd w:id="260"/>
      <w:bookmarkEnd w:id="261"/>
      <w:bookmarkEnd w:id="262"/>
    </w:p>
    <w:p w14:paraId="0F85AEE7" w14:textId="77777777" w:rsidR="00E04C6D" w:rsidRPr="00503F5B" w:rsidRDefault="00E04C6D" w:rsidP="00F94B17">
      <w:pPr>
        <w:pStyle w:val="Heading3"/>
      </w:pPr>
      <w:bookmarkStart w:id="263" w:name="_Toc35804167"/>
      <w:bookmarkStart w:id="264" w:name="_Toc35804661"/>
      <w:bookmarkStart w:id="265" w:name="_Toc35812705"/>
      <w:r w:rsidRPr="00503F5B">
        <w:t>A2.1.1 Total direct appliance costs CFA integrated stations</w:t>
      </w:r>
      <w:bookmarkEnd w:id="263"/>
      <w:bookmarkEnd w:id="264"/>
      <w:bookmarkEnd w:id="265"/>
    </w:p>
    <w:p w14:paraId="16937D48" w14:textId="77777777" w:rsidR="00E04C6D" w:rsidRPr="00503F5B" w:rsidRDefault="00E04C6D" w:rsidP="00E04C6D">
      <w:pPr>
        <w:jc w:val="both"/>
      </w:pPr>
    </w:p>
    <w:p w14:paraId="3339F0D3" w14:textId="25DEC5FF" w:rsidR="00E04C6D" w:rsidRPr="00503F5B" w:rsidRDefault="00E04C6D" w:rsidP="00E04C6D">
      <w:pPr>
        <w:jc w:val="both"/>
      </w:pPr>
      <w:r w:rsidRPr="00503F5B">
        <w:t xml:space="preserve">Total appliance costs are given by </w:t>
      </w:r>
      <w:r w:rsidR="00B36EEE" w:rsidRPr="00503F5B">
        <w:t>CFA</w:t>
      </w:r>
      <w:r w:rsidRPr="00503F5B">
        <w:t xml:space="preserve"> as</w:t>
      </w:r>
      <w:r w:rsidRPr="00503F5B">
        <w:rPr>
          <w:b/>
          <w:bCs/>
          <w:i/>
          <w:iCs/>
        </w:rPr>
        <w:t xml:space="preserve"> $1,800,888</w:t>
      </w:r>
      <w:r w:rsidRPr="00503F5B">
        <w:t xml:space="preserve"> and are summarised in Table A2.1.  These costs relate to 65 appliances available to respond (on the road) and 6 spare appliances – a maximum of 71 appliances</w:t>
      </w:r>
      <w:r w:rsidRPr="00503F5B">
        <w:rPr>
          <w:rStyle w:val="FootnoteReference"/>
        </w:rPr>
        <w:footnoteReference w:id="181"/>
      </w:r>
      <w:r w:rsidRPr="00503F5B">
        <w:t xml:space="preserve"> for CFA integrated stations.</w:t>
      </w:r>
    </w:p>
    <w:p w14:paraId="50D894EF" w14:textId="77777777" w:rsidR="00E04C6D" w:rsidRPr="00503F5B" w:rsidRDefault="00E04C6D" w:rsidP="00E04C6D">
      <w:pPr>
        <w:jc w:val="both"/>
      </w:pPr>
    </w:p>
    <w:p w14:paraId="1FD67D34" w14:textId="77777777" w:rsidR="00E04C6D" w:rsidRPr="00503F5B" w:rsidRDefault="00E04C6D" w:rsidP="00E04C6D">
      <w:pPr>
        <w:jc w:val="center"/>
        <w:rPr>
          <w:b/>
          <w:sz w:val="20"/>
          <w:szCs w:val="20"/>
        </w:rPr>
      </w:pPr>
      <w:r w:rsidRPr="00503F5B">
        <w:rPr>
          <w:b/>
          <w:sz w:val="20"/>
          <w:szCs w:val="20"/>
        </w:rPr>
        <w:t>Table A2.1: Total direct annual appliance costs for emergency attendances for CFA integrated stations with and without false alarms – 2018-19</w:t>
      </w:r>
    </w:p>
    <w:p w14:paraId="028DE858" w14:textId="77777777" w:rsidR="00E04C6D" w:rsidRPr="00503F5B" w:rsidRDefault="00E04C6D" w:rsidP="00E04C6D">
      <w:pPr>
        <w:jc w:val="both"/>
      </w:pPr>
    </w:p>
    <w:tbl>
      <w:tblPr>
        <w:tblW w:w="5372" w:type="dxa"/>
        <w:jc w:val="center"/>
        <w:tblLook w:val="04A0" w:firstRow="1" w:lastRow="0" w:firstColumn="1" w:lastColumn="0" w:noHBand="0" w:noVBand="1"/>
      </w:tblPr>
      <w:tblGrid>
        <w:gridCol w:w="3969"/>
        <w:gridCol w:w="1403"/>
      </w:tblGrid>
      <w:tr w:rsidR="00E04C6D" w:rsidRPr="00503F5B" w14:paraId="050E5A14" w14:textId="77777777" w:rsidTr="00872971">
        <w:trPr>
          <w:trHeight w:val="300"/>
          <w:jc w:val="center"/>
        </w:trPr>
        <w:tc>
          <w:tcPr>
            <w:tcW w:w="3969" w:type="dxa"/>
            <w:tcBorders>
              <w:top w:val="single" w:sz="4" w:space="0" w:color="ED7C5D"/>
              <w:bottom w:val="double" w:sz="4" w:space="0" w:color="ED7C5D"/>
            </w:tcBorders>
            <w:noWrap/>
          </w:tcPr>
          <w:p w14:paraId="19173124" w14:textId="77777777" w:rsidR="00E04C6D" w:rsidRPr="00503F5B" w:rsidRDefault="00E04C6D" w:rsidP="00E04C6D">
            <w:pPr>
              <w:rPr>
                <w:rFonts w:eastAsia="Times New Roman" w:cs="Calibri"/>
                <w:b/>
                <w:bCs/>
                <w:color w:val="BE2A18"/>
                <w:lang w:eastAsia="en-AU"/>
              </w:rPr>
            </w:pPr>
            <w:r w:rsidRPr="00503F5B">
              <w:rPr>
                <w:b/>
                <w:bCs/>
                <w:color w:val="BE2A18"/>
                <w:sz w:val="20"/>
                <w:szCs w:val="20"/>
              </w:rPr>
              <w:t>Direct appliance cost category</w:t>
            </w:r>
          </w:p>
        </w:tc>
        <w:tc>
          <w:tcPr>
            <w:tcW w:w="1403" w:type="dxa"/>
            <w:tcBorders>
              <w:top w:val="single" w:sz="4" w:space="0" w:color="ED7C5D"/>
              <w:bottom w:val="double" w:sz="4" w:space="0" w:color="ED7C5D"/>
            </w:tcBorders>
            <w:noWrap/>
          </w:tcPr>
          <w:p w14:paraId="29C4FC43" w14:textId="77777777" w:rsidR="00E04C6D" w:rsidRPr="00503F5B" w:rsidRDefault="00E04C6D" w:rsidP="00E04C6D">
            <w:pPr>
              <w:jc w:val="right"/>
              <w:rPr>
                <w:rFonts w:eastAsia="Times New Roman" w:cs="Calibri"/>
                <w:color w:val="auto"/>
                <w:lang w:eastAsia="en-AU"/>
              </w:rPr>
            </w:pPr>
            <w:r w:rsidRPr="00503F5B">
              <w:rPr>
                <w:b/>
                <w:bCs/>
                <w:color w:val="BE2A18"/>
                <w:sz w:val="20"/>
                <w:szCs w:val="20"/>
              </w:rPr>
              <w:t>Annual cost</w:t>
            </w:r>
            <w:r w:rsidRPr="00503F5B">
              <w:rPr>
                <w:rStyle w:val="FootnoteReference"/>
                <w:b/>
                <w:bCs/>
                <w:color w:val="BE2A18"/>
                <w:sz w:val="20"/>
                <w:szCs w:val="20"/>
              </w:rPr>
              <w:footnoteReference w:id="182"/>
            </w:r>
          </w:p>
        </w:tc>
      </w:tr>
      <w:tr w:rsidR="00E04C6D" w:rsidRPr="00503F5B" w14:paraId="0812F0B0" w14:textId="77777777" w:rsidTr="00872971">
        <w:trPr>
          <w:trHeight w:val="50"/>
          <w:jc w:val="center"/>
        </w:trPr>
        <w:tc>
          <w:tcPr>
            <w:tcW w:w="3969" w:type="dxa"/>
            <w:tcBorders>
              <w:top w:val="double" w:sz="4" w:space="0" w:color="ED7C5D"/>
            </w:tcBorders>
            <w:noWrap/>
            <w:hideMark/>
          </w:tcPr>
          <w:p w14:paraId="12A26C89" w14:textId="77777777" w:rsidR="00E04C6D" w:rsidRPr="00503F5B" w:rsidRDefault="00E04C6D" w:rsidP="00E04C6D">
            <w:pPr>
              <w:rPr>
                <w:rFonts w:eastAsia="Times New Roman" w:cs="Calibri"/>
                <w:color w:val="auto"/>
                <w:sz w:val="20"/>
                <w:szCs w:val="20"/>
                <w:lang w:eastAsia="en-AU"/>
              </w:rPr>
            </w:pPr>
            <w:r w:rsidRPr="00503F5B">
              <w:rPr>
                <w:rFonts w:eastAsia="Times New Roman" w:cs="Calibri"/>
                <w:color w:val="auto"/>
                <w:sz w:val="20"/>
                <w:szCs w:val="20"/>
                <w:lang w:eastAsia="en-AU"/>
              </w:rPr>
              <w:t>Appliance maintenance and support</w:t>
            </w:r>
          </w:p>
        </w:tc>
        <w:tc>
          <w:tcPr>
            <w:tcW w:w="1403" w:type="dxa"/>
            <w:tcBorders>
              <w:top w:val="double" w:sz="4" w:space="0" w:color="ED7C5D"/>
            </w:tcBorders>
            <w:noWrap/>
            <w:hideMark/>
          </w:tcPr>
          <w:p w14:paraId="7C2A913E" w14:textId="77777777" w:rsidR="00E04C6D" w:rsidRPr="00503F5B" w:rsidRDefault="00E04C6D" w:rsidP="00E04C6D">
            <w:pPr>
              <w:jc w:val="right"/>
              <w:rPr>
                <w:rFonts w:eastAsia="Times New Roman" w:cs="Calibri"/>
                <w:color w:val="auto"/>
                <w:sz w:val="20"/>
                <w:szCs w:val="20"/>
                <w:lang w:eastAsia="en-AU"/>
              </w:rPr>
            </w:pPr>
            <w:r w:rsidRPr="00503F5B">
              <w:rPr>
                <w:rFonts w:eastAsia="Times New Roman" w:cs="Calibri"/>
                <w:color w:val="auto"/>
                <w:sz w:val="20"/>
                <w:szCs w:val="20"/>
                <w:lang w:eastAsia="en-AU"/>
              </w:rPr>
              <w:t>$1,179,097</w:t>
            </w:r>
          </w:p>
        </w:tc>
      </w:tr>
      <w:tr w:rsidR="00E04C6D" w:rsidRPr="00503F5B" w14:paraId="6EA45910" w14:textId="77777777" w:rsidTr="00E04C6D">
        <w:trPr>
          <w:trHeight w:val="80"/>
          <w:jc w:val="center"/>
        </w:trPr>
        <w:tc>
          <w:tcPr>
            <w:tcW w:w="3969" w:type="dxa"/>
            <w:noWrap/>
            <w:hideMark/>
          </w:tcPr>
          <w:p w14:paraId="59A83879"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Appliance licencing</w:t>
            </w:r>
          </w:p>
        </w:tc>
        <w:tc>
          <w:tcPr>
            <w:tcW w:w="1403" w:type="dxa"/>
            <w:noWrap/>
            <w:hideMark/>
          </w:tcPr>
          <w:p w14:paraId="258B5E10" w14:textId="77777777" w:rsidR="00E04C6D" w:rsidRPr="00503F5B" w:rsidRDefault="00E04C6D" w:rsidP="00E04C6D">
            <w:pPr>
              <w:jc w:val="right"/>
              <w:rPr>
                <w:rFonts w:eastAsia="Times New Roman" w:cs="Calibri"/>
                <w:color w:val="auto"/>
                <w:sz w:val="20"/>
                <w:szCs w:val="20"/>
                <w:lang w:eastAsia="en-AU"/>
              </w:rPr>
            </w:pPr>
            <w:r w:rsidRPr="00503F5B">
              <w:rPr>
                <w:rFonts w:eastAsia="Times New Roman" w:cs="Calibri"/>
                <w:color w:val="auto"/>
                <w:sz w:val="20"/>
                <w:szCs w:val="20"/>
                <w:lang w:eastAsia="en-AU"/>
              </w:rPr>
              <w:t>$50,872</w:t>
            </w:r>
          </w:p>
        </w:tc>
      </w:tr>
      <w:tr w:rsidR="00E04C6D" w:rsidRPr="00503F5B" w14:paraId="6163CD89" w14:textId="77777777" w:rsidTr="00872971">
        <w:trPr>
          <w:trHeight w:val="80"/>
          <w:jc w:val="center"/>
        </w:trPr>
        <w:tc>
          <w:tcPr>
            <w:tcW w:w="3969" w:type="dxa"/>
            <w:tcBorders>
              <w:bottom w:val="single" w:sz="4" w:space="0" w:color="ED7C5D"/>
            </w:tcBorders>
            <w:noWrap/>
            <w:hideMark/>
          </w:tcPr>
          <w:p w14:paraId="31F99F11"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Vehicle direct costs (external Inc. Fuel) SAP</w:t>
            </w:r>
          </w:p>
        </w:tc>
        <w:tc>
          <w:tcPr>
            <w:tcW w:w="1403" w:type="dxa"/>
            <w:tcBorders>
              <w:bottom w:val="single" w:sz="4" w:space="0" w:color="ED7C5D"/>
            </w:tcBorders>
            <w:noWrap/>
            <w:hideMark/>
          </w:tcPr>
          <w:p w14:paraId="50582A83" w14:textId="77777777" w:rsidR="00E04C6D" w:rsidRPr="00503F5B" w:rsidRDefault="00E04C6D" w:rsidP="00E04C6D">
            <w:pPr>
              <w:jc w:val="right"/>
              <w:rPr>
                <w:rFonts w:eastAsia="Times New Roman" w:cs="Calibri"/>
                <w:color w:val="auto"/>
                <w:sz w:val="20"/>
                <w:szCs w:val="20"/>
                <w:lang w:eastAsia="en-AU"/>
              </w:rPr>
            </w:pPr>
            <w:r w:rsidRPr="00503F5B">
              <w:rPr>
                <w:rFonts w:eastAsia="Times New Roman" w:cs="Calibri"/>
                <w:color w:val="auto"/>
                <w:sz w:val="20"/>
                <w:szCs w:val="20"/>
                <w:lang w:eastAsia="en-AU"/>
              </w:rPr>
              <w:t>$570,919</w:t>
            </w:r>
          </w:p>
        </w:tc>
      </w:tr>
      <w:tr w:rsidR="00E04C6D" w:rsidRPr="00503F5B" w14:paraId="37DF3A58" w14:textId="77777777" w:rsidTr="00872971">
        <w:trPr>
          <w:trHeight w:val="70"/>
          <w:jc w:val="center"/>
        </w:trPr>
        <w:tc>
          <w:tcPr>
            <w:tcW w:w="3969" w:type="dxa"/>
            <w:tcBorders>
              <w:top w:val="single" w:sz="4" w:space="0" w:color="ED7C5D"/>
              <w:bottom w:val="single" w:sz="4" w:space="0" w:color="ED7C5D"/>
            </w:tcBorders>
            <w:noWrap/>
            <w:hideMark/>
          </w:tcPr>
          <w:p w14:paraId="4CD0FAD4" w14:textId="77777777" w:rsidR="00E04C6D" w:rsidRPr="00503F5B" w:rsidRDefault="00E04C6D" w:rsidP="00E04C6D">
            <w:pPr>
              <w:rPr>
                <w:rFonts w:eastAsia="Times New Roman" w:cs="Calibri"/>
                <w:b/>
                <w:bCs/>
                <w:i/>
                <w:iCs/>
                <w:sz w:val="20"/>
                <w:szCs w:val="20"/>
                <w:lang w:eastAsia="en-AU"/>
              </w:rPr>
            </w:pPr>
            <w:r w:rsidRPr="00503F5B">
              <w:rPr>
                <w:rFonts w:eastAsia="Times New Roman" w:cs="Calibri"/>
                <w:b/>
                <w:bCs/>
                <w:i/>
                <w:iCs/>
                <w:sz w:val="20"/>
                <w:szCs w:val="20"/>
                <w:lang w:eastAsia="en-AU"/>
              </w:rPr>
              <w:t>Total annual direct appliance costs</w:t>
            </w:r>
          </w:p>
        </w:tc>
        <w:tc>
          <w:tcPr>
            <w:tcW w:w="1403" w:type="dxa"/>
            <w:tcBorders>
              <w:top w:val="single" w:sz="4" w:space="0" w:color="ED7C5D"/>
              <w:bottom w:val="single" w:sz="4" w:space="0" w:color="ED7C5D"/>
            </w:tcBorders>
            <w:noWrap/>
            <w:hideMark/>
          </w:tcPr>
          <w:p w14:paraId="08336CBD" w14:textId="77777777" w:rsidR="00E04C6D" w:rsidRPr="00503F5B" w:rsidRDefault="00E04C6D" w:rsidP="00E04C6D">
            <w:pPr>
              <w:jc w:val="right"/>
              <w:rPr>
                <w:rFonts w:eastAsia="Times New Roman" w:cs="Calibri"/>
                <w:b/>
                <w:bCs/>
                <w:i/>
                <w:iCs/>
                <w:sz w:val="20"/>
                <w:szCs w:val="20"/>
                <w:lang w:eastAsia="en-AU"/>
              </w:rPr>
            </w:pPr>
            <w:r w:rsidRPr="00503F5B">
              <w:rPr>
                <w:rFonts w:eastAsia="Times New Roman" w:cs="Calibri"/>
                <w:b/>
                <w:bCs/>
                <w:i/>
                <w:iCs/>
                <w:sz w:val="20"/>
                <w:szCs w:val="20"/>
                <w:lang w:eastAsia="en-AU"/>
              </w:rPr>
              <w:t>$1,800,888</w:t>
            </w:r>
          </w:p>
        </w:tc>
      </w:tr>
    </w:tbl>
    <w:p w14:paraId="09CE17D7" w14:textId="77777777" w:rsidR="00E04C6D" w:rsidRPr="00503F5B" w:rsidRDefault="00E04C6D" w:rsidP="00E04C6D">
      <w:pPr>
        <w:jc w:val="both"/>
      </w:pPr>
    </w:p>
    <w:p w14:paraId="42754CBA" w14:textId="77777777" w:rsidR="00E04C6D" w:rsidRPr="00503F5B" w:rsidRDefault="00E04C6D" w:rsidP="00F94B17">
      <w:pPr>
        <w:pStyle w:val="Heading3"/>
      </w:pPr>
      <w:bookmarkStart w:id="266" w:name="_Toc35804168"/>
      <w:bookmarkStart w:id="267" w:name="_Toc35804662"/>
      <w:bookmarkStart w:id="268" w:name="_Toc35812706"/>
      <w:r w:rsidRPr="00503F5B">
        <w:t>A2.1.2 Total direct staffing costs CFA integrated stations</w:t>
      </w:r>
      <w:bookmarkEnd w:id="266"/>
      <w:bookmarkEnd w:id="267"/>
      <w:bookmarkEnd w:id="268"/>
    </w:p>
    <w:p w14:paraId="290D4933" w14:textId="77777777" w:rsidR="00E04C6D" w:rsidRPr="00503F5B" w:rsidRDefault="00E04C6D" w:rsidP="00E04C6D">
      <w:pPr>
        <w:jc w:val="both"/>
      </w:pPr>
    </w:p>
    <w:p w14:paraId="7DBDE3E5" w14:textId="6E5E9AF4" w:rsidR="00E04C6D" w:rsidRPr="00503F5B" w:rsidRDefault="00E04C6D" w:rsidP="00E04C6D">
      <w:pPr>
        <w:jc w:val="both"/>
      </w:pPr>
      <w:r w:rsidRPr="00503F5B">
        <w:t xml:space="preserve">Total staffing costs are given by </w:t>
      </w:r>
      <w:r w:rsidR="00B36EEE" w:rsidRPr="00503F5B">
        <w:t>CFA</w:t>
      </w:r>
      <w:r w:rsidRPr="00503F5B">
        <w:t xml:space="preserve"> as</w:t>
      </w:r>
      <w:r w:rsidRPr="00503F5B">
        <w:rPr>
          <w:b/>
          <w:bCs/>
          <w:i/>
          <w:iCs/>
        </w:rPr>
        <w:t xml:space="preserve"> $158,403,045</w:t>
      </w:r>
      <w:r w:rsidRPr="00503F5B">
        <w:t xml:space="preserve"> and are summarised in Table A2.2.  These costs relate to 1,066 staff for CFA integrated stations including supporting operational staff.</w:t>
      </w:r>
    </w:p>
    <w:p w14:paraId="78DCB522" w14:textId="77777777" w:rsidR="00E04C6D" w:rsidRPr="00503F5B" w:rsidRDefault="00E04C6D" w:rsidP="00E04C6D">
      <w:pPr>
        <w:jc w:val="both"/>
      </w:pPr>
    </w:p>
    <w:p w14:paraId="461DDDC0" w14:textId="77777777" w:rsidR="00E04C6D" w:rsidRPr="00503F5B" w:rsidRDefault="00E04C6D" w:rsidP="00E04C6D">
      <w:pPr>
        <w:jc w:val="center"/>
        <w:rPr>
          <w:b/>
          <w:sz w:val="20"/>
          <w:szCs w:val="20"/>
        </w:rPr>
      </w:pPr>
      <w:r w:rsidRPr="00503F5B">
        <w:rPr>
          <w:b/>
          <w:sz w:val="20"/>
          <w:szCs w:val="20"/>
        </w:rPr>
        <w:t>Table A2.2: Total direct annual staffing costs for emergency attendances for CFA integrated stations with and without false alarms – 2018-19</w:t>
      </w:r>
    </w:p>
    <w:p w14:paraId="02D0E718" w14:textId="77777777" w:rsidR="00E04C6D" w:rsidRPr="00503F5B" w:rsidRDefault="00E04C6D" w:rsidP="00E04C6D">
      <w:pPr>
        <w:jc w:val="both"/>
      </w:pPr>
    </w:p>
    <w:tbl>
      <w:tblPr>
        <w:tblW w:w="5372" w:type="dxa"/>
        <w:jc w:val="center"/>
        <w:tblLook w:val="04A0" w:firstRow="1" w:lastRow="0" w:firstColumn="1" w:lastColumn="0" w:noHBand="0" w:noVBand="1"/>
      </w:tblPr>
      <w:tblGrid>
        <w:gridCol w:w="3544"/>
        <w:gridCol w:w="1828"/>
      </w:tblGrid>
      <w:tr w:rsidR="00E04C6D" w:rsidRPr="00503F5B" w14:paraId="20769180" w14:textId="77777777" w:rsidTr="00872971">
        <w:trPr>
          <w:trHeight w:val="80"/>
          <w:jc w:val="center"/>
        </w:trPr>
        <w:tc>
          <w:tcPr>
            <w:tcW w:w="3544" w:type="dxa"/>
            <w:tcBorders>
              <w:top w:val="single" w:sz="4" w:space="0" w:color="ED7C5D"/>
              <w:bottom w:val="double" w:sz="4" w:space="0" w:color="ED7C5D"/>
            </w:tcBorders>
            <w:noWrap/>
          </w:tcPr>
          <w:p w14:paraId="233E3D1E" w14:textId="77777777" w:rsidR="00E04C6D" w:rsidRPr="00503F5B" w:rsidRDefault="00E04C6D" w:rsidP="00E04C6D">
            <w:pPr>
              <w:rPr>
                <w:rFonts w:asciiTheme="majorHAnsi" w:eastAsia="Times New Roman" w:hAnsiTheme="majorHAnsi" w:cstheme="majorHAnsi"/>
                <w:color w:val="auto"/>
                <w:sz w:val="20"/>
                <w:szCs w:val="20"/>
                <w:lang w:eastAsia="en-AU"/>
              </w:rPr>
            </w:pPr>
            <w:r w:rsidRPr="00503F5B">
              <w:rPr>
                <w:b/>
                <w:bCs/>
                <w:color w:val="BE2A18"/>
                <w:sz w:val="20"/>
                <w:szCs w:val="20"/>
              </w:rPr>
              <w:t>Direct staff cost category</w:t>
            </w:r>
          </w:p>
        </w:tc>
        <w:tc>
          <w:tcPr>
            <w:tcW w:w="1828" w:type="dxa"/>
            <w:tcBorders>
              <w:top w:val="single" w:sz="4" w:space="0" w:color="ED7C5D"/>
              <w:bottom w:val="double" w:sz="4" w:space="0" w:color="ED7C5D"/>
            </w:tcBorders>
            <w:noWrap/>
          </w:tcPr>
          <w:p w14:paraId="25BB60A0" w14:textId="77777777" w:rsidR="00E04C6D" w:rsidRPr="00503F5B" w:rsidRDefault="00E04C6D" w:rsidP="00E04C6D">
            <w:pPr>
              <w:jc w:val="right"/>
              <w:rPr>
                <w:rFonts w:asciiTheme="majorHAnsi" w:eastAsia="Times New Roman" w:hAnsiTheme="majorHAnsi" w:cstheme="majorHAnsi"/>
                <w:b/>
                <w:bCs/>
                <w:sz w:val="20"/>
                <w:szCs w:val="20"/>
                <w:lang w:eastAsia="en-AU"/>
              </w:rPr>
            </w:pPr>
            <w:r w:rsidRPr="00503F5B">
              <w:rPr>
                <w:b/>
                <w:bCs/>
                <w:color w:val="BE2A18"/>
                <w:sz w:val="20"/>
                <w:szCs w:val="20"/>
              </w:rPr>
              <w:t>Annual cost</w:t>
            </w:r>
            <w:r w:rsidRPr="00503F5B">
              <w:rPr>
                <w:rStyle w:val="FootnoteReference"/>
                <w:b/>
                <w:bCs/>
                <w:color w:val="BE2A18"/>
                <w:sz w:val="20"/>
                <w:szCs w:val="20"/>
              </w:rPr>
              <w:footnoteReference w:id="183"/>
            </w:r>
          </w:p>
        </w:tc>
      </w:tr>
      <w:tr w:rsidR="00E04C6D" w:rsidRPr="00503F5B" w14:paraId="308C9A3A" w14:textId="77777777" w:rsidTr="00872971">
        <w:trPr>
          <w:trHeight w:val="50"/>
          <w:jc w:val="center"/>
        </w:trPr>
        <w:tc>
          <w:tcPr>
            <w:tcW w:w="3544" w:type="dxa"/>
            <w:tcBorders>
              <w:top w:val="double" w:sz="4" w:space="0" w:color="ED7C5D"/>
            </w:tcBorders>
            <w:noWrap/>
            <w:hideMark/>
          </w:tcPr>
          <w:p w14:paraId="7FB897E3" w14:textId="77777777" w:rsidR="00E04C6D" w:rsidRPr="00503F5B" w:rsidRDefault="00E04C6D" w:rsidP="00E04C6D">
            <w:pPr>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Salaries and on-costs</w:t>
            </w:r>
          </w:p>
        </w:tc>
        <w:tc>
          <w:tcPr>
            <w:tcW w:w="1828" w:type="dxa"/>
            <w:tcBorders>
              <w:top w:val="double" w:sz="4" w:space="0" w:color="ED7C5D"/>
            </w:tcBorders>
            <w:noWrap/>
            <w:hideMark/>
          </w:tcPr>
          <w:p w14:paraId="67A7EF1A" w14:textId="77777777" w:rsidR="00E04C6D" w:rsidRPr="00503F5B" w:rsidRDefault="00E04C6D" w:rsidP="00E04C6D">
            <w:pPr>
              <w:jc w:val="right"/>
              <w:rPr>
                <w:rFonts w:asciiTheme="minorHAnsi" w:eastAsia="Times New Roman" w:hAnsiTheme="minorHAnsi" w:cstheme="minorHAnsi"/>
                <w:color w:val="auto"/>
                <w:sz w:val="20"/>
                <w:szCs w:val="20"/>
                <w:lang w:eastAsia="en-AU"/>
              </w:rPr>
            </w:pPr>
            <w:r w:rsidRPr="00503F5B">
              <w:rPr>
                <w:rFonts w:asciiTheme="minorHAnsi" w:eastAsia="Times New Roman" w:hAnsiTheme="minorHAnsi" w:cstheme="minorHAnsi"/>
                <w:color w:val="auto"/>
                <w:sz w:val="20"/>
                <w:szCs w:val="20"/>
                <w:lang w:eastAsia="en-AU"/>
              </w:rPr>
              <w:t>$150,660,029</w:t>
            </w:r>
          </w:p>
        </w:tc>
      </w:tr>
      <w:tr w:rsidR="00E04C6D" w:rsidRPr="00503F5B" w14:paraId="76F95484" w14:textId="77777777" w:rsidTr="00872971">
        <w:trPr>
          <w:trHeight w:val="80"/>
          <w:jc w:val="center"/>
        </w:trPr>
        <w:tc>
          <w:tcPr>
            <w:tcW w:w="3544" w:type="dxa"/>
            <w:tcBorders>
              <w:bottom w:val="single" w:sz="4" w:space="0" w:color="ED7C5D"/>
            </w:tcBorders>
            <w:noWrap/>
            <w:hideMark/>
          </w:tcPr>
          <w:p w14:paraId="1D057E7C" w14:textId="77777777" w:rsidR="00E04C6D" w:rsidRPr="00503F5B" w:rsidRDefault="00E04C6D" w:rsidP="00E04C6D">
            <w:pPr>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Other employee expenses</w:t>
            </w:r>
          </w:p>
        </w:tc>
        <w:tc>
          <w:tcPr>
            <w:tcW w:w="1828" w:type="dxa"/>
            <w:tcBorders>
              <w:bottom w:val="single" w:sz="4" w:space="0" w:color="ED7C5D"/>
            </w:tcBorders>
            <w:noWrap/>
            <w:hideMark/>
          </w:tcPr>
          <w:p w14:paraId="76D22599" w14:textId="77777777" w:rsidR="00E04C6D" w:rsidRPr="00503F5B" w:rsidRDefault="00E04C6D" w:rsidP="00E04C6D">
            <w:pPr>
              <w:jc w:val="right"/>
              <w:rPr>
                <w:rFonts w:asciiTheme="minorHAnsi" w:eastAsia="Times New Roman" w:hAnsiTheme="minorHAnsi" w:cstheme="minorHAnsi"/>
                <w:color w:val="auto"/>
                <w:sz w:val="20"/>
                <w:szCs w:val="20"/>
                <w:lang w:eastAsia="en-AU"/>
              </w:rPr>
            </w:pPr>
            <w:r w:rsidRPr="00503F5B">
              <w:rPr>
                <w:rFonts w:asciiTheme="minorHAnsi" w:eastAsia="Times New Roman" w:hAnsiTheme="minorHAnsi" w:cstheme="minorHAnsi"/>
                <w:color w:val="auto"/>
                <w:sz w:val="20"/>
                <w:szCs w:val="20"/>
                <w:lang w:eastAsia="en-AU"/>
              </w:rPr>
              <w:t>$7,743,016</w:t>
            </w:r>
          </w:p>
        </w:tc>
      </w:tr>
      <w:tr w:rsidR="00E04C6D" w:rsidRPr="00503F5B" w14:paraId="1F7CE567" w14:textId="77777777" w:rsidTr="00872971">
        <w:trPr>
          <w:trHeight w:val="70"/>
          <w:jc w:val="center"/>
        </w:trPr>
        <w:tc>
          <w:tcPr>
            <w:tcW w:w="3544" w:type="dxa"/>
            <w:tcBorders>
              <w:top w:val="single" w:sz="4" w:space="0" w:color="ED7C5D"/>
              <w:bottom w:val="single" w:sz="4" w:space="0" w:color="ED7C5D"/>
            </w:tcBorders>
            <w:noWrap/>
            <w:hideMark/>
          </w:tcPr>
          <w:p w14:paraId="562C488F" w14:textId="77777777" w:rsidR="00E04C6D" w:rsidRPr="00503F5B" w:rsidRDefault="00E04C6D" w:rsidP="00E04C6D">
            <w:pPr>
              <w:rPr>
                <w:rFonts w:asciiTheme="minorHAnsi" w:eastAsia="Times New Roman" w:hAnsiTheme="minorHAnsi" w:cstheme="minorHAnsi"/>
                <w:b/>
                <w:bCs/>
                <w:i/>
                <w:iCs/>
                <w:sz w:val="20"/>
                <w:szCs w:val="20"/>
                <w:lang w:eastAsia="en-AU"/>
              </w:rPr>
            </w:pPr>
            <w:r w:rsidRPr="00503F5B">
              <w:rPr>
                <w:rFonts w:asciiTheme="minorHAnsi" w:eastAsia="Times New Roman" w:hAnsiTheme="minorHAnsi" w:cstheme="minorHAnsi"/>
                <w:b/>
                <w:bCs/>
                <w:i/>
                <w:iCs/>
                <w:sz w:val="20"/>
                <w:szCs w:val="20"/>
                <w:lang w:eastAsia="en-AU"/>
              </w:rPr>
              <w:t>Total annual direct staff costs</w:t>
            </w:r>
          </w:p>
        </w:tc>
        <w:tc>
          <w:tcPr>
            <w:tcW w:w="1828" w:type="dxa"/>
            <w:tcBorders>
              <w:top w:val="single" w:sz="4" w:space="0" w:color="ED7C5D"/>
              <w:bottom w:val="single" w:sz="4" w:space="0" w:color="ED7C5D"/>
            </w:tcBorders>
            <w:noWrap/>
            <w:hideMark/>
          </w:tcPr>
          <w:p w14:paraId="7BE8727B" w14:textId="77777777" w:rsidR="00E04C6D" w:rsidRPr="00503F5B" w:rsidRDefault="00E04C6D" w:rsidP="00E04C6D">
            <w:pPr>
              <w:jc w:val="right"/>
              <w:rPr>
                <w:rFonts w:asciiTheme="minorHAnsi" w:eastAsia="Times New Roman" w:hAnsiTheme="minorHAnsi" w:cstheme="minorHAnsi"/>
                <w:b/>
                <w:bCs/>
                <w:i/>
                <w:iCs/>
                <w:sz w:val="20"/>
                <w:szCs w:val="20"/>
                <w:lang w:eastAsia="en-AU"/>
              </w:rPr>
            </w:pPr>
            <w:bookmarkStart w:id="269" w:name="_Hlk32058010"/>
            <w:r w:rsidRPr="00503F5B">
              <w:rPr>
                <w:rFonts w:asciiTheme="minorHAnsi" w:eastAsia="Times New Roman" w:hAnsiTheme="minorHAnsi" w:cstheme="minorHAnsi"/>
                <w:b/>
                <w:bCs/>
                <w:i/>
                <w:iCs/>
                <w:sz w:val="20"/>
                <w:szCs w:val="20"/>
                <w:lang w:eastAsia="en-AU"/>
              </w:rPr>
              <w:t>$158,403,045</w:t>
            </w:r>
            <w:bookmarkEnd w:id="269"/>
          </w:p>
        </w:tc>
      </w:tr>
    </w:tbl>
    <w:p w14:paraId="157958B1" w14:textId="77777777" w:rsidR="00E04C6D" w:rsidRPr="00503F5B" w:rsidRDefault="00E04C6D" w:rsidP="00E04C6D">
      <w:pPr>
        <w:jc w:val="both"/>
      </w:pPr>
    </w:p>
    <w:p w14:paraId="6B4C4196" w14:textId="77777777" w:rsidR="00E04C6D" w:rsidRPr="00503F5B" w:rsidRDefault="00E04C6D">
      <w:r w:rsidRPr="00503F5B">
        <w:br w:type="page"/>
      </w:r>
    </w:p>
    <w:p w14:paraId="677CF5AD" w14:textId="77777777" w:rsidR="00E04C6D" w:rsidRPr="00503F5B" w:rsidRDefault="00E04C6D" w:rsidP="00F94B17">
      <w:pPr>
        <w:pStyle w:val="Heading3"/>
      </w:pPr>
      <w:bookmarkStart w:id="270" w:name="_Toc35804169"/>
      <w:bookmarkStart w:id="271" w:name="_Toc35804663"/>
      <w:bookmarkStart w:id="272" w:name="_Toc35812707"/>
      <w:r w:rsidRPr="00503F5B">
        <w:lastRenderedPageBreak/>
        <w:t>A2.1.3 Total direct station costs CFA integrated stations</w:t>
      </w:r>
      <w:bookmarkEnd w:id="270"/>
      <w:bookmarkEnd w:id="271"/>
      <w:bookmarkEnd w:id="272"/>
    </w:p>
    <w:p w14:paraId="3FE9D420" w14:textId="77777777" w:rsidR="00E04C6D" w:rsidRPr="00503F5B" w:rsidRDefault="00E04C6D" w:rsidP="00E04C6D">
      <w:pPr>
        <w:jc w:val="both"/>
      </w:pPr>
    </w:p>
    <w:p w14:paraId="087BA725" w14:textId="3E6B823E" w:rsidR="00E04C6D" w:rsidRPr="00503F5B" w:rsidRDefault="00E04C6D" w:rsidP="00E04C6D">
      <w:pPr>
        <w:jc w:val="both"/>
      </w:pPr>
      <w:r w:rsidRPr="00503F5B">
        <w:t xml:space="preserve">Total direct station costs for emergency attendances are given by </w:t>
      </w:r>
      <w:r w:rsidR="00B36EEE" w:rsidRPr="00503F5B">
        <w:t>CFA</w:t>
      </w:r>
      <w:r w:rsidRPr="00503F5B">
        <w:t xml:space="preserve"> as</w:t>
      </w:r>
      <w:r w:rsidRPr="00503F5B">
        <w:rPr>
          <w:b/>
          <w:bCs/>
          <w:i/>
          <w:iCs/>
        </w:rPr>
        <w:t xml:space="preserve"> $3,142,466 </w:t>
      </w:r>
      <w:r w:rsidRPr="00503F5B">
        <w:t xml:space="preserve">and are summarised in Table A2.3.  These costs relate to 37.5 active integrated stations </w:t>
      </w:r>
      <w:r w:rsidR="00FF0BCD" w:rsidRPr="00503F5B">
        <w:t xml:space="preserve">(including one integrated station coming online </w:t>
      </w:r>
      <w:proofErr w:type="gramStart"/>
      <w:r w:rsidR="00FF0BCD" w:rsidRPr="00503F5B">
        <w:t>half way</w:t>
      </w:r>
      <w:proofErr w:type="gramEnd"/>
      <w:r w:rsidR="00FF0BCD" w:rsidRPr="00503F5B">
        <w:t xml:space="preserve"> through the year in 2018-19) and cover</w:t>
      </w:r>
      <w:r w:rsidRPr="00503F5B">
        <w:t xml:space="preserve"> running costs and direct administration support</w:t>
      </w:r>
      <w:r w:rsidR="00FF0BCD" w:rsidRPr="00503F5B">
        <w:t xml:space="preserve">. </w:t>
      </w:r>
    </w:p>
    <w:p w14:paraId="0AC7EFEA" w14:textId="77777777" w:rsidR="00E04C6D" w:rsidRPr="00503F5B" w:rsidRDefault="00E04C6D" w:rsidP="00E04C6D">
      <w:pPr>
        <w:jc w:val="both"/>
      </w:pPr>
    </w:p>
    <w:p w14:paraId="334BA3B3" w14:textId="77777777" w:rsidR="00E04C6D" w:rsidRPr="00503F5B" w:rsidRDefault="00E04C6D" w:rsidP="00E04C6D">
      <w:pPr>
        <w:jc w:val="center"/>
        <w:rPr>
          <w:b/>
          <w:sz w:val="20"/>
          <w:szCs w:val="20"/>
        </w:rPr>
      </w:pPr>
      <w:r w:rsidRPr="00503F5B">
        <w:rPr>
          <w:b/>
          <w:sz w:val="20"/>
          <w:szCs w:val="20"/>
        </w:rPr>
        <w:t>Table A2.3: Total direct annual station costs for emergency attendances for CFA integrated stations with and without false alarms – 2018-19</w:t>
      </w:r>
    </w:p>
    <w:p w14:paraId="77D3CCA3" w14:textId="77777777" w:rsidR="00E04C6D" w:rsidRPr="00503F5B" w:rsidRDefault="00E04C6D" w:rsidP="00E04C6D">
      <w:pPr>
        <w:jc w:val="both"/>
      </w:pPr>
    </w:p>
    <w:tbl>
      <w:tblPr>
        <w:tblW w:w="6379" w:type="dxa"/>
        <w:jc w:val="center"/>
        <w:tblLook w:val="04A0" w:firstRow="1" w:lastRow="0" w:firstColumn="1" w:lastColumn="0" w:noHBand="0" w:noVBand="1"/>
      </w:tblPr>
      <w:tblGrid>
        <w:gridCol w:w="4678"/>
        <w:gridCol w:w="1701"/>
      </w:tblGrid>
      <w:tr w:rsidR="00E04C6D" w:rsidRPr="00503F5B" w14:paraId="70E70013" w14:textId="77777777" w:rsidTr="00872971">
        <w:trPr>
          <w:trHeight w:val="300"/>
          <w:jc w:val="center"/>
        </w:trPr>
        <w:tc>
          <w:tcPr>
            <w:tcW w:w="4678" w:type="dxa"/>
            <w:tcBorders>
              <w:top w:val="single" w:sz="4" w:space="0" w:color="ED7C5D"/>
              <w:bottom w:val="double" w:sz="4" w:space="0" w:color="ED7C5D"/>
            </w:tcBorders>
            <w:noWrap/>
            <w:hideMark/>
          </w:tcPr>
          <w:p w14:paraId="135E756A" w14:textId="77777777" w:rsidR="00E04C6D" w:rsidRPr="00503F5B" w:rsidRDefault="00E04C6D" w:rsidP="00E04C6D">
            <w:pPr>
              <w:rPr>
                <w:rFonts w:asciiTheme="majorHAnsi" w:eastAsia="Times New Roman" w:hAnsiTheme="majorHAnsi" w:cstheme="majorHAnsi"/>
                <w:color w:val="auto"/>
                <w:sz w:val="20"/>
                <w:szCs w:val="20"/>
                <w:lang w:eastAsia="en-AU"/>
              </w:rPr>
            </w:pPr>
            <w:r w:rsidRPr="00503F5B">
              <w:rPr>
                <w:b/>
                <w:bCs/>
                <w:color w:val="BE2A18"/>
                <w:sz w:val="20"/>
                <w:szCs w:val="20"/>
              </w:rPr>
              <w:t>Direct station cost category</w:t>
            </w:r>
          </w:p>
        </w:tc>
        <w:tc>
          <w:tcPr>
            <w:tcW w:w="1701" w:type="dxa"/>
            <w:tcBorders>
              <w:top w:val="single" w:sz="4" w:space="0" w:color="ED7C5D"/>
              <w:bottom w:val="double" w:sz="4" w:space="0" w:color="ED7C5D"/>
            </w:tcBorders>
            <w:noWrap/>
            <w:hideMark/>
          </w:tcPr>
          <w:p w14:paraId="29CB2213" w14:textId="77777777" w:rsidR="00E04C6D" w:rsidRPr="00503F5B" w:rsidRDefault="00E04C6D" w:rsidP="00E04C6D">
            <w:pPr>
              <w:jc w:val="right"/>
              <w:rPr>
                <w:rFonts w:eastAsia="Times New Roman" w:cs="Calibri"/>
                <w:b/>
                <w:bCs/>
                <w:lang w:eastAsia="en-AU"/>
              </w:rPr>
            </w:pPr>
            <w:r w:rsidRPr="00503F5B">
              <w:rPr>
                <w:b/>
                <w:bCs/>
                <w:color w:val="BE2A18"/>
                <w:sz w:val="20"/>
                <w:szCs w:val="20"/>
              </w:rPr>
              <w:t>Annual cost</w:t>
            </w:r>
            <w:r w:rsidRPr="00503F5B">
              <w:rPr>
                <w:rStyle w:val="FootnoteReference"/>
                <w:b/>
                <w:bCs/>
                <w:color w:val="BE2A18"/>
                <w:sz w:val="20"/>
                <w:szCs w:val="20"/>
              </w:rPr>
              <w:footnoteReference w:id="184"/>
            </w:r>
          </w:p>
        </w:tc>
      </w:tr>
      <w:tr w:rsidR="00E04C6D" w:rsidRPr="00503F5B" w14:paraId="47E0D8EA" w14:textId="77777777" w:rsidTr="00872971">
        <w:trPr>
          <w:trHeight w:val="50"/>
          <w:jc w:val="center"/>
        </w:trPr>
        <w:tc>
          <w:tcPr>
            <w:tcW w:w="4678" w:type="dxa"/>
            <w:tcBorders>
              <w:top w:val="double" w:sz="4" w:space="0" w:color="ED7C5D"/>
            </w:tcBorders>
            <w:noWrap/>
            <w:hideMark/>
          </w:tcPr>
          <w:p w14:paraId="68FADC8D" w14:textId="77777777" w:rsidR="00E04C6D" w:rsidRPr="00503F5B" w:rsidRDefault="00E04C6D" w:rsidP="00E04C6D">
            <w:pPr>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Land and buildings maintenance (external Suppliers)</w:t>
            </w:r>
          </w:p>
        </w:tc>
        <w:tc>
          <w:tcPr>
            <w:tcW w:w="1701" w:type="dxa"/>
            <w:tcBorders>
              <w:top w:val="double" w:sz="4" w:space="0" w:color="ED7C5D"/>
            </w:tcBorders>
            <w:noWrap/>
            <w:hideMark/>
          </w:tcPr>
          <w:p w14:paraId="7AEBEC9A" w14:textId="77777777" w:rsidR="00E04C6D" w:rsidRPr="00503F5B" w:rsidRDefault="00E04C6D" w:rsidP="00E04C6D">
            <w:pPr>
              <w:jc w:val="right"/>
              <w:rPr>
                <w:rFonts w:eastAsia="Times New Roman" w:cs="Calibri"/>
                <w:color w:val="auto"/>
                <w:sz w:val="20"/>
                <w:szCs w:val="20"/>
                <w:lang w:eastAsia="en-AU"/>
              </w:rPr>
            </w:pPr>
            <w:r w:rsidRPr="00503F5B">
              <w:rPr>
                <w:rFonts w:eastAsia="Times New Roman" w:cs="Calibri"/>
                <w:color w:val="auto"/>
                <w:sz w:val="20"/>
                <w:szCs w:val="20"/>
                <w:lang w:eastAsia="en-AU"/>
              </w:rPr>
              <w:t>$1,200,004</w:t>
            </w:r>
          </w:p>
        </w:tc>
      </w:tr>
      <w:tr w:rsidR="00E04C6D" w:rsidRPr="00503F5B" w14:paraId="3961A411" w14:textId="77777777" w:rsidTr="00E04C6D">
        <w:trPr>
          <w:trHeight w:val="80"/>
          <w:jc w:val="center"/>
        </w:trPr>
        <w:tc>
          <w:tcPr>
            <w:tcW w:w="4678" w:type="dxa"/>
            <w:noWrap/>
            <w:hideMark/>
          </w:tcPr>
          <w:p w14:paraId="17EE6459" w14:textId="77777777" w:rsidR="00E04C6D" w:rsidRPr="00503F5B" w:rsidRDefault="00E04C6D" w:rsidP="00E04C6D">
            <w:pPr>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Plant and equipment maintenance (external Suppliers)</w:t>
            </w:r>
          </w:p>
        </w:tc>
        <w:tc>
          <w:tcPr>
            <w:tcW w:w="1701" w:type="dxa"/>
            <w:noWrap/>
            <w:hideMark/>
          </w:tcPr>
          <w:p w14:paraId="2F8C6DEB" w14:textId="77777777" w:rsidR="00E04C6D" w:rsidRPr="00503F5B" w:rsidRDefault="00E04C6D" w:rsidP="00E04C6D">
            <w:pPr>
              <w:jc w:val="right"/>
              <w:rPr>
                <w:rFonts w:eastAsia="Times New Roman" w:cs="Calibri"/>
                <w:color w:val="auto"/>
                <w:sz w:val="20"/>
                <w:szCs w:val="20"/>
                <w:lang w:eastAsia="en-AU"/>
              </w:rPr>
            </w:pPr>
            <w:r w:rsidRPr="00503F5B">
              <w:rPr>
                <w:rFonts w:eastAsia="Times New Roman" w:cs="Calibri"/>
                <w:color w:val="auto"/>
                <w:sz w:val="20"/>
                <w:szCs w:val="20"/>
                <w:lang w:eastAsia="en-AU"/>
              </w:rPr>
              <w:t>$720,022</w:t>
            </w:r>
          </w:p>
        </w:tc>
      </w:tr>
      <w:tr w:rsidR="00E04C6D" w:rsidRPr="00503F5B" w14:paraId="06200E1B" w14:textId="77777777" w:rsidTr="00E04C6D">
        <w:trPr>
          <w:trHeight w:val="80"/>
          <w:jc w:val="center"/>
        </w:trPr>
        <w:tc>
          <w:tcPr>
            <w:tcW w:w="4678" w:type="dxa"/>
            <w:noWrap/>
            <w:hideMark/>
          </w:tcPr>
          <w:p w14:paraId="71DFF5E4" w14:textId="77777777" w:rsidR="00E04C6D" w:rsidRPr="00503F5B" w:rsidRDefault="00E04C6D" w:rsidP="00E04C6D">
            <w:pPr>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General expenses (external suppliers)</w:t>
            </w:r>
          </w:p>
        </w:tc>
        <w:tc>
          <w:tcPr>
            <w:tcW w:w="1701" w:type="dxa"/>
            <w:noWrap/>
            <w:hideMark/>
          </w:tcPr>
          <w:p w14:paraId="37E9243D" w14:textId="77777777" w:rsidR="00E04C6D" w:rsidRPr="00503F5B" w:rsidRDefault="00E04C6D" w:rsidP="00E04C6D">
            <w:pPr>
              <w:jc w:val="right"/>
              <w:rPr>
                <w:rFonts w:eastAsia="Times New Roman" w:cs="Calibri"/>
                <w:color w:val="auto"/>
                <w:sz w:val="20"/>
                <w:szCs w:val="20"/>
                <w:lang w:eastAsia="en-AU"/>
              </w:rPr>
            </w:pPr>
            <w:r w:rsidRPr="00503F5B">
              <w:rPr>
                <w:rFonts w:eastAsia="Times New Roman" w:cs="Calibri"/>
                <w:color w:val="auto"/>
                <w:sz w:val="20"/>
                <w:szCs w:val="20"/>
                <w:lang w:eastAsia="en-AU"/>
              </w:rPr>
              <w:t>$491,440</w:t>
            </w:r>
          </w:p>
        </w:tc>
      </w:tr>
      <w:tr w:rsidR="00E04C6D" w:rsidRPr="00503F5B" w14:paraId="2D5D4B0F" w14:textId="77777777" w:rsidTr="00872971">
        <w:trPr>
          <w:trHeight w:val="80"/>
          <w:jc w:val="center"/>
        </w:trPr>
        <w:tc>
          <w:tcPr>
            <w:tcW w:w="4678" w:type="dxa"/>
            <w:tcBorders>
              <w:bottom w:val="single" w:sz="4" w:space="0" w:color="ED7C5D"/>
            </w:tcBorders>
            <w:noWrap/>
            <w:hideMark/>
          </w:tcPr>
          <w:p w14:paraId="16C9E266" w14:textId="77777777" w:rsidR="00E04C6D" w:rsidRPr="00503F5B" w:rsidRDefault="00E04C6D" w:rsidP="00E04C6D">
            <w:pPr>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Land and buildings - CFA internal maintenance costs</w:t>
            </w:r>
          </w:p>
        </w:tc>
        <w:tc>
          <w:tcPr>
            <w:tcW w:w="1701" w:type="dxa"/>
            <w:tcBorders>
              <w:bottom w:val="single" w:sz="4" w:space="0" w:color="ED7C5D"/>
            </w:tcBorders>
            <w:noWrap/>
            <w:hideMark/>
          </w:tcPr>
          <w:p w14:paraId="59FF2C8F" w14:textId="77777777" w:rsidR="00E04C6D" w:rsidRPr="00503F5B" w:rsidRDefault="00E04C6D" w:rsidP="00E04C6D">
            <w:pPr>
              <w:jc w:val="right"/>
              <w:rPr>
                <w:rFonts w:eastAsia="Times New Roman" w:cs="Calibri"/>
                <w:color w:val="auto"/>
                <w:sz w:val="20"/>
                <w:szCs w:val="20"/>
                <w:lang w:eastAsia="en-AU"/>
              </w:rPr>
            </w:pPr>
            <w:r w:rsidRPr="00503F5B">
              <w:rPr>
                <w:rFonts w:eastAsia="Times New Roman" w:cs="Calibri"/>
                <w:color w:val="auto"/>
                <w:sz w:val="20"/>
                <w:szCs w:val="20"/>
                <w:lang w:eastAsia="en-AU"/>
              </w:rPr>
              <w:t>$731,000</w:t>
            </w:r>
          </w:p>
        </w:tc>
      </w:tr>
      <w:tr w:rsidR="00E04C6D" w:rsidRPr="00503F5B" w14:paraId="2D5DC25D" w14:textId="77777777" w:rsidTr="00872971">
        <w:trPr>
          <w:trHeight w:val="300"/>
          <w:jc w:val="center"/>
        </w:trPr>
        <w:tc>
          <w:tcPr>
            <w:tcW w:w="4678" w:type="dxa"/>
            <w:tcBorders>
              <w:top w:val="single" w:sz="4" w:space="0" w:color="ED7C5D"/>
              <w:bottom w:val="single" w:sz="4" w:space="0" w:color="ED7C5D"/>
            </w:tcBorders>
            <w:noWrap/>
            <w:hideMark/>
          </w:tcPr>
          <w:p w14:paraId="6F154182" w14:textId="77777777" w:rsidR="00E04C6D" w:rsidRPr="00503F5B" w:rsidRDefault="00E04C6D" w:rsidP="00E04C6D">
            <w:pPr>
              <w:rPr>
                <w:rFonts w:asciiTheme="minorHAnsi" w:eastAsia="Times New Roman" w:hAnsiTheme="minorHAnsi" w:cstheme="minorHAnsi"/>
                <w:b/>
                <w:bCs/>
                <w:i/>
                <w:iCs/>
                <w:sz w:val="20"/>
                <w:szCs w:val="20"/>
                <w:lang w:eastAsia="en-AU"/>
              </w:rPr>
            </w:pPr>
            <w:r w:rsidRPr="00503F5B">
              <w:rPr>
                <w:rFonts w:asciiTheme="minorHAnsi" w:eastAsia="Times New Roman" w:hAnsiTheme="minorHAnsi" w:cstheme="minorHAnsi"/>
                <w:b/>
                <w:bCs/>
                <w:i/>
                <w:iCs/>
                <w:sz w:val="20"/>
                <w:szCs w:val="20"/>
                <w:lang w:eastAsia="en-AU"/>
              </w:rPr>
              <w:t>Total annual station costs</w:t>
            </w:r>
          </w:p>
        </w:tc>
        <w:tc>
          <w:tcPr>
            <w:tcW w:w="1701" w:type="dxa"/>
            <w:tcBorders>
              <w:top w:val="single" w:sz="4" w:space="0" w:color="ED7C5D"/>
              <w:bottom w:val="single" w:sz="4" w:space="0" w:color="ED7C5D"/>
            </w:tcBorders>
            <w:noWrap/>
            <w:hideMark/>
          </w:tcPr>
          <w:p w14:paraId="1D7F07DF" w14:textId="77777777" w:rsidR="00E04C6D" w:rsidRPr="00503F5B" w:rsidRDefault="00E04C6D" w:rsidP="00E04C6D">
            <w:pPr>
              <w:jc w:val="right"/>
              <w:rPr>
                <w:rFonts w:eastAsia="Times New Roman" w:cs="Calibri"/>
                <w:b/>
                <w:bCs/>
                <w:i/>
                <w:iCs/>
                <w:color w:val="auto"/>
                <w:sz w:val="20"/>
                <w:szCs w:val="20"/>
                <w:lang w:eastAsia="en-AU"/>
              </w:rPr>
            </w:pPr>
            <w:r w:rsidRPr="00503F5B">
              <w:rPr>
                <w:rFonts w:eastAsia="Times New Roman" w:cs="Calibri"/>
                <w:b/>
                <w:bCs/>
                <w:i/>
                <w:iCs/>
                <w:color w:val="auto"/>
                <w:sz w:val="20"/>
                <w:szCs w:val="20"/>
                <w:lang w:eastAsia="en-AU"/>
              </w:rPr>
              <w:t>$3,142,466</w:t>
            </w:r>
          </w:p>
        </w:tc>
      </w:tr>
    </w:tbl>
    <w:p w14:paraId="00F64726" w14:textId="77777777" w:rsidR="00E04C6D" w:rsidRPr="00503F5B" w:rsidRDefault="00E04C6D" w:rsidP="00E04C6D">
      <w:pPr>
        <w:jc w:val="both"/>
      </w:pPr>
    </w:p>
    <w:p w14:paraId="03143CB9" w14:textId="77777777" w:rsidR="00E04C6D" w:rsidRPr="00503F5B" w:rsidRDefault="00E04C6D" w:rsidP="00E04C6D">
      <w:pPr>
        <w:jc w:val="both"/>
      </w:pPr>
      <w:r w:rsidRPr="00503F5B">
        <w:t xml:space="preserve">The sum of the total direct costs of supply of emergency attendances with and without false alarms, taken from Tables A2.1, A2.2 and A2.3 is therefore taken to be </w:t>
      </w:r>
      <w:r w:rsidRPr="00503F5B">
        <w:rPr>
          <w:b/>
          <w:bCs/>
        </w:rPr>
        <w:t>$163,346,399</w:t>
      </w:r>
      <w:r w:rsidRPr="00503F5B">
        <w:t xml:space="preserve"> for 2018-19.  </w:t>
      </w:r>
    </w:p>
    <w:p w14:paraId="3A6A365D" w14:textId="77777777" w:rsidR="00E04C6D" w:rsidRPr="00503F5B" w:rsidRDefault="00E04C6D" w:rsidP="00E04C6D">
      <w:pPr>
        <w:pStyle w:val="Heading2"/>
      </w:pPr>
      <w:bookmarkStart w:id="273" w:name="_Toc35804170"/>
      <w:bookmarkStart w:id="274" w:name="_Toc35804664"/>
      <w:bookmarkStart w:id="275" w:name="_Toc35812708"/>
      <w:r w:rsidRPr="00503F5B">
        <w:t>A2.2 Total annual direct and indirect costs of emergency attendances by CFA integrated stations with and without false alarms – 2018-19</w:t>
      </w:r>
      <w:bookmarkEnd w:id="273"/>
      <w:bookmarkEnd w:id="274"/>
      <w:bookmarkEnd w:id="275"/>
    </w:p>
    <w:p w14:paraId="17B452C2" w14:textId="05CAAAB3" w:rsidR="00E04C6D" w:rsidRPr="00503F5B" w:rsidRDefault="00E04C6D" w:rsidP="00E04C6D">
      <w:pPr>
        <w:jc w:val="both"/>
        <w:rPr>
          <w:rFonts w:eastAsia="Times New Roman" w:cs="Calibri"/>
          <w:lang w:eastAsia="en-AU"/>
        </w:rPr>
      </w:pPr>
      <w:r w:rsidRPr="00503F5B">
        <w:t>The proportion of indirect overhead costs attributable to emergenc</w:t>
      </w:r>
      <w:r w:rsidR="00D84581" w:rsidRPr="00503F5B">
        <w:t>y</w:t>
      </w:r>
      <w:r w:rsidRPr="00503F5B">
        <w:t xml:space="preserve"> attendances by CFA integrated stations has been nominated by </w:t>
      </w:r>
      <w:r w:rsidR="00B36EEE" w:rsidRPr="00503F5B">
        <w:t>CFA</w:t>
      </w:r>
      <w:r w:rsidRPr="00503F5B">
        <w:t xml:space="preserve"> to deliberately mirror that of MFB's and has been selected by CFA to be 33%</w:t>
      </w:r>
      <w:r w:rsidRPr="00503F5B">
        <w:rPr>
          <w:rStyle w:val="FootnoteReference"/>
        </w:rPr>
        <w:footnoteReference w:id="185"/>
      </w:r>
      <w:r w:rsidRPr="00503F5B">
        <w:t xml:space="preserve">. This has been done to better reflect the operating percentage of the new FRV institution </w:t>
      </w:r>
      <w:r w:rsidRPr="00152512">
        <w:t>and assumes that the operations of the current MFB will more closely reflect the dominant operational environment of FRV</w:t>
      </w:r>
      <w:r w:rsidR="008C53D8">
        <w:t>, noting however that FRV will reflect the different operational context of urban and regional of both predecessor organisations</w:t>
      </w:r>
      <w:r w:rsidRPr="00503F5B">
        <w:t xml:space="preserve">.  Taking 33% of a total direct cost of </w:t>
      </w:r>
      <w:r w:rsidRPr="00503F5B">
        <w:rPr>
          <w:b/>
          <w:bCs/>
        </w:rPr>
        <w:t>$163,346,399</w:t>
      </w:r>
      <w:r w:rsidRPr="00503F5B">
        <w:t xml:space="preserve"> provides an estimate of </w:t>
      </w:r>
      <w:r w:rsidR="00D77630" w:rsidRPr="00503F5B">
        <w:rPr>
          <w:b/>
          <w:bCs/>
        </w:rPr>
        <w:t>$</w:t>
      </w:r>
      <w:r w:rsidRPr="00503F5B">
        <w:rPr>
          <w:b/>
          <w:bCs/>
        </w:rPr>
        <w:t>54,499,809</w:t>
      </w:r>
      <w:r w:rsidRPr="00503F5B">
        <w:rPr>
          <w:rFonts w:eastAsia="Times New Roman" w:cs="Calibri"/>
          <w:lang w:eastAsia="en-AU"/>
        </w:rPr>
        <w:t xml:space="preserve"> for indirect costs for CFA integrated stations.  This provides for a total direct and indirect estimated cost of emergency attendances by CFA integrated stations of </w:t>
      </w:r>
      <w:r w:rsidRPr="00503F5B">
        <w:rPr>
          <w:rFonts w:eastAsia="Times New Roman" w:cs="Calibri"/>
          <w:b/>
          <w:bCs/>
          <w:i/>
          <w:iCs/>
          <w:lang w:eastAsia="en-AU"/>
        </w:rPr>
        <w:t>$217,846,208</w:t>
      </w:r>
      <w:r w:rsidRPr="00503F5B">
        <w:rPr>
          <w:rFonts w:eastAsia="Times New Roman" w:cs="Calibri"/>
          <w:lang w:eastAsia="en-AU"/>
        </w:rPr>
        <w:t xml:space="preserve"> per annum for 2018-19 as shown in Table A2.4.</w:t>
      </w:r>
    </w:p>
    <w:p w14:paraId="7BD793D8" w14:textId="77777777" w:rsidR="00E04C6D" w:rsidRPr="00503F5B" w:rsidRDefault="00E04C6D" w:rsidP="00E04C6D">
      <w:pPr>
        <w:jc w:val="both"/>
        <w:rPr>
          <w:rFonts w:eastAsia="Times New Roman" w:cs="Calibri"/>
          <w:lang w:eastAsia="en-AU"/>
        </w:rPr>
      </w:pPr>
    </w:p>
    <w:p w14:paraId="184FCE97" w14:textId="63A883BF" w:rsidR="00E04C6D" w:rsidRPr="00503F5B" w:rsidRDefault="00E04C6D" w:rsidP="00E04C6D">
      <w:pPr>
        <w:widowControl w:val="0"/>
        <w:autoSpaceDE w:val="0"/>
        <w:autoSpaceDN w:val="0"/>
        <w:adjustRightInd w:val="0"/>
        <w:jc w:val="both"/>
        <w:rPr>
          <w:rFonts w:cs="Calibri"/>
          <w:color w:val="auto"/>
        </w:rPr>
      </w:pPr>
      <w:r w:rsidRPr="00503F5B">
        <w:rPr>
          <w:rFonts w:cs="Calibri"/>
          <w:color w:val="auto"/>
        </w:rPr>
        <w:t>The largest proportion of costs (i.e. 72.7</w:t>
      </w:r>
      <w:r w:rsidR="0026033F" w:rsidRPr="00503F5B">
        <w:rPr>
          <w:rFonts w:cs="Calibri"/>
          <w:color w:val="auto"/>
        </w:rPr>
        <w:t>2</w:t>
      </w:r>
      <w:r w:rsidRPr="00503F5B">
        <w:rPr>
          <w:rFonts w:cs="Calibri"/>
          <w:color w:val="auto"/>
        </w:rPr>
        <w:t>% of overall costs) is represented by direct staffing including operational staffing costs, followed by estimated indirect costs (i.e. 25.02% of overall costs or as stated above, 33.36% of total direct costs).</w:t>
      </w:r>
    </w:p>
    <w:p w14:paraId="48B539EB" w14:textId="77777777" w:rsidR="00E04C6D" w:rsidRPr="00503F5B" w:rsidRDefault="00E04C6D" w:rsidP="00E04C6D">
      <w:pPr>
        <w:widowControl w:val="0"/>
        <w:autoSpaceDE w:val="0"/>
        <w:autoSpaceDN w:val="0"/>
        <w:adjustRightInd w:val="0"/>
        <w:jc w:val="both"/>
        <w:rPr>
          <w:rFonts w:cs="Calibri"/>
          <w:color w:val="auto"/>
        </w:rPr>
      </w:pPr>
    </w:p>
    <w:p w14:paraId="64169F66" w14:textId="77777777" w:rsidR="003F215B" w:rsidRPr="00503F5B" w:rsidRDefault="003F215B">
      <w:pPr>
        <w:spacing w:after="160" w:line="259" w:lineRule="auto"/>
        <w:rPr>
          <w:b/>
          <w:sz w:val="20"/>
          <w:szCs w:val="20"/>
        </w:rPr>
      </w:pPr>
      <w:r w:rsidRPr="00503F5B">
        <w:rPr>
          <w:b/>
          <w:sz w:val="20"/>
          <w:szCs w:val="20"/>
        </w:rPr>
        <w:br w:type="page"/>
      </w:r>
    </w:p>
    <w:p w14:paraId="6B7BB5A6" w14:textId="23F40954" w:rsidR="00E04C6D" w:rsidRPr="00503F5B" w:rsidRDefault="00E04C6D" w:rsidP="00E04C6D">
      <w:pPr>
        <w:jc w:val="center"/>
        <w:rPr>
          <w:b/>
          <w:sz w:val="20"/>
          <w:szCs w:val="20"/>
        </w:rPr>
      </w:pPr>
      <w:r w:rsidRPr="00503F5B">
        <w:rPr>
          <w:b/>
          <w:sz w:val="20"/>
          <w:szCs w:val="20"/>
        </w:rPr>
        <w:lastRenderedPageBreak/>
        <w:t>Table A2.4: Total direct and indirect costs for emergency attendances for CFA integrated stations with and without false alarms – 2018-19</w:t>
      </w:r>
    </w:p>
    <w:p w14:paraId="03F493E0" w14:textId="77777777" w:rsidR="00E04C6D" w:rsidRPr="00503F5B" w:rsidRDefault="00E04C6D" w:rsidP="00E04C6D">
      <w:pPr>
        <w:jc w:val="both"/>
      </w:pPr>
    </w:p>
    <w:tbl>
      <w:tblPr>
        <w:tblW w:w="8257" w:type="dxa"/>
        <w:jc w:val="center"/>
        <w:tblLook w:val="04A0" w:firstRow="1" w:lastRow="0" w:firstColumn="1" w:lastColumn="0" w:noHBand="0" w:noVBand="1"/>
      </w:tblPr>
      <w:tblGrid>
        <w:gridCol w:w="4820"/>
        <w:gridCol w:w="1701"/>
        <w:gridCol w:w="1736"/>
      </w:tblGrid>
      <w:tr w:rsidR="00E04C6D" w:rsidRPr="00503F5B" w14:paraId="363AAAE1" w14:textId="77777777" w:rsidTr="00773B6E">
        <w:trPr>
          <w:trHeight w:val="70"/>
          <w:tblHeader/>
          <w:jc w:val="center"/>
        </w:trPr>
        <w:tc>
          <w:tcPr>
            <w:tcW w:w="4820" w:type="dxa"/>
            <w:tcBorders>
              <w:top w:val="single" w:sz="4" w:space="0" w:color="ED7C5D"/>
              <w:left w:val="nil"/>
              <w:bottom w:val="double" w:sz="4" w:space="0" w:color="ED7C5D"/>
              <w:right w:val="nil"/>
            </w:tcBorders>
            <w:shd w:val="clear" w:color="000000" w:fill="FFFFFF"/>
            <w:noWrap/>
            <w:hideMark/>
          </w:tcPr>
          <w:p w14:paraId="58D9A182" w14:textId="77777777" w:rsidR="00E04C6D" w:rsidRPr="00503F5B" w:rsidRDefault="00E04C6D" w:rsidP="00E04C6D">
            <w:pPr>
              <w:rPr>
                <w:rFonts w:eastAsia="Times New Roman" w:cs="Calibri"/>
                <w:b/>
                <w:bCs/>
                <w:color w:val="C00000"/>
                <w:sz w:val="20"/>
                <w:szCs w:val="20"/>
                <w:lang w:eastAsia="en-AU"/>
              </w:rPr>
            </w:pPr>
            <w:r w:rsidRPr="00503F5B">
              <w:rPr>
                <w:rFonts w:eastAsia="Times New Roman" w:cs="Calibri"/>
                <w:b/>
                <w:bCs/>
                <w:color w:val="C00000"/>
                <w:sz w:val="20"/>
                <w:szCs w:val="20"/>
                <w:lang w:eastAsia="en-AU"/>
              </w:rPr>
              <w:t>Direct and Indirect costs</w:t>
            </w:r>
          </w:p>
        </w:tc>
        <w:tc>
          <w:tcPr>
            <w:tcW w:w="1701" w:type="dxa"/>
            <w:tcBorders>
              <w:top w:val="single" w:sz="4" w:space="0" w:color="ED7C5D"/>
              <w:left w:val="nil"/>
              <w:bottom w:val="double" w:sz="4" w:space="0" w:color="ED7C5D"/>
              <w:right w:val="nil"/>
            </w:tcBorders>
            <w:shd w:val="clear" w:color="000000" w:fill="FFFFFF"/>
            <w:noWrap/>
            <w:hideMark/>
          </w:tcPr>
          <w:p w14:paraId="3015EDB7"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Annual cost</w:t>
            </w:r>
          </w:p>
        </w:tc>
        <w:tc>
          <w:tcPr>
            <w:tcW w:w="1736" w:type="dxa"/>
            <w:tcBorders>
              <w:top w:val="single" w:sz="4" w:space="0" w:color="ED7C5D"/>
              <w:left w:val="nil"/>
              <w:bottom w:val="double" w:sz="4" w:space="0" w:color="ED7C5D"/>
              <w:right w:val="nil"/>
            </w:tcBorders>
            <w:shd w:val="clear" w:color="000000" w:fill="FFFFFF"/>
            <w:noWrap/>
            <w:hideMark/>
          </w:tcPr>
          <w:p w14:paraId="544D5820"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 of annual cost</w:t>
            </w:r>
          </w:p>
        </w:tc>
      </w:tr>
      <w:tr w:rsidR="00E04C6D" w:rsidRPr="00503F5B" w14:paraId="306054E7" w14:textId="77777777" w:rsidTr="00773B6E">
        <w:trPr>
          <w:trHeight w:val="35"/>
          <w:jc w:val="center"/>
        </w:trPr>
        <w:tc>
          <w:tcPr>
            <w:tcW w:w="4820" w:type="dxa"/>
            <w:tcBorders>
              <w:top w:val="double" w:sz="4" w:space="0" w:color="ED7C5D"/>
              <w:left w:val="nil"/>
              <w:bottom w:val="nil"/>
              <w:right w:val="nil"/>
            </w:tcBorders>
            <w:shd w:val="clear" w:color="000000" w:fill="FFFFFF"/>
            <w:noWrap/>
            <w:hideMark/>
          </w:tcPr>
          <w:p w14:paraId="03BA38C2" w14:textId="77777777" w:rsidR="00E04C6D" w:rsidRPr="00503F5B" w:rsidRDefault="00E04C6D" w:rsidP="00E04C6D">
            <w:pPr>
              <w:rPr>
                <w:rFonts w:eastAsia="Times New Roman" w:cs="Calibri"/>
                <w:color w:val="auto"/>
                <w:sz w:val="20"/>
                <w:szCs w:val="20"/>
                <w:lang w:eastAsia="en-AU"/>
              </w:rPr>
            </w:pPr>
            <w:r w:rsidRPr="00503F5B">
              <w:rPr>
                <w:rFonts w:eastAsia="Times New Roman" w:cs="Calibri"/>
                <w:color w:val="auto"/>
                <w:sz w:val="20"/>
                <w:szCs w:val="20"/>
                <w:lang w:eastAsia="en-AU"/>
              </w:rPr>
              <w:t>Appliance maintenance and support</w:t>
            </w:r>
          </w:p>
        </w:tc>
        <w:tc>
          <w:tcPr>
            <w:tcW w:w="1701" w:type="dxa"/>
            <w:tcBorders>
              <w:top w:val="double" w:sz="4" w:space="0" w:color="ED7C5D"/>
              <w:left w:val="nil"/>
              <w:bottom w:val="nil"/>
              <w:right w:val="nil"/>
            </w:tcBorders>
            <w:shd w:val="clear" w:color="000000" w:fill="FFFFFF"/>
            <w:noWrap/>
            <w:hideMark/>
          </w:tcPr>
          <w:p w14:paraId="1A2014BD" w14:textId="77777777" w:rsidR="00E04C6D" w:rsidRPr="00503F5B" w:rsidRDefault="00E04C6D" w:rsidP="00E04C6D">
            <w:pPr>
              <w:jc w:val="right"/>
              <w:rPr>
                <w:rFonts w:eastAsia="Times New Roman" w:cs="Calibri"/>
                <w:color w:val="auto"/>
                <w:sz w:val="20"/>
                <w:szCs w:val="20"/>
                <w:lang w:eastAsia="en-AU"/>
              </w:rPr>
            </w:pPr>
            <w:r w:rsidRPr="00503F5B">
              <w:rPr>
                <w:rFonts w:cs="Calibri"/>
                <w:sz w:val="20"/>
                <w:szCs w:val="20"/>
              </w:rPr>
              <w:t>$1,179,097</w:t>
            </w:r>
          </w:p>
        </w:tc>
        <w:tc>
          <w:tcPr>
            <w:tcW w:w="1736" w:type="dxa"/>
            <w:tcBorders>
              <w:top w:val="double" w:sz="4" w:space="0" w:color="ED7C5D"/>
              <w:left w:val="nil"/>
              <w:bottom w:val="nil"/>
              <w:right w:val="nil"/>
            </w:tcBorders>
            <w:shd w:val="clear" w:color="000000" w:fill="FFFFFF"/>
            <w:noWrap/>
            <w:hideMark/>
          </w:tcPr>
          <w:p w14:paraId="5BC85B38"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0.54%</w:t>
            </w:r>
          </w:p>
        </w:tc>
      </w:tr>
      <w:tr w:rsidR="00E04C6D" w:rsidRPr="00503F5B" w14:paraId="2E17E214" w14:textId="77777777" w:rsidTr="00E04C6D">
        <w:trPr>
          <w:trHeight w:val="80"/>
          <w:jc w:val="center"/>
        </w:trPr>
        <w:tc>
          <w:tcPr>
            <w:tcW w:w="4820" w:type="dxa"/>
            <w:tcBorders>
              <w:top w:val="nil"/>
              <w:left w:val="nil"/>
              <w:bottom w:val="nil"/>
              <w:right w:val="nil"/>
            </w:tcBorders>
            <w:shd w:val="clear" w:color="000000" w:fill="FFFFFF"/>
            <w:noWrap/>
            <w:hideMark/>
          </w:tcPr>
          <w:p w14:paraId="7AA5E86C"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Appliance licencing</w:t>
            </w:r>
          </w:p>
        </w:tc>
        <w:tc>
          <w:tcPr>
            <w:tcW w:w="1701" w:type="dxa"/>
            <w:tcBorders>
              <w:top w:val="nil"/>
              <w:left w:val="nil"/>
              <w:bottom w:val="nil"/>
              <w:right w:val="nil"/>
            </w:tcBorders>
            <w:shd w:val="clear" w:color="000000" w:fill="FFFFFF"/>
            <w:noWrap/>
            <w:hideMark/>
          </w:tcPr>
          <w:p w14:paraId="49D27484" w14:textId="77777777" w:rsidR="00E04C6D" w:rsidRPr="00503F5B" w:rsidRDefault="00E04C6D" w:rsidP="00E04C6D">
            <w:pPr>
              <w:jc w:val="right"/>
              <w:rPr>
                <w:rFonts w:eastAsia="Times New Roman" w:cs="Calibri"/>
                <w:b/>
                <w:bCs/>
                <w:i/>
                <w:iCs/>
                <w:sz w:val="20"/>
                <w:szCs w:val="20"/>
                <w:lang w:eastAsia="en-AU"/>
              </w:rPr>
            </w:pPr>
            <w:r w:rsidRPr="00503F5B">
              <w:rPr>
                <w:rFonts w:cs="Calibri"/>
                <w:b/>
                <w:bCs/>
                <w:i/>
                <w:iCs/>
                <w:sz w:val="20"/>
                <w:szCs w:val="20"/>
              </w:rPr>
              <w:t>$50,872</w:t>
            </w:r>
          </w:p>
        </w:tc>
        <w:tc>
          <w:tcPr>
            <w:tcW w:w="1736" w:type="dxa"/>
            <w:tcBorders>
              <w:top w:val="nil"/>
              <w:left w:val="nil"/>
              <w:bottom w:val="nil"/>
              <w:right w:val="nil"/>
            </w:tcBorders>
            <w:shd w:val="clear" w:color="000000" w:fill="FFFFFF"/>
            <w:noWrap/>
            <w:hideMark/>
          </w:tcPr>
          <w:p w14:paraId="29CCBA68"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0.02%</w:t>
            </w:r>
          </w:p>
        </w:tc>
      </w:tr>
      <w:tr w:rsidR="00E04C6D" w:rsidRPr="00503F5B" w14:paraId="6F726C28" w14:textId="77777777" w:rsidTr="00E04C6D">
        <w:trPr>
          <w:trHeight w:val="80"/>
          <w:jc w:val="center"/>
        </w:trPr>
        <w:tc>
          <w:tcPr>
            <w:tcW w:w="4820" w:type="dxa"/>
            <w:tcBorders>
              <w:top w:val="nil"/>
              <w:left w:val="nil"/>
              <w:bottom w:val="nil"/>
              <w:right w:val="nil"/>
            </w:tcBorders>
            <w:shd w:val="clear" w:color="000000" w:fill="FFFFFF"/>
            <w:noWrap/>
            <w:hideMark/>
          </w:tcPr>
          <w:p w14:paraId="6548D8E1"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Vehicle direct costs (external Inc. Fuel) SAP</w:t>
            </w:r>
          </w:p>
        </w:tc>
        <w:tc>
          <w:tcPr>
            <w:tcW w:w="1701" w:type="dxa"/>
            <w:tcBorders>
              <w:top w:val="nil"/>
              <w:left w:val="nil"/>
              <w:bottom w:val="nil"/>
              <w:right w:val="nil"/>
            </w:tcBorders>
            <w:shd w:val="clear" w:color="000000" w:fill="FFFFFF"/>
            <w:noWrap/>
            <w:hideMark/>
          </w:tcPr>
          <w:p w14:paraId="36B511BF"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$570,919</w:t>
            </w:r>
          </w:p>
        </w:tc>
        <w:tc>
          <w:tcPr>
            <w:tcW w:w="1736" w:type="dxa"/>
            <w:tcBorders>
              <w:top w:val="nil"/>
              <w:left w:val="nil"/>
              <w:bottom w:val="nil"/>
              <w:right w:val="nil"/>
            </w:tcBorders>
            <w:shd w:val="clear" w:color="000000" w:fill="FFFFFF"/>
            <w:noWrap/>
            <w:hideMark/>
          </w:tcPr>
          <w:p w14:paraId="5B769657"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0.26%</w:t>
            </w:r>
          </w:p>
        </w:tc>
      </w:tr>
      <w:tr w:rsidR="00E04C6D" w:rsidRPr="00503F5B" w14:paraId="5B49726D" w14:textId="77777777" w:rsidTr="00773B6E">
        <w:trPr>
          <w:trHeight w:val="70"/>
          <w:jc w:val="center"/>
        </w:trPr>
        <w:tc>
          <w:tcPr>
            <w:tcW w:w="4820" w:type="dxa"/>
            <w:tcBorders>
              <w:top w:val="double" w:sz="4" w:space="0" w:color="ED7C5D"/>
              <w:left w:val="nil"/>
              <w:bottom w:val="single" w:sz="4" w:space="0" w:color="ED7C5D"/>
              <w:right w:val="nil"/>
            </w:tcBorders>
            <w:shd w:val="clear" w:color="000000" w:fill="FFFFFF"/>
            <w:noWrap/>
            <w:hideMark/>
          </w:tcPr>
          <w:p w14:paraId="13AC3198" w14:textId="77777777" w:rsidR="00E04C6D" w:rsidRPr="00503F5B" w:rsidRDefault="00E04C6D" w:rsidP="00E04C6D">
            <w:pPr>
              <w:rPr>
                <w:rFonts w:eastAsia="Times New Roman" w:cs="Calibri"/>
                <w:b/>
                <w:bCs/>
                <w:sz w:val="20"/>
                <w:szCs w:val="20"/>
                <w:lang w:eastAsia="en-AU"/>
              </w:rPr>
            </w:pPr>
            <w:r w:rsidRPr="00503F5B">
              <w:rPr>
                <w:rFonts w:eastAsia="Times New Roman" w:cs="Calibri"/>
                <w:b/>
                <w:bCs/>
                <w:sz w:val="20"/>
                <w:szCs w:val="20"/>
                <w:lang w:eastAsia="en-AU"/>
              </w:rPr>
              <w:t>Sub-total direct annual appliance costs</w:t>
            </w:r>
          </w:p>
        </w:tc>
        <w:tc>
          <w:tcPr>
            <w:tcW w:w="1701" w:type="dxa"/>
            <w:tcBorders>
              <w:top w:val="double" w:sz="4" w:space="0" w:color="ED7C5D"/>
              <w:left w:val="nil"/>
              <w:bottom w:val="single" w:sz="4" w:space="0" w:color="ED7C5D"/>
              <w:right w:val="nil"/>
            </w:tcBorders>
            <w:shd w:val="clear" w:color="000000" w:fill="FFFFFF"/>
            <w:noWrap/>
            <w:hideMark/>
          </w:tcPr>
          <w:p w14:paraId="4FF75FD2" w14:textId="77777777" w:rsidR="00E04C6D" w:rsidRPr="00503F5B" w:rsidRDefault="00E04C6D" w:rsidP="00E04C6D">
            <w:pPr>
              <w:jc w:val="right"/>
              <w:rPr>
                <w:rFonts w:eastAsia="Times New Roman" w:cs="Calibri"/>
                <w:b/>
                <w:bCs/>
                <w:sz w:val="20"/>
                <w:szCs w:val="20"/>
                <w:lang w:eastAsia="en-AU"/>
              </w:rPr>
            </w:pPr>
            <w:r w:rsidRPr="00503F5B">
              <w:rPr>
                <w:rFonts w:cs="Calibri"/>
                <w:b/>
                <w:bCs/>
                <w:sz w:val="20"/>
                <w:szCs w:val="20"/>
              </w:rPr>
              <w:t>$1,800,888</w:t>
            </w:r>
          </w:p>
        </w:tc>
        <w:tc>
          <w:tcPr>
            <w:tcW w:w="1736" w:type="dxa"/>
            <w:tcBorders>
              <w:top w:val="double" w:sz="4" w:space="0" w:color="ED7C5D"/>
              <w:left w:val="nil"/>
              <w:bottom w:val="single" w:sz="4" w:space="0" w:color="ED7C5D"/>
              <w:right w:val="nil"/>
            </w:tcBorders>
            <w:shd w:val="clear" w:color="000000" w:fill="FFFFFF"/>
            <w:noWrap/>
            <w:hideMark/>
          </w:tcPr>
          <w:p w14:paraId="6023DFB1" w14:textId="77777777" w:rsidR="00E04C6D" w:rsidRPr="00503F5B" w:rsidRDefault="00E04C6D" w:rsidP="00E04C6D">
            <w:pPr>
              <w:jc w:val="right"/>
              <w:rPr>
                <w:rFonts w:eastAsia="Times New Roman" w:cs="Calibri"/>
                <w:b/>
                <w:bCs/>
                <w:sz w:val="20"/>
                <w:szCs w:val="20"/>
                <w:lang w:eastAsia="en-AU"/>
              </w:rPr>
            </w:pPr>
            <w:r w:rsidRPr="00503F5B">
              <w:rPr>
                <w:rFonts w:cs="Calibri"/>
                <w:b/>
                <w:bCs/>
                <w:sz w:val="20"/>
                <w:szCs w:val="20"/>
              </w:rPr>
              <w:t>0.83%</w:t>
            </w:r>
          </w:p>
        </w:tc>
      </w:tr>
      <w:tr w:rsidR="00861CF7" w:rsidRPr="00503F5B" w14:paraId="4CCD5A5D" w14:textId="77777777" w:rsidTr="00537923">
        <w:trPr>
          <w:trHeight w:val="70"/>
          <w:jc w:val="center"/>
        </w:trPr>
        <w:tc>
          <w:tcPr>
            <w:tcW w:w="4820" w:type="dxa"/>
            <w:tcBorders>
              <w:top w:val="single" w:sz="4" w:space="0" w:color="ED7C5D"/>
              <w:left w:val="nil"/>
              <w:bottom w:val="nil"/>
              <w:right w:val="nil"/>
            </w:tcBorders>
            <w:shd w:val="clear" w:color="000000" w:fill="FFFFFF"/>
            <w:noWrap/>
            <w:hideMark/>
          </w:tcPr>
          <w:p w14:paraId="2BB7935E" w14:textId="77777777" w:rsidR="00861CF7" w:rsidRPr="00503F5B" w:rsidRDefault="00861CF7" w:rsidP="00861CF7">
            <w:pPr>
              <w:rPr>
                <w:rFonts w:eastAsia="Times New Roman" w:cs="Calibri"/>
                <w:sz w:val="20"/>
                <w:szCs w:val="20"/>
                <w:lang w:eastAsia="en-AU"/>
              </w:rPr>
            </w:pPr>
            <w:bookmarkStart w:id="276" w:name="RANGE!K10"/>
            <w:r w:rsidRPr="00503F5B">
              <w:rPr>
                <w:rFonts w:eastAsia="Times New Roman" w:cs="Calibri"/>
                <w:sz w:val="20"/>
                <w:szCs w:val="20"/>
                <w:lang w:eastAsia="en-AU"/>
              </w:rPr>
              <w:t>Salaries and on-costs (including operational staff)</w:t>
            </w:r>
            <w:bookmarkEnd w:id="276"/>
          </w:p>
        </w:tc>
        <w:tc>
          <w:tcPr>
            <w:tcW w:w="1701" w:type="dxa"/>
            <w:tcBorders>
              <w:top w:val="single" w:sz="4" w:space="0" w:color="ED7C5D"/>
              <w:left w:val="nil"/>
              <w:bottom w:val="nil"/>
              <w:right w:val="nil"/>
            </w:tcBorders>
            <w:shd w:val="clear" w:color="000000" w:fill="FFFFFF"/>
            <w:noWrap/>
            <w:vAlign w:val="bottom"/>
            <w:hideMark/>
          </w:tcPr>
          <w:p w14:paraId="3C9D59D6" w14:textId="027109C6" w:rsidR="00861CF7" w:rsidRPr="00503F5B" w:rsidRDefault="00861CF7" w:rsidP="00861CF7">
            <w:pPr>
              <w:jc w:val="right"/>
              <w:rPr>
                <w:rFonts w:eastAsia="Times New Roman" w:cs="Calibri"/>
                <w:sz w:val="20"/>
                <w:szCs w:val="20"/>
                <w:lang w:eastAsia="en-AU"/>
              </w:rPr>
            </w:pPr>
            <w:r>
              <w:rPr>
                <w:rFonts w:cs="Calibri"/>
                <w:sz w:val="20"/>
                <w:szCs w:val="20"/>
              </w:rPr>
              <w:t>$1</w:t>
            </w:r>
            <w:r w:rsidR="00435388">
              <w:rPr>
                <w:rFonts w:cs="Calibri"/>
                <w:sz w:val="20"/>
                <w:szCs w:val="20"/>
              </w:rPr>
              <w:t>50,660,029</w:t>
            </w:r>
          </w:p>
        </w:tc>
        <w:tc>
          <w:tcPr>
            <w:tcW w:w="1736" w:type="dxa"/>
            <w:tcBorders>
              <w:top w:val="single" w:sz="4" w:space="0" w:color="ED7C5D"/>
              <w:left w:val="nil"/>
              <w:bottom w:val="nil"/>
              <w:right w:val="nil"/>
            </w:tcBorders>
            <w:shd w:val="clear" w:color="000000" w:fill="FFFFFF"/>
            <w:noWrap/>
            <w:vAlign w:val="bottom"/>
            <w:hideMark/>
          </w:tcPr>
          <w:p w14:paraId="7B8C34AA" w14:textId="715D6F63" w:rsidR="00861CF7" w:rsidRPr="00503F5B" w:rsidRDefault="00435388" w:rsidP="00861CF7">
            <w:pPr>
              <w:jc w:val="right"/>
              <w:rPr>
                <w:rFonts w:eastAsia="Times New Roman" w:cs="Calibri"/>
                <w:sz w:val="20"/>
                <w:szCs w:val="20"/>
                <w:lang w:eastAsia="en-AU"/>
              </w:rPr>
            </w:pPr>
            <w:r>
              <w:rPr>
                <w:rFonts w:cs="Calibri"/>
                <w:sz w:val="20"/>
                <w:szCs w:val="20"/>
              </w:rPr>
              <w:t>69.16</w:t>
            </w:r>
            <w:r w:rsidR="00861CF7">
              <w:rPr>
                <w:rFonts w:cs="Calibri"/>
                <w:sz w:val="20"/>
                <w:szCs w:val="20"/>
              </w:rPr>
              <w:t>%</w:t>
            </w:r>
          </w:p>
        </w:tc>
      </w:tr>
      <w:tr w:rsidR="00861CF7" w:rsidRPr="00503F5B" w14:paraId="03B5ACD8" w14:textId="77777777" w:rsidTr="00773B6E">
        <w:trPr>
          <w:trHeight w:val="80"/>
          <w:jc w:val="center"/>
        </w:trPr>
        <w:tc>
          <w:tcPr>
            <w:tcW w:w="4820" w:type="dxa"/>
            <w:tcBorders>
              <w:top w:val="nil"/>
              <w:left w:val="nil"/>
              <w:bottom w:val="single" w:sz="4" w:space="0" w:color="ED7C5D"/>
              <w:right w:val="nil"/>
            </w:tcBorders>
            <w:shd w:val="clear" w:color="000000" w:fill="FFFFFF"/>
            <w:noWrap/>
            <w:hideMark/>
          </w:tcPr>
          <w:p w14:paraId="7D107E51" w14:textId="77777777" w:rsidR="00861CF7" w:rsidRPr="00503F5B" w:rsidRDefault="00861CF7" w:rsidP="00861CF7">
            <w:pPr>
              <w:rPr>
                <w:rFonts w:eastAsia="Times New Roman" w:cs="Calibri"/>
                <w:sz w:val="20"/>
                <w:szCs w:val="20"/>
                <w:lang w:eastAsia="en-AU"/>
              </w:rPr>
            </w:pPr>
            <w:r w:rsidRPr="00503F5B">
              <w:rPr>
                <w:rFonts w:eastAsia="Times New Roman" w:cs="Calibri"/>
                <w:sz w:val="20"/>
                <w:szCs w:val="20"/>
                <w:lang w:eastAsia="en-AU"/>
              </w:rPr>
              <w:t>Other employee expenses</w:t>
            </w:r>
          </w:p>
        </w:tc>
        <w:tc>
          <w:tcPr>
            <w:tcW w:w="1701" w:type="dxa"/>
            <w:tcBorders>
              <w:top w:val="nil"/>
              <w:left w:val="nil"/>
              <w:bottom w:val="single" w:sz="4" w:space="0" w:color="ED7C5D"/>
              <w:right w:val="nil"/>
            </w:tcBorders>
            <w:shd w:val="clear" w:color="000000" w:fill="FFFFFF"/>
            <w:noWrap/>
            <w:hideMark/>
          </w:tcPr>
          <w:p w14:paraId="7CCAF623" w14:textId="77777777" w:rsidR="00861CF7" w:rsidRPr="00503F5B" w:rsidRDefault="00861CF7" w:rsidP="00861CF7">
            <w:pPr>
              <w:jc w:val="right"/>
              <w:rPr>
                <w:rFonts w:eastAsia="Times New Roman" w:cs="Calibri"/>
                <w:sz w:val="20"/>
                <w:szCs w:val="20"/>
                <w:lang w:eastAsia="en-AU"/>
              </w:rPr>
            </w:pPr>
            <w:r w:rsidRPr="00503F5B">
              <w:rPr>
                <w:rFonts w:cs="Calibri"/>
                <w:sz w:val="20"/>
                <w:szCs w:val="20"/>
              </w:rPr>
              <w:t>$7,743,016</w:t>
            </w:r>
          </w:p>
        </w:tc>
        <w:tc>
          <w:tcPr>
            <w:tcW w:w="1736" w:type="dxa"/>
            <w:tcBorders>
              <w:top w:val="nil"/>
              <w:left w:val="nil"/>
              <w:bottom w:val="single" w:sz="4" w:space="0" w:color="ED7C5D"/>
              <w:right w:val="nil"/>
            </w:tcBorders>
            <w:shd w:val="clear" w:color="000000" w:fill="FFFFFF"/>
            <w:noWrap/>
            <w:hideMark/>
          </w:tcPr>
          <w:p w14:paraId="1151A1B7" w14:textId="77777777" w:rsidR="00861CF7" w:rsidRPr="00503F5B" w:rsidRDefault="00861CF7" w:rsidP="00861CF7">
            <w:pPr>
              <w:jc w:val="right"/>
              <w:rPr>
                <w:rFonts w:eastAsia="Times New Roman" w:cs="Calibri"/>
                <w:sz w:val="20"/>
                <w:szCs w:val="20"/>
                <w:lang w:eastAsia="en-AU"/>
              </w:rPr>
            </w:pPr>
            <w:r w:rsidRPr="00503F5B">
              <w:rPr>
                <w:rFonts w:cs="Calibri"/>
                <w:sz w:val="20"/>
                <w:szCs w:val="20"/>
              </w:rPr>
              <w:t>3.55%</w:t>
            </w:r>
          </w:p>
        </w:tc>
      </w:tr>
      <w:tr w:rsidR="00861CF7" w:rsidRPr="00503F5B" w14:paraId="48153FD1" w14:textId="77777777" w:rsidTr="00773B6E">
        <w:trPr>
          <w:trHeight w:val="70"/>
          <w:jc w:val="center"/>
        </w:trPr>
        <w:tc>
          <w:tcPr>
            <w:tcW w:w="4820" w:type="dxa"/>
            <w:tcBorders>
              <w:top w:val="single" w:sz="4" w:space="0" w:color="ED7C5D"/>
              <w:left w:val="nil"/>
              <w:bottom w:val="single" w:sz="4" w:space="0" w:color="ED7C5D"/>
              <w:right w:val="nil"/>
            </w:tcBorders>
            <w:shd w:val="clear" w:color="000000" w:fill="FFFFFF"/>
            <w:noWrap/>
            <w:hideMark/>
          </w:tcPr>
          <w:p w14:paraId="6BB49942" w14:textId="77777777" w:rsidR="00861CF7" w:rsidRPr="00503F5B" w:rsidRDefault="00861CF7" w:rsidP="00861CF7">
            <w:pPr>
              <w:rPr>
                <w:rFonts w:eastAsia="Times New Roman" w:cs="Calibri"/>
                <w:b/>
                <w:bCs/>
                <w:sz w:val="20"/>
                <w:szCs w:val="20"/>
                <w:lang w:eastAsia="en-AU"/>
              </w:rPr>
            </w:pPr>
            <w:r w:rsidRPr="00503F5B">
              <w:rPr>
                <w:rFonts w:eastAsia="Times New Roman" w:cs="Calibri"/>
                <w:b/>
                <w:bCs/>
                <w:sz w:val="20"/>
                <w:szCs w:val="20"/>
                <w:lang w:eastAsia="en-AU"/>
              </w:rPr>
              <w:t>Sub-total direct annual staffing costs</w:t>
            </w:r>
          </w:p>
        </w:tc>
        <w:tc>
          <w:tcPr>
            <w:tcW w:w="1701" w:type="dxa"/>
            <w:tcBorders>
              <w:top w:val="single" w:sz="4" w:space="0" w:color="ED7C5D"/>
              <w:left w:val="nil"/>
              <w:bottom w:val="single" w:sz="4" w:space="0" w:color="ED7C5D"/>
              <w:right w:val="nil"/>
            </w:tcBorders>
            <w:shd w:val="clear" w:color="000000" w:fill="FFFFFF"/>
            <w:noWrap/>
            <w:hideMark/>
          </w:tcPr>
          <w:p w14:paraId="0A685B10" w14:textId="77777777" w:rsidR="00861CF7" w:rsidRPr="00503F5B" w:rsidRDefault="00861CF7" w:rsidP="00861CF7">
            <w:pPr>
              <w:jc w:val="right"/>
              <w:rPr>
                <w:rFonts w:eastAsia="Times New Roman" w:cs="Calibri"/>
                <w:b/>
                <w:bCs/>
                <w:sz w:val="20"/>
                <w:szCs w:val="20"/>
                <w:lang w:eastAsia="en-AU"/>
              </w:rPr>
            </w:pPr>
            <w:r w:rsidRPr="00503F5B">
              <w:rPr>
                <w:rFonts w:cs="Calibri"/>
                <w:b/>
                <w:bCs/>
                <w:sz w:val="20"/>
                <w:szCs w:val="20"/>
              </w:rPr>
              <w:t>$158,403,045</w:t>
            </w:r>
          </w:p>
        </w:tc>
        <w:tc>
          <w:tcPr>
            <w:tcW w:w="1736" w:type="dxa"/>
            <w:tcBorders>
              <w:top w:val="single" w:sz="4" w:space="0" w:color="ED7C5D"/>
              <w:left w:val="nil"/>
              <w:bottom w:val="single" w:sz="4" w:space="0" w:color="ED7C5D"/>
              <w:right w:val="nil"/>
            </w:tcBorders>
            <w:shd w:val="clear" w:color="000000" w:fill="FFFFFF"/>
            <w:noWrap/>
            <w:hideMark/>
          </w:tcPr>
          <w:p w14:paraId="607A1F72" w14:textId="77777777" w:rsidR="00861CF7" w:rsidRPr="00503F5B" w:rsidRDefault="00861CF7" w:rsidP="00861CF7">
            <w:pPr>
              <w:jc w:val="right"/>
              <w:rPr>
                <w:rFonts w:eastAsia="Times New Roman" w:cs="Calibri"/>
                <w:b/>
                <w:bCs/>
                <w:sz w:val="20"/>
                <w:szCs w:val="20"/>
                <w:lang w:eastAsia="en-AU"/>
              </w:rPr>
            </w:pPr>
            <w:r w:rsidRPr="00503F5B">
              <w:rPr>
                <w:rFonts w:cs="Calibri"/>
                <w:b/>
                <w:bCs/>
                <w:sz w:val="20"/>
                <w:szCs w:val="20"/>
              </w:rPr>
              <w:t>72.71%</w:t>
            </w:r>
          </w:p>
        </w:tc>
      </w:tr>
      <w:tr w:rsidR="00861CF7" w:rsidRPr="00503F5B" w14:paraId="3138824C" w14:textId="77777777" w:rsidTr="00773B6E">
        <w:trPr>
          <w:trHeight w:val="70"/>
          <w:jc w:val="center"/>
        </w:trPr>
        <w:tc>
          <w:tcPr>
            <w:tcW w:w="4820" w:type="dxa"/>
            <w:tcBorders>
              <w:top w:val="single" w:sz="4" w:space="0" w:color="ED7C5D"/>
              <w:left w:val="nil"/>
              <w:bottom w:val="nil"/>
              <w:right w:val="nil"/>
            </w:tcBorders>
            <w:shd w:val="clear" w:color="000000" w:fill="FFFFFF"/>
            <w:noWrap/>
            <w:hideMark/>
          </w:tcPr>
          <w:p w14:paraId="723E01E0" w14:textId="77777777" w:rsidR="00861CF7" w:rsidRPr="00503F5B" w:rsidRDefault="00861CF7" w:rsidP="00861CF7">
            <w:pPr>
              <w:rPr>
                <w:rFonts w:eastAsia="Times New Roman" w:cs="Calibri"/>
                <w:sz w:val="20"/>
                <w:szCs w:val="20"/>
                <w:lang w:eastAsia="en-AU"/>
              </w:rPr>
            </w:pPr>
            <w:r w:rsidRPr="00503F5B">
              <w:rPr>
                <w:rFonts w:eastAsia="Times New Roman" w:cs="Calibri"/>
                <w:sz w:val="20"/>
                <w:szCs w:val="20"/>
                <w:lang w:eastAsia="en-AU"/>
              </w:rPr>
              <w:t>Land and buildings maintenance (external Suppliers)</w:t>
            </w:r>
          </w:p>
        </w:tc>
        <w:tc>
          <w:tcPr>
            <w:tcW w:w="1701" w:type="dxa"/>
            <w:tcBorders>
              <w:top w:val="single" w:sz="4" w:space="0" w:color="ED7C5D"/>
              <w:left w:val="nil"/>
              <w:bottom w:val="nil"/>
              <w:right w:val="nil"/>
            </w:tcBorders>
            <w:shd w:val="clear" w:color="000000" w:fill="FFFFFF"/>
            <w:noWrap/>
            <w:hideMark/>
          </w:tcPr>
          <w:p w14:paraId="4FDADD1E" w14:textId="77777777" w:rsidR="00861CF7" w:rsidRPr="00503F5B" w:rsidRDefault="00861CF7" w:rsidP="00861CF7">
            <w:pPr>
              <w:jc w:val="right"/>
              <w:rPr>
                <w:rFonts w:eastAsia="Times New Roman" w:cs="Calibri"/>
                <w:sz w:val="20"/>
                <w:szCs w:val="20"/>
                <w:lang w:eastAsia="en-AU"/>
              </w:rPr>
            </w:pPr>
            <w:r w:rsidRPr="00503F5B">
              <w:rPr>
                <w:rFonts w:cs="Calibri"/>
                <w:sz w:val="20"/>
                <w:szCs w:val="20"/>
              </w:rPr>
              <w:t>$1,200,004</w:t>
            </w:r>
          </w:p>
        </w:tc>
        <w:tc>
          <w:tcPr>
            <w:tcW w:w="1736" w:type="dxa"/>
            <w:tcBorders>
              <w:top w:val="single" w:sz="4" w:space="0" w:color="ED7C5D"/>
              <w:left w:val="nil"/>
              <w:bottom w:val="nil"/>
              <w:right w:val="nil"/>
            </w:tcBorders>
            <w:shd w:val="clear" w:color="000000" w:fill="FFFFFF"/>
            <w:noWrap/>
            <w:hideMark/>
          </w:tcPr>
          <w:p w14:paraId="1A61B3B9" w14:textId="77777777" w:rsidR="00861CF7" w:rsidRPr="00503F5B" w:rsidRDefault="00861CF7" w:rsidP="00861CF7">
            <w:pPr>
              <w:jc w:val="right"/>
              <w:rPr>
                <w:rFonts w:eastAsia="Times New Roman" w:cs="Calibri"/>
                <w:sz w:val="20"/>
                <w:szCs w:val="20"/>
                <w:lang w:eastAsia="en-AU"/>
              </w:rPr>
            </w:pPr>
            <w:r w:rsidRPr="00503F5B">
              <w:rPr>
                <w:rFonts w:cs="Calibri"/>
                <w:sz w:val="20"/>
                <w:szCs w:val="20"/>
              </w:rPr>
              <w:t>0.55%</w:t>
            </w:r>
          </w:p>
        </w:tc>
      </w:tr>
      <w:tr w:rsidR="00861CF7" w:rsidRPr="00503F5B" w14:paraId="47DA3686" w14:textId="77777777" w:rsidTr="00E04C6D">
        <w:trPr>
          <w:trHeight w:val="80"/>
          <w:jc w:val="center"/>
        </w:trPr>
        <w:tc>
          <w:tcPr>
            <w:tcW w:w="4820" w:type="dxa"/>
            <w:tcBorders>
              <w:top w:val="nil"/>
              <w:left w:val="nil"/>
              <w:bottom w:val="nil"/>
              <w:right w:val="nil"/>
            </w:tcBorders>
            <w:shd w:val="clear" w:color="000000" w:fill="FFFFFF"/>
            <w:noWrap/>
            <w:hideMark/>
          </w:tcPr>
          <w:p w14:paraId="5FEB5907" w14:textId="77777777" w:rsidR="00861CF7" w:rsidRPr="00503F5B" w:rsidRDefault="00861CF7" w:rsidP="00861CF7">
            <w:pPr>
              <w:rPr>
                <w:rFonts w:eastAsia="Times New Roman" w:cs="Calibri"/>
                <w:sz w:val="20"/>
                <w:szCs w:val="20"/>
                <w:lang w:eastAsia="en-AU"/>
              </w:rPr>
            </w:pPr>
            <w:r w:rsidRPr="00503F5B">
              <w:rPr>
                <w:rFonts w:eastAsia="Times New Roman" w:cs="Calibri"/>
                <w:sz w:val="20"/>
                <w:szCs w:val="20"/>
                <w:lang w:eastAsia="en-AU"/>
              </w:rPr>
              <w:t>Plant and equipment maintenance (external Suppliers)</w:t>
            </w:r>
          </w:p>
        </w:tc>
        <w:tc>
          <w:tcPr>
            <w:tcW w:w="1701" w:type="dxa"/>
            <w:tcBorders>
              <w:top w:val="nil"/>
              <w:left w:val="nil"/>
              <w:bottom w:val="nil"/>
              <w:right w:val="nil"/>
            </w:tcBorders>
            <w:shd w:val="clear" w:color="000000" w:fill="FFFFFF"/>
            <w:noWrap/>
            <w:hideMark/>
          </w:tcPr>
          <w:p w14:paraId="62C33CF4" w14:textId="77777777" w:rsidR="00861CF7" w:rsidRPr="00503F5B" w:rsidRDefault="00861CF7" w:rsidP="00861CF7">
            <w:pPr>
              <w:jc w:val="right"/>
              <w:rPr>
                <w:rFonts w:eastAsia="Times New Roman" w:cs="Calibri"/>
                <w:sz w:val="20"/>
                <w:szCs w:val="20"/>
                <w:lang w:eastAsia="en-AU"/>
              </w:rPr>
            </w:pPr>
            <w:r w:rsidRPr="00503F5B">
              <w:rPr>
                <w:rFonts w:cs="Calibri"/>
                <w:sz w:val="20"/>
                <w:szCs w:val="20"/>
              </w:rPr>
              <w:t>$720,022</w:t>
            </w:r>
          </w:p>
        </w:tc>
        <w:tc>
          <w:tcPr>
            <w:tcW w:w="1736" w:type="dxa"/>
            <w:tcBorders>
              <w:top w:val="nil"/>
              <w:left w:val="nil"/>
              <w:bottom w:val="nil"/>
              <w:right w:val="nil"/>
            </w:tcBorders>
            <w:shd w:val="clear" w:color="000000" w:fill="FFFFFF"/>
            <w:noWrap/>
            <w:hideMark/>
          </w:tcPr>
          <w:p w14:paraId="77064D8E" w14:textId="77777777" w:rsidR="00861CF7" w:rsidRPr="00503F5B" w:rsidRDefault="00861CF7" w:rsidP="00861CF7">
            <w:pPr>
              <w:jc w:val="right"/>
              <w:rPr>
                <w:rFonts w:eastAsia="Times New Roman" w:cs="Calibri"/>
                <w:sz w:val="20"/>
                <w:szCs w:val="20"/>
                <w:lang w:eastAsia="en-AU"/>
              </w:rPr>
            </w:pPr>
            <w:r w:rsidRPr="00503F5B">
              <w:rPr>
                <w:rFonts w:cs="Calibri"/>
                <w:sz w:val="20"/>
                <w:szCs w:val="20"/>
              </w:rPr>
              <w:t>0.33%</w:t>
            </w:r>
          </w:p>
        </w:tc>
      </w:tr>
      <w:tr w:rsidR="00861CF7" w:rsidRPr="00503F5B" w14:paraId="0259D878" w14:textId="77777777" w:rsidTr="00E04C6D">
        <w:trPr>
          <w:trHeight w:val="80"/>
          <w:jc w:val="center"/>
        </w:trPr>
        <w:tc>
          <w:tcPr>
            <w:tcW w:w="4820" w:type="dxa"/>
            <w:tcBorders>
              <w:top w:val="nil"/>
              <w:left w:val="nil"/>
              <w:bottom w:val="nil"/>
              <w:right w:val="nil"/>
            </w:tcBorders>
            <w:shd w:val="clear" w:color="000000" w:fill="FFFFFF"/>
            <w:noWrap/>
            <w:hideMark/>
          </w:tcPr>
          <w:p w14:paraId="196A88ED" w14:textId="77777777" w:rsidR="00861CF7" w:rsidRPr="00503F5B" w:rsidRDefault="00861CF7" w:rsidP="00861CF7">
            <w:pPr>
              <w:rPr>
                <w:rFonts w:eastAsia="Times New Roman" w:cs="Calibri"/>
                <w:sz w:val="20"/>
                <w:szCs w:val="20"/>
                <w:lang w:eastAsia="en-AU"/>
              </w:rPr>
            </w:pPr>
            <w:r w:rsidRPr="00503F5B">
              <w:rPr>
                <w:rFonts w:eastAsia="Times New Roman" w:cs="Calibri"/>
                <w:sz w:val="20"/>
                <w:szCs w:val="20"/>
                <w:lang w:eastAsia="en-AU"/>
              </w:rPr>
              <w:t>General expenses (external suppliers)</w:t>
            </w:r>
          </w:p>
        </w:tc>
        <w:tc>
          <w:tcPr>
            <w:tcW w:w="1701" w:type="dxa"/>
            <w:tcBorders>
              <w:top w:val="nil"/>
              <w:left w:val="nil"/>
              <w:bottom w:val="nil"/>
              <w:right w:val="nil"/>
            </w:tcBorders>
            <w:shd w:val="clear" w:color="000000" w:fill="FFFFFF"/>
            <w:noWrap/>
            <w:hideMark/>
          </w:tcPr>
          <w:p w14:paraId="2713A233" w14:textId="77777777" w:rsidR="00861CF7" w:rsidRPr="00503F5B" w:rsidRDefault="00861CF7" w:rsidP="00861CF7">
            <w:pPr>
              <w:jc w:val="right"/>
              <w:rPr>
                <w:rFonts w:eastAsia="Times New Roman" w:cs="Calibri"/>
                <w:sz w:val="20"/>
                <w:szCs w:val="20"/>
                <w:lang w:eastAsia="en-AU"/>
              </w:rPr>
            </w:pPr>
            <w:r w:rsidRPr="00503F5B">
              <w:rPr>
                <w:rFonts w:cs="Calibri"/>
                <w:sz w:val="20"/>
                <w:szCs w:val="20"/>
              </w:rPr>
              <w:t>$491,440</w:t>
            </w:r>
          </w:p>
        </w:tc>
        <w:tc>
          <w:tcPr>
            <w:tcW w:w="1736" w:type="dxa"/>
            <w:tcBorders>
              <w:top w:val="nil"/>
              <w:left w:val="nil"/>
              <w:bottom w:val="nil"/>
              <w:right w:val="nil"/>
            </w:tcBorders>
            <w:shd w:val="clear" w:color="000000" w:fill="FFFFFF"/>
            <w:noWrap/>
            <w:hideMark/>
          </w:tcPr>
          <w:p w14:paraId="3742378C" w14:textId="77777777" w:rsidR="00861CF7" w:rsidRPr="00503F5B" w:rsidRDefault="00861CF7" w:rsidP="00861CF7">
            <w:pPr>
              <w:jc w:val="right"/>
              <w:rPr>
                <w:rFonts w:eastAsia="Times New Roman" w:cs="Calibri"/>
                <w:sz w:val="20"/>
                <w:szCs w:val="20"/>
                <w:lang w:eastAsia="en-AU"/>
              </w:rPr>
            </w:pPr>
            <w:r w:rsidRPr="00503F5B">
              <w:rPr>
                <w:rFonts w:cs="Calibri"/>
                <w:sz w:val="20"/>
                <w:szCs w:val="20"/>
              </w:rPr>
              <w:t>0.23%</w:t>
            </w:r>
          </w:p>
        </w:tc>
      </w:tr>
      <w:tr w:rsidR="00861CF7" w:rsidRPr="00503F5B" w14:paraId="510CCB4E" w14:textId="77777777" w:rsidTr="00773B6E">
        <w:trPr>
          <w:trHeight w:val="80"/>
          <w:jc w:val="center"/>
        </w:trPr>
        <w:tc>
          <w:tcPr>
            <w:tcW w:w="4820" w:type="dxa"/>
            <w:tcBorders>
              <w:top w:val="nil"/>
              <w:left w:val="nil"/>
              <w:bottom w:val="single" w:sz="4" w:space="0" w:color="ED7C5D"/>
              <w:right w:val="nil"/>
            </w:tcBorders>
            <w:shd w:val="clear" w:color="000000" w:fill="FFFFFF"/>
            <w:noWrap/>
            <w:hideMark/>
          </w:tcPr>
          <w:p w14:paraId="4BD22891" w14:textId="77777777" w:rsidR="00861CF7" w:rsidRPr="00503F5B" w:rsidRDefault="00861CF7" w:rsidP="00861CF7">
            <w:pPr>
              <w:rPr>
                <w:rFonts w:eastAsia="Times New Roman" w:cs="Calibri"/>
                <w:i/>
                <w:iCs/>
                <w:sz w:val="20"/>
                <w:szCs w:val="20"/>
                <w:lang w:eastAsia="en-AU"/>
              </w:rPr>
            </w:pPr>
            <w:r w:rsidRPr="00503F5B">
              <w:rPr>
                <w:rFonts w:eastAsia="Times New Roman" w:cs="Calibri"/>
                <w:i/>
                <w:iCs/>
                <w:sz w:val="20"/>
                <w:szCs w:val="20"/>
                <w:lang w:eastAsia="en-AU"/>
              </w:rPr>
              <w:t>Land and buildings - CFA internal maintenance costs</w:t>
            </w:r>
          </w:p>
        </w:tc>
        <w:tc>
          <w:tcPr>
            <w:tcW w:w="1701" w:type="dxa"/>
            <w:tcBorders>
              <w:top w:val="nil"/>
              <w:left w:val="nil"/>
              <w:bottom w:val="single" w:sz="4" w:space="0" w:color="ED7C5D"/>
              <w:right w:val="nil"/>
            </w:tcBorders>
            <w:shd w:val="clear" w:color="000000" w:fill="FFFFFF"/>
            <w:noWrap/>
            <w:hideMark/>
          </w:tcPr>
          <w:p w14:paraId="586B2CA0" w14:textId="77777777" w:rsidR="00861CF7" w:rsidRPr="00503F5B" w:rsidRDefault="00861CF7" w:rsidP="00861CF7">
            <w:pPr>
              <w:jc w:val="right"/>
              <w:rPr>
                <w:rFonts w:eastAsia="Times New Roman" w:cs="Calibri"/>
                <w:sz w:val="20"/>
                <w:szCs w:val="20"/>
                <w:lang w:eastAsia="en-AU"/>
              </w:rPr>
            </w:pPr>
            <w:r w:rsidRPr="00503F5B">
              <w:rPr>
                <w:rFonts w:cs="Calibri"/>
                <w:sz w:val="20"/>
                <w:szCs w:val="20"/>
              </w:rPr>
              <w:t>$731,000</w:t>
            </w:r>
          </w:p>
        </w:tc>
        <w:tc>
          <w:tcPr>
            <w:tcW w:w="1736" w:type="dxa"/>
            <w:tcBorders>
              <w:top w:val="nil"/>
              <w:left w:val="nil"/>
              <w:bottom w:val="single" w:sz="4" w:space="0" w:color="ED7C5D"/>
              <w:right w:val="nil"/>
            </w:tcBorders>
            <w:shd w:val="clear" w:color="000000" w:fill="FFFFFF"/>
            <w:noWrap/>
            <w:hideMark/>
          </w:tcPr>
          <w:p w14:paraId="229BE0D3" w14:textId="77777777" w:rsidR="00861CF7" w:rsidRPr="00503F5B" w:rsidRDefault="00861CF7" w:rsidP="00861CF7">
            <w:pPr>
              <w:jc w:val="right"/>
              <w:rPr>
                <w:rFonts w:eastAsia="Times New Roman" w:cs="Calibri"/>
                <w:sz w:val="20"/>
                <w:szCs w:val="20"/>
                <w:lang w:eastAsia="en-AU"/>
              </w:rPr>
            </w:pPr>
            <w:r w:rsidRPr="00503F5B">
              <w:rPr>
                <w:rFonts w:cs="Calibri"/>
                <w:sz w:val="20"/>
                <w:szCs w:val="20"/>
              </w:rPr>
              <w:t>0.34%</w:t>
            </w:r>
          </w:p>
        </w:tc>
      </w:tr>
      <w:tr w:rsidR="00861CF7" w:rsidRPr="00503F5B" w14:paraId="071A8E7F" w14:textId="77777777" w:rsidTr="00773B6E">
        <w:trPr>
          <w:trHeight w:val="70"/>
          <w:jc w:val="center"/>
        </w:trPr>
        <w:tc>
          <w:tcPr>
            <w:tcW w:w="4820" w:type="dxa"/>
            <w:tcBorders>
              <w:top w:val="single" w:sz="4" w:space="0" w:color="ED7C5D"/>
              <w:left w:val="nil"/>
              <w:bottom w:val="single" w:sz="4" w:space="0" w:color="ED7C5D"/>
              <w:right w:val="nil"/>
            </w:tcBorders>
            <w:shd w:val="clear" w:color="000000" w:fill="FFFFFF"/>
            <w:noWrap/>
            <w:hideMark/>
          </w:tcPr>
          <w:p w14:paraId="72E04234" w14:textId="77777777" w:rsidR="00861CF7" w:rsidRPr="00503F5B" w:rsidRDefault="00861CF7" w:rsidP="00861CF7">
            <w:pPr>
              <w:rPr>
                <w:rFonts w:eastAsia="Times New Roman" w:cs="Calibri"/>
                <w:b/>
                <w:bCs/>
                <w:sz w:val="20"/>
                <w:szCs w:val="20"/>
                <w:lang w:eastAsia="en-AU"/>
              </w:rPr>
            </w:pPr>
            <w:r w:rsidRPr="00503F5B">
              <w:rPr>
                <w:rFonts w:eastAsia="Times New Roman" w:cs="Calibri"/>
                <w:b/>
                <w:bCs/>
                <w:sz w:val="20"/>
                <w:szCs w:val="20"/>
                <w:lang w:eastAsia="en-AU"/>
              </w:rPr>
              <w:t>Sub-total direct annual station costs</w:t>
            </w:r>
          </w:p>
        </w:tc>
        <w:tc>
          <w:tcPr>
            <w:tcW w:w="1701" w:type="dxa"/>
            <w:tcBorders>
              <w:top w:val="single" w:sz="4" w:space="0" w:color="ED7C5D"/>
              <w:left w:val="nil"/>
              <w:bottom w:val="single" w:sz="4" w:space="0" w:color="ED7C5D"/>
              <w:right w:val="nil"/>
            </w:tcBorders>
            <w:shd w:val="clear" w:color="000000" w:fill="FFFFFF"/>
            <w:noWrap/>
            <w:hideMark/>
          </w:tcPr>
          <w:p w14:paraId="2058C10D" w14:textId="77777777" w:rsidR="00861CF7" w:rsidRPr="00503F5B" w:rsidRDefault="00861CF7" w:rsidP="00861CF7">
            <w:pPr>
              <w:jc w:val="right"/>
              <w:rPr>
                <w:rFonts w:eastAsia="Times New Roman" w:cs="Calibri"/>
                <w:b/>
                <w:bCs/>
                <w:sz w:val="20"/>
                <w:szCs w:val="20"/>
                <w:lang w:eastAsia="en-AU"/>
              </w:rPr>
            </w:pPr>
            <w:r w:rsidRPr="00503F5B">
              <w:rPr>
                <w:rFonts w:cs="Calibri"/>
                <w:b/>
                <w:bCs/>
                <w:sz w:val="20"/>
                <w:szCs w:val="20"/>
              </w:rPr>
              <w:t>$3,142,466</w:t>
            </w:r>
          </w:p>
        </w:tc>
        <w:tc>
          <w:tcPr>
            <w:tcW w:w="1736" w:type="dxa"/>
            <w:tcBorders>
              <w:top w:val="single" w:sz="4" w:space="0" w:color="ED7C5D"/>
              <w:left w:val="nil"/>
              <w:bottom w:val="single" w:sz="4" w:space="0" w:color="ED7C5D"/>
              <w:right w:val="nil"/>
            </w:tcBorders>
            <w:shd w:val="clear" w:color="000000" w:fill="FFFFFF"/>
            <w:noWrap/>
            <w:hideMark/>
          </w:tcPr>
          <w:p w14:paraId="07F2C274" w14:textId="77777777" w:rsidR="00861CF7" w:rsidRPr="00503F5B" w:rsidRDefault="00861CF7" w:rsidP="00861CF7">
            <w:pPr>
              <w:jc w:val="right"/>
              <w:rPr>
                <w:rFonts w:eastAsia="Times New Roman" w:cs="Calibri"/>
                <w:b/>
                <w:bCs/>
                <w:sz w:val="20"/>
                <w:szCs w:val="20"/>
                <w:lang w:eastAsia="en-AU"/>
              </w:rPr>
            </w:pPr>
            <w:r w:rsidRPr="00503F5B">
              <w:rPr>
                <w:rFonts w:cs="Calibri"/>
                <w:b/>
                <w:bCs/>
                <w:sz w:val="20"/>
                <w:szCs w:val="20"/>
              </w:rPr>
              <w:t>1.44%</w:t>
            </w:r>
          </w:p>
        </w:tc>
      </w:tr>
      <w:tr w:rsidR="00861CF7" w:rsidRPr="00503F5B" w14:paraId="4C1F8228" w14:textId="77777777" w:rsidTr="00773B6E">
        <w:trPr>
          <w:trHeight w:val="70"/>
          <w:jc w:val="center"/>
        </w:trPr>
        <w:tc>
          <w:tcPr>
            <w:tcW w:w="4820" w:type="dxa"/>
            <w:tcBorders>
              <w:top w:val="single" w:sz="4" w:space="0" w:color="ED7C5D"/>
              <w:left w:val="nil"/>
              <w:bottom w:val="single" w:sz="4" w:space="0" w:color="ED7C5D"/>
              <w:right w:val="nil"/>
            </w:tcBorders>
            <w:shd w:val="clear" w:color="000000" w:fill="FFFFFF"/>
            <w:noWrap/>
            <w:hideMark/>
          </w:tcPr>
          <w:p w14:paraId="20D95403" w14:textId="77777777" w:rsidR="00861CF7" w:rsidRPr="00503F5B" w:rsidRDefault="00861CF7" w:rsidP="00861CF7">
            <w:pPr>
              <w:rPr>
                <w:rFonts w:eastAsia="Times New Roman" w:cs="Calibri"/>
                <w:b/>
                <w:bCs/>
                <w:sz w:val="20"/>
                <w:szCs w:val="20"/>
                <w:lang w:eastAsia="en-AU"/>
              </w:rPr>
            </w:pPr>
            <w:r w:rsidRPr="00503F5B">
              <w:rPr>
                <w:rFonts w:eastAsia="Times New Roman" w:cs="Calibri"/>
                <w:b/>
                <w:bCs/>
                <w:sz w:val="20"/>
                <w:szCs w:val="20"/>
                <w:lang w:eastAsia="en-AU"/>
              </w:rPr>
              <w:t>Sub-total indirect annual cost</w:t>
            </w:r>
          </w:p>
        </w:tc>
        <w:tc>
          <w:tcPr>
            <w:tcW w:w="1701" w:type="dxa"/>
            <w:tcBorders>
              <w:top w:val="single" w:sz="4" w:space="0" w:color="ED7C5D"/>
              <w:left w:val="nil"/>
              <w:bottom w:val="single" w:sz="4" w:space="0" w:color="ED7C5D"/>
              <w:right w:val="nil"/>
            </w:tcBorders>
            <w:shd w:val="clear" w:color="000000" w:fill="FFFFFF"/>
            <w:noWrap/>
            <w:hideMark/>
          </w:tcPr>
          <w:p w14:paraId="4C78C191" w14:textId="77777777" w:rsidR="00861CF7" w:rsidRPr="00503F5B" w:rsidRDefault="00861CF7" w:rsidP="00861CF7">
            <w:pPr>
              <w:jc w:val="right"/>
              <w:rPr>
                <w:rFonts w:eastAsia="Times New Roman" w:cs="Calibri"/>
                <w:b/>
                <w:bCs/>
                <w:sz w:val="20"/>
                <w:szCs w:val="20"/>
                <w:lang w:eastAsia="en-AU"/>
              </w:rPr>
            </w:pPr>
            <w:r w:rsidRPr="00503F5B">
              <w:rPr>
                <w:rFonts w:cs="Calibri"/>
                <w:b/>
                <w:bCs/>
                <w:sz w:val="20"/>
                <w:szCs w:val="20"/>
              </w:rPr>
              <w:t>$54,499,809</w:t>
            </w:r>
          </w:p>
        </w:tc>
        <w:tc>
          <w:tcPr>
            <w:tcW w:w="1736" w:type="dxa"/>
            <w:tcBorders>
              <w:top w:val="single" w:sz="4" w:space="0" w:color="ED7C5D"/>
              <w:left w:val="nil"/>
              <w:bottom w:val="single" w:sz="4" w:space="0" w:color="ED7C5D"/>
              <w:right w:val="nil"/>
            </w:tcBorders>
            <w:shd w:val="clear" w:color="000000" w:fill="FFFFFF"/>
            <w:noWrap/>
            <w:hideMark/>
          </w:tcPr>
          <w:p w14:paraId="4FA6C6A5" w14:textId="77777777" w:rsidR="00861CF7" w:rsidRPr="00503F5B" w:rsidRDefault="00861CF7" w:rsidP="00861CF7">
            <w:pPr>
              <w:jc w:val="right"/>
              <w:rPr>
                <w:rFonts w:eastAsia="Times New Roman" w:cs="Calibri"/>
                <w:b/>
                <w:bCs/>
                <w:sz w:val="20"/>
                <w:szCs w:val="20"/>
                <w:lang w:eastAsia="en-AU"/>
              </w:rPr>
            </w:pPr>
            <w:r w:rsidRPr="00503F5B">
              <w:rPr>
                <w:rFonts w:cs="Calibri"/>
                <w:b/>
                <w:bCs/>
                <w:sz w:val="20"/>
                <w:szCs w:val="20"/>
              </w:rPr>
              <w:t>25.02%</w:t>
            </w:r>
          </w:p>
        </w:tc>
      </w:tr>
      <w:tr w:rsidR="00861CF7" w:rsidRPr="00503F5B" w14:paraId="716EAF90" w14:textId="77777777" w:rsidTr="00773B6E">
        <w:trPr>
          <w:trHeight w:val="70"/>
          <w:jc w:val="center"/>
        </w:trPr>
        <w:tc>
          <w:tcPr>
            <w:tcW w:w="4820" w:type="dxa"/>
            <w:tcBorders>
              <w:top w:val="single" w:sz="4" w:space="0" w:color="ED7C5D"/>
              <w:left w:val="nil"/>
              <w:bottom w:val="single" w:sz="4" w:space="0" w:color="ED7C5D"/>
              <w:right w:val="nil"/>
            </w:tcBorders>
            <w:shd w:val="clear" w:color="000000" w:fill="FFFFFF"/>
            <w:noWrap/>
            <w:hideMark/>
          </w:tcPr>
          <w:p w14:paraId="6FD106AE" w14:textId="77777777" w:rsidR="00861CF7" w:rsidRPr="00503F5B" w:rsidRDefault="00861CF7" w:rsidP="00861CF7">
            <w:pPr>
              <w:rPr>
                <w:rFonts w:eastAsia="Times New Roman" w:cs="Calibri"/>
                <w:b/>
                <w:bCs/>
                <w:i/>
                <w:iCs/>
                <w:sz w:val="20"/>
                <w:szCs w:val="20"/>
                <w:lang w:eastAsia="en-AU"/>
              </w:rPr>
            </w:pPr>
            <w:r w:rsidRPr="00503F5B">
              <w:rPr>
                <w:rFonts w:eastAsia="Times New Roman" w:cs="Calibri"/>
                <w:b/>
                <w:bCs/>
                <w:i/>
                <w:iCs/>
                <w:sz w:val="20"/>
                <w:szCs w:val="20"/>
                <w:lang w:eastAsia="en-AU"/>
              </w:rPr>
              <w:t>Total annual direct and indirect costs</w:t>
            </w:r>
          </w:p>
        </w:tc>
        <w:tc>
          <w:tcPr>
            <w:tcW w:w="1701" w:type="dxa"/>
            <w:tcBorders>
              <w:top w:val="single" w:sz="4" w:space="0" w:color="ED7C5D"/>
              <w:left w:val="nil"/>
              <w:bottom w:val="single" w:sz="4" w:space="0" w:color="ED7C5D"/>
              <w:right w:val="nil"/>
            </w:tcBorders>
            <w:shd w:val="clear" w:color="000000" w:fill="FFFFFF"/>
            <w:noWrap/>
            <w:hideMark/>
          </w:tcPr>
          <w:p w14:paraId="40FA2C5C" w14:textId="77777777" w:rsidR="00861CF7" w:rsidRPr="00503F5B" w:rsidRDefault="00861CF7" w:rsidP="00861CF7">
            <w:pPr>
              <w:jc w:val="right"/>
              <w:rPr>
                <w:rFonts w:eastAsia="Times New Roman" w:cs="Calibri"/>
                <w:b/>
                <w:bCs/>
                <w:i/>
                <w:iCs/>
                <w:sz w:val="20"/>
                <w:szCs w:val="20"/>
                <w:lang w:eastAsia="en-AU"/>
              </w:rPr>
            </w:pPr>
            <w:r w:rsidRPr="00503F5B">
              <w:rPr>
                <w:rFonts w:cs="Calibri"/>
                <w:b/>
                <w:bCs/>
                <w:i/>
                <w:iCs/>
                <w:sz w:val="20"/>
                <w:szCs w:val="20"/>
              </w:rPr>
              <w:t>$217,846,208</w:t>
            </w:r>
          </w:p>
        </w:tc>
        <w:tc>
          <w:tcPr>
            <w:tcW w:w="1736" w:type="dxa"/>
            <w:tcBorders>
              <w:top w:val="single" w:sz="4" w:space="0" w:color="ED7C5D"/>
              <w:left w:val="nil"/>
              <w:bottom w:val="single" w:sz="4" w:space="0" w:color="ED7C5D"/>
              <w:right w:val="nil"/>
            </w:tcBorders>
            <w:shd w:val="clear" w:color="000000" w:fill="FFFFFF"/>
            <w:noWrap/>
            <w:hideMark/>
          </w:tcPr>
          <w:p w14:paraId="588495AB" w14:textId="77777777" w:rsidR="00861CF7" w:rsidRPr="00503F5B" w:rsidRDefault="00861CF7" w:rsidP="00861CF7">
            <w:pPr>
              <w:jc w:val="right"/>
              <w:rPr>
                <w:rFonts w:eastAsia="Times New Roman" w:cs="Calibri"/>
                <w:b/>
                <w:bCs/>
                <w:i/>
                <w:iCs/>
                <w:sz w:val="20"/>
                <w:szCs w:val="20"/>
                <w:lang w:eastAsia="en-AU"/>
              </w:rPr>
            </w:pPr>
            <w:r w:rsidRPr="00503F5B">
              <w:rPr>
                <w:rFonts w:cs="Calibri"/>
                <w:b/>
                <w:bCs/>
                <w:i/>
                <w:iCs/>
                <w:sz w:val="20"/>
                <w:szCs w:val="20"/>
              </w:rPr>
              <w:t>100.00%</w:t>
            </w:r>
          </w:p>
        </w:tc>
      </w:tr>
    </w:tbl>
    <w:p w14:paraId="3E521D7A" w14:textId="77777777" w:rsidR="00E04C6D" w:rsidRPr="00503F5B" w:rsidRDefault="00E04C6D" w:rsidP="00E04C6D">
      <w:pPr>
        <w:pStyle w:val="Heading2"/>
      </w:pPr>
      <w:bookmarkStart w:id="277" w:name="_Toc35804171"/>
      <w:bookmarkStart w:id="278" w:name="_Toc35804665"/>
      <w:bookmarkStart w:id="279" w:name="_Toc35812709"/>
      <w:r w:rsidRPr="00503F5B">
        <w:t>A2.3 Estimated total annual avoidable costs of total CFA integrated stations emergency attendances in relation to all false alarms</w:t>
      </w:r>
      <w:bookmarkEnd w:id="277"/>
      <w:bookmarkEnd w:id="278"/>
      <w:bookmarkEnd w:id="279"/>
    </w:p>
    <w:p w14:paraId="6F419607" w14:textId="77777777" w:rsidR="00E04C6D" w:rsidRPr="00503F5B" w:rsidRDefault="00E04C6D" w:rsidP="00E04C6D">
      <w:pPr>
        <w:jc w:val="both"/>
        <w:rPr>
          <w:rFonts w:eastAsia="Times New Roman" w:cs="Calibri"/>
          <w:color w:val="auto"/>
          <w:lang w:eastAsia="en-AU"/>
        </w:rPr>
      </w:pPr>
      <w:r w:rsidRPr="00503F5B">
        <w:t>The total appliance hours out of station attending emergencies by CFA integrated stations and hours for false alarms at protected premises between 2015-16 and 2018-19 is provided in Table A2.5</w:t>
      </w:r>
      <w:r w:rsidRPr="00503F5B">
        <w:rPr>
          <w:rFonts w:eastAsia="Times New Roman" w:cs="Calibri"/>
          <w:color w:val="auto"/>
          <w:lang w:eastAsia="en-AU"/>
        </w:rPr>
        <w:t>.  As shown in Table A2.5, attendance hours for false alarms at protected premises is estimated to be 11.8% of all emergency attendances by CFA integrated stations on average over 4 years.</w:t>
      </w:r>
    </w:p>
    <w:p w14:paraId="42257A09" w14:textId="77777777" w:rsidR="00E04C6D" w:rsidRPr="00503F5B" w:rsidRDefault="00E04C6D" w:rsidP="00E04C6D">
      <w:pPr>
        <w:rPr>
          <w:b/>
          <w:sz w:val="21"/>
        </w:rPr>
      </w:pPr>
    </w:p>
    <w:p w14:paraId="32C78FE6" w14:textId="77777777" w:rsidR="00E04C6D" w:rsidRPr="00503F5B" w:rsidRDefault="00E04C6D" w:rsidP="00E04C6D">
      <w:pPr>
        <w:jc w:val="center"/>
        <w:rPr>
          <w:b/>
          <w:sz w:val="20"/>
          <w:szCs w:val="20"/>
        </w:rPr>
      </w:pPr>
      <w:r w:rsidRPr="00503F5B">
        <w:rPr>
          <w:b/>
          <w:sz w:val="20"/>
          <w:szCs w:val="20"/>
        </w:rPr>
        <w:t>Table A2.5: Total appliance hours of emergency attendance by CFA integrated stations including false alarms – 2015-16 to 2018-19</w:t>
      </w:r>
      <w:r w:rsidRPr="00503F5B">
        <w:rPr>
          <w:rStyle w:val="FootnoteReference"/>
          <w:b/>
          <w:sz w:val="20"/>
          <w:szCs w:val="20"/>
        </w:rPr>
        <w:footnoteReference w:id="186"/>
      </w:r>
    </w:p>
    <w:p w14:paraId="2CE84239" w14:textId="77777777" w:rsidR="00E04C6D" w:rsidRPr="00503F5B" w:rsidRDefault="00E04C6D" w:rsidP="00E04C6D">
      <w:pPr>
        <w:jc w:val="both"/>
      </w:pPr>
    </w:p>
    <w:tbl>
      <w:tblPr>
        <w:tblW w:w="8222" w:type="dxa"/>
        <w:tblLook w:val="04A0" w:firstRow="1" w:lastRow="0" w:firstColumn="1" w:lastColumn="0" w:noHBand="0" w:noVBand="1"/>
      </w:tblPr>
      <w:tblGrid>
        <w:gridCol w:w="1985"/>
        <w:gridCol w:w="2268"/>
        <w:gridCol w:w="1559"/>
        <w:gridCol w:w="2410"/>
      </w:tblGrid>
      <w:tr w:rsidR="00E04C6D" w:rsidRPr="00503F5B" w14:paraId="70ADDE38" w14:textId="77777777" w:rsidTr="00773B6E">
        <w:trPr>
          <w:trHeight w:val="300"/>
        </w:trPr>
        <w:tc>
          <w:tcPr>
            <w:tcW w:w="1985" w:type="dxa"/>
            <w:tcBorders>
              <w:top w:val="single" w:sz="4" w:space="0" w:color="ED7C5D"/>
              <w:bottom w:val="double" w:sz="4" w:space="0" w:color="ED7C5D"/>
            </w:tcBorders>
            <w:noWrap/>
            <w:hideMark/>
          </w:tcPr>
          <w:p w14:paraId="65414C1D" w14:textId="77777777" w:rsidR="00E04C6D" w:rsidRPr="00503F5B" w:rsidRDefault="00E04C6D" w:rsidP="00E04C6D">
            <w:pPr>
              <w:rPr>
                <w:rFonts w:asciiTheme="majorHAnsi" w:eastAsia="Times New Roman" w:hAnsiTheme="majorHAnsi" w:cstheme="majorHAnsi"/>
                <w:color w:val="auto"/>
                <w:sz w:val="20"/>
                <w:szCs w:val="20"/>
                <w:lang w:eastAsia="en-AU"/>
              </w:rPr>
            </w:pPr>
            <w:r w:rsidRPr="00503F5B">
              <w:rPr>
                <w:b/>
                <w:bCs/>
                <w:color w:val="BE2A18"/>
                <w:sz w:val="20"/>
                <w:szCs w:val="20"/>
              </w:rPr>
              <w:t>Financial year</w:t>
            </w:r>
          </w:p>
        </w:tc>
        <w:tc>
          <w:tcPr>
            <w:tcW w:w="2268" w:type="dxa"/>
            <w:tcBorders>
              <w:top w:val="single" w:sz="4" w:space="0" w:color="ED7C5D"/>
              <w:bottom w:val="double" w:sz="4" w:space="0" w:color="ED7C5D"/>
            </w:tcBorders>
          </w:tcPr>
          <w:p w14:paraId="1511D259" w14:textId="77777777" w:rsidR="00E04C6D" w:rsidRPr="00503F5B" w:rsidRDefault="00E04C6D" w:rsidP="00E04C6D">
            <w:pPr>
              <w:jc w:val="center"/>
              <w:rPr>
                <w:b/>
                <w:bCs/>
                <w:color w:val="BE2A18"/>
                <w:sz w:val="20"/>
                <w:szCs w:val="20"/>
              </w:rPr>
            </w:pPr>
            <w:r w:rsidRPr="00503F5B">
              <w:rPr>
                <w:b/>
                <w:bCs/>
                <w:color w:val="BE2A18"/>
                <w:sz w:val="20"/>
                <w:szCs w:val="20"/>
              </w:rPr>
              <w:t>Total appliance hours for emergency attendances</w:t>
            </w:r>
          </w:p>
        </w:tc>
        <w:tc>
          <w:tcPr>
            <w:tcW w:w="1559" w:type="dxa"/>
            <w:tcBorders>
              <w:top w:val="single" w:sz="4" w:space="0" w:color="ED7C5D"/>
              <w:bottom w:val="double" w:sz="4" w:space="0" w:color="ED7C5D"/>
            </w:tcBorders>
          </w:tcPr>
          <w:p w14:paraId="67BF63B1" w14:textId="77777777" w:rsidR="00E04C6D" w:rsidRPr="00503F5B" w:rsidRDefault="00E04C6D" w:rsidP="00E04C6D">
            <w:pPr>
              <w:jc w:val="center"/>
              <w:rPr>
                <w:b/>
                <w:bCs/>
                <w:color w:val="BE2A18"/>
                <w:sz w:val="20"/>
                <w:szCs w:val="20"/>
              </w:rPr>
            </w:pPr>
            <w:r w:rsidRPr="00503F5B">
              <w:rPr>
                <w:b/>
                <w:bCs/>
                <w:color w:val="BE2A18"/>
                <w:sz w:val="20"/>
                <w:szCs w:val="20"/>
              </w:rPr>
              <w:t>Appliance hours for false alarm attendances</w:t>
            </w:r>
            <w:r w:rsidRPr="00503F5B">
              <w:rPr>
                <w:rStyle w:val="FootnoteReference"/>
                <w:b/>
                <w:bCs/>
                <w:color w:val="BE2A18"/>
                <w:sz w:val="20"/>
                <w:szCs w:val="20"/>
              </w:rPr>
              <w:footnoteReference w:id="187"/>
            </w:r>
          </w:p>
        </w:tc>
        <w:tc>
          <w:tcPr>
            <w:tcW w:w="2410" w:type="dxa"/>
            <w:tcBorders>
              <w:top w:val="single" w:sz="4" w:space="0" w:color="ED7C5D"/>
              <w:bottom w:val="double" w:sz="4" w:space="0" w:color="ED7C5D"/>
            </w:tcBorders>
            <w:noWrap/>
            <w:hideMark/>
          </w:tcPr>
          <w:p w14:paraId="34606274" w14:textId="77777777" w:rsidR="00E04C6D" w:rsidRPr="00503F5B" w:rsidRDefault="00E04C6D" w:rsidP="00E04C6D">
            <w:pPr>
              <w:jc w:val="right"/>
              <w:rPr>
                <w:rFonts w:eastAsia="Times New Roman" w:cs="Calibri"/>
                <w:b/>
                <w:bCs/>
                <w:lang w:eastAsia="en-AU"/>
              </w:rPr>
            </w:pPr>
            <w:r w:rsidRPr="00503F5B">
              <w:rPr>
                <w:b/>
                <w:bCs/>
                <w:color w:val="BE2A18"/>
                <w:sz w:val="20"/>
                <w:szCs w:val="20"/>
              </w:rPr>
              <w:t>Hours of false alarm attendances as a % of total appliance hours</w:t>
            </w:r>
            <w:r w:rsidRPr="00503F5B">
              <w:rPr>
                <w:rStyle w:val="FootnoteReference"/>
                <w:b/>
                <w:bCs/>
                <w:color w:val="BE2A18"/>
                <w:sz w:val="20"/>
                <w:szCs w:val="20"/>
              </w:rPr>
              <w:footnoteReference w:id="188"/>
            </w:r>
          </w:p>
        </w:tc>
      </w:tr>
      <w:tr w:rsidR="00E04C6D" w:rsidRPr="00503F5B" w14:paraId="1EFA2216" w14:textId="77777777" w:rsidTr="00773B6E">
        <w:trPr>
          <w:trHeight w:val="50"/>
        </w:trPr>
        <w:tc>
          <w:tcPr>
            <w:tcW w:w="1985" w:type="dxa"/>
            <w:tcBorders>
              <w:top w:val="double" w:sz="4" w:space="0" w:color="ED7C5D"/>
            </w:tcBorders>
            <w:noWrap/>
            <w:hideMark/>
          </w:tcPr>
          <w:p w14:paraId="593301A1" w14:textId="77777777" w:rsidR="00E04C6D" w:rsidRPr="00503F5B" w:rsidRDefault="00E04C6D" w:rsidP="00E04C6D">
            <w:pPr>
              <w:rPr>
                <w:rFonts w:asciiTheme="majorHAnsi" w:eastAsia="Times New Roman" w:hAnsiTheme="majorHAnsi" w:cstheme="majorHAnsi"/>
                <w:sz w:val="20"/>
                <w:szCs w:val="20"/>
                <w:lang w:eastAsia="en-AU"/>
              </w:rPr>
            </w:pPr>
            <w:r w:rsidRPr="00503F5B">
              <w:rPr>
                <w:rFonts w:asciiTheme="majorHAnsi" w:eastAsia="Times New Roman" w:hAnsiTheme="majorHAnsi" w:cstheme="majorHAnsi"/>
                <w:sz w:val="20"/>
                <w:szCs w:val="20"/>
                <w:lang w:eastAsia="en-AU"/>
              </w:rPr>
              <w:t>2015-16</w:t>
            </w:r>
          </w:p>
        </w:tc>
        <w:tc>
          <w:tcPr>
            <w:tcW w:w="2268" w:type="dxa"/>
            <w:tcBorders>
              <w:top w:val="double" w:sz="4" w:space="0" w:color="ED7C5D"/>
            </w:tcBorders>
          </w:tcPr>
          <w:p w14:paraId="14D25DED" w14:textId="77777777" w:rsidR="00E04C6D" w:rsidRPr="00503F5B" w:rsidRDefault="00E04C6D" w:rsidP="00E04C6D">
            <w:pPr>
              <w:jc w:val="right"/>
              <w:rPr>
                <w:rFonts w:eastAsia="Times New Roman" w:cs="Calibri"/>
                <w:color w:val="auto"/>
                <w:sz w:val="20"/>
                <w:szCs w:val="20"/>
                <w:lang w:eastAsia="en-AU"/>
              </w:rPr>
            </w:pPr>
            <w:r w:rsidRPr="00503F5B">
              <w:rPr>
                <w:rFonts w:cs="Calibri"/>
                <w:sz w:val="20"/>
                <w:szCs w:val="20"/>
              </w:rPr>
              <w:t>35,934</w:t>
            </w:r>
          </w:p>
        </w:tc>
        <w:tc>
          <w:tcPr>
            <w:tcW w:w="1559" w:type="dxa"/>
            <w:tcBorders>
              <w:top w:val="double" w:sz="4" w:space="0" w:color="ED7C5D"/>
            </w:tcBorders>
          </w:tcPr>
          <w:p w14:paraId="6569F7CE" w14:textId="77777777" w:rsidR="00E04C6D" w:rsidRPr="00503F5B" w:rsidRDefault="00E04C6D" w:rsidP="00E04C6D">
            <w:pPr>
              <w:jc w:val="right"/>
              <w:rPr>
                <w:rFonts w:eastAsia="Times New Roman" w:cs="Calibri"/>
                <w:color w:val="auto"/>
                <w:sz w:val="20"/>
                <w:szCs w:val="20"/>
                <w:lang w:eastAsia="en-AU"/>
              </w:rPr>
            </w:pPr>
            <w:r w:rsidRPr="00503F5B">
              <w:rPr>
                <w:rFonts w:cs="Calibri"/>
                <w:sz w:val="20"/>
                <w:szCs w:val="20"/>
              </w:rPr>
              <w:t>2,750</w:t>
            </w:r>
          </w:p>
        </w:tc>
        <w:tc>
          <w:tcPr>
            <w:tcW w:w="2410" w:type="dxa"/>
            <w:tcBorders>
              <w:top w:val="double" w:sz="4" w:space="0" w:color="ED7C5D"/>
            </w:tcBorders>
            <w:noWrap/>
          </w:tcPr>
          <w:p w14:paraId="2D548835" w14:textId="77777777" w:rsidR="00E04C6D" w:rsidRPr="00503F5B" w:rsidRDefault="00E04C6D" w:rsidP="00E04C6D">
            <w:pPr>
              <w:jc w:val="right"/>
              <w:rPr>
                <w:rFonts w:eastAsia="Times New Roman" w:cs="Calibri"/>
                <w:color w:val="auto"/>
                <w:sz w:val="20"/>
                <w:szCs w:val="20"/>
                <w:lang w:eastAsia="en-AU"/>
              </w:rPr>
            </w:pPr>
            <w:r w:rsidRPr="00503F5B">
              <w:rPr>
                <w:rFonts w:cs="Calibri"/>
                <w:sz w:val="20"/>
                <w:szCs w:val="20"/>
              </w:rPr>
              <w:t>7.65%</w:t>
            </w:r>
          </w:p>
        </w:tc>
      </w:tr>
      <w:tr w:rsidR="00E04C6D" w:rsidRPr="00503F5B" w14:paraId="44B2623E" w14:textId="77777777" w:rsidTr="00E04C6D">
        <w:trPr>
          <w:trHeight w:val="80"/>
        </w:trPr>
        <w:tc>
          <w:tcPr>
            <w:tcW w:w="1985" w:type="dxa"/>
            <w:noWrap/>
          </w:tcPr>
          <w:p w14:paraId="7CFA6EBF" w14:textId="77777777" w:rsidR="00E04C6D" w:rsidRPr="00503F5B" w:rsidRDefault="00E04C6D" w:rsidP="00E04C6D">
            <w:pPr>
              <w:rPr>
                <w:rFonts w:asciiTheme="majorHAnsi" w:eastAsia="Times New Roman" w:hAnsiTheme="majorHAnsi" w:cstheme="majorHAnsi"/>
                <w:sz w:val="20"/>
                <w:szCs w:val="20"/>
                <w:lang w:eastAsia="en-AU"/>
              </w:rPr>
            </w:pPr>
            <w:r w:rsidRPr="00503F5B">
              <w:rPr>
                <w:rFonts w:asciiTheme="majorHAnsi" w:eastAsia="Times New Roman" w:hAnsiTheme="majorHAnsi" w:cstheme="majorHAnsi"/>
                <w:sz w:val="20"/>
                <w:szCs w:val="20"/>
                <w:lang w:eastAsia="en-AU"/>
              </w:rPr>
              <w:t>2016-17</w:t>
            </w:r>
          </w:p>
        </w:tc>
        <w:tc>
          <w:tcPr>
            <w:tcW w:w="2268" w:type="dxa"/>
          </w:tcPr>
          <w:p w14:paraId="2E777D8A" w14:textId="77777777" w:rsidR="00E04C6D" w:rsidRPr="00503F5B" w:rsidRDefault="00E04C6D" w:rsidP="00E04C6D">
            <w:pPr>
              <w:jc w:val="right"/>
              <w:rPr>
                <w:rFonts w:eastAsia="Times New Roman" w:cs="Calibri"/>
                <w:color w:val="auto"/>
                <w:sz w:val="20"/>
                <w:szCs w:val="20"/>
                <w:lang w:eastAsia="en-AU"/>
              </w:rPr>
            </w:pPr>
            <w:r w:rsidRPr="00503F5B">
              <w:rPr>
                <w:rFonts w:cs="Calibri"/>
                <w:sz w:val="20"/>
                <w:szCs w:val="20"/>
              </w:rPr>
              <w:t>28,156</w:t>
            </w:r>
          </w:p>
        </w:tc>
        <w:tc>
          <w:tcPr>
            <w:tcW w:w="1559" w:type="dxa"/>
          </w:tcPr>
          <w:p w14:paraId="3917DD31" w14:textId="77777777" w:rsidR="00E04C6D" w:rsidRPr="00503F5B" w:rsidRDefault="00E04C6D" w:rsidP="00E04C6D">
            <w:pPr>
              <w:jc w:val="right"/>
              <w:rPr>
                <w:rFonts w:eastAsia="Times New Roman" w:cs="Calibri"/>
                <w:color w:val="auto"/>
                <w:sz w:val="20"/>
                <w:szCs w:val="20"/>
                <w:lang w:eastAsia="en-AU"/>
              </w:rPr>
            </w:pPr>
            <w:r w:rsidRPr="00503F5B">
              <w:rPr>
                <w:rFonts w:cs="Calibri"/>
                <w:sz w:val="20"/>
                <w:szCs w:val="20"/>
              </w:rPr>
              <w:t>4,095</w:t>
            </w:r>
          </w:p>
        </w:tc>
        <w:tc>
          <w:tcPr>
            <w:tcW w:w="2410" w:type="dxa"/>
            <w:noWrap/>
          </w:tcPr>
          <w:p w14:paraId="638D7445" w14:textId="77777777" w:rsidR="00E04C6D" w:rsidRPr="00503F5B" w:rsidRDefault="00E04C6D" w:rsidP="00E04C6D">
            <w:pPr>
              <w:jc w:val="right"/>
              <w:rPr>
                <w:rFonts w:eastAsia="Times New Roman" w:cs="Calibri"/>
                <w:color w:val="auto"/>
                <w:sz w:val="20"/>
                <w:szCs w:val="20"/>
                <w:lang w:eastAsia="en-AU"/>
              </w:rPr>
            </w:pPr>
            <w:r w:rsidRPr="00503F5B">
              <w:rPr>
                <w:rFonts w:cs="Calibri"/>
                <w:sz w:val="20"/>
                <w:szCs w:val="20"/>
              </w:rPr>
              <w:t>14.54%</w:t>
            </w:r>
          </w:p>
        </w:tc>
      </w:tr>
      <w:tr w:rsidR="00E04C6D" w:rsidRPr="00503F5B" w14:paraId="619F34DF" w14:textId="77777777" w:rsidTr="00E04C6D">
        <w:trPr>
          <w:trHeight w:val="80"/>
        </w:trPr>
        <w:tc>
          <w:tcPr>
            <w:tcW w:w="1985" w:type="dxa"/>
            <w:noWrap/>
          </w:tcPr>
          <w:p w14:paraId="0A6FC2F0" w14:textId="77777777" w:rsidR="00E04C6D" w:rsidRPr="00503F5B" w:rsidRDefault="00E04C6D" w:rsidP="00E04C6D">
            <w:pPr>
              <w:rPr>
                <w:rFonts w:asciiTheme="majorHAnsi" w:eastAsia="Times New Roman" w:hAnsiTheme="majorHAnsi" w:cstheme="majorHAnsi"/>
                <w:sz w:val="20"/>
                <w:szCs w:val="20"/>
                <w:lang w:eastAsia="en-AU"/>
              </w:rPr>
            </w:pPr>
            <w:r w:rsidRPr="00503F5B">
              <w:rPr>
                <w:rFonts w:asciiTheme="majorHAnsi" w:eastAsia="Times New Roman" w:hAnsiTheme="majorHAnsi" w:cstheme="majorHAnsi"/>
                <w:sz w:val="20"/>
                <w:szCs w:val="20"/>
                <w:lang w:eastAsia="en-AU"/>
              </w:rPr>
              <w:t>2017-18</w:t>
            </w:r>
          </w:p>
        </w:tc>
        <w:tc>
          <w:tcPr>
            <w:tcW w:w="2268" w:type="dxa"/>
          </w:tcPr>
          <w:p w14:paraId="7C961F91" w14:textId="77777777" w:rsidR="00E04C6D" w:rsidRPr="00503F5B" w:rsidRDefault="00E04C6D" w:rsidP="00E04C6D">
            <w:pPr>
              <w:jc w:val="right"/>
              <w:rPr>
                <w:rFonts w:eastAsia="Times New Roman" w:cs="Calibri"/>
                <w:color w:val="auto"/>
                <w:sz w:val="20"/>
                <w:szCs w:val="20"/>
                <w:lang w:eastAsia="en-AU"/>
              </w:rPr>
            </w:pPr>
            <w:r w:rsidRPr="00503F5B">
              <w:rPr>
                <w:rFonts w:cs="Calibri"/>
                <w:sz w:val="20"/>
                <w:szCs w:val="20"/>
              </w:rPr>
              <w:t>30,290</w:t>
            </w:r>
          </w:p>
        </w:tc>
        <w:tc>
          <w:tcPr>
            <w:tcW w:w="1559" w:type="dxa"/>
          </w:tcPr>
          <w:p w14:paraId="2645E83A" w14:textId="77777777" w:rsidR="00E04C6D" w:rsidRPr="00503F5B" w:rsidRDefault="00E04C6D" w:rsidP="00E04C6D">
            <w:pPr>
              <w:jc w:val="right"/>
              <w:rPr>
                <w:rFonts w:eastAsia="Times New Roman" w:cs="Calibri"/>
                <w:color w:val="auto"/>
                <w:sz w:val="20"/>
                <w:szCs w:val="20"/>
                <w:lang w:eastAsia="en-AU"/>
              </w:rPr>
            </w:pPr>
            <w:r w:rsidRPr="00503F5B">
              <w:rPr>
                <w:rFonts w:cs="Calibri"/>
                <w:sz w:val="20"/>
                <w:szCs w:val="20"/>
              </w:rPr>
              <w:t>4,102</w:t>
            </w:r>
          </w:p>
        </w:tc>
        <w:tc>
          <w:tcPr>
            <w:tcW w:w="2410" w:type="dxa"/>
            <w:noWrap/>
          </w:tcPr>
          <w:p w14:paraId="62EAB7EF" w14:textId="77777777" w:rsidR="00E04C6D" w:rsidRPr="00503F5B" w:rsidRDefault="00E04C6D" w:rsidP="00E04C6D">
            <w:pPr>
              <w:jc w:val="right"/>
              <w:rPr>
                <w:rFonts w:eastAsia="Times New Roman" w:cs="Calibri"/>
                <w:color w:val="auto"/>
                <w:sz w:val="20"/>
                <w:szCs w:val="20"/>
                <w:lang w:eastAsia="en-AU"/>
              </w:rPr>
            </w:pPr>
            <w:r w:rsidRPr="00503F5B">
              <w:rPr>
                <w:rFonts w:cs="Calibri"/>
                <w:sz w:val="20"/>
                <w:szCs w:val="20"/>
              </w:rPr>
              <w:t>13.54%</w:t>
            </w:r>
          </w:p>
        </w:tc>
      </w:tr>
      <w:tr w:rsidR="00E04C6D" w:rsidRPr="00503F5B" w14:paraId="49FDB965" w14:textId="77777777" w:rsidTr="00773B6E">
        <w:trPr>
          <w:trHeight w:val="80"/>
        </w:trPr>
        <w:tc>
          <w:tcPr>
            <w:tcW w:w="1985" w:type="dxa"/>
            <w:tcBorders>
              <w:bottom w:val="single" w:sz="4" w:space="0" w:color="ED7C5D"/>
            </w:tcBorders>
            <w:noWrap/>
          </w:tcPr>
          <w:p w14:paraId="33BC422D" w14:textId="77777777" w:rsidR="00E04C6D" w:rsidRPr="00503F5B" w:rsidRDefault="00E04C6D" w:rsidP="00E04C6D">
            <w:pPr>
              <w:rPr>
                <w:rFonts w:asciiTheme="majorHAnsi" w:eastAsia="Times New Roman" w:hAnsiTheme="majorHAnsi" w:cstheme="majorHAnsi"/>
                <w:sz w:val="20"/>
                <w:szCs w:val="20"/>
                <w:lang w:eastAsia="en-AU"/>
              </w:rPr>
            </w:pPr>
            <w:r w:rsidRPr="00503F5B">
              <w:rPr>
                <w:rFonts w:asciiTheme="majorHAnsi" w:eastAsia="Times New Roman" w:hAnsiTheme="majorHAnsi" w:cstheme="majorHAnsi"/>
                <w:sz w:val="20"/>
                <w:szCs w:val="20"/>
                <w:lang w:eastAsia="en-AU"/>
              </w:rPr>
              <w:t>2018-19</w:t>
            </w:r>
          </w:p>
        </w:tc>
        <w:tc>
          <w:tcPr>
            <w:tcW w:w="2268" w:type="dxa"/>
            <w:tcBorders>
              <w:bottom w:val="single" w:sz="4" w:space="0" w:color="ED7C5D"/>
            </w:tcBorders>
          </w:tcPr>
          <w:p w14:paraId="58439927" w14:textId="77777777" w:rsidR="00E04C6D" w:rsidRPr="00503F5B" w:rsidRDefault="00E04C6D" w:rsidP="00E04C6D">
            <w:pPr>
              <w:jc w:val="right"/>
              <w:rPr>
                <w:rFonts w:eastAsia="Times New Roman" w:cs="Calibri"/>
                <w:color w:val="auto"/>
                <w:sz w:val="20"/>
                <w:szCs w:val="20"/>
                <w:lang w:eastAsia="en-AU"/>
              </w:rPr>
            </w:pPr>
            <w:r w:rsidRPr="00503F5B">
              <w:rPr>
                <w:rFonts w:cs="Calibri"/>
                <w:sz w:val="20"/>
                <w:szCs w:val="20"/>
              </w:rPr>
              <w:t>35,821</w:t>
            </w:r>
          </w:p>
        </w:tc>
        <w:tc>
          <w:tcPr>
            <w:tcW w:w="1559" w:type="dxa"/>
            <w:tcBorders>
              <w:bottom w:val="single" w:sz="4" w:space="0" w:color="ED7C5D"/>
            </w:tcBorders>
          </w:tcPr>
          <w:p w14:paraId="34576115" w14:textId="77777777" w:rsidR="00E04C6D" w:rsidRPr="00503F5B" w:rsidRDefault="00E04C6D" w:rsidP="00E04C6D">
            <w:pPr>
              <w:jc w:val="right"/>
              <w:rPr>
                <w:rFonts w:eastAsia="Times New Roman" w:cs="Calibri"/>
                <w:color w:val="auto"/>
                <w:sz w:val="20"/>
                <w:szCs w:val="20"/>
                <w:lang w:eastAsia="en-AU"/>
              </w:rPr>
            </w:pPr>
            <w:r w:rsidRPr="00503F5B">
              <w:rPr>
                <w:rFonts w:cs="Calibri"/>
                <w:sz w:val="20"/>
                <w:szCs w:val="20"/>
              </w:rPr>
              <w:t>4,058</w:t>
            </w:r>
          </w:p>
        </w:tc>
        <w:tc>
          <w:tcPr>
            <w:tcW w:w="2410" w:type="dxa"/>
            <w:tcBorders>
              <w:bottom w:val="single" w:sz="4" w:space="0" w:color="ED7C5D"/>
            </w:tcBorders>
            <w:noWrap/>
          </w:tcPr>
          <w:p w14:paraId="17343C65" w14:textId="77777777" w:rsidR="00E04C6D" w:rsidRPr="00503F5B" w:rsidRDefault="00E04C6D" w:rsidP="00E04C6D">
            <w:pPr>
              <w:jc w:val="right"/>
              <w:rPr>
                <w:rFonts w:eastAsia="Times New Roman" w:cs="Calibri"/>
                <w:color w:val="auto"/>
                <w:sz w:val="20"/>
                <w:szCs w:val="20"/>
                <w:lang w:eastAsia="en-AU"/>
              </w:rPr>
            </w:pPr>
            <w:r w:rsidRPr="00503F5B">
              <w:rPr>
                <w:rFonts w:cs="Calibri"/>
                <w:sz w:val="20"/>
                <w:szCs w:val="20"/>
              </w:rPr>
              <w:t>11.33%</w:t>
            </w:r>
          </w:p>
        </w:tc>
      </w:tr>
      <w:tr w:rsidR="00E04C6D" w:rsidRPr="00503F5B" w14:paraId="7051AFCF" w14:textId="77777777" w:rsidTr="00773B6E">
        <w:trPr>
          <w:trHeight w:val="80"/>
        </w:trPr>
        <w:tc>
          <w:tcPr>
            <w:tcW w:w="1985" w:type="dxa"/>
            <w:tcBorders>
              <w:top w:val="single" w:sz="4" w:space="0" w:color="ED7C5D"/>
              <w:bottom w:val="single" w:sz="4" w:space="0" w:color="ED7C5D"/>
            </w:tcBorders>
            <w:noWrap/>
          </w:tcPr>
          <w:p w14:paraId="25BE3534" w14:textId="77777777" w:rsidR="00E04C6D" w:rsidRPr="00503F5B" w:rsidRDefault="00E04C6D" w:rsidP="00E04C6D">
            <w:pPr>
              <w:rPr>
                <w:rFonts w:asciiTheme="majorHAnsi" w:eastAsia="Times New Roman" w:hAnsiTheme="majorHAnsi" w:cstheme="majorHAnsi"/>
                <w:b/>
                <w:bCs/>
                <w:i/>
                <w:iCs/>
                <w:sz w:val="20"/>
                <w:szCs w:val="20"/>
                <w:lang w:eastAsia="en-AU"/>
              </w:rPr>
            </w:pPr>
            <w:r w:rsidRPr="00503F5B">
              <w:rPr>
                <w:rFonts w:asciiTheme="majorHAnsi" w:eastAsia="Times New Roman" w:hAnsiTheme="majorHAnsi" w:cstheme="majorHAnsi"/>
                <w:b/>
                <w:bCs/>
                <w:i/>
                <w:iCs/>
                <w:sz w:val="20"/>
                <w:szCs w:val="20"/>
                <w:lang w:eastAsia="en-AU"/>
              </w:rPr>
              <w:t>4-year average</w:t>
            </w:r>
          </w:p>
        </w:tc>
        <w:tc>
          <w:tcPr>
            <w:tcW w:w="2268" w:type="dxa"/>
            <w:tcBorders>
              <w:top w:val="single" w:sz="4" w:space="0" w:color="ED7C5D"/>
              <w:bottom w:val="single" w:sz="4" w:space="0" w:color="ED7C5D"/>
            </w:tcBorders>
          </w:tcPr>
          <w:p w14:paraId="0D0BD9BF" w14:textId="77777777" w:rsidR="00E04C6D" w:rsidRPr="00503F5B" w:rsidRDefault="00E04C6D" w:rsidP="00E04C6D">
            <w:pPr>
              <w:jc w:val="right"/>
              <w:rPr>
                <w:rFonts w:eastAsia="Times New Roman" w:cs="Calibri"/>
                <w:b/>
                <w:bCs/>
                <w:i/>
                <w:iCs/>
                <w:color w:val="auto"/>
                <w:sz w:val="20"/>
                <w:szCs w:val="20"/>
                <w:lang w:eastAsia="en-AU"/>
              </w:rPr>
            </w:pPr>
            <w:r w:rsidRPr="00503F5B">
              <w:rPr>
                <w:b/>
                <w:bCs/>
                <w:i/>
                <w:iCs/>
                <w:sz w:val="20"/>
                <w:szCs w:val="20"/>
              </w:rPr>
              <w:t>32,550</w:t>
            </w:r>
          </w:p>
        </w:tc>
        <w:tc>
          <w:tcPr>
            <w:tcW w:w="1559" w:type="dxa"/>
            <w:tcBorders>
              <w:top w:val="single" w:sz="4" w:space="0" w:color="ED7C5D"/>
              <w:bottom w:val="single" w:sz="4" w:space="0" w:color="ED7C5D"/>
            </w:tcBorders>
          </w:tcPr>
          <w:p w14:paraId="1AAD1D4D" w14:textId="77777777" w:rsidR="00E04C6D" w:rsidRPr="00503F5B" w:rsidRDefault="00E04C6D" w:rsidP="00E04C6D">
            <w:pPr>
              <w:jc w:val="right"/>
              <w:rPr>
                <w:rFonts w:eastAsia="Times New Roman" w:cs="Calibri"/>
                <w:b/>
                <w:bCs/>
                <w:i/>
                <w:iCs/>
                <w:color w:val="auto"/>
                <w:sz w:val="20"/>
                <w:szCs w:val="20"/>
                <w:lang w:eastAsia="en-AU"/>
              </w:rPr>
            </w:pPr>
            <w:r w:rsidRPr="00503F5B">
              <w:rPr>
                <w:b/>
                <w:bCs/>
                <w:i/>
                <w:iCs/>
                <w:sz w:val="20"/>
                <w:szCs w:val="20"/>
              </w:rPr>
              <w:t>3,751</w:t>
            </w:r>
          </w:p>
        </w:tc>
        <w:tc>
          <w:tcPr>
            <w:tcW w:w="2410" w:type="dxa"/>
            <w:tcBorders>
              <w:top w:val="single" w:sz="4" w:space="0" w:color="ED7C5D"/>
              <w:bottom w:val="single" w:sz="4" w:space="0" w:color="ED7C5D"/>
            </w:tcBorders>
            <w:noWrap/>
          </w:tcPr>
          <w:p w14:paraId="7E49CD30" w14:textId="77777777" w:rsidR="00E04C6D" w:rsidRPr="00503F5B" w:rsidRDefault="00E04C6D" w:rsidP="00E04C6D">
            <w:pPr>
              <w:jc w:val="right"/>
              <w:rPr>
                <w:rFonts w:eastAsia="Times New Roman" w:cs="Calibri"/>
                <w:b/>
                <w:bCs/>
                <w:i/>
                <w:iCs/>
                <w:color w:val="auto"/>
                <w:sz w:val="20"/>
                <w:szCs w:val="20"/>
                <w:lang w:eastAsia="en-AU"/>
              </w:rPr>
            </w:pPr>
            <w:r w:rsidRPr="00503F5B">
              <w:rPr>
                <w:rFonts w:cs="Calibri"/>
                <w:b/>
                <w:bCs/>
                <w:i/>
                <w:iCs/>
                <w:sz w:val="20"/>
                <w:szCs w:val="20"/>
              </w:rPr>
              <w:t>11.77%</w:t>
            </w:r>
          </w:p>
        </w:tc>
      </w:tr>
    </w:tbl>
    <w:p w14:paraId="08D27E55" w14:textId="77777777" w:rsidR="00E04C6D" w:rsidRPr="00503F5B" w:rsidRDefault="00E04C6D" w:rsidP="00E04C6D">
      <w:pPr>
        <w:jc w:val="both"/>
      </w:pPr>
    </w:p>
    <w:p w14:paraId="0E45262C" w14:textId="6EFCC535" w:rsidR="00E04C6D" w:rsidRPr="00503F5B" w:rsidRDefault="00E04C6D" w:rsidP="00E04C6D">
      <w:pPr>
        <w:jc w:val="both"/>
      </w:pPr>
      <w:r w:rsidRPr="00503F5B">
        <w:t xml:space="preserve">Taking 11.8% of total direct and indirect costs of emergency attendances by integrated stations of </w:t>
      </w:r>
      <w:r w:rsidR="00C5653B" w:rsidRPr="00503F5B">
        <w:t>$217,846,208</w:t>
      </w:r>
      <w:r w:rsidRPr="00503F5B">
        <w:t xml:space="preserve"> in Section A2.2 – provides an estimated annual cost of </w:t>
      </w:r>
      <w:r w:rsidR="00C5653B" w:rsidRPr="00503F5B">
        <w:rPr>
          <w:b/>
          <w:bCs/>
        </w:rPr>
        <w:t xml:space="preserve">$25,633,888 </w:t>
      </w:r>
      <w:r w:rsidRPr="00503F5B">
        <w:t>for 2018-19 for false alarm attendances.</w:t>
      </w:r>
    </w:p>
    <w:p w14:paraId="0DD62EAB" w14:textId="77777777" w:rsidR="00E04C6D" w:rsidRPr="00503F5B" w:rsidRDefault="00E04C6D" w:rsidP="00E04C6D">
      <w:pPr>
        <w:pStyle w:val="Heading2"/>
      </w:pPr>
      <w:bookmarkStart w:id="280" w:name="_Toc35804172"/>
      <w:bookmarkStart w:id="281" w:name="_Toc35804666"/>
      <w:bookmarkStart w:id="282" w:name="_Toc35812710"/>
      <w:r w:rsidRPr="00503F5B">
        <w:lastRenderedPageBreak/>
        <w:t>A2.4 Estimated total costs of emergency attendances by CFA integrated stations in relation to false alarms - per quarterly hour</w:t>
      </w:r>
      <w:bookmarkEnd w:id="280"/>
      <w:bookmarkEnd w:id="281"/>
      <w:bookmarkEnd w:id="282"/>
    </w:p>
    <w:p w14:paraId="6CC910F0" w14:textId="47CBD340" w:rsidR="00E04C6D" w:rsidRPr="00503F5B" w:rsidRDefault="00E04C6D" w:rsidP="00E04C6D">
      <w:pPr>
        <w:jc w:val="both"/>
        <w:rPr>
          <w:rFonts w:eastAsia="Times New Roman" w:cs="Calibri"/>
          <w:b/>
          <w:bCs/>
          <w:lang w:eastAsia="en-AU"/>
        </w:rPr>
      </w:pPr>
      <w:bookmarkStart w:id="283" w:name="_Hlk34312670"/>
      <w:r w:rsidRPr="00503F5B">
        <w:t xml:space="preserve">Dividing the estimated total direct and indirect cost of false alarm attendances of </w:t>
      </w:r>
      <w:r w:rsidR="00D86E69" w:rsidRPr="00503F5B">
        <w:rPr>
          <w:b/>
          <w:bCs/>
        </w:rPr>
        <w:t xml:space="preserve">$25,633,888 </w:t>
      </w:r>
      <w:r w:rsidRPr="00503F5B">
        <w:t xml:space="preserve">in Section A2.3 by the 4-year average appliance hours of 3,751 in Table A2.5 provides an </w:t>
      </w:r>
      <w:r w:rsidRPr="00503F5B">
        <w:rPr>
          <w:b/>
          <w:bCs/>
          <w:i/>
          <w:iCs/>
        </w:rPr>
        <w:t>hourly attendance cost of $6,833.43</w:t>
      </w:r>
      <w:r w:rsidRPr="00503F5B">
        <w:t xml:space="preserve"> – as shown in Table A2.6, or a </w:t>
      </w:r>
      <w:r w:rsidRPr="00503F5B">
        <w:rPr>
          <w:b/>
          <w:bCs/>
          <w:i/>
          <w:iCs/>
        </w:rPr>
        <w:t xml:space="preserve">per quarterly hour cost of $1,708.36 </w:t>
      </w:r>
      <w:r w:rsidRPr="00503F5B">
        <w:t>– as shown in Table A2.7.  The breakup of hourly cost per appliance in Tables A2.6 and A2.7 are based on the percentage allocation of annual costs in Table A2.4.</w:t>
      </w:r>
    </w:p>
    <w:p w14:paraId="789BB794" w14:textId="77777777" w:rsidR="00E04C6D" w:rsidRPr="00503F5B" w:rsidRDefault="00E04C6D" w:rsidP="00E04C6D">
      <w:pPr>
        <w:jc w:val="both"/>
      </w:pPr>
    </w:p>
    <w:p w14:paraId="08DE944B" w14:textId="77777777" w:rsidR="00E04C6D" w:rsidRPr="00503F5B" w:rsidRDefault="00E04C6D" w:rsidP="00E04C6D">
      <w:pPr>
        <w:jc w:val="center"/>
        <w:rPr>
          <w:b/>
          <w:sz w:val="20"/>
          <w:szCs w:val="20"/>
        </w:rPr>
      </w:pPr>
      <w:r w:rsidRPr="00503F5B">
        <w:rPr>
          <w:b/>
          <w:sz w:val="20"/>
          <w:szCs w:val="20"/>
        </w:rPr>
        <w:t>Table A2.6: Hourly cost per appliance for false alarm attendances by CFA integrated stations – 2018-19</w:t>
      </w:r>
    </w:p>
    <w:p w14:paraId="5DEBA788" w14:textId="77777777" w:rsidR="00E04C6D" w:rsidRPr="00503F5B" w:rsidRDefault="00E04C6D" w:rsidP="00E04C6D">
      <w:pPr>
        <w:jc w:val="both"/>
      </w:pPr>
    </w:p>
    <w:tbl>
      <w:tblPr>
        <w:tblW w:w="7371" w:type="dxa"/>
        <w:jc w:val="center"/>
        <w:tblLook w:val="04A0" w:firstRow="1" w:lastRow="0" w:firstColumn="1" w:lastColumn="0" w:noHBand="0" w:noVBand="1"/>
      </w:tblPr>
      <w:tblGrid>
        <w:gridCol w:w="5103"/>
        <w:gridCol w:w="2268"/>
      </w:tblGrid>
      <w:tr w:rsidR="00E04C6D" w:rsidRPr="00503F5B" w14:paraId="2CFC2787" w14:textId="77777777" w:rsidTr="003F215B">
        <w:trPr>
          <w:trHeight w:val="70"/>
          <w:jc w:val="center"/>
        </w:trPr>
        <w:tc>
          <w:tcPr>
            <w:tcW w:w="5103" w:type="dxa"/>
            <w:tcBorders>
              <w:top w:val="single" w:sz="4" w:space="0" w:color="ED7C5D"/>
              <w:left w:val="nil"/>
              <w:bottom w:val="double" w:sz="4" w:space="0" w:color="ED7C5D"/>
              <w:right w:val="nil"/>
            </w:tcBorders>
            <w:shd w:val="clear" w:color="000000" w:fill="FFFFFF"/>
            <w:noWrap/>
            <w:hideMark/>
          </w:tcPr>
          <w:p w14:paraId="348705A4" w14:textId="77777777" w:rsidR="00E04C6D" w:rsidRPr="00503F5B" w:rsidRDefault="00E04C6D" w:rsidP="00E04C6D">
            <w:pPr>
              <w:rPr>
                <w:rFonts w:eastAsia="Times New Roman" w:cs="Calibri"/>
                <w:b/>
                <w:bCs/>
                <w:color w:val="C00000"/>
                <w:sz w:val="20"/>
                <w:szCs w:val="20"/>
                <w:lang w:eastAsia="en-AU"/>
              </w:rPr>
            </w:pPr>
            <w:r w:rsidRPr="00503F5B">
              <w:rPr>
                <w:rFonts w:eastAsia="Times New Roman" w:cs="Calibri"/>
                <w:b/>
                <w:bCs/>
                <w:color w:val="C00000"/>
                <w:sz w:val="20"/>
                <w:szCs w:val="20"/>
                <w:lang w:eastAsia="en-AU"/>
              </w:rPr>
              <w:t>Direct and Indirect hourly costs</w:t>
            </w:r>
          </w:p>
        </w:tc>
        <w:tc>
          <w:tcPr>
            <w:tcW w:w="2268" w:type="dxa"/>
            <w:tcBorders>
              <w:top w:val="single" w:sz="4" w:space="0" w:color="ED7C5D"/>
              <w:left w:val="nil"/>
              <w:bottom w:val="double" w:sz="4" w:space="0" w:color="ED7C5D"/>
              <w:right w:val="nil"/>
            </w:tcBorders>
            <w:shd w:val="clear" w:color="000000" w:fill="FFFFFF"/>
            <w:noWrap/>
            <w:hideMark/>
          </w:tcPr>
          <w:p w14:paraId="3AF03A5F" w14:textId="77777777" w:rsidR="00E04C6D" w:rsidRPr="00503F5B" w:rsidRDefault="00E04C6D" w:rsidP="00E04C6D">
            <w:pPr>
              <w:jc w:val="right"/>
              <w:rPr>
                <w:rFonts w:eastAsia="Times New Roman" w:cs="Calibri"/>
                <w:b/>
                <w:bCs/>
                <w:color w:val="C00000"/>
                <w:sz w:val="20"/>
                <w:szCs w:val="20"/>
                <w:lang w:eastAsia="en-AU"/>
              </w:rPr>
            </w:pPr>
            <w:r w:rsidRPr="00503F5B">
              <w:rPr>
                <w:rFonts w:eastAsia="Times New Roman" w:cs="Calibri"/>
                <w:b/>
                <w:bCs/>
                <w:color w:val="C00000"/>
                <w:sz w:val="20"/>
                <w:szCs w:val="20"/>
                <w:lang w:eastAsia="en-AU"/>
              </w:rPr>
              <w:t>Hourly cost per appliance for false alarm attendances</w:t>
            </w:r>
          </w:p>
        </w:tc>
      </w:tr>
      <w:tr w:rsidR="00E04C6D" w:rsidRPr="00503F5B" w14:paraId="0C86E322" w14:textId="77777777" w:rsidTr="003F215B">
        <w:trPr>
          <w:trHeight w:val="35"/>
          <w:jc w:val="center"/>
        </w:trPr>
        <w:tc>
          <w:tcPr>
            <w:tcW w:w="5103" w:type="dxa"/>
            <w:tcBorders>
              <w:top w:val="double" w:sz="4" w:space="0" w:color="ED7C5D"/>
              <w:left w:val="nil"/>
              <w:bottom w:val="nil"/>
              <w:right w:val="nil"/>
            </w:tcBorders>
            <w:shd w:val="clear" w:color="000000" w:fill="FFFFFF"/>
            <w:noWrap/>
            <w:hideMark/>
          </w:tcPr>
          <w:p w14:paraId="608537CA"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Appliance maintenance and support</w:t>
            </w:r>
          </w:p>
        </w:tc>
        <w:tc>
          <w:tcPr>
            <w:tcW w:w="2268" w:type="dxa"/>
            <w:tcBorders>
              <w:top w:val="double" w:sz="4" w:space="0" w:color="ED7C5D"/>
              <w:left w:val="nil"/>
              <w:bottom w:val="nil"/>
              <w:right w:val="nil"/>
            </w:tcBorders>
            <w:shd w:val="clear" w:color="000000" w:fill="FFFFFF"/>
            <w:noWrap/>
            <w:vAlign w:val="bottom"/>
            <w:hideMark/>
          </w:tcPr>
          <w:p w14:paraId="71BA20BD"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$37</w:t>
            </w:r>
          </w:p>
        </w:tc>
      </w:tr>
      <w:tr w:rsidR="00E04C6D" w:rsidRPr="00503F5B" w14:paraId="4460413A" w14:textId="77777777" w:rsidTr="003F215B">
        <w:trPr>
          <w:trHeight w:val="80"/>
          <w:jc w:val="center"/>
        </w:trPr>
        <w:tc>
          <w:tcPr>
            <w:tcW w:w="5103" w:type="dxa"/>
            <w:tcBorders>
              <w:top w:val="nil"/>
              <w:left w:val="nil"/>
              <w:bottom w:val="nil"/>
              <w:right w:val="nil"/>
            </w:tcBorders>
            <w:shd w:val="clear" w:color="000000" w:fill="FFFFFF"/>
            <w:noWrap/>
            <w:hideMark/>
          </w:tcPr>
          <w:p w14:paraId="2DC43531"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Appliance licencing</w:t>
            </w:r>
          </w:p>
        </w:tc>
        <w:tc>
          <w:tcPr>
            <w:tcW w:w="2268" w:type="dxa"/>
            <w:tcBorders>
              <w:top w:val="nil"/>
              <w:left w:val="nil"/>
              <w:bottom w:val="nil"/>
              <w:right w:val="nil"/>
            </w:tcBorders>
            <w:shd w:val="clear" w:color="000000" w:fill="FFFFFF"/>
            <w:noWrap/>
            <w:vAlign w:val="bottom"/>
            <w:hideMark/>
          </w:tcPr>
          <w:p w14:paraId="5B396839"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$2</w:t>
            </w:r>
          </w:p>
        </w:tc>
      </w:tr>
      <w:tr w:rsidR="00E04C6D" w:rsidRPr="00503F5B" w14:paraId="2485F24D" w14:textId="77777777" w:rsidTr="003F215B">
        <w:trPr>
          <w:trHeight w:val="80"/>
          <w:jc w:val="center"/>
        </w:trPr>
        <w:tc>
          <w:tcPr>
            <w:tcW w:w="5103" w:type="dxa"/>
            <w:tcBorders>
              <w:top w:val="nil"/>
              <w:left w:val="nil"/>
              <w:bottom w:val="single" w:sz="4" w:space="0" w:color="ED7C5D"/>
              <w:right w:val="nil"/>
            </w:tcBorders>
            <w:shd w:val="clear" w:color="000000" w:fill="FFFFFF"/>
            <w:noWrap/>
            <w:hideMark/>
          </w:tcPr>
          <w:p w14:paraId="3BB324D6"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Vehicle direct costs (external Inc. Fuel) SAP</w:t>
            </w:r>
          </w:p>
        </w:tc>
        <w:tc>
          <w:tcPr>
            <w:tcW w:w="2268" w:type="dxa"/>
            <w:tcBorders>
              <w:top w:val="nil"/>
              <w:left w:val="nil"/>
              <w:bottom w:val="single" w:sz="4" w:space="0" w:color="ED7C5D"/>
              <w:right w:val="nil"/>
            </w:tcBorders>
            <w:shd w:val="clear" w:color="000000" w:fill="FFFFFF"/>
            <w:noWrap/>
            <w:vAlign w:val="bottom"/>
            <w:hideMark/>
          </w:tcPr>
          <w:p w14:paraId="62990C9E"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$18</w:t>
            </w:r>
          </w:p>
        </w:tc>
      </w:tr>
      <w:tr w:rsidR="00E04C6D" w:rsidRPr="00503F5B" w14:paraId="64844C8C" w14:textId="77777777" w:rsidTr="003F215B">
        <w:trPr>
          <w:trHeight w:val="70"/>
          <w:jc w:val="center"/>
        </w:trPr>
        <w:tc>
          <w:tcPr>
            <w:tcW w:w="5103" w:type="dxa"/>
            <w:tcBorders>
              <w:top w:val="single" w:sz="4" w:space="0" w:color="ED7C5D"/>
              <w:left w:val="nil"/>
              <w:bottom w:val="single" w:sz="4" w:space="0" w:color="ED7C5D"/>
              <w:right w:val="nil"/>
            </w:tcBorders>
            <w:shd w:val="clear" w:color="000000" w:fill="FFFFFF"/>
            <w:noWrap/>
            <w:hideMark/>
          </w:tcPr>
          <w:p w14:paraId="41AD32D6" w14:textId="77777777" w:rsidR="00E04C6D" w:rsidRPr="00503F5B" w:rsidRDefault="00E04C6D" w:rsidP="00E04C6D">
            <w:pPr>
              <w:rPr>
                <w:rFonts w:eastAsia="Times New Roman" w:cs="Calibri"/>
                <w:b/>
                <w:bCs/>
                <w:sz w:val="20"/>
                <w:szCs w:val="20"/>
                <w:lang w:eastAsia="en-AU"/>
              </w:rPr>
            </w:pPr>
            <w:r w:rsidRPr="00503F5B">
              <w:rPr>
                <w:rFonts w:eastAsia="Times New Roman" w:cs="Calibri"/>
                <w:b/>
                <w:bCs/>
                <w:sz w:val="20"/>
                <w:szCs w:val="20"/>
                <w:lang w:eastAsia="en-AU"/>
              </w:rPr>
              <w:t>Sub-total direct hourly appliance costs</w:t>
            </w:r>
          </w:p>
        </w:tc>
        <w:tc>
          <w:tcPr>
            <w:tcW w:w="2268" w:type="dxa"/>
            <w:tcBorders>
              <w:top w:val="single" w:sz="4" w:space="0" w:color="ED7C5D"/>
              <w:left w:val="nil"/>
              <w:bottom w:val="single" w:sz="4" w:space="0" w:color="ED7C5D"/>
              <w:right w:val="nil"/>
            </w:tcBorders>
            <w:shd w:val="clear" w:color="000000" w:fill="FFFFFF"/>
            <w:noWrap/>
            <w:vAlign w:val="bottom"/>
            <w:hideMark/>
          </w:tcPr>
          <w:p w14:paraId="2C8424CB" w14:textId="77777777" w:rsidR="00E04C6D" w:rsidRPr="00503F5B" w:rsidRDefault="00E04C6D" w:rsidP="00E04C6D">
            <w:pPr>
              <w:jc w:val="right"/>
              <w:rPr>
                <w:rFonts w:eastAsia="Times New Roman" w:cs="Calibri"/>
                <w:b/>
                <w:bCs/>
                <w:sz w:val="20"/>
                <w:szCs w:val="20"/>
                <w:lang w:eastAsia="en-AU"/>
              </w:rPr>
            </w:pPr>
            <w:r w:rsidRPr="00503F5B">
              <w:rPr>
                <w:rFonts w:cs="Calibri"/>
                <w:b/>
                <w:bCs/>
                <w:sz w:val="20"/>
                <w:szCs w:val="20"/>
              </w:rPr>
              <w:t>$56</w:t>
            </w:r>
          </w:p>
        </w:tc>
      </w:tr>
      <w:tr w:rsidR="00E04C6D" w:rsidRPr="00503F5B" w14:paraId="5383A83F" w14:textId="77777777" w:rsidTr="00203BDA">
        <w:trPr>
          <w:trHeight w:val="70"/>
          <w:jc w:val="center"/>
        </w:trPr>
        <w:tc>
          <w:tcPr>
            <w:tcW w:w="5103" w:type="dxa"/>
            <w:tcBorders>
              <w:top w:val="single" w:sz="4" w:space="0" w:color="ED7C5D"/>
              <w:left w:val="nil"/>
              <w:right w:val="nil"/>
            </w:tcBorders>
            <w:shd w:val="clear" w:color="000000" w:fill="FFFFFF"/>
            <w:noWrap/>
            <w:hideMark/>
          </w:tcPr>
          <w:p w14:paraId="427977AB"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Salaries and on-costs (including operational staff)</w:t>
            </w:r>
          </w:p>
        </w:tc>
        <w:tc>
          <w:tcPr>
            <w:tcW w:w="2268" w:type="dxa"/>
            <w:tcBorders>
              <w:top w:val="single" w:sz="4" w:space="0" w:color="ED7C5D"/>
              <w:left w:val="nil"/>
              <w:right w:val="nil"/>
            </w:tcBorders>
            <w:shd w:val="clear" w:color="000000" w:fill="FFFFFF"/>
            <w:noWrap/>
            <w:vAlign w:val="bottom"/>
            <w:hideMark/>
          </w:tcPr>
          <w:p w14:paraId="48F0A8AC" w14:textId="6F9AD939" w:rsidR="00E04C6D" w:rsidRPr="00503F5B" w:rsidRDefault="00E04C6D" w:rsidP="00E04C6D">
            <w:pPr>
              <w:jc w:val="right"/>
              <w:rPr>
                <w:rFonts w:eastAsia="Times New Roman" w:cs="Calibri"/>
                <w:sz w:val="20"/>
                <w:szCs w:val="20"/>
                <w:lang w:eastAsia="en-AU"/>
              </w:rPr>
            </w:pPr>
            <w:r w:rsidRPr="00503F5B">
              <w:rPr>
                <w:rFonts w:cs="Calibri"/>
                <w:sz w:val="20"/>
                <w:szCs w:val="20"/>
              </w:rPr>
              <w:t>$</w:t>
            </w:r>
            <w:r w:rsidR="00435388">
              <w:rPr>
                <w:rFonts w:cs="Calibri"/>
                <w:sz w:val="20"/>
                <w:szCs w:val="20"/>
              </w:rPr>
              <w:t>4,726</w:t>
            </w:r>
          </w:p>
        </w:tc>
      </w:tr>
      <w:tr w:rsidR="00E04C6D" w:rsidRPr="00503F5B" w14:paraId="705D0D04" w14:textId="77777777" w:rsidTr="003F215B">
        <w:trPr>
          <w:trHeight w:val="80"/>
          <w:jc w:val="center"/>
        </w:trPr>
        <w:tc>
          <w:tcPr>
            <w:tcW w:w="5103" w:type="dxa"/>
            <w:tcBorders>
              <w:top w:val="nil"/>
              <w:left w:val="nil"/>
              <w:bottom w:val="single" w:sz="4" w:space="0" w:color="ED7C5D"/>
              <w:right w:val="nil"/>
            </w:tcBorders>
            <w:shd w:val="clear" w:color="000000" w:fill="FFFFFF"/>
            <w:noWrap/>
            <w:hideMark/>
          </w:tcPr>
          <w:p w14:paraId="7CDA69F3"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Other employee expenses</w:t>
            </w:r>
          </w:p>
        </w:tc>
        <w:tc>
          <w:tcPr>
            <w:tcW w:w="2268" w:type="dxa"/>
            <w:tcBorders>
              <w:top w:val="nil"/>
              <w:left w:val="nil"/>
              <w:bottom w:val="single" w:sz="4" w:space="0" w:color="ED7C5D"/>
              <w:right w:val="nil"/>
            </w:tcBorders>
            <w:shd w:val="clear" w:color="000000" w:fill="FFFFFF"/>
            <w:noWrap/>
            <w:vAlign w:val="bottom"/>
            <w:hideMark/>
          </w:tcPr>
          <w:p w14:paraId="621F9326"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$243</w:t>
            </w:r>
          </w:p>
        </w:tc>
      </w:tr>
      <w:tr w:rsidR="00E04C6D" w:rsidRPr="00503F5B" w14:paraId="6881E7F0" w14:textId="77777777" w:rsidTr="003F215B">
        <w:trPr>
          <w:trHeight w:val="70"/>
          <w:jc w:val="center"/>
        </w:trPr>
        <w:tc>
          <w:tcPr>
            <w:tcW w:w="5103" w:type="dxa"/>
            <w:tcBorders>
              <w:top w:val="single" w:sz="4" w:space="0" w:color="ED7C5D"/>
              <w:left w:val="nil"/>
              <w:bottom w:val="single" w:sz="4" w:space="0" w:color="ED7C5D"/>
              <w:right w:val="nil"/>
            </w:tcBorders>
            <w:shd w:val="clear" w:color="000000" w:fill="FFFFFF"/>
            <w:noWrap/>
            <w:hideMark/>
          </w:tcPr>
          <w:p w14:paraId="3CC94817" w14:textId="77777777" w:rsidR="00E04C6D" w:rsidRPr="00503F5B" w:rsidRDefault="00E04C6D" w:rsidP="00E04C6D">
            <w:pPr>
              <w:rPr>
                <w:rFonts w:eastAsia="Times New Roman" w:cs="Calibri"/>
                <w:b/>
                <w:bCs/>
                <w:sz w:val="20"/>
                <w:szCs w:val="20"/>
                <w:lang w:eastAsia="en-AU"/>
              </w:rPr>
            </w:pPr>
            <w:r w:rsidRPr="00503F5B">
              <w:rPr>
                <w:rFonts w:eastAsia="Times New Roman" w:cs="Calibri"/>
                <w:b/>
                <w:bCs/>
                <w:sz w:val="20"/>
                <w:szCs w:val="20"/>
                <w:lang w:eastAsia="en-AU"/>
              </w:rPr>
              <w:t>Sub-total direct hourly staffing costs</w:t>
            </w:r>
          </w:p>
        </w:tc>
        <w:tc>
          <w:tcPr>
            <w:tcW w:w="2268" w:type="dxa"/>
            <w:tcBorders>
              <w:top w:val="single" w:sz="4" w:space="0" w:color="ED7C5D"/>
              <w:left w:val="nil"/>
              <w:bottom w:val="single" w:sz="4" w:space="0" w:color="ED7C5D"/>
              <w:right w:val="nil"/>
            </w:tcBorders>
            <w:shd w:val="clear" w:color="000000" w:fill="FFFFFF"/>
            <w:noWrap/>
            <w:vAlign w:val="bottom"/>
            <w:hideMark/>
          </w:tcPr>
          <w:p w14:paraId="10DF7B17" w14:textId="77777777" w:rsidR="00E04C6D" w:rsidRPr="00503F5B" w:rsidRDefault="00E04C6D" w:rsidP="00E04C6D">
            <w:pPr>
              <w:jc w:val="right"/>
              <w:rPr>
                <w:rFonts w:eastAsia="Times New Roman" w:cs="Calibri"/>
                <w:b/>
                <w:bCs/>
                <w:sz w:val="20"/>
                <w:szCs w:val="20"/>
                <w:lang w:eastAsia="en-AU"/>
              </w:rPr>
            </w:pPr>
            <w:r w:rsidRPr="00503F5B">
              <w:rPr>
                <w:rFonts w:cs="Calibri"/>
                <w:b/>
                <w:bCs/>
                <w:sz w:val="20"/>
                <w:szCs w:val="20"/>
              </w:rPr>
              <w:t>$4,969</w:t>
            </w:r>
          </w:p>
        </w:tc>
      </w:tr>
      <w:tr w:rsidR="00E04C6D" w:rsidRPr="00503F5B" w14:paraId="7F8FAF76" w14:textId="77777777" w:rsidTr="003F215B">
        <w:trPr>
          <w:trHeight w:val="70"/>
          <w:jc w:val="center"/>
        </w:trPr>
        <w:tc>
          <w:tcPr>
            <w:tcW w:w="5103" w:type="dxa"/>
            <w:tcBorders>
              <w:top w:val="single" w:sz="4" w:space="0" w:color="ED7C5D"/>
              <w:left w:val="nil"/>
              <w:bottom w:val="nil"/>
              <w:right w:val="nil"/>
            </w:tcBorders>
            <w:shd w:val="clear" w:color="000000" w:fill="FFFFFF"/>
            <w:noWrap/>
            <w:hideMark/>
          </w:tcPr>
          <w:p w14:paraId="5AABC012"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Land and buildings maintenance (external Suppliers)</w:t>
            </w:r>
          </w:p>
        </w:tc>
        <w:tc>
          <w:tcPr>
            <w:tcW w:w="2268" w:type="dxa"/>
            <w:tcBorders>
              <w:top w:val="single" w:sz="4" w:space="0" w:color="ED7C5D"/>
              <w:left w:val="nil"/>
              <w:bottom w:val="nil"/>
              <w:right w:val="nil"/>
            </w:tcBorders>
            <w:shd w:val="clear" w:color="000000" w:fill="FFFFFF"/>
            <w:noWrap/>
            <w:vAlign w:val="bottom"/>
            <w:hideMark/>
          </w:tcPr>
          <w:p w14:paraId="09F4633C"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$38</w:t>
            </w:r>
          </w:p>
        </w:tc>
      </w:tr>
      <w:tr w:rsidR="00E04C6D" w:rsidRPr="00503F5B" w14:paraId="45C8082D" w14:textId="77777777" w:rsidTr="003F215B">
        <w:trPr>
          <w:trHeight w:val="80"/>
          <w:jc w:val="center"/>
        </w:trPr>
        <w:tc>
          <w:tcPr>
            <w:tcW w:w="5103" w:type="dxa"/>
            <w:tcBorders>
              <w:top w:val="nil"/>
              <w:left w:val="nil"/>
              <w:bottom w:val="nil"/>
              <w:right w:val="nil"/>
            </w:tcBorders>
            <w:shd w:val="clear" w:color="000000" w:fill="FFFFFF"/>
            <w:noWrap/>
            <w:hideMark/>
          </w:tcPr>
          <w:p w14:paraId="464B4AB0"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Plant and equipment maintenance (external Suppliers)</w:t>
            </w:r>
          </w:p>
        </w:tc>
        <w:tc>
          <w:tcPr>
            <w:tcW w:w="2268" w:type="dxa"/>
            <w:tcBorders>
              <w:top w:val="nil"/>
              <w:left w:val="nil"/>
              <w:bottom w:val="nil"/>
              <w:right w:val="nil"/>
            </w:tcBorders>
            <w:shd w:val="clear" w:color="000000" w:fill="FFFFFF"/>
            <w:noWrap/>
            <w:vAlign w:val="bottom"/>
            <w:hideMark/>
          </w:tcPr>
          <w:p w14:paraId="517D0F7D"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$23</w:t>
            </w:r>
          </w:p>
        </w:tc>
      </w:tr>
      <w:tr w:rsidR="00E04C6D" w:rsidRPr="00503F5B" w14:paraId="42FB14A6" w14:textId="77777777" w:rsidTr="003F215B">
        <w:trPr>
          <w:trHeight w:val="80"/>
          <w:jc w:val="center"/>
        </w:trPr>
        <w:tc>
          <w:tcPr>
            <w:tcW w:w="5103" w:type="dxa"/>
            <w:tcBorders>
              <w:top w:val="nil"/>
              <w:left w:val="nil"/>
              <w:bottom w:val="nil"/>
              <w:right w:val="nil"/>
            </w:tcBorders>
            <w:shd w:val="clear" w:color="000000" w:fill="FFFFFF"/>
            <w:noWrap/>
            <w:hideMark/>
          </w:tcPr>
          <w:p w14:paraId="25EE710E"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General expenses (external suppliers)</w:t>
            </w:r>
          </w:p>
        </w:tc>
        <w:tc>
          <w:tcPr>
            <w:tcW w:w="2268" w:type="dxa"/>
            <w:tcBorders>
              <w:top w:val="nil"/>
              <w:left w:val="nil"/>
              <w:bottom w:val="nil"/>
              <w:right w:val="nil"/>
            </w:tcBorders>
            <w:shd w:val="clear" w:color="000000" w:fill="FFFFFF"/>
            <w:noWrap/>
            <w:vAlign w:val="bottom"/>
            <w:hideMark/>
          </w:tcPr>
          <w:p w14:paraId="4773DD3C"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$15</w:t>
            </w:r>
          </w:p>
        </w:tc>
      </w:tr>
      <w:tr w:rsidR="00E04C6D" w:rsidRPr="00503F5B" w14:paraId="513B1657" w14:textId="77777777" w:rsidTr="003F215B">
        <w:trPr>
          <w:trHeight w:val="80"/>
          <w:jc w:val="center"/>
        </w:trPr>
        <w:tc>
          <w:tcPr>
            <w:tcW w:w="5103" w:type="dxa"/>
            <w:tcBorders>
              <w:top w:val="nil"/>
              <w:left w:val="nil"/>
              <w:bottom w:val="single" w:sz="4" w:space="0" w:color="ED7C5D"/>
              <w:right w:val="nil"/>
            </w:tcBorders>
            <w:shd w:val="clear" w:color="000000" w:fill="FFFFFF"/>
            <w:noWrap/>
            <w:hideMark/>
          </w:tcPr>
          <w:p w14:paraId="3553F394"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Land and buildings - CFA internal maintenance costs</w:t>
            </w:r>
          </w:p>
        </w:tc>
        <w:tc>
          <w:tcPr>
            <w:tcW w:w="2268" w:type="dxa"/>
            <w:tcBorders>
              <w:top w:val="nil"/>
              <w:left w:val="nil"/>
              <w:bottom w:val="single" w:sz="4" w:space="0" w:color="ED7C5D"/>
              <w:right w:val="nil"/>
            </w:tcBorders>
            <w:shd w:val="clear" w:color="000000" w:fill="FFFFFF"/>
            <w:noWrap/>
            <w:vAlign w:val="bottom"/>
            <w:hideMark/>
          </w:tcPr>
          <w:p w14:paraId="70B45558"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$23</w:t>
            </w:r>
          </w:p>
        </w:tc>
      </w:tr>
      <w:tr w:rsidR="00E04C6D" w:rsidRPr="00503F5B" w14:paraId="2C948F74" w14:textId="77777777" w:rsidTr="003F215B">
        <w:trPr>
          <w:trHeight w:val="70"/>
          <w:jc w:val="center"/>
        </w:trPr>
        <w:tc>
          <w:tcPr>
            <w:tcW w:w="5103" w:type="dxa"/>
            <w:tcBorders>
              <w:top w:val="single" w:sz="4" w:space="0" w:color="ED7C5D"/>
              <w:left w:val="nil"/>
              <w:bottom w:val="single" w:sz="4" w:space="0" w:color="ED7C5D"/>
              <w:right w:val="nil"/>
            </w:tcBorders>
            <w:shd w:val="clear" w:color="000000" w:fill="FFFFFF"/>
            <w:noWrap/>
            <w:hideMark/>
          </w:tcPr>
          <w:p w14:paraId="62D4EDBB" w14:textId="77777777" w:rsidR="00E04C6D" w:rsidRPr="00503F5B" w:rsidRDefault="00E04C6D" w:rsidP="00E04C6D">
            <w:pPr>
              <w:rPr>
                <w:rFonts w:eastAsia="Times New Roman" w:cs="Calibri"/>
                <w:b/>
                <w:bCs/>
                <w:sz w:val="20"/>
                <w:szCs w:val="20"/>
                <w:lang w:eastAsia="en-AU"/>
              </w:rPr>
            </w:pPr>
            <w:r w:rsidRPr="00503F5B">
              <w:rPr>
                <w:rFonts w:eastAsia="Times New Roman" w:cs="Calibri"/>
                <w:b/>
                <w:bCs/>
                <w:sz w:val="20"/>
                <w:szCs w:val="20"/>
                <w:lang w:eastAsia="en-AU"/>
              </w:rPr>
              <w:t>Sub-total direct hourly station costs</w:t>
            </w:r>
          </w:p>
        </w:tc>
        <w:tc>
          <w:tcPr>
            <w:tcW w:w="2268" w:type="dxa"/>
            <w:tcBorders>
              <w:top w:val="single" w:sz="4" w:space="0" w:color="ED7C5D"/>
              <w:left w:val="nil"/>
              <w:bottom w:val="single" w:sz="4" w:space="0" w:color="ED7C5D"/>
              <w:right w:val="nil"/>
            </w:tcBorders>
            <w:shd w:val="clear" w:color="000000" w:fill="FFFFFF"/>
            <w:noWrap/>
            <w:vAlign w:val="bottom"/>
            <w:hideMark/>
          </w:tcPr>
          <w:p w14:paraId="1DB10EE1" w14:textId="77777777" w:rsidR="00E04C6D" w:rsidRPr="00503F5B" w:rsidRDefault="00E04C6D" w:rsidP="00E04C6D">
            <w:pPr>
              <w:jc w:val="right"/>
              <w:rPr>
                <w:rFonts w:eastAsia="Times New Roman" w:cs="Calibri"/>
                <w:b/>
                <w:bCs/>
                <w:sz w:val="20"/>
                <w:szCs w:val="20"/>
                <w:lang w:eastAsia="en-AU"/>
              </w:rPr>
            </w:pPr>
            <w:r w:rsidRPr="00503F5B">
              <w:rPr>
                <w:rFonts w:cs="Calibri"/>
                <w:b/>
                <w:bCs/>
                <w:sz w:val="20"/>
                <w:szCs w:val="20"/>
              </w:rPr>
              <w:t>$99</w:t>
            </w:r>
          </w:p>
        </w:tc>
      </w:tr>
      <w:tr w:rsidR="00E04C6D" w:rsidRPr="00503F5B" w14:paraId="40FF4033" w14:textId="77777777" w:rsidTr="003F215B">
        <w:trPr>
          <w:trHeight w:val="70"/>
          <w:jc w:val="center"/>
        </w:trPr>
        <w:tc>
          <w:tcPr>
            <w:tcW w:w="5103" w:type="dxa"/>
            <w:tcBorders>
              <w:top w:val="single" w:sz="4" w:space="0" w:color="ED7C5D"/>
              <w:left w:val="nil"/>
              <w:bottom w:val="single" w:sz="4" w:space="0" w:color="ED7C5D"/>
              <w:right w:val="nil"/>
            </w:tcBorders>
            <w:shd w:val="clear" w:color="000000" w:fill="FFFFFF"/>
            <w:noWrap/>
            <w:hideMark/>
          </w:tcPr>
          <w:p w14:paraId="5A501414" w14:textId="77777777" w:rsidR="00E04C6D" w:rsidRPr="00503F5B" w:rsidRDefault="00E04C6D" w:rsidP="00E04C6D">
            <w:pPr>
              <w:rPr>
                <w:rFonts w:eastAsia="Times New Roman" w:cs="Calibri"/>
                <w:b/>
                <w:bCs/>
                <w:sz w:val="20"/>
                <w:szCs w:val="20"/>
                <w:lang w:eastAsia="en-AU"/>
              </w:rPr>
            </w:pPr>
            <w:r w:rsidRPr="00503F5B">
              <w:rPr>
                <w:rFonts w:eastAsia="Times New Roman" w:cs="Calibri"/>
                <w:b/>
                <w:bCs/>
                <w:sz w:val="20"/>
                <w:szCs w:val="20"/>
                <w:lang w:eastAsia="en-AU"/>
              </w:rPr>
              <w:t>Sub-total indirect hourly cost</w:t>
            </w:r>
          </w:p>
        </w:tc>
        <w:tc>
          <w:tcPr>
            <w:tcW w:w="2268" w:type="dxa"/>
            <w:tcBorders>
              <w:top w:val="single" w:sz="4" w:space="0" w:color="ED7C5D"/>
              <w:left w:val="nil"/>
              <w:bottom w:val="single" w:sz="4" w:space="0" w:color="ED7C5D"/>
              <w:right w:val="nil"/>
            </w:tcBorders>
            <w:shd w:val="clear" w:color="000000" w:fill="FFFFFF"/>
            <w:noWrap/>
            <w:vAlign w:val="bottom"/>
            <w:hideMark/>
          </w:tcPr>
          <w:p w14:paraId="4D1F3348" w14:textId="77777777" w:rsidR="00E04C6D" w:rsidRPr="00503F5B" w:rsidRDefault="00E04C6D" w:rsidP="00E04C6D">
            <w:pPr>
              <w:jc w:val="right"/>
              <w:rPr>
                <w:rFonts w:eastAsia="Times New Roman" w:cs="Calibri"/>
                <w:b/>
                <w:bCs/>
                <w:sz w:val="20"/>
                <w:szCs w:val="20"/>
                <w:lang w:eastAsia="en-AU"/>
              </w:rPr>
            </w:pPr>
            <w:r w:rsidRPr="00503F5B">
              <w:rPr>
                <w:rFonts w:cs="Calibri"/>
                <w:b/>
                <w:bCs/>
                <w:sz w:val="20"/>
                <w:szCs w:val="20"/>
              </w:rPr>
              <w:t>$1,710</w:t>
            </w:r>
          </w:p>
        </w:tc>
      </w:tr>
      <w:tr w:rsidR="00E04C6D" w:rsidRPr="00503F5B" w14:paraId="7E49F3F6" w14:textId="77777777" w:rsidTr="003F215B">
        <w:trPr>
          <w:trHeight w:val="70"/>
          <w:jc w:val="center"/>
        </w:trPr>
        <w:tc>
          <w:tcPr>
            <w:tcW w:w="5103" w:type="dxa"/>
            <w:tcBorders>
              <w:top w:val="single" w:sz="4" w:space="0" w:color="ED7C5D"/>
              <w:left w:val="nil"/>
              <w:bottom w:val="single" w:sz="4" w:space="0" w:color="ED7C5D"/>
              <w:right w:val="nil"/>
            </w:tcBorders>
            <w:shd w:val="clear" w:color="000000" w:fill="FFFFFF"/>
            <w:noWrap/>
            <w:hideMark/>
          </w:tcPr>
          <w:p w14:paraId="1B4EC5B6" w14:textId="77777777" w:rsidR="00E04C6D" w:rsidRPr="00503F5B" w:rsidRDefault="00E04C6D" w:rsidP="00E04C6D">
            <w:pPr>
              <w:rPr>
                <w:rFonts w:eastAsia="Times New Roman" w:cs="Calibri"/>
                <w:b/>
                <w:bCs/>
                <w:i/>
                <w:iCs/>
                <w:sz w:val="20"/>
                <w:szCs w:val="20"/>
                <w:lang w:eastAsia="en-AU"/>
              </w:rPr>
            </w:pPr>
            <w:r w:rsidRPr="00503F5B">
              <w:rPr>
                <w:rFonts w:eastAsia="Times New Roman" w:cs="Calibri"/>
                <w:b/>
                <w:bCs/>
                <w:i/>
                <w:iCs/>
                <w:sz w:val="20"/>
                <w:szCs w:val="20"/>
                <w:lang w:eastAsia="en-AU"/>
              </w:rPr>
              <w:t>Total hourly direct and indirect hourly costs per appliance</w:t>
            </w:r>
          </w:p>
        </w:tc>
        <w:tc>
          <w:tcPr>
            <w:tcW w:w="2268" w:type="dxa"/>
            <w:tcBorders>
              <w:top w:val="single" w:sz="4" w:space="0" w:color="ED7C5D"/>
              <w:left w:val="nil"/>
              <w:bottom w:val="single" w:sz="4" w:space="0" w:color="ED7C5D"/>
              <w:right w:val="nil"/>
            </w:tcBorders>
            <w:shd w:val="clear" w:color="000000" w:fill="FFFFFF"/>
            <w:noWrap/>
            <w:vAlign w:val="bottom"/>
            <w:hideMark/>
          </w:tcPr>
          <w:p w14:paraId="3803A126" w14:textId="77777777" w:rsidR="00E04C6D" w:rsidRPr="00503F5B" w:rsidRDefault="00E04C6D" w:rsidP="00E04C6D">
            <w:pPr>
              <w:jc w:val="right"/>
              <w:rPr>
                <w:rFonts w:eastAsia="Times New Roman" w:cs="Calibri"/>
                <w:b/>
                <w:bCs/>
                <w:i/>
                <w:iCs/>
                <w:sz w:val="20"/>
                <w:szCs w:val="20"/>
                <w:lang w:eastAsia="en-AU"/>
              </w:rPr>
            </w:pPr>
            <w:r w:rsidRPr="00503F5B">
              <w:rPr>
                <w:rFonts w:cs="Calibri"/>
                <w:b/>
                <w:bCs/>
                <w:i/>
                <w:iCs/>
                <w:sz w:val="20"/>
                <w:szCs w:val="20"/>
              </w:rPr>
              <w:t>$6,833</w:t>
            </w:r>
          </w:p>
        </w:tc>
      </w:tr>
    </w:tbl>
    <w:p w14:paraId="7621174E" w14:textId="77777777" w:rsidR="00E04C6D" w:rsidRPr="00503F5B" w:rsidRDefault="00E04C6D" w:rsidP="00E04C6D"/>
    <w:bookmarkEnd w:id="283"/>
    <w:p w14:paraId="6E87FDC0" w14:textId="77777777" w:rsidR="00E04C6D" w:rsidRPr="00503F5B" w:rsidRDefault="00E04C6D" w:rsidP="00E04C6D">
      <w:pPr>
        <w:jc w:val="center"/>
        <w:rPr>
          <w:b/>
          <w:sz w:val="20"/>
          <w:szCs w:val="20"/>
        </w:rPr>
      </w:pPr>
      <w:r w:rsidRPr="00503F5B">
        <w:rPr>
          <w:b/>
          <w:sz w:val="20"/>
          <w:szCs w:val="20"/>
        </w:rPr>
        <w:t>Table A2.7: Quarterly hour cost per appliance for false alarm attendances by CFA integrated stations – 2018-19</w:t>
      </w:r>
    </w:p>
    <w:p w14:paraId="721E96AC" w14:textId="77777777" w:rsidR="00E04C6D" w:rsidRPr="00503F5B" w:rsidRDefault="00E04C6D" w:rsidP="00E04C6D">
      <w:pPr>
        <w:jc w:val="both"/>
      </w:pPr>
    </w:p>
    <w:tbl>
      <w:tblPr>
        <w:tblW w:w="7371" w:type="dxa"/>
        <w:jc w:val="center"/>
        <w:tblLook w:val="04A0" w:firstRow="1" w:lastRow="0" w:firstColumn="1" w:lastColumn="0" w:noHBand="0" w:noVBand="1"/>
      </w:tblPr>
      <w:tblGrid>
        <w:gridCol w:w="5245"/>
        <w:gridCol w:w="2126"/>
      </w:tblGrid>
      <w:tr w:rsidR="00E04C6D" w:rsidRPr="00503F5B" w14:paraId="6E450E6E" w14:textId="77777777" w:rsidTr="003F215B">
        <w:trPr>
          <w:trHeight w:val="70"/>
          <w:jc w:val="center"/>
        </w:trPr>
        <w:tc>
          <w:tcPr>
            <w:tcW w:w="5245" w:type="dxa"/>
            <w:tcBorders>
              <w:top w:val="single" w:sz="4" w:space="0" w:color="ED7C5D"/>
              <w:left w:val="nil"/>
              <w:bottom w:val="double" w:sz="4" w:space="0" w:color="ED7C5D"/>
              <w:right w:val="nil"/>
            </w:tcBorders>
            <w:shd w:val="clear" w:color="000000" w:fill="FFFFFF"/>
            <w:noWrap/>
            <w:hideMark/>
          </w:tcPr>
          <w:p w14:paraId="1A87424B" w14:textId="77777777" w:rsidR="00E04C6D" w:rsidRPr="00503F5B" w:rsidRDefault="00E04C6D" w:rsidP="00E04C6D">
            <w:pPr>
              <w:rPr>
                <w:rFonts w:eastAsia="Times New Roman" w:cs="Calibri"/>
                <w:b/>
                <w:bCs/>
                <w:color w:val="C00000"/>
                <w:sz w:val="20"/>
                <w:szCs w:val="20"/>
                <w:lang w:eastAsia="en-AU"/>
              </w:rPr>
            </w:pPr>
            <w:r w:rsidRPr="00503F5B">
              <w:rPr>
                <w:rFonts w:eastAsia="Times New Roman" w:cs="Calibri"/>
                <w:b/>
                <w:bCs/>
                <w:color w:val="C00000"/>
                <w:sz w:val="20"/>
                <w:szCs w:val="20"/>
                <w:lang w:eastAsia="en-AU"/>
              </w:rPr>
              <w:t>Direct and Indirect hourly costs</w:t>
            </w:r>
          </w:p>
        </w:tc>
        <w:tc>
          <w:tcPr>
            <w:tcW w:w="2126" w:type="dxa"/>
            <w:tcBorders>
              <w:top w:val="single" w:sz="4" w:space="0" w:color="ED7C5D"/>
              <w:left w:val="nil"/>
              <w:bottom w:val="double" w:sz="4" w:space="0" w:color="ED7C5D"/>
              <w:right w:val="nil"/>
            </w:tcBorders>
            <w:shd w:val="clear" w:color="000000" w:fill="FFFFFF"/>
            <w:noWrap/>
            <w:hideMark/>
          </w:tcPr>
          <w:p w14:paraId="5206E9D2" w14:textId="77777777" w:rsidR="00E04C6D" w:rsidRPr="00503F5B" w:rsidRDefault="00E04C6D" w:rsidP="00E04C6D">
            <w:pPr>
              <w:jc w:val="right"/>
              <w:rPr>
                <w:rFonts w:eastAsia="Times New Roman" w:cs="Calibri"/>
                <w:b/>
                <w:bCs/>
                <w:color w:val="C00000"/>
                <w:sz w:val="20"/>
                <w:szCs w:val="20"/>
                <w:lang w:eastAsia="en-AU"/>
              </w:rPr>
            </w:pPr>
            <w:r w:rsidRPr="00503F5B">
              <w:rPr>
                <w:rFonts w:eastAsia="Times New Roman" w:cs="Calibri"/>
                <w:b/>
                <w:bCs/>
                <w:color w:val="C00000"/>
                <w:sz w:val="20"/>
                <w:szCs w:val="20"/>
                <w:lang w:eastAsia="en-AU"/>
              </w:rPr>
              <w:t>Quarterly hour cost per appliance for false alarm attendances</w:t>
            </w:r>
          </w:p>
        </w:tc>
      </w:tr>
      <w:tr w:rsidR="00E04C6D" w:rsidRPr="00503F5B" w14:paraId="1C83262E" w14:textId="77777777" w:rsidTr="003F215B">
        <w:trPr>
          <w:trHeight w:val="35"/>
          <w:jc w:val="center"/>
        </w:trPr>
        <w:tc>
          <w:tcPr>
            <w:tcW w:w="5245" w:type="dxa"/>
            <w:tcBorders>
              <w:top w:val="double" w:sz="4" w:space="0" w:color="ED7C5D"/>
              <w:left w:val="nil"/>
              <w:bottom w:val="nil"/>
              <w:right w:val="nil"/>
            </w:tcBorders>
            <w:shd w:val="clear" w:color="000000" w:fill="FFFFFF"/>
            <w:noWrap/>
            <w:hideMark/>
          </w:tcPr>
          <w:p w14:paraId="6A477670"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Appliance maintenance and support</w:t>
            </w:r>
          </w:p>
        </w:tc>
        <w:tc>
          <w:tcPr>
            <w:tcW w:w="2126" w:type="dxa"/>
            <w:tcBorders>
              <w:top w:val="double" w:sz="4" w:space="0" w:color="ED7C5D"/>
              <w:left w:val="nil"/>
              <w:bottom w:val="nil"/>
              <w:right w:val="nil"/>
            </w:tcBorders>
            <w:shd w:val="clear" w:color="000000" w:fill="FFFFFF"/>
            <w:noWrap/>
            <w:vAlign w:val="bottom"/>
            <w:hideMark/>
          </w:tcPr>
          <w:p w14:paraId="529796DB"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$9</w:t>
            </w:r>
          </w:p>
        </w:tc>
      </w:tr>
      <w:tr w:rsidR="00E04C6D" w:rsidRPr="00503F5B" w14:paraId="36554206" w14:textId="77777777" w:rsidTr="003F215B">
        <w:trPr>
          <w:trHeight w:val="80"/>
          <w:jc w:val="center"/>
        </w:trPr>
        <w:tc>
          <w:tcPr>
            <w:tcW w:w="5245" w:type="dxa"/>
            <w:tcBorders>
              <w:top w:val="nil"/>
              <w:left w:val="nil"/>
              <w:bottom w:val="nil"/>
              <w:right w:val="nil"/>
            </w:tcBorders>
            <w:shd w:val="clear" w:color="000000" w:fill="FFFFFF"/>
            <w:noWrap/>
            <w:hideMark/>
          </w:tcPr>
          <w:p w14:paraId="6E5C6549"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Appliance licencing</w:t>
            </w:r>
          </w:p>
        </w:tc>
        <w:tc>
          <w:tcPr>
            <w:tcW w:w="2126" w:type="dxa"/>
            <w:tcBorders>
              <w:top w:val="nil"/>
              <w:left w:val="nil"/>
              <w:bottom w:val="nil"/>
              <w:right w:val="nil"/>
            </w:tcBorders>
            <w:shd w:val="clear" w:color="000000" w:fill="FFFFFF"/>
            <w:noWrap/>
            <w:vAlign w:val="bottom"/>
            <w:hideMark/>
          </w:tcPr>
          <w:p w14:paraId="69A692A9"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$0</w:t>
            </w:r>
          </w:p>
        </w:tc>
      </w:tr>
      <w:tr w:rsidR="00E04C6D" w:rsidRPr="00503F5B" w14:paraId="2A5F4D0C" w14:textId="77777777" w:rsidTr="003F215B">
        <w:trPr>
          <w:trHeight w:val="80"/>
          <w:jc w:val="center"/>
        </w:trPr>
        <w:tc>
          <w:tcPr>
            <w:tcW w:w="5245" w:type="dxa"/>
            <w:tcBorders>
              <w:top w:val="nil"/>
              <w:left w:val="nil"/>
              <w:bottom w:val="single" w:sz="4" w:space="0" w:color="ED7C5D"/>
              <w:right w:val="nil"/>
            </w:tcBorders>
            <w:shd w:val="clear" w:color="000000" w:fill="FFFFFF"/>
            <w:noWrap/>
            <w:hideMark/>
          </w:tcPr>
          <w:p w14:paraId="7FD2B7D8"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Vehicle direct costs (external Inc. Fuel) SAP</w:t>
            </w:r>
          </w:p>
        </w:tc>
        <w:tc>
          <w:tcPr>
            <w:tcW w:w="2126" w:type="dxa"/>
            <w:tcBorders>
              <w:top w:val="nil"/>
              <w:left w:val="nil"/>
              <w:bottom w:val="single" w:sz="4" w:space="0" w:color="ED7C5D"/>
              <w:right w:val="nil"/>
            </w:tcBorders>
            <w:shd w:val="clear" w:color="000000" w:fill="FFFFFF"/>
            <w:noWrap/>
            <w:vAlign w:val="bottom"/>
            <w:hideMark/>
          </w:tcPr>
          <w:p w14:paraId="51E3C73D"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$4</w:t>
            </w:r>
          </w:p>
        </w:tc>
      </w:tr>
      <w:tr w:rsidR="00E04C6D" w:rsidRPr="00503F5B" w14:paraId="782A938C" w14:textId="77777777" w:rsidTr="003F215B">
        <w:trPr>
          <w:trHeight w:val="70"/>
          <w:jc w:val="center"/>
        </w:trPr>
        <w:tc>
          <w:tcPr>
            <w:tcW w:w="5245" w:type="dxa"/>
            <w:tcBorders>
              <w:top w:val="single" w:sz="4" w:space="0" w:color="ED7C5D"/>
              <w:left w:val="nil"/>
              <w:bottom w:val="single" w:sz="4" w:space="0" w:color="ED7C5D"/>
              <w:right w:val="nil"/>
            </w:tcBorders>
            <w:shd w:val="clear" w:color="000000" w:fill="FFFFFF"/>
            <w:noWrap/>
            <w:hideMark/>
          </w:tcPr>
          <w:p w14:paraId="251B8FB1" w14:textId="77777777" w:rsidR="00E04C6D" w:rsidRPr="00503F5B" w:rsidRDefault="00E04C6D" w:rsidP="00E04C6D">
            <w:pPr>
              <w:rPr>
                <w:rFonts w:eastAsia="Times New Roman" w:cs="Calibri"/>
                <w:b/>
                <w:bCs/>
                <w:sz w:val="20"/>
                <w:szCs w:val="20"/>
                <w:lang w:eastAsia="en-AU"/>
              </w:rPr>
            </w:pPr>
            <w:r w:rsidRPr="00503F5B">
              <w:rPr>
                <w:rFonts w:eastAsia="Times New Roman" w:cs="Calibri"/>
                <w:b/>
                <w:bCs/>
                <w:sz w:val="20"/>
                <w:szCs w:val="20"/>
                <w:lang w:eastAsia="en-AU"/>
              </w:rPr>
              <w:t>Sub-total direct quarter hourly appliance costs</w:t>
            </w:r>
          </w:p>
        </w:tc>
        <w:tc>
          <w:tcPr>
            <w:tcW w:w="2126" w:type="dxa"/>
            <w:tcBorders>
              <w:top w:val="single" w:sz="4" w:space="0" w:color="ED7C5D"/>
              <w:left w:val="nil"/>
              <w:bottom w:val="single" w:sz="4" w:space="0" w:color="ED7C5D"/>
              <w:right w:val="nil"/>
            </w:tcBorders>
            <w:shd w:val="clear" w:color="000000" w:fill="FFFFFF"/>
            <w:noWrap/>
            <w:vAlign w:val="bottom"/>
            <w:hideMark/>
          </w:tcPr>
          <w:p w14:paraId="2D6433F9" w14:textId="77777777" w:rsidR="00E04C6D" w:rsidRPr="00503F5B" w:rsidRDefault="00E04C6D" w:rsidP="00E04C6D">
            <w:pPr>
              <w:jc w:val="right"/>
              <w:rPr>
                <w:rFonts w:eastAsia="Times New Roman" w:cs="Calibri"/>
                <w:b/>
                <w:bCs/>
                <w:sz w:val="20"/>
                <w:szCs w:val="20"/>
                <w:lang w:eastAsia="en-AU"/>
              </w:rPr>
            </w:pPr>
            <w:r w:rsidRPr="00503F5B">
              <w:rPr>
                <w:rFonts w:cs="Calibri"/>
                <w:b/>
                <w:bCs/>
                <w:sz w:val="20"/>
                <w:szCs w:val="20"/>
              </w:rPr>
              <w:t>$14</w:t>
            </w:r>
          </w:p>
        </w:tc>
      </w:tr>
      <w:tr w:rsidR="00E04C6D" w:rsidRPr="00503F5B" w14:paraId="1DD49176" w14:textId="77777777" w:rsidTr="00203BDA">
        <w:trPr>
          <w:trHeight w:val="70"/>
          <w:jc w:val="center"/>
        </w:trPr>
        <w:tc>
          <w:tcPr>
            <w:tcW w:w="5245" w:type="dxa"/>
            <w:tcBorders>
              <w:top w:val="single" w:sz="4" w:space="0" w:color="ED7C5D"/>
              <w:left w:val="nil"/>
              <w:right w:val="nil"/>
            </w:tcBorders>
            <w:shd w:val="clear" w:color="000000" w:fill="FFFFFF"/>
            <w:noWrap/>
            <w:hideMark/>
          </w:tcPr>
          <w:p w14:paraId="146B55A0"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Salaries and on-costs (including operational staff)</w:t>
            </w:r>
          </w:p>
        </w:tc>
        <w:tc>
          <w:tcPr>
            <w:tcW w:w="2126" w:type="dxa"/>
            <w:tcBorders>
              <w:top w:val="single" w:sz="4" w:space="0" w:color="ED7C5D"/>
              <w:left w:val="nil"/>
              <w:right w:val="nil"/>
            </w:tcBorders>
            <w:shd w:val="clear" w:color="000000" w:fill="FFFFFF"/>
            <w:noWrap/>
            <w:vAlign w:val="bottom"/>
            <w:hideMark/>
          </w:tcPr>
          <w:p w14:paraId="74C0A706" w14:textId="10D321DE" w:rsidR="00E04C6D" w:rsidRPr="00503F5B" w:rsidRDefault="00E04C6D" w:rsidP="00E04C6D">
            <w:pPr>
              <w:jc w:val="right"/>
              <w:rPr>
                <w:rFonts w:eastAsia="Times New Roman" w:cs="Calibri"/>
                <w:sz w:val="20"/>
                <w:szCs w:val="20"/>
                <w:lang w:eastAsia="en-AU"/>
              </w:rPr>
            </w:pPr>
            <w:r w:rsidRPr="00503F5B">
              <w:rPr>
                <w:rFonts w:cs="Calibri"/>
                <w:sz w:val="20"/>
                <w:szCs w:val="20"/>
              </w:rPr>
              <w:t>$</w:t>
            </w:r>
            <w:r w:rsidR="00435388">
              <w:rPr>
                <w:rFonts w:cs="Calibri"/>
                <w:sz w:val="20"/>
                <w:szCs w:val="20"/>
              </w:rPr>
              <w:t>1,181</w:t>
            </w:r>
          </w:p>
        </w:tc>
      </w:tr>
      <w:tr w:rsidR="00E04C6D" w:rsidRPr="00503F5B" w14:paraId="6BFAF2DD" w14:textId="77777777" w:rsidTr="003F215B">
        <w:trPr>
          <w:trHeight w:val="80"/>
          <w:jc w:val="center"/>
        </w:trPr>
        <w:tc>
          <w:tcPr>
            <w:tcW w:w="5245" w:type="dxa"/>
            <w:tcBorders>
              <w:top w:val="nil"/>
              <w:left w:val="nil"/>
              <w:bottom w:val="single" w:sz="4" w:space="0" w:color="ED7C5D"/>
              <w:right w:val="nil"/>
            </w:tcBorders>
            <w:shd w:val="clear" w:color="000000" w:fill="FFFFFF"/>
            <w:noWrap/>
            <w:hideMark/>
          </w:tcPr>
          <w:p w14:paraId="7EDD0E24"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Other employee expenses</w:t>
            </w:r>
          </w:p>
        </w:tc>
        <w:tc>
          <w:tcPr>
            <w:tcW w:w="2126" w:type="dxa"/>
            <w:tcBorders>
              <w:top w:val="nil"/>
              <w:left w:val="nil"/>
              <w:bottom w:val="single" w:sz="4" w:space="0" w:color="ED7C5D"/>
              <w:right w:val="nil"/>
            </w:tcBorders>
            <w:shd w:val="clear" w:color="000000" w:fill="FFFFFF"/>
            <w:noWrap/>
            <w:vAlign w:val="bottom"/>
            <w:hideMark/>
          </w:tcPr>
          <w:p w14:paraId="017476B7"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$61</w:t>
            </w:r>
          </w:p>
        </w:tc>
      </w:tr>
      <w:tr w:rsidR="00E04C6D" w:rsidRPr="00503F5B" w14:paraId="6F06E775" w14:textId="77777777" w:rsidTr="003F215B">
        <w:trPr>
          <w:trHeight w:val="70"/>
          <w:jc w:val="center"/>
        </w:trPr>
        <w:tc>
          <w:tcPr>
            <w:tcW w:w="5245" w:type="dxa"/>
            <w:tcBorders>
              <w:top w:val="single" w:sz="4" w:space="0" w:color="ED7C5D"/>
              <w:left w:val="nil"/>
              <w:bottom w:val="single" w:sz="4" w:space="0" w:color="ED7C5D"/>
              <w:right w:val="nil"/>
            </w:tcBorders>
            <w:shd w:val="clear" w:color="000000" w:fill="FFFFFF"/>
            <w:noWrap/>
            <w:hideMark/>
          </w:tcPr>
          <w:p w14:paraId="154404D2" w14:textId="77777777" w:rsidR="00E04C6D" w:rsidRPr="00503F5B" w:rsidRDefault="00E04C6D" w:rsidP="00E04C6D">
            <w:pPr>
              <w:rPr>
                <w:rFonts w:eastAsia="Times New Roman" w:cs="Calibri"/>
                <w:b/>
                <w:bCs/>
                <w:sz w:val="20"/>
                <w:szCs w:val="20"/>
                <w:lang w:eastAsia="en-AU"/>
              </w:rPr>
            </w:pPr>
            <w:r w:rsidRPr="00503F5B">
              <w:rPr>
                <w:rFonts w:eastAsia="Times New Roman" w:cs="Calibri"/>
                <w:b/>
                <w:bCs/>
                <w:sz w:val="20"/>
                <w:szCs w:val="20"/>
                <w:lang w:eastAsia="en-AU"/>
              </w:rPr>
              <w:t>Sub-total direct quarter hourly staffing costs</w:t>
            </w:r>
          </w:p>
        </w:tc>
        <w:tc>
          <w:tcPr>
            <w:tcW w:w="2126" w:type="dxa"/>
            <w:tcBorders>
              <w:top w:val="single" w:sz="4" w:space="0" w:color="ED7C5D"/>
              <w:left w:val="nil"/>
              <w:bottom w:val="single" w:sz="4" w:space="0" w:color="ED7C5D"/>
              <w:right w:val="nil"/>
            </w:tcBorders>
            <w:shd w:val="clear" w:color="000000" w:fill="FFFFFF"/>
            <w:noWrap/>
            <w:vAlign w:val="bottom"/>
            <w:hideMark/>
          </w:tcPr>
          <w:p w14:paraId="6D79A6F5" w14:textId="77777777" w:rsidR="00E04C6D" w:rsidRPr="00503F5B" w:rsidRDefault="00E04C6D" w:rsidP="00E04C6D">
            <w:pPr>
              <w:jc w:val="right"/>
              <w:rPr>
                <w:rFonts w:eastAsia="Times New Roman" w:cs="Calibri"/>
                <w:b/>
                <w:bCs/>
                <w:sz w:val="20"/>
                <w:szCs w:val="20"/>
                <w:lang w:eastAsia="en-AU"/>
              </w:rPr>
            </w:pPr>
            <w:r w:rsidRPr="00503F5B">
              <w:rPr>
                <w:rFonts w:cs="Calibri"/>
                <w:b/>
                <w:bCs/>
                <w:sz w:val="20"/>
                <w:szCs w:val="20"/>
              </w:rPr>
              <w:t>$1,242</w:t>
            </w:r>
          </w:p>
        </w:tc>
      </w:tr>
      <w:tr w:rsidR="00E04C6D" w:rsidRPr="00503F5B" w14:paraId="034810DE" w14:textId="77777777" w:rsidTr="003F215B">
        <w:trPr>
          <w:trHeight w:val="70"/>
          <w:jc w:val="center"/>
        </w:trPr>
        <w:tc>
          <w:tcPr>
            <w:tcW w:w="5245" w:type="dxa"/>
            <w:tcBorders>
              <w:top w:val="single" w:sz="4" w:space="0" w:color="ED7C5D"/>
              <w:left w:val="nil"/>
              <w:bottom w:val="nil"/>
              <w:right w:val="nil"/>
            </w:tcBorders>
            <w:shd w:val="clear" w:color="000000" w:fill="FFFFFF"/>
            <w:noWrap/>
            <w:hideMark/>
          </w:tcPr>
          <w:p w14:paraId="76EA676A"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Land and buildings maintenance (external Suppliers)</w:t>
            </w:r>
          </w:p>
        </w:tc>
        <w:tc>
          <w:tcPr>
            <w:tcW w:w="2126" w:type="dxa"/>
            <w:tcBorders>
              <w:top w:val="single" w:sz="4" w:space="0" w:color="ED7C5D"/>
              <w:left w:val="nil"/>
              <w:bottom w:val="nil"/>
              <w:right w:val="nil"/>
            </w:tcBorders>
            <w:shd w:val="clear" w:color="000000" w:fill="FFFFFF"/>
            <w:noWrap/>
            <w:vAlign w:val="bottom"/>
            <w:hideMark/>
          </w:tcPr>
          <w:p w14:paraId="198E4DB6"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$9</w:t>
            </w:r>
          </w:p>
        </w:tc>
      </w:tr>
      <w:tr w:rsidR="00E04C6D" w:rsidRPr="00503F5B" w14:paraId="63D2617D" w14:textId="77777777" w:rsidTr="003F215B">
        <w:trPr>
          <w:trHeight w:val="80"/>
          <w:jc w:val="center"/>
        </w:trPr>
        <w:tc>
          <w:tcPr>
            <w:tcW w:w="5245" w:type="dxa"/>
            <w:tcBorders>
              <w:top w:val="nil"/>
              <w:left w:val="nil"/>
              <w:bottom w:val="nil"/>
              <w:right w:val="nil"/>
            </w:tcBorders>
            <w:shd w:val="clear" w:color="000000" w:fill="FFFFFF"/>
            <w:noWrap/>
            <w:hideMark/>
          </w:tcPr>
          <w:p w14:paraId="7EBBCEA4"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Plant and equipment maintenance (external Suppliers)</w:t>
            </w:r>
          </w:p>
        </w:tc>
        <w:tc>
          <w:tcPr>
            <w:tcW w:w="2126" w:type="dxa"/>
            <w:tcBorders>
              <w:top w:val="nil"/>
              <w:left w:val="nil"/>
              <w:bottom w:val="nil"/>
              <w:right w:val="nil"/>
            </w:tcBorders>
            <w:shd w:val="clear" w:color="000000" w:fill="FFFFFF"/>
            <w:noWrap/>
            <w:vAlign w:val="bottom"/>
            <w:hideMark/>
          </w:tcPr>
          <w:p w14:paraId="05F35A0D"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$6</w:t>
            </w:r>
          </w:p>
        </w:tc>
      </w:tr>
      <w:tr w:rsidR="00E04C6D" w:rsidRPr="00503F5B" w14:paraId="4D30A5BD" w14:textId="77777777" w:rsidTr="003F215B">
        <w:trPr>
          <w:trHeight w:val="80"/>
          <w:jc w:val="center"/>
        </w:trPr>
        <w:tc>
          <w:tcPr>
            <w:tcW w:w="5245" w:type="dxa"/>
            <w:tcBorders>
              <w:top w:val="nil"/>
              <w:left w:val="nil"/>
              <w:bottom w:val="nil"/>
              <w:right w:val="nil"/>
            </w:tcBorders>
            <w:shd w:val="clear" w:color="000000" w:fill="FFFFFF"/>
            <w:noWrap/>
            <w:hideMark/>
          </w:tcPr>
          <w:p w14:paraId="18F2DE2A"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General expenses (external suppliers)</w:t>
            </w:r>
          </w:p>
        </w:tc>
        <w:tc>
          <w:tcPr>
            <w:tcW w:w="2126" w:type="dxa"/>
            <w:tcBorders>
              <w:top w:val="nil"/>
              <w:left w:val="nil"/>
              <w:bottom w:val="nil"/>
              <w:right w:val="nil"/>
            </w:tcBorders>
            <w:shd w:val="clear" w:color="000000" w:fill="FFFFFF"/>
            <w:noWrap/>
            <w:vAlign w:val="bottom"/>
            <w:hideMark/>
          </w:tcPr>
          <w:p w14:paraId="3841BE5C"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$4</w:t>
            </w:r>
          </w:p>
        </w:tc>
      </w:tr>
      <w:tr w:rsidR="00E04C6D" w:rsidRPr="00503F5B" w14:paraId="67932860" w14:textId="77777777" w:rsidTr="003F215B">
        <w:trPr>
          <w:trHeight w:val="80"/>
          <w:jc w:val="center"/>
        </w:trPr>
        <w:tc>
          <w:tcPr>
            <w:tcW w:w="5245" w:type="dxa"/>
            <w:tcBorders>
              <w:top w:val="nil"/>
              <w:left w:val="nil"/>
              <w:bottom w:val="single" w:sz="4" w:space="0" w:color="ED7C5D"/>
              <w:right w:val="nil"/>
            </w:tcBorders>
            <w:shd w:val="clear" w:color="000000" w:fill="FFFFFF"/>
            <w:noWrap/>
            <w:hideMark/>
          </w:tcPr>
          <w:p w14:paraId="5E532717"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Land and buildings - CFA internal maintenance costs</w:t>
            </w:r>
          </w:p>
        </w:tc>
        <w:tc>
          <w:tcPr>
            <w:tcW w:w="2126" w:type="dxa"/>
            <w:tcBorders>
              <w:top w:val="nil"/>
              <w:left w:val="nil"/>
              <w:bottom w:val="single" w:sz="4" w:space="0" w:color="ED7C5D"/>
              <w:right w:val="nil"/>
            </w:tcBorders>
            <w:shd w:val="clear" w:color="000000" w:fill="FFFFFF"/>
            <w:noWrap/>
            <w:vAlign w:val="bottom"/>
            <w:hideMark/>
          </w:tcPr>
          <w:p w14:paraId="370F789E" w14:textId="77777777" w:rsidR="00E04C6D" w:rsidRPr="00503F5B" w:rsidRDefault="00E04C6D" w:rsidP="00E04C6D">
            <w:pPr>
              <w:jc w:val="right"/>
              <w:rPr>
                <w:rFonts w:eastAsia="Times New Roman" w:cs="Calibri"/>
                <w:sz w:val="20"/>
                <w:szCs w:val="20"/>
                <w:lang w:eastAsia="en-AU"/>
              </w:rPr>
            </w:pPr>
            <w:r w:rsidRPr="00503F5B">
              <w:rPr>
                <w:rFonts w:cs="Calibri"/>
                <w:sz w:val="20"/>
                <w:szCs w:val="20"/>
              </w:rPr>
              <w:t>$6</w:t>
            </w:r>
          </w:p>
        </w:tc>
      </w:tr>
      <w:tr w:rsidR="00E04C6D" w:rsidRPr="00503F5B" w14:paraId="7A19B887" w14:textId="77777777" w:rsidTr="003F215B">
        <w:trPr>
          <w:trHeight w:val="70"/>
          <w:jc w:val="center"/>
        </w:trPr>
        <w:tc>
          <w:tcPr>
            <w:tcW w:w="5245" w:type="dxa"/>
            <w:tcBorders>
              <w:top w:val="single" w:sz="4" w:space="0" w:color="ED7C5D"/>
              <w:left w:val="nil"/>
              <w:bottom w:val="single" w:sz="4" w:space="0" w:color="ED7C5D"/>
              <w:right w:val="nil"/>
            </w:tcBorders>
            <w:shd w:val="clear" w:color="000000" w:fill="FFFFFF"/>
            <w:noWrap/>
            <w:hideMark/>
          </w:tcPr>
          <w:p w14:paraId="1380E90F" w14:textId="77777777" w:rsidR="00E04C6D" w:rsidRPr="00503F5B" w:rsidRDefault="00E04C6D" w:rsidP="00E04C6D">
            <w:pPr>
              <w:rPr>
                <w:rFonts w:eastAsia="Times New Roman" w:cs="Calibri"/>
                <w:b/>
                <w:bCs/>
                <w:sz w:val="20"/>
                <w:szCs w:val="20"/>
                <w:lang w:eastAsia="en-AU"/>
              </w:rPr>
            </w:pPr>
            <w:r w:rsidRPr="00503F5B">
              <w:rPr>
                <w:rFonts w:eastAsia="Times New Roman" w:cs="Calibri"/>
                <w:b/>
                <w:bCs/>
                <w:sz w:val="20"/>
                <w:szCs w:val="20"/>
                <w:lang w:eastAsia="en-AU"/>
              </w:rPr>
              <w:t>Sub-total direct quarter hourly station costs</w:t>
            </w:r>
          </w:p>
        </w:tc>
        <w:tc>
          <w:tcPr>
            <w:tcW w:w="2126" w:type="dxa"/>
            <w:tcBorders>
              <w:top w:val="single" w:sz="4" w:space="0" w:color="ED7C5D"/>
              <w:left w:val="nil"/>
              <w:bottom w:val="single" w:sz="4" w:space="0" w:color="ED7C5D"/>
              <w:right w:val="nil"/>
            </w:tcBorders>
            <w:shd w:val="clear" w:color="000000" w:fill="FFFFFF"/>
            <w:noWrap/>
            <w:vAlign w:val="bottom"/>
            <w:hideMark/>
          </w:tcPr>
          <w:p w14:paraId="5379936E" w14:textId="77777777" w:rsidR="00E04C6D" w:rsidRPr="00503F5B" w:rsidRDefault="00E04C6D" w:rsidP="00E04C6D">
            <w:pPr>
              <w:jc w:val="right"/>
              <w:rPr>
                <w:rFonts w:eastAsia="Times New Roman" w:cs="Calibri"/>
                <w:b/>
                <w:bCs/>
                <w:sz w:val="20"/>
                <w:szCs w:val="20"/>
                <w:lang w:eastAsia="en-AU"/>
              </w:rPr>
            </w:pPr>
            <w:r w:rsidRPr="00503F5B">
              <w:rPr>
                <w:rFonts w:cs="Calibri"/>
                <w:b/>
                <w:bCs/>
                <w:sz w:val="20"/>
                <w:szCs w:val="20"/>
              </w:rPr>
              <w:t>$25</w:t>
            </w:r>
          </w:p>
        </w:tc>
      </w:tr>
      <w:tr w:rsidR="00E04C6D" w:rsidRPr="00503F5B" w14:paraId="512A17EB" w14:textId="77777777" w:rsidTr="003F215B">
        <w:trPr>
          <w:trHeight w:val="70"/>
          <w:jc w:val="center"/>
        </w:trPr>
        <w:tc>
          <w:tcPr>
            <w:tcW w:w="5245" w:type="dxa"/>
            <w:tcBorders>
              <w:top w:val="single" w:sz="4" w:space="0" w:color="ED7C5D"/>
              <w:left w:val="nil"/>
              <w:bottom w:val="single" w:sz="4" w:space="0" w:color="ED7C5D"/>
              <w:right w:val="nil"/>
            </w:tcBorders>
            <w:shd w:val="clear" w:color="000000" w:fill="FFFFFF"/>
            <w:noWrap/>
            <w:hideMark/>
          </w:tcPr>
          <w:p w14:paraId="47C8FD84" w14:textId="77777777" w:rsidR="00E04C6D" w:rsidRPr="00503F5B" w:rsidRDefault="00E04C6D" w:rsidP="00E04C6D">
            <w:pPr>
              <w:rPr>
                <w:rFonts w:eastAsia="Times New Roman" w:cs="Calibri"/>
                <w:b/>
                <w:bCs/>
                <w:sz w:val="20"/>
                <w:szCs w:val="20"/>
                <w:lang w:eastAsia="en-AU"/>
              </w:rPr>
            </w:pPr>
            <w:r w:rsidRPr="00503F5B">
              <w:rPr>
                <w:rFonts w:eastAsia="Times New Roman" w:cs="Calibri"/>
                <w:b/>
                <w:bCs/>
                <w:sz w:val="20"/>
                <w:szCs w:val="20"/>
                <w:lang w:eastAsia="en-AU"/>
              </w:rPr>
              <w:t>Sub-total indirect quarter hourly cost</w:t>
            </w:r>
          </w:p>
        </w:tc>
        <w:tc>
          <w:tcPr>
            <w:tcW w:w="2126" w:type="dxa"/>
            <w:tcBorders>
              <w:top w:val="single" w:sz="4" w:space="0" w:color="ED7C5D"/>
              <w:left w:val="nil"/>
              <w:bottom w:val="single" w:sz="4" w:space="0" w:color="ED7C5D"/>
              <w:right w:val="nil"/>
            </w:tcBorders>
            <w:shd w:val="clear" w:color="000000" w:fill="FFFFFF"/>
            <w:noWrap/>
            <w:vAlign w:val="bottom"/>
            <w:hideMark/>
          </w:tcPr>
          <w:p w14:paraId="04B28F24" w14:textId="77777777" w:rsidR="00E04C6D" w:rsidRPr="00503F5B" w:rsidRDefault="00E04C6D" w:rsidP="00E04C6D">
            <w:pPr>
              <w:jc w:val="right"/>
              <w:rPr>
                <w:rFonts w:eastAsia="Times New Roman" w:cs="Calibri"/>
                <w:b/>
                <w:bCs/>
                <w:sz w:val="20"/>
                <w:szCs w:val="20"/>
                <w:lang w:eastAsia="en-AU"/>
              </w:rPr>
            </w:pPr>
            <w:r w:rsidRPr="00503F5B">
              <w:rPr>
                <w:rFonts w:cs="Calibri"/>
                <w:b/>
                <w:bCs/>
                <w:sz w:val="20"/>
                <w:szCs w:val="20"/>
              </w:rPr>
              <w:t>$427</w:t>
            </w:r>
          </w:p>
        </w:tc>
      </w:tr>
      <w:tr w:rsidR="00E04C6D" w:rsidRPr="00503F5B" w14:paraId="134016D5" w14:textId="77777777" w:rsidTr="003F215B">
        <w:trPr>
          <w:trHeight w:val="70"/>
          <w:jc w:val="center"/>
        </w:trPr>
        <w:tc>
          <w:tcPr>
            <w:tcW w:w="5245" w:type="dxa"/>
            <w:tcBorders>
              <w:top w:val="single" w:sz="4" w:space="0" w:color="ED7C5D"/>
              <w:left w:val="nil"/>
              <w:bottom w:val="single" w:sz="4" w:space="0" w:color="ED7C5D"/>
              <w:right w:val="nil"/>
            </w:tcBorders>
            <w:shd w:val="clear" w:color="000000" w:fill="FFFFFF"/>
            <w:noWrap/>
            <w:hideMark/>
          </w:tcPr>
          <w:p w14:paraId="56E462EB" w14:textId="77777777" w:rsidR="00E04C6D" w:rsidRPr="00503F5B" w:rsidRDefault="00E04C6D" w:rsidP="00E04C6D">
            <w:pPr>
              <w:rPr>
                <w:rFonts w:eastAsia="Times New Roman" w:cs="Calibri"/>
                <w:b/>
                <w:bCs/>
                <w:i/>
                <w:iCs/>
                <w:sz w:val="20"/>
                <w:szCs w:val="20"/>
                <w:lang w:eastAsia="en-AU"/>
              </w:rPr>
            </w:pPr>
            <w:r w:rsidRPr="00503F5B">
              <w:rPr>
                <w:rFonts w:eastAsia="Times New Roman" w:cs="Calibri"/>
                <w:b/>
                <w:bCs/>
                <w:i/>
                <w:iCs/>
                <w:sz w:val="20"/>
                <w:szCs w:val="20"/>
                <w:lang w:eastAsia="en-AU"/>
              </w:rPr>
              <w:t>Total direct and indirect quarter hourly costs per appliance</w:t>
            </w:r>
          </w:p>
        </w:tc>
        <w:tc>
          <w:tcPr>
            <w:tcW w:w="2126" w:type="dxa"/>
            <w:tcBorders>
              <w:top w:val="single" w:sz="4" w:space="0" w:color="ED7C5D"/>
              <w:left w:val="nil"/>
              <w:bottom w:val="single" w:sz="4" w:space="0" w:color="ED7C5D"/>
              <w:right w:val="nil"/>
            </w:tcBorders>
            <w:shd w:val="clear" w:color="000000" w:fill="FFFFFF"/>
            <w:noWrap/>
            <w:vAlign w:val="bottom"/>
            <w:hideMark/>
          </w:tcPr>
          <w:p w14:paraId="12B3B554" w14:textId="77777777" w:rsidR="00E04C6D" w:rsidRPr="00503F5B" w:rsidRDefault="00E04C6D" w:rsidP="00E04C6D">
            <w:pPr>
              <w:jc w:val="right"/>
              <w:rPr>
                <w:rFonts w:eastAsia="Times New Roman" w:cs="Calibri"/>
                <w:b/>
                <w:bCs/>
                <w:i/>
                <w:iCs/>
                <w:sz w:val="20"/>
                <w:szCs w:val="20"/>
                <w:lang w:eastAsia="en-AU"/>
              </w:rPr>
            </w:pPr>
            <w:r w:rsidRPr="00503F5B">
              <w:rPr>
                <w:rFonts w:cs="Calibri"/>
                <w:b/>
                <w:bCs/>
                <w:i/>
                <w:iCs/>
                <w:sz w:val="20"/>
                <w:szCs w:val="20"/>
              </w:rPr>
              <w:t>$1,708</w:t>
            </w:r>
          </w:p>
        </w:tc>
      </w:tr>
    </w:tbl>
    <w:p w14:paraId="0753E73D" w14:textId="77777777" w:rsidR="00E04C6D" w:rsidRPr="00503F5B" w:rsidRDefault="00E04C6D" w:rsidP="00E04C6D"/>
    <w:p w14:paraId="38DAD080" w14:textId="77777777" w:rsidR="00E04C6D" w:rsidRPr="00503F5B" w:rsidRDefault="00E04C6D" w:rsidP="00E04C6D">
      <w:pPr>
        <w:pStyle w:val="Heading2"/>
      </w:pPr>
      <w:bookmarkStart w:id="284" w:name="_Toc35804173"/>
      <w:bookmarkStart w:id="285" w:name="_Toc35804667"/>
      <w:bookmarkStart w:id="286" w:name="_Toc35812711"/>
      <w:r w:rsidRPr="00503F5B">
        <w:lastRenderedPageBreak/>
        <w:t>A2.5 Estimated total costs per false alarm attendance by CFA integrated stations</w:t>
      </w:r>
      <w:bookmarkEnd w:id="284"/>
      <w:bookmarkEnd w:id="285"/>
      <w:bookmarkEnd w:id="286"/>
    </w:p>
    <w:p w14:paraId="3D7D80F6" w14:textId="7A786E53" w:rsidR="00E04C6D" w:rsidRPr="00503F5B" w:rsidRDefault="00E04C6D" w:rsidP="00E04C6D">
      <w:pPr>
        <w:jc w:val="both"/>
      </w:pPr>
      <w:r w:rsidRPr="00503F5B">
        <w:t xml:space="preserve">The total average cost of a false alarm </w:t>
      </w:r>
      <w:r w:rsidRPr="00503F5B">
        <w:rPr>
          <w:i/>
          <w:iCs/>
        </w:rPr>
        <w:t xml:space="preserve">per attendance </w:t>
      </w:r>
      <w:r w:rsidRPr="00503F5B">
        <w:t xml:space="preserve">by CFA integrated stations is estimated by taking the product of the total hourly direct and indirect cost per appliance (i.e. $6,815) in Table A2.6 and </w:t>
      </w:r>
      <w:r w:rsidR="00D91FB4" w:rsidRPr="00503F5B">
        <w:rPr>
          <w:i/>
          <w:iCs/>
        </w:rPr>
        <w:t>1.32</w:t>
      </w:r>
      <w:r w:rsidRPr="00503F5B">
        <w:rPr>
          <w:i/>
          <w:iCs/>
        </w:rPr>
        <w:t xml:space="preserve"> appliance hours spent per attendance</w:t>
      </w:r>
      <w:r w:rsidRPr="00503F5B">
        <w:rPr>
          <w:rStyle w:val="FootnoteReference"/>
        </w:rPr>
        <w:footnoteReference w:id="189"/>
      </w:r>
      <w:r w:rsidRPr="00503F5B">
        <w:rPr>
          <w:color w:val="auto"/>
        </w:rPr>
        <w:t>.</w:t>
      </w:r>
      <w:r w:rsidRPr="00503F5B">
        <w:t xml:space="preserve">  This provides an estimated cost of </w:t>
      </w:r>
      <w:r w:rsidR="00D91FB4" w:rsidRPr="00503F5B">
        <w:rPr>
          <w:b/>
          <w:bCs/>
          <w:i/>
          <w:iCs/>
        </w:rPr>
        <w:t>$9,041.94</w:t>
      </w:r>
      <w:r w:rsidRPr="00503F5B">
        <w:rPr>
          <w:b/>
          <w:bCs/>
          <w:i/>
          <w:iCs/>
        </w:rPr>
        <w:t xml:space="preserve"> per attendance</w:t>
      </w:r>
      <w:r w:rsidRPr="00503F5B">
        <w:t>.  The breakup of direct and indirect costs per attendance is shown in Table A2.8 (based on the percentage allocation of annual costs in Table A2.4).</w:t>
      </w:r>
    </w:p>
    <w:p w14:paraId="12C93BA1" w14:textId="77777777" w:rsidR="00E04C6D" w:rsidRPr="00503F5B" w:rsidRDefault="00E04C6D" w:rsidP="00E04C6D">
      <w:pPr>
        <w:jc w:val="both"/>
      </w:pPr>
    </w:p>
    <w:p w14:paraId="4D01564C" w14:textId="77777777" w:rsidR="00E04C6D" w:rsidRPr="00503F5B" w:rsidRDefault="00E04C6D" w:rsidP="00E04C6D">
      <w:pPr>
        <w:jc w:val="center"/>
        <w:rPr>
          <w:b/>
          <w:sz w:val="20"/>
          <w:szCs w:val="20"/>
        </w:rPr>
      </w:pPr>
      <w:r w:rsidRPr="00503F5B">
        <w:rPr>
          <w:b/>
          <w:sz w:val="20"/>
          <w:szCs w:val="20"/>
        </w:rPr>
        <w:t>Table A2.8: Estimated cost per false alarm attendance by CFA integrated stations – 2018-19</w:t>
      </w:r>
    </w:p>
    <w:p w14:paraId="47586E09" w14:textId="77777777" w:rsidR="00E04C6D" w:rsidRPr="00503F5B" w:rsidRDefault="00E04C6D" w:rsidP="00E04C6D">
      <w:pPr>
        <w:jc w:val="both"/>
      </w:pPr>
    </w:p>
    <w:tbl>
      <w:tblPr>
        <w:tblW w:w="7513" w:type="dxa"/>
        <w:jc w:val="center"/>
        <w:tblLook w:val="04A0" w:firstRow="1" w:lastRow="0" w:firstColumn="1" w:lastColumn="0" w:noHBand="0" w:noVBand="1"/>
      </w:tblPr>
      <w:tblGrid>
        <w:gridCol w:w="4856"/>
        <w:gridCol w:w="2657"/>
      </w:tblGrid>
      <w:tr w:rsidR="00E04C6D" w:rsidRPr="00503F5B" w14:paraId="30C6688D" w14:textId="77777777" w:rsidTr="00213D60">
        <w:trPr>
          <w:trHeight w:val="70"/>
          <w:tblHeader/>
          <w:jc w:val="center"/>
        </w:trPr>
        <w:tc>
          <w:tcPr>
            <w:tcW w:w="4856" w:type="dxa"/>
            <w:tcBorders>
              <w:top w:val="single" w:sz="4" w:space="0" w:color="ED7C5D"/>
              <w:left w:val="nil"/>
              <w:bottom w:val="double" w:sz="4" w:space="0" w:color="ED7C5D"/>
              <w:right w:val="nil"/>
            </w:tcBorders>
            <w:shd w:val="clear" w:color="000000" w:fill="FFFFFF"/>
            <w:noWrap/>
            <w:hideMark/>
          </w:tcPr>
          <w:p w14:paraId="2682339A" w14:textId="77777777" w:rsidR="00E04C6D" w:rsidRPr="00503F5B" w:rsidRDefault="00E04C6D" w:rsidP="00E04C6D">
            <w:pPr>
              <w:rPr>
                <w:rFonts w:eastAsia="Times New Roman" w:cs="Calibri"/>
                <w:b/>
                <w:bCs/>
                <w:color w:val="C00000"/>
                <w:sz w:val="20"/>
                <w:szCs w:val="20"/>
                <w:lang w:eastAsia="en-AU"/>
              </w:rPr>
            </w:pPr>
            <w:r w:rsidRPr="00503F5B">
              <w:rPr>
                <w:rFonts w:eastAsia="Times New Roman" w:cs="Calibri"/>
                <w:b/>
                <w:bCs/>
                <w:color w:val="C00000"/>
                <w:sz w:val="20"/>
                <w:szCs w:val="20"/>
                <w:lang w:eastAsia="en-AU"/>
              </w:rPr>
              <w:t>Direct and Indirect costs</w:t>
            </w:r>
          </w:p>
        </w:tc>
        <w:tc>
          <w:tcPr>
            <w:tcW w:w="2657" w:type="dxa"/>
            <w:tcBorders>
              <w:top w:val="single" w:sz="4" w:space="0" w:color="ED7C5D"/>
              <w:left w:val="nil"/>
              <w:bottom w:val="double" w:sz="4" w:space="0" w:color="ED7C5D"/>
              <w:right w:val="nil"/>
            </w:tcBorders>
            <w:shd w:val="clear" w:color="000000" w:fill="FFFFFF"/>
            <w:noWrap/>
            <w:hideMark/>
          </w:tcPr>
          <w:p w14:paraId="6C0256BC" w14:textId="77777777" w:rsidR="00E04C6D" w:rsidRPr="00503F5B" w:rsidRDefault="00E04C6D" w:rsidP="00E04C6D">
            <w:pPr>
              <w:jc w:val="right"/>
              <w:rPr>
                <w:rFonts w:eastAsia="Times New Roman" w:cs="Calibri"/>
                <w:b/>
                <w:bCs/>
                <w:color w:val="C00000"/>
                <w:sz w:val="20"/>
                <w:szCs w:val="20"/>
                <w:lang w:eastAsia="en-AU"/>
              </w:rPr>
            </w:pPr>
            <w:r w:rsidRPr="00503F5B">
              <w:rPr>
                <w:rFonts w:eastAsia="Times New Roman" w:cs="Calibri"/>
                <w:b/>
                <w:bCs/>
                <w:color w:val="C00000"/>
                <w:sz w:val="20"/>
                <w:szCs w:val="20"/>
                <w:lang w:eastAsia="en-AU"/>
              </w:rPr>
              <w:t>Cost per attendance for false alarm attendances</w:t>
            </w:r>
          </w:p>
        </w:tc>
      </w:tr>
      <w:tr w:rsidR="00D91FB4" w:rsidRPr="00503F5B" w14:paraId="2D4794B8" w14:textId="77777777" w:rsidTr="00C03A8F">
        <w:trPr>
          <w:trHeight w:val="35"/>
          <w:jc w:val="center"/>
        </w:trPr>
        <w:tc>
          <w:tcPr>
            <w:tcW w:w="4856" w:type="dxa"/>
            <w:tcBorders>
              <w:top w:val="double" w:sz="4" w:space="0" w:color="ED7C5D"/>
              <w:left w:val="nil"/>
              <w:bottom w:val="nil"/>
              <w:right w:val="nil"/>
            </w:tcBorders>
            <w:shd w:val="clear" w:color="000000" w:fill="FFFFFF"/>
            <w:noWrap/>
            <w:hideMark/>
          </w:tcPr>
          <w:p w14:paraId="46A5C59C" w14:textId="77777777" w:rsidR="00D91FB4" w:rsidRPr="00503F5B" w:rsidRDefault="00D91FB4" w:rsidP="00D91FB4">
            <w:pPr>
              <w:rPr>
                <w:rFonts w:eastAsia="Times New Roman" w:cs="Calibri"/>
                <w:sz w:val="20"/>
                <w:szCs w:val="20"/>
                <w:lang w:eastAsia="en-AU"/>
              </w:rPr>
            </w:pPr>
            <w:bookmarkStart w:id="287" w:name="_Hlk32316718"/>
            <w:r w:rsidRPr="00503F5B">
              <w:rPr>
                <w:rFonts w:eastAsia="Times New Roman" w:cs="Calibri"/>
                <w:sz w:val="20"/>
                <w:szCs w:val="20"/>
                <w:lang w:eastAsia="en-AU"/>
              </w:rPr>
              <w:t>Appliance maintenance and support</w:t>
            </w:r>
          </w:p>
        </w:tc>
        <w:tc>
          <w:tcPr>
            <w:tcW w:w="2657" w:type="dxa"/>
            <w:tcBorders>
              <w:top w:val="double" w:sz="4" w:space="0" w:color="ED7C5D"/>
              <w:left w:val="nil"/>
              <w:bottom w:val="nil"/>
              <w:right w:val="nil"/>
            </w:tcBorders>
            <w:shd w:val="clear" w:color="000000" w:fill="FFFFFF"/>
            <w:noWrap/>
            <w:hideMark/>
          </w:tcPr>
          <w:p w14:paraId="609ACA16" w14:textId="4496EA4B" w:rsidR="00D91FB4" w:rsidRPr="00503F5B" w:rsidRDefault="00D91FB4" w:rsidP="00D91FB4">
            <w:pPr>
              <w:jc w:val="right"/>
              <w:rPr>
                <w:rFonts w:eastAsia="Times New Roman" w:cs="Calibri"/>
                <w:sz w:val="20"/>
                <w:szCs w:val="20"/>
                <w:lang w:eastAsia="en-AU"/>
              </w:rPr>
            </w:pPr>
            <w:r w:rsidRPr="00503F5B">
              <w:rPr>
                <w:sz w:val="20"/>
                <w:szCs w:val="20"/>
              </w:rPr>
              <w:t>$49</w:t>
            </w:r>
          </w:p>
        </w:tc>
      </w:tr>
      <w:tr w:rsidR="00D91FB4" w:rsidRPr="00503F5B" w14:paraId="42862DA3" w14:textId="77777777" w:rsidTr="00C03A8F">
        <w:trPr>
          <w:trHeight w:val="80"/>
          <w:jc w:val="center"/>
        </w:trPr>
        <w:tc>
          <w:tcPr>
            <w:tcW w:w="4856" w:type="dxa"/>
            <w:tcBorders>
              <w:top w:val="nil"/>
              <w:left w:val="nil"/>
              <w:bottom w:val="nil"/>
              <w:right w:val="nil"/>
            </w:tcBorders>
            <w:shd w:val="clear" w:color="000000" w:fill="FFFFFF"/>
            <w:noWrap/>
            <w:hideMark/>
          </w:tcPr>
          <w:p w14:paraId="2E2131CF" w14:textId="77777777" w:rsidR="00D91FB4" w:rsidRPr="00503F5B" w:rsidRDefault="00D91FB4" w:rsidP="00D91FB4">
            <w:pPr>
              <w:rPr>
                <w:rFonts w:eastAsia="Times New Roman" w:cs="Calibri"/>
                <w:sz w:val="20"/>
                <w:szCs w:val="20"/>
                <w:lang w:eastAsia="en-AU"/>
              </w:rPr>
            </w:pPr>
            <w:r w:rsidRPr="00503F5B">
              <w:rPr>
                <w:rFonts w:eastAsia="Times New Roman" w:cs="Calibri"/>
                <w:sz w:val="20"/>
                <w:szCs w:val="20"/>
                <w:lang w:eastAsia="en-AU"/>
              </w:rPr>
              <w:t>Appliance licencing</w:t>
            </w:r>
          </w:p>
        </w:tc>
        <w:tc>
          <w:tcPr>
            <w:tcW w:w="2657" w:type="dxa"/>
            <w:tcBorders>
              <w:top w:val="nil"/>
              <w:left w:val="nil"/>
              <w:bottom w:val="nil"/>
              <w:right w:val="nil"/>
            </w:tcBorders>
            <w:shd w:val="clear" w:color="000000" w:fill="FFFFFF"/>
            <w:noWrap/>
            <w:hideMark/>
          </w:tcPr>
          <w:p w14:paraId="4A80994E" w14:textId="5ED6B10E" w:rsidR="00D91FB4" w:rsidRPr="00503F5B" w:rsidRDefault="00D91FB4" w:rsidP="00D91FB4">
            <w:pPr>
              <w:jc w:val="right"/>
              <w:rPr>
                <w:rFonts w:eastAsia="Times New Roman" w:cs="Calibri"/>
                <w:sz w:val="20"/>
                <w:szCs w:val="20"/>
                <w:lang w:eastAsia="en-AU"/>
              </w:rPr>
            </w:pPr>
            <w:r w:rsidRPr="00503F5B">
              <w:rPr>
                <w:sz w:val="20"/>
                <w:szCs w:val="20"/>
              </w:rPr>
              <w:t>$2</w:t>
            </w:r>
          </w:p>
        </w:tc>
      </w:tr>
      <w:tr w:rsidR="00D91FB4" w:rsidRPr="00503F5B" w14:paraId="35C6769D" w14:textId="77777777" w:rsidTr="00C03A8F">
        <w:trPr>
          <w:trHeight w:val="80"/>
          <w:jc w:val="center"/>
        </w:trPr>
        <w:tc>
          <w:tcPr>
            <w:tcW w:w="4856" w:type="dxa"/>
            <w:tcBorders>
              <w:top w:val="nil"/>
              <w:left w:val="nil"/>
              <w:bottom w:val="single" w:sz="4" w:space="0" w:color="ED7C5D"/>
              <w:right w:val="nil"/>
            </w:tcBorders>
            <w:shd w:val="clear" w:color="000000" w:fill="FFFFFF"/>
            <w:noWrap/>
            <w:hideMark/>
          </w:tcPr>
          <w:p w14:paraId="30919A10" w14:textId="77777777" w:rsidR="00D91FB4" w:rsidRPr="00503F5B" w:rsidRDefault="00D91FB4" w:rsidP="00D91FB4">
            <w:pPr>
              <w:rPr>
                <w:rFonts w:eastAsia="Times New Roman" w:cs="Calibri"/>
                <w:sz w:val="20"/>
                <w:szCs w:val="20"/>
                <w:lang w:eastAsia="en-AU"/>
              </w:rPr>
            </w:pPr>
            <w:r w:rsidRPr="00503F5B">
              <w:rPr>
                <w:rFonts w:eastAsia="Times New Roman" w:cs="Calibri"/>
                <w:sz w:val="20"/>
                <w:szCs w:val="20"/>
                <w:lang w:eastAsia="en-AU"/>
              </w:rPr>
              <w:t>Vehicle direct costs (external Inc. Fuel) SAP</w:t>
            </w:r>
          </w:p>
        </w:tc>
        <w:tc>
          <w:tcPr>
            <w:tcW w:w="2657" w:type="dxa"/>
            <w:tcBorders>
              <w:top w:val="nil"/>
              <w:left w:val="nil"/>
              <w:bottom w:val="single" w:sz="4" w:space="0" w:color="ED7C5D"/>
              <w:right w:val="nil"/>
            </w:tcBorders>
            <w:shd w:val="clear" w:color="000000" w:fill="FFFFFF"/>
            <w:noWrap/>
            <w:hideMark/>
          </w:tcPr>
          <w:p w14:paraId="5CD0151A" w14:textId="2F212940" w:rsidR="00D91FB4" w:rsidRPr="00503F5B" w:rsidRDefault="00D91FB4" w:rsidP="00D91FB4">
            <w:pPr>
              <w:jc w:val="right"/>
              <w:rPr>
                <w:rFonts w:eastAsia="Times New Roman" w:cs="Calibri"/>
                <w:sz w:val="20"/>
                <w:szCs w:val="20"/>
                <w:lang w:eastAsia="en-AU"/>
              </w:rPr>
            </w:pPr>
            <w:r w:rsidRPr="00503F5B">
              <w:rPr>
                <w:sz w:val="20"/>
                <w:szCs w:val="20"/>
              </w:rPr>
              <w:t>$24</w:t>
            </w:r>
          </w:p>
        </w:tc>
      </w:tr>
      <w:tr w:rsidR="00D91FB4" w:rsidRPr="00503F5B" w14:paraId="7D468172" w14:textId="77777777" w:rsidTr="00C03A8F">
        <w:trPr>
          <w:trHeight w:val="70"/>
          <w:jc w:val="center"/>
        </w:trPr>
        <w:tc>
          <w:tcPr>
            <w:tcW w:w="4856" w:type="dxa"/>
            <w:tcBorders>
              <w:top w:val="single" w:sz="4" w:space="0" w:color="ED7C5D"/>
              <w:left w:val="nil"/>
              <w:bottom w:val="single" w:sz="4" w:space="0" w:color="ED7C5D"/>
              <w:right w:val="nil"/>
            </w:tcBorders>
            <w:shd w:val="clear" w:color="000000" w:fill="FFFFFF"/>
            <w:noWrap/>
            <w:hideMark/>
          </w:tcPr>
          <w:p w14:paraId="19C13BA8" w14:textId="77777777" w:rsidR="00D91FB4" w:rsidRPr="00503F5B" w:rsidRDefault="00D91FB4" w:rsidP="00D91FB4">
            <w:pPr>
              <w:rPr>
                <w:rFonts w:eastAsia="Times New Roman" w:cs="Calibri"/>
                <w:b/>
                <w:bCs/>
                <w:sz w:val="20"/>
                <w:szCs w:val="20"/>
                <w:lang w:eastAsia="en-AU"/>
              </w:rPr>
            </w:pPr>
            <w:r w:rsidRPr="00503F5B">
              <w:rPr>
                <w:rFonts w:eastAsia="Times New Roman" w:cs="Calibri"/>
                <w:b/>
                <w:bCs/>
                <w:sz w:val="20"/>
                <w:szCs w:val="20"/>
                <w:lang w:eastAsia="en-AU"/>
              </w:rPr>
              <w:t>Sub-total direct appliance costs</w:t>
            </w:r>
          </w:p>
        </w:tc>
        <w:tc>
          <w:tcPr>
            <w:tcW w:w="2657" w:type="dxa"/>
            <w:tcBorders>
              <w:top w:val="single" w:sz="4" w:space="0" w:color="ED7C5D"/>
              <w:left w:val="nil"/>
              <w:bottom w:val="single" w:sz="4" w:space="0" w:color="ED7C5D"/>
              <w:right w:val="nil"/>
            </w:tcBorders>
            <w:shd w:val="clear" w:color="000000" w:fill="FFFFFF"/>
            <w:noWrap/>
            <w:hideMark/>
          </w:tcPr>
          <w:p w14:paraId="251A4E9C" w14:textId="5AE0FB4D" w:rsidR="00D91FB4" w:rsidRPr="00503F5B" w:rsidRDefault="00D91FB4" w:rsidP="00D91FB4">
            <w:pPr>
              <w:jc w:val="right"/>
              <w:rPr>
                <w:rFonts w:eastAsia="Times New Roman" w:cs="Calibri"/>
                <w:b/>
                <w:bCs/>
                <w:sz w:val="20"/>
                <w:szCs w:val="20"/>
                <w:lang w:eastAsia="en-AU"/>
              </w:rPr>
            </w:pPr>
            <w:r w:rsidRPr="00503F5B">
              <w:rPr>
                <w:b/>
                <w:bCs/>
                <w:sz w:val="20"/>
                <w:szCs w:val="20"/>
              </w:rPr>
              <w:t>$75</w:t>
            </w:r>
          </w:p>
        </w:tc>
      </w:tr>
      <w:tr w:rsidR="00D91FB4" w:rsidRPr="00503F5B" w14:paraId="12854D47" w14:textId="77777777" w:rsidTr="00203BDA">
        <w:trPr>
          <w:trHeight w:val="70"/>
          <w:jc w:val="center"/>
        </w:trPr>
        <w:tc>
          <w:tcPr>
            <w:tcW w:w="4856" w:type="dxa"/>
            <w:tcBorders>
              <w:top w:val="single" w:sz="4" w:space="0" w:color="ED7C5D"/>
              <w:left w:val="nil"/>
              <w:right w:val="nil"/>
            </w:tcBorders>
            <w:shd w:val="clear" w:color="000000" w:fill="FFFFFF"/>
            <w:noWrap/>
            <w:hideMark/>
          </w:tcPr>
          <w:p w14:paraId="14E0FD42" w14:textId="77777777" w:rsidR="00D91FB4" w:rsidRPr="00503F5B" w:rsidRDefault="00D91FB4" w:rsidP="00D91FB4">
            <w:pPr>
              <w:rPr>
                <w:rFonts w:eastAsia="Times New Roman" w:cs="Calibri"/>
                <w:sz w:val="20"/>
                <w:szCs w:val="20"/>
                <w:lang w:eastAsia="en-AU"/>
              </w:rPr>
            </w:pPr>
            <w:r w:rsidRPr="00503F5B">
              <w:rPr>
                <w:rFonts w:eastAsia="Times New Roman" w:cs="Calibri"/>
                <w:sz w:val="20"/>
                <w:szCs w:val="20"/>
                <w:lang w:eastAsia="en-AU"/>
              </w:rPr>
              <w:t>Salaries and on-costs (including operational staff)</w:t>
            </w:r>
          </w:p>
        </w:tc>
        <w:tc>
          <w:tcPr>
            <w:tcW w:w="2657" w:type="dxa"/>
            <w:tcBorders>
              <w:top w:val="single" w:sz="4" w:space="0" w:color="ED7C5D"/>
              <w:left w:val="nil"/>
              <w:right w:val="nil"/>
            </w:tcBorders>
            <w:shd w:val="clear" w:color="000000" w:fill="FFFFFF"/>
            <w:noWrap/>
            <w:hideMark/>
          </w:tcPr>
          <w:p w14:paraId="166096C9" w14:textId="12677EB2" w:rsidR="00D91FB4" w:rsidRPr="00503F5B" w:rsidRDefault="00D91FB4" w:rsidP="00D91FB4">
            <w:pPr>
              <w:jc w:val="right"/>
              <w:rPr>
                <w:rFonts w:eastAsia="Times New Roman" w:cs="Calibri"/>
                <w:sz w:val="20"/>
                <w:szCs w:val="20"/>
                <w:lang w:eastAsia="en-AU"/>
              </w:rPr>
            </w:pPr>
            <w:r w:rsidRPr="00503F5B">
              <w:rPr>
                <w:sz w:val="20"/>
                <w:szCs w:val="20"/>
              </w:rPr>
              <w:t>$</w:t>
            </w:r>
            <w:r w:rsidR="00435388">
              <w:rPr>
                <w:sz w:val="20"/>
                <w:szCs w:val="20"/>
              </w:rPr>
              <w:t>6,253</w:t>
            </w:r>
          </w:p>
        </w:tc>
      </w:tr>
      <w:tr w:rsidR="00D91FB4" w:rsidRPr="00503F5B" w14:paraId="18868D5D" w14:textId="77777777" w:rsidTr="00C03A8F">
        <w:trPr>
          <w:trHeight w:val="80"/>
          <w:jc w:val="center"/>
        </w:trPr>
        <w:tc>
          <w:tcPr>
            <w:tcW w:w="4856" w:type="dxa"/>
            <w:tcBorders>
              <w:top w:val="nil"/>
              <w:left w:val="nil"/>
              <w:bottom w:val="single" w:sz="4" w:space="0" w:color="ED7C5D"/>
              <w:right w:val="nil"/>
            </w:tcBorders>
            <w:shd w:val="clear" w:color="000000" w:fill="FFFFFF"/>
            <w:noWrap/>
            <w:hideMark/>
          </w:tcPr>
          <w:p w14:paraId="1EF24F5F" w14:textId="77777777" w:rsidR="00D91FB4" w:rsidRPr="00503F5B" w:rsidRDefault="00D91FB4" w:rsidP="00D91FB4">
            <w:pPr>
              <w:rPr>
                <w:rFonts w:eastAsia="Times New Roman" w:cs="Calibri"/>
                <w:sz w:val="20"/>
                <w:szCs w:val="20"/>
                <w:lang w:eastAsia="en-AU"/>
              </w:rPr>
            </w:pPr>
            <w:r w:rsidRPr="00503F5B">
              <w:rPr>
                <w:rFonts w:eastAsia="Times New Roman" w:cs="Calibri"/>
                <w:sz w:val="20"/>
                <w:szCs w:val="20"/>
                <w:lang w:eastAsia="en-AU"/>
              </w:rPr>
              <w:t>Other employee expenses</w:t>
            </w:r>
          </w:p>
        </w:tc>
        <w:tc>
          <w:tcPr>
            <w:tcW w:w="2657" w:type="dxa"/>
            <w:tcBorders>
              <w:top w:val="nil"/>
              <w:left w:val="nil"/>
              <w:bottom w:val="single" w:sz="4" w:space="0" w:color="ED7C5D"/>
              <w:right w:val="nil"/>
            </w:tcBorders>
            <w:shd w:val="clear" w:color="000000" w:fill="FFFFFF"/>
            <w:noWrap/>
            <w:hideMark/>
          </w:tcPr>
          <w:p w14:paraId="50DBBA4A" w14:textId="2E24236F" w:rsidR="00D91FB4" w:rsidRPr="00503F5B" w:rsidRDefault="00D91FB4" w:rsidP="00D91FB4">
            <w:pPr>
              <w:jc w:val="right"/>
              <w:rPr>
                <w:rFonts w:eastAsia="Times New Roman" w:cs="Calibri"/>
                <w:sz w:val="20"/>
                <w:szCs w:val="20"/>
                <w:lang w:eastAsia="en-AU"/>
              </w:rPr>
            </w:pPr>
            <w:r w:rsidRPr="00503F5B">
              <w:rPr>
                <w:sz w:val="20"/>
                <w:szCs w:val="20"/>
              </w:rPr>
              <w:t>$321</w:t>
            </w:r>
          </w:p>
        </w:tc>
      </w:tr>
      <w:tr w:rsidR="00D91FB4" w:rsidRPr="00503F5B" w14:paraId="25BDCE15" w14:textId="77777777" w:rsidTr="00C03A8F">
        <w:trPr>
          <w:trHeight w:val="70"/>
          <w:jc w:val="center"/>
        </w:trPr>
        <w:tc>
          <w:tcPr>
            <w:tcW w:w="4856" w:type="dxa"/>
            <w:tcBorders>
              <w:top w:val="single" w:sz="4" w:space="0" w:color="ED7C5D"/>
              <w:left w:val="nil"/>
              <w:bottom w:val="single" w:sz="4" w:space="0" w:color="ED7C5D"/>
              <w:right w:val="nil"/>
            </w:tcBorders>
            <w:shd w:val="clear" w:color="000000" w:fill="FFFFFF"/>
            <w:noWrap/>
            <w:hideMark/>
          </w:tcPr>
          <w:p w14:paraId="7CE9F283" w14:textId="77777777" w:rsidR="00D91FB4" w:rsidRPr="00503F5B" w:rsidRDefault="00D91FB4" w:rsidP="00D91FB4">
            <w:pPr>
              <w:rPr>
                <w:rFonts w:eastAsia="Times New Roman" w:cs="Calibri"/>
                <w:b/>
                <w:bCs/>
                <w:sz w:val="20"/>
                <w:szCs w:val="20"/>
                <w:lang w:eastAsia="en-AU"/>
              </w:rPr>
            </w:pPr>
            <w:r w:rsidRPr="00503F5B">
              <w:rPr>
                <w:rFonts w:eastAsia="Times New Roman" w:cs="Calibri"/>
                <w:b/>
                <w:bCs/>
                <w:sz w:val="20"/>
                <w:szCs w:val="20"/>
                <w:lang w:eastAsia="en-AU"/>
              </w:rPr>
              <w:t>Sub-total direct staffing costs</w:t>
            </w:r>
          </w:p>
        </w:tc>
        <w:tc>
          <w:tcPr>
            <w:tcW w:w="2657" w:type="dxa"/>
            <w:tcBorders>
              <w:top w:val="single" w:sz="4" w:space="0" w:color="ED7C5D"/>
              <w:left w:val="nil"/>
              <w:bottom w:val="single" w:sz="4" w:space="0" w:color="ED7C5D"/>
              <w:right w:val="nil"/>
            </w:tcBorders>
            <w:shd w:val="clear" w:color="000000" w:fill="FFFFFF"/>
            <w:noWrap/>
            <w:hideMark/>
          </w:tcPr>
          <w:p w14:paraId="3609819A" w14:textId="58CF764B" w:rsidR="00D91FB4" w:rsidRPr="00503F5B" w:rsidRDefault="00D91FB4" w:rsidP="00D91FB4">
            <w:pPr>
              <w:jc w:val="right"/>
              <w:rPr>
                <w:rFonts w:eastAsia="Times New Roman" w:cs="Calibri"/>
                <w:b/>
                <w:bCs/>
                <w:sz w:val="20"/>
                <w:szCs w:val="20"/>
                <w:lang w:eastAsia="en-AU"/>
              </w:rPr>
            </w:pPr>
            <w:r w:rsidRPr="00503F5B">
              <w:rPr>
                <w:b/>
                <w:bCs/>
                <w:sz w:val="20"/>
                <w:szCs w:val="20"/>
              </w:rPr>
              <w:t>$6,575</w:t>
            </w:r>
          </w:p>
        </w:tc>
      </w:tr>
      <w:tr w:rsidR="00D91FB4" w:rsidRPr="00503F5B" w14:paraId="7A180285" w14:textId="77777777" w:rsidTr="00C03A8F">
        <w:trPr>
          <w:trHeight w:val="70"/>
          <w:jc w:val="center"/>
        </w:trPr>
        <w:tc>
          <w:tcPr>
            <w:tcW w:w="4856" w:type="dxa"/>
            <w:tcBorders>
              <w:top w:val="single" w:sz="4" w:space="0" w:color="ED7C5D"/>
              <w:left w:val="nil"/>
              <w:bottom w:val="nil"/>
              <w:right w:val="nil"/>
            </w:tcBorders>
            <w:shd w:val="clear" w:color="000000" w:fill="FFFFFF"/>
            <w:noWrap/>
            <w:hideMark/>
          </w:tcPr>
          <w:p w14:paraId="7D97CCFF" w14:textId="77777777" w:rsidR="00D91FB4" w:rsidRPr="00503F5B" w:rsidRDefault="00D91FB4" w:rsidP="00D91FB4">
            <w:pPr>
              <w:rPr>
                <w:rFonts w:eastAsia="Times New Roman" w:cs="Calibri"/>
                <w:sz w:val="20"/>
                <w:szCs w:val="20"/>
                <w:lang w:eastAsia="en-AU"/>
              </w:rPr>
            </w:pPr>
            <w:r w:rsidRPr="00503F5B">
              <w:rPr>
                <w:rFonts w:eastAsia="Times New Roman" w:cs="Calibri"/>
                <w:sz w:val="20"/>
                <w:szCs w:val="20"/>
                <w:lang w:eastAsia="en-AU"/>
              </w:rPr>
              <w:t>Land and buildings maintenance (external Suppliers)</w:t>
            </w:r>
          </w:p>
        </w:tc>
        <w:tc>
          <w:tcPr>
            <w:tcW w:w="2657" w:type="dxa"/>
            <w:tcBorders>
              <w:top w:val="single" w:sz="4" w:space="0" w:color="ED7C5D"/>
              <w:left w:val="nil"/>
              <w:bottom w:val="nil"/>
              <w:right w:val="nil"/>
            </w:tcBorders>
            <w:shd w:val="clear" w:color="000000" w:fill="FFFFFF"/>
            <w:noWrap/>
            <w:hideMark/>
          </w:tcPr>
          <w:p w14:paraId="43A05CE1" w14:textId="76A08EA0" w:rsidR="00D91FB4" w:rsidRPr="00503F5B" w:rsidRDefault="00D91FB4" w:rsidP="00D91FB4">
            <w:pPr>
              <w:jc w:val="right"/>
              <w:rPr>
                <w:rFonts w:eastAsia="Times New Roman" w:cs="Calibri"/>
                <w:sz w:val="20"/>
                <w:szCs w:val="20"/>
                <w:lang w:eastAsia="en-AU"/>
              </w:rPr>
            </w:pPr>
            <w:r w:rsidRPr="00503F5B">
              <w:rPr>
                <w:sz w:val="20"/>
                <w:szCs w:val="20"/>
              </w:rPr>
              <w:t>$50</w:t>
            </w:r>
          </w:p>
        </w:tc>
      </w:tr>
      <w:tr w:rsidR="00D91FB4" w:rsidRPr="00503F5B" w14:paraId="41697CE0" w14:textId="77777777" w:rsidTr="00C03A8F">
        <w:trPr>
          <w:trHeight w:val="80"/>
          <w:jc w:val="center"/>
        </w:trPr>
        <w:tc>
          <w:tcPr>
            <w:tcW w:w="4856" w:type="dxa"/>
            <w:tcBorders>
              <w:top w:val="nil"/>
              <w:left w:val="nil"/>
              <w:bottom w:val="nil"/>
              <w:right w:val="nil"/>
            </w:tcBorders>
            <w:shd w:val="clear" w:color="000000" w:fill="FFFFFF"/>
            <w:noWrap/>
            <w:hideMark/>
          </w:tcPr>
          <w:p w14:paraId="06259FE8" w14:textId="77777777" w:rsidR="00D91FB4" w:rsidRPr="00503F5B" w:rsidRDefault="00D91FB4" w:rsidP="00D91FB4">
            <w:pPr>
              <w:rPr>
                <w:rFonts w:eastAsia="Times New Roman" w:cs="Calibri"/>
                <w:sz w:val="20"/>
                <w:szCs w:val="20"/>
                <w:lang w:eastAsia="en-AU"/>
              </w:rPr>
            </w:pPr>
            <w:r w:rsidRPr="00503F5B">
              <w:rPr>
                <w:rFonts w:eastAsia="Times New Roman" w:cs="Calibri"/>
                <w:sz w:val="20"/>
                <w:szCs w:val="20"/>
                <w:lang w:eastAsia="en-AU"/>
              </w:rPr>
              <w:t>Plant and equipment maintenance (external Suppliers)</w:t>
            </w:r>
          </w:p>
        </w:tc>
        <w:tc>
          <w:tcPr>
            <w:tcW w:w="2657" w:type="dxa"/>
            <w:tcBorders>
              <w:top w:val="nil"/>
              <w:left w:val="nil"/>
              <w:bottom w:val="nil"/>
              <w:right w:val="nil"/>
            </w:tcBorders>
            <w:shd w:val="clear" w:color="000000" w:fill="FFFFFF"/>
            <w:noWrap/>
            <w:hideMark/>
          </w:tcPr>
          <w:p w14:paraId="6C7436DC" w14:textId="11A10E40" w:rsidR="00D91FB4" w:rsidRPr="00503F5B" w:rsidRDefault="00D91FB4" w:rsidP="00D91FB4">
            <w:pPr>
              <w:jc w:val="right"/>
              <w:rPr>
                <w:rFonts w:eastAsia="Times New Roman" w:cs="Calibri"/>
                <w:sz w:val="20"/>
                <w:szCs w:val="20"/>
                <w:lang w:eastAsia="en-AU"/>
              </w:rPr>
            </w:pPr>
            <w:r w:rsidRPr="00503F5B">
              <w:rPr>
                <w:sz w:val="20"/>
                <w:szCs w:val="20"/>
              </w:rPr>
              <w:t>$30</w:t>
            </w:r>
          </w:p>
        </w:tc>
      </w:tr>
      <w:tr w:rsidR="00D91FB4" w:rsidRPr="00503F5B" w14:paraId="5BFD69AC" w14:textId="77777777" w:rsidTr="00C03A8F">
        <w:trPr>
          <w:trHeight w:val="80"/>
          <w:jc w:val="center"/>
        </w:trPr>
        <w:tc>
          <w:tcPr>
            <w:tcW w:w="4856" w:type="dxa"/>
            <w:tcBorders>
              <w:top w:val="nil"/>
              <w:left w:val="nil"/>
              <w:bottom w:val="nil"/>
              <w:right w:val="nil"/>
            </w:tcBorders>
            <w:shd w:val="clear" w:color="000000" w:fill="FFFFFF"/>
            <w:noWrap/>
            <w:hideMark/>
          </w:tcPr>
          <w:p w14:paraId="06E86709" w14:textId="77777777" w:rsidR="00D91FB4" w:rsidRPr="00503F5B" w:rsidRDefault="00D91FB4" w:rsidP="00D91FB4">
            <w:pPr>
              <w:rPr>
                <w:rFonts w:eastAsia="Times New Roman" w:cs="Calibri"/>
                <w:sz w:val="20"/>
                <w:szCs w:val="20"/>
                <w:lang w:eastAsia="en-AU"/>
              </w:rPr>
            </w:pPr>
            <w:r w:rsidRPr="00503F5B">
              <w:rPr>
                <w:rFonts w:eastAsia="Times New Roman" w:cs="Calibri"/>
                <w:sz w:val="20"/>
                <w:szCs w:val="20"/>
                <w:lang w:eastAsia="en-AU"/>
              </w:rPr>
              <w:t>General expenses (external suppliers)</w:t>
            </w:r>
          </w:p>
        </w:tc>
        <w:tc>
          <w:tcPr>
            <w:tcW w:w="2657" w:type="dxa"/>
            <w:tcBorders>
              <w:top w:val="nil"/>
              <w:left w:val="nil"/>
              <w:bottom w:val="nil"/>
              <w:right w:val="nil"/>
            </w:tcBorders>
            <w:shd w:val="clear" w:color="000000" w:fill="FFFFFF"/>
            <w:noWrap/>
            <w:hideMark/>
          </w:tcPr>
          <w:p w14:paraId="1CC56697" w14:textId="7482D4A9" w:rsidR="00D91FB4" w:rsidRPr="00503F5B" w:rsidRDefault="00D91FB4" w:rsidP="00D91FB4">
            <w:pPr>
              <w:jc w:val="right"/>
              <w:rPr>
                <w:rFonts w:eastAsia="Times New Roman" w:cs="Calibri"/>
                <w:sz w:val="20"/>
                <w:szCs w:val="20"/>
                <w:lang w:eastAsia="en-AU"/>
              </w:rPr>
            </w:pPr>
            <w:r w:rsidRPr="00503F5B">
              <w:rPr>
                <w:sz w:val="20"/>
                <w:szCs w:val="20"/>
              </w:rPr>
              <w:t>$20</w:t>
            </w:r>
          </w:p>
        </w:tc>
      </w:tr>
      <w:tr w:rsidR="00D91FB4" w:rsidRPr="00503F5B" w14:paraId="62384321" w14:textId="77777777" w:rsidTr="00C03A8F">
        <w:trPr>
          <w:trHeight w:val="80"/>
          <w:jc w:val="center"/>
        </w:trPr>
        <w:tc>
          <w:tcPr>
            <w:tcW w:w="4856" w:type="dxa"/>
            <w:tcBorders>
              <w:top w:val="nil"/>
              <w:left w:val="nil"/>
              <w:bottom w:val="single" w:sz="4" w:space="0" w:color="ED7C5D"/>
              <w:right w:val="nil"/>
            </w:tcBorders>
            <w:shd w:val="clear" w:color="000000" w:fill="FFFFFF"/>
            <w:noWrap/>
            <w:hideMark/>
          </w:tcPr>
          <w:p w14:paraId="23CBDBE1" w14:textId="77777777" w:rsidR="00D91FB4" w:rsidRPr="00503F5B" w:rsidRDefault="00D91FB4" w:rsidP="00D91FB4">
            <w:pPr>
              <w:rPr>
                <w:rFonts w:eastAsia="Times New Roman" w:cs="Calibri"/>
                <w:sz w:val="20"/>
                <w:szCs w:val="20"/>
                <w:lang w:eastAsia="en-AU"/>
              </w:rPr>
            </w:pPr>
            <w:r w:rsidRPr="00503F5B">
              <w:rPr>
                <w:rFonts w:eastAsia="Times New Roman" w:cs="Calibri"/>
                <w:sz w:val="20"/>
                <w:szCs w:val="20"/>
                <w:lang w:eastAsia="en-AU"/>
              </w:rPr>
              <w:t>Land and buildings - CFA internal maintenance costs</w:t>
            </w:r>
          </w:p>
        </w:tc>
        <w:tc>
          <w:tcPr>
            <w:tcW w:w="2657" w:type="dxa"/>
            <w:tcBorders>
              <w:top w:val="nil"/>
              <w:left w:val="nil"/>
              <w:bottom w:val="single" w:sz="4" w:space="0" w:color="ED7C5D"/>
              <w:right w:val="nil"/>
            </w:tcBorders>
            <w:shd w:val="clear" w:color="000000" w:fill="FFFFFF"/>
            <w:noWrap/>
            <w:hideMark/>
          </w:tcPr>
          <w:p w14:paraId="5EBF0BE5" w14:textId="614BAC31" w:rsidR="00D91FB4" w:rsidRPr="00503F5B" w:rsidRDefault="00D91FB4" w:rsidP="00D91FB4">
            <w:pPr>
              <w:jc w:val="right"/>
              <w:rPr>
                <w:rFonts w:eastAsia="Times New Roman" w:cs="Calibri"/>
                <w:sz w:val="20"/>
                <w:szCs w:val="20"/>
                <w:lang w:eastAsia="en-AU"/>
              </w:rPr>
            </w:pPr>
            <w:r w:rsidRPr="00503F5B">
              <w:rPr>
                <w:sz w:val="20"/>
                <w:szCs w:val="20"/>
              </w:rPr>
              <w:t>$30</w:t>
            </w:r>
          </w:p>
        </w:tc>
      </w:tr>
      <w:bookmarkEnd w:id="287"/>
      <w:tr w:rsidR="00D91FB4" w:rsidRPr="00503F5B" w14:paraId="779141AE" w14:textId="77777777" w:rsidTr="00C03A8F">
        <w:trPr>
          <w:trHeight w:val="70"/>
          <w:jc w:val="center"/>
        </w:trPr>
        <w:tc>
          <w:tcPr>
            <w:tcW w:w="4856" w:type="dxa"/>
            <w:tcBorders>
              <w:top w:val="single" w:sz="4" w:space="0" w:color="ED7C5D"/>
              <w:left w:val="nil"/>
              <w:bottom w:val="single" w:sz="4" w:space="0" w:color="ED7C5D"/>
              <w:right w:val="nil"/>
            </w:tcBorders>
            <w:shd w:val="clear" w:color="000000" w:fill="FFFFFF"/>
            <w:noWrap/>
            <w:hideMark/>
          </w:tcPr>
          <w:p w14:paraId="23743B42" w14:textId="77777777" w:rsidR="00D91FB4" w:rsidRPr="00503F5B" w:rsidRDefault="00D91FB4" w:rsidP="00D91FB4">
            <w:pPr>
              <w:rPr>
                <w:rFonts w:eastAsia="Times New Roman" w:cs="Calibri"/>
                <w:b/>
                <w:bCs/>
                <w:sz w:val="20"/>
                <w:szCs w:val="20"/>
                <w:lang w:eastAsia="en-AU"/>
              </w:rPr>
            </w:pPr>
            <w:r w:rsidRPr="00503F5B">
              <w:rPr>
                <w:rFonts w:eastAsia="Times New Roman" w:cs="Calibri"/>
                <w:b/>
                <w:bCs/>
                <w:sz w:val="20"/>
                <w:szCs w:val="20"/>
                <w:lang w:eastAsia="en-AU"/>
              </w:rPr>
              <w:t>Sub-total direct station costs</w:t>
            </w:r>
          </w:p>
        </w:tc>
        <w:tc>
          <w:tcPr>
            <w:tcW w:w="2657" w:type="dxa"/>
            <w:tcBorders>
              <w:top w:val="single" w:sz="4" w:space="0" w:color="ED7C5D"/>
              <w:left w:val="nil"/>
              <w:bottom w:val="single" w:sz="4" w:space="0" w:color="ED7C5D"/>
              <w:right w:val="nil"/>
            </w:tcBorders>
            <w:shd w:val="clear" w:color="000000" w:fill="FFFFFF"/>
            <w:noWrap/>
            <w:hideMark/>
          </w:tcPr>
          <w:p w14:paraId="3D120687" w14:textId="0B3AAF4F" w:rsidR="00D91FB4" w:rsidRPr="00503F5B" w:rsidRDefault="00D91FB4" w:rsidP="00D91FB4">
            <w:pPr>
              <w:jc w:val="right"/>
              <w:rPr>
                <w:rFonts w:eastAsia="Times New Roman" w:cs="Calibri"/>
                <w:b/>
                <w:bCs/>
                <w:sz w:val="20"/>
                <w:szCs w:val="20"/>
                <w:lang w:eastAsia="en-AU"/>
              </w:rPr>
            </w:pPr>
            <w:r w:rsidRPr="00503F5B">
              <w:rPr>
                <w:b/>
                <w:bCs/>
                <w:sz w:val="20"/>
                <w:szCs w:val="20"/>
              </w:rPr>
              <w:t>$130</w:t>
            </w:r>
          </w:p>
        </w:tc>
      </w:tr>
      <w:tr w:rsidR="00D91FB4" w:rsidRPr="00503F5B" w14:paraId="2BCAD683" w14:textId="77777777" w:rsidTr="00C03A8F">
        <w:trPr>
          <w:trHeight w:val="70"/>
          <w:jc w:val="center"/>
        </w:trPr>
        <w:tc>
          <w:tcPr>
            <w:tcW w:w="4856" w:type="dxa"/>
            <w:tcBorders>
              <w:top w:val="single" w:sz="4" w:space="0" w:color="ED7C5D"/>
              <w:left w:val="nil"/>
              <w:bottom w:val="single" w:sz="4" w:space="0" w:color="ED7C5D"/>
              <w:right w:val="nil"/>
            </w:tcBorders>
            <w:shd w:val="clear" w:color="000000" w:fill="FFFFFF"/>
            <w:noWrap/>
            <w:hideMark/>
          </w:tcPr>
          <w:p w14:paraId="1A91ABD8" w14:textId="77777777" w:rsidR="00D91FB4" w:rsidRPr="00503F5B" w:rsidRDefault="00D91FB4" w:rsidP="00D91FB4">
            <w:pPr>
              <w:rPr>
                <w:rFonts w:eastAsia="Times New Roman" w:cs="Calibri"/>
                <w:b/>
                <w:bCs/>
                <w:sz w:val="20"/>
                <w:szCs w:val="20"/>
                <w:lang w:eastAsia="en-AU"/>
              </w:rPr>
            </w:pPr>
            <w:r w:rsidRPr="00503F5B">
              <w:rPr>
                <w:rFonts w:eastAsia="Times New Roman" w:cs="Calibri"/>
                <w:b/>
                <w:bCs/>
                <w:sz w:val="20"/>
                <w:szCs w:val="20"/>
                <w:lang w:eastAsia="en-AU"/>
              </w:rPr>
              <w:t>Sub-total indirect cost</w:t>
            </w:r>
          </w:p>
        </w:tc>
        <w:tc>
          <w:tcPr>
            <w:tcW w:w="2657" w:type="dxa"/>
            <w:tcBorders>
              <w:top w:val="single" w:sz="4" w:space="0" w:color="ED7C5D"/>
              <w:left w:val="nil"/>
              <w:bottom w:val="single" w:sz="4" w:space="0" w:color="ED7C5D"/>
              <w:right w:val="nil"/>
            </w:tcBorders>
            <w:shd w:val="clear" w:color="000000" w:fill="FFFFFF"/>
            <w:noWrap/>
            <w:hideMark/>
          </w:tcPr>
          <w:p w14:paraId="617A4C37" w14:textId="4CB77968" w:rsidR="00D91FB4" w:rsidRPr="00503F5B" w:rsidRDefault="00D91FB4" w:rsidP="00D91FB4">
            <w:pPr>
              <w:jc w:val="right"/>
              <w:rPr>
                <w:rFonts w:eastAsia="Times New Roman" w:cs="Calibri"/>
                <w:b/>
                <w:bCs/>
                <w:sz w:val="20"/>
                <w:szCs w:val="20"/>
                <w:lang w:eastAsia="en-AU"/>
              </w:rPr>
            </w:pPr>
            <w:r w:rsidRPr="00503F5B">
              <w:rPr>
                <w:b/>
                <w:bCs/>
                <w:sz w:val="20"/>
                <w:szCs w:val="20"/>
              </w:rPr>
              <w:t>$2,262</w:t>
            </w:r>
          </w:p>
        </w:tc>
      </w:tr>
      <w:tr w:rsidR="00D91FB4" w:rsidRPr="00503F5B" w14:paraId="12B9DC96" w14:textId="77777777" w:rsidTr="00C03A8F">
        <w:trPr>
          <w:trHeight w:val="70"/>
          <w:jc w:val="center"/>
        </w:trPr>
        <w:tc>
          <w:tcPr>
            <w:tcW w:w="4856" w:type="dxa"/>
            <w:tcBorders>
              <w:top w:val="single" w:sz="4" w:space="0" w:color="ED7C5D"/>
              <w:left w:val="nil"/>
              <w:bottom w:val="single" w:sz="4" w:space="0" w:color="ED7C5D"/>
              <w:right w:val="nil"/>
            </w:tcBorders>
            <w:shd w:val="clear" w:color="000000" w:fill="FFFFFF"/>
            <w:noWrap/>
            <w:hideMark/>
          </w:tcPr>
          <w:p w14:paraId="1F943516" w14:textId="77777777" w:rsidR="00D91FB4" w:rsidRPr="00503F5B" w:rsidRDefault="00D91FB4" w:rsidP="00D91FB4">
            <w:pPr>
              <w:rPr>
                <w:rFonts w:eastAsia="Times New Roman" w:cs="Calibri"/>
                <w:b/>
                <w:bCs/>
                <w:i/>
                <w:iCs/>
                <w:sz w:val="20"/>
                <w:szCs w:val="20"/>
                <w:lang w:eastAsia="en-AU"/>
              </w:rPr>
            </w:pPr>
            <w:r w:rsidRPr="00503F5B">
              <w:rPr>
                <w:rFonts w:eastAsia="Times New Roman" w:cs="Calibri"/>
                <w:b/>
                <w:bCs/>
                <w:i/>
                <w:iCs/>
                <w:sz w:val="20"/>
                <w:szCs w:val="20"/>
                <w:lang w:eastAsia="en-AU"/>
              </w:rPr>
              <w:t>Total direct and indirect costs per attendance</w:t>
            </w:r>
          </w:p>
        </w:tc>
        <w:tc>
          <w:tcPr>
            <w:tcW w:w="2657" w:type="dxa"/>
            <w:tcBorders>
              <w:top w:val="single" w:sz="4" w:space="0" w:color="ED7C5D"/>
              <w:left w:val="nil"/>
              <w:bottom w:val="single" w:sz="4" w:space="0" w:color="ED7C5D"/>
              <w:right w:val="nil"/>
            </w:tcBorders>
            <w:shd w:val="clear" w:color="000000" w:fill="FFFFFF"/>
            <w:noWrap/>
            <w:hideMark/>
          </w:tcPr>
          <w:p w14:paraId="13C54A23" w14:textId="261F04DF" w:rsidR="00D91FB4" w:rsidRPr="00503F5B" w:rsidRDefault="00D91FB4" w:rsidP="00D91FB4">
            <w:pPr>
              <w:jc w:val="right"/>
              <w:rPr>
                <w:rFonts w:cs="Calibri"/>
                <w:b/>
                <w:bCs/>
                <w:i/>
                <w:iCs/>
                <w:sz w:val="20"/>
                <w:szCs w:val="20"/>
              </w:rPr>
            </w:pPr>
            <w:r w:rsidRPr="00503F5B">
              <w:rPr>
                <w:b/>
                <w:bCs/>
                <w:i/>
                <w:iCs/>
                <w:sz w:val="20"/>
                <w:szCs w:val="20"/>
              </w:rPr>
              <w:t>$9,041.94</w:t>
            </w:r>
          </w:p>
        </w:tc>
      </w:tr>
    </w:tbl>
    <w:p w14:paraId="7F501EFC" w14:textId="77777777" w:rsidR="00E04C6D" w:rsidRPr="00503F5B" w:rsidRDefault="00E04C6D" w:rsidP="00E04C6D">
      <w:pPr>
        <w:jc w:val="both"/>
      </w:pPr>
    </w:p>
    <w:p w14:paraId="5C7E11C8" w14:textId="77777777" w:rsidR="00E04C6D" w:rsidRPr="00503F5B" w:rsidRDefault="00E04C6D" w:rsidP="00E04C6D">
      <w:r w:rsidRPr="00503F5B">
        <w:br w:type="page"/>
      </w:r>
    </w:p>
    <w:p w14:paraId="6B7D13F3" w14:textId="3D425396" w:rsidR="00E04C6D" w:rsidRPr="00503F5B" w:rsidRDefault="00E04C6D" w:rsidP="0080683B">
      <w:pPr>
        <w:pStyle w:val="Heading1"/>
      </w:pPr>
      <w:bookmarkStart w:id="288" w:name="_Toc457772567"/>
      <w:bookmarkStart w:id="289" w:name="_Toc35804174"/>
      <w:bookmarkStart w:id="290" w:name="_Toc35804668"/>
      <w:bookmarkStart w:id="291" w:name="_Toc35812712"/>
      <w:r w:rsidRPr="00503F5B">
        <w:lastRenderedPageBreak/>
        <w:t xml:space="preserve">Appendix 3 – Determination of false alarm emergency attendance fees and revenue for FRV under Options 1 to </w:t>
      </w:r>
      <w:bookmarkEnd w:id="288"/>
      <w:r w:rsidR="00B54D12" w:rsidRPr="00503F5B">
        <w:t>4</w:t>
      </w:r>
      <w:bookmarkEnd w:id="289"/>
      <w:bookmarkEnd w:id="290"/>
      <w:bookmarkEnd w:id="291"/>
      <w:r w:rsidRPr="00503F5B">
        <w:t xml:space="preserve"> </w:t>
      </w:r>
    </w:p>
    <w:p w14:paraId="38733981" w14:textId="1CCF5137" w:rsidR="00E04C6D" w:rsidRPr="00503F5B" w:rsidRDefault="00E04C6D" w:rsidP="00E04C6D">
      <w:pPr>
        <w:jc w:val="both"/>
      </w:pPr>
      <w:r w:rsidRPr="00503F5B">
        <w:t xml:space="preserve">Appendix 3 sets out the fee options (1 to </w:t>
      </w:r>
      <w:r w:rsidR="00B54D12" w:rsidRPr="00503F5B">
        <w:t>4</w:t>
      </w:r>
      <w:r w:rsidRPr="00503F5B">
        <w:t xml:space="preserve">) to be considered for evaluation in this RIS, including their determination and consequential revenues. Cost recovery charges have been set according to an ‘efficient’ cost base where costs identified are the minimum necessary to deliver fire emergency attendances for false alarms </w:t>
      </w:r>
      <w:r w:rsidRPr="008C53D8">
        <w:t xml:space="preserve">by MFB (estimated to be </w:t>
      </w:r>
      <w:r w:rsidRPr="008C53D8">
        <w:rPr>
          <w:b/>
          <w:i/>
        </w:rPr>
        <w:t>$2,578.57 per quarter hour of attendance</w:t>
      </w:r>
      <w:r w:rsidRPr="008C53D8">
        <w:rPr>
          <w:bCs/>
          <w:iCs/>
        </w:rPr>
        <w:t>)</w:t>
      </w:r>
      <w:r w:rsidRPr="008C53D8">
        <w:rPr>
          <w:rStyle w:val="FootnoteReference"/>
          <w:bCs/>
          <w:iCs/>
        </w:rPr>
        <w:footnoteReference w:id="190"/>
      </w:r>
      <w:r w:rsidRPr="008C53D8">
        <w:rPr>
          <w:b/>
          <w:i/>
        </w:rPr>
        <w:t xml:space="preserve"> </w:t>
      </w:r>
      <w:r w:rsidRPr="008C53D8">
        <w:t xml:space="preserve">and CFA integrated stations (estimated to be </w:t>
      </w:r>
      <w:r w:rsidRPr="008C53D8">
        <w:rPr>
          <w:b/>
          <w:bCs/>
          <w:i/>
          <w:iCs/>
        </w:rPr>
        <w:t>$1,708.36 per quarter hour of attendance</w:t>
      </w:r>
      <w:r w:rsidRPr="008C53D8">
        <w:t>)</w:t>
      </w:r>
      <w:r w:rsidRPr="008C53D8">
        <w:rPr>
          <w:rStyle w:val="FootnoteReference"/>
        </w:rPr>
        <w:footnoteReference w:id="191"/>
      </w:r>
      <w:r w:rsidRPr="008C53D8">
        <w:t>.</w:t>
      </w:r>
      <w:r w:rsidRPr="00503F5B">
        <w:t xml:space="preserve">  The efficient cost base has been estimated through the identification of all relevant direct and indirect costs to be recovered which are integral or directly related to the activity of false alarm emergency attendances for both </w:t>
      </w:r>
      <w:r w:rsidR="00595DFB" w:rsidRPr="00503F5B">
        <w:t>MFB</w:t>
      </w:r>
      <w:r w:rsidRPr="00503F5B">
        <w:t xml:space="preserve"> and CFA integrated stations components of FRV.  </w:t>
      </w:r>
    </w:p>
    <w:p w14:paraId="3771D6D1" w14:textId="77777777" w:rsidR="00E04C6D" w:rsidRPr="00503F5B" w:rsidRDefault="00E04C6D" w:rsidP="00E04C6D">
      <w:pPr>
        <w:pStyle w:val="Heading2"/>
      </w:pPr>
      <w:bookmarkStart w:id="292" w:name="_Toc35804175"/>
      <w:bookmarkStart w:id="293" w:name="_Toc35804669"/>
      <w:bookmarkStart w:id="294" w:name="_Toc35812713"/>
      <w:r w:rsidRPr="00503F5B">
        <w:t>A3.1 Estimation of the weighted quarterly hour cost and volume of quarterly hour transactions for emergency attendances to false alarms by FRV</w:t>
      </w:r>
      <w:bookmarkEnd w:id="292"/>
      <w:bookmarkEnd w:id="293"/>
      <w:bookmarkEnd w:id="294"/>
    </w:p>
    <w:p w14:paraId="254AD84F" w14:textId="77777777" w:rsidR="00E04C6D" w:rsidRPr="00503F5B" w:rsidRDefault="00E04C6D" w:rsidP="00E04C6D">
      <w:pPr>
        <w:jc w:val="both"/>
      </w:pPr>
      <w:r w:rsidRPr="00503F5B">
        <w:t>The volume of current ‘quarterly hour’ transactions and annual growth rates (shown in Table A3.1 for MFB and in Table A3.3 for CFA integrated stations), are used as a basis for:</w:t>
      </w:r>
    </w:p>
    <w:p w14:paraId="43591402" w14:textId="77777777" w:rsidR="00E04C6D" w:rsidRPr="00503F5B" w:rsidRDefault="00E04C6D" w:rsidP="00E04C6D">
      <w:pPr>
        <w:jc w:val="both"/>
      </w:pPr>
    </w:p>
    <w:p w14:paraId="4B616B3D" w14:textId="77777777" w:rsidR="00E04C6D" w:rsidRPr="00503F5B" w:rsidRDefault="00E04C6D" w:rsidP="00101EC8">
      <w:pPr>
        <w:pStyle w:val="ListParagraph"/>
        <w:numPr>
          <w:ilvl w:val="0"/>
          <w:numId w:val="11"/>
        </w:numPr>
        <w:jc w:val="both"/>
      </w:pPr>
      <w:r w:rsidRPr="00503F5B">
        <w:t>projecting the volume of quarterly hour transactions and associated revenues of fee options for FRV over a 10-year period (2020-21 to 2029-30) in Sections A3.2 to A3.3 of this appendix; and</w:t>
      </w:r>
    </w:p>
    <w:p w14:paraId="735BED2E" w14:textId="77777777" w:rsidR="00E04C6D" w:rsidRPr="00503F5B" w:rsidRDefault="00E04C6D" w:rsidP="00E04C6D">
      <w:pPr>
        <w:pStyle w:val="ListParagraph"/>
        <w:jc w:val="both"/>
      </w:pPr>
    </w:p>
    <w:p w14:paraId="28A6FEBD" w14:textId="77777777" w:rsidR="00E04C6D" w:rsidRPr="00503F5B" w:rsidRDefault="00E04C6D" w:rsidP="00101EC8">
      <w:pPr>
        <w:pStyle w:val="ListParagraph"/>
        <w:numPr>
          <w:ilvl w:val="0"/>
          <w:numId w:val="11"/>
        </w:numPr>
        <w:jc w:val="both"/>
      </w:pPr>
      <w:bookmarkStart w:id="295" w:name="_Hlk32314405"/>
      <w:r w:rsidRPr="00503F5B">
        <w:rPr>
          <w:i/>
          <w:iCs/>
        </w:rPr>
        <w:t xml:space="preserve">estimating a weighted quarterly hour cost for FRV </w:t>
      </w:r>
      <w:bookmarkEnd w:id="295"/>
      <w:r w:rsidRPr="00503F5B">
        <w:t>combining the ‘efficient’ cost bases of MFB and CFA integrated stations.</w:t>
      </w:r>
    </w:p>
    <w:p w14:paraId="29876A69" w14:textId="77777777" w:rsidR="00E04C6D" w:rsidRPr="00503F5B" w:rsidRDefault="00E04C6D" w:rsidP="00E04C6D">
      <w:pPr>
        <w:jc w:val="both"/>
      </w:pPr>
    </w:p>
    <w:p w14:paraId="4B09F824" w14:textId="47ECFDC1" w:rsidR="00E04C6D" w:rsidRPr="00503F5B" w:rsidRDefault="00E04C6D" w:rsidP="00F94B17">
      <w:pPr>
        <w:pStyle w:val="Heading3"/>
      </w:pPr>
      <w:bookmarkStart w:id="296" w:name="_Toc35804176"/>
      <w:bookmarkStart w:id="297" w:name="_Toc35804670"/>
      <w:bookmarkStart w:id="298" w:name="_Toc35812714"/>
      <w:r w:rsidRPr="00503F5B">
        <w:t>A3</w:t>
      </w:r>
      <w:r w:rsidR="00BB4FE1" w:rsidRPr="00503F5B">
        <w:t>.</w:t>
      </w:r>
      <w:r w:rsidRPr="00503F5B">
        <w:t>1.1 Projection of the annual volume of quarterly hour transactions for FRV – 2019-20 to 2029-30</w:t>
      </w:r>
      <w:bookmarkEnd w:id="296"/>
      <w:bookmarkEnd w:id="297"/>
      <w:bookmarkEnd w:id="298"/>
    </w:p>
    <w:p w14:paraId="5881472E" w14:textId="77777777" w:rsidR="00E04C6D" w:rsidRPr="00503F5B" w:rsidRDefault="00E04C6D" w:rsidP="00E04C6D">
      <w:pPr>
        <w:jc w:val="both"/>
      </w:pPr>
    </w:p>
    <w:p w14:paraId="7294A233" w14:textId="77777777" w:rsidR="00E04C6D" w:rsidRPr="00503F5B" w:rsidRDefault="00E04C6D" w:rsidP="00E04C6D">
      <w:pPr>
        <w:jc w:val="both"/>
      </w:pPr>
      <w:r w:rsidRPr="00503F5B">
        <w:t>Projection of the annual volume of quarterly hour transactions for FRV between 2021-22 and 2029-30 is based on determination of annual growth rates around such transactions for current MFB and CFA integrated station operations.  These growth rates are illustrated in Table A3.1 and A3.3, for MFB and CFA integrated stations, respectively.</w:t>
      </w:r>
    </w:p>
    <w:p w14:paraId="4B1F6D59" w14:textId="77777777" w:rsidR="00E04C6D" w:rsidRPr="00503F5B" w:rsidRDefault="00E04C6D" w:rsidP="00E04C6D">
      <w:pPr>
        <w:jc w:val="both"/>
      </w:pPr>
    </w:p>
    <w:p w14:paraId="0FB2BBB0" w14:textId="77777777" w:rsidR="00E04C6D" w:rsidRPr="00503F5B" w:rsidRDefault="00E04C6D" w:rsidP="00E04C6D">
      <w:pPr>
        <w:jc w:val="center"/>
        <w:rPr>
          <w:b/>
          <w:sz w:val="20"/>
          <w:szCs w:val="20"/>
        </w:rPr>
      </w:pPr>
      <w:r w:rsidRPr="00503F5B">
        <w:rPr>
          <w:b/>
          <w:sz w:val="20"/>
          <w:szCs w:val="20"/>
        </w:rPr>
        <w:t>TableA3.1: Estimated volume and annual growth of ‘quarterly hour’ transactions for emergency attendances by MFB – 2004-05 to 2018-19</w:t>
      </w:r>
    </w:p>
    <w:p w14:paraId="56D705EF" w14:textId="77777777" w:rsidR="00E04C6D" w:rsidRPr="00503F5B" w:rsidRDefault="00E04C6D" w:rsidP="00E04C6D">
      <w:pPr>
        <w:jc w:val="both"/>
      </w:pP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559"/>
        <w:gridCol w:w="846"/>
        <w:gridCol w:w="714"/>
        <w:gridCol w:w="992"/>
        <w:gridCol w:w="1276"/>
        <w:gridCol w:w="1696"/>
      </w:tblGrid>
      <w:tr w:rsidR="00E04C6D" w:rsidRPr="00503F5B" w14:paraId="75F33DA8" w14:textId="77777777" w:rsidTr="005424B0">
        <w:trPr>
          <w:trHeight w:val="835"/>
          <w:tblHeader/>
        </w:trPr>
        <w:tc>
          <w:tcPr>
            <w:tcW w:w="993" w:type="dxa"/>
            <w:tcBorders>
              <w:top w:val="single" w:sz="4" w:space="0" w:color="ED7C5D"/>
              <w:bottom w:val="double" w:sz="4" w:space="0" w:color="ED7C5D"/>
            </w:tcBorders>
            <w:hideMark/>
          </w:tcPr>
          <w:p w14:paraId="120B881B" w14:textId="77777777" w:rsidR="00E04C6D" w:rsidRPr="00503F5B" w:rsidRDefault="00E04C6D" w:rsidP="00E04C6D">
            <w:pPr>
              <w:jc w:val="both"/>
              <w:rPr>
                <w:b/>
                <w:color w:val="BE2A18"/>
                <w:sz w:val="20"/>
                <w:szCs w:val="20"/>
                <w:lang w:val="en-AU"/>
              </w:rPr>
            </w:pPr>
            <w:r w:rsidRPr="00503F5B">
              <w:rPr>
                <w:b/>
                <w:color w:val="BE2A18"/>
                <w:sz w:val="20"/>
                <w:szCs w:val="20"/>
                <w:lang w:val="en-AU"/>
              </w:rPr>
              <w:t>Year</w:t>
            </w:r>
          </w:p>
        </w:tc>
        <w:tc>
          <w:tcPr>
            <w:tcW w:w="1559" w:type="dxa"/>
            <w:tcBorders>
              <w:top w:val="single" w:sz="4" w:space="0" w:color="ED7C5D"/>
              <w:bottom w:val="double" w:sz="4" w:space="0" w:color="ED7C5D"/>
            </w:tcBorders>
            <w:hideMark/>
          </w:tcPr>
          <w:p w14:paraId="5F7124F6" w14:textId="77777777" w:rsidR="00E04C6D" w:rsidRPr="00503F5B" w:rsidRDefault="00E04C6D" w:rsidP="00E04C6D">
            <w:pPr>
              <w:jc w:val="center"/>
              <w:rPr>
                <w:b/>
                <w:color w:val="BE2A18"/>
                <w:sz w:val="20"/>
                <w:szCs w:val="20"/>
                <w:lang w:val="en-AU"/>
              </w:rPr>
            </w:pPr>
            <w:r w:rsidRPr="00503F5B">
              <w:rPr>
                <w:b/>
                <w:color w:val="BE2A18"/>
                <w:sz w:val="20"/>
                <w:szCs w:val="20"/>
                <w:lang w:val="en-AU"/>
              </w:rPr>
              <w:t>False alarm charges</w:t>
            </w:r>
          </w:p>
          <w:p w14:paraId="12A3D134" w14:textId="77777777" w:rsidR="00E04C6D" w:rsidRPr="00503F5B" w:rsidRDefault="00E04C6D" w:rsidP="00E04C6D">
            <w:pPr>
              <w:jc w:val="center"/>
              <w:rPr>
                <w:b/>
                <w:color w:val="BE2A18"/>
                <w:sz w:val="20"/>
                <w:szCs w:val="20"/>
                <w:lang w:val="en-AU"/>
              </w:rPr>
            </w:pPr>
          </w:p>
          <w:p w14:paraId="319D7795" w14:textId="77777777" w:rsidR="00E04C6D" w:rsidRPr="00503F5B" w:rsidRDefault="00E04C6D" w:rsidP="00E04C6D">
            <w:pPr>
              <w:jc w:val="center"/>
              <w:rPr>
                <w:b/>
                <w:color w:val="BE2A18"/>
                <w:sz w:val="20"/>
                <w:szCs w:val="20"/>
                <w:lang w:val="en-AU"/>
              </w:rPr>
            </w:pPr>
            <w:r w:rsidRPr="00503F5B">
              <w:rPr>
                <w:b/>
                <w:color w:val="BE2A18"/>
                <w:sz w:val="20"/>
                <w:szCs w:val="20"/>
                <w:lang w:val="en-AU"/>
              </w:rPr>
              <w:t>(m)</w:t>
            </w:r>
          </w:p>
        </w:tc>
        <w:tc>
          <w:tcPr>
            <w:tcW w:w="846" w:type="dxa"/>
            <w:tcBorders>
              <w:top w:val="single" w:sz="4" w:space="0" w:color="ED7C5D"/>
              <w:bottom w:val="double" w:sz="4" w:space="0" w:color="ED7C5D"/>
            </w:tcBorders>
            <w:hideMark/>
          </w:tcPr>
          <w:p w14:paraId="010151BF" w14:textId="77777777" w:rsidR="00E04C6D" w:rsidRPr="00503F5B" w:rsidRDefault="00E04C6D" w:rsidP="00E04C6D">
            <w:pPr>
              <w:jc w:val="center"/>
              <w:rPr>
                <w:b/>
                <w:color w:val="BE2A18"/>
                <w:sz w:val="20"/>
                <w:szCs w:val="20"/>
                <w:lang w:val="en-AU"/>
              </w:rPr>
            </w:pPr>
            <w:r w:rsidRPr="00503F5B">
              <w:rPr>
                <w:b/>
                <w:color w:val="BE2A18"/>
                <w:sz w:val="20"/>
                <w:szCs w:val="20"/>
                <w:lang w:val="en-AU"/>
              </w:rPr>
              <w:t>Value of fee unit</w:t>
            </w:r>
          </w:p>
          <w:p w14:paraId="2AA9ABDC" w14:textId="77777777" w:rsidR="00E04C6D" w:rsidRPr="00503F5B" w:rsidRDefault="00E04C6D" w:rsidP="00E04C6D">
            <w:pPr>
              <w:jc w:val="center"/>
              <w:rPr>
                <w:b/>
                <w:color w:val="BE2A18"/>
                <w:sz w:val="20"/>
                <w:szCs w:val="20"/>
                <w:lang w:val="en-AU"/>
              </w:rPr>
            </w:pPr>
            <w:r w:rsidRPr="00503F5B">
              <w:rPr>
                <w:b/>
                <w:color w:val="BE2A18"/>
                <w:sz w:val="20"/>
                <w:szCs w:val="20"/>
                <w:lang w:val="en-AU"/>
              </w:rPr>
              <w:t>(n)</w:t>
            </w:r>
          </w:p>
        </w:tc>
        <w:tc>
          <w:tcPr>
            <w:tcW w:w="714" w:type="dxa"/>
            <w:tcBorders>
              <w:top w:val="single" w:sz="4" w:space="0" w:color="ED7C5D"/>
              <w:bottom w:val="double" w:sz="4" w:space="0" w:color="ED7C5D"/>
            </w:tcBorders>
            <w:hideMark/>
          </w:tcPr>
          <w:p w14:paraId="4A32D57D" w14:textId="77777777" w:rsidR="00E04C6D" w:rsidRPr="00503F5B" w:rsidRDefault="00E04C6D" w:rsidP="00E04C6D">
            <w:pPr>
              <w:jc w:val="center"/>
              <w:rPr>
                <w:b/>
                <w:color w:val="BE2A18"/>
                <w:sz w:val="20"/>
                <w:szCs w:val="20"/>
                <w:lang w:val="en-AU"/>
              </w:rPr>
            </w:pPr>
            <w:r w:rsidRPr="00503F5B">
              <w:rPr>
                <w:b/>
                <w:color w:val="BE2A18"/>
                <w:sz w:val="20"/>
                <w:szCs w:val="20"/>
                <w:lang w:val="en-AU"/>
              </w:rPr>
              <w:t>Fee units</w:t>
            </w:r>
          </w:p>
          <w:p w14:paraId="1B34F517" w14:textId="77777777" w:rsidR="00E04C6D" w:rsidRPr="00503F5B" w:rsidRDefault="00E04C6D" w:rsidP="00E04C6D">
            <w:pPr>
              <w:jc w:val="center"/>
              <w:rPr>
                <w:b/>
                <w:color w:val="BE2A18"/>
                <w:sz w:val="20"/>
                <w:szCs w:val="20"/>
                <w:lang w:val="en-AU"/>
              </w:rPr>
            </w:pPr>
          </w:p>
          <w:p w14:paraId="59AB38E3" w14:textId="77777777" w:rsidR="00E04C6D" w:rsidRPr="00503F5B" w:rsidRDefault="00E04C6D" w:rsidP="00E04C6D">
            <w:pPr>
              <w:jc w:val="center"/>
              <w:rPr>
                <w:b/>
                <w:color w:val="BE2A18"/>
                <w:sz w:val="20"/>
                <w:szCs w:val="20"/>
                <w:lang w:val="en-AU"/>
              </w:rPr>
            </w:pPr>
            <w:r w:rsidRPr="00503F5B">
              <w:rPr>
                <w:b/>
                <w:color w:val="BE2A18"/>
                <w:sz w:val="20"/>
                <w:szCs w:val="20"/>
                <w:lang w:val="en-AU"/>
              </w:rPr>
              <w:t>(o)</w:t>
            </w:r>
          </w:p>
        </w:tc>
        <w:tc>
          <w:tcPr>
            <w:tcW w:w="992" w:type="dxa"/>
            <w:tcBorders>
              <w:top w:val="single" w:sz="4" w:space="0" w:color="ED7C5D"/>
              <w:bottom w:val="double" w:sz="4" w:space="0" w:color="ED7C5D"/>
            </w:tcBorders>
            <w:hideMark/>
          </w:tcPr>
          <w:p w14:paraId="18B24BE3" w14:textId="77777777" w:rsidR="00E04C6D" w:rsidRPr="00503F5B" w:rsidRDefault="00E04C6D" w:rsidP="00E04C6D">
            <w:pPr>
              <w:jc w:val="center"/>
              <w:rPr>
                <w:b/>
                <w:color w:val="BE2A18"/>
                <w:sz w:val="20"/>
                <w:szCs w:val="20"/>
                <w:lang w:val="en-AU"/>
              </w:rPr>
            </w:pPr>
            <w:r w:rsidRPr="00503F5B">
              <w:rPr>
                <w:b/>
                <w:color w:val="BE2A18"/>
                <w:sz w:val="20"/>
                <w:szCs w:val="20"/>
                <w:lang w:val="en-AU"/>
              </w:rPr>
              <w:t>Fee</w:t>
            </w:r>
          </w:p>
          <w:p w14:paraId="0B15FAC4" w14:textId="77777777" w:rsidR="00E04C6D" w:rsidRPr="00503F5B" w:rsidRDefault="00E04C6D" w:rsidP="00E04C6D">
            <w:pPr>
              <w:jc w:val="center"/>
              <w:rPr>
                <w:b/>
                <w:color w:val="BE2A18"/>
                <w:sz w:val="20"/>
                <w:szCs w:val="20"/>
                <w:lang w:val="en-AU"/>
              </w:rPr>
            </w:pPr>
          </w:p>
          <w:p w14:paraId="6541E6A0" w14:textId="77777777" w:rsidR="00E04C6D" w:rsidRPr="00503F5B" w:rsidRDefault="00E04C6D" w:rsidP="00E04C6D">
            <w:pPr>
              <w:jc w:val="center"/>
              <w:rPr>
                <w:b/>
                <w:color w:val="BE2A18"/>
                <w:sz w:val="20"/>
                <w:szCs w:val="20"/>
                <w:lang w:val="en-AU"/>
              </w:rPr>
            </w:pPr>
          </w:p>
          <w:p w14:paraId="2C397586" w14:textId="77777777" w:rsidR="00E04C6D" w:rsidRPr="00503F5B" w:rsidRDefault="00E04C6D" w:rsidP="00E04C6D">
            <w:pPr>
              <w:jc w:val="center"/>
              <w:rPr>
                <w:b/>
                <w:color w:val="BE2A18"/>
                <w:sz w:val="20"/>
                <w:szCs w:val="20"/>
                <w:lang w:val="en-AU"/>
              </w:rPr>
            </w:pPr>
            <w:r w:rsidRPr="00503F5B">
              <w:rPr>
                <w:b/>
                <w:color w:val="BE2A18"/>
                <w:sz w:val="20"/>
                <w:szCs w:val="20"/>
                <w:lang w:val="en-AU"/>
              </w:rPr>
              <w:t>(p)=(n)*(o)</w:t>
            </w:r>
          </w:p>
        </w:tc>
        <w:tc>
          <w:tcPr>
            <w:tcW w:w="1276" w:type="dxa"/>
            <w:tcBorders>
              <w:top w:val="single" w:sz="4" w:space="0" w:color="ED7C5D"/>
              <w:bottom w:val="double" w:sz="4" w:space="0" w:color="ED7C5D"/>
            </w:tcBorders>
            <w:hideMark/>
          </w:tcPr>
          <w:p w14:paraId="335E50A6" w14:textId="77777777" w:rsidR="00E04C6D" w:rsidRPr="00503F5B" w:rsidRDefault="00E04C6D" w:rsidP="00E04C6D">
            <w:pPr>
              <w:jc w:val="center"/>
              <w:rPr>
                <w:b/>
                <w:color w:val="BE2A18"/>
                <w:sz w:val="20"/>
                <w:szCs w:val="20"/>
                <w:lang w:val="en-AU"/>
              </w:rPr>
            </w:pPr>
            <w:r w:rsidRPr="00503F5B">
              <w:rPr>
                <w:b/>
                <w:color w:val="BE2A18"/>
                <w:sz w:val="20"/>
                <w:szCs w:val="20"/>
                <w:lang w:val="en-AU"/>
              </w:rPr>
              <w:t>Volume of quarterly hour transactions</w:t>
            </w:r>
          </w:p>
          <w:p w14:paraId="4448C845" w14:textId="77777777" w:rsidR="00E04C6D" w:rsidRPr="00503F5B" w:rsidRDefault="00E04C6D" w:rsidP="00E04C6D">
            <w:pPr>
              <w:jc w:val="center"/>
              <w:rPr>
                <w:b/>
                <w:color w:val="BE2A18"/>
                <w:sz w:val="20"/>
                <w:szCs w:val="20"/>
                <w:lang w:val="en-AU"/>
              </w:rPr>
            </w:pPr>
            <w:r w:rsidRPr="00503F5B">
              <w:rPr>
                <w:b/>
                <w:color w:val="BE2A18"/>
                <w:sz w:val="20"/>
                <w:szCs w:val="20"/>
                <w:lang w:val="en-AU"/>
              </w:rPr>
              <w:t>(q)=(m)/(p)</w:t>
            </w:r>
          </w:p>
        </w:tc>
        <w:tc>
          <w:tcPr>
            <w:tcW w:w="1696" w:type="dxa"/>
            <w:tcBorders>
              <w:top w:val="single" w:sz="4" w:space="0" w:color="ED7C5D"/>
              <w:bottom w:val="double" w:sz="4" w:space="0" w:color="ED7C5D"/>
            </w:tcBorders>
            <w:hideMark/>
          </w:tcPr>
          <w:p w14:paraId="3737E259" w14:textId="77777777" w:rsidR="00E04C6D" w:rsidRPr="00503F5B" w:rsidRDefault="00E04C6D" w:rsidP="00E04C6D">
            <w:pPr>
              <w:jc w:val="center"/>
              <w:rPr>
                <w:b/>
                <w:color w:val="BE2A18"/>
                <w:sz w:val="20"/>
                <w:szCs w:val="20"/>
                <w:lang w:val="en-AU"/>
              </w:rPr>
            </w:pPr>
            <w:r w:rsidRPr="00503F5B">
              <w:rPr>
                <w:b/>
                <w:color w:val="BE2A18"/>
                <w:sz w:val="20"/>
                <w:szCs w:val="20"/>
                <w:lang w:val="en-AU"/>
              </w:rPr>
              <w:t>Annual growth rate in the volume of quarterly hour transactions</w:t>
            </w:r>
          </w:p>
        </w:tc>
      </w:tr>
      <w:tr w:rsidR="00E04C6D" w:rsidRPr="00503F5B" w14:paraId="16686204" w14:textId="77777777" w:rsidTr="005424B0">
        <w:trPr>
          <w:trHeight w:val="51"/>
        </w:trPr>
        <w:tc>
          <w:tcPr>
            <w:tcW w:w="993" w:type="dxa"/>
            <w:tcBorders>
              <w:top w:val="double" w:sz="4" w:space="0" w:color="ED7C5D"/>
            </w:tcBorders>
            <w:noWrap/>
            <w:hideMark/>
          </w:tcPr>
          <w:p w14:paraId="0F914142" w14:textId="77777777" w:rsidR="00E04C6D" w:rsidRPr="00503F5B" w:rsidRDefault="00E04C6D" w:rsidP="00E04C6D">
            <w:pPr>
              <w:rPr>
                <w:sz w:val="20"/>
                <w:szCs w:val="20"/>
                <w:lang w:val="en-AU"/>
              </w:rPr>
            </w:pPr>
            <w:r w:rsidRPr="00503F5B">
              <w:rPr>
                <w:sz w:val="20"/>
                <w:szCs w:val="20"/>
                <w:lang w:val="en-AU"/>
              </w:rPr>
              <w:t>2004-05</w:t>
            </w:r>
          </w:p>
        </w:tc>
        <w:tc>
          <w:tcPr>
            <w:tcW w:w="1559" w:type="dxa"/>
            <w:tcBorders>
              <w:top w:val="double" w:sz="4" w:space="0" w:color="ED7C5D"/>
            </w:tcBorders>
            <w:noWrap/>
            <w:hideMark/>
          </w:tcPr>
          <w:p w14:paraId="528131C1" w14:textId="77777777" w:rsidR="00E04C6D" w:rsidRPr="00503F5B" w:rsidRDefault="00E04C6D" w:rsidP="00E04C6D">
            <w:pPr>
              <w:jc w:val="right"/>
              <w:rPr>
                <w:sz w:val="20"/>
                <w:szCs w:val="20"/>
                <w:lang w:val="en-AU"/>
              </w:rPr>
            </w:pPr>
            <w:r w:rsidRPr="00503F5B">
              <w:rPr>
                <w:sz w:val="20"/>
                <w:szCs w:val="20"/>
                <w:lang w:val="en-AU"/>
              </w:rPr>
              <w:t>$4,625,000</w:t>
            </w:r>
          </w:p>
        </w:tc>
        <w:tc>
          <w:tcPr>
            <w:tcW w:w="846" w:type="dxa"/>
            <w:tcBorders>
              <w:top w:val="double" w:sz="4" w:space="0" w:color="ED7C5D"/>
            </w:tcBorders>
            <w:noWrap/>
            <w:hideMark/>
          </w:tcPr>
          <w:p w14:paraId="415E9C78" w14:textId="77777777" w:rsidR="00E04C6D" w:rsidRPr="00503F5B" w:rsidRDefault="00E04C6D" w:rsidP="00E04C6D">
            <w:pPr>
              <w:jc w:val="right"/>
              <w:rPr>
                <w:sz w:val="20"/>
                <w:szCs w:val="20"/>
                <w:lang w:val="en-AU"/>
              </w:rPr>
            </w:pPr>
            <w:r w:rsidRPr="00503F5B">
              <w:rPr>
                <w:sz w:val="20"/>
                <w:szCs w:val="20"/>
                <w:lang w:val="en-AU"/>
              </w:rPr>
              <w:t>$10.23</w:t>
            </w:r>
          </w:p>
        </w:tc>
        <w:tc>
          <w:tcPr>
            <w:tcW w:w="714" w:type="dxa"/>
            <w:tcBorders>
              <w:top w:val="double" w:sz="4" w:space="0" w:color="ED7C5D"/>
            </w:tcBorders>
            <w:noWrap/>
            <w:hideMark/>
          </w:tcPr>
          <w:p w14:paraId="65A57BE3" w14:textId="77777777" w:rsidR="00E04C6D" w:rsidRPr="00503F5B" w:rsidRDefault="00E04C6D" w:rsidP="00E04C6D">
            <w:pPr>
              <w:jc w:val="right"/>
              <w:rPr>
                <w:sz w:val="20"/>
                <w:szCs w:val="20"/>
                <w:lang w:val="en-AU"/>
              </w:rPr>
            </w:pPr>
            <w:r w:rsidRPr="00503F5B">
              <w:rPr>
                <w:sz w:val="20"/>
                <w:szCs w:val="20"/>
                <w:lang w:val="en-AU"/>
              </w:rPr>
              <w:t>39.06</w:t>
            </w:r>
          </w:p>
        </w:tc>
        <w:tc>
          <w:tcPr>
            <w:tcW w:w="992" w:type="dxa"/>
            <w:tcBorders>
              <w:top w:val="double" w:sz="4" w:space="0" w:color="ED7C5D"/>
            </w:tcBorders>
            <w:noWrap/>
            <w:hideMark/>
          </w:tcPr>
          <w:p w14:paraId="188E9A92" w14:textId="77777777" w:rsidR="00E04C6D" w:rsidRPr="00503F5B" w:rsidRDefault="00E04C6D" w:rsidP="00E04C6D">
            <w:pPr>
              <w:jc w:val="right"/>
              <w:rPr>
                <w:sz w:val="20"/>
                <w:szCs w:val="20"/>
                <w:lang w:val="en-AU"/>
              </w:rPr>
            </w:pPr>
            <w:r w:rsidRPr="00503F5B">
              <w:rPr>
                <w:sz w:val="20"/>
                <w:szCs w:val="20"/>
                <w:lang w:val="en-AU"/>
              </w:rPr>
              <w:t>$399.58</w:t>
            </w:r>
          </w:p>
        </w:tc>
        <w:tc>
          <w:tcPr>
            <w:tcW w:w="1276" w:type="dxa"/>
            <w:tcBorders>
              <w:top w:val="double" w:sz="4" w:space="0" w:color="ED7C5D"/>
            </w:tcBorders>
            <w:noWrap/>
            <w:hideMark/>
          </w:tcPr>
          <w:p w14:paraId="31CC841E" w14:textId="77777777" w:rsidR="00E04C6D" w:rsidRPr="00503F5B" w:rsidRDefault="00E04C6D" w:rsidP="00E04C6D">
            <w:pPr>
              <w:jc w:val="right"/>
              <w:rPr>
                <w:b/>
                <w:bCs/>
                <w:sz w:val="20"/>
                <w:szCs w:val="20"/>
                <w:lang w:val="en-AU"/>
              </w:rPr>
            </w:pPr>
            <w:r w:rsidRPr="00503F5B">
              <w:rPr>
                <w:b/>
                <w:bCs/>
                <w:sz w:val="20"/>
                <w:szCs w:val="20"/>
                <w:lang w:val="en-AU"/>
              </w:rPr>
              <w:t xml:space="preserve"> 11,575 </w:t>
            </w:r>
          </w:p>
        </w:tc>
        <w:tc>
          <w:tcPr>
            <w:tcW w:w="1696" w:type="dxa"/>
            <w:tcBorders>
              <w:top w:val="double" w:sz="4" w:space="0" w:color="ED7C5D"/>
            </w:tcBorders>
            <w:noWrap/>
            <w:hideMark/>
          </w:tcPr>
          <w:p w14:paraId="0DF54BC4" w14:textId="77777777" w:rsidR="00E04C6D" w:rsidRPr="00503F5B" w:rsidRDefault="00E04C6D" w:rsidP="00E04C6D">
            <w:pPr>
              <w:jc w:val="right"/>
              <w:rPr>
                <w:sz w:val="20"/>
                <w:szCs w:val="20"/>
                <w:lang w:val="en-AU"/>
              </w:rPr>
            </w:pPr>
          </w:p>
        </w:tc>
      </w:tr>
      <w:tr w:rsidR="00E04C6D" w:rsidRPr="00503F5B" w14:paraId="412AA2C8" w14:textId="77777777" w:rsidTr="005424B0">
        <w:trPr>
          <w:trHeight w:val="81"/>
        </w:trPr>
        <w:tc>
          <w:tcPr>
            <w:tcW w:w="993" w:type="dxa"/>
            <w:noWrap/>
            <w:hideMark/>
          </w:tcPr>
          <w:p w14:paraId="3D84F5B1" w14:textId="77777777" w:rsidR="00E04C6D" w:rsidRPr="00503F5B" w:rsidRDefault="00E04C6D" w:rsidP="00E04C6D">
            <w:pPr>
              <w:rPr>
                <w:sz w:val="20"/>
                <w:szCs w:val="20"/>
                <w:lang w:val="en-AU"/>
              </w:rPr>
            </w:pPr>
            <w:r w:rsidRPr="00503F5B">
              <w:rPr>
                <w:sz w:val="20"/>
                <w:szCs w:val="20"/>
                <w:lang w:val="en-AU"/>
              </w:rPr>
              <w:t>2005-06</w:t>
            </w:r>
          </w:p>
        </w:tc>
        <w:tc>
          <w:tcPr>
            <w:tcW w:w="1559" w:type="dxa"/>
            <w:noWrap/>
            <w:hideMark/>
          </w:tcPr>
          <w:p w14:paraId="30D250A8" w14:textId="77777777" w:rsidR="00E04C6D" w:rsidRPr="00503F5B" w:rsidRDefault="00E04C6D" w:rsidP="00E04C6D">
            <w:pPr>
              <w:jc w:val="right"/>
              <w:rPr>
                <w:sz w:val="20"/>
                <w:szCs w:val="20"/>
                <w:lang w:val="en-AU"/>
              </w:rPr>
            </w:pPr>
            <w:r w:rsidRPr="00503F5B">
              <w:rPr>
                <w:sz w:val="20"/>
                <w:szCs w:val="20"/>
                <w:lang w:val="en-AU"/>
              </w:rPr>
              <w:t>$4,115,000</w:t>
            </w:r>
          </w:p>
        </w:tc>
        <w:tc>
          <w:tcPr>
            <w:tcW w:w="846" w:type="dxa"/>
            <w:noWrap/>
            <w:hideMark/>
          </w:tcPr>
          <w:p w14:paraId="0F6D1034" w14:textId="77777777" w:rsidR="00E04C6D" w:rsidRPr="00503F5B" w:rsidRDefault="00E04C6D" w:rsidP="00E04C6D">
            <w:pPr>
              <w:jc w:val="right"/>
              <w:rPr>
                <w:sz w:val="20"/>
                <w:szCs w:val="20"/>
                <w:lang w:val="en-AU"/>
              </w:rPr>
            </w:pPr>
            <w:r w:rsidRPr="00503F5B">
              <w:rPr>
                <w:sz w:val="20"/>
                <w:szCs w:val="20"/>
                <w:lang w:val="en-AU"/>
              </w:rPr>
              <w:t>$10.49</w:t>
            </w:r>
          </w:p>
        </w:tc>
        <w:tc>
          <w:tcPr>
            <w:tcW w:w="714" w:type="dxa"/>
            <w:noWrap/>
            <w:hideMark/>
          </w:tcPr>
          <w:p w14:paraId="66136631" w14:textId="77777777" w:rsidR="00E04C6D" w:rsidRPr="00503F5B" w:rsidRDefault="00E04C6D" w:rsidP="00E04C6D">
            <w:pPr>
              <w:jc w:val="right"/>
              <w:rPr>
                <w:sz w:val="20"/>
                <w:szCs w:val="20"/>
                <w:lang w:val="en-AU"/>
              </w:rPr>
            </w:pPr>
            <w:r w:rsidRPr="00503F5B">
              <w:rPr>
                <w:sz w:val="20"/>
                <w:szCs w:val="20"/>
                <w:lang w:val="en-AU"/>
              </w:rPr>
              <w:t>39.06</w:t>
            </w:r>
          </w:p>
        </w:tc>
        <w:tc>
          <w:tcPr>
            <w:tcW w:w="992" w:type="dxa"/>
            <w:noWrap/>
            <w:hideMark/>
          </w:tcPr>
          <w:p w14:paraId="114454B3" w14:textId="77777777" w:rsidR="00E04C6D" w:rsidRPr="00503F5B" w:rsidRDefault="00E04C6D" w:rsidP="00E04C6D">
            <w:pPr>
              <w:jc w:val="right"/>
              <w:rPr>
                <w:sz w:val="20"/>
                <w:szCs w:val="20"/>
                <w:lang w:val="en-AU"/>
              </w:rPr>
            </w:pPr>
            <w:r w:rsidRPr="00503F5B">
              <w:rPr>
                <w:sz w:val="20"/>
                <w:szCs w:val="20"/>
                <w:lang w:val="en-AU"/>
              </w:rPr>
              <w:t>$409.74</w:t>
            </w:r>
          </w:p>
        </w:tc>
        <w:tc>
          <w:tcPr>
            <w:tcW w:w="1276" w:type="dxa"/>
            <w:noWrap/>
            <w:hideMark/>
          </w:tcPr>
          <w:p w14:paraId="057203EA" w14:textId="77777777" w:rsidR="00E04C6D" w:rsidRPr="00503F5B" w:rsidRDefault="00E04C6D" w:rsidP="00E04C6D">
            <w:pPr>
              <w:jc w:val="right"/>
              <w:rPr>
                <w:b/>
                <w:bCs/>
                <w:sz w:val="20"/>
                <w:szCs w:val="20"/>
                <w:lang w:val="en-AU"/>
              </w:rPr>
            </w:pPr>
            <w:r w:rsidRPr="00503F5B">
              <w:rPr>
                <w:b/>
                <w:bCs/>
                <w:sz w:val="20"/>
                <w:szCs w:val="20"/>
                <w:lang w:val="en-AU"/>
              </w:rPr>
              <w:t xml:space="preserve"> 10,043 </w:t>
            </w:r>
          </w:p>
        </w:tc>
        <w:tc>
          <w:tcPr>
            <w:tcW w:w="1696" w:type="dxa"/>
            <w:noWrap/>
            <w:hideMark/>
          </w:tcPr>
          <w:p w14:paraId="020CD3EB" w14:textId="77777777" w:rsidR="00E04C6D" w:rsidRPr="00503F5B" w:rsidRDefault="00E04C6D" w:rsidP="00E04C6D">
            <w:pPr>
              <w:jc w:val="right"/>
              <w:rPr>
                <w:sz w:val="20"/>
                <w:szCs w:val="20"/>
                <w:lang w:val="en-AU"/>
              </w:rPr>
            </w:pPr>
            <w:r w:rsidRPr="00503F5B">
              <w:rPr>
                <w:sz w:val="20"/>
                <w:szCs w:val="20"/>
                <w:lang w:val="en-AU"/>
              </w:rPr>
              <w:t>-13.23%</w:t>
            </w:r>
          </w:p>
        </w:tc>
      </w:tr>
      <w:tr w:rsidR="00E04C6D" w:rsidRPr="00503F5B" w14:paraId="6C35E3B2" w14:textId="77777777" w:rsidTr="005424B0">
        <w:trPr>
          <w:trHeight w:val="81"/>
        </w:trPr>
        <w:tc>
          <w:tcPr>
            <w:tcW w:w="993" w:type="dxa"/>
            <w:noWrap/>
            <w:hideMark/>
          </w:tcPr>
          <w:p w14:paraId="1BB3A648" w14:textId="77777777" w:rsidR="00E04C6D" w:rsidRPr="00503F5B" w:rsidRDefault="00E04C6D" w:rsidP="00E04C6D">
            <w:pPr>
              <w:rPr>
                <w:sz w:val="20"/>
                <w:szCs w:val="20"/>
                <w:lang w:val="en-AU"/>
              </w:rPr>
            </w:pPr>
            <w:r w:rsidRPr="00503F5B">
              <w:rPr>
                <w:sz w:val="20"/>
                <w:szCs w:val="20"/>
                <w:lang w:val="en-AU"/>
              </w:rPr>
              <w:t>2006-07</w:t>
            </w:r>
          </w:p>
        </w:tc>
        <w:tc>
          <w:tcPr>
            <w:tcW w:w="1559" w:type="dxa"/>
            <w:noWrap/>
            <w:hideMark/>
          </w:tcPr>
          <w:p w14:paraId="55FED78B" w14:textId="77777777" w:rsidR="00E04C6D" w:rsidRPr="00503F5B" w:rsidRDefault="00E04C6D" w:rsidP="00E04C6D">
            <w:pPr>
              <w:jc w:val="right"/>
              <w:rPr>
                <w:sz w:val="20"/>
                <w:szCs w:val="20"/>
                <w:lang w:val="en-AU"/>
              </w:rPr>
            </w:pPr>
            <w:r w:rsidRPr="00503F5B">
              <w:rPr>
                <w:sz w:val="20"/>
                <w:szCs w:val="20"/>
                <w:lang w:val="en-AU"/>
              </w:rPr>
              <w:t>$6,266,000</w:t>
            </w:r>
          </w:p>
        </w:tc>
        <w:tc>
          <w:tcPr>
            <w:tcW w:w="846" w:type="dxa"/>
            <w:noWrap/>
            <w:hideMark/>
          </w:tcPr>
          <w:p w14:paraId="2C9FE2F6" w14:textId="77777777" w:rsidR="00E04C6D" w:rsidRPr="00503F5B" w:rsidRDefault="00E04C6D" w:rsidP="00E04C6D">
            <w:pPr>
              <w:jc w:val="right"/>
              <w:rPr>
                <w:sz w:val="20"/>
                <w:szCs w:val="20"/>
                <w:lang w:val="en-AU"/>
              </w:rPr>
            </w:pPr>
            <w:r w:rsidRPr="00503F5B">
              <w:rPr>
                <w:sz w:val="20"/>
                <w:szCs w:val="20"/>
                <w:lang w:val="en-AU"/>
              </w:rPr>
              <w:t>$10.75</w:t>
            </w:r>
          </w:p>
        </w:tc>
        <w:tc>
          <w:tcPr>
            <w:tcW w:w="714" w:type="dxa"/>
            <w:noWrap/>
            <w:hideMark/>
          </w:tcPr>
          <w:p w14:paraId="0CD2CDB0" w14:textId="77777777" w:rsidR="00E04C6D" w:rsidRPr="00503F5B" w:rsidRDefault="00E04C6D" w:rsidP="00E04C6D">
            <w:pPr>
              <w:jc w:val="right"/>
              <w:rPr>
                <w:sz w:val="20"/>
                <w:szCs w:val="20"/>
                <w:lang w:val="en-AU"/>
              </w:rPr>
            </w:pPr>
            <w:r w:rsidRPr="00503F5B">
              <w:rPr>
                <w:sz w:val="20"/>
                <w:szCs w:val="20"/>
                <w:lang w:val="en-AU"/>
              </w:rPr>
              <w:t>39.06</w:t>
            </w:r>
          </w:p>
        </w:tc>
        <w:tc>
          <w:tcPr>
            <w:tcW w:w="992" w:type="dxa"/>
            <w:noWrap/>
            <w:hideMark/>
          </w:tcPr>
          <w:p w14:paraId="0E299602" w14:textId="77777777" w:rsidR="00E04C6D" w:rsidRPr="00503F5B" w:rsidRDefault="00E04C6D" w:rsidP="00E04C6D">
            <w:pPr>
              <w:jc w:val="right"/>
              <w:rPr>
                <w:sz w:val="20"/>
                <w:szCs w:val="20"/>
                <w:lang w:val="en-AU"/>
              </w:rPr>
            </w:pPr>
            <w:r w:rsidRPr="00503F5B">
              <w:rPr>
                <w:sz w:val="20"/>
                <w:szCs w:val="20"/>
                <w:lang w:val="en-AU"/>
              </w:rPr>
              <w:t>$419.90</w:t>
            </w:r>
          </w:p>
        </w:tc>
        <w:tc>
          <w:tcPr>
            <w:tcW w:w="1276" w:type="dxa"/>
            <w:noWrap/>
            <w:hideMark/>
          </w:tcPr>
          <w:p w14:paraId="6C6C7FA0" w14:textId="77777777" w:rsidR="00E04C6D" w:rsidRPr="00503F5B" w:rsidRDefault="00E04C6D" w:rsidP="00E04C6D">
            <w:pPr>
              <w:jc w:val="right"/>
              <w:rPr>
                <w:b/>
                <w:bCs/>
                <w:sz w:val="20"/>
                <w:szCs w:val="20"/>
                <w:lang w:val="en-AU"/>
              </w:rPr>
            </w:pPr>
            <w:r w:rsidRPr="00503F5B">
              <w:rPr>
                <w:b/>
                <w:bCs/>
                <w:sz w:val="20"/>
                <w:szCs w:val="20"/>
                <w:lang w:val="en-AU"/>
              </w:rPr>
              <w:t xml:space="preserve"> 14,923 </w:t>
            </w:r>
          </w:p>
        </w:tc>
        <w:tc>
          <w:tcPr>
            <w:tcW w:w="1696" w:type="dxa"/>
            <w:noWrap/>
            <w:hideMark/>
          </w:tcPr>
          <w:p w14:paraId="1969001C" w14:textId="77777777" w:rsidR="00E04C6D" w:rsidRPr="00503F5B" w:rsidRDefault="00E04C6D" w:rsidP="00E04C6D">
            <w:pPr>
              <w:jc w:val="right"/>
              <w:rPr>
                <w:sz w:val="20"/>
                <w:szCs w:val="20"/>
                <w:lang w:val="en-AU"/>
              </w:rPr>
            </w:pPr>
            <w:r w:rsidRPr="00503F5B">
              <w:rPr>
                <w:sz w:val="20"/>
                <w:szCs w:val="20"/>
                <w:lang w:val="en-AU"/>
              </w:rPr>
              <w:t>48.59%</w:t>
            </w:r>
          </w:p>
        </w:tc>
      </w:tr>
      <w:tr w:rsidR="00E04C6D" w:rsidRPr="00503F5B" w14:paraId="7A3CB0E4" w14:textId="77777777" w:rsidTr="005424B0">
        <w:trPr>
          <w:trHeight w:val="81"/>
        </w:trPr>
        <w:tc>
          <w:tcPr>
            <w:tcW w:w="993" w:type="dxa"/>
            <w:noWrap/>
            <w:hideMark/>
          </w:tcPr>
          <w:p w14:paraId="6A6D2656" w14:textId="77777777" w:rsidR="00E04C6D" w:rsidRPr="00503F5B" w:rsidRDefault="00E04C6D" w:rsidP="00E04C6D">
            <w:pPr>
              <w:rPr>
                <w:sz w:val="20"/>
                <w:szCs w:val="20"/>
                <w:lang w:val="en-AU"/>
              </w:rPr>
            </w:pPr>
            <w:r w:rsidRPr="00503F5B">
              <w:rPr>
                <w:sz w:val="20"/>
                <w:szCs w:val="20"/>
                <w:lang w:val="en-AU"/>
              </w:rPr>
              <w:lastRenderedPageBreak/>
              <w:t>2007-08</w:t>
            </w:r>
          </w:p>
        </w:tc>
        <w:tc>
          <w:tcPr>
            <w:tcW w:w="1559" w:type="dxa"/>
            <w:noWrap/>
            <w:hideMark/>
          </w:tcPr>
          <w:p w14:paraId="7864A90D" w14:textId="77777777" w:rsidR="00E04C6D" w:rsidRPr="00503F5B" w:rsidRDefault="00E04C6D" w:rsidP="00E04C6D">
            <w:pPr>
              <w:jc w:val="right"/>
              <w:rPr>
                <w:sz w:val="20"/>
                <w:szCs w:val="20"/>
                <w:lang w:val="en-AU"/>
              </w:rPr>
            </w:pPr>
            <w:r w:rsidRPr="00503F5B">
              <w:rPr>
                <w:sz w:val="20"/>
                <w:szCs w:val="20"/>
                <w:lang w:val="en-AU"/>
              </w:rPr>
              <w:t>$6,077,000</w:t>
            </w:r>
          </w:p>
        </w:tc>
        <w:tc>
          <w:tcPr>
            <w:tcW w:w="846" w:type="dxa"/>
            <w:noWrap/>
            <w:hideMark/>
          </w:tcPr>
          <w:p w14:paraId="48B64292" w14:textId="77777777" w:rsidR="00E04C6D" w:rsidRPr="00503F5B" w:rsidRDefault="00E04C6D" w:rsidP="00E04C6D">
            <w:pPr>
              <w:jc w:val="right"/>
              <w:rPr>
                <w:sz w:val="20"/>
                <w:szCs w:val="20"/>
                <w:lang w:val="en-AU"/>
              </w:rPr>
            </w:pPr>
            <w:r w:rsidRPr="00503F5B">
              <w:rPr>
                <w:sz w:val="20"/>
                <w:szCs w:val="20"/>
                <w:lang w:val="en-AU"/>
              </w:rPr>
              <w:t>$11.02</w:t>
            </w:r>
          </w:p>
        </w:tc>
        <w:tc>
          <w:tcPr>
            <w:tcW w:w="714" w:type="dxa"/>
            <w:noWrap/>
            <w:hideMark/>
          </w:tcPr>
          <w:p w14:paraId="1324B5C8" w14:textId="77777777" w:rsidR="00E04C6D" w:rsidRPr="00503F5B" w:rsidRDefault="00E04C6D" w:rsidP="00E04C6D">
            <w:pPr>
              <w:jc w:val="right"/>
              <w:rPr>
                <w:sz w:val="20"/>
                <w:szCs w:val="20"/>
                <w:lang w:val="en-AU"/>
              </w:rPr>
            </w:pPr>
            <w:r w:rsidRPr="00503F5B">
              <w:rPr>
                <w:sz w:val="20"/>
                <w:szCs w:val="20"/>
                <w:lang w:val="en-AU"/>
              </w:rPr>
              <w:t>39.06</w:t>
            </w:r>
          </w:p>
        </w:tc>
        <w:tc>
          <w:tcPr>
            <w:tcW w:w="992" w:type="dxa"/>
            <w:noWrap/>
            <w:hideMark/>
          </w:tcPr>
          <w:p w14:paraId="025E6BDD" w14:textId="77777777" w:rsidR="00E04C6D" w:rsidRPr="00503F5B" w:rsidRDefault="00E04C6D" w:rsidP="00E04C6D">
            <w:pPr>
              <w:jc w:val="right"/>
              <w:rPr>
                <w:sz w:val="20"/>
                <w:szCs w:val="20"/>
                <w:lang w:val="en-AU"/>
              </w:rPr>
            </w:pPr>
            <w:r w:rsidRPr="00503F5B">
              <w:rPr>
                <w:sz w:val="20"/>
                <w:szCs w:val="20"/>
                <w:lang w:val="en-AU"/>
              </w:rPr>
              <w:t>$430.44</w:t>
            </w:r>
          </w:p>
        </w:tc>
        <w:tc>
          <w:tcPr>
            <w:tcW w:w="1276" w:type="dxa"/>
            <w:noWrap/>
            <w:hideMark/>
          </w:tcPr>
          <w:p w14:paraId="7B5CA538" w14:textId="77777777" w:rsidR="00E04C6D" w:rsidRPr="00503F5B" w:rsidRDefault="00E04C6D" w:rsidP="00E04C6D">
            <w:pPr>
              <w:jc w:val="right"/>
              <w:rPr>
                <w:b/>
                <w:bCs/>
                <w:sz w:val="20"/>
                <w:szCs w:val="20"/>
                <w:lang w:val="en-AU"/>
              </w:rPr>
            </w:pPr>
            <w:r w:rsidRPr="00503F5B">
              <w:rPr>
                <w:b/>
                <w:bCs/>
                <w:sz w:val="20"/>
                <w:szCs w:val="20"/>
                <w:lang w:val="en-AU"/>
              </w:rPr>
              <w:t xml:space="preserve"> 14,118 </w:t>
            </w:r>
          </w:p>
        </w:tc>
        <w:tc>
          <w:tcPr>
            <w:tcW w:w="1696" w:type="dxa"/>
            <w:noWrap/>
            <w:hideMark/>
          </w:tcPr>
          <w:p w14:paraId="2C3B4E6F" w14:textId="77777777" w:rsidR="00E04C6D" w:rsidRPr="00503F5B" w:rsidRDefault="00E04C6D" w:rsidP="00E04C6D">
            <w:pPr>
              <w:jc w:val="right"/>
              <w:rPr>
                <w:sz w:val="20"/>
                <w:szCs w:val="20"/>
                <w:lang w:val="en-AU"/>
              </w:rPr>
            </w:pPr>
            <w:r w:rsidRPr="00503F5B">
              <w:rPr>
                <w:sz w:val="20"/>
                <w:szCs w:val="20"/>
                <w:lang w:val="en-AU"/>
              </w:rPr>
              <w:t>-5.39%</w:t>
            </w:r>
          </w:p>
        </w:tc>
      </w:tr>
      <w:tr w:rsidR="00E04C6D" w:rsidRPr="00503F5B" w14:paraId="7B4352E8" w14:textId="77777777" w:rsidTr="005424B0">
        <w:trPr>
          <w:trHeight w:val="81"/>
        </w:trPr>
        <w:tc>
          <w:tcPr>
            <w:tcW w:w="993" w:type="dxa"/>
            <w:noWrap/>
            <w:hideMark/>
          </w:tcPr>
          <w:p w14:paraId="055B205B" w14:textId="77777777" w:rsidR="00E04C6D" w:rsidRPr="00503F5B" w:rsidRDefault="00E04C6D" w:rsidP="00E04C6D">
            <w:pPr>
              <w:rPr>
                <w:sz w:val="20"/>
                <w:szCs w:val="20"/>
                <w:lang w:val="en-AU"/>
              </w:rPr>
            </w:pPr>
            <w:r w:rsidRPr="00503F5B">
              <w:rPr>
                <w:sz w:val="20"/>
                <w:szCs w:val="20"/>
                <w:lang w:val="en-AU"/>
              </w:rPr>
              <w:t>2008-09</w:t>
            </w:r>
          </w:p>
        </w:tc>
        <w:tc>
          <w:tcPr>
            <w:tcW w:w="1559" w:type="dxa"/>
            <w:noWrap/>
            <w:hideMark/>
          </w:tcPr>
          <w:p w14:paraId="13F4EA8C" w14:textId="77777777" w:rsidR="00E04C6D" w:rsidRPr="00503F5B" w:rsidRDefault="00E04C6D" w:rsidP="00E04C6D">
            <w:pPr>
              <w:jc w:val="right"/>
              <w:rPr>
                <w:sz w:val="20"/>
                <w:szCs w:val="20"/>
                <w:lang w:val="en-AU"/>
              </w:rPr>
            </w:pPr>
            <w:r w:rsidRPr="00503F5B">
              <w:rPr>
                <w:sz w:val="20"/>
                <w:szCs w:val="20"/>
                <w:lang w:val="en-AU"/>
              </w:rPr>
              <w:t>$5,823,000</w:t>
            </w:r>
          </w:p>
        </w:tc>
        <w:tc>
          <w:tcPr>
            <w:tcW w:w="846" w:type="dxa"/>
            <w:noWrap/>
            <w:hideMark/>
          </w:tcPr>
          <w:p w14:paraId="35D6CC22" w14:textId="77777777" w:rsidR="00E04C6D" w:rsidRPr="00503F5B" w:rsidRDefault="00E04C6D" w:rsidP="00E04C6D">
            <w:pPr>
              <w:jc w:val="right"/>
              <w:rPr>
                <w:sz w:val="20"/>
                <w:szCs w:val="20"/>
                <w:lang w:val="en-AU"/>
              </w:rPr>
            </w:pPr>
            <w:r w:rsidRPr="00503F5B">
              <w:rPr>
                <w:sz w:val="20"/>
                <w:szCs w:val="20"/>
                <w:lang w:val="en-AU"/>
              </w:rPr>
              <w:t>$11.35</w:t>
            </w:r>
          </w:p>
        </w:tc>
        <w:tc>
          <w:tcPr>
            <w:tcW w:w="714" w:type="dxa"/>
            <w:noWrap/>
            <w:hideMark/>
          </w:tcPr>
          <w:p w14:paraId="0C6214F0" w14:textId="77777777" w:rsidR="00E04C6D" w:rsidRPr="00503F5B" w:rsidRDefault="00E04C6D" w:rsidP="00E04C6D">
            <w:pPr>
              <w:jc w:val="right"/>
              <w:rPr>
                <w:sz w:val="20"/>
                <w:szCs w:val="20"/>
                <w:lang w:val="en-AU"/>
              </w:rPr>
            </w:pPr>
            <w:r w:rsidRPr="00503F5B">
              <w:rPr>
                <w:sz w:val="20"/>
                <w:szCs w:val="20"/>
                <w:lang w:val="en-AU"/>
              </w:rPr>
              <w:t>39.06</w:t>
            </w:r>
          </w:p>
        </w:tc>
        <w:tc>
          <w:tcPr>
            <w:tcW w:w="992" w:type="dxa"/>
            <w:noWrap/>
            <w:hideMark/>
          </w:tcPr>
          <w:p w14:paraId="29C9F3D6" w14:textId="77777777" w:rsidR="00E04C6D" w:rsidRPr="00503F5B" w:rsidRDefault="00E04C6D" w:rsidP="00E04C6D">
            <w:pPr>
              <w:jc w:val="right"/>
              <w:rPr>
                <w:sz w:val="20"/>
                <w:szCs w:val="20"/>
                <w:lang w:val="en-AU"/>
              </w:rPr>
            </w:pPr>
            <w:r w:rsidRPr="00503F5B">
              <w:rPr>
                <w:sz w:val="20"/>
                <w:szCs w:val="20"/>
                <w:lang w:val="en-AU"/>
              </w:rPr>
              <w:t>$443.33</w:t>
            </w:r>
          </w:p>
        </w:tc>
        <w:tc>
          <w:tcPr>
            <w:tcW w:w="1276" w:type="dxa"/>
            <w:noWrap/>
            <w:hideMark/>
          </w:tcPr>
          <w:p w14:paraId="439C1882" w14:textId="77777777" w:rsidR="00E04C6D" w:rsidRPr="00503F5B" w:rsidRDefault="00E04C6D" w:rsidP="00E04C6D">
            <w:pPr>
              <w:jc w:val="right"/>
              <w:rPr>
                <w:b/>
                <w:bCs/>
                <w:sz w:val="20"/>
                <w:szCs w:val="20"/>
                <w:lang w:val="en-AU"/>
              </w:rPr>
            </w:pPr>
            <w:r w:rsidRPr="00503F5B">
              <w:rPr>
                <w:b/>
                <w:bCs/>
                <w:sz w:val="20"/>
                <w:szCs w:val="20"/>
                <w:lang w:val="en-AU"/>
              </w:rPr>
              <w:t xml:space="preserve"> 13,135 </w:t>
            </w:r>
          </w:p>
        </w:tc>
        <w:tc>
          <w:tcPr>
            <w:tcW w:w="1696" w:type="dxa"/>
            <w:noWrap/>
            <w:hideMark/>
          </w:tcPr>
          <w:p w14:paraId="5664FCCE" w14:textId="77777777" w:rsidR="00E04C6D" w:rsidRPr="00503F5B" w:rsidRDefault="00E04C6D" w:rsidP="00E04C6D">
            <w:pPr>
              <w:jc w:val="right"/>
              <w:rPr>
                <w:sz w:val="20"/>
                <w:szCs w:val="20"/>
                <w:lang w:val="en-AU"/>
              </w:rPr>
            </w:pPr>
            <w:r w:rsidRPr="00503F5B">
              <w:rPr>
                <w:sz w:val="20"/>
                <w:szCs w:val="20"/>
                <w:lang w:val="en-AU"/>
              </w:rPr>
              <w:t>-6.97%</w:t>
            </w:r>
          </w:p>
        </w:tc>
      </w:tr>
      <w:tr w:rsidR="00E04C6D" w:rsidRPr="00503F5B" w14:paraId="20AECB04" w14:textId="77777777" w:rsidTr="005424B0">
        <w:trPr>
          <w:trHeight w:val="81"/>
        </w:trPr>
        <w:tc>
          <w:tcPr>
            <w:tcW w:w="993" w:type="dxa"/>
            <w:noWrap/>
            <w:hideMark/>
          </w:tcPr>
          <w:p w14:paraId="60D099F2" w14:textId="77777777" w:rsidR="00E04C6D" w:rsidRPr="00503F5B" w:rsidRDefault="00E04C6D" w:rsidP="00E04C6D">
            <w:pPr>
              <w:rPr>
                <w:sz w:val="20"/>
                <w:szCs w:val="20"/>
                <w:lang w:val="en-AU"/>
              </w:rPr>
            </w:pPr>
            <w:r w:rsidRPr="00503F5B">
              <w:rPr>
                <w:sz w:val="20"/>
                <w:szCs w:val="20"/>
                <w:lang w:val="en-AU"/>
              </w:rPr>
              <w:t>2009-10</w:t>
            </w:r>
          </w:p>
        </w:tc>
        <w:tc>
          <w:tcPr>
            <w:tcW w:w="1559" w:type="dxa"/>
            <w:noWrap/>
            <w:hideMark/>
          </w:tcPr>
          <w:p w14:paraId="3DAEC8EF" w14:textId="77777777" w:rsidR="00E04C6D" w:rsidRPr="00503F5B" w:rsidRDefault="00E04C6D" w:rsidP="00E04C6D">
            <w:pPr>
              <w:jc w:val="right"/>
              <w:rPr>
                <w:sz w:val="20"/>
                <w:szCs w:val="20"/>
                <w:lang w:val="en-AU"/>
              </w:rPr>
            </w:pPr>
            <w:r w:rsidRPr="00503F5B">
              <w:rPr>
                <w:sz w:val="20"/>
                <w:szCs w:val="20"/>
                <w:lang w:val="en-AU"/>
              </w:rPr>
              <w:t>$5,333,000</w:t>
            </w:r>
          </w:p>
        </w:tc>
        <w:tc>
          <w:tcPr>
            <w:tcW w:w="846" w:type="dxa"/>
            <w:noWrap/>
            <w:hideMark/>
          </w:tcPr>
          <w:p w14:paraId="755F4180" w14:textId="77777777" w:rsidR="00E04C6D" w:rsidRPr="00503F5B" w:rsidRDefault="00E04C6D" w:rsidP="00E04C6D">
            <w:pPr>
              <w:jc w:val="right"/>
              <w:rPr>
                <w:sz w:val="20"/>
                <w:szCs w:val="20"/>
                <w:lang w:val="en-AU"/>
              </w:rPr>
            </w:pPr>
            <w:r w:rsidRPr="00503F5B">
              <w:rPr>
                <w:sz w:val="20"/>
                <w:szCs w:val="20"/>
                <w:lang w:val="en-AU"/>
              </w:rPr>
              <w:t>$11.69</w:t>
            </w:r>
          </w:p>
        </w:tc>
        <w:tc>
          <w:tcPr>
            <w:tcW w:w="714" w:type="dxa"/>
            <w:noWrap/>
            <w:hideMark/>
          </w:tcPr>
          <w:p w14:paraId="6260D30B" w14:textId="77777777" w:rsidR="00E04C6D" w:rsidRPr="00503F5B" w:rsidRDefault="00E04C6D" w:rsidP="00E04C6D">
            <w:pPr>
              <w:jc w:val="right"/>
              <w:rPr>
                <w:sz w:val="20"/>
                <w:szCs w:val="20"/>
                <w:lang w:val="en-AU"/>
              </w:rPr>
            </w:pPr>
            <w:r w:rsidRPr="00503F5B">
              <w:rPr>
                <w:sz w:val="20"/>
                <w:szCs w:val="20"/>
                <w:lang w:val="en-AU"/>
              </w:rPr>
              <w:t>39.06</w:t>
            </w:r>
          </w:p>
        </w:tc>
        <w:tc>
          <w:tcPr>
            <w:tcW w:w="992" w:type="dxa"/>
            <w:noWrap/>
            <w:hideMark/>
          </w:tcPr>
          <w:p w14:paraId="378D3D77" w14:textId="77777777" w:rsidR="00E04C6D" w:rsidRPr="00503F5B" w:rsidRDefault="00E04C6D" w:rsidP="00E04C6D">
            <w:pPr>
              <w:jc w:val="right"/>
              <w:rPr>
                <w:sz w:val="20"/>
                <w:szCs w:val="20"/>
                <w:lang w:val="en-AU"/>
              </w:rPr>
            </w:pPr>
            <w:r w:rsidRPr="00503F5B">
              <w:rPr>
                <w:sz w:val="20"/>
                <w:szCs w:val="20"/>
                <w:lang w:val="en-AU"/>
              </w:rPr>
              <w:t>$456.61</w:t>
            </w:r>
          </w:p>
        </w:tc>
        <w:tc>
          <w:tcPr>
            <w:tcW w:w="1276" w:type="dxa"/>
            <w:noWrap/>
            <w:hideMark/>
          </w:tcPr>
          <w:p w14:paraId="407BCA5C" w14:textId="77777777" w:rsidR="00E04C6D" w:rsidRPr="00503F5B" w:rsidRDefault="00E04C6D" w:rsidP="00E04C6D">
            <w:pPr>
              <w:jc w:val="right"/>
              <w:rPr>
                <w:b/>
                <w:bCs/>
                <w:sz w:val="20"/>
                <w:szCs w:val="20"/>
                <w:lang w:val="en-AU"/>
              </w:rPr>
            </w:pPr>
            <w:r w:rsidRPr="00503F5B">
              <w:rPr>
                <w:b/>
                <w:bCs/>
                <w:sz w:val="20"/>
                <w:szCs w:val="20"/>
                <w:lang w:val="en-AU"/>
              </w:rPr>
              <w:t xml:space="preserve"> 11,680 </w:t>
            </w:r>
          </w:p>
        </w:tc>
        <w:tc>
          <w:tcPr>
            <w:tcW w:w="1696" w:type="dxa"/>
            <w:noWrap/>
            <w:hideMark/>
          </w:tcPr>
          <w:p w14:paraId="680EF3E0" w14:textId="77777777" w:rsidR="00E04C6D" w:rsidRPr="00503F5B" w:rsidRDefault="00E04C6D" w:rsidP="00E04C6D">
            <w:pPr>
              <w:jc w:val="right"/>
              <w:rPr>
                <w:sz w:val="20"/>
                <w:szCs w:val="20"/>
                <w:lang w:val="en-AU"/>
              </w:rPr>
            </w:pPr>
            <w:r w:rsidRPr="00503F5B">
              <w:rPr>
                <w:sz w:val="20"/>
                <w:szCs w:val="20"/>
                <w:lang w:val="en-AU"/>
              </w:rPr>
              <w:t>-11.08%</w:t>
            </w:r>
          </w:p>
        </w:tc>
      </w:tr>
      <w:tr w:rsidR="00E04C6D" w:rsidRPr="00503F5B" w14:paraId="0083601A" w14:textId="77777777" w:rsidTr="005424B0">
        <w:trPr>
          <w:trHeight w:val="81"/>
        </w:trPr>
        <w:tc>
          <w:tcPr>
            <w:tcW w:w="993" w:type="dxa"/>
            <w:noWrap/>
            <w:hideMark/>
          </w:tcPr>
          <w:p w14:paraId="6CAF2ED8" w14:textId="77777777" w:rsidR="00E04C6D" w:rsidRPr="00503F5B" w:rsidRDefault="00E04C6D" w:rsidP="00E04C6D">
            <w:pPr>
              <w:rPr>
                <w:sz w:val="20"/>
                <w:szCs w:val="20"/>
                <w:lang w:val="en-AU"/>
              </w:rPr>
            </w:pPr>
            <w:r w:rsidRPr="00503F5B">
              <w:rPr>
                <w:sz w:val="20"/>
                <w:szCs w:val="20"/>
                <w:lang w:val="en-AU"/>
              </w:rPr>
              <w:t>2010-11</w:t>
            </w:r>
          </w:p>
        </w:tc>
        <w:tc>
          <w:tcPr>
            <w:tcW w:w="1559" w:type="dxa"/>
            <w:noWrap/>
            <w:hideMark/>
          </w:tcPr>
          <w:p w14:paraId="17A4FEDF" w14:textId="77777777" w:rsidR="00E04C6D" w:rsidRPr="00503F5B" w:rsidRDefault="00E04C6D" w:rsidP="00E04C6D">
            <w:pPr>
              <w:jc w:val="right"/>
              <w:rPr>
                <w:sz w:val="20"/>
                <w:szCs w:val="20"/>
                <w:lang w:val="en-AU"/>
              </w:rPr>
            </w:pPr>
            <w:r w:rsidRPr="00503F5B">
              <w:rPr>
                <w:sz w:val="20"/>
                <w:szCs w:val="20"/>
                <w:lang w:val="en-AU"/>
              </w:rPr>
              <w:t>$6,259,000</w:t>
            </w:r>
          </w:p>
        </w:tc>
        <w:tc>
          <w:tcPr>
            <w:tcW w:w="846" w:type="dxa"/>
            <w:noWrap/>
            <w:hideMark/>
          </w:tcPr>
          <w:p w14:paraId="2FD261CB" w14:textId="77777777" w:rsidR="00E04C6D" w:rsidRPr="00503F5B" w:rsidRDefault="00E04C6D" w:rsidP="00E04C6D">
            <w:pPr>
              <w:jc w:val="right"/>
              <w:rPr>
                <w:sz w:val="20"/>
                <w:szCs w:val="20"/>
                <w:lang w:val="en-AU"/>
              </w:rPr>
            </w:pPr>
            <w:r w:rsidRPr="00503F5B">
              <w:rPr>
                <w:sz w:val="20"/>
                <w:szCs w:val="20"/>
                <w:lang w:val="en-AU"/>
              </w:rPr>
              <w:t>$11.95</w:t>
            </w:r>
          </w:p>
        </w:tc>
        <w:tc>
          <w:tcPr>
            <w:tcW w:w="714" w:type="dxa"/>
            <w:noWrap/>
            <w:hideMark/>
          </w:tcPr>
          <w:p w14:paraId="34FE65BD" w14:textId="77777777" w:rsidR="00E04C6D" w:rsidRPr="00503F5B" w:rsidRDefault="00E04C6D" w:rsidP="00E04C6D">
            <w:pPr>
              <w:jc w:val="right"/>
              <w:rPr>
                <w:sz w:val="20"/>
                <w:szCs w:val="20"/>
                <w:lang w:val="en-AU"/>
              </w:rPr>
            </w:pPr>
            <w:r w:rsidRPr="00503F5B">
              <w:rPr>
                <w:sz w:val="20"/>
                <w:szCs w:val="20"/>
                <w:lang w:val="en-AU"/>
              </w:rPr>
              <w:t>39.06</w:t>
            </w:r>
          </w:p>
        </w:tc>
        <w:tc>
          <w:tcPr>
            <w:tcW w:w="992" w:type="dxa"/>
            <w:noWrap/>
            <w:hideMark/>
          </w:tcPr>
          <w:p w14:paraId="1E91D7F5" w14:textId="77777777" w:rsidR="00E04C6D" w:rsidRPr="00503F5B" w:rsidRDefault="00E04C6D" w:rsidP="00E04C6D">
            <w:pPr>
              <w:jc w:val="right"/>
              <w:rPr>
                <w:sz w:val="20"/>
                <w:szCs w:val="20"/>
                <w:lang w:val="en-AU"/>
              </w:rPr>
            </w:pPr>
            <w:r w:rsidRPr="00503F5B">
              <w:rPr>
                <w:sz w:val="20"/>
                <w:szCs w:val="20"/>
                <w:lang w:val="en-AU"/>
              </w:rPr>
              <w:t>$466.77</w:t>
            </w:r>
          </w:p>
        </w:tc>
        <w:tc>
          <w:tcPr>
            <w:tcW w:w="1276" w:type="dxa"/>
            <w:noWrap/>
            <w:hideMark/>
          </w:tcPr>
          <w:p w14:paraId="5C1692BE" w14:textId="77777777" w:rsidR="00E04C6D" w:rsidRPr="00503F5B" w:rsidRDefault="00E04C6D" w:rsidP="00E04C6D">
            <w:pPr>
              <w:jc w:val="right"/>
              <w:rPr>
                <w:b/>
                <w:bCs/>
                <w:sz w:val="20"/>
                <w:szCs w:val="20"/>
                <w:lang w:val="en-AU"/>
              </w:rPr>
            </w:pPr>
            <w:r w:rsidRPr="00503F5B">
              <w:rPr>
                <w:b/>
                <w:bCs/>
                <w:sz w:val="20"/>
                <w:szCs w:val="20"/>
                <w:lang w:val="en-AU"/>
              </w:rPr>
              <w:t xml:space="preserve"> 13,409 </w:t>
            </w:r>
          </w:p>
        </w:tc>
        <w:tc>
          <w:tcPr>
            <w:tcW w:w="1696" w:type="dxa"/>
            <w:noWrap/>
            <w:hideMark/>
          </w:tcPr>
          <w:p w14:paraId="69085A76" w14:textId="77777777" w:rsidR="00E04C6D" w:rsidRPr="00503F5B" w:rsidRDefault="00E04C6D" w:rsidP="00E04C6D">
            <w:pPr>
              <w:jc w:val="right"/>
              <w:rPr>
                <w:sz w:val="20"/>
                <w:szCs w:val="20"/>
                <w:lang w:val="en-AU"/>
              </w:rPr>
            </w:pPr>
            <w:r w:rsidRPr="00503F5B">
              <w:rPr>
                <w:sz w:val="20"/>
                <w:szCs w:val="20"/>
                <w:lang w:val="en-AU"/>
              </w:rPr>
              <w:t>14.81%</w:t>
            </w:r>
          </w:p>
        </w:tc>
      </w:tr>
      <w:tr w:rsidR="00E04C6D" w:rsidRPr="00503F5B" w14:paraId="6CC725FD" w14:textId="77777777" w:rsidTr="005424B0">
        <w:trPr>
          <w:trHeight w:val="81"/>
        </w:trPr>
        <w:tc>
          <w:tcPr>
            <w:tcW w:w="993" w:type="dxa"/>
            <w:noWrap/>
            <w:hideMark/>
          </w:tcPr>
          <w:p w14:paraId="4B0A62E4" w14:textId="77777777" w:rsidR="00E04C6D" w:rsidRPr="00503F5B" w:rsidRDefault="00E04C6D" w:rsidP="00E04C6D">
            <w:pPr>
              <w:rPr>
                <w:sz w:val="20"/>
                <w:szCs w:val="20"/>
                <w:lang w:val="en-AU"/>
              </w:rPr>
            </w:pPr>
            <w:r w:rsidRPr="00503F5B">
              <w:rPr>
                <w:sz w:val="20"/>
                <w:szCs w:val="20"/>
                <w:lang w:val="en-AU"/>
              </w:rPr>
              <w:t>2011-12</w:t>
            </w:r>
          </w:p>
        </w:tc>
        <w:tc>
          <w:tcPr>
            <w:tcW w:w="1559" w:type="dxa"/>
            <w:noWrap/>
            <w:hideMark/>
          </w:tcPr>
          <w:p w14:paraId="6880AD6D" w14:textId="77777777" w:rsidR="00E04C6D" w:rsidRPr="00503F5B" w:rsidRDefault="00E04C6D" w:rsidP="00E04C6D">
            <w:pPr>
              <w:jc w:val="right"/>
              <w:rPr>
                <w:sz w:val="20"/>
                <w:szCs w:val="20"/>
                <w:lang w:val="en-AU"/>
              </w:rPr>
            </w:pPr>
            <w:r w:rsidRPr="00503F5B">
              <w:rPr>
                <w:sz w:val="20"/>
                <w:szCs w:val="20"/>
                <w:lang w:val="en-AU"/>
              </w:rPr>
              <w:t>$6,695,000</w:t>
            </w:r>
          </w:p>
        </w:tc>
        <w:tc>
          <w:tcPr>
            <w:tcW w:w="846" w:type="dxa"/>
            <w:noWrap/>
            <w:hideMark/>
          </w:tcPr>
          <w:p w14:paraId="2B8A29C8" w14:textId="77777777" w:rsidR="00E04C6D" w:rsidRPr="00503F5B" w:rsidRDefault="00E04C6D" w:rsidP="00E04C6D">
            <w:pPr>
              <w:jc w:val="right"/>
              <w:rPr>
                <w:sz w:val="20"/>
                <w:szCs w:val="20"/>
                <w:lang w:val="en-AU"/>
              </w:rPr>
            </w:pPr>
            <w:r w:rsidRPr="00503F5B">
              <w:rPr>
                <w:sz w:val="20"/>
                <w:szCs w:val="20"/>
                <w:lang w:val="en-AU"/>
              </w:rPr>
              <w:t>$12.22</w:t>
            </w:r>
          </w:p>
        </w:tc>
        <w:tc>
          <w:tcPr>
            <w:tcW w:w="714" w:type="dxa"/>
            <w:noWrap/>
            <w:hideMark/>
          </w:tcPr>
          <w:p w14:paraId="6E71A8CF" w14:textId="77777777" w:rsidR="00E04C6D" w:rsidRPr="00503F5B" w:rsidRDefault="00E04C6D" w:rsidP="00E04C6D">
            <w:pPr>
              <w:jc w:val="right"/>
              <w:rPr>
                <w:sz w:val="20"/>
                <w:szCs w:val="20"/>
                <w:lang w:val="en-AU"/>
              </w:rPr>
            </w:pPr>
            <w:r w:rsidRPr="00503F5B">
              <w:rPr>
                <w:sz w:val="20"/>
                <w:szCs w:val="20"/>
                <w:lang w:val="en-AU"/>
              </w:rPr>
              <w:t>39.06</w:t>
            </w:r>
          </w:p>
        </w:tc>
        <w:tc>
          <w:tcPr>
            <w:tcW w:w="992" w:type="dxa"/>
            <w:noWrap/>
            <w:hideMark/>
          </w:tcPr>
          <w:p w14:paraId="1965EE29" w14:textId="77777777" w:rsidR="00E04C6D" w:rsidRPr="00503F5B" w:rsidRDefault="00E04C6D" w:rsidP="00E04C6D">
            <w:pPr>
              <w:jc w:val="right"/>
              <w:rPr>
                <w:sz w:val="20"/>
                <w:szCs w:val="20"/>
                <w:lang w:val="en-AU"/>
              </w:rPr>
            </w:pPr>
            <w:r w:rsidRPr="00503F5B">
              <w:rPr>
                <w:sz w:val="20"/>
                <w:szCs w:val="20"/>
                <w:lang w:val="en-AU"/>
              </w:rPr>
              <w:t>$477.31</w:t>
            </w:r>
          </w:p>
        </w:tc>
        <w:tc>
          <w:tcPr>
            <w:tcW w:w="1276" w:type="dxa"/>
            <w:noWrap/>
            <w:hideMark/>
          </w:tcPr>
          <w:p w14:paraId="766E502A" w14:textId="77777777" w:rsidR="00E04C6D" w:rsidRPr="00503F5B" w:rsidRDefault="00E04C6D" w:rsidP="00E04C6D">
            <w:pPr>
              <w:jc w:val="right"/>
              <w:rPr>
                <w:b/>
                <w:bCs/>
                <w:sz w:val="20"/>
                <w:szCs w:val="20"/>
                <w:lang w:val="en-AU"/>
              </w:rPr>
            </w:pPr>
            <w:r w:rsidRPr="00503F5B">
              <w:rPr>
                <w:b/>
                <w:bCs/>
                <w:sz w:val="20"/>
                <w:szCs w:val="20"/>
                <w:lang w:val="en-AU"/>
              </w:rPr>
              <w:t xml:space="preserve"> 14,026 </w:t>
            </w:r>
          </w:p>
        </w:tc>
        <w:tc>
          <w:tcPr>
            <w:tcW w:w="1696" w:type="dxa"/>
            <w:noWrap/>
            <w:hideMark/>
          </w:tcPr>
          <w:p w14:paraId="01066115" w14:textId="77777777" w:rsidR="00E04C6D" w:rsidRPr="00503F5B" w:rsidRDefault="00E04C6D" w:rsidP="00E04C6D">
            <w:pPr>
              <w:jc w:val="right"/>
              <w:rPr>
                <w:sz w:val="20"/>
                <w:szCs w:val="20"/>
                <w:lang w:val="en-AU"/>
              </w:rPr>
            </w:pPr>
            <w:r w:rsidRPr="00503F5B">
              <w:rPr>
                <w:sz w:val="20"/>
                <w:szCs w:val="20"/>
                <w:lang w:val="en-AU"/>
              </w:rPr>
              <w:t>4.60%</w:t>
            </w:r>
          </w:p>
        </w:tc>
      </w:tr>
      <w:tr w:rsidR="00E04C6D" w:rsidRPr="00503F5B" w14:paraId="7DB3587A" w14:textId="77777777" w:rsidTr="005424B0">
        <w:trPr>
          <w:trHeight w:val="81"/>
        </w:trPr>
        <w:tc>
          <w:tcPr>
            <w:tcW w:w="993" w:type="dxa"/>
            <w:noWrap/>
            <w:hideMark/>
          </w:tcPr>
          <w:p w14:paraId="2F094011" w14:textId="77777777" w:rsidR="00E04C6D" w:rsidRPr="00503F5B" w:rsidRDefault="00E04C6D" w:rsidP="00E04C6D">
            <w:pPr>
              <w:rPr>
                <w:sz w:val="20"/>
                <w:szCs w:val="20"/>
                <w:lang w:val="en-AU"/>
              </w:rPr>
            </w:pPr>
            <w:r w:rsidRPr="00503F5B">
              <w:rPr>
                <w:sz w:val="20"/>
                <w:szCs w:val="20"/>
                <w:lang w:val="en-AU"/>
              </w:rPr>
              <w:t>2012-13</w:t>
            </w:r>
          </w:p>
        </w:tc>
        <w:tc>
          <w:tcPr>
            <w:tcW w:w="1559" w:type="dxa"/>
            <w:noWrap/>
            <w:hideMark/>
          </w:tcPr>
          <w:p w14:paraId="10EB9370" w14:textId="77777777" w:rsidR="00E04C6D" w:rsidRPr="00503F5B" w:rsidRDefault="00E04C6D" w:rsidP="00E04C6D">
            <w:pPr>
              <w:jc w:val="right"/>
              <w:rPr>
                <w:sz w:val="20"/>
                <w:szCs w:val="20"/>
                <w:lang w:val="en-AU"/>
              </w:rPr>
            </w:pPr>
            <w:r w:rsidRPr="00503F5B">
              <w:rPr>
                <w:sz w:val="20"/>
                <w:szCs w:val="20"/>
                <w:lang w:val="en-AU"/>
              </w:rPr>
              <w:t>$5,669,000</w:t>
            </w:r>
          </w:p>
        </w:tc>
        <w:tc>
          <w:tcPr>
            <w:tcW w:w="846" w:type="dxa"/>
            <w:noWrap/>
            <w:hideMark/>
          </w:tcPr>
          <w:p w14:paraId="3883D933" w14:textId="77777777" w:rsidR="00E04C6D" w:rsidRPr="00503F5B" w:rsidRDefault="00E04C6D" w:rsidP="00E04C6D">
            <w:pPr>
              <w:jc w:val="right"/>
              <w:rPr>
                <w:sz w:val="20"/>
                <w:szCs w:val="20"/>
                <w:lang w:val="en-AU"/>
              </w:rPr>
            </w:pPr>
            <w:r w:rsidRPr="00503F5B">
              <w:rPr>
                <w:sz w:val="20"/>
                <w:szCs w:val="20"/>
                <w:lang w:val="en-AU"/>
              </w:rPr>
              <w:t>$12.53</w:t>
            </w:r>
          </w:p>
        </w:tc>
        <w:tc>
          <w:tcPr>
            <w:tcW w:w="714" w:type="dxa"/>
            <w:noWrap/>
            <w:hideMark/>
          </w:tcPr>
          <w:p w14:paraId="35304522" w14:textId="77777777" w:rsidR="00E04C6D" w:rsidRPr="00503F5B" w:rsidRDefault="00E04C6D" w:rsidP="00E04C6D">
            <w:pPr>
              <w:jc w:val="right"/>
              <w:rPr>
                <w:sz w:val="20"/>
                <w:szCs w:val="20"/>
                <w:lang w:val="en-AU"/>
              </w:rPr>
            </w:pPr>
            <w:r w:rsidRPr="00503F5B">
              <w:rPr>
                <w:sz w:val="20"/>
                <w:szCs w:val="20"/>
                <w:lang w:val="en-AU"/>
              </w:rPr>
              <w:t>39.06</w:t>
            </w:r>
          </w:p>
        </w:tc>
        <w:tc>
          <w:tcPr>
            <w:tcW w:w="992" w:type="dxa"/>
            <w:noWrap/>
            <w:hideMark/>
          </w:tcPr>
          <w:p w14:paraId="17D8E765" w14:textId="77777777" w:rsidR="00E04C6D" w:rsidRPr="00503F5B" w:rsidRDefault="00E04C6D" w:rsidP="00E04C6D">
            <w:pPr>
              <w:jc w:val="right"/>
              <w:rPr>
                <w:sz w:val="20"/>
                <w:szCs w:val="20"/>
                <w:lang w:val="en-AU"/>
              </w:rPr>
            </w:pPr>
            <w:r w:rsidRPr="00503F5B">
              <w:rPr>
                <w:sz w:val="20"/>
                <w:szCs w:val="20"/>
                <w:lang w:val="en-AU"/>
              </w:rPr>
              <w:t>$489.42</w:t>
            </w:r>
          </w:p>
        </w:tc>
        <w:tc>
          <w:tcPr>
            <w:tcW w:w="1276" w:type="dxa"/>
            <w:noWrap/>
            <w:hideMark/>
          </w:tcPr>
          <w:p w14:paraId="7731D073" w14:textId="77777777" w:rsidR="00E04C6D" w:rsidRPr="00503F5B" w:rsidRDefault="00E04C6D" w:rsidP="00E04C6D">
            <w:pPr>
              <w:jc w:val="right"/>
              <w:rPr>
                <w:b/>
                <w:bCs/>
                <w:sz w:val="20"/>
                <w:szCs w:val="20"/>
                <w:lang w:val="en-AU"/>
              </w:rPr>
            </w:pPr>
            <w:r w:rsidRPr="00503F5B">
              <w:rPr>
                <w:b/>
                <w:bCs/>
                <w:sz w:val="20"/>
                <w:szCs w:val="20"/>
                <w:lang w:val="en-AU"/>
              </w:rPr>
              <w:t xml:space="preserve"> 11,583 </w:t>
            </w:r>
          </w:p>
        </w:tc>
        <w:tc>
          <w:tcPr>
            <w:tcW w:w="1696" w:type="dxa"/>
            <w:noWrap/>
            <w:hideMark/>
          </w:tcPr>
          <w:p w14:paraId="4D16C5E9" w14:textId="77777777" w:rsidR="00E04C6D" w:rsidRPr="00503F5B" w:rsidRDefault="00E04C6D" w:rsidP="00E04C6D">
            <w:pPr>
              <w:jc w:val="right"/>
              <w:rPr>
                <w:sz w:val="20"/>
                <w:szCs w:val="20"/>
                <w:lang w:val="en-AU"/>
              </w:rPr>
            </w:pPr>
            <w:r w:rsidRPr="00503F5B">
              <w:rPr>
                <w:sz w:val="20"/>
                <w:szCs w:val="20"/>
                <w:lang w:val="en-AU"/>
              </w:rPr>
              <w:t>-17.42%</w:t>
            </w:r>
          </w:p>
        </w:tc>
      </w:tr>
      <w:tr w:rsidR="00E04C6D" w:rsidRPr="00503F5B" w14:paraId="4CBD8FA1" w14:textId="77777777" w:rsidTr="005424B0">
        <w:trPr>
          <w:trHeight w:val="81"/>
        </w:trPr>
        <w:tc>
          <w:tcPr>
            <w:tcW w:w="993" w:type="dxa"/>
            <w:noWrap/>
            <w:hideMark/>
          </w:tcPr>
          <w:p w14:paraId="6456428B" w14:textId="77777777" w:rsidR="00E04C6D" w:rsidRPr="00503F5B" w:rsidRDefault="00E04C6D" w:rsidP="00E04C6D">
            <w:pPr>
              <w:rPr>
                <w:sz w:val="20"/>
                <w:szCs w:val="20"/>
                <w:lang w:val="en-AU"/>
              </w:rPr>
            </w:pPr>
            <w:r w:rsidRPr="00503F5B">
              <w:rPr>
                <w:sz w:val="20"/>
                <w:szCs w:val="20"/>
                <w:lang w:val="en-AU"/>
              </w:rPr>
              <w:t>2013-14</w:t>
            </w:r>
          </w:p>
        </w:tc>
        <w:tc>
          <w:tcPr>
            <w:tcW w:w="1559" w:type="dxa"/>
            <w:noWrap/>
            <w:hideMark/>
          </w:tcPr>
          <w:p w14:paraId="5C43C302" w14:textId="77777777" w:rsidR="00E04C6D" w:rsidRPr="00503F5B" w:rsidRDefault="00E04C6D" w:rsidP="00E04C6D">
            <w:pPr>
              <w:jc w:val="right"/>
              <w:rPr>
                <w:sz w:val="20"/>
                <w:szCs w:val="20"/>
                <w:lang w:val="en-AU"/>
              </w:rPr>
            </w:pPr>
            <w:r w:rsidRPr="00503F5B">
              <w:rPr>
                <w:sz w:val="20"/>
                <w:szCs w:val="20"/>
                <w:lang w:val="en-AU"/>
              </w:rPr>
              <w:t>$6,509,000</w:t>
            </w:r>
          </w:p>
        </w:tc>
        <w:tc>
          <w:tcPr>
            <w:tcW w:w="846" w:type="dxa"/>
            <w:noWrap/>
            <w:hideMark/>
          </w:tcPr>
          <w:p w14:paraId="2E9D0EE0" w14:textId="77777777" w:rsidR="00E04C6D" w:rsidRPr="00503F5B" w:rsidRDefault="00E04C6D" w:rsidP="00E04C6D">
            <w:pPr>
              <w:jc w:val="right"/>
              <w:rPr>
                <w:sz w:val="20"/>
                <w:szCs w:val="20"/>
                <w:lang w:val="en-AU"/>
              </w:rPr>
            </w:pPr>
            <w:r w:rsidRPr="00503F5B">
              <w:rPr>
                <w:sz w:val="20"/>
                <w:szCs w:val="20"/>
                <w:lang w:val="en-AU"/>
              </w:rPr>
              <w:t>$12.84</w:t>
            </w:r>
          </w:p>
        </w:tc>
        <w:tc>
          <w:tcPr>
            <w:tcW w:w="714" w:type="dxa"/>
            <w:noWrap/>
            <w:hideMark/>
          </w:tcPr>
          <w:p w14:paraId="5A507779" w14:textId="77777777" w:rsidR="00E04C6D" w:rsidRPr="00503F5B" w:rsidRDefault="00E04C6D" w:rsidP="00E04C6D">
            <w:pPr>
              <w:jc w:val="right"/>
              <w:rPr>
                <w:sz w:val="20"/>
                <w:szCs w:val="20"/>
                <w:lang w:val="en-AU"/>
              </w:rPr>
            </w:pPr>
            <w:r w:rsidRPr="00503F5B">
              <w:rPr>
                <w:sz w:val="20"/>
                <w:szCs w:val="20"/>
                <w:lang w:val="en-AU"/>
              </w:rPr>
              <w:t>39.06</w:t>
            </w:r>
          </w:p>
        </w:tc>
        <w:tc>
          <w:tcPr>
            <w:tcW w:w="992" w:type="dxa"/>
            <w:noWrap/>
            <w:hideMark/>
          </w:tcPr>
          <w:p w14:paraId="5C043D77" w14:textId="77777777" w:rsidR="00E04C6D" w:rsidRPr="00503F5B" w:rsidRDefault="00E04C6D" w:rsidP="00E04C6D">
            <w:pPr>
              <w:jc w:val="right"/>
              <w:rPr>
                <w:sz w:val="20"/>
                <w:szCs w:val="20"/>
                <w:lang w:val="en-AU"/>
              </w:rPr>
            </w:pPr>
            <w:r w:rsidRPr="00503F5B">
              <w:rPr>
                <w:sz w:val="20"/>
                <w:szCs w:val="20"/>
                <w:lang w:val="en-AU"/>
              </w:rPr>
              <w:t>$501.53</w:t>
            </w:r>
          </w:p>
        </w:tc>
        <w:tc>
          <w:tcPr>
            <w:tcW w:w="1276" w:type="dxa"/>
            <w:noWrap/>
            <w:hideMark/>
          </w:tcPr>
          <w:p w14:paraId="29B6D646" w14:textId="77777777" w:rsidR="00E04C6D" w:rsidRPr="00503F5B" w:rsidRDefault="00E04C6D" w:rsidP="00E04C6D">
            <w:pPr>
              <w:jc w:val="right"/>
              <w:rPr>
                <w:b/>
                <w:bCs/>
                <w:sz w:val="20"/>
                <w:szCs w:val="20"/>
                <w:lang w:val="en-AU"/>
              </w:rPr>
            </w:pPr>
            <w:r w:rsidRPr="00503F5B">
              <w:rPr>
                <w:b/>
                <w:bCs/>
                <w:sz w:val="20"/>
                <w:szCs w:val="20"/>
                <w:lang w:val="en-AU"/>
              </w:rPr>
              <w:t xml:space="preserve"> 12,978 </w:t>
            </w:r>
          </w:p>
        </w:tc>
        <w:tc>
          <w:tcPr>
            <w:tcW w:w="1696" w:type="dxa"/>
            <w:noWrap/>
            <w:hideMark/>
          </w:tcPr>
          <w:p w14:paraId="6646FF50" w14:textId="77777777" w:rsidR="00E04C6D" w:rsidRPr="00503F5B" w:rsidRDefault="00E04C6D" w:rsidP="00E04C6D">
            <w:pPr>
              <w:jc w:val="right"/>
              <w:rPr>
                <w:sz w:val="20"/>
                <w:szCs w:val="20"/>
                <w:lang w:val="en-AU"/>
              </w:rPr>
            </w:pPr>
            <w:r w:rsidRPr="00503F5B">
              <w:rPr>
                <w:sz w:val="20"/>
                <w:szCs w:val="20"/>
                <w:lang w:val="en-AU"/>
              </w:rPr>
              <w:t>12.05%</w:t>
            </w:r>
          </w:p>
        </w:tc>
      </w:tr>
      <w:tr w:rsidR="00E04C6D" w:rsidRPr="00503F5B" w14:paraId="039AA83A" w14:textId="77777777" w:rsidTr="005424B0">
        <w:trPr>
          <w:trHeight w:val="81"/>
        </w:trPr>
        <w:tc>
          <w:tcPr>
            <w:tcW w:w="993" w:type="dxa"/>
            <w:noWrap/>
            <w:hideMark/>
          </w:tcPr>
          <w:p w14:paraId="1F3BFF16" w14:textId="77777777" w:rsidR="00E04C6D" w:rsidRPr="00503F5B" w:rsidRDefault="00E04C6D" w:rsidP="00E04C6D">
            <w:pPr>
              <w:rPr>
                <w:sz w:val="20"/>
                <w:szCs w:val="20"/>
                <w:lang w:val="en-AU"/>
              </w:rPr>
            </w:pPr>
            <w:r w:rsidRPr="00503F5B">
              <w:rPr>
                <w:sz w:val="20"/>
                <w:szCs w:val="20"/>
                <w:lang w:val="en-AU"/>
              </w:rPr>
              <w:t>2014-15</w:t>
            </w:r>
          </w:p>
        </w:tc>
        <w:tc>
          <w:tcPr>
            <w:tcW w:w="1559" w:type="dxa"/>
            <w:noWrap/>
            <w:hideMark/>
          </w:tcPr>
          <w:p w14:paraId="5BB5C289" w14:textId="77777777" w:rsidR="00E04C6D" w:rsidRPr="00503F5B" w:rsidRDefault="00E04C6D" w:rsidP="00E04C6D">
            <w:pPr>
              <w:jc w:val="right"/>
              <w:rPr>
                <w:sz w:val="20"/>
                <w:szCs w:val="20"/>
                <w:lang w:val="en-AU"/>
              </w:rPr>
            </w:pPr>
            <w:r w:rsidRPr="00503F5B">
              <w:rPr>
                <w:sz w:val="20"/>
                <w:szCs w:val="20"/>
                <w:lang w:val="en-AU"/>
              </w:rPr>
              <w:t>$8,423,000</w:t>
            </w:r>
          </w:p>
        </w:tc>
        <w:tc>
          <w:tcPr>
            <w:tcW w:w="846" w:type="dxa"/>
            <w:noWrap/>
            <w:hideMark/>
          </w:tcPr>
          <w:p w14:paraId="66F4EFE9" w14:textId="77777777" w:rsidR="00E04C6D" w:rsidRPr="00503F5B" w:rsidRDefault="00E04C6D" w:rsidP="00E04C6D">
            <w:pPr>
              <w:jc w:val="right"/>
              <w:rPr>
                <w:sz w:val="20"/>
                <w:szCs w:val="20"/>
                <w:lang w:val="en-AU"/>
              </w:rPr>
            </w:pPr>
            <w:r w:rsidRPr="00503F5B">
              <w:rPr>
                <w:sz w:val="20"/>
                <w:szCs w:val="20"/>
                <w:lang w:val="en-AU"/>
              </w:rPr>
              <w:t>$13.24</w:t>
            </w:r>
          </w:p>
        </w:tc>
        <w:tc>
          <w:tcPr>
            <w:tcW w:w="714" w:type="dxa"/>
            <w:noWrap/>
            <w:hideMark/>
          </w:tcPr>
          <w:p w14:paraId="5DA4BE4B" w14:textId="77777777" w:rsidR="00E04C6D" w:rsidRPr="00503F5B" w:rsidRDefault="00E04C6D" w:rsidP="00E04C6D">
            <w:pPr>
              <w:jc w:val="right"/>
              <w:rPr>
                <w:sz w:val="20"/>
                <w:szCs w:val="20"/>
                <w:lang w:val="en-AU"/>
              </w:rPr>
            </w:pPr>
            <w:r w:rsidRPr="00503F5B">
              <w:rPr>
                <w:sz w:val="20"/>
                <w:szCs w:val="20"/>
                <w:lang w:val="en-AU"/>
              </w:rPr>
              <w:t>39.06</w:t>
            </w:r>
          </w:p>
        </w:tc>
        <w:tc>
          <w:tcPr>
            <w:tcW w:w="992" w:type="dxa"/>
            <w:noWrap/>
            <w:hideMark/>
          </w:tcPr>
          <w:p w14:paraId="14253EBB" w14:textId="77777777" w:rsidR="00E04C6D" w:rsidRPr="00503F5B" w:rsidRDefault="00E04C6D" w:rsidP="00E04C6D">
            <w:pPr>
              <w:jc w:val="right"/>
              <w:rPr>
                <w:sz w:val="20"/>
                <w:szCs w:val="20"/>
                <w:lang w:val="en-AU"/>
              </w:rPr>
            </w:pPr>
            <w:r w:rsidRPr="00503F5B">
              <w:rPr>
                <w:sz w:val="20"/>
                <w:szCs w:val="20"/>
                <w:lang w:val="en-AU"/>
              </w:rPr>
              <w:t>$517.15</w:t>
            </w:r>
          </w:p>
        </w:tc>
        <w:tc>
          <w:tcPr>
            <w:tcW w:w="1276" w:type="dxa"/>
            <w:noWrap/>
            <w:hideMark/>
          </w:tcPr>
          <w:p w14:paraId="73E44C98" w14:textId="77777777" w:rsidR="00E04C6D" w:rsidRPr="00503F5B" w:rsidRDefault="00E04C6D" w:rsidP="00E04C6D">
            <w:pPr>
              <w:jc w:val="right"/>
              <w:rPr>
                <w:b/>
                <w:bCs/>
                <w:sz w:val="20"/>
                <w:szCs w:val="20"/>
                <w:lang w:val="en-AU"/>
              </w:rPr>
            </w:pPr>
            <w:r w:rsidRPr="00503F5B">
              <w:rPr>
                <w:b/>
                <w:bCs/>
                <w:sz w:val="20"/>
                <w:szCs w:val="20"/>
                <w:lang w:val="en-AU"/>
              </w:rPr>
              <w:t xml:space="preserve"> 16,287 </w:t>
            </w:r>
          </w:p>
        </w:tc>
        <w:tc>
          <w:tcPr>
            <w:tcW w:w="1696" w:type="dxa"/>
            <w:noWrap/>
            <w:hideMark/>
          </w:tcPr>
          <w:p w14:paraId="185B5A0F" w14:textId="77777777" w:rsidR="00E04C6D" w:rsidRPr="00503F5B" w:rsidRDefault="00E04C6D" w:rsidP="00E04C6D">
            <w:pPr>
              <w:jc w:val="right"/>
              <w:rPr>
                <w:sz w:val="20"/>
                <w:szCs w:val="20"/>
                <w:lang w:val="en-AU"/>
              </w:rPr>
            </w:pPr>
            <w:r w:rsidRPr="00503F5B">
              <w:rPr>
                <w:sz w:val="20"/>
                <w:szCs w:val="20"/>
                <w:lang w:val="en-AU"/>
              </w:rPr>
              <w:t>25.50%</w:t>
            </w:r>
          </w:p>
        </w:tc>
      </w:tr>
      <w:tr w:rsidR="00E04C6D" w:rsidRPr="00503F5B" w14:paraId="66D3D473" w14:textId="77777777" w:rsidTr="005424B0">
        <w:trPr>
          <w:trHeight w:val="81"/>
        </w:trPr>
        <w:tc>
          <w:tcPr>
            <w:tcW w:w="993" w:type="dxa"/>
            <w:noWrap/>
          </w:tcPr>
          <w:p w14:paraId="5F346414" w14:textId="77777777" w:rsidR="00E04C6D" w:rsidRPr="00503F5B" w:rsidRDefault="00E04C6D" w:rsidP="00E04C6D">
            <w:pPr>
              <w:rPr>
                <w:sz w:val="20"/>
                <w:szCs w:val="20"/>
                <w:lang w:val="en-AU"/>
              </w:rPr>
            </w:pPr>
            <w:r w:rsidRPr="00503F5B">
              <w:rPr>
                <w:sz w:val="20"/>
                <w:szCs w:val="20"/>
                <w:lang w:val="en-AU"/>
              </w:rPr>
              <w:t>2015-16</w:t>
            </w:r>
          </w:p>
        </w:tc>
        <w:tc>
          <w:tcPr>
            <w:tcW w:w="1559" w:type="dxa"/>
            <w:noWrap/>
          </w:tcPr>
          <w:p w14:paraId="77F03724" w14:textId="77777777" w:rsidR="00E04C6D" w:rsidRPr="00503F5B" w:rsidRDefault="00E04C6D" w:rsidP="00E04C6D">
            <w:pPr>
              <w:jc w:val="right"/>
              <w:rPr>
                <w:sz w:val="20"/>
                <w:szCs w:val="20"/>
                <w:lang w:val="en-AU"/>
              </w:rPr>
            </w:pPr>
            <w:r w:rsidRPr="00503F5B">
              <w:rPr>
                <w:sz w:val="20"/>
                <w:szCs w:val="20"/>
                <w:lang w:val="en-AU"/>
              </w:rPr>
              <w:t>$8,500,000</w:t>
            </w:r>
            <w:r w:rsidRPr="00503F5B">
              <w:rPr>
                <w:rStyle w:val="FootnoteReference"/>
                <w:sz w:val="20"/>
                <w:szCs w:val="20"/>
                <w:lang w:val="en-AU"/>
              </w:rPr>
              <w:footnoteReference w:id="192"/>
            </w:r>
          </w:p>
        </w:tc>
        <w:tc>
          <w:tcPr>
            <w:tcW w:w="846" w:type="dxa"/>
            <w:noWrap/>
          </w:tcPr>
          <w:p w14:paraId="55806526" w14:textId="77777777" w:rsidR="00E04C6D" w:rsidRPr="00503F5B" w:rsidRDefault="00E04C6D" w:rsidP="00E04C6D">
            <w:pPr>
              <w:jc w:val="right"/>
              <w:rPr>
                <w:sz w:val="20"/>
                <w:szCs w:val="20"/>
                <w:lang w:val="en-AU"/>
              </w:rPr>
            </w:pPr>
            <w:r w:rsidRPr="00503F5B">
              <w:rPr>
                <w:sz w:val="20"/>
                <w:szCs w:val="20"/>
                <w:lang w:val="en-AU"/>
              </w:rPr>
              <w:t>$13.60</w:t>
            </w:r>
          </w:p>
        </w:tc>
        <w:tc>
          <w:tcPr>
            <w:tcW w:w="714" w:type="dxa"/>
            <w:noWrap/>
          </w:tcPr>
          <w:p w14:paraId="39B5536C" w14:textId="77777777" w:rsidR="00E04C6D" w:rsidRPr="00503F5B" w:rsidRDefault="00E04C6D" w:rsidP="00E04C6D">
            <w:pPr>
              <w:jc w:val="right"/>
              <w:rPr>
                <w:sz w:val="20"/>
                <w:szCs w:val="20"/>
                <w:lang w:val="en-AU"/>
              </w:rPr>
            </w:pPr>
            <w:r w:rsidRPr="00503F5B">
              <w:rPr>
                <w:sz w:val="20"/>
                <w:szCs w:val="20"/>
                <w:lang w:val="en-AU"/>
              </w:rPr>
              <w:t>39.06</w:t>
            </w:r>
          </w:p>
        </w:tc>
        <w:tc>
          <w:tcPr>
            <w:tcW w:w="992" w:type="dxa"/>
            <w:noWrap/>
          </w:tcPr>
          <w:p w14:paraId="7C4E304B" w14:textId="77777777" w:rsidR="00E04C6D" w:rsidRPr="00503F5B" w:rsidRDefault="00E04C6D" w:rsidP="00E04C6D">
            <w:pPr>
              <w:jc w:val="right"/>
              <w:rPr>
                <w:sz w:val="20"/>
                <w:szCs w:val="20"/>
                <w:lang w:val="en-AU"/>
              </w:rPr>
            </w:pPr>
            <w:r w:rsidRPr="00503F5B">
              <w:rPr>
                <w:sz w:val="20"/>
                <w:szCs w:val="20"/>
                <w:lang w:val="en-AU"/>
              </w:rPr>
              <w:t>$531.22</w:t>
            </w:r>
          </w:p>
        </w:tc>
        <w:tc>
          <w:tcPr>
            <w:tcW w:w="1276" w:type="dxa"/>
            <w:noWrap/>
          </w:tcPr>
          <w:p w14:paraId="5E9FBA2F" w14:textId="77777777" w:rsidR="00E04C6D" w:rsidRPr="00503F5B" w:rsidRDefault="00E04C6D" w:rsidP="00E04C6D">
            <w:pPr>
              <w:jc w:val="right"/>
              <w:rPr>
                <w:b/>
                <w:bCs/>
                <w:sz w:val="20"/>
                <w:szCs w:val="20"/>
                <w:lang w:val="en-AU"/>
              </w:rPr>
            </w:pPr>
            <w:r w:rsidRPr="00503F5B">
              <w:rPr>
                <w:b/>
                <w:bCs/>
                <w:sz w:val="20"/>
                <w:szCs w:val="20"/>
                <w:lang w:val="en-AU"/>
              </w:rPr>
              <w:t xml:space="preserve"> 16,001 </w:t>
            </w:r>
          </w:p>
        </w:tc>
        <w:tc>
          <w:tcPr>
            <w:tcW w:w="1696" w:type="dxa"/>
            <w:noWrap/>
          </w:tcPr>
          <w:p w14:paraId="30B6908A" w14:textId="77777777" w:rsidR="00E04C6D" w:rsidRPr="00503F5B" w:rsidRDefault="00E04C6D" w:rsidP="00E04C6D">
            <w:pPr>
              <w:jc w:val="right"/>
              <w:rPr>
                <w:sz w:val="20"/>
                <w:szCs w:val="20"/>
                <w:lang w:val="en-AU"/>
              </w:rPr>
            </w:pPr>
            <w:r w:rsidRPr="00503F5B">
              <w:rPr>
                <w:sz w:val="20"/>
                <w:szCs w:val="20"/>
                <w:lang w:val="en-AU"/>
              </w:rPr>
              <w:t>-1.76%</w:t>
            </w:r>
          </w:p>
        </w:tc>
      </w:tr>
      <w:tr w:rsidR="00E04C6D" w:rsidRPr="00503F5B" w14:paraId="0948E96B" w14:textId="77777777" w:rsidTr="005424B0">
        <w:trPr>
          <w:trHeight w:val="81"/>
        </w:trPr>
        <w:tc>
          <w:tcPr>
            <w:tcW w:w="993" w:type="dxa"/>
            <w:noWrap/>
          </w:tcPr>
          <w:p w14:paraId="678A2335" w14:textId="77777777" w:rsidR="00E04C6D" w:rsidRPr="00503F5B" w:rsidRDefault="00E04C6D" w:rsidP="00E04C6D">
            <w:pPr>
              <w:rPr>
                <w:i/>
                <w:iCs/>
                <w:sz w:val="20"/>
                <w:szCs w:val="20"/>
                <w:lang w:val="en-AU"/>
              </w:rPr>
            </w:pPr>
            <w:r w:rsidRPr="00503F5B">
              <w:rPr>
                <w:i/>
                <w:iCs/>
                <w:sz w:val="20"/>
                <w:szCs w:val="20"/>
                <w:lang w:val="en-AU"/>
              </w:rPr>
              <w:t>2016-17</w:t>
            </w:r>
          </w:p>
        </w:tc>
        <w:tc>
          <w:tcPr>
            <w:tcW w:w="1559" w:type="dxa"/>
            <w:noWrap/>
          </w:tcPr>
          <w:p w14:paraId="39758384" w14:textId="77777777" w:rsidR="00E04C6D" w:rsidRPr="00503F5B" w:rsidRDefault="00E04C6D" w:rsidP="00E04C6D">
            <w:pPr>
              <w:jc w:val="right"/>
              <w:rPr>
                <w:i/>
                <w:iCs/>
                <w:sz w:val="20"/>
                <w:szCs w:val="20"/>
                <w:lang w:val="en-AU"/>
              </w:rPr>
            </w:pPr>
            <w:r w:rsidRPr="00503F5B">
              <w:rPr>
                <w:i/>
                <w:iCs/>
                <w:sz w:val="20"/>
                <w:szCs w:val="20"/>
                <w:lang w:val="en-AU"/>
              </w:rPr>
              <w:t>$9,106,125</w:t>
            </w:r>
            <w:r w:rsidRPr="00503F5B">
              <w:rPr>
                <w:rStyle w:val="FootnoteReference"/>
                <w:i/>
                <w:iCs/>
                <w:sz w:val="20"/>
                <w:szCs w:val="20"/>
                <w:lang w:val="en-AU"/>
              </w:rPr>
              <w:footnoteReference w:id="193"/>
            </w:r>
          </w:p>
        </w:tc>
        <w:tc>
          <w:tcPr>
            <w:tcW w:w="846" w:type="dxa"/>
            <w:noWrap/>
          </w:tcPr>
          <w:p w14:paraId="6C4341EE" w14:textId="77777777" w:rsidR="00E04C6D" w:rsidRPr="00503F5B" w:rsidRDefault="00E04C6D" w:rsidP="00E04C6D">
            <w:pPr>
              <w:jc w:val="right"/>
              <w:rPr>
                <w:i/>
                <w:iCs/>
                <w:sz w:val="20"/>
                <w:szCs w:val="20"/>
                <w:lang w:val="en-AU"/>
              </w:rPr>
            </w:pPr>
            <w:r w:rsidRPr="00503F5B">
              <w:rPr>
                <w:i/>
                <w:iCs/>
                <w:sz w:val="20"/>
                <w:szCs w:val="20"/>
                <w:lang w:val="en-AU"/>
              </w:rPr>
              <w:t xml:space="preserve">$13.94 </w:t>
            </w:r>
          </w:p>
        </w:tc>
        <w:tc>
          <w:tcPr>
            <w:tcW w:w="714" w:type="dxa"/>
            <w:noWrap/>
          </w:tcPr>
          <w:p w14:paraId="6B4545A3" w14:textId="77777777" w:rsidR="00E04C6D" w:rsidRPr="00503F5B" w:rsidRDefault="00E04C6D" w:rsidP="00E04C6D">
            <w:pPr>
              <w:jc w:val="right"/>
              <w:rPr>
                <w:i/>
                <w:iCs/>
                <w:sz w:val="20"/>
                <w:szCs w:val="20"/>
                <w:lang w:val="en-AU"/>
              </w:rPr>
            </w:pPr>
            <w:r w:rsidRPr="00503F5B">
              <w:rPr>
                <w:i/>
                <w:iCs/>
                <w:sz w:val="20"/>
                <w:szCs w:val="20"/>
                <w:lang w:val="en-AU"/>
              </w:rPr>
              <w:t>39.06</w:t>
            </w:r>
          </w:p>
        </w:tc>
        <w:tc>
          <w:tcPr>
            <w:tcW w:w="992" w:type="dxa"/>
            <w:noWrap/>
          </w:tcPr>
          <w:p w14:paraId="5B8D79EC" w14:textId="77777777" w:rsidR="00E04C6D" w:rsidRPr="00503F5B" w:rsidRDefault="00E04C6D" w:rsidP="00E04C6D">
            <w:pPr>
              <w:jc w:val="right"/>
              <w:rPr>
                <w:i/>
                <w:iCs/>
                <w:sz w:val="20"/>
                <w:szCs w:val="20"/>
                <w:lang w:val="en-AU"/>
              </w:rPr>
            </w:pPr>
            <w:r w:rsidRPr="00503F5B">
              <w:rPr>
                <w:i/>
                <w:iCs/>
                <w:sz w:val="20"/>
                <w:szCs w:val="20"/>
                <w:lang w:val="en-AU"/>
              </w:rPr>
              <w:t>$544.50</w:t>
            </w:r>
          </w:p>
        </w:tc>
        <w:tc>
          <w:tcPr>
            <w:tcW w:w="1276" w:type="dxa"/>
            <w:noWrap/>
          </w:tcPr>
          <w:p w14:paraId="5D8B2860" w14:textId="77777777" w:rsidR="00E04C6D" w:rsidRPr="00503F5B" w:rsidRDefault="00E04C6D" w:rsidP="00E04C6D">
            <w:pPr>
              <w:jc w:val="right"/>
              <w:rPr>
                <w:b/>
                <w:bCs/>
                <w:i/>
                <w:iCs/>
                <w:sz w:val="20"/>
                <w:szCs w:val="20"/>
                <w:lang w:val="en-AU"/>
              </w:rPr>
            </w:pPr>
            <w:r w:rsidRPr="00503F5B">
              <w:rPr>
                <w:b/>
                <w:bCs/>
                <w:i/>
                <w:iCs/>
                <w:sz w:val="20"/>
                <w:szCs w:val="20"/>
                <w:lang w:val="en-AU"/>
              </w:rPr>
              <w:t xml:space="preserve"> 16,724 </w:t>
            </w:r>
          </w:p>
        </w:tc>
        <w:tc>
          <w:tcPr>
            <w:tcW w:w="1696" w:type="dxa"/>
            <w:noWrap/>
          </w:tcPr>
          <w:p w14:paraId="3E98DC51" w14:textId="77777777" w:rsidR="00E04C6D" w:rsidRPr="00503F5B" w:rsidRDefault="00E04C6D" w:rsidP="00E04C6D">
            <w:pPr>
              <w:jc w:val="right"/>
              <w:rPr>
                <w:i/>
                <w:iCs/>
                <w:sz w:val="20"/>
                <w:szCs w:val="20"/>
                <w:lang w:val="en-AU"/>
              </w:rPr>
            </w:pPr>
            <w:r w:rsidRPr="00503F5B">
              <w:rPr>
                <w:i/>
                <w:iCs/>
                <w:sz w:val="20"/>
                <w:szCs w:val="20"/>
                <w:lang w:val="en-AU"/>
              </w:rPr>
              <w:t>4.52%</w:t>
            </w:r>
          </w:p>
        </w:tc>
      </w:tr>
      <w:tr w:rsidR="00E04C6D" w:rsidRPr="00503F5B" w14:paraId="5260F3FD" w14:textId="77777777" w:rsidTr="005424B0">
        <w:trPr>
          <w:trHeight w:val="81"/>
        </w:trPr>
        <w:tc>
          <w:tcPr>
            <w:tcW w:w="993" w:type="dxa"/>
            <w:noWrap/>
          </w:tcPr>
          <w:p w14:paraId="4D2F671E" w14:textId="77777777" w:rsidR="00E04C6D" w:rsidRPr="00503F5B" w:rsidRDefault="00E04C6D" w:rsidP="00E04C6D">
            <w:pPr>
              <w:rPr>
                <w:sz w:val="20"/>
                <w:szCs w:val="20"/>
                <w:lang w:val="en-AU"/>
              </w:rPr>
            </w:pPr>
            <w:r w:rsidRPr="00503F5B">
              <w:rPr>
                <w:sz w:val="20"/>
                <w:szCs w:val="20"/>
                <w:lang w:val="en-AU"/>
              </w:rPr>
              <w:t>2017-18</w:t>
            </w:r>
          </w:p>
        </w:tc>
        <w:tc>
          <w:tcPr>
            <w:tcW w:w="1559" w:type="dxa"/>
            <w:noWrap/>
          </w:tcPr>
          <w:p w14:paraId="2E93BB0C" w14:textId="77777777" w:rsidR="00E04C6D" w:rsidRPr="00503F5B" w:rsidRDefault="00E04C6D" w:rsidP="00E04C6D">
            <w:pPr>
              <w:jc w:val="right"/>
              <w:rPr>
                <w:sz w:val="20"/>
                <w:szCs w:val="20"/>
                <w:lang w:val="en-AU"/>
              </w:rPr>
            </w:pPr>
            <w:r w:rsidRPr="00503F5B">
              <w:rPr>
                <w:sz w:val="20"/>
                <w:szCs w:val="20"/>
                <w:lang w:val="en-AU"/>
              </w:rPr>
              <w:t>$11,694,000</w:t>
            </w:r>
          </w:p>
        </w:tc>
        <w:tc>
          <w:tcPr>
            <w:tcW w:w="846" w:type="dxa"/>
            <w:noWrap/>
          </w:tcPr>
          <w:p w14:paraId="747B8A55" w14:textId="77777777" w:rsidR="00E04C6D" w:rsidRPr="00503F5B" w:rsidRDefault="00E04C6D" w:rsidP="00E04C6D">
            <w:pPr>
              <w:jc w:val="right"/>
              <w:rPr>
                <w:sz w:val="20"/>
                <w:szCs w:val="20"/>
                <w:lang w:val="en-AU"/>
              </w:rPr>
            </w:pPr>
            <w:r w:rsidRPr="00503F5B">
              <w:rPr>
                <w:sz w:val="20"/>
                <w:szCs w:val="20"/>
                <w:lang w:val="en-AU"/>
              </w:rPr>
              <w:t xml:space="preserve">$14.30 </w:t>
            </w:r>
          </w:p>
        </w:tc>
        <w:tc>
          <w:tcPr>
            <w:tcW w:w="714" w:type="dxa"/>
            <w:noWrap/>
          </w:tcPr>
          <w:p w14:paraId="4276C9F4" w14:textId="77777777" w:rsidR="00E04C6D" w:rsidRPr="00503F5B" w:rsidRDefault="00E04C6D" w:rsidP="00E04C6D">
            <w:pPr>
              <w:jc w:val="right"/>
              <w:rPr>
                <w:sz w:val="20"/>
                <w:szCs w:val="20"/>
                <w:lang w:val="en-AU"/>
              </w:rPr>
            </w:pPr>
            <w:r w:rsidRPr="00503F5B">
              <w:rPr>
                <w:sz w:val="20"/>
                <w:szCs w:val="20"/>
                <w:lang w:val="en-AU"/>
              </w:rPr>
              <w:t>39.06</w:t>
            </w:r>
          </w:p>
        </w:tc>
        <w:tc>
          <w:tcPr>
            <w:tcW w:w="992" w:type="dxa"/>
            <w:noWrap/>
          </w:tcPr>
          <w:p w14:paraId="622E5ED8" w14:textId="77777777" w:rsidR="00E04C6D" w:rsidRPr="00503F5B" w:rsidRDefault="00E04C6D" w:rsidP="00E04C6D">
            <w:pPr>
              <w:jc w:val="right"/>
              <w:rPr>
                <w:sz w:val="20"/>
                <w:szCs w:val="20"/>
                <w:lang w:val="en-AU"/>
              </w:rPr>
            </w:pPr>
            <w:r w:rsidRPr="00503F5B">
              <w:rPr>
                <w:sz w:val="20"/>
                <w:szCs w:val="20"/>
                <w:lang w:val="en-AU"/>
              </w:rPr>
              <w:t>$558.56</w:t>
            </w:r>
          </w:p>
        </w:tc>
        <w:tc>
          <w:tcPr>
            <w:tcW w:w="1276" w:type="dxa"/>
            <w:noWrap/>
          </w:tcPr>
          <w:p w14:paraId="27F97011" w14:textId="77777777" w:rsidR="00E04C6D" w:rsidRPr="00503F5B" w:rsidRDefault="00E04C6D" w:rsidP="00E04C6D">
            <w:pPr>
              <w:jc w:val="right"/>
              <w:rPr>
                <w:b/>
                <w:bCs/>
                <w:sz w:val="20"/>
                <w:szCs w:val="20"/>
                <w:lang w:val="en-AU"/>
              </w:rPr>
            </w:pPr>
            <w:r w:rsidRPr="00503F5B">
              <w:rPr>
                <w:b/>
                <w:bCs/>
                <w:sz w:val="20"/>
                <w:szCs w:val="20"/>
                <w:lang w:val="en-AU"/>
              </w:rPr>
              <w:t xml:space="preserve"> 20,936 </w:t>
            </w:r>
          </w:p>
        </w:tc>
        <w:tc>
          <w:tcPr>
            <w:tcW w:w="1696" w:type="dxa"/>
            <w:noWrap/>
          </w:tcPr>
          <w:p w14:paraId="274D0FB9" w14:textId="77777777" w:rsidR="00E04C6D" w:rsidRPr="00503F5B" w:rsidRDefault="00E04C6D" w:rsidP="00E04C6D">
            <w:pPr>
              <w:jc w:val="right"/>
              <w:rPr>
                <w:sz w:val="20"/>
                <w:szCs w:val="20"/>
                <w:lang w:val="en-AU"/>
              </w:rPr>
            </w:pPr>
            <w:r w:rsidRPr="00503F5B">
              <w:rPr>
                <w:sz w:val="20"/>
                <w:szCs w:val="20"/>
                <w:lang w:val="en-AU"/>
              </w:rPr>
              <w:t>25.19%</w:t>
            </w:r>
          </w:p>
        </w:tc>
      </w:tr>
      <w:tr w:rsidR="00E04C6D" w:rsidRPr="00503F5B" w14:paraId="38E15CB2" w14:textId="77777777" w:rsidTr="005424B0">
        <w:trPr>
          <w:trHeight w:val="81"/>
        </w:trPr>
        <w:tc>
          <w:tcPr>
            <w:tcW w:w="993" w:type="dxa"/>
            <w:tcBorders>
              <w:bottom w:val="single" w:sz="4" w:space="0" w:color="ED7C5D"/>
            </w:tcBorders>
            <w:noWrap/>
          </w:tcPr>
          <w:p w14:paraId="6C7D0B32" w14:textId="77777777" w:rsidR="00E04C6D" w:rsidRPr="00503F5B" w:rsidRDefault="00E04C6D" w:rsidP="00E04C6D">
            <w:pPr>
              <w:rPr>
                <w:sz w:val="20"/>
                <w:szCs w:val="20"/>
                <w:lang w:val="en-AU"/>
              </w:rPr>
            </w:pPr>
            <w:r w:rsidRPr="00503F5B">
              <w:rPr>
                <w:sz w:val="20"/>
                <w:szCs w:val="20"/>
                <w:lang w:val="en-AU"/>
              </w:rPr>
              <w:t>2018-19</w:t>
            </w:r>
          </w:p>
        </w:tc>
        <w:tc>
          <w:tcPr>
            <w:tcW w:w="1559" w:type="dxa"/>
            <w:tcBorders>
              <w:bottom w:val="single" w:sz="4" w:space="0" w:color="ED7C5D"/>
            </w:tcBorders>
            <w:noWrap/>
          </w:tcPr>
          <w:p w14:paraId="142378A6" w14:textId="77777777" w:rsidR="00E04C6D" w:rsidRPr="00503F5B" w:rsidRDefault="00E04C6D" w:rsidP="00E04C6D">
            <w:pPr>
              <w:jc w:val="right"/>
              <w:rPr>
                <w:sz w:val="20"/>
                <w:szCs w:val="20"/>
                <w:lang w:val="en-AU"/>
              </w:rPr>
            </w:pPr>
            <w:r w:rsidRPr="00503F5B">
              <w:rPr>
                <w:sz w:val="20"/>
                <w:szCs w:val="20"/>
                <w:lang w:val="en-AU"/>
              </w:rPr>
              <w:t>$10,137,000</w:t>
            </w:r>
          </w:p>
        </w:tc>
        <w:tc>
          <w:tcPr>
            <w:tcW w:w="846" w:type="dxa"/>
            <w:tcBorders>
              <w:bottom w:val="single" w:sz="4" w:space="0" w:color="ED7C5D"/>
            </w:tcBorders>
            <w:noWrap/>
          </w:tcPr>
          <w:p w14:paraId="2FD838F8" w14:textId="77777777" w:rsidR="00E04C6D" w:rsidRPr="00503F5B" w:rsidRDefault="00E04C6D" w:rsidP="00E04C6D">
            <w:pPr>
              <w:jc w:val="right"/>
              <w:rPr>
                <w:sz w:val="20"/>
                <w:szCs w:val="20"/>
                <w:lang w:val="en-AU"/>
              </w:rPr>
            </w:pPr>
            <w:r w:rsidRPr="00503F5B">
              <w:rPr>
                <w:sz w:val="20"/>
                <w:szCs w:val="20"/>
                <w:lang w:val="en-AU"/>
              </w:rPr>
              <w:t xml:space="preserve">$14.45 </w:t>
            </w:r>
          </w:p>
        </w:tc>
        <w:tc>
          <w:tcPr>
            <w:tcW w:w="714" w:type="dxa"/>
            <w:tcBorders>
              <w:bottom w:val="single" w:sz="4" w:space="0" w:color="ED7C5D"/>
            </w:tcBorders>
            <w:noWrap/>
          </w:tcPr>
          <w:p w14:paraId="150E5292" w14:textId="77777777" w:rsidR="00E04C6D" w:rsidRPr="00503F5B" w:rsidRDefault="00E04C6D" w:rsidP="00E04C6D">
            <w:pPr>
              <w:jc w:val="right"/>
              <w:rPr>
                <w:sz w:val="20"/>
                <w:szCs w:val="20"/>
                <w:lang w:val="en-AU"/>
              </w:rPr>
            </w:pPr>
            <w:r w:rsidRPr="00503F5B">
              <w:rPr>
                <w:sz w:val="20"/>
                <w:szCs w:val="20"/>
                <w:lang w:val="en-AU"/>
              </w:rPr>
              <w:t>39.06</w:t>
            </w:r>
          </w:p>
        </w:tc>
        <w:tc>
          <w:tcPr>
            <w:tcW w:w="992" w:type="dxa"/>
            <w:tcBorders>
              <w:bottom w:val="single" w:sz="4" w:space="0" w:color="ED7C5D"/>
            </w:tcBorders>
            <w:noWrap/>
          </w:tcPr>
          <w:p w14:paraId="618261A9" w14:textId="77777777" w:rsidR="00E04C6D" w:rsidRPr="00503F5B" w:rsidRDefault="00E04C6D" w:rsidP="00E04C6D">
            <w:pPr>
              <w:jc w:val="right"/>
              <w:rPr>
                <w:sz w:val="20"/>
                <w:szCs w:val="20"/>
                <w:lang w:val="en-AU"/>
              </w:rPr>
            </w:pPr>
            <w:r w:rsidRPr="00503F5B">
              <w:rPr>
                <w:sz w:val="20"/>
                <w:szCs w:val="20"/>
                <w:lang w:val="en-AU"/>
              </w:rPr>
              <w:t>$564.42</w:t>
            </w:r>
          </w:p>
        </w:tc>
        <w:tc>
          <w:tcPr>
            <w:tcW w:w="1276" w:type="dxa"/>
            <w:tcBorders>
              <w:bottom w:val="single" w:sz="4" w:space="0" w:color="ED7C5D"/>
            </w:tcBorders>
            <w:noWrap/>
          </w:tcPr>
          <w:p w14:paraId="61E97A31" w14:textId="77777777" w:rsidR="00E04C6D" w:rsidRPr="00503F5B" w:rsidRDefault="00E04C6D" w:rsidP="00E04C6D">
            <w:pPr>
              <w:jc w:val="right"/>
              <w:rPr>
                <w:b/>
                <w:bCs/>
                <w:sz w:val="20"/>
                <w:szCs w:val="20"/>
                <w:lang w:val="en-AU"/>
              </w:rPr>
            </w:pPr>
            <w:r w:rsidRPr="00503F5B">
              <w:rPr>
                <w:sz w:val="20"/>
                <w:szCs w:val="20"/>
                <w:lang w:val="en-AU"/>
              </w:rPr>
              <w:t xml:space="preserve"> 17,960 </w:t>
            </w:r>
          </w:p>
        </w:tc>
        <w:tc>
          <w:tcPr>
            <w:tcW w:w="1696" w:type="dxa"/>
            <w:tcBorders>
              <w:bottom w:val="single" w:sz="4" w:space="0" w:color="ED7C5D"/>
            </w:tcBorders>
            <w:noWrap/>
          </w:tcPr>
          <w:p w14:paraId="550195EC" w14:textId="77777777" w:rsidR="00E04C6D" w:rsidRPr="00503F5B" w:rsidRDefault="00E04C6D" w:rsidP="00E04C6D">
            <w:pPr>
              <w:jc w:val="right"/>
              <w:rPr>
                <w:sz w:val="20"/>
                <w:szCs w:val="20"/>
                <w:lang w:val="en-AU"/>
              </w:rPr>
            </w:pPr>
            <w:r w:rsidRPr="00503F5B">
              <w:rPr>
                <w:sz w:val="20"/>
                <w:szCs w:val="20"/>
                <w:lang w:val="en-AU"/>
              </w:rPr>
              <w:t>-16.57%</w:t>
            </w:r>
          </w:p>
        </w:tc>
      </w:tr>
    </w:tbl>
    <w:p w14:paraId="38ADE9F6" w14:textId="77777777" w:rsidR="00E04C6D" w:rsidRPr="00503F5B" w:rsidRDefault="00E04C6D" w:rsidP="00E04C6D">
      <w:pPr>
        <w:jc w:val="both"/>
        <w:rPr>
          <w:sz w:val="18"/>
        </w:rPr>
      </w:pPr>
      <w:r w:rsidRPr="00503F5B">
        <w:rPr>
          <w:sz w:val="18"/>
        </w:rPr>
        <w:t>Source of data under Column (m): MFB annual reports</w:t>
      </w:r>
    </w:p>
    <w:p w14:paraId="02F55F48" w14:textId="77777777" w:rsidR="00E04C6D" w:rsidRPr="00503F5B" w:rsidRDefault="00E04C6D" w:rsidP="00E04C6D">
      <w:pPr>
        <w:jc w:val="both"/>
      </w:pPr>
    </w:p>
    <w:p w14:paraId="1A5509A0" w14:textId="586B7216" w:rsidR="00E04C6D" w:rsidRPr="00503F5B" w:rsidRDefault="00E04C6D" w:rsidP="00E04C6D">
      <w:pPr>
        <w:jc w:val="both"/>
      </w:pPr>
      <w:r w:rsidRPr="00503F5B">
        <w:t xml:space="preserve">Based on Table A3.1, the </w:t>
      </w:r>
      <w:r w:rsidRPr="00503F5B">
        <w:rPr>
          <w:b/>
          <w:i/>
        </w:rPr>
        <w:t xml:space="preserve">average annual increase in quarterly hour transactions for </w:t>
      </w:r>
      <w:r w:rsidR="00595DFB" w:rsidRPr="00503F5B">
        <w:rPr>
          <w:b/>
          <w:i/>
        </w:rPr>
        <w:t>MFB</w:t>
      </w:r>
      <w:r w:rsidRPr="00503F5B">
        <w:t xml:space="preserve"> </w:t>
      </w:r>
      <w:r w:rsidRPr="00503F5B">
        <w:rPr>
          <w:b/>
          <w:i/>
        </w:rPr>
        <w:t xml:space="preserve">is 4.49% </w:t>
      </w:r>
      <w:r w:rsidRPr="00503F5B">
        <w:t>or 55.17% between 2004-05 and 2018-19.</w:t>
      </w:r>
    </w:p>
    <w:p w14:paraId="4B5F0902" w14:textId="77777777" w:rsidR="00E04C6D" w:rsidRPr="00503F5B" w:rsidRDefault="00E04C6D" w:rsidP="00E04C6D">
      <w:pPr>
        <w:jc w:val="both"/>
      </w:pPr>
    </w:p>
    <w:p w14:paraId="17E95FF4" w14:textId="77777777" w:rsidR="00E04C6D" w:rsidRPr="00503F5B" w:rsidRDefault="00E04C6D" w:rsidP="00E04C6D">
      <w:pPr>
        <w:jc w:val="center"/>
        <w:rPr>
          <w:b/>
          <w:sz w:val="20"/>
          <w:szCs w:val="20"/>
        </w:rPr>
      </w:pPr>
      <w:r w:rsidRPr="00503F5B">
        <w:rPr>
          <w:b/>
          <w:sz w:val="20"/>
          <w:szCs w:val="20"/>
        </w:rPr>
        <w:t>TableA3.2: Estimated number and value of annual false alarm charges for attendances by CFA integrated stations to protected premises – 2015-16 to 2018-19</w:t>
      </w:r>
      <w:r w:rsidRPr="00503F5B">
        <w:rPr>
          <w:rStyle w:val="FootnoteReference"/>
          <w:b/>
          <w:sz w:val="20"/>
          <w:szCs w:val="20"/>
        </w:rPr>
        <w:footnoteReference w:id="194"/>
      </w:r>
    </w:p>
    <w:p w14:paraId="6F12DF64" w14:textId="77777777" w:rsidR="00E04C6D" w:rsidRPr="00503F5B" w:rsidRDefault="00E04C6D" w:rsidP="00E04C6D">
      <w:pPr>
        <w:jc w:val="both"/>
      </w:pPr>
    </w:p>
    <w:tbl>
      <w:tblPr>
        <w:tblW w:w="9819" w:type="dxa"/>
        <w:jc w:val="center"/>
        <w:tblLayout w:type="fixed"/>
        <w:tblLook w:val="04A0" w:firstRow="1" w:lastRow="0" w:firstColumn="1" w:lastColumn="0" w:noHBand="0" w:noVBand="1"/>
      </w:tblPr>
      <w:tblGrid>
        <w:gridCol w:w="951"/>
        <w:gridCol w:w="1317"/>
        <w:gridCol w:w="1276"/>
        <w:gridCol w:w="1275"/>
        <w:gridCol w:w="1275"/>
        <w:gridCol w:w="1457"/>
        <w:gridCol w:w="1026"/>
        <w:gridCol w:w="1242"/>
      </w:tblGrid>
      <w:tr w:rsidR="00E04C6D" w:rsidRPr="00503F5B" w14:paraId="1B1E86B8" w14:textId="77777777" w:rsidTr="00213D60">
        <w:trPr>
          <w:trHeight w:val="1800"/>
          <w:jc w:val="center"/>
        </w:trPr>
        <w:tc>
          <w:tcPr>
            <w:tcW w:w="951" w:type="dxa"/>
            <w:tcBorders>
              <w:top w:val="single" w:sz="4" w:space="0" w:color="ED7C5D"/>
              <w:left w:val="nil"/>
              <w:bottom w:val="double" w:sz="4" w:space="0" w:color="ED7C5D"/>
              <w:right w:val="nil"/>
            </w:tcBorders>
            <w:shd w:val="clear" w:color="000000" w:fill="FFFFFF"/>
            <w:noWrap/>
            <w:vAlign w:val="center"/>
            <w:hideMark/>
          </w:tcPr>
          <w:p w14:paraId="4210F1AB" w14:textId="77777777" w:rsidR="00E04C6D" w:rsidRPr="00503F5B" w:rsidRDefault="00E04C6D" w:rsidP="00E04C6D">
            <w:pPr>
              <w:rPr>
                <w:rFonts w:eastAsia="Times New Roman" w:cs="Calibri"/>
                <w:b/>
                <w:bCs/>
                <w:color w:val="C00000"/>
                <w:sz w:val="20"/>
                <w:szCs w:val="20"/>
                <w:lang w:eastAsia="en-AU"/>
              </w:rPr>
            </w:pPr>
            <w:r w:rsidRPr="00503F5B">
              <w:rPr>
                <w:rFonts w:eastAsia="Times New Roman" w:cs="Calibri"/>
                <w:b/>
                <w:bCs/>
                <w:color w:val="C00000"/>
                <w:sz w:val="20"/>
                <w:szCs w:val="20"/>
                <w:lang w:eastAsia="en-AU"/>
              </w:rPr>
              <w:t>Year</w:t>
            </w:r>
          </w:p>
        </w:tc>
        <w:tc>
          <w:tcPr>
            <w:tcW w:w="1317" w:type="dxa"/>
            <w:tcBorders>
              <w:top w:val="single" w:sz="4" w:space="0" w:color="ED7C5D"/>
              <w:left w:val="nil"/>
              <w:bottom w:val="double" w:sz="4" w:space="0" w:color="ED7C5D"/>
              <w:right w:val="nil"/>
            </w:tcBorders>
            <w:shd w:val="clear" w:color="000000" w:fill="FFFFFF"/>
            <w:vAlign w:val="center"/>
            <w:hideMark/>
          </w:tcPr>
          <w:p w14:paraId="1F140E28"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No. attendances CFA wide</w:t>
            </w:r>
          </w:p>
          <w:p w14:paraId="5F6FD09F"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(r)</w:t>
            </w:r>
          </w:p>
        </w:tc>
        <w:tc>
          <w:tcPr>
            <w:tcW w:w="1276" w:type="dxa"/>
            <w:tcBorders>
              <w:top w:val="single" w:sz="4" w:space="0" w:color="ED7C5D"/>
              <w:left w:val="nil"/>
              <w:bottom w:val="double" w:sz="4" w:space="0" w:color="ED7C5D"/>
              <w:right w:val="nil"/>
            </w:tcBorders>
            <w:shd w:val="clear" w:color="000000" w:fill="FFFFFF"/>
            <w:vAlign w:val="center"/>
            <w:hideMark/>
          </w:tcPr>
          <w:p w14:paraId="5FA35786"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 attendances by CFA integrated stations</w:t>
            </w:r>
          </w:p>
          <w:p w14:paraId="1861A1E0"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(s)</w:t>
            </w:r>
          </w:p>
        </w:tc>
        <w:tc>
          <w:tcPr>
            <w:tcW w:w="1275" w:type="dxa"/>
            <w:tcBorders>
              <w:top w:val="single" w:sz="4" w:space="0" w:color="ED7C5D"/>
              <w:left w:val="nil"/>
              <w:bottom w:val="double" w:sz="4" w:space="0" w:color="ED7C5D"/>
              <w:right w:val="nil"/>
            </w:tcBorders>
            <w:shd w:val="clear" w:color="000000" w:fill="FFFFFF"/>
            <w:vAlign w:val="center"/>
            <w:hideMark/>
          </w:tcPr>
          <w:p w14:paraId="748BBAF4"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No. attendances by CFA integrated stations</w:t>
            </w:r>
          </w:p>
          <w:p w14:paraId="2F9025C4"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(t) = (r)*(s)</w:t>
            </w:r>
          </w:p>
        </w:tc>
        <w:tc>
          <w:tcPr>
            <w:tcW w:w="1275" w:type="dxa"/>
            <w:tcBorders>
              <w:top w:val="single" w:sz="4" w:space="0" w:color="ED7C5D"/>
              <w:left w:val="nil"/>
              <w:bottom w:val="double" w:sz="4" w:space="0" w:color="ED7C5D"/>
              <w:right w:val="nil"/>
            </w:tcBorders>
            <w:shd w:val="clear" w:color="000000" w:fill="FFFFFF"/>
            <w:vAlign w:val="center"/>
            <w:hideMark/>
          </w:tcPr>
          <w:p w14:paraId="4805A53F"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 where no reasonable excuse has been given</w:t>
            </w:r>
          </w:p>
          <w:p w14:paraId="1BA141F3"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(u)</w:t>
            </w:r>
          </w:p>
        </w:tc>
        <w:tc>
          <w:tcPr>
            <w:tcW w:w="1457" w:type="dxa"/>
            <w:tcBorders>
              <w:top w:val="single" w:sz="4" w:space="0" w:color="ED7C5D"/>
              <w:left w:val="nil"/>
              <w:bottom w:val="double" w:sz="4" w:space="0" w:color="ED7C5D"/>
              <w:right w:val="nil"/>
            </w:tcBorders>
            <w:shd w:val="clear" w:color="000000" w:fill="FFFFFF"/>
            <w:vAlign w:val="center"/>
            <w:hideMark/>
          </w:tcPr>
          <w:p w14:paraId="146BB583"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No. Attendances by CFA integrated stations where no reasonable excuse has been given</w:t>
            </w:r>
          </w:p>
          <w:p w14:paraId="031F18D8"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(v) = (t)*(u)</w:t>
            </w:r>
          </w:p>
        </w:tc>
        <w:tc>
          <w:tcPr>
            <w:tcW w:w="1026" w:type="dxa"/>
            <w:tcBorders>
              <w:top w:val="single" w:sz="4" w:space="0" w:color="ED7C5D"/>
              <w:left w:val="nil"/>
              <w:bottom w:val="double" w:sz="4" w:space="0" w:color="ED7C5D"/>
              <w:right w:val="nil"/>
            </w:tcBorders>
            <w:shd w:val="clear" w:color="000000" w:fill="FFFFFF"/>
            <w:vAlign w:val="center"/>
            <w:hideMark/>
          </w:tcPr>
          <w:p w14:paraId="5B08B710"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Average invoice value</w:t>
            </w:r>
          </w:p>
          <w:p w14:paraId="7863BB2D" w14:textId="1AF0540F"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(w)</w:t>
            </w:r>
            <w:r w:rsidR="00731603" w:rsidRPr="00503F5B">
              <w:rPr>
                <w:rFonts w:eastAsia="Times New Roman" w:cs="Calibri"/>
                <w:b/>
                <w:bCs/>
                <w:color w:val="C00000"/>
                <w:sz w:val="20"/>
                <w:szCs w:val="20"/>
                <w:lang w:eastAsia="en-AU"/>
              </w:rPr>
              <w:t>*</w:t>
            </w:r>
          </w:p>
        </w:tc>
        <w:tc>
          <w:tcPr>
            <w:tcW w:w="1242" w:type="dxa"/>
            <w:tcBorders>
              <w:top w:val="single" w:sz="4" w:space="0" w:color="ED7C5D"/>
              <w:left w:val="nil"/>
              <w:bottom w:val="double" w:sz="4" w:space="0" w:color="ED7C5D"/>
              <w:right w:val="nil"/>
            </w:tcBorders>
            <w:shd w:val="clear" w:color="000000" w:fill="FFFFFF"/>
            <w:vAlign w:val="center"/>
            <w:hideMark/>
          </w:tcPr>
          <w:p w14:paraId="2510A071"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Estimated annual charges by CFA integrated stations</w:t>
            </w:r>
          </w:p>
          <w:p w14:paraId="09E7C288"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(x) = (v)*(w)</w:t>
            </w:r>
          </w:p>
        </w:tc>
      </w:tr>
      <w:tr w:rsidR="00E04C6D" w:rsidRPr="00503F5B" w14:paraId="6B803935" w14:textId="77777777" w:rsidTr="00213D60">
        <w:trPr>
          <w:trHeight w:val="35"/>
          <w:jc w:val="center"/>
        </w:trPr>
        <w:tc>
          <w:tcPr>
            <w:tcW w:w="951" w:type="dxa"/>
            <w:tcBorders>
              <w:top w:val="double" w:sz="4" w:space="0" w:color="ED7C5D"/>
              <w:left w:val="nil"/>
              <w:bottom w:val="nil"/>
              <w:right w:val="nil"/>
            </w:tcBorders>
            <w:shd w:val="clear" w:color="000000" w:fill="FFFFFF"/>
            <w:noWrap/>
            <w:hideMark/>
          </w:tcPr>
          <w:p w14:paraId="7D22F3DE"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2015-16</w:t>
            </w:r>
          </w:p>
        </w:tc>
        <w:tc>
          <w:tcPr>
            <w:tcW w:w="1317" w:type="dxa"/>
            <w:tcBorders>
              <w:top w:val="double" w:sz="4" w:space="0" w:color="ED7C5D"/>
              <w:left w:val="nil"/>
              <w:bottom w:val="nil"/>
              <w:right w:val="nil"/>
            </w:tcBorders>
            <w:shd w:val="clear" w:color="000000" w:fill="FFFFFF"/>
            <w:noWrap/>
            <w:hideMark/>
          </w:tcPr>
          <w:p w14:paraId="40F2803D"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4,562</w:t>
            </w:r>
          </w:p>
        </w:tc>
        <w:tc>
          <w:tcPr>
            <w:tcW w:w="1276" w:type="dxa"/>
            <w:tcBorders>
              <w:top w:val="double" w:sz="4" w:space="0" w:color="ED7C5D"/>
              <w:left w:val="nil"/>
              <w:bottom w:val="nil"/>
              <w:right w:val="nil"/>
            </w:tcBorders>
            <w:shd w:val="clear" w:color="000000" w:fill="FFFFFF"/>
            <w:noWrap/>
            <w:hideMark/>
          </w:tcPr>
          <w:p w14:paraId="322E6FEA"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48.68%</w:t>
            </w:r>
          </w:p>
        </w:tc>
        <w:tc>
          <w:tcPr>
            <w:tcW w:w="1275" w:type="dxa"/>
            <w:tcBorders>
              <w:top w:val="double" w:sz="4" w:space="0" w:color="ED7C5D"/>
              <w:left w:val="nil"/>
              <w:bottom w:val="nil"/>
              <w:right w:val="nil"/>
            </w:tcBorders>
            <w:shd w:val="clear" w:color="000000" w:fill="FFFFFF"/>
            <w:noWrap/>
            <w:hideMark/>
          </w:tcPr>
          <w:p w14:paraId="3A882FFC"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2,221</w:t>
            </w:r>
          </w:p>
        </w:tc>
        <w:tc>
          <w:tcPr>
            <w:tcW w:w="1275" w:type="dxa"/>
            <w:tcBorders>
              <w:top w:val="double" w:sz="4" w:space="0" w:color="ED7C5D"/>
              <w:left w:val="nil"/>
              <w:bottom w:val="nil"/>
              <w:right w:val="nil"/>
            </w:tcBorders>
            <w:shd w:val="clear" w:color="000000" w:fill="FFFFFF"/>
            <w:noWrap/>
            <w:hideMark/>
          </w:tcPr>
          <w:p w14:paraId="15A5B76F"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47%</w:t>
            </w:r>
          </w:p>
        </w:tc>
        <w:tc>
          <w:tcPr>
            <w:tcW w:w="1457" w:type="dxa"/>
            <w:tcBorders>
              <w:top w:val="double" w:sz="4" w:space="0" w:color="ED7C5D"/>
              <w:left w:val="nil"/>
              <w:bottom w:val="nil"/>
              <w:right w:val="nil"/>
            </w:tcBorders>
            <w:shd w:val="clear" w:color="000000" w:fill="FFFFFF"/>
            <w:noWrap/>
            <w:hideMark/>
          </w:tcPr>
          <w:p w14:paraId="117ACB7C"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1,054</w:t>
            </w:r>
          </w:p>
        </w:tc>
        <w:tc>
          <w:tcPr>
            <w:tcW w:w="1026" w:type="dxa"/>
            <w:tcBorders>
              <w:top w:val="double" w:sz="4" w:space="0" w:color="ED7C5D"/>
              <w:left w:val="nil"/>
              <w:bottom w:val="nil"/>
              <w:right w:val="nil"/>
            </w:tcBorders>
            <w:shd w:val="clear" w:color="000000" w:fill="FFFFFF"/>
            <w:noWrap/>
            <w:hideMark/>
          </w:tcPr>
          <w:p w14:paraId="2EDD0354"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$1,461.26</w:t>
            </w:r>
          </w:p>
        </w:tc>
        <w:tc>
          <w:tcPr>
            <w:tcW w:w="1242" w:type="dxa"/>
            <w:tcBorders>
              <w:top w:val="double" w:sz="4" w:space="0" w:color="ED7C5D"/>
              <w:left w:val="nil"/>
              <w:bottom w:val="nil"/>
              <w:right w:val="nil"/>
            </w:tcBorders>
            <w:shd w:val="clear" w:color="000000" w:fill="FFFFFF"/>
            <w:noWrap/>
            <w:hideMark/>
          </w:tcPr>
          <w:p w14:paraId="6FD57897"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$1,539,497</w:t>
            </w:r>
          </w:p>
        </w:tc>
      </w:tr>
      <w:tr w:rsidR="00E04C6D" w:rsidRPr="00503F5B" w14:paraId="0EA444AD" w14:textId="77777777" w:rsidTr="00E04C6D">
        <w:trPr>
          <w:trHeight w:val="80"/>
          <w:jc w:val="center"/>
        </w:trPr>
        <w:tc>
          <w:tcPr>
            <w:tcW w:w="951" w:type="dxa"/>
            <w:tcBorders>
              <w:top w:val="nil"/>
              <w:left w:val="nil"/>
              <w:bottom w:val="nil"/>
              <w:right w:val="nil"/>
            </w:tcBorders>
            <w:shd w:val="clear" w:color="000000" w:fill="FFFFFF"/>
            <w:noWrap/>
            <w:hideMark/>
          </w:tcPr>
          <w:p w14:paraId="311F85F0"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2016-17</w:t>
            </w:r>
          </w:p>
        </w:tc>
        <w:tc>
          <w:tcPr>
            <w:tcW w:w="1317" w:type="dxa"/>
            <w:tcBorders>
              <w:top w:val="nil"/>
              <w:left w:val="nil"/>
              <w:bottom w:val="nil"/>
              <w:right w:val="nil"/>
            </w:tcBorders>
            <w:shd w:val="clear" w:color="000000" w:fill="FFFFFF"/>
            <w:noWrap/>
            <w:hideMark/>
          </w:tcPr>
          <w:p w14:paraId="21622061"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5,853</w:t>
            </w:r>
          </w:p>
        </w:tc>
        <w:tc>
          <w:tcPr>
            <w:tcW w:w="1276" w:type="dxa"/>
            <w:tcBorders>
              <w:top w:val="nil"/>
              <w:left w:val="nil"/>
              <w:bottom w:val="nil"/>
              <w:right w:val="nil"/>
            </w:tcBorders>
            <w:shd w:val="clear" w:color="000000" w:fill="FFFFFF"/>
            <w:noWrap/>
            <w:hideMark/>
          </w:tcPr>
          <w:p w14:paraId="4C80FB0F"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55.27%</w:t>
            </w:r>
          </w:p>
        </w:tc>
        <w:tc>
          <w:tcPr>
            <w:tcW w:w="1275" w:type="dxa"/>
            <w:tcBorders>
              <w:top w:val="nil"/>
              <w:left w:val="nil"/>
              <w:bottom w:val="nil"/>
              <w:right w:val="nil"/>
            </w:tcBorders>
            <w:shd w:val="clear" w:color="000000" w:fill="FFFFFF"/>
            <w:noWrap/>
            <w:hideMark/>
          </w:tcPr>
          <w:p w14:paraId="0B2C55C7"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3,235</w:t>
            </w:r>
          </w:p>
        </w:tc>
        <w:tc>
          <w:tcPr>
            <w:tcW w:w="1275" w:type="dxa"/>
            <w:tcBorders>
              <w:top w:val="nil"/>
              <w:left w:val="nil"/>
              <w:bottom w:val="nil"/>
              <w:right w:val="nil"/>
            </w:tcBorders>
            <w:shd w:val="clear" w:color="000000" w:fill="FFFFFF"/>
            <w:noWrap/>
            <w:hideMark/>
          </w:tcPr>
          <w:p w14:paraId="3EE37947"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56%</w:t>
            </w:r>
          </w:p>
        </w:tc>
        <w:tc>
          <w:tcPr>
            <w:tcW w:w="1457" w:type="dxa"/>
            <w:tcBorders>
              <w:top w:val="nil"/>
              <w:left w:val="nil"/>
              <w:bottom w:val="nil"/>
              <w:right w:val="nil"/>
            </w:tcBorders>
            <w:shd w:val="clear" w:color="000000" w:fill="FFFFFF"/>
            <w:noWrap/>
            <w:hideMark/>
          </w:tcPr>
          <w:p w14:paraId="37B0654C"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1,823</w:t>
            </w:r>
          </w:p>
        </w:tc>
        <w:tc>
          <w:tcPr>
            <w:tcW w:w="1026" w:type="dxa"/>
            <w:tcBorders>
              <w:top w:val="nil"/>
              <w:left w:val="nil"/>
              <w:bottom w:val="nil"/>
              <w:right w:val="nil"/>
            </w:tcBorders>
            <w:shd w:val="clear" w:color="000000" w:fill="FFFFFF"/>
            <w:noWrap/>
            <w:hideMark/>
          </w:tcPr>
          <w:p w14:paraId="052AD98C"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$1,672.30</w:t>
            </w:r>
          </w:p>
        </w:tc>
        <w:tc>
          <w:tcPr>
            <w:tcW w:w="1242" w:type="dxa"/>
            <w:tcBorders>
              <w:top w:val="nil"/>
              <w:left w:val="nil"/>
              <w:bottom w:val="nil"/>
              <w:right w:val="nil"/>
            </w:tcBorders>
            <w:shd w:val="clear" w:color="000000" w:fill="FFFFFF"/>
            <w:noWrap/>
            <w:hideMark/>
          </w:tcPr>
          <w:p w14:paraId="57E88788"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$3,048,312</w:t>
            </w:r>
          </w:p>
        </w:tc>
      </w:tr>
      <w:tr w:rsidR="00E04C6D" w:rsidRPr="00503F5B" w14:paraId="2B4393A9" w14:textId="77777777" w:rsidTr="00E04C6D">
        <w:trPr>
          <w:trHeight w:val="80"/>
          <w:jc w:val="center"/>
        </w:trPr>
        <w:tc>
          <w:tcPr>
            <w:tcW w:w="951" w:type="dxa"/>
            <w:tcBorders>
              <w:top w:val="nil"/>
              <w:left w:val="nil"/>
              <w:bottom w:val="nil"/>
              <w:right w:val="nil"/>
            </w:tcBorders>
            <w:shd w:val="clear" w:color="000000" w:fill="FFFFFF"/>
            <w:noWrap/>
            <w:hideMark/>
          </w:tcPr>
          <w:p w14:paraId="4EEB5346"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2017-18</w:t>
            </w:r>
          </w:p>
        </w:tc>
        <w:tc>
          <w:tcPr>
            <w:tcW w:w="1317" w:type="dxa"/>
            <w:tcBorders>
              <w:top w:val="nil"/>
              <w:left w:val="nil"/>
              <w:bottom w:val="nil"/>
              <w:right w:val="nil"/>
            </w:tcBorders>
            <w:shd w:val="clear" w:color="000000" w:fill="FFFFFF"/>
            <w:noWrap/>
            <w:hideMark/>
          </w:tcPr>
          <w:p w14:paraId="34E687A3"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5,417</w:t>
            </w:r>
          </w:p>
        </w:tc>
        <w:tc>
          <w:tcPr>
            <w:tcW w:w="1276" w:type="dxa"/>
            <w:tcBorders>
              <w:top w:val="nil"/>
              <w:left w:val="nil"/>
              <w:bottom w:val="nil"/>
              <w:right w:val="nil"/>
            </w:tcBorders>
            <w:shd w:val="clear" w:color="000000" w:fill="FFFFFF"/>
            <w:noWrap/>
            <w:hideMark/>
          </w:tcPr>
          <w:p w14:paraId="0AEE3E93"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58.74%</w:t>
            </w:r>
          </w:p>
        </w:tc>
        <w:tc>
          <w:tcPr>
            <w:tcW w:w="1275" w:type="dxa"/>
            <w:tcBorders>
              <w:top w:val="nil"/>
              <w:left w:val="nil"/>
              <w:bottom w:val="nil"/>
              <w:right w:val="nil"/>
            </w:tcBorders>
            <w:shd w:val="clear" w:color="000000" w:fill="FFFFFF"/>
            <w:noWrap/>
            <w:hideMark/>
          </w:tcPr>
          <w:p w14:paraId="70E35661"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3,182</w:t>
            </w:r>
          </w:p>
        </w:tc>
        <w:tc>
          <w:tcPr>
            <w:tcW w:w="1275" w:type="dxa"/>
            <w:tcBorders>
              <w:top w:val="nil"/>
              <w:left w:val="nil"/>
              <w:bottom w:val="nil"/>
              <w:right w:val="nil"/>
            </w:tcBorders>
            <w:shd w:val="clear" w:color="000000" w:fill="FFFFFF"/>
            <w:noWrap/>
            <w:hideMark/>
          </w:tcPr>
          <w:p w14:paraId="5C75C44B"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51%</w:t>
            </w:r>
          </w:p>
        </w:tc>
        <w:tc>
          <w:tcPr>
            <w:tcW w:w="1457" w:type="dxa"/>
            <w:tcBorders>
              <w:top w:val="nil"/>
              <w:left w:val="nil"/>
              <w:bottom w:val="nil"/>
              <w:right w:val="nil"/>
            </w:tcBorders>
            <w:shd w:val="clear" w:color="000000" w:fill="FFFFFF"/>
            <w:noWrap/>
            <w:hideMark/>
          </w:tcPr>
          <w:p w14:paraId="2CF8513B"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1,628</w:t>
            </w:r>
          </w:p>
        </w:tc>
        <w:tc>
          <w:tcPr>
            <w:tcW w:w="1026" w:type="dxa"/>
            <w:tcBorders>
              <w:top w:val="nil"/>
              <w:left w:val="nil"/>
              <w:bottom w:val="nil"/>
              <w:right w:val="nil"/>
            </w:tcBorders>
            <w:shd w:val="clear" w:color="000000" w:fill="FFFFFF"/>
            <w:noWrap/>
            <w:hideMark/>
          </w:tcPr>
          <w:p w14:paraId="4D51120F"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$1,683.27</w:t>
            </w:r>
          </w:p>
        </w:tc>
        <w:tc>
          <w:tcPr>
            <w:tcW w:w="1242" w:type="dxa"/>
            <w:tcBorders>
              <w:top w:val="nil"/>
              <w:left w:val="nil"/>
              <w:bottom w:val="nil"/>
              <w:right w:val="nil"/>
            </w:tcBorders>
            <w:shd w:val="clear" w:color="000000" w:fill="FFFFFF"/>
            <w:noWrap/>
            <w:hideMark/>
          </w:tcPr>
          <w:p w14:paraId="3A2EAA2F"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$2,739,883</w:t>
            </w:r>
          </w:p>
        </w:tc>
      </w:tr>
      <w:tr w:rsidR="00E04C6D" w:rsidRPr="00503F5B" w14:paraId="6F2A5E9F" w14:textId="77777777" w:rsidTr="00213D60">
        <w:trPr>
          <w:trHeight w:val="80"/>
          <w:jc w:val="center"/>
        </w:trPr>
        <w:tc>
          <w:tcPr>
            <w:tcW w:w="951" w:type="dxa"/>
            <w:tcBorders>
              <w:top w:val="nil"/>
              <w:left w:val="nil"/>
              <w:bottom w:val="single" w:sz="4" w:space="0" w:color="ED7C5D"/>
              <w:right w:val="nil"/>
            </w:tcBorders>
            <w:shd w:val="clear" w:color="000000" w:fill="FFFFFF"/>
            <w:noWrap/>
            <w:hideMark/>
          </w:tcPr>
          <w:p w14:paraId="5A8471EA"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2018-19</w:t>
            </w:r>
          </w:p>
        </w:tc>
        <w:tc>
          <w:tcPr>
            <w:tcW w:w="1317" w:type="dxa"/>
            <w:tcBorders>
              <w:top w:val="nil"/>
              <w:left w:val="nil"/>
              <w:bottom w:val="single" w:sz="4" w:space="0" w:color="ED7C5D"/>
              <w:right w:val="nil"/>
            </w:tcBorders>
            <w:shd w:val="clear" w:color="000000" w:fill="FFFFFF"/>
            <w:noWrap/>
            <w:hideMark/>
          </w:tcPr>
          <w:p w14:paraId="26130EB4"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5,420</w:t>
            </w:r>
          </w:p>
        </w:tc>
        <w:tc>
          <w:tcPr>
            <w:tcW w:w="1276" w:type="dxa"/>
            <w:tcBorders>
              <w:top w:val="nil"/>
              <w:left w:val="nil"/>
              <w:bottom w:val="single" w:sz="4" w:space="0" w:color="ED7C5D"/>
              <w:right w:val="nil"/>
            </w:tcBorders>
            <w:shd w:val="clear" w:color="000000" w:fill="FFFFFF"/>
            <w:noWrap/>
            <w:hideMark/>
          </w:tcPr>
          <w:p w14:paraId="4427CA0F"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57.20%</w:t>
            </w:r>
          </w:p>
        </w:tc>
        <w:tc>
          <w:tcPr>
            <w:tcW w:w="1275" w:type="dxa"/>
            <w:tcBorders>
              <w:top w:val="nil"/>
              <w:left w:val="nil"/>
              <w:bottom w:val="single" w:sz="4" w:space="0" w:color="ED7C5D"/>
              <w:right w:val="nil"/>
            </w:tcBorders>
            <w:shd w:val="clear" w:color="000000" w:fill="FFFFFF"/>
            <w:noWrap/>
            <w:hideMark/>
          </w:tcPr>
          <w:p w14:paraId="457F83E8"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3,100</w:t>
            </w:r>
          </w:p>
        </w:tc>
        <w:tc>
          <w:tcPr>
            <w:tcW w:w="1275" w:type="dxa"/>
            <w:tcBorders>
              <w:top w:val="nil"/>
              <w:left w:val="nil"/>
              <w:bottom w:val="single" w:sz="4" w:space="0" w:color="ED7C5D"/>
              <w:right w:val="nil"/>
            </w:tcBorders>
            <w:shd w:val="clear" w:color="000000" w:fill="FFFFFF"/>
            <w:noWrap/>
            <w:hideMark/>
          </w:tcPr>
          <w:p w14:paraId="47F428AF"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51%</w:t>
            </w:r>
          </w:p>
        </w:tc>
        <w:tc>
          <w:tcPr>
            <w:tcW w:w="1457" w:type="dxa"/>
            <w:tcBorders>
              <w:top w:val="nil"/>
              <w:left w:val="nil"/>
              <w:bottom w:val="single" w:sz="4" w:space="0" w:color="ED7C5D"/>
              <w:right w:val="nil"/>
            </w:tcBorders>
            <w:shd w:val="clear" w:color="000000" w:fill="FFFFFF"/>
            <w:noWrap/>
            <w:hideMark/>
          </w:tcPr>
          <w:p w14:paraId="7CC98D66"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1,566</w:t>
            </w:r>
          </w:p>
        </w:tc>
        <w:tc>
          <w:tcPr>
            <w:tcW w:w="1026" w:type="dxa"/>
            <w:tcBorders>
              <w:top w:val="nil"/>
              <w:left w:val="nil"/>
              <w:bottom w:val="single" w:sz="4" w:space="0" w:color="ED7C5D"/>
              <w:right w:val="nil"/>
            </w:tcBorders>
            <w:shd w:val="clear" w:color="000000" w:fill="FFFFFF"/>
            <w:noWrap/>
            <w:hideMark/>
          </w:tcPr>
          <w:p w14:paraId="5B427B5D"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$1,573.16</w:t>
            </w:r>
          </w:p>
        </w:tc>
        <w:tc>
          <w:tcPr>
            <w:tcW w:w="1242" w:type="dxa"/>
            <w:tcBorders>
              <w:top w:val="nil"/>
              <w:left w:val="nil"/>
              <w:bottom w:val="single" w:sz="4" w:space="0" w:color="ED7C5D"/>
              <w:right w:val="nil"/>
            </w:tcBorders>
            <w:shd w:val="clear" w:color="000000" w:fill="FFFFFF"/>
            <w:noWrap/>
            <w:hideMark/>
          </w:tcPr>
          <w:p w14:paraId="20837BA0"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$2,463,590</w:t>
            </w:r>
          </w:p>
        </w:tc>
      </w:tr>
      <w:tr w:rsidR="00E04C6D" w:rsidRPr="00503F5B" w14:paraId="6EC610FF" w14:textId="77777777" w:rsidTr="00213D60">
        <w:trPr>
          <w:trHeight w:val="70"/>
          <w:jc w:val="center"/>
        </w:trPr>
        <w:tc>
          <w:tcPr>
            <w:tcW w:w="951" w:type="dxa"/>
            <w:tcBorders>
              <w:top w:val="single" w:sz="4" w:space="0" w:color="ED7C5D"/>
              <w:left w:val="nil"/>
              <w:bottom w:val="single" w:sz="4" w:space="0" w:color="ED7C5D"/>
              <w:right w:val="nil"/>
            </w:tcBorders>
            <w:shd w:val="clear" w:color="000000" w:fill="FFFFFF"/>
            <w:noWrap/>
            <w:hideMark/>
          </w:tcPr>
          <w:p w14:paraId="477CEE20" w14:textId="77777777" w:rsidR="00E04C6D" w:rsidRPr="00503F5B" w:rsidRDefault="00E04C6D" w:rsidP="00E04C6D">
            <w:pPr>
              <w:rPr>
                <w:rFonts w:eastAsia="Times New Roman" w:cs="Calibri"/>
                <w:b/>
                <w:bCs/>
                <w:i/>
                <w:iCs/>
                <w:sz w:val="20"/>
                <w:szCs w:val="20"/>
                <w:lang w:eastAsia="en-AU"/>
              </w:rPr>
            </w:pPr>
            <w:r w:rsidRPr="00503F5B">
              <w:rPr>
                <w:rFonts w:eastAsia="Times New Roman" w:cs="Calibri"/>
                <w:b/>
                <w:bCs/>
                <w:i/>
                <w:iCs/>
                <w:sz w:val="20"/>
                <w:szCs w:val="20"/>
                <w:lang w:eastAsia="en-AU"/>
              </w:rPr>
              <w:t>Total</w:t>
            </w:r>
          </w:p>
        </w:tc>
        <w:tc>
          <w:tcPr>
            <w:tcW w:w="1317" w:type="dxa"/>
            <w:tcBorders>
              <w:top w:val="single" w:sz="4" w:space="0" w:color="ED7C5D"/>
              <w:left w:val="nil"/>
              <w:bottom w:val="single" w:sz="4" w:space="0" w:color="ED7C5D"/>
              <w:right w:val="nil"/>
            </w:tcBorders>
            <w:shd w:val="clear" w:color="000000" w:fill="FFFFFF"/>
            <w:noWrap/>
            <w:hideMark/>
          </w:tcPr>
          <w:p w14:paraId="1EC81EEA" w14:textId="77777777" w:rsidR="00E04C6D" w:rsidRPr="00503F5B" w:rsidRDefault="00E04C6D" w:rsidP="00E04C6D">
            <w:pPr>
              <w:jc w:val="right"/>
              <w:rPr>
                <w:rFonts w:eastAsia="Times New Roman" w:cs="Calibri"/>
                <w:b/>
                <w:bCs/>
                <w:i/>
                <w:iCs/>
                <w:sz w:val="20"/>
                <w:szCs w:val="20"/>
                <w:lang w:eastAsia="en-AU"/>
              </w:rPr>
            </w:pPr>
            <w:r w:rsidRPr="00503F5B">
              <w:rPr>
                <w:rFonts w:eastAsia="Times New Roman" w:cs="Calibri"/>
                <w:b/>
                <w:bCs/>
                <w:i/>
                <w:iCs/>
                <w:sz w:val="20"/>
                <w:szCs w:val="20"/>
                <w:lang w:eastAsia="en-AU"/>
              </w:rPr>
              <w:t>21,252</w:t>
            </w:r>
          </w:p>
        </w:tc>
        <w:tc>
          <w:tcPr>
            <w:tcW w:w="1276" w:type="dxa"/>
            <w:tcBorders>
              <w:top w:val="single" w:sz="4" w:space="0" w:color="ED7C5D"/>
              <w:left w:val="nil"/>
              <w:bottom w:val="single" w:sz="4" w:space="0" w:color="ED7C5D"/>
              <w:right w:val="nil"/>
            </w:tcBorders>
            <w:shd w:val="clear" w:color="000000" w:fill="FFFFFF"/>
            <w:noWrap/>
            <w:hideMark/>
          </w:tcPr>
          <w:p w14:paraId="7E56AFF3" w14:textId="77777777" w:rsidR="00E04C6D" w:rsidRPr="00503F5B" w:rsidRDefault="00E04C6D" w:rsidP="00E04C6D">
            <w:pPr>
              <w:jc w:val="right"/>
              <w:rPr>
                <w:rFonts w:eastAsia="Times New Roman" w:cs="Calibri"/>
                <w:b/>
                <w:bCs/>
                <w:i/>
                <w:iCs/>
                <w:sz w:val="20"/>
                <w:szCs w:val="20"/>
                <w:lang w:eastAsia="en-AU"/>
              </w:rPr>
            </w:pPr>
            <w:r w:rsidRPr="00503F5B">
              <w:rPr>
                <w:rFonts w:eastAsia="Times New Roman" w:cs="Calibri"/>
                <w:b/>
                <w:bCs/>
                <w:i/>
                <w:iCs/>
                <w:sz w:val="20"/>
                <w:szCs w:val="20"/>
                <w:lang w:eastAsia="en-AU"/>
              </w:rPr>
              <w:t> </w:t>
            </w:r>
          </w:p>
        </w:tc>
        <w:tc>
          <w:tcPr>
            <w:tcW w:w="1275" w:type="dxa"/>
            <w:tcBorders>
              <w:top w:val="single" w:sz="4" w:space="0" w:color="ED7C5D"/>
              <w:left w:val="nil"/>
              <w:bottom w:val="single" w:sz="4" w:space="0" w:color="ED7C5D"/>
              <w:right w:val="nil"/>
            </w:tcBorders>
            <w:shd w:val="clear" w:color="000000" w:fill="FFFFFF"/>
            <w:noWrap/>
            <w:hideMark/>
          </w:tcPr>
          <w:p w14:paraId="5EA8FF47" w14:textId="77777777" w:rsidR="00E04C6D" w:rsidRPr="00503F5B" w:rsidRDefault="00E04C6D" w:rsidP="00E04C6D">
            <w:pPr>
              <w:jc w:val="right"/>
              <w:rPr>
                <w:rFonts w:eastAsia="Times New Roman" w:cs="Calibri"/>
                <w:b/>
                <w:bCs/>
                <w:i/>
                <w:iCs/>
                <w:sz w:val="20"/>
                <w:szCs w:val="20"/>
                <w:lang w:eastAsia="en-AU"/>
              </w:rPr>
            </w:pPr>
            <w:r w:rsidRPr="00503F5B">
              <w:rPr>
                <w:rFonts w:eastAsia="Times New Roman" w:cs="Calibri"/>
                <w:b/>
                <w:bCs/>
                <w:i/>
                <w:iCs/>
                <w:sz w:val="20"/>
                <w:szCs w:val="20"/>
                <w:lang w:eastAsia="en-AU"/>
              </w:rPr>
              <w:t>11,738</w:t>
            </w:r>
          </w:p>
        </w:tc>
        <w:tc>
          <w:tcPr>
            <w:tcW w:w="1275" w:type="dxa"/>
            <w:tcBorders>
              <w:top w:val="single" w:sz="4" w:space="0" w:color="ED7C5D"/>
              <w:left w:val="nil"/>
              <w:bottom w:val="single" w:sz="4" w:space="0" w:color="ED7C5D"/>
              <w:right w:val="nil"/>
            </w:tcBorders>
            <w:shd w:val="clear" w:color="000000" w:fill="FFFFFF"/>
            <w:noWrap/>
            <w:hideMark/>
          </w:tcPr>
          <w:p w14:paraId="14562654" w14:textId="77777777" w:rsidR="00E04C6D" w:rsidRPr="00503F5B" w:rsidRDefault="00E04C6D" w:rsidP="00E04C6D">
            <w:pPr>
              <w:jc w:val="right"/>
              <w:rPr>
                <w:rFonts w:eastAsia="Times New Roman" w:cs="Calibri"/>
                <w:b/>
                <w:bCs/>
                <w:i/>
                <w:iCs/>
                <w:sz w:val="20"/>
                <w:szCs w:val="20"/>
                <w:lang w:eastAsia="en-AU"/>
              </w:rPr>
            </w:pPr>
            <w:r w:rsidRPr="00503F5B">
              <w:rPr>
                <w:rFonts w:eastAsia="Times New Roman" w:cs="Calibri"/>
                <w:b/>
                <w:bCs/>
                <w:i/>
                <w:iCs/>
                <w:sz w:val="20"/>
                <w:szCs w:val="20"/>
                <w:lang w:eastAsia="en-AU"/>
              </w:rPr>
              <w:t> </w:t>
            </w:r>
          </w:p>
        </w:tc>
        <w:tc>
          <w:tcPr>
            <w:tcW w:w="1457" w:type="dxa"/>
            <w:tcBorders>
              <w:top w:val="single" w:sz="4" w:space="0" w:color="ED7C5D"/>
              <w:left w:val="nil"/>
              <w:bottom w:val="single" w:sz="4" w:space="0" w:color="ED7C5D"/>
              <w:right w:val="nil"/>
            </w:tcBorders>
            <w:shd w:val="clear" w:color="000000" w:fill="FFFFFF"/>
            <w:noWrap/>
            <w:hideMark/>
          </w:tcPr>
          <w:p w14:paraId="48092EB2" w14:textId="77777777" w:rsidR="00E04C6D" w:rsidRPr="00503F5B" w:rsidRDefault="00E04C6D" w:rsidP="00E04C6D">
            <w:pPr>
              <w:jc w:val="right"/>
              <w:rPr>
                <w:rFonts w:eastAsia="Times New Roman" w:cs="Calibri"/>
                <w:b/>
                <w:bCs/>
                <w:i/>
                <w:iCs/>
                <w:sz w:val="20"/>
                <w:szCs w:val="20"/>
                <w:lang w:eastAsia="en-AU"/>
              </w:rPr>
            </w:pPr>
            <w:r w:rsidRPr="00503F5B">
              <w:rPr>
                <w:rFonts w:eastAsia="Times New Roman" w:cs="Calibri"/>
                <w:b/>
                <w:bCs/>
                <w:i/>
                <w:iCs/>
                <w:sz w:val="20"/>
                <w:szCs w:val="20"/>
                <w:lang w:eastAsia="en-AU"/>
              </w:rPr>
              <w:t>6,070</w:t>
            </w:r>
          </w:p>
        </w:tc>
        <w:tc>
          <w:tcPr>
            <w:tcW w:w="1026" w:type="dxa"/>
            <w:tcBorders>
              <w:top w:val="single" w:sz="4" w:space="0" w:color="ED7C5D"/>
              <w:left w:val="nil"/>
              <w:bottom w:val="single" w:sz="4" w:space="0" w:color="ED7C5D"/>
              <w:right w:val="nil"/>
            </w:tcBorders>
            <w:shd w:val="clear" w:color="000000" w:fill="FFFFFF"/>
            <w:noWrap/>
            <w:hideMark/>
          </w:tcPr>
          <w:p w14:paraId="235135C3" w14:textId="77777777" w:rsidR="00E04C6D" w:rsidRPr="00503F5B" w:rsidRDefault="00E04C6D" w:rsidP="00E04C6D">
            <w:pPr>
              <w:jc w:val="right"/>
              <w:rPr>
                <w:rFonts w:eastAsia="Times New Roman" w:cs="Calibri"/>
                <w:b/>
                <w:bCs/>
                <w:i/>
                <w:iCs/>
                <w:sz w:val="20"/>
                <w:szCs w:val="20"/>
                <w:lang w:eastAsia="en-AU"/>
              </w:rPr>
            </w:pPr>
            <w:r w:rsidRPr="00503F5B">
              <w:rPr>
                <w:rFonts w:eastAsia="Times New Roman" w:cs="Calibri"/>
                <w:b/>
                <w:bCs/>
                <w:i/>
                <w:iCs/>
                <w:sz w:val="20"/>
                <w:szCs w:val="20"/>
                <w:lang w:eastAsia="en-AU"/>
              </w:rPr>
              <w:t> </w:t>
            </w:r>
          </w:p>
        </w:tc>
        <w:tc>
          <w:tcPr>
            <w:tcW w:w="1242" w:type="dxa"/>
            <w:tcBorders>
              <w:top w:val="single" w:sz="4" w:space="0" w:color="ED7C5D"/>
              <w:left w:val="nil"/>
              <w:bottom w:val="single" w:sz="4" w:space="0" w:color="538135" w:themeColor="accent6" w:themeShade="BF"/>
              <w:right w:val="nil"/>
            </w:tcBorders>
            <w:shd w:val="clear" w:color="000000" w:fill="FFFFFF"/>
            <w:noWrap/>
            <w:hideMark/>
          </w:tcPr>
          <w:p w14:paraId="7D883E2C" w14:textId="77777777" w:rsidR="00E04C6D" w:rsidRPr="00503F5B" w:rsidRDefault="00E04C6D" w:rsidP="00E04C6D">
            <w:pPr>
              <w:jc w:val="right"/>
              <w:rPr>
                <w:rFonts w:eastAsia="Times New Roman" w:cs="Calibri"/>
                <w:b/>
                <w:bCs/>
                <w:i/>
                <w:iCs/>
                <w:sz w:val="20"/>
                <w:szCs w:val="20"/>
                <w:lang w:eastAsia="en-AU"/>
              </w:rPr>
            </w:pPr>
            <w:r w:rsidRPr="00503F5B">
              <w:rPr>
                <w:rFonts w:eastAsia="Times New Roman" w:cs="Calibri"/>
                <w:b/>
                <w:bCs/>
                <w:i/>
                <w:iCs/>
                <w:sz w:val="20"/>
                <w:szCs w:val="20"/>
                <w:lang w:eastAsia="en-AU"/>
              </w:rPr>
              <w:t> </w:t>
            </w:r>
          </w:p>
        </w:tc>
      </w:tr>
    </w:tbl>
    <w:p w14:paraId="4EC907B1" w14:textId="77777777" w:rsidR="00731603" w:rsidRPr="00503F5B" w:rsidRDefault="00731603" w:rsidP="00E04C6D">
      <w:pPr>
        <w:rPr>
          <w:bCs/>
          <w:sz w:val="20"/>
          <w:szCs w:val="20"/>
        </w:rPr>
      </w:pPr>
    </w:p>
    <w:p w14:paraId="3915C3C0" w14:textId="2D049E4B" w:rsidR="00E04C6D" w:rsidRPr="00503F5B" w:rsidRDefault="00731603" w:rsidP="00E04C6D">
      <w:pPr>
        <w:rPr>
          <w:bCs/>
        </w:rPr>
      </w:pPr>
      <w:r w:rsidRPr="00503F5B">
        <w:rPr>
          <w:bCs/>
          <w:sz w:val="20"/>
          <w:szCs w:val="20"/>
        </w:rPr>
        <w:t xml:space="preserve">*It is important to note that </w:t>
      </w:r>
      <w:r w:rsidR="00B36EEE" w:rsidRPr="00503F5B">
        <w:rPr>
          <w:bCs/>
          <w:sz w:val="20"/>
          <w:szCs w:val="20"/>
        </w:rPr>
        <w:t>CFA</w:t>
      </w:r>
      <w:r w:rsidRPr="00503F5B">
        <w:rPr>
          <w:bCs/>
          <w:sz w:val="20"/>
          <w:szCs w:val="20"/>
        </w:rPr>
        <w:t xml:space="preserve"> offers discounts to premises that allow volunteers to turn out during working hours.  </w:t>
      </w:r>
      <w:r w:rsidR="00E04C6D" w:rsidRPr="00503F5B">
        <w:rPr>
          <w:bCs/>
        </w:rPr>
        <w:br w:type="page"/>
      </w:r>
    </w:p>
    <w:p w14:paraId="1303789D" w14:textId="77777777" w:rsidR="00E04C6D" w:rsidRPr="00503F5B" w:rsidRDefault="00E04C6D" w:rsidP="00E04C6D">
      <w:pPr>
        <w:jc w:val="center"/>
        <w:rPr>
          <w:b/>
          <w:sz w:val="20"/>
          <w:szCs w:val="20"/>
        </w:rPr>
      </w:pPr>
      <w:r w:rsidRPr="00503F5B">
        <w:rPr>
          <w:b/>
          <w:sz w:val="20"/>
          <w:szCs w:val="20"/>
        </w:rPr>
        <w:lastRenderedPageBreak/>
        <w:t>TableA3.3: Estimated volume and annual growth of ‘quarterly hour’ transactions for emergency attendances by CFA integrated stations – 2015-16 to 2018-19</w:t>
      </w:r>
    </w:p>
    <w:p w14:paraId="0736ED0A" w14:textId="77777777" w:rsidR="00E04C6D" w:rsidRPr="00503F5B" w:rsidRDefault="00E04C6D" w:rsidP="00E04C6D">
      <w:pPr>
        <w:jc w:val="both"/>
      </w:pPr>
    </w:p>
    <w:tbl>
      <w:tblPr>
        <w:tblW w:w="8505" w:type="dxa"/>
        <w:tblLook w:val="04A0" w:firstRow="1" w:lastRow="0" w:firstColumn="1" w:lastColumn="0" w:noHBand="0" w:noVBand="1"/>
      </w:tblPr>
      <w:tblGrid>
        <w:gridCol w:w="1272"/>
        <w:gridCol w:w="1235"/>
        <w:gridCol w:w="883"/>
        <w:gridCol w:w="989"/>
        <w:gridCol w:w="1433"/>
        <w:gridCol w:w="1270"/>
        <w:gridCol w:w="1423"/>
      </w:tblGrid>
      <w:tr w:rsidR="00E04C6D" w:rsidRPr="00503F5B" w14:paraId="626A91FF" w14:textId="77777777" w:rsidTr="00744FBF">
        <w:trPr>
          <w:trHeight w:val="1050"/>
        </w:trPr>
        <w:tc>
          <w:tcPr>
            <w:tcW w:w="1272" w:type="dxa"/>
            <w:tcBorders>
              <w:top w:val="single" w:sz="4" w:space="0" w:color="ED7C5D"/>
              <w:left w:val="nil"/>
              <w:bottom w:val="double" w:sz="4" w:space="0" w:color="ED7C5D"/>
              <w:right w:val="nil"/>
            </w:tcBorders>
            <w:shd w:val="clear" w:color="000000" w:fill="FFFFFF"/>
            <w:hideMark/>
          </w:tcPr>
          <w:p w14:paraId="61304F7B" w14:textId="77777777" w:rsidR="00E04C6D" w:rsidRPr="00503F5B" w:rsidRDefault="00E04C6D" w:rsidP="00E04C6D">
            <w:pPr>
              <w:rPr>
                <w:rFonts w:eastAsia="Times New Roman" w:cs="Calibri"/>
                <w:b/>
                <w:bCs/>
                <w:color w:val="C00000"/>
                <w:sz w:val="20"/>
                <w:szCs w:val="20"/>
                <w:lang w:eastAsia="en-AU"/>
              </w:rPr>
            </w:pPr>
            <w:r w:rsidRPr="00503F5B">
              <w:rPr>
                <w:b/>
                <w:color w:val="BE2A18"/>
                <w:sz w:val="20"/>
                <w:szCs w:val="20"/>
              </w:rPr>
              <w:t>Year</w:t>
            </w:r>
          </w:p>
        </w:tc>
        <w:tc>
          <w:tcPr>
            <w:tcW w:w="1235" w:type="dxa"/>
            <w:tcBorders>
              <w:top w:val="single" w:sz="4" w:space="0" w:color="ED7C5D"/>
              <w:left w:val="nil"/>
              <w:bottom w:val="double" w:sz="4" w:space="0" w:color="ED7C5D"/>
              <w:right w:val="nil"/>
            </w:tcBorders>
            <w:shd w:val="clear" w:color="000000" w:fill="FFFFFF"/>
            <w:hideMark/>
          </w:tcPr>
          <w:p w14:paraId="1565FA07" w14:textId="77777777" w:rsidR="00E04C6D" w:rsidRPr="00503F5B" w:rsidRDefault="00E04C6D" w:rsidP="00E04C6D">
            <w:pPr>
              <w:jc w:val="center"/>
              <w:rPr>
                <w:b/>
                <w:color w:val="BE2A18"/>
                <w:sz w:val="20"/>
                <w:szCs w:val="20"/>
              </w:rPr>
            </w:pPr>
            <w:r w:rsidRPr="00503F5B">
              <w:rPr>
                <w:b/>
                <w:color w:val="BE2A18"/>
                <w:sz w:val="20"/>
                <w:szCs w:val="20"/>
              </w:rPr>
              <w:t>False alarm charges</w:t>
            </w:r>
          </w:p>
          <w:p w14:paraId="043597F1" w14:textId="77777777" w:rsidR="00E04C6D" w:rsidRPr="00503F5B" w:rsidRDefault="00E04C6D" w:rsidP="00E04C6D">
            <w:pPr>
              <w:jc w:val="center"/>
              <w:rPr>
                <w:b/>
                <w:color w:val="BE2A18"/>
                <w:sz w:val="20"/>
                <w:szCs w:val="20"/>
              </w:rPr>
            </w:pPr>
          </w:p>
          <w:p w14:paraId="1712B146" w14:textId="77777777" w:rsidR="00E04C6D" w:rsidRPr="00503F5B" w:rsidRDefault="00E04C6D" w:rsidP="00E04C6D">
            <w:pPr>
              <w:jc w:val="center"/>
              <w:rPr>
                <w:rFonts w:eastAsia="Times New Roman" w:cs="Calibri"/>
                <w:b/>
                <w:bCs/>
                <w:color w:val="C00000"/>
                <w:sz w:val="20"/>
                <w:szCs w:val="20"/>
                <w:lang w:eastAsia="en-AU"/>
              </w:rPr>
            </w:pPr>
            <w:r w:rsidRPr="00503F5B">
              <w:rPr>
                <w:b/>
                <w:color w:val="BE2A18"/>
                <w:sz w:val="20"/>
                <w:szCs w:val="20"/>
              </w:rPr>
              <w:t>(X)</w:t>
            </w:r>
            <w:r w:rsidRPr="00503F5B">
              <w:rPr>
                <w:rStyle w:val="FootnoteReference"/>
                <w:b/>
                <w:color w:val="BE2A18"/>
                <w:sz w:val="20"/>
                <w:szCs w:val="20"/>
              </w:rPr>
              <w:footnoteReference w:id="195"/>
            </w:r>
          </w:p>
        </w:tc>
        <w:tc>
          <w:tcPr>
            <w:tcW w:w="883" w:type="dxa"/>
            <w:tcBorders>
              <w:top w:val="single" w:sz="4" w:space="0" w:color="ED7C5D"/>
              <w:left w:val="nil"/>
              <w:bottom w:val="double" w:sz="4" w:space="0" w:color="ED7C5D"/>
              <w:right w:val="nil"/>
            </w:tcBorders>
            <w:shd w:val="clear" w:color="000000" w:fill="FFFFFF"/>
            <w:hideMark/>
          </w:tcPr>
          <w:p w14:paraId="4327912A" w14:textId="77777777" w:rsidR="00E04C6D" w:rsidRPr="00503F5B" w:rsidRDefault="00E04C6D" w:rsidP="00E04C6D">
            <w:pPr>
              <w:jc w:val="center"/>
              <w:rPr>
                <w:b/>
                <w:color w:val="BE2A18"/>
                <w:sz w:val="20"/>
                <w:szCs w:val="20"/>
              </w:rPr>
            </w:pPr>
            <w:r w:rsidRPr="00503F5B">
              <w:rPr>
                <w:b/>
                <w:color w:val="BE2A18"/>
                <w:sz w:val="20"/>
                <w:szCs w:val="20"/>
              </w:rPr>
              <w:t>Value of fee unit</w:t>
            </w:r>
          </w:p>
          <w:p w14:paraId="5FF8BDB7" w14:textId="77777777" w:rsidR="00E04C6D" w:rsidRPr="00503F5B" w:rsidRDefault="00E04C6D" w:rsidP="00E04C6D">
            <w:pPr>
              <w:jc w:val="center"/>
              <w:rPr>
                <w:rFonts w:eastAsia="Times New Roman" w:cs="Calibri"/>
                <w:b/>
                <w:bCs/>
                <w:color w:val="C00000"/>
                <w:sz w:val="20"/>
                <w:szCs w:val="20"/>
                <w:lang w:eastAsia="en-AU"/>
              </w:rPr>
            </w:pPr>
            <w:r w:rsidRPr="00503F5B">
              <w:rPr>
                <w:b/>
                <w:color w:val="BE2A18"/>
                <w:sz w:val="20"/>
                <w:szCs w:val="20"/>
              </w:rPr>
              <w:t>(y)</w:t>
            </w:r>
          </w:p>
        </w:tc>
        <w:tc>
          <w:tcPr>
            <w:tcW w:w="989" w:type="dxa"/>
            <w:tcBorders>
              <w:top w:val="single" w:sz="4" w:space="0" w:color="ED7C5D"/>
              <w:left w:val="nil"/>
              <w:bottom w:val="double" w:sz="4" w:space="0" w:color="ED7C5D"/>
              <w:right w:val="nil"/>
            </w:tcBorders>
            <w:shd w:val="clear" w:color="000000" w:fill="FFFFFF"/>
            <w:hideMark/>
          </w:tcPr>
          <w:p w14:paraId="6492FDEE" w14:textId="77777777" w:rsidR="00E04C6D" w:rsidRPr="00503F5B" w:rsidRDefault="00E04C6D" w:rsidP="00E04C6D">
            <w:pPr>
              <w:jc w:val="center"/>
              <w:rPr>
                <w:b/>
                <w:color w:val="BE2A18"/>
                <w:sz w:val="20"/>
                <w:szCs w:val="20"/>
              </w:rPr>
            </w:pPr>
            <w:r w:rsidRPr="00503F5B">
              <w:rPr>
                <w:b/>
                <w:color w:val="BE2A18"/>
                <w:sz w:val="20"/>
                <w:szCs w:val="20"/>
              </w:rPr>
              <w:t>Fee units</w:t>
            </w:r>
          </w:p>
          <w:p w14:paraId="7624753D" w14:textId="77777777" w:rsidR="00E04C6D" w:rsidRPr="00503F5B" w:rsidRDefault="00E04C6D" w:rsidP="00E04C6D">
            <w:pPr>
              <w:jc w:val="center"/>
              <w:rPr>
                <w:b/>
                <w:color w:val="BE2A18"/>
                <w:sz w:val="20"/>
                <w:szCs w:val="20"/>
              </w:rPr>
            </w:pPr>
          </w:p>
          <w:p w14:paraId="6FB2A6EF" w14:textId="77777777" w:rsidR="00E04C6D" w:rsidRPr="00503F5B" w:rsidRDefault="00E04C6D" w:rsidP="00E04C6D">
            <w:pPr>
              <w:jc w:val="center"/>
              <w:rPr>
                <w:rFonts w:eastAsia="Times New Roman" w:cs="Calibri"/>
                <w:b/>
                <w:bCs/>
                <w:color w:val="C00000"/>
                <w:sz w:val="20"/>
                <w:szCs w:val="20"/>
                <w:lang w:eastAsia="en-AU"/>
              </w:rPr>
            </w:pPr>
            <w:r w:rsidRPr="00503F5B">
              <w:rPr>
                <w:b/>
                <w:color w:val="BE2A18"/>
                <w:sz w:val="20"/>
                <w:szCs w:val="20"/>
              </w:rPr>
              <w:t>(Z)</w:t>
            </w:r>
          </w:p>
        </w:tc>
        <w:tc>
          <w:tcPr>
            <w:tcW w:w="1433" w:type="dxa"/>
            <w:tcBorders>
              <w:top w:val="single" w:sz="4" w:space="0" w:color="ED7C5D"/>
              <w:left w:val="nil"/>
              <w:bottom w:val="double" w:sz="4" w:space="0" w:color="ED7C5D"/>
              <w:right w:val="nil"/>
            </w:tcBorders>
            <w:shd w:val="clear" w:color="000000" w:fill="FFFFFF"/>
            <w:hideMark/>
          </w:tcPr>
          <w:p w14:paraId="33BB0FBE" w14:textId="77777777" w:rsidR="00E04C6D" w:rsidRPr="00503F5B" w:rsidRDefault="00E04C6D" w:rsidP="00E04C6D">
            <w:pPr>
              <w:jc w:val="center"/>
              <w:rPr>
                <w:b/>
                <w:color w:val="BE2A18"/>
                <w:sz w:val="20"/>
                <w:szCs w:val="20"/>
              </w:rPr>
            </w:pPr>
            <w:r w:rsidRPr="00503F5B">
              <w:rPr>
                <w:b/>
                <w:color w:val="BE2A18"/>
                <w:sz w:val="20"/>
                <w:szCs w:val="20"/>
              </w:rPr>
              <w:t>Fee</w:t>
            </w:r>
          </w:p>
          <w:p w14:paraId="2A57BBAD" w14:textId="77777777" w:rsidR="00E04C6D" w:rsidRPr="00503F5B" w:rsidRDefault="00E04C6D" w:rsidP="00E04C6D">
            <w:pPr>
              <w:jc w:val="center"/>
              <w:rPr>
                <w:b/>
                <w:color w:val="BE2A18"/>
                <w:sz w:val="20"/>
                <w:szCs w:val="20"/>
              </w:rPr>
            </w:pPr>
          </w:p>
          <w:p w14:paraId="02C7928D" w14:textId="77777777" w:rsidR="00E04C6D" w:rsidRPr="00503F5B" w:rsidRDefault="00E04C6D" w:rsidP="00E04C6D">
            <w:pPr>
              <w:jc w:val="center"/>
              <w:rPr>
                <w:b/>
                <w:color w:val="BE2A18"/>
                <w:sz w:val="20"/>
                <w:szCs w:val="20"/>
              </w:rPr>
            </w:pPr>
          </w:p>
          <w:p w14:paraId="3D4DCF43" w14:textId="77777777" w:rsidR="00E04C6D" w:rsidRPr="00503F5B" w:rsidRDefault="00E04C6D" w:rsidP="00E04C6D">
            <w:pPr>
              <w:jc w:val="center"/>
              <w:rPr>
                <w:rFonts w:eastAsia="Times New Roman" w:cs="Calibri"/>
                <w:b/>
                <w:bCs/>
                <w:color w:val="C00000"/>
                <w:sz w:val="20"/>
                <w:szCs w:val="20"/>
                <w:lang w:eastAsia="en-AU"/>
              </w:rPr>
            </w:pPr>
            <w:r w:rsidRPr="00503F5B">
              <w:rPr>
                <w:b/>
                <w:color w:val="BE2A18"/>
                <w:sz w:val="20"/>
                <w:szCs w:val="20"/>
              </w:rPr>
              <w:t>(a1) = (y)*(Z)</w:t>
            </w:r>
          </w:p>
        </w:tc>
        <w:tc>
          <w:tcPr>
            <w:tcW w:w="1270" w:type="dxa"/>
            <w:tcBorders>
              <w:top w:val="single" w:sz="4" w:space="0" w:color="ED7C5D"/>
              <w:left w:val="nil"/>
              <w:bottom w:val="double" w:sz="4" w:space="0" w:color="ED7C5D"/>
              <w:right w:val="nil"/>
            </w:tcBorders>
            <w:shd w:val="clear" w:color="000000" w:fill="FFFFFF"/>
            <w:hideMark/>
          </w:tcPr>
          <w:p w14:paraId="6D152557" w14:textId="77777777" w:rsidR="00E04C6D" w:rsidRPr="00503F5B" w:rsidRDefault="00E04C6D" w:rsidP="00E04C6D">
            <w:pPr>
              <w:jc w:val="center"/>
              <w:rPr>
                <w:b/>
                <w:color w:val="BE2A18"/>
                <w:sz w:val="20"/>
                <w:szCs w:val="20"/>
              </w:rPr>
            </w:pPr>
            <w:r w:rsidRPr="00503F5B">
              <w:rPr>
                <w:b/>
                <w:color w:val="BE2A18"/>
                <w:sz w:val="20"/>
                <w:szCs w:val="20"/>
              </w:rPr>
              <w:t>Volume of quarterly hour transactions</w:t>
            </w:r>
          </w:p>
          <w:p w14:paraId="5F466FF1" w14:textId="77777777" w:rsidR="00E04C6D" w:rsidRPr="00503F5B" w:rsidRDefault="00E04C6D" w:rsidP="00E04C6D">
            <w:pPr>
              <w:jc w:val="center"/>
              <w:rPr>
                <w:rFonts w:eastAsia="Times New Roman" w:cs="Calibri"/>
                <w:b/>
                <w:bCs/>
                <w:color w:val="C00000"/>
                <w:sz w:val="20"/>
                <w:szCs w:val="20"/>
                <w:lang w:eastAsia="en-AU"/>
              </w:rPr>
            </w:pPr>
            <w:r w:rsidRPr="00503F5B">
              <w:rPr>
                <w:b/>
                <w:color w:val="BE2A18"/>
                <w:sz w:val="20"/>
                <w:szCs w:val="20"/>
              </w:rPr>
              <w:t>(b1) = (x)/(a1)</w:t>
            </w:r>
          </w:p>
        </w:tc>
        <w:tc>
          <w:tcPr>
            <w:tcW w:w="1423" w:type="dxa"/>
            <w:tcBorders>
              <w:top w:val="single" w:sz="4" w:space="0" w:color="ED7C5D"/>
              <w:left w:val="nil"/>
              <w:bottom w:val="double" w:sz="4" w:space="0" w:color="ED7C5D"/>
              <w:right w:val="nil"/>
            </w:tcBorders>
            <w:shd w:val="clear" w:color="000000" w:fill="FFFFFF"/>
            <w:hideMark/>
          </w:tcPr>
          <w:p w14:paraId="2C415BC6" w14:textId="77777777" w:rsidR="00E04C6D" w:rsidRPr="00503F5B" w:rsidRDefault="00E04C6D" w:rsidP="00E04C6D">
            <w:pPr>
              <w:jc w:val="center"/>
              <w:rPr>
                <w:rFonts w:eastAsia="Times New Roman" w:cs="Calibri"/>
                <w:b/>
                <w:bCs/>
                <w:color w:val="C00000"/>
                <w:sz w:val="20"/>
                <w:szCs w:val="20"/>
                <w:lang w:eastAsia="en-AU"/>
              </w:rPr>
            </w:pPr>
            <w:r w:rsidRPr="00503F5B">
              <w:rPr>
                <w:b/>
                <w:color w:val="BE2A18"/>
                <w:sz w:val="20"/>
                <w:szCs w:val="20"/>
              </w:rPr>
              <w:t>Annual growth rate in the volume of quarterly hour transactions</w:t>
            </w:r>
          </w:p>
        </w:tc>
      </w:tr>
      <w:tr w:rsidR="00E04C6D" w:rsidRPr="00503F5B" w14:paraId="4EA855CC" w14:textId="77777777" w:rsidTr="00744FBF">
        <w:trPr>
          <w:trHeight w:val="35"/>
        </w:trPr>
        <w:tc>
          <w:tcPr>
            <w:tcW w:w="1272" w:type="dxa"/>
            <w:tcBorders>
              <w:top w:val="double" w:sz="4" w:space="0" w:color="ED7C5D"/>
              <w:left w:val="nil"/>
              <w:bottom w:val="nil"/>
              <w:right w:val="nil"/>
            </w:tcBorders>
            <w:shd w:val="clear" w:color="000000" w:fill="FFFFFF"/>
            <w:noWrap/>
            <w:hideMark/>
          </w:tcPr>
          <w:p w14:paraId="2D6FC006"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2015-16</w:t>
            </w:r>
          </w:p>
        </w:tc>
        <w:tc>
          <w:tcPr>
            <w:tcW w:w="1235" w:type="dxa"/>
            <w:tcBorders>
              <w:top w:val="double" w:sz="4" w:space="0" w:color="ED7C5D"/>
              <w:left w:val="nil"/>
              <w:bottom w:val="nil"/>
              <w:right w:val="nil"/>
            </w:tcBorders>
            <w:shd w:val="clear" w:color="000000" w:fill="FFFFFF"/>
            <w:noWrap/>
            <w:hideMark/>
          </w:tcPr>
          <w:p w14:paraId="33267E99"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$1,539,497</w:t>
            </w:r>
          </w:p>
        </w:tc>
        <w:tc>
          <w:tcPr>
            <w:tcW w:w="883" w:type="dxa"/>
            <w:tcBorders>
              <w:top w:val="double" w:sz="4" w:space="0" w:color="ED7C5D"/>
              <w:left w:val="nil"/>
              <w:bottom w:val="nil"/>
              <w:right w:val="nil"/>
            </w:tcBorders>
            <w:shd w:val="clear" w:color="000000" w:fill="FFFFFF"/>
            <w:noWrap/>
            <w:hideMark/>
          </w:tcPr>
          <w:p w14:paraId="66D373F2"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$13.60</w:t>
            </w:r>
          </w:p>
        </w:tc>
        <w:tc>
          <w:tcPr>
            <w:tcW w:w="989" w:type="dxa"/>
            <w:tcBorders>
              <w:top w:val="double" w:sz="4" w:space="0" w:color="ED7C5D"/>
              <w:left w:val="nil"/>
              <w:bottom w:val="nil"/>
              <w:right w:val="nil"/>
            </w:tcBorders>
            <w:shd w:val="clear" w:color="000000" w:fill="FFFFFF"/>
            <w:noWrap/>
            <w:hideMark/>
          </w:tcPr>
          <w:p w14:paraId="5913E5E0"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39.45</w:t>
            </w:r>
          </w:p>
        </w:tc>
        <w:tc>
          <w:tcPr>
            <w:tcW w:w="1433" w:type="dxa"/>
            <w:tcBorders>
              <w:top w:val="double" w:sz="4" w:space="0" w:color="ED7C5D"/>
              <w:left w:val="nil"/>
              <w:bottom w:val="nil"/>
              <w:right w:val="nil"/>
            </w:tcBorders>
            <w:shd w:val="clear" w:color="000000" w:fill="FFFFFF"/>
            <w:noWrap/>
            <w:hideMark/>
          </w:tcPr>
          <w:p w14:paraId="6B66AFD8"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$536.52</w:t>
            </w:r>
          </w:p>
        </w:tc>
        <w:tc>
          <w:tcPr>
            <w:tcW w:w="1270" w:type="dxa"/>
            <w:tcBorders>
              <w:top w:val="double" w:sz="4" w:space="0" w:color="ED7C5D"/>
              <w:left w:val="nil"/>
              <w:bottom w:val="nil"/>
              <w:right w:val="nil"/>
            </w:tcBorders>
            <w:shd w:val="clear" w:color="000000" w:fill="FFFFFF"/>
            <w:noWrap/>
            <w:hideMark/>
          </w:tcPr>
          <w:p w14:paraId="5D74D9C4"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2,869</w:t>
            </w:r>
          </w:p>
        </w:tc>
        <w:tc>
          <w:tcPr>
            <w:tcW w:w="1423" w:type="dxa"/>
            <w:tcBorders>
              <w:top w:val="double" w:sz="4" w:space="0" w:color="ED7C5D"/>
              <w:left w:val="nil"/>
              <w:bottom w:val="nil"/>
              <w:right w:val="nil"/>
            </w:tcBorders>
            <w:shd w:val="clear" w:color="000000" w:fill="FFFFFF"/>
            <w:noWrap/>
            <w:hideMark/>
          </w:tcPr>
          <w:p w14:paraId="66D32E69"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 </w:t>
            </w:r>
          </w:p>
        </w:tc>
      </w:tr>
      <w:tr w:rsidR="00E04C6D" w:rsidRPr="00503F5B" w14:paraId="52C32592" w14:textId="77777777" w:rsidTr="00E04C6D">
        <w:trPr>
          <w:trHeight w:val="80"/>
        </w:trPr>
        <w:tc>
          <w:tcPr>
            <w:tcW w:w="1272" w:type="dxa"/>
            <w:tcBorders>
              <w:top w:val="nil"/>
              <w:left w:val="nil"/>
              <w:bottom w:val="nil"/>
              <w:right w:val="nil"/>
            </w:tcBorders>
            <w:shd w:val="clear" w:color="000000" w:fill="FFFFFF"/>
            <w:noWrap/>
            <w:hideMark/>
          </w:tcPr>
          <w:p w14:paraId="2AF06347"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2016-17</w:t>
            </w:r>
          </w:p>
        </w:tc>
        <w:tc>
          <w:tcPr>
            <w:tcW w:w="1235" w:type="dxa"/>
            <w:tcBorders>
              <w:top w:val="nil"/>
              <w:left w:val="nil"/>
              <w:bottom w:val="nil"/>
              <w:right w:val="nil"/>
            </w:tcBorders>
            <w:shd w:val="clear" w:color="000000" w:fill="FFFFFF"/>
            <w:noWrap/>
            <w:hideMark/>
          </w:tcPr>
          <w:p w14:paraId="631D7169"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$3,048,312</w:t>
            </w:r>
          </w:p>
        </w:tc>
        <w:tc>
          <w:tcPr>
            <w:tcW w:w="883" w:type="dxa"/>
            <w:tcBorders>
              <w:top w:val="nil"/>
              <w:left w:val="nil"/>
              <w:bottom w:val="nil"/>
              <w:right w:val="nil"/>
            </w:tcBorders>
            <w:shd w:val="clear" w:color="000000" w:fill="FFFFFF"/>
            <w:noWrap/>
            <w:hideMark/>
          </w:tcPr>
          <w:p w14:paraId="7B94A215"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$13.94</w:t>
            </w:r>
          </w:p>
        </w:tc>
        <w:tc>
          <w:tcPr>
            <w:tcW w:w="989" w:type="dxa"/>
            <w:tcBorders>
              <w:top w:val="nil"/>
              <w:left w:val="nil"/>
              <w:bottom w:val="nil"/>
              <w:right w:val="nil"/>
            </w:tcBorders>
            <w:shd w:val="clear" w:color="000000" w:fill="FFFFFF"/>
            <w:noWrap/>
            <w:hideMark/>
          </w:tcPr>
          <w:p w14:paraId="101AF0C6"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39.45</w:t>
            </w:r>
          </w:p>
        </w:tc>
        <w:tc>
          <w:tcPr>
            <w:tcW w:w="1433" w:type="dxa"/>
            <w:tcBorders>
              <w:top w:val="nil"/>
              <w:left w:val="nil"/>
              <w:bottom w:val="nil"/>
              <w:right w:val="nil"/>
            </w:tcBorders>
            <w:shd w:val="clear" w:color="000000" w:fill="FFFFFF"/>
            <w:noWrap/>
            <w:hideMark/>
          </w:tcPr>
          <w:p w14:paraId="74939A31"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$549.93</w:t>
            </w:r>
          </w:p>
        </w:tc>
        <w:tc>
          <w:tcPr>
            <w:tcW w:w="1270" w:type="dxa"/>
            <w:tcBorders>
              <w:top w:val="nil"/>
              <w:left w:val="nil"/>
              <w:bottom w:val="nil"/>
              <w:right w:val="nil"/>
            </w:tcBorders>
            <w:shd w:val="clear" w:color="000000" w:fill="FFFFFF"/>
            <w:noWrap/>
            <w:hideMark/>
          </w:tcPr>
          <w:p w14:paraId="5D8F47D4"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5,543</w:t>
            </w:r>
          </w:p>
        </w:tc>
        <w:tc>
          <w:tcPr>
            <w:tcW w:w="1423" w:type="dxa"/>
            <w:tcBorders>
              <w:top w:val="nil"/>
              <w:left w:val="nil"/>
              <w:bottom w:val="nil"/>
              <w:right w:val="nil"/>
            </w:tcBorders>
            <w:shd w:val="clear" w:color="000000" w:fill="FFFFFF"/>
            <w:noWrap/>
            <w:hideMark/>
          </w:tcPr>
          <w:p w14:paraId="5CC37DEF"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93.18%</w:t>
            </w:r>
            <w:r w:rsidRPr="00503F5B">
              <w:rPr>
                <w:rStyle w:val="FootnoteReference"/>
                <w:rFonts w:eastAsia="Times New Roman" w:cs="Calibri"/>
                <w:sz w:val="20"/>
                <w:szCs w:val="20"/>
                <w:lang w:eastAsia="en-AU"/>
              </w:rPr>
              <w:footnoteReference w:id="196"/>
            </w:r>
          </w:p>
        </w:tc>
      </w:tr>
      <w:tr w:rsidR="00E04C6D" w:rsidRPr="00503F5B" w14:paraId="3E261C05" w14:textId="77777777" w:rsidTr="00E04C6D">
        <w:trPr>
          <w:trHeight w:val="80"/>
        </w:trPr>
        <w:tc>
          <w:tcPr>
            <w:tcW w:w="1272" w:type="dxa"/>
            <w:tcBorders>
              <w:top w:val="nil"/>
              <w:left w:val="nil"/>
              <w:bottom w:val="nil"/>
              <w:right w:val="nil"/>
            </w:tcBorders>
            <w:shd w:val="clear" w:color="000000" w:fill="FFFFFF"/>
            <w:noWrap/>
            <w:hideMark/>
          </w:tcPr>
          <w:p w14:paraId="23853386"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2017-18</w:t>
            </w:r>
          </w:p>
        </w:tc>
        <w:tc>
          <w:tcPr>
            <w:tcW w:w="1235" w:type="dxa"/>
            <w:tcBorders>
              <w:top w:val="nil"/>
              <w:left w:val="nil"/>
              <w:bottom w:val="nil"/>
              <w:right w:val="nil"/>
            </w:tcBorders>
            <w:shd w:val="clear" w:color="000000" w:fill="FFFFFF"/>
            <w:noWrap/>
            <w:hideMark/>
          </w:tcPr>
          <w:p w14:paraId="48165B38"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$2,739,883</w:t>
            </w:r>
          </w:p>
        </w:tc>
        <w:tc>
          <w:tcPr>
            <w:tcW w:w="883" w:type="dxa"/>
            <w:tcBorders>
              <w:top w:val="nil"/>
              <w:left w:val="nil"/>
              <w:bottom w:val="nil"/>
              <w:right w:val="nil"/>
            </w:tcBorders>
            <w:shd w:val="clear" w:color="000000" w:fill="FFFFFF"/>
            <w:noWrap/>
            <w:hideMark/>
          </w:tcPr>
          <w:p w14:paraId="1CB64E62"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$14.30</w:t>
            </w:r>
          </w:p>
        </w:tc>
        <w:tc>
          <w:tcPr>
            <w:tcW w:w="989" w:type="dxa"/>
            <w:tcBorders>
              <w:top w:val="nil"/>
              <w:left w:val="nil"/>
              <w:bottom w:val="nil"/>
              <w:right w:val="nil"/>
            </w:tcBorders>
            <w:shd w:val="clear" w:color="000000" w:fill="FFFFFF"/>
            <w:noWrap/>
            <w:hideMark/>
          </w:tcPr>
          <w:p w14:paraId="18E9D3AE"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39.45</w:t>
            </w:r>
          </w:p>
        </w:tc>
        <w:tc>
          <w:tcPr>
            <w:tcW w:w="1433" w:type="dxa"/>
            <w:tcBorders>
              <w:top w:val="nil"/>
              <w:left w:val="nil"/>
              <w:bottom w:val="nil"/>
              <w:right w:val="nil"/>
            </w:tcBorders>
            <w:shd w:val="clear" w:color="000000" w:fill="FFFFFF"/>
            <w:noWrap/>
            <w:hideMark/>
          </w:tcPr>
          <w:p w14:paraId="5D6A7806"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$564.14</w:t>
            </w:r>
          </w:p>
        </w:tc>
        <w:tc>
          <w:tcPr>
            <w:tcW w:w="1270" w:type="dxa"/>
            <w:tcBorders>
              <w:top w:val="nil"/>
              <w:left w:val="nil"/>
              <w:bottom w:val="nil"/>
              <w:right w:val="nil"/>
            </w:tcBorders>
            <w:shd w:val="clear" w:color="000000" w:fill="FFFFFF"/>
            <w:noWrap/>
            <w:hideMark/>
          </w:tcPr>
          <w:p w14:paraId="588B78C3"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4,857</w:t>
            </w:r>
          </w:p>
        </w:tc>
        <w:tc>
          <w:tcPr>
            <w:tcW w:w="1423" w:type="dxa"/>
            <w:tcBorders>
              <w:top w:val="nil"/>
              <w:left w:val="nil"/>
              <w:bottom w:val="nil"/>
              <w:right w:val="nil"/>
            </w:tcBorders>
            <w:shd w:val="clear" w:color="000000" w:fill="FFFFFF"/>
            <w:noWrap/>
            <w:hideMark/>
          </w:tcPr>
          <w:p w14:paraId="79A4B0F8"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-12.38%</w:t>
            </w:r>
          </w:p>
        </w:tc>
      </w:tr>
      <w:tr w:rsidR="00E04C6D" w:rsidRPr="00503F5B" w14:paraId="49156D6B" w14:textId="77777777" w:rsidTr="00744FBF">
        <w:trPr>
          <w:trHeight w:val="80"/>
        </w:trPr>
        <w:tc>
          <w:tcPr>
            <w:tcW w:w="1272" w:type="dxa"/>
            <w:tcBorders>
              <w:top w:val="nil"/>
              <w:left w:val="nil"/>
              <w:bottom w:val="single" w:sz="4" w:space="0" w:color="ED7C5D"/>
              <w:right w:val="nil"/>
            </w:tcBorders>
            <w:shd w:val="clear" w:color="000000" w:fill="FFFFFF"/>
            <w:noWrap/>
            <w:hideMark/>
          </w:tcPr>
          <w:p w14:paraId="570DC475"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2018-19</w:t>
            </w:r>
          </w:p>
        </w:tc>
        <w:tc>
          <w:tcPr>
            <w:tcW w:w="1235" w:type="dxa"/>
            <w:tcBorders>
              <w:top w:val="nil"/>
              <w:left w:val="nil"/>
              <w:bottom w:val="single" w:sz="4" w:space="0" w:color="ED7C5D"/>
              <w:right w:val="nil"/>
            </w:tcBorders>
            <w:shd w:val="clear" w:color="000000" w:fill="FFFFFF"/>
            <w:noWrap/>
            <w:hideMark/>
          </w:tcPr>
          <w:p w14:paraId="463691C6"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$2,463,590</w:t>
            </w:r>
          </w:p>
        </w:tc>
        <w:tc>
          <w:tcPr>
            <w:tcW w:w="883" w:type="dxa"/>
            <w:tcBorders>
              <w:top w:val="nil"/>
              <w:left w:val="nil"/>
              <w:bottom w:val="single" w:sz="4" w:space="0" w:color="ED7C5D"/>
              <w:right w:val="nil"/>
            </w:tcBorders>
            <w:shd w:val="clear" w:color="000000" w:fill="FFFFFF"/>
            <w:noWrap/>
            <w:hideMark/>
          </w:tcPr>
          <w:p w14:paraId="36832788"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$14.45</w:t>
            </w:r>
          </w:p>
        </w:tc>
        <w:tc>
          <w:tcPr>
            <w:tcW w:w="989" w:type="dxa"/>
            <w:tcBorders>
              <w:top w:val="nil"/>
              <w:left w:val="nil"/>
              <w:bottom w:val="single" w:sz="4" w:space="0" w:color="ED7C5D"/>
              <w:right w:val="nil"/>
            </w:tcBorders>
            <w:shd w:val="clear" w:color="000000" w:fill="FFFFFF"/>
            <w:noWrap/>
            <w:hideMark/>
          </w:tcPr>
          <w:p w14:paraId="609054A3"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39.45</w:t>
            </w:r>
          </w:p>
        </w:tc>
        <w:tc>
          <w:tcPr>
            <w:tcW w:w="1433" w:type="dxa"/>
            <w:tcBorders>
              <w:top w:val="nil"/>
              <w:left w:val="nil"/>
              <w:bottom w:val="single" w:sz="4" w:space="0" w:color="ED7C5D"/>
              <w:right w:val="nil"/>
            </w:tcBorders>
            <w:shd w:val="clear" w:color="000000" w:fill="FFFFFF"/>
            <w:noWrap/>
            <w:hideMark/>
          </w:tcPr>
          <w:p w14:paraId="1C0BCEF4"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$570.05</w:t>
            </w:r>
          </w:p>
        </w:tc>
        <w:tc>
          <w:tcPr>
            <w:tcW w:w="1270" w:type="dxa"/>
            <w:tcBorders>
              <w:top w:val="nil"/>
              <w:left w:val="nil"/>
              <w:bottom w:val="single" w:sz="4" w:space="0" w:color="ED7C5D"/>
              <w:right w:val="nil"/>
            </w:tcBorders>
            <w:shd w:val="clear" w:color="000000" w:fill="FFFFFF"/>
            <w:noWrap/>
            <w:hideMark/>
          </w:tcPr>
          <w:p w14:paraId="0C0F2309"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4,322</w:t>
            </w:r>
          </w:p>
        </w:tc>
        <w:tc>
          <w:tcPr>
            <w:tcW w:w="1423" w:type="dxa"/>
            <w:tcBorders>
              <w:top w:val="nil"/>
              <w:left w:val="nil"/>
              <w:bottom w:val="single" w:sz="4" w:space="0" w:color="ED7C5D"/>
              <w:right w:val="nil"/>
            </w:tcBorders>
            <w:shd w:val="clear" w:color="000000" w:fill="FFFFFF"/>
            <w:noWrap/>
            <w:hideMark/>
          </w:tcPr>
          <w:p w14:paraId="3BBFD32E"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-11.02%</w:t>
            </w:r>
          </w:p>
        </w:tc>
      </w:tr>
    </w:tbl>
    <w:p w14:paraId="56137650" w14:textId="77777777" w:rsidR="00E04C6D" w:rsidRPr="00503F5B" w:rsidRDefault="00E04C6D" w:rsidP="00E04C6D">
      <w:pPr>
        <w:jc w:val="both"/>
      </w:pPr>
    </w:p>
    <w:p w14:paraId="43AED01A" w14:textId="340550EB" w:rsidR="00E04C6D" w:rsidRPr="00503F5B" w:rsidRDefault="00E04C6D" w:rsidP="00E04C6D">
      <w:pPr>
        <w:jc w:val="both"/>
      </w:pPr>
      <w:r w:rsidRPr="00503F5B">
        <w:t xml:space="preserve">Based on Table A3.3, the </w:t>
      </w:r>
      <w:r w:rsidRPr="00503F5B">
        <w:rPr>
          <w:b/>
          <w:i/>
        </w:rPr>
        <w:t>average annual decrease in quarterly hour transactions for CFA integrated stations</w:t>
      </w:r>
      <w:r w:rsidRPr="00503F5B">
        <w:t xml:space="preserve"> </w:t>
      </w:r>
      <w:r w:rsidRPr="00503F5B">
        <w:rPr>
          <w:b/>
          <w:i/>
        </w:rPr>
        <w:t>is 11.7%</w:t>
      </w:r>
      <w:r w:rsidRPr="00503F5B">
        <w:t>.</w:t>
      </w:r>
    </w:p>
    <w:p w14:paraId="247244A6" w14:textId="77777777" w:rsidR="00E04C6D" w:rsidRPr="00503F5B" w:rsidRDefault="00E04C6D" w:rsidP="00E04C6D">
      <w:pPr>
        <w:jc w:val="both"/>
        <w:rPr>
          <w:b/>
          <w:bCs/>
        </w:rPr>
      </w:pPr>
    </w:p>
    <w:p w14:paraId="4EC0478E" w14:textId="1E74353B" w:rsidR="00E04C6D" w:rsidRPr="00503F5B" w:rsidRDefault="00E04C6D" w:rsidP="00E04C6D">
      <w:pPr>
        <w:jc w:val="both"/>
      </w:pPr>
      <w:r w:rsidRPr="00503F5B">
        <w:t xml:space="preserve">Table A3.4 shows the projected annual quarterly hour transactions for both </w:t>
      </w:r>
      <w:r w:rsidR="00595DFB" w:rsidRPr="00503F5B">
        <w:t>MFB</w:t>
      </w:r>
      <w:r w:rsidRPr="00503F5B">
        <w:t xml:space="preserve"> and CFA integrated station components of FRV with a total number </w:t>
      </w:r>
      <w:r w:rsidRPr="00503F5B">
        <w:rPr>
          <w:b/>
          <w:bCs/>
        </w:rPr>
        <w:t>261,320 transactions</w:t>
      </w:r>
      <w:r w:rsidRPr="00503F5B">
        <w:t xml:space="preserve"> projected over 10 years.  Importantly, the growth in MFB transactions is based on a 4.49% annual growth rate from Table A3.1 and the decline CFA transactions is based on a 11.7% annual reduction in activities (see Table A3.3) </w:t>
      </w:r>
      <w:r w:rsidRPr="000C18EC">
        <w:t>w</w:t>
      </w:r>
      <w:r w:rsidR="004E1CF3" w:rsidRPr="000C18EC">
        <w:t>hich CFA has advised is likely to continue</w:t>
      </w:r>
      <w:r w:rsidR="008C53D8">
        <w:t xml:space="preserve"> based on current policies and projections</w:t>
      </w:r>
      <w:r w:rsidRPr="00503F5B">
        <w:t xml:space="preserve">.  </w:t>
      </w:r>
    </w:p>
    <w:p w14:paraId="4185F5B7" w14:textId="77777777" w:rsidR="00E04C6D" w:rsidRPr="00503F5B" w:rsidRDefault="00E04C6D" w:rsidP="00E04C6D">
      <w:pPr>
        <w:jc w:val="both"/>
      </w:pPr>
    </w:p>
    <w:p w14:paraId="4B30533C" w14:textId="44D35450" w:rsidR="00E04C6D" w:rsidRPr="00503F5B" w:rsidRDefault="00E04C6D" w:rsidP="00E04C6D">
      <w:pPr>
        <w:jc w:val="center"/>
        <w:rPr>
          <w:b/>
          <w:sz w:val="20"/>
          <w:szCs w:val="20"/>
        </w:rPr>
      </w:pPr>
      <w:bookmarkStart w:id="299" w:name="_Hlk32323891"/>
      <w:r w:rsidRPr="00503F5B">
        <w:rPr>
          <w:b/>
          <w:sz w:val="20"/>
          <w:szCs w:val="20"/>
        </w:rPr>
        <w:t>TableA3.4: Projected annual volume of ‘quarterly hour’ transactions for emergency attendances for false alarms for FRV – 20</w:t>
      </w:r>
      <w:r w:rsidR="005424B0" w:rsidRPr="00503F5B">
        <w:rPr>
          <w:b/>
          <w:sz w:val="20"/>
          <w:szCs w:val="20"/>
        </w:rPr>
        <w:t>19</w:t>
      </w:r>
      <w:r w:rsidRPr="00503F5B">
        <w:rPr>
          <w:b/>
          <w:sz w:val="20"/>
          <w:szCs w:val="20"/>
        </w:rPr>
        <w:t>-2</w:t>
      </w:r>
      <w:r w:rsidR="005424B0" w:rsidRPr="00503F5B">
        <w:rPr>
          <w:b/>
          <w:sz w:val="20"/>
          <w:szCs w:val="20"/>
        </w:rPr>
        <w:t>0</w:t>
      </w:r>
      <w:r w:rsidRPr="00503F5B">
        <w:rPr>
          <w:b/>
          <w:sz w:val="20"/>
          <w:szCs w:val="20"/>
        </w:rPr>
        <w:t xml:space="preserve"> to 2029-30</w:t>
      </w:r>
    </w:p>
    <w:p w14:paraId="17F5F1E7" w14:textId="77777777" w:rsidR="00E04C6D" w:rsidRPr="00503F5B" w:rsidRDefault="00E04C6D" w:rsidP="00E04C6D">
      <w:pPr>
        <w:jc w:val="both"/>
      </w:pPr>
    </w:p>
    <w:tbl>
      <w:tblPr>
        <w:tblW w:w="7774" w:type="dxa"/>
        <w:jc w:val="center"/>
        <w:tblLook w:val="04A0" w:firstRow="1" w:lastRow="0" w:firstColumn="1" w:lastColumn="0" w:noHBand="0" w:noVBand="1"/>
      </w:tblPr>
      <w:tblGrid>
        <w:gridCol w:w="2127"/>
        <w:gridCol w:w="1416"/>
        <w:gridCol w:w="1396"/>
        <w:gridCol w:w="1417"/>
        <w:gridCol w:w="1418"/>
      </w:tblGrid>
      <w:tr w:rsidR="00E04C6D" w:rsidRPr="00503F5B" w14:paraId="54A4BBE8" w14:textId="77777777" w:rsidTr="005424B0">
        <w:trPr>
          <w:trHeight w:val="89"/>
          <w:jc w:val="center"/>
        </w:trPr>
        <w:tc>
          <w:tcPr>
            <w:tcW w:w="2127" w:type="dxa"/>
            <w:tcBorders>
              <w:top w:val="single" w:sz="4" w:space="0" w:color="ED7C5D"/>
              <w:left w:val="nil"/>
              <w:bottom w:val="double" w:sz="4" w:space="0" w:color="ED7C5D"/>
              <w:right w:val="nil"/>
            </w:tcBorders>
            <w:shd w:val="clear" w:color="000000" w:fill="FFFFFF"/>
            <w:noWrap/>
            <w:hideMark/>
          </w:tcPr>
          <w:p w14:paraId="514DDADF" w14:textId="77777777" w:rsidR="00E04C6D" w:rsidRPr="00503F5B" w:rsidRDefault="00E04C6D" w:rsidP="00E04C6D">
            <w:pPr>
              <w:rPr>
                <w:rFonts w:eastAsia="Times New Roman" w:cs="Calibri"/>
                <w:b/>
                <w:bCs/>
                <w:color w:val="C00000"/>
                <w:sz w:val="20"/>
                <w:szCs w:val="20"/>
                <w:lang w:eastAsia="en-AU"/>
              </w:rPr>
            </w:pPr>
            <w:r w:rsidRPr="00503F5B">
              <w:rPr>
                <w:rFonts w:eastAsia="Times New Roman" w:cs="Calibri"/>
                <w:b/>
                <w:bCs/>
                <w:color w:val="C00000"/>
                <w:sz w:val="20"/>
                <w:szCs w:val="20"/>
                <w:lang w:eastAsia="en-AU"/>
              </w:rPr>
              <w:t>Year</w:t>
            </w:r>
          </w:p>
        </w:tc>
        <w:tc>
          <w:tcPr>
            <w:tcW w:w="1416" w:type="dxa"/>
            <w:tcBorders>
              <w:top w:val="single" w:sz="4" w:space="0" w:color="ED7C5D"/>
              <w:left w:val="nil"/>
              <w:bottom w:val="double" w:sz="4" w:space="0" w:color="ED7C5D"/>
              <w:right w:val="nil"/>
            </w:tcBorders>
            <w:shd w:val="clear" w:color="000000" w:fill="FFFFFF"/>
            <w:noWrap/>
            <w:hideMark/>
          </w:tcPr>
          <w:p w14:paraId="32D28071"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MFB transactions</w:t>
            </w:r>
          </w:p>
        </w:tc>
        <w:tc>
          <w:tcPr>
            <w:tcW w:w="1396" w:type="dxa"/>
            <w:tcBorders>
              <w:top w:val="single" w:sz="4" w:space="0" w:color="ED7C5D"/>
              <w:left w:val="nil"/>
              <w:bottom w:val="double" w:sz="4" w:space="0" w:color="ED7C5D"/>
              <w:right w:val="nil"/>
            </w:tcBorders>
            <w:shd w:val="clear" w:color="000000" w:fill="FFFFFF"/>
            <w:noWrap/>
            <w:hideMark/>
          </w:tcPr>
          <w:p w14:paraId="50964A50"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CFA integrated stations transactions</w:t>
            </w:r>
          </w:p>
        </w:tc>
        <w:tc>
          <w:tcPr>
            <w:tcW w:w="1417" w:type="dxa"/>
            <w:tcBorders>
              <w:top w:val="single" w:sz="4" w:space="0" w:color="ED7C5D"/>
              <w:left w:val="nil"/>
              <w:bottom w:val="double" w:sz="4" w:space="0" w:color="ED7C5D"/>
              <w:right w:val="nil"/>
            </w:tcBorders>
            <w:shd w:val="clear" w:color="000000" w:fill="FFFFFF"/>
            <w:noWrap/>
            <w:hideMark/>
          </w:tcPr>
          <w:p w14:paraId="30ADC20B"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FRV transactions</w:t>
            </w:r>
          </w:p>
        </w:tc>
        <w:tc>
          <w:tcPr>
            <w:tcW w:w="1418" w:type="dxa"/>
            <w:tcBorders>
              <w:top w:val="single" w:sz="4" w:space="0" w:color="ED7C5D"/>
              <w:left w:val="nil"/>
              <w:bottom w:val="double" w:sz="4" w:space="0" w:color="ED7C5D"/>
              <w:right w:val="nil"/>
            </w:tcBorders>
            <w:shd w:val="clear" w:color="000000" w:fill="FFFFFF"/>
            <w:noWrap/>
            <w:hideMark/>
          </w:tcPr>
          <w:p w14:paraId="14F9F7D1" w14:textId="52A5502D"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 xml:space="preserve">CFA integrated station as % of </w:t>
            </w:r>
            <w:r w:rsidR="005424B0" w:rsidRPr="00503F5B">
              <w:rPr>
                <w:rFonts w:eastAsia="Times New Roman" w:cs="Calibri"/>
                <w:b/>
                <w:bCs/>
                <w:color w:val="C00000"/>
                <w:sz w:val="20"/>
                <w:szCs w:val="20"/>
                <w:lang w:eastAsia="en-AU"/>
              </w:rPr>
              <w:t xml:space="preserve">total </w:t>
            </w:r>
            <w:r w:rsidRPr="00503F5B">
              <w:rPr>
                <w:rFonts w:eastAsia="Times New Roman" w:cs="Calibri"/>
                <w:b/>
                <w:bCs/>
                <w:color w:val="C00000"/>
                <w:sz w:val="20"/>
                <w:szCs w:val="20"/>
                <w:lang w:eastAsia="en-AU"/>
              </w:rPr>
              <w:t>FRV</w:t>
            </w:r>
            <w:r w:rsidR="005424B0" w:rsidRPr="00503F5B">
              <w:rPr>
                <w:rFonts w:eastAsia="Times New Roman" w:cs="Calibri"/>
                <w:b/>
                <w:bCs/>
                <w:color w:val="C00000"/>
                <w:sz w:val="20"/>
                <w:szCs w:val="20"/>
                <w:lang w:eastAsia="en-AU"/>
              </w:rPr>
              <w:t xml:space="preserve"> transactions</w:t>
            </w:r>
          </w:p>
        </w:tc>
      </w:tr>
      <w:tr w:rsidR="002C7E56" w:rsidRPr="00503F5B" w14:paraId="7DF134BA" w14:textId="77777777" w:rsidTr="005424B0">
        <w:trPr>
          <w:trHeight w:val="50"/>
          <w:jc w:val="center"/>
        </w:trPr>
        <w:tc>
          <w:tcPr>
            <w:tcW w:w="2127" w:type="dxa"/>
            <w:tcBorders>
              <w:top w:val="double" w:sz="4" w:space="0" w:color="ED7C5D"/>
              <w:left w:val="nil"/>
              <w:right w:val="nil"/>
            </w:tcBorders>
            <w:shd w:val="clear" w:color="000000" w:fill="FFFFFF"/>
            <w:noWrap/>
          </w:tcPr>
          <w:p w14:paraId="7203F311" w14:textId="5BA4FA4C" w:rsidR="002C7E56" w:rsidRPr="00503F5B" w:rsidRDefault="002C7E56" w:rsidP="002C7E56">
            <w:pPr>
              <w:rPr>
                <w:rFonts w:eastAsia="Times New Roman" w:cs="Calibri"/>
                <w:sz w:val="20"/>
                <w:szCs w:val="20"/>
                <w:lang w:eastAsia="en-AU"/>
              </w:rPr>
            </w:pPr>
            <w:r w:rsidRPr="00503F5B">
              <w:rPr>
                <w:sz w:val="20"/>
                <w:szCs w:val="20"/>
              </w:rPr>
              <w:t>2019-20</w:t>
            </w:r>
          </w:p>
        </w:tc>
        <w:tc>
          <w:tcPr>
            <w:tcW w:w="1416" w:type="dxa"/>
            <w:tcBorders>
              <w:top w:val="double" w:sz="4" w:space="0" w:color="ED7C5D"/>
              <w:left w:val="nil"/>
              <w:right w:val="nil"/>
            </w:tcBorders>
            <w:shd w:val="clear" w:color="000000" w:fill="FFFFFF"/>
            <w:noWrap/>
          </w:tcPr>
          <w:p w14:paraId="1C90BDE0" w14:textId="632316A4" w:rsidR="002C7E56" w:rsidRPr="00503F5B" w:rsidRDefault="002C7E56" w:rsidP="002C7E56">
            <w:pPr>
              <w:jc w:val="right"/>
              <w:rPr>
                <w:rFonts w:eastAsia="Times New Roman" w:cs="Calibri"/>
                <w:sz w:val="20"/>
                <w:szCs w:val="20"/>
                <w:lang w:eastAsia="en-AU"/>
              </w:rPr>
            </w:pPr>
            <w:r w:rsidRPr="00503F5B">
              <w:rPr>
                <w:sz w:val="20"/>
                <w:szCs w:val="20"/>
              </w:rPr>
              <w:t xml:space="preserve"> 18,686 </w:t>
            </w:r>
          </w:p>
        </w:tc>
        <w:tc>
          <w:tcPr>
            <w:tcW w:w="1396" w:type="dxa"/>
            <w:tcBorders>
              <w:top w:val="double" w:sz="4" w:space="0" w:color="ED7C5D"/>
              <w:left w:val="nil"/>
              <w:right w:val="nil"/>
            </w:tcBorders>
            <w:shd w:val="clear" w:color="000000" w:fill="FFFFFF"/>
            <w:noWrap/>
          </w:tcPr>
          <w:p w14:paraId="77D10706" w14:textId="54287408" w:rsidR="002C7E56" w:rsidRPr="00503F5B" w:rsidRDefault="002C7E56" w:rsidP="002C7E56">
            <w:pPr>
              <w:jc w:val="right"/>
              <w:rPr>
                <w:rFonts w:eastAsia="Times New Roman" w:cs="Calibri"/>
                <w:sz w:val="20"/>
                <w:szCs w:val="20"/>
                <w:lang w:eastAsia="en-AU"/>
              </w:rPr>
            </w:pPr>
            <w:r w:rsidRPr="00503F5B">
              <w:rPr>
                <w:sz w:val="20"/>
                <w:szCs w:val="20"/>
              </w:rPr>
              <w:t xml:space="preserve"> 3,766 </w:t>
            </w:r>
          </w:p>
        </w:tc>
        <w:tc>
          <w:tcPr>
            <w:tcW w:w="1417" w:type="dxa"/>
            <w:tcBorders>
              <w:top w:val="double" w:sz="4" w:space="0" w:color="ED7C5D"/>
              <w:left w:val="nil"/>
              <w:right w:val="nil"/>
            </w:tcBorders>
            <w:shd w:val="clear" w:color="000000" w:fill="FFFFFF"/>
            <w:noWrap/>
          </w:tcPr>
          <w:p w14:paraId="29076A6A" w14:textId="2EF84AAC" w:rsidR="002C7E56" w:rsidRPr="00503F5B" w:rsidRDefault="002C7E56" w:rsidP="002C7E56">
            <w:pPr>
              <w:jc w:val="right"/>
              <w:rPr>
                <w:rFonts w:eastAsia="Times New Roman" w:cs="Calibri"/>
                <w:b/>
                <w:bCs/>
                <w:sz w:val="20"/>
                <w:szCs w:val="20"/>
                <w:lang w:eastAsia="en-AU"/>
              </w:rPr>
            </w:pPr>
            <w:r w:rsidRPr="00503F5B">
              <w:rPr>
                <w:sz w:val="20"/>
                <w:szCs w:val="20"/>
              </w:rPr>
              <w:t xml:space="preserve"> </w:t>
            </w:r>
            <w:r w:rsidRPr="00503F5B">
              <w:rPr>
                <w:b/>
                <w:bCs/>
                <w:sz w:val="20"/>
                <w:szCs w:val="20"/>
              </w:rPr>
              <w:t xml:space="preserve">22,451 </w:t>
            </w:r>
          </w:p>
        </w:tc>
        <w:tc>
          <w:tcPr>
            <w:tcW w:w="1418" w:type="dxa"/>
            <w:tcBorders>
              <w:top w:val="double" w:sz="4" w:space="0" w:color="ED7C5D"/>
              <w:left w:val="nil"/>
              <w:right w:val="nil"/>
            </w:tcBorders>
            <w:shd w:val="clear" w:color="000000" w:fill="FFFFFF"/>
            <w:noWrap/>
          </w:tcPr>
          <w:p w14:paraId="1C8A3A74" w14:textId="06557451" w:rsidR="002C7E56" w:rsidRPr="00503F5B" w:rsidRDefault="002C7E56" w:rsidP="002C7E56">
            <w:pPr>
              <w:jc w:val="right"/>
              <w:rPr>
                <w:rFonts w:eastAsia="Times New Roman" w:cs="Calibri"/>
                <w:sz w:val="20"/>
                <w:szCs w:val="20"/>
                <w:lang w:eastAsia="en-AU"/>
              </w:rPr>
            </w:pPr>
            <w:r w:rsidRPr="00503F5B">
              <w:rPr>
                <w:sz w:val="20"/>
                <w:szCs w:val="20"/>
              </w:rPr>
              <w:t>16.77%</w:t>
            </w:r>
          </w:p>
        </w:tc>
      </w:tr>
      <w:tr w:rsidR="00E04C6D" w:rsidRPr="00503F5B" w14:paraId="7CE37909" w14:textId="77777777" w:rsidTr="002C7E56">
        <w:trPr>
          <w:trHeight w:val="50"/>
          <w:jc w:val="center"/>
        </w:trPr>
        <w:tc>
          <w:tcPr>
            <w:tcW w:w="2127" w:type="dxa"/>
            <w:tcBorders>
              <w:left w:val="nil"/>
              <w:bottom w:val="nil"/>
              <w:right w:val="nil"/>
            </w:tcBorders>
            <w:shd w:val="clear" w:color="auto" w:fill="FBE4D5" w:themeFill="accent2" w:themeFillTint="33"/>
            <w:noWrap/>
            <w:hideMark/>
          </w:tcPr>
          <w:p w14:paraId="4EC988D9"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2020-21</w:t>
            </w:r>
          </w:p>
        </w:tc>
        <w:tc>
          <w:tcPr>
            <w:tcW w:w="1416" w:type="dxa"/>
            <w:tcBorders>
              <w:left w:val="nil"/>
              <w:bottom w:val="nil"/>
              <w:right w:val="nil"/>
            </w:tcBorders>
            <w:shd w:val="clear" w:color="auto" w:fill="FBE4D5" w:themeFill="accent2" w:themeFillTint="33"/>
            <w:noWrap/>
            <w:hideMark/>
          </w:tcPr>
          <w:p w14:paraId="2493D74F"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19,608</w:t>
            </w:r>
          </w:p>
        </w:tc>
        <w:tc>
          <w:tcPr>
            <w:tcW w:w="1396" w:type="dxa"/>
            <w:tcBorders>
              <w:left w:val="nil"/>
              <w:bottom w:val="nil"/>
              <w:right w:val="nil"/>
            </w:tcBorders>
            <w:shd w:val="clear" w:color="auto" w:fill="FBE4D5" w:themeFill="accent2" w:themeFillTint="33"/>
            <w:noWrap/>
            <w:hideMark/>
          </w:tcPr>
          <w:p w14:paraId="56B7A972"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3,370</w:t>
            </w:r>
          </w:p>
        </w:tc>
        <w:tc>
          <w:tcPr>
            <w:tcW w:w="1417" w:type="dxa"/>
            <w:tcBorders>
              <w:left w:val="nil"/>
              <w:bottom w:val="nil"/>
              <w:right w:val="nil"/>
            </w:tcBorders>
            <w:shd w:val="clear" w:color="auto" w:fill="FBE4D5" w:themeFill="accent2" w:themeFillTint="33"/>
            <w:noWrap/>
            <w:hideMark/>
          </w:tcPr>
          <w:p w14:paraId="5EEC59A5"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22,978</w:t>
            </w:r>
          </w:p>
        </w:tc>
        <w:tc>
          <w:tcPr>
            <w:tcW w:w="1418" w:type="dxa"/>
            <w:tcBorders>
              <w:left w:val="nil"/>
              <w:bottom w:val="nil"/>
              <w:right w:val="nil"/>
            </w:tcBorders>
            <w:shd w:val="clear" w:color="auto" w:fill="FBE4D5" w:themeFill="accent2" w:themeFillTint="33"/>
            <w:noWrap/>
            <w:hideMark/>
          </w:tcPr>
          <w:p w14:paraId="2C3809FA"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14.66%</w:t>
            </w:r>
          </w:p>
        </w:tc>
      </w:tr>
      <w:tr w:rsidR="00E04C6D" w:rsidRPr="00503F5B" w14:paraId="0B7F1A9F" w14:textId="77777777" w:rsidTr="002C7E56">
        <w:trPr>
          <w:trHeight w:val="50"/>
          <w:jc w:val="center"/>
        </w:trPr>
        <w:tc>
          <w:tcPr>
            <w:tcW w:w="2127" w:type="dxa"/>
            <w:tcBorders>
              <w:top w:val="nil"/>
              <w:left w:val="nil"/>
              <w:bottom w:val="nil"/>
              <w:right w:val="nil"/>
            </w:tcBorders>
            <w:shd w:val="clear" w:color="auto" w:fill="FBE4D5" w:themeFill="accent2" w:themeFillTint="33"/>
            <w:noWrap/>
            <w:hideMark/>
          </w:tcPr>
          <w:p w14:paraId="3DA73778"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2021-22</w:t>
            </w:r>
          </w:p>
        </w:tc>
        <w:tc>
          <w:tcPr>
            <w:tcW w:w="1416" w:type="dxa"/>
            <w:tcBorders>
              <w:top w:val="nil"/>
              <w:left w:val="nil"/>
              <w:bottom w:val="nil"/>
              <w:right w:val="nil"/>
            </w:tcBorders>
            <w:shd w:val="clear" w:color="auto" w:fill="FBE4D5" w:themeFill="accent2" w:themeFillTint="33"/>
            <w:noWrap/>
            <w:hideMark/>
          </w:tcPr>
          <w:p w14:paraId="5307D155"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20,488</w:t>
            </w:r>
          </w:p>
        </w:tc>
        <w:tc>
          <w:tcPr>
            <w:tcW w:w="1396" w:type="dxa"/>
            <w:tcBorders>
              <w:top w:val="nil"/>
              <w:left w:val="nil"/>
              <w:bottom w:val="nil"/>
              <w:right w:val="nil"/>
            </w:tcBorders>
            <w:shd w:val="clear" w:color="auto" w:fill="FBE4D5" w:themeFill="accent2" w:themeFillTint="33"/>
            <w:noWrap/>
            <w:hideMark/>
          </w:tcPr>
          <w:p w14:paraId="6DF68271"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2,975</w:t>
            </w:r>
          </w:p>
        </w:tc>
        <w:tc>
          <w:tcPr>
            <w:tcW w:w="1417" w:type="dxa"/>
            <w:tcBorders>
              <w:top w:val="nil"/>
              <w:left w:val="nil"/>
              <w:bottom w:val="nil"/>
              <w:right w:val="nil"/>
            </w:tcBorders>
            <w:shd w:val="clear" w:color="auto" w:fill="FBE4D5" w:themeFill="accent2" w:themeFillTint="33"/>
            <w:noWrap/>
            <w:hideMark/>
          </w:tcPr>
          <w:p w14:paraId="24F71DB7"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23,464</w:t>
            </w:r>
          </w:p>
        </w:tc>
        <w:tc>
          <w:tcPr>
            <w:tcW w:w="1418" w:type="dxa"/>
            <w:tcBorders>
              <w:top w:val="nil"/>
              <w:left w:val="nil"/>
              <w:bottom w:val="nil"/>
              <w:right w:val="nil"/>
            </w:tcBorders>
            <w:shd w:val="clear" w:color="auto" w:fill="FBE4D5" w:themeFill="accent2" w:themeFillTint="33"/>
            <w:noWrap/>
            <w:hideMark/>
          </w:tcPr>
          <w:p w14:paraId="373BC847"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12.68%</w:t>
            </w:r>
          </w:p>
        </w:tc>
      </w:tr>
      <w:tr w:rsidR="00E04C6D" w:rsidRPr="00503F5B" w14:paraId="1210FE5D" w14:textId="77777777" w:rsidTr="002C7E56">
        <w:trPr>
          <w:trHeight w:val="50"/>
          <w:jc w:val="center"/>
        </w:trPr>
        <w:tc>
          <w:tcPr>
            <w:tcW w:w="2127" w:type="dxa"/>
            <w:tcBorders>
              <w:top w:val="nil"/>
              <w:left w:val="nil"/>
              <w:bottom w:val="nil"/>
              <w:right w:val="nil"/>
            </w:tcBorders>
            <w:shd w:val="clear" w:color="auto" w:fill="FBE4D5" w:themeFill="accent2" w:themeFillTint="33"/>
            <w:noWrap/>
            <w:hideMark/>
          </w:tcPr>
          <w:p w14:paraId="262CFC89"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2022-23</w:t>
            </w:r>
          </w:p>
        </w:tc>
        <w:tc>
          <w:tcPr>
            <w:tcW w:w="1416" w:type="dxa"/>
            <w:tcBorders>
              <w:top w:val="nil"/>
              <w:left w:val="nil"/>
              <w:bottom w:val="nil"/>
              <w:right w:val="nil"/>
            </w:tcBorders>
            <w:shd w:val="clear" w:color="auto" w:fill="FBE4D5" w:themeFill="accent2" w:themeFillTint="33"/>
            <w:noWrap/>
            <w:hideMark/>
          </w:tcPr>
          <w:p w14:paraId="26E0E525"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21,408</w:t>
            </w:r>
          </w:p>
        </w:tc>
        <w:tc>
          <w:tcPr>
            <w:tcW w:w="1396" w:type="dxa"/>
            <w:tcBorders>
              <w:top w:val="nil"/>
              <w:left w:val="nil"/>
              <w:bottom w:val="nil"/>
              <w:right w:val="nil"/>
            </w:tcBorders>
            <w:shd w:val="clear" w:color="auto" w:fill="FBE4D5" w:themeFill="accent2" w:themeFillTint="33"/>
            <w:noWrap/>
            <w:hideMark/>
          </w:tcPr>
          <w:p w14:paraId="1CC379F6"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2,627</w:t>
            </w:r>
          </w:p>
        </w:tc>
        <w:tc>
          <w:tcPr>
            <w:tcW w:w="1417" w:type="dxa"/>
            <w:tcBorders>
              <w:top w:val="nil"/>
              <w:left w:val="nil"/>
              <w:bottom w:val="nil"/>
              <w:right w:val="nil"/>
            </w:tcBorders>
            <w:shd w:val="clear" w:color="auto" w:fill="FBE4D5" w:themeFill="accent2" w:themeFillTint="33"/>
            <w:noWrap/>
            <w:hideMark/>
          </w:tcPr>
          <w:p w14:paraId="122A8AB7"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24,035</w:t>
            </w:r>
          </w:p>
        </w:tc>
        <w:tc>
          <w:tcPr>
            <w:tcW w:w="1418" w:type="dxa"/>
            <w:tcBorders>
              <w:top w:val="nil"/>
              <w:left w:val="nil"/>
              <w:bottom w:val="nil"/>
              <w:right w:val="nil"/>
            </w:tcBorders>
            <w:shd w:val="clear" w:color="auto" w:fill="FBE4D5" w:themeFill="accent2" w:themeFillTint="33"/>
            <w:noWrap/>
            <w:hideMark/>
          </w:tcPr>
          <w:p w14:paraId="051858BD"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10.93%</w:t>
            </w:r>
          </w:p>
        </w:tc>
      </w:tr>
      <w:tr w:rsidR="00E04C6D" w:rsidRPr="00503F5B" w14:paraId="1B658A21" w14:textId="77777777" w:rsidTr="002C7E56">
        <w:trPr>
          <w:trHeight w:val="50"/>
          <w:jc w:val="center"/>
        </w:trPr>
        <w:tc>
          <w:tcPr>
            <w:tcW w:w="2127" w:type="dxa"/>
            <w:tcBorders>
              <w:top w:val="nil"/>
              <w:left w:val="nil"/>
              <w:bottom w:val="nil"/>
              <w:right w:val="nil"/>
            </w:tcBorders>
            <w:shd w:val="clear" w:color="auto" w:fill="FBE4D5" w:themeFill="accent2" w:themeFillTint="33"/>
            <w:noWrap/>
            <w:hideMark/>
          </w:tcPr>
          <w:p w14:paraId="30FAF600"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2023-24</w:t>
            </w:r>
          </w:p>
        </w:tc>
        <w:tc>
          <w:tcPr>
            <w:tcW w:w="1416" w:type="dxa"/>
            <w:tcBorders>
              <w:top w:val="nil"/>
              <w:left w:val="nil"/>
              <w:bottom w:val="nil"/>
              <w:right w:val="nil"/>
            </w:tcBorders>
            <w:shd w:val="clear" w:color="auto" w:fill="FBE4D5" w:themeFill="accent2" w:themeFillTint="33"/>
            <w:noWrap/>
            <w:hideMark/>
          </w:tcPr>
          <w:p w14:paraId="26BC2B07"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22,369</w:t>
            </w:r>
          </w:p>
        </w:tc>
        <w:tc>
          <w:tcPr>
            <w:tcW w:w="1396" w:type="dxa"/>
            <w:tcBorders>
              <w:top w:val="nil"/>
              <w:left w:val="nil"/>
              <w:bottom w:val="nil"/>
              <w:right w:val="nil"/>
            </w:tcBorders>
            <w:shd w:val="clear" w:color="auto" w:fill="FBE4D5" w:themeFill="accent2" w:themeFillTint="33"/>
            <w:noWrap/>
            <w:hideMark/>
          </w:tcPr>
          <w:p w14:paraId="1BCB7AE5"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2,320</w:t>
            </w:r>
          </w:p>
        </w:tc>
        <w:tc>
          <w:tcPr>
            <w:tcW w:w="1417" w:type="dxa"/>
            <w:tcBorders>
              <w:top w:val="nil"/>
              <w:left w:val="nil"/>
              <w:bottom w:val="nil"/>
              <w:right w:val="nil"/>
            </w:tcBorders>
            <w:shd w:val="clear" w:color="auto" w:fill="FBE4D5" w:themeFill="accent2" w:themeFillTint="33"/>
            <w:noWrap/>
            <w:hideMark/>
          </w:tcPr>
          <w:p w14:paraId="68366460"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24,689</w:t>
            </w:r>
          </w:p>
        </w:tc>
        <w:tc>
          <w:tcPr>
            <w:tcW w:w="1418" w:type="dxa"/>
            <w:tcBorders>
              <w:top w:val="nil"/>
              <w:left w:val="nil"/>
              <w:bottom w:val="nil"/>
              <w:right w:val="nil"/>
            </w:tcBorders>
            <w:shd w:val="clear" w:color="auto" w:fill="FBE4D5" w:themeFill="accent2" w:themeFillTint="33"/>
            <w:noWrap/>
            <w:hideMark/>
          </w:tcPr>
          <w:p w14:paraId="09B5B821"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9.40%</w:t>
            </w:r>
          </w:p>
        </w:tc>
      </w:tr>
      <w:tr w:rsidR="00E04C6D" w:rsidRPr="00503F5B" w14:paraId="13EA9F30" w14:textId="77777777" w:rsidTr="002C7E56">
        <w:trPr>
          <w:trHeight w:val="50"/>
          <w:jc w:val="center"/>
        </w:trPr>
        <w:tc>
          <w:tcPr>
            <w:tcW w:w="2127" w:type="dxa"/>
            <w:tcBorders>
              <w:top w:val="nil"/>
              <w:left w:val="nil"/>
              <w:bottom w:val="nil"/>
              <w:right w:val="nil"/>
            </w:tcBorders>
            <w:shd w:val="clear" w:color="auto" w:fill="FBE4D5" w:themeFill="accent2" w:themeFillTint="33"/>
            <w:noWrap/>
            <w:hideMark/>
          </w:tcPr>
          <w:p w14:paraId="2170DA0C"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2024-25</w:t>
            </w:r>
          </w:p>
        </w:tc>
        <w:tc>
          <w:tcPr>
            <w:tcW w:w="1416" w:type="dxa"/>
            <w:tcBorders>
              <w:top w:val="nil"/>
              <w:left w:val="nil"/>
              <w:bottom w:val="nil"/>
              <w:right w:val="nil"/>
            </w:tcBorders>
            <w:shd w:val="clear" w:color="auto" w:fill="FBE4D5" w:themeFill="accent2" w:themeFillTint="33"/>
            <w:noWrap/>
            <w:hideMark/>
          </w:tcPr>
          <w:p w14:paraId="0169D1D5"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23,373</w:t>
            </w:r>
          </w:p>
        </w:tc>
        <w:tc>
          <w:tcPr>
            <w:tcW w:w="1396" w:type="dxa"/>
            <w:tcBorders>
              <w:top w:val="nil"/>
              <w:left w:val="nil"/>
              <w:bottom w:val="nil"/>
              <w:right w:val="nil"/>
            </w:tcBorders>
            <w:shd w:val="clear" w:color="auto" w:fill="FBE4D5" w:themeFill="accent2" w:themeFillTint="33"/>
            <w:noWrap/>
            <w:hideMark/>
          </w:tcPr>
          <w:p w14:paraId="53A39931"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2,049</w:t>
            </w:r>
          </w:p>
        </w:tc>
        <w:tc>
          <w:tcPr>
            <w:tcW w:w="1417" w:type="dxa"/>
            <w:tcBorders>
              <w:top w:val="nil"/>
              <w:left w:val="nil"/>
              <w:bottom w:val="nil"/>
              <w:right w:val="nil"/>
            </w:tcBorders>
            <w:shd w:val="clear" w:color="auto" w:fill="FBE4D5" w:themeFill="accent2" w:themeFillTint="33"/>
            <w:noWrap/>
            <w:hideMark/>
          </w:tcPr>
          <w:p w14:paraId="4638CB36"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25,421</w:t>
            </w:r>
          </w:p>
        </w:tc>
        <w:tc>
          <w:tcPr>
            <w:tcW w:w="1418" w:type="dxa"/>
            <w:tcBorders>
              <w:top w:val="nil"/>
              <w:left w:val="nil"/>
              <w:bottom w:val="nil"/>
              <w:right w:val="nil"/>
            </w:tcBorders>
            <w:shd w:val="clear" w:color="auto" w:fill="FBE4D5" w:themeFill="accent2" w:themeFillTint="33"/>
            <w:noWrap/>
            <w:hideMark/>
          </w:tcPr>
          <w:p w14:paraId="0BD8B6D4"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8.06%</w:t>
            </w:r>
          </w:p>
        </w:tc>
      </w:tr>
      <w:tr w:rsidR="00E04C6D" w:rsidRPr="00503F5B" w14:paraId="14E20C57" w14:textId="77777777" w:rsidTr="002C7E56">
        <w:trPr>
          <w:trHeight w:val="50"/>
          <w:jc w:val="center"/>
        </w:trPr>
        <w:tc>
          <w:tcPr>
            <w:tcW w:w="2127" w:type="dxa"/>
            <w:tcBorders>
              <w:top w:val="nil"/>
              <w:left w:val="nil"/>
              <w:bottom w:val="nil"/>
              <w:right w:val="nil"/>
            </w:tcBorders>
            <w:shd w:val="clear" w:color="auto" w:fill="FBE4D5" w:themeFill="accent2" w:themeFillTint="33"/>
            <w:noWrap/>
            <w:hideMark/>
          </w:tcPr>
          <w:p w14:paraId="2AE9A272"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2025-26</w:t>
            </w:r>
          </w:p>
        </w:tc>
        <w:tc>
          <w:tcPr>
            <w:tcW w:w="1416" w:type="dxa"/>
            <w:tcBorders>
              <w:top w:val="nil"/>
              <w:left w:val="nil"/>
              <w:bottom w:val="nil"/>
              <w:right w:val="nil"/>
            </w:tcBorders>
            <w:shd w:val="clear" w:color="auto" w:fill="FBE4D5" w:themeFill="accent2" w:themeFillTint="33"/>
            <w:noWrap/>
            <w:hideMark/>
          </w:tcPr>
          <w:p w14:paraId="6009B71E"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24,422</w:t>
            </w:r>
          </w:p>
        </w:tc>
        <w:tc>
          <w:tcPr>
            <w:tcW w:w="1396" w:type="dxa"/>
            <w:tcBorders>
              <w:top w:val="nil"/>
              <w:left w:val="nil"/>
              <w:bottom w:val="nil"/>
              <w:right w:val="nil"/>
            </w:tcBorders>
            <w:shd w:val="clear" w:color="auto" w:fill="FBE4D5" w:themeFill="accent2" w:themeFillTint="33"/>
            <w:noWrap/>
            <w:hideMark/>
          </w:tcPr>
          <w:p w14:paraId="6FC2F394"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1,809</w:t>
            </w:r>
          </w:p>
        </w:tc>
        <w:tc>
          <w:tcPr>
            <w:tcW w:w="1417" w:type="dxa"/>
            <w:tcBorders>
              <w:top w:val="nil"/>
              <w:left w:val="nil"/>
              <w:bottom w:val="nil"/>
              <w:right w:val="nil"/>
            </w:tcBorders>
            <w:shd w:val="clear" w:color="auto" w:fill="FBE4D5" w:themeFill="accent2" w:themeFillTint="33"/>
            <w:noWrap/>
            <w:hideMark/>
          </w:tcPr>
          <w:p w14:paraId="2507745F"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26,230</w:t>
            </w:r>
          </w:p>
        </w:tc>
        <w:tc>
          <w:tcPr>
            <w:tcW w:w="1418" w:type="dxa"/>
            <w:tcBorders>
              <w:top w:val="nil"/>
              <w:left w:val="nil"/>
              <w:bottom w:val="nil"/>
              <w:right w:val="nil"/>
            </w:tcBorders>
            <w:shd w:val="clear" w:color="auto" w:fill="FBE4D5" w:themeFill="accent2" w:themeFillTint="33"/>
            <w:noWrap/>
            <w:hideMark/>
          </w:tcPr>
          <w:p w14:paraId="2A0820E0"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6.90%</w:t>
            </w:r>
          </w:p>
        </w:tc>
      </w:tr>
      <w:tr w:rsidR="00E04C6D" w:rsidRPr="00503F5B" w14:paraId="3CCD12EF" w14:textId="77777777" w:rsidTr="002C7E56">
        <w:trPr>
          <w:trHeight w:val="50"/>
          <w:jc w:val="center"/>
        </w:trPr>
        <w:tc>
          <w:tcPr>
            <w:tcW w:w="2127" w:type="dxa"/>
            <w:tcBorders>
              <w:top w:val="nil"/>
              <w:left w:val="nil"/>
              <w:bottom w:val="nil"/>
              <w:right w:val="nil"/>
            </w:tcBorders>
            <w:shd w:val="clear" w:color="auto" w:fill="FBE4D5" w:themeFill="accent2" w:themeFillTint="33"/>
            <w:noWrap/>
            <w:hideMark/>
          </w:tcPr>
          <w:p w14:paraId="3F002CB6"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2026-27</w:t>
            </w:r>
          </w:p>
        </w:tc>
        <w:tc>
          <w:tcPr>
            <w:tcW w:w="1416" w:type="dxa"/>
            <w:tcBorders>
              <w:top w:val="nil"/>
              <w:left w:val="nil"/>
              <w:bottom w:val="nil"/>
              <w:right w:val="nil"/>
            </w:tcBorders>
            <w:shd w:val="clear" w:color="auto" w:fill="FBE4D5" w:themeFill="accent2" w:themeFillTint="33"/>
            <w:noWrap/>
            <w:hideMark/>
          </w:tcPr>
          <w:p w14:paraId="04C02A6C"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25,518</w:t>
            </w:r>
          </w:p>
        </w:tc>
        <w:tc>
          <w:tcPr>
            <w:tcW w:w="1396" w:type="dxa"/>
            <w:tcBorders>
              <w:top w:val="nil"/>
              <w:left w:val="nil"/>
              <w:bottom w:val="nil"/>
              <w:right w:val="nil"/>
            </w:tcBorders>
            <w:shd w:val="clear" w:color="auto" w:fill="FBE4D5" w:themeFill="accent2" w:themeFillTint="33"/>
            <w:noWrap/>
            <w:hideMark/>
          </w:tcPr>
          <w:p w14:paraId="5B281EB7"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1,597</w:t>
            </w:r>
          </w:p>
        </w:tc>
        <w:tc>
          <w:tcPr>
            <w:tcW w:w="1417" w:type="dxa"/>
            <w:tcBorders>
              <w:top w:val="nil"/>
              <w:left w:val="nil"/>
              <w:bottom w:val="nil"/>
              <w:right w:val="nil"/>
            </w:tcBorders>
            <w:shd w:val="clear" w:color="auto" w:fill="FBE4D5" w:themeFill="accent2" w:themeFillTint="33"/>
            <w:noWrap/>
            <w:hideMark/>
          </w:tcPr>
          <w:p w14:paraId="2D2F3623"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27,115</w:t>
            </w:r>
          </w:p>
        </w:tc>
        <w:tc>
          <w:tcPr>
            <w:tcW w:w="1418" w:type="dxa"/>
            <w:tcBorders>
              <w:top w:val="nil"/>
              <w:left w:val="nil"/>
              <w:bottom w:val="nil"/>
              <w:right w:val="nil"/>
            </w:tcBorders>
            <w:shd w:val="clear" w:color="auto" w:fill="FBE4D5" w:themeFill="accent2" w:themeFillTint="33"/>
            <w:noWrap/>
            <w:hideMark/>
          </w:tcPr>
          <w:p w14:paraId="073CA686"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5.89%</w:t>
            </w:r>
          </w:p>
        </w:tc>
      </w:tr>
      <w:tr w:rsidR="00E04C6D" w:rsidRPr="00503F5B" w14:paraId="74266B82" w14:textId="77777777" w:rsidTr="002C7E56">
        <w:trPr>
          <w:trHeight w:val="50"/>
          <w:jc w:val="center"/>
        </w:trPr>
        <w:tc>
          <w:tcPr>
            <w:tcW w:w="2127" w:type="dxa"/>
            <w:tcBorders>
              <w:top w:val="nil"/>
              <w:left w:val="nil"/>
              <w:bottom w:val="nil"/>
              <w:right w:val="nil"/>
            </w:tcBorders>
            <w:shd w:val="clear" w:color="auto" w:fill="FBE4D5" w:themeFill="accent2" w:themeFillTint="33"/>
            <w:noWrap/>
            <w:hideMark/>
          </w:tcPr>
          <w:p w14:paraId="225C33C4"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2027-28</w:t>
            </w:r>
          </w:p>
        </w:tc>
        <w:tc>
          <w:tcPr>
            <w:tcW w:w="1416" w:type="dxa"/>
            <w:tcBorders>
              <w:top w:val="nil"/>
              <w:left w:val="nil"/>
              <w:bottom w:val="nil"/>
              <w:right w:val="nil"/>
            </w:tcBorders>
            <w:shd w:val="clear" w:color="auto" w:fill="FBE4D5" w:themeFill="accent2" w:themeFillTint="33"/>
            <w:noWrap/>
            <w:hideMark/>
          </w:tcPr>
          <w:p w14:paraId="463AB0FB"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26,663</w:t>
            </w:r>
          </w:p>
        </w:tc>
        <w:tc>
          <w:tcPr>
            <w:tcW w:w="1396" w:type="dxa"/>
            <w:tcBorders>
              <w:top w:val="nil"/>
              <w:left w:val="nil"/>
              <w:bottom w:val="nil"/>
              <w:right w:val="nil"/>
            </w:tcBorders>
            <w:shd w:val="clear" w:color="auto" w:fill="FBE4D5" w:themeFill="accent2" w:themeFillTint="33"/>
            <w:noWrap/>
            <w:hideMark/>
          </w:tcPr>
          <w:p w14:paraId="54A471A9"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1,410</w:t>
            </w:r>
          </w:p>
        </w:tc>
        <w:tc>
          <w:tcPr>
            <w:tcW w:w="1417" w:type="dxa"/>
            <w:tcBorders>
              <w:top w:val="nil"/>
              <w:left w:val="nil"/>
              <w:bottom w:val="nil"/>
              <w:right w:val="nil"/>
            </w:tcBorders>
            <w:shd w:val="clear" w:color="auto" w:fill="FBE4D5" w:themeFill="accent2" w:themeFillTint="33"/>
            <w:noWrap/>
            <w:hideMark/>
          </w:tcPr>
          <w:p w14:paraId="43A9507D"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28,073</w:t>
            </w:r>
          </w:p>
        </w:tc>
        <w:tc>
          <w:tcPr>
            <w:tcW w:w="1418" w:type="dxa"/>
            <w:tcBorders>
              <w:top w:val="nil"/>
              <w:left w:val="nil"/>
              <w:bottom w:val="nil"/>
              <w:right w:val="nil"/>
            </w:tcBorders>
            <w:shd w:val="clear" w:color="auto" w:fill="FBE4D5" w:themeFill="accent2" w:themeFillTint="33"/>
            <w:noWrap/>
            <w:hideMark/>
          </w:tcPr>
          <w:p w14:paraId="51819B0F"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5.02%</w:t>
            </w:r>
          </w:p>
        </w:tc>
      </w:tr>
      <w:tr w:rsidR="00E04C6D" w:rsidRPr="00503F5B" w14:paraId="3116F3B3" w14:textId="77777777" w:rsidTr="002C7E56">
        <w:trPr>
          <w:trHeight w:val="50"/>
          <w:jc w:val="center"/>
        </w:trPr>
        <w:tc>
          <w:tcPr>
            <w:tcW w:w="2127" w:type="dxa"/>
            <w:tcBorders>
              <w:top w:val="nil"/>
              <w:left w:val="nil"/>
              <w:bottom w:val="nil"/>
              <w:right w:val="nil"/>
            </w:tcBorders>
            <w:shd w:val="clear" w:color="auto" w:fill="FBE4D5" w:themeFill="accent2" w:themeFillTint="33"/>
            <w:noWrap/>
            <w:hideMark/>
          </w:tcPr>
          <w:p w14:paraId="00F74AFF"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2028-29</w:t>
            </w:r>
          </w:p>
        </w:tc>
        <w:tc>
          <w:tcPr>
            <w:tcW w:w="1416" w:type="dxa"/>
            <w:tcBorders>
              <w:top w:val="nil"/>
              <w:left w:val="nil"/>
              <w:bottom w:val="nil"/>
              <w:right w:val="nil"/>
            </w:tcBorders>
            <w:shd w:val="clear" w:color="auto" w:fill="FBE4D5" w:themeFill="accent2" w:themeFillTint="33"/>
            <w:noWrap/>
            <w:hideMark/>
          </w:tcPr>
          <w:p w14:paraId="2A04DA5A"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27,859</w:t>
            </w:r>
          </w:p>
        </w:tc>
        <w:tc>
          <w:tcPr>
            <w:tcW w:w="1396" w:type="dxa"/>
            <w:tcBorders>
              <w:top w:val="nil"/>
              <w:left w:val="nil"/>
              <w:bottom w:val="nil"/>
              <w:right w:val="nil"/>
            </w:tcBorders>
            <w:shd w:val="clear" w:color="auto" w:fill="FBE4D5" w:themeFill="accent2" w:themeFillTint="33"/>
            <w:noWrap/>
            <w:hideMark/>
          </w:tcPr>
          <w:p w14:paraId="17396DA4"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1,245</w:t>
            </w:r>
          </w:p>
        </w:tc>
        <w:tc>
          <w:tcPr>
            <w:tcW w:w="1417" w:type="dxa"/>
            <w:tcBorders>
              <w:top w:val="nil"/>
              <w:left w:val="nil"/>
              <w:bottom w:val="nil"/>
              <w:right w:val="nil"/>
            </w:tcBorders>
            <w:shd w:val="clear" w:color="auto" w:fill="FBE4D5" w:themeFill="accent2" w:themeFillTint="33"/>
            <w:noWrap/>
            <w:hideMark/>
          </w:tcPr>
          <w:p w14:paraId="112FDB60"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29,105</w:t>
            </w:r>
          </w:p>
        </w:tc>
        <w:tc>
          <w:tcPr>
            <w:tcW w:w="1418" w:type="dxa"/>
            <w:tcBorders>
              <w:top w:val="nil"/>
              <w:left w:val="nil"/>
              <w:bottom w:val="nil"/>
              <w:right w:val="nil"/>
            </w:tcBorders>
            <w:shd w:val="clear" w:color="auto" w:fill="FBE4D5" w:themeFill="accent2" w:themeFillTint="33"/>
            <w:noWrap/>
            <w:hideMark/>
          </w:tcPr>
          <w:p w14:paraId="73FFA2D6"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4.28%</w:t>
            </w:r>
          </w:p>
        </w:tc>
      </w:tr>
      <w:tr w:rsidR="00E04C6D" w:rsidRPr="00503F5B" w14:paraId="32FBC73A" w14:textId="77777777" w:rsidTr="002C7E56">
        <w:trPr>
          <w:trHeight w:val="50"/>
          <w:jc w:val="center"/>
        </w:trPr>
        <w:tc>
          <w:tcPr>
            <w:tcW w:w="2127" w:type="dxa"/>
            <w:tcBorders>
              <w:top w:val="nil"/>
              <w:left w:val="nil"/>
              <w:bottom w:val="single" w:sz="4" w:space="0" w:color="ED7C5D"/>
              <w:right w:val="nil"/>
            </w:tcBorders>
            <w:shd w:val="clear" w:color="auto" w:fill="FBE4D5" w:themeFill="accent2" w:themeFillTint="33"/>
            <w:noWrap/>
            <w:hideMark/>
          </w:tcPr>
          <w:p w14:paraId="588FF750"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2029-30</w:t>
            </w:r>
          </w:p>
        </w:tc>
        <w:tc>
          <w:tcPr>
            <w:tcW w:w="1416" w:type="dxa"/>
            <w:tcBorders>
              <w:top w:val="nil"/>
              <w:left w:val="nil"/>
              <w:bottom w:val="single" w:sz="4" w:space="0" w:color="ED7C5D"/>
              <w:right w:val="nil"/>
            </w:tcBorders>
            <w:shd w:val="clear" w:color="auto" w:fill="FBE4D5" w:themeFill="accent2" w:themeFillTint="33"/>
            <w:noWrap/>
            <w:hideMark/>
          </w:tcPr>
          <w:p w14:paraId="260F9760"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29,110</w:t>
            </w:r>
          </w:p>
        </w:tc>
        <w:tc>
          <w:tcPr>
            <w:tcW w:w="1396" w:type="dxa"/>
            <w:tcBorders>
              <w:top w:val="nil"/>
              <w:left w:val="nil"/>
              <w:bottom w:val="single" w:sz="4" w:space="0" w:color="ED7C5D"/>
              <w:right w:val="nil"/>
            </w:tcBorders>
            <w:shd w:val="clear" w:color="auto" w:fill="FBE4D5" w:themeFill="accent2" w:themeFillTint="33"/>
            <w:noWrap/>
            <w:hideMark/>
          </w:tcPr>
          <w:p w14:paraId="3F2EF326"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1,100</w:t>
            </w:r>
          </w:p>
        </w:tc>
        <w:tc>
          <w:tcPr>
            <w:tcW w:w="1417" w:type="dxa"/>
            <w:tcBorders>
              <w:top w:val="nil"/>
              <w:left w:val="nil"/>
              <w:bottom w:val="single" w:sz="4" w:space="0" w:color="ED7C5D"/>
              <w:right w:val="nil"/>
            </w:tcBorders>
            <w:shd w:val="clear" w:color="auto" w:fill="FBE4D5" w:themeFill="accent2" w:themeFillTint="33"/>
            <w:noWrap/>
            <w:hideMark/>
          </w:tcPr>
          <w:p w14:paraId="0732D844" w14:textId="77777777" w:rsidR="00E04C6D" w:rsidRPr="00503F5B" w:rsidRDefault="00E04C6D" w:rsidP="00E04C6D">
            <w:pPr>
              <w:jc w:val="right"/>
              <w:rPr>
                <w:rFonts w:eastAsia="Times New Roman" w:cs="Calibri"/>
                <w:b/>
                <w:bCs/>
                <w:sz w:val="20"/>
                <w:szCs w:val="20"/>
                <w:lang w:eastAsia="en-AU"/>
              </w:rPr>
            </w:pPr>
            <w:r w:rsidRPr="00503F5B">
              <w:rPr>
                <w:rFonts w:eastAsia="Times New Roman" w:cs="Calibri"/>
                <w:b/>
                <w:bCs/>
                <w:sz w:val="20"/>
                <w:szCs w:val="20"/>
                <w:lang w:eastAsia="en-AU"/>
              </w:rPr>
              <w:t>30,209</w:t>
            </w:r>
          </w:p>
        </w:tc>
        <w:tc>
          <w:tcPr>
            <w:tcW w:w="1418" w:type="dxa"/>
            <w:tcBorders>
              <w:top w:val="nil"/>
              <w:left w:val="nil"/>
              <w:bottom w:val="single" w:sz="4" w:space="0" w:color="ED7C5D"/>
              <w:right w:val="nil"/>
            </w:tcBorders>
            <w:shd w:val="clear" w:color="auto" w:fill="FBE4D5" w:themeFill="accent2" w:themeFillTint="33"/>
            <w:noWrap/>
            <w:hideMark/>
          </w:tcPr>
          <w:p w14:paraId="449F6BEA"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3.64%</w:t>
            </w:r>
          </w:p>
        </w:tc>
      </w:tr>
      <w:tr w:rsidR="00E04C6D" w:rsidRPr="00503F5B" w14:paraId="31F0F3A3" w14:textId="77777777" w:rsidTr="005424B0">
        <w:trPr>
          <w:trHeight w:val="40"/>
          <w:jc w:val="center"/>
        </w:trPr>
        <w:tc>
          <w:tcPr>
            <w:tcW w:w="2127" w:type="dxa"/>
            <w:tcBorders>
              <w:top w:val="single" w:sz="4" w:space="0" w:color="ED7C5D"/>
              <w:left w:val="nil"/>
              <w:bottom w:val="single" w:sz="4" w:space="0" w:color="ED7C5D"/>
              <w:right w:val="nil"/>
            </w:tcBorders>
            <w:shd w:val="clear" w:color="000000" w:fill="FFFFFF"/>
            <w:noWrap/>
            <w:hideMark/>
          </w:tcPr>
          <w:p w14:paraId="0016C009" w14:textId="770D5020" w:rsidR="00E04C6D" w:rsidRPr="00503F5B" w:rsidRDefault="005424B0" w:rsidP="00E04C6D">
            <w:pPr>
              <w:rPr>
                <w:rFonts w:eastAsia="Times New Roman" w:cs="Calibri"/>
                <w:b/>
                <w:bCs/>
                <w:i/>
                <w:iCs/>
                <w:sz w:val="20"/>
                <w:szCs w:val="20"/>
                <w:lang w:eastAsia="en-AU"/>
              </w:rPr>
            </w:pPr>
            <w:r w:rsidRPr="00503F5B">
              <w:rPr>
                <w:b/>
                <w:bCs/>
                <w:sz w:val="20"/>
                <w:szCs w:val="20"/>
              </w:rPr>
              <w:t xml:space="preserve">10-year </w:t>
            </w:r>
            <w:r w:rsidR="00E04C6D" w:rsidRPr="00503F5B">
              <w:rPr>
                <w:b/>
                <w:bCs/>
                <w:sz w:val="20"/>
                <w:szCs w:val="20"/>
              </w:rPr>
              <w:t>Total</w:t>
            </w:r>
            <w:r w:rsidRPr="00503F5B">
              <w:rPr>
                <w:b/>
                <w:bCs/>
                <w:sz w:val="20"/>
                <w:szCs w:val="20"/>
              </w:rPr>
              <w:t xml:space="preserve"> (2020-21 to 2029-30)</w:t>
            </w:r>
          </w:p>
        </w:tc>
        <w:tc>
          <w:tcPr>
            <w:tcW w:w="1416" w:type="dxa"/>
            <w:tcBorders>
              <w:top w:val="single" w:sz="4" w:space="0" w:color="ED7C5D"/>
              <w:left w:val="nil"/>
              <w:bottom w:val="single" w:sz="4" w:space="0" w:color="ED7C5D"/>
              <w:right w:val="nil"/>
            </w:tcBorders>
            <w:shd w:val="clear" w:color="000000" w:fill="FFFFFF"/>
            <w:noWrap/>
            <w:hideMark/>
          </w:tcPr>
          <w:p w14:paraId="03D1C315" w14:textId="77777777" w:rsidR="00E04C6D" w:rsidRPr="00503F5B" w:rsidRDefault="00E04C6D" w:rsidP="00E04C6D">
            <w:pPr>
              <w:jc w:val="right"/>
              <w:rPr>
                <w:rFonts w:eastAsia="Times New Roman" w:cs="Calibri"/>
                <w:b/>
                <w:bCs/>
                <w:i/>
                <w:iCs/>
                <w:sz w:val="20"/>
                <w:szCs w:val="20"/>
                <w:lang w:eastAsia="en-AU"/>
              </w:rPr>
            </w:pPr>
            <w:r w:rsidRPr="00503F5B">
              <w:rPr>
                <w:sz w:val="20"/>
                <w:szCs w:val="20"/>
              </w:rPr>
              <w:t xml:space="preserve"> 240,817 </w:t>
            </w:r>
          </w:p>
        </w:tc>
        <w:tc>
          <w:tcPr>
            <w:tcW w:w="1396" w:type="dxa"/>
            <w:tcBorders>
              <w:top w:val="single" w:sz="4" w:space="0" w:color="ED7C5D"/>
              <w:left w:val="nil"/>
              <w:bottom w:val="single" w:sz="4" w:space="0" w:color="ED7C5D"/>
              <w:right w:val="nil"/>
            </w:tcBorders>
            <w:shd w:val="clear" w:color="000000" w:fill="FFFFFF"/>
            <w:noWrap/>
            <w:hideMark/>
          </w:tcPr>
          <w:p w14:paraId="2135BDBF" w14:textId="77777777" w:rsidR="00E04C6D" w:rsidRPr="00503F5B" w:rsidRDefault="00E04C6D" w:rsidP="00E04C6D">
            <w:pPr>
              <w:jc w:val="right"/>
              <w:rPr>
                <w:rFonts w:eastAsia="Times New Roman" w:cs="Calibri"/>
                <w:b/>
                <w:bCs/>
                <w:i/>
                <w:iCs/>
                <w:sz w:val="20"/>
                <w:szCs w:val="20"/>
                <w:lang w:eastAsia="en-AU"/>
              </w:rPr>
            </w:pPr>
            <w:r w:rsidRPr="00503F5B">
              <w:rPr>
                <w:sz w:val="20"/>
                <w:szCs w:val="20"/>
              </w:rPr>
              <w:t xml:space="preserve"> 20,502 </w:t>
            </w:r>
          </w:p>
        </w:tc>
        <w:tc>
          <w:tcPr>
            <w:tcW w:w="1417" w:type="dxa"/>
            <w:tcBorders>
              <w:top w:val="single" w:sz="4" w:space="0" w:color="ED7C5D"/>
              <w:left w:val="nil"/>
              <w:bottom w:val="single" w:sz="4" w:space="0" w:color="ED7C5D"/>
              <w:right w:val="nil"/>
            </w:tcBorders>
            <w:shd w:val="clear" w:color="000000" w:fill="FFFFFF"/>
            <w:noWrap/>
            <w:hideMark/>
          </w:tcPr>
          <w:p w14:paraId="25BD039A" w14:textId="77777777" w:rsidR="00E04C6D" w:rsidRPr="00503F5B" w:rsidRDefault="00E04C6D" w:rsidP="00E04C6D">
            <w:pPr>
              <w:jc w:val="right"/>
              <w:rPr>
                <w:rFonts w:eastAsia="Times New Roman" w:cs="Calibri"/>
                <w:b/>
                <w:bCs/>
                <w:i/>
                <w:iCs/>
                <w:sz w:val="20"/>
                <w:szCs w:val="20"/>
                <w:lang w:eastAsia="en-AU"/>
              </w:rPr>
            </w:pPr>
            <w:r w:rsidRPr="00503F5B">
              <w:rPr>
                <w:b/>
                <w:bCs/>
                <w:i/>
                <w:iCs/>
                <w:sz w:val="20"/>
                <w:szCs w:val="20"/>
              </w:rPr>
              <w:t xml:space="preserve"> 261,320 </w:t>
            </w:r>
          </w:p>
        </w:tc>
        <w:tc>
          <w:tcPr>
            <w:tcW w:w="1418" w:type="dxa"/>
            <w:tcBorders>
              <w:top w:val="single" w:sz="4" w:space="0" w:color="ED7C5D"/>
              <w:left w:val="nil"/>
              <w:bottom w:val="single" w:sz="4" w:space="0" w:color="ED7C5D"/>
              <w:right w:val="nil"/>
            </w:tcBorders>
            <w:shd w:val="clear" w:color="000000" w:fill="FFFFFF"/>
            <w:noWrap/>
            <w:hideMark/>
          </w:tcPr>
          <w:p w14:paraId="5F3FE995" w14:textId="77777777" w:rsidR="00E04C6D" w:rsidRPr="00503F5B" w:rsidRDefault="00E04C6D" w:rsidP="00E04C6D">
            <w:pPr>
              <w:jc w:val="right"/>
              <w:rPr>
                <w:rFonts w:eastAsia="Times New Roman" w:cs="Calibri"/>
                <w:b/>
                <w:bCs/>
                <w:i/>
                <w:iCs/>
                <w:sz w:val="20"/>
                <w:szCs w:val="20"/>
                <w:lang w:eastAsia="en-AU"/>
              </w:rPr>
            </w:pPr>
            <w:r w:rsidRPr="00503F5B">
              <w:rPr>
                <w:b/>
                <w:bCs/>
                <w:i/>
                <w:iCs/>
                <w:sz w:val="20"/>
                <w:szCs w:val="20"/>
              </w:rPr>
              <w:t>7.85%</w:t>
            </w:r>
          </w:p>
        </w:tc>
      </w:tr>
      <w:bookmarkEnd w:id="299"/>
    </w:tbl>
    <w:p w14:paraId="03BF8D62" w14:textId="77777777" w:rsidR="00E04C6D" w:rsidRPr="00503F5B" w:rsidRDefault="00E04C6D" w:rsidP="00E04C6D">
      <w:pPr>
        <w:jc w:val="both"/>
      </w:pPr>
    </w:p>
    <w:p w14:paraId="669FA1EB" w14:textId="77777777" w:rsidR="00E04C6D" w:rsidRPr="00503F5B" w:rsidRDefault="00E04C6D">
      <w:r w:rsidRPr="00503F5B">
        <w:br w:type="page"/>
      </w:r>
    </w:p>
    <w:p w14:paraId="1513B2DA" w14:textId="77777777" w:rsidR="00E04C6D" w:rsidRPr="00503F5B" w:rsidRDefault="00E04C6D" w:rsidP="00F94B17">
      <w:pPr>
        <w:pStyle w:val="Heading3"/>
      </w:pPr>
      <w:bookmarkStart w:id="300" w:name="_Toc35804177"/>
      <w:bookmarkStart w:id="301" w:name="_Toc35804671"/>
      <w:bookmarkStart w:id="302" w:name="_Toc35812715"/>
      <w:r w:rsidRPr="00503F5B">
        <w:lastRenderedPageBreak/>
        <w:t>A3.1.2 Estimation of a weighted full ‘quarterly hour’ cost for FRV</w:t>
      </w:r>
      <w:bookmarkEnd w:id="300"/>
      <w:bookmarkEnd w:id="301"/>
      <w:bookmarkEnd w:id="302"/>
    </w:p>
    <w:p w14:paraId="2FC1200D" w14:textId="77777777" w:rsidR="00E04C6D" w:rsidRPr="00503F5B" w:rsidRDefault="00E04C6D" w:rsidP="00E04C6D">
      <w:pPr>
        <w:jc w:val="both"/>
      </w:pPr>
    </w:p>
    <w:p w14:paraId="1EF757CF" w14:textId="77777777" w:rsidR="00E04C6D" w:rsidRPr="00503F5B" w:rsidRDefault="00E04C6D" w:rsidP="00E04C6D">
      <w:pPr>
        <w:jc w:val="both"/>
      </w:pPr>
      <w:r w:rsidRPr="00503F5B">
        <w:t>The volume of ‘quarterly-hour’ transactions for CFA integrated station for emergency attendances for false alarms at protected premises is estimated to be</w:t>
      </w:r>
      <w:r w:rsidRPr="00503F5B">
        <w:rPr>
          <w:b/>
          <w:bCs/>
        </w:rPr>
        <w:t xml:space="preserve"> 7.85%</w:t>
      </w:r>
      <w:r w:rsidRPr="00503F5B">
        <w:t xml:space="preserve"> of the total 10-year volume for FRV (see Table A3.4).</w:t>
      </w:r>
    </w:p>
    <w:p w14:paraId="11F065D0" w14:textId="77777777" w:rsidR="00E04C6D" w:rsidRPr="00503F5B" w:rsidRDefault="00E04C6D" w:rsidP="00E04C6D">
      <w:pPr>
        <w:jc w:val="both"/>
      </w:pPr>
    </w:p>
    <w:p w14:paraId="4E7E8639" w14:textId="77777777" w:rsidR="00E04C6D" w:rsidRPr="00503F5B" w:rsidRDefault="00E04C6D" w:rsidP="00E04C6D">
      <w:pPr>
        <w:jc w:val="both"/>
      </w:pPr>
      <w:r w:rsidRPr="00503F5B">
        <w:t xml:space="preserve">Based on this share of 10-year activity, MFB and CFA integrated station quarterly hour costs have been commensurately weighted as shown below - providing a </w:t>
      </w:r>
      <w:r w:rsidRPr="00503F5B">
        <w:rPr>
          <w:b/>
          <w:bCs/>
          <w:i/>
          <w:iCs/>
        </w:rPr>
        <w:t xml:space="preserve">weighted ‘full quarterly hour’ cost of attendance per appliance for FRV </w:t>
      </w:r>
      <w:proofErr w:type="gramStart"/>
      <w:r w:rsidRPr="00503F5B">
        <w:rPr>
          <w:b/>
          <w:bCs/>
          <w:i/>
          <w:iCs/>
        </w:rPr>
        <w:t>as a whole of</w:t>
      </w:r>
      <w:proofErr w:type="gramEnd"/>
      <w:r w:rsidRPr="00503F5B">
        <w:rPr>
          <w:b/>
          <w:bCs/>
          <w:i/>
          <w:iCs/>
        </w:rPr>
        <w:t xml:space="preserve"> $2,510.29</w:t>
      </w:r>
      <w:r w:rsidRPr="00503F5B">
        <w:t>.</w:t>
      </w:r>
    </w:p>
    <w:p w14:paraId="66F0123F" w14:textId="77777777" w:rsidR="00E04C6D" w:rsidRPr="00503F5B" w:rsidRDefault="00E04C6D" w:rsidP="00E04C6D">
      <w:pPr>
        <w:jc w:val="both"/>
      </w:pPr>
    </w:p>
    <w:p w14:paraId="22F8D70D" w14:textId="77777777" w:rsidR="00E04C6D" w:rsidRPr="00503F5B" w:rsidRDefault="00E04C6D" w:rsidP="00101EC8">
      <w:pPr>
        <w:pStyle w:val="ListParagraph"/>
        <w:numPr>
          <w:ilvl w:val="0"/>
          <w:numId w:val="12"/>
        </w:numPr>
        <w:jc w:val="both"/>
      </w:pPr>
      <w:r w:rsidRPr="00503F5B">
        <w:t xml:space="preserve">Quarterly hour cost of attendance per appliance by MFB = </w:t>
      </w:r>
      <w:r w:rsidRPr="00503F5B">
        <w:rPr>
          <w:bCs/>
          <w:iCs/>
        </w:rPr>
        <w:t>$2,578.57</w:t>
      </w:r>
      <w:r w:rsidRPr="00503F5B">
        <w:rPr>
          <w:rStyle w:val="FootnoteReference"/>
          <w:bCs/>
          <w:iCs/>
        </w:rPr>
        <w:footnoteReference w:id="197"/>
      </w:r>
    </w:p>
    <w:p w14:paraId="3F5ED13C" w14:textId="77777777" w:rsidR="00E04C6D" w:rsidRPr="00503F5B" w:rsidRDefault="00E04C6D" w:rsidP="00101EC8">
      <w:pPr>
        <w:pStyle w:val="ListParagraph"/>
        <w:numPr>
          <w:ilvl w:val="0"/>
          <w:numId w:val="12"/>
        </w:numPr>
        <w:jc w:val="both"/>
      </w:pPr>
      <w:r w:rsidRPr="00503F5B">
        <w:t>% of 10-year quarterly hour transactions for MFB = 92.15%</w:t>
      </w:r>
    </w:p>
    <w:p w14:paraId="338DB786" w14:textId="77777777" w:rsidR="00E04C6D" w:rsidRPr="00503F5B" w:rsidRDefault="00E04C6D" w:rsidP="00101EC8">
      <w:pPr>
        <w:pStyle w:val="ListParagraph"/>
        <w:numPr>
          <w:ilvl w:val="0"/>
          <w:numId w:val="12"/>
        </w:numPr>
        <w:jc w:val="both"/>
      </w:pPr>
      <w:r w:rsidRPr="00503F5B">
        <w:t>Quarterly hour cost of attendance per appliance by CFA integrated stations = $1,708.36</w:t>
      </w:r>
      <w:r w:rsidRPr="00503F5B">
        <w:rPr>
          <w:rStyle w:val="FootnoteReference"/>
        </w:rPr>
        <w:footnoteReference w:id="198"/>
      </w:r>
    </w:p>
    <w:p w14:paraId="5EC66984" w14:textId="77777777" w:rsidR="00E04C6D" w:rsidRPr="00503F5B" w:rsidRDefault="00E04C6D" w:rsidP="00101EC8">
      <w:pPr>
        <w:pStyle w:val="ListParagraph"/>
        <w:numPr>
          <w:ilvl w:val="0"/>
          <w:numId w:val="12"/>
        </w:numPr>
        <w:jc w:val="both"/>
      </w:pPr>
      <w:r w:rsidRPr="00503F5B">
        <w:t>% of 10-year quarterly hour transaction for CFA integrated stations = 7.85%</w:t>
      </w:r>
    </w:p>
    <w:p w14:paraId="7CCAE4FC" w14:textId="77777777" w:rsidR="00E04C6D" w:rsidRPr="00503F5B" w:rsidRDefault="00E04C6D" w:rsidP="00E04C6D">
      <w:pPr>
        <w:jc w:val="both"/>
      </w:pPr>
    </w:p>
    <w:p w14:paraId="0EBF974E" w14:textId="77777777" w:rsidR="00E04C6D" w:rsidRPr="00503F5B" w:rsidRDefault="00E04C6D" w:rsidP="00744FBF">
      <w:pPr>
        <w:pBdr>
          <w:top w:val="single" w:sz="4" w:space="1" w:color="ED7C5D"/>
          <w:left w:val="single" w:sz="4" w:space="4" w:color="ED7C5D"/>
          <w:bottom w:val="single" w:sz="4" w:space="1" w:color="ED7C5D"/>
          <w:right w:val="single" w:sz="4" w:space="4" w:color="ED7C5D"/>
        </w:pBdr>
        <w:jc w:val="center"/>
        <w:rPr>
          <w:b/>
        </w:rPr>
      </w:pPr>
      <w:r w:rsidRPr="00503F5B">
        <w:rPr>
          <w:bCs/>
          <w:iCs/>
        </w:rPr>
        <w:t xml:space="preserve">$2,578.57 x 92.15% + $1,708.36 x 7.85% </w:t>
      </w:r>
      <w:r w:rsidRPr="00503F5B">
        <w:rPr>
          <w:b/>
          <w:iCs/>
        </w:rPr>
        <w:t>= $2,510.29</w:t>
      </w:r>
    </w:p>
    <w:p w14:paraId="671C3345" w14:textId="77777777" w:rsidR="00E04C6D" w:rsidRPr="00503F5B" w:rsidRDefault="00E04C6D" w:rsidP="00E04C6D">
      <w:pPr>
        <w:jc w:val="both"/>
      </w:pPr>
    </w:p>
    <w:p w14:paraId="6BCE4276" w14:textId="77777777" w:rsidR="00E04C6D" w:rsidRPr="00503F5B" w:rsidRDefault="00E04C6D">
      <w:bookmarkStart w:id="303" w:name="_Toc457772568"/>
      <w:r w:rsidRPr="00503F5B">
        <w:br w:type="page"/>
      </w:r>
    </w:p>
    <w:p w14:paraId="62D8A698" w14:textId="77777777" w:rsidR="00E04C6D" w:rsidRPr="00503F5B" w:rsidRDefault="00E04C6D" w:rsidP="00E04C6D">
      <w:pPr>
        <w:pStyle w:val="Heading2"/>
      </w:pPr>
      <w:bookmarkStart w:id="304" w:name="_Toc35804178"/>
      <w:bookmarkStart w:id="305" w:name="_Toc35804672"/>
      <w:bookmarkStart w:id="306" w:name="_Toc35812716"/>
      <w:r w:rsidRPr="00503F5B">
        <w:lastRenderedPageBreak/>
        <w:t>A3.2</w:t>
      </w:r>
      <w:r w:rsidRPr="00503F5B">
        <w:rPr>
          <w:b/>
          <w:bCs/>
        </w:rPr>
        <w:t xml:space="preserve"> Option 1</w:t>
      </w:r>
      <w:r w:rsidRPr="00503F5B">
        <w:t xml:space="preserve"> – Full cost recovery of emergency attendance of false alarms per quarterly hour</w:t>
      </w:r>
      <w:bookmarkEnd w:id="303"/>
      <w:r w:rsidRPr="00503F5B">
        <w:t xml:space="preserve"> by FRV</w:t>
      </w:r>
      <w:bookmarkEnd w:id="304"/>
      <w:bookmarkEnd w:id="305"/>
      <w:bookmarkEnd w:id="306"/>
    </w:p>
    <w:p w14:paraId="2C7C0DA1" w14:textId="3CFAC72F" w:rsidR="00E04C6D" w:rsidRPr="00503F5B" w:rsidRDefault="00E04C6D" w:rsidP="00F94B17">
      <w:pPr>
        <w:pStyle w:val="Heading3"/>
      </w:pPr>
      <w:bookmarkStart w:id="307" w:name="_Toc457772569"/>
      <w:bookmarkStart w:id="308" w:name="_Toc35804179"/>
      <w:bookmarkStart w:id="309" w:name="_Toc35804673"/>
      <w:bookmarkStart w:id="310" w:name="_Toc35812717"/>
      <w:r w:rsidRPr="00503F5B">
        <w:t>A3.2.1 Option 1 fee</w:t>
      </w:r>
      <w:bookmarkEnd w:id="307"/>
      <w:bookmarkEnd w:id="308"/>
      <w:bookmarkEnd w:id="309"/>
      <w:bookmarkEnd w:id="310"/>
    </w:p>
    <w:p w14:paraId="2E23AF5C" w14:textId="77777777" w:rsidR="00E04C6D" w:rsidRPr="00503F5B" w:rsidRDefault="00E04C6D" w:rsidP="00E04C6D"/>
    <w:p w14:paraId="2A0B160B" w14:textId="77777777" w:rsidR="00E04C6D" w:rsidRPr="00503F5B" w:rsidRDefault="00E04C6D" w:rsidP="00E04C6D">
      <w:pPr>
        <w:jc w:val="both"/>
      </w:pPr>
      <w:r w:rsidRPr="00503F5B">
        <w:t xml:space="preserve">Option 1 involves full cost recovery of all emergency attendances for false alarms. As shown in Table A1.3 of appendix 1, the annual emergency attendance costs estimated for all false alarms for MFB is estimated to be </w:t>
      </w:r>
      <w:r w:rsidRPr="00503F5B">
        <w:rPr>
          <w:b/>
          <w:iCs/>
        </w:rPr>
        <w:t>$98,128,758</w:t>
      </w:r>
      <w:r w:rsidRPr="00503F5B">
        <w:t xml:space="preserve"> for 2018-19</w:t>
      </w:r>
      <w:r w:rsidRPr="00503F5B">
        <w:rPr>
          <w:rFonts w:eastAsia="Times New Roman"/>
        </w:rPr>
        <w:t>.</w:t>
      </w:r>
      <w:r w:rsidRPr="00503F5B">
        <w:t xml:space="preserve">  This cost reflects all direct staffing (operational) and appliance fuel and maintenance and registration costs, as well as, indirect, overtime and allowances for station personnel personal protective equipment; professional development training and administrative support, as shown in Table A3.1. The main contribution to costs for MFB is appliance operational staff (i.e. 73.02%) (see Table A1.5).</w:t>
      </w:r>
    </w:p>
    <w:p w14:paraId="065971A0" w14:textId="77777777" w:rsidR="00E04C6D" w:rsidRPr="00503F5B" w:rsidRDefault="00E04C6D" w:rsidP="00E04C6D">
      <w:pPr>
        <w:jc w:val="both"/>
      </w:pPr>
    </w:p>
    <w:p w14:paraId="3068C17F" w14:textId="27F04837" w:rsidR="00E04C6D" w:rsidRPr="00503F5B" w:rsidRDefault="00E04C6D" w:rsidP="00E04C6D">
      <w:pPr>
        <w:jc w:val="both"/>
      </w:pPr>
      <w:r w:rsidRPr="00503F5B">
        <w:t xml:space="preserve">As discussed in Section A2.3 of appendix 2, the annual emergency attendance costs estimated for all false alarms for CFA integrated stations is estimated to </w:t>
      </w:r>
      <w:r w:rsidR="00C5653B" w:rsidRPr="00503F5B">
        <w:rPr>
          <w:b/>
          <w:bCs/>
        </w:rPr>
        <w:t>$25,633,888</w:t>
      </w:r>
      <w:r w:rsidRPr="00503F5B">
        <w:rPr>
          <w:b/>
          <w:bCs/>
        </w:rPr>
        <w:t xml:space="preserve"> </w:t>
      </w:r>
      <w:r w:rsidRPr="00503F5B">
        <w:t>be for 2018-19.  This cost reflects all direct costs including: appliance costs (maintenance and support, licensing and fuel) staff costs (including operational staff), building, land, plant equipment maintenance (including general expenses) and an indirect cost overhead allocation of 33.36% based on MFB operations (see Table A2.7 of Appendix 2). The main contribution to costs for CFA integrated stations is direct staffing costs (including operational staff) (i.e. 72.71%) (see Table A2.7).</w:t>
      </w:r>
    </w:p>
    <w:p w14:paraId="3DD3EBB8" w14:textId="77777777" w:rsidR="00E04C6D" w:rsidRPr="00503F5B" w:rsidRDefault="00E04C6D" w:rsidP="00E04C6D">
      <w:pPr>
        <w:jc w:val="both"/>
      </w:pPr>
    </w:p>
    <w:p w14:paraId="0606CFBC" w14:textId="77777777" w:rsidR="00E04C6D" w:rsidRPr="00503F5B" w:rsidRDefault="00E04C6D" w:rsidP="00E04C6D">
      <w:pPr>
        <w:jc w:val="both"/>
      </w:pPr>
      <w:r w:rsidRPr="00503F5B">
        <w:t xml:space="preserve">Based on the </w:t>
      </w:r>
      <w:proofErr w:type="gramStart"/>
      <w:r w:rsidRPr="00503F5B">
        <w:t>aforementioned estimates</w:t>
      </w:r>
      <w:proofErr w:type="gramEnd"/>
      <w:r w:rsidRPr="00503F5B">
        <w:t xml:space="preserve"> above - the total cost of emergency attendances for false alarms by MFB and CFA integrated stations is therefore estimated to be </w:t>
      </w:r>
      <w:r w:rsidRPr="00503F5B">
        <w:rPr>
          <w:b/>
          <w:bCs/>
          <w:i/>
          <w:iCs/>
        </w:rPr>
        <w:t>$123,762,646</w:t>
      </w:r>
      <w:r w:rsidRPr="00503F5B">
        <w:t>.</w:t>
      </w:r>
    </w:p>
    <w:p w14:paraId="4E5C0343" w14:textId="77777777" w:rsidR="00E04C6D" w:rsidRPr="00503F5B" w:rsidRDefault="00E04C6D" w:rsidP="00E04C6D">
      <w:pPr>
        <w:jc w:val="both"/>
      </w:pPr>
    </w:p>
    <w:p w14:paraId="3AF6025F" w14:textId="77777777" w:rsidR="00E04C6D" w:rsidRPr="00503F5B" w:rsidRDefault="00E04C6D" w:rsidP="00E04C6D">
      <w:pPr>
        <w:jc w:val="both"/>
      </w:pPr>
      <w:r w:rsidRPr="00503F5B">
        <w:rPr>
          <w:rFonts w:eastAsia="Times New Roman"/>
        </w:rPr>
        <w:t xml:space="preserve">As discussed in Section A3.1.2 of Appendix 3, the </w:t>
      </w:r>
      <w:r w:rsidRPr="00503F5B">
        <w:rPr>
          <w:rFonts w:eastAsia="Times New Roman"/>
          <w:b/>
          <w:bCs/>
          <w:i/>
          <w:iCs/>
        </w:rPr>
        <w:t>weighted</w:t>
      </w:r>
      <w:r w:rsidRPr="00503F5B">
        <w:rPr>
          <w:rFonts w:eastAsia="Times New Roman"/>
        </w:rPr>
        <w:t xml:space="preserve"> </w:t>
      </w:r>
      <w:r w:rsidRPr="00503F5B">
        <w:rPr>
          <w:b/>
          <w:i/>
        </w:rPr>
        <w:t xml:space="preserve">full ‘quarterly hour cost’ per appliance </w:t>
      </w:r>
      <w:r w:rsidRPr="00503F5B">
        <w:t xml:space="preserve">for false alarm attendances by FRV </w:t>
      </w:r>
      <w:r w:rsidRPr="00503F5B">
        <w:rPr>
          <w:rFonts w:eastAsia="Times New Roman"/>
        </w:rPr>
        <w:t xml:space="preserve">is estimated to be </w:t>
      </w:r>
      <w:bookmarkStart w:id="311" w:name="_Hlk32325204"/>
      <w:r w:rsidRPr="00503F5B">
        <w:rPr>
          <w:b/>
          <w:i/>
        </w:rPr>
        <w:t>$2,510.29</w:t>
      </w:r>
      <w:bookmarkEnd w:id="311"/>
      <w:r w:rsidRPr="00503F5B">
        <w:t xml:space="preserve"> or $169.5 fee units.  </w:t>
      </w:r>
    </w:p>
    <w:p w14:paraId="0AC5D8F9" w14:textId="77777777" w:rsidR="00E04C6D" w:rsidRPr="00503F5B" w:rsidRDefault="00E04C6D" w:rsidP="00E04C6D">
      <w:pPr>
        <w:jc w:val="both"/>
      </w:pPr>
    </w:p>
    <w:p w14:paraId="63216F7E" w14:textId="603013A0" w:rsidR="00E04C6D" w:rsidRPr="00503F5B" w:rsidRDefault="00E04C6D" w:rsidP="00E04C6D">
      <w:pPr>
        <w:jc w:val="both"/>
      </w:pPr>
      <w:r w:rsidRPr="00503F5B">
        <w:t xml:space="preserve">Furthermore, based on an average of </w:t>
      </w:r>
      <w:r w:rsidR="00672CF0" w:rsidRPr="00503F5B">
        <w:t>1</w:t>
      </w:r>
      <w:r w:rsidRPr="00503F5B">
        <w:t>.</w:t>
      </w:r>
      <w:r w:rsidR="00672CF0" w:rsidRPr="00503F5B">
        <w:t>28</w:t>
      </w:r>
      <w:r w:rsidRPr="00503F5B">
        <w:t xml:space="preserve"> appliance hours</w:t>
      </w:r>
      <w:r w:rsidRPr="00503F5B">
        <w:rPr>
          <w:rStyle w:val="FootnoteReference"/>
        </w:rPr>
        <w:footnoteReference w:id="199"/>
      </w:r>
      <w:r w:rsidRPr="00503F5B">
        <w:t xml:space="preserve"> for MFB and an average of </w:t>
      </w:r>
      <w:r w:rsidR="00672CF0" w:rsidRPr="00503F5B">
        <w:t>1</w:t>
      </w:r>
      <w:r w:rsidRPr="00503F5B">
        <w:t>.</w:t>
      </w:r>
      <w:r w:rsidR="00672CF0" w:rsidRPr="00503F5B">
        <w:t>32</w:t>
      </w:r>
      <w:r w:rsidRPr="00503F5B">
        <w:t xml:space="preserve"> appliance hours</w:t>
      </w:r>
      <w:r w:rsidRPr="00503F5B">
        <w:rPr>
          <w:rStyle w:val="FootnoteReference"/>
        </w:rPr>
        <w:footnoteReference w:id="200"/>
      </w:r>
      <w:r w:rsidRPr="00503F5B">
        <w:t xml:space="preserve"> for CFA integrated stations per false alarm and weighted quarterly hour cost - it is estimated that the average fee paid under Option 1 of full cost recovery will be around</w:t>
      </w:r>
      <w:r w:rsidRPr="00503F5B">
        <w:rPr>
          <w:b/>
          <w:bCs/>
        </w:rPr>
        <w:t xml:space="preserve"> </w:t>
      </w:r>
      <w:r w:rsidR="00EE3472" w:rsidRPr="00503F5B">
        <w:rPr>
          <w:b/>
          <w:bCs/>
        </w:rPr>
        <w:t>$12,909.50</w:t>
      </w:r>
      <w:r w:rsidRPr="00503F5B">
        <w:t xml:space="preserve"> – as shown in Table A3.5.</w:t>
      </w:r>
    </w:p>
    <w:p w14:paraId="14BF26F8" w14:textId="77777777" w:rsidR="00E04C6D" w:rsidRPr="00503F5B" w:rsidRDefault="00E04C6D" w:rsidP="00E04C6D">
      <w:pPr>
        <w:jc w:val="both"/>
        <w:rPr>
          <w:rFonts w:eastAsia="Times New Roman"/>
        </w:rPr>
      </w:pPr>
    </w:p>
    <w:p w14:paraId="0446A4AE" w14:textId="77777777" w:rsidR="00E04C6D" w:rsidRPr="00503F5B" w:rsidRDefault="00E04C6D" w:rsidP="00E04C6D">
      <w:pPr>
        <w:rPr>
          <w:b/>
          <w:sz w:val="20"/>
          <w:szCs w:val="20"/>
        </w:rPr>
      </w:pPr>
      <w:r w:rsidRPr="00503F5B">
        <w:rPr>
          <w:b/>
          <w:sz w:val="20"/>
          <w:szCs w:val="20"/>
        </w:rPr>
        <w:br w:type="page"/>
      </w:r>
    </w:p>
    <w:p w14:paraId="25285D9C" w14:textId="77777777" w:rsidR="00E04C6D" w:rsidRPr="00503F5B" w:rsidRDefault="00E04C6D" w:rsidP="00E04C6D">
      <w:pPr>
        <w:jc w:val="center"/>
        <w:rPr>
          <w:b/>
          <w:sz w:val="20"/>
          <w:szCs w:val="20"/>
        </w:rPr>
      </w:pPr>
      <w:r w:rsidRPr="00503F5B">
        <w:rPr>
          <w:b/>
          <w:sz w:val="20"/>
          <w:szCs w:val="20"/>
        </w:rPr>
        <w:lastRenderedPageBreak/>
        <w:t>TableA3.5: Estimated average cost per emergency attendance for false alarms where no reasonable excuse has been provided</w:t>
      </w:r>
    </w:p>
    <w:p w14:paraId="189BFE92" w14:textId="77777777" w:rsidR="00E04C6D" w:rsidRPr="00503F5B" w:rsidRDefault="00E04C6D" w:rsidP="00E04C6D">
      <w:pPr>
        <w:jc w:val="both"/>
        <w:rPr>
          <w:rFonts w:eastAsia="Times New Roman"/>
        </w:rPr>
      </w:pPr>
    </w:p>
    <w:tbl>
      <w:tblPr>
        <w:tblW w:w="9073" w:type="dxa"/>
        <w:jc w:val="center"/>
        <w:tblLook w:val="04A0" w:firstRow="1" w:lastRow="0" w:firstColumn="1" w:lastColumn="0" w:noHBand="0" w:noVBand="1"/>
      </w:tblPr>
      <w:tblGrid>
        <w:gridCol w:w="4962"/>
        <w:gridCol w:w="1163"/>
        <w:gridCol w:w="1160"/>
        <w:gridCol w:w="1788"/>
      </w:tblGrid>
      <w:tr w:rsidR="00E04C6D" w:rsidRPr="00503F5B" w14:paraId="340C2975" w14:textId="77777777" w:rsidTr="00333BC5">
        <w:trPr>
          <w:trHeight w:val="1530"/>
          <w:tblHeader/>
          <w:jc w:val="center"/>
        </w:trPr>
        <w:tc>
          <w:tcPr>
            <w:tcW w:w="4962" w:type="dxa"/>
            <w:tcBorders>
              <w:top w:val="single" w:sz="4" w:space="0" w:color="ED7C5D"/>
              <w:left w:val="nil"/>
              <w:bottom w:val="single" w:sz="4" w:space="0" w:color="ED7C5D"/>
              <w:right w:val="nil"/>
            </w:tcBorders>
            <w:shd w:val="clear" w:color="000000" w:fill="FFFFFF"/>
            <w:noWrap/>
            <w:hideMark/>
          </w:tcPr>
          <w:p w14:paraId="3381D2CC" w14:textId="77777777" w:rsidR="00E04C6D" w:rsidRPr="00503F5B" w:rsidRDefault="00E04C6D" w:rsidP="00E04C6D">
            <w:pPr>
              <w:rPr>
                <w:rFonts w:eastAsia="Times New Roman" w:cs="Calibri"/>
                <w:b/>
                <w:bCs/>
                <w:color w:val="BE2A18"/>
                <w:sz w:val="20"/>
                <w:szCs w:val="20"/>
                <w:lang w:eastAsia="en-AU"/>
              </w:rPr>
            </w:pPr>
            <w:r w:rsidRPr="00503F5B">
              <w:rPr>
                <w:rFonts w:eastAsia="Times New Roman" w:cs="Calibri"/>
                <w:b/>
                <w:bCs/>
                <w:color w:val="BE2A18"/>
                <w:sz w:val="20"/>
                <w:szCs w:val="20"/>
                <w:lang w:eastAsia="en-AU"/>
              </w:rPr>
              <w:t>Direct and indirect cost category</w:t>
            </w:r>
          </w:p>
        </w:tc>
        <w:tc>
          <w:tcPr>
            <w:tcW w:w="1163" w:type="dxa"/>
            <w:tcBorders>
              <w:top w:val="single" w:sz="4" w:space="0" w:color="ED7C5D"/>
              <w:left w:val="nil"/>
              <w:bottom w:val="single" w:sz="4" w:space="0" w:color="ED7C5D"/>
              <w:right w:val="nil"/>
            </w:tcBorders>
            <w:shd w:val="clear" w:color="000000" w:fill="FFFFFF"/>
            <w:hideMark/>
          </w:tcPr>
          <w:p w14:paraId="1680B8F3" w14:textId="77777777" w:rsidR="00E04C6D" w:rsidRPr="00503F5B" w:rsidRDefault="00E04C6D" w:rsidP="00E04C6D">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 xml:space="preserve"> Quarterly hour cost per appliance </w:t>
            </w:r>
          </w:p>
        </w:tc>
        <w:tc>
          <w:tcPr>
            <w:tcW w:w="1160" w:type="dxa"/>
            <w:tcBorders>
              <w:top w:val="single" w:sz="4" w:space="0" w:color="ED7C5D"/>
              <w:left w:val="nil"/>
              <w:bottom w:val="single" w:sz="4" w:space="0" w:color="ED7C5D"/>
              <w:right w:val="nil"/>
            </w:tcBorders>
            <w:shd w:val="clear" w:color="000000" w:fill="FFFFFF"/>
            <w:hideMark/>
          </w:tcPr>
          <w:p w14:paraId="6343F7C6" w14:textId="77777777" w:rsidR="00E04C6D" w:rsidRPr="00503F5B" w:rsidRDefault="00E04C6D" w:rsidP="00E04C6D">
            <w:pPr>
              <w:jc w:val="center"/>
              <w:rPr>
                <w:rFonts w:eastAsia="Times New Roman" w:cs="Calibri"/>
                <w:b/>
                <w:bCs/>
                <w:color w:val="BE2A18"/>
                <w:sz w:val="20"/>
                <w:szCs w:val="20"/>
                <w:lang w:eastAsia="en-AU"/>
              </w:rPr>
            </w:pPr>
            <w:r w:rsidRPr="00503F5B">
              <w:rPr>
                <w:rFonts w:eastAsia="Times New Roman" w:cs="Calibri"/>
                <w:b/>
                <w:bCs/>
                <w:i/>
                <w:iCs/>
                <w:color w:val="BE2A18"/>
                <w:sz w:val="20"/>
                <w:szCs w:val="20"/>
                <w:lang w:eastAsia="en-AU"/>
              </w:rPr>
              <w:t xml:space="preserve">Weighted </w:t>
            </w:r>
            <w:r w:rsidRPr="00503F5B">
              <w:rPr>
                <w:rFonts w:eastAsia="Times New Roman" w:cs="Calibri"/>
                <w:b/>
                <w:bCs/>
                <w:color w:val="BE2A18"/>
                <w:sz w:val="20"/>
                <w:szCs w:val="20"/>
                <w:lang w:eastAsia="en-AU"/>
              </w:rPr>
              <w:t xml:space="preserve">quarterly hour cost per appliance </w:t>
            </w:r>
          </w:p>
        </w:tc>
        <w:tc>
          <w:tcPr>
            <w:tcW w:w="1788" w:type="dxa"/>
            <w:tcBorders>
              <w:top w:val="single" w:sz="4" w:space="0" w:color="ED7C5D"/>
              <w:left w:val="nil"/>
              <w:bottom w:val="single" w:sz="4" w:space="0" w:color="ED7C5D"/>
              <w:right w:val="nil"/>
            </w:tcBorders>
            <w:shd w:val="clear" w:color="000000" w:fill="FFFFFF"/>
            <w:hideMark/>
          </w:tcPr>
          <w:p w14:paraId="41855B4B" w14:textId="77777777" w:rsidR="00E04C6D" w:rsidRPr="00503F5B" w:rsidRDefault="00E04C6D" w:rsidP="00E04C6D">
            <w:pPr>
              <w:jc w:val="center"/>
              <w:rPr>
                <w:rFonts w:eastAsia="Times New Roman" w:cs="Calibri"/>
                <w:b/>
                <w:bCs/>
                <w:color w:val="BE2A18"/>
                <w:sz w:val="20"/>
                <w:szCs w:val="20"/>
                <w:lang w:eastAsia="en-AU"/>
              </w:rPr>
            </w:pPr>
            <w:r w:rsidRPr="00503F5B">
              <w:rPr>
                <w:rFonts w:eastAsia="Times New Roman" w:cs="Calibri"/>
                <w:b/>
                <w:bCs/>
                <w:color w:val="BE2A18"/>
                <w:sz w:val="20"/>
                <w:szCs w:val="20"/>
                <w:lang w:eastAsia="en-AU"/>
              </w:rPr>
              <w:t xml:space="preserve"> Average cost per attendance = average appliance hours per attendance x weighted quarterly hour cost per appliance x 4 quarters</w:t>
            </w:r>
          </w:p>
        </w:tc>
      </w:tr>
      <w:tr w:rsidR="00E04C6D" w:rsidRPr="00503F5B" w14:paraId="2B81222A" w14:textId="77777777" w:rsidTr="00333BC5">
        <w:trPr>
          <w:trHeight w:val="315"/>
          <w:jc w:val="center"/>
        </w:trPr>
        <w:tc>
          <w:tcPr>
            <w:tcW w:w="4962" w:type="dxa"/>
            <w:tcBorders>
              <w:top w:val="single" w:sz="4" w:space="0" w:color="ED7C5D"/>
              <w:left w:val="nil"/>
              <w:bottom w:val="double" w:sz="6" w:space="0" w:color="C65911"/>
              <w:right w:val="nil"/>
            </w:tcBorders>
            <w:shd w:val="clear" w:color="000000" w:fill="FDE9D9"/>
            <w:noWrap/>
            <w:hideMark/>
          </w:tcPr>
          <w:p w14:paraId="519F45D8" w14:textId="77777777" w:rsidR="00E04C6D" w:rsidRPr="00503F5B" w:rsidRDefault="00E04C6D" w:rsidP="00E04C6D">
            <w:pPr>
              <w:rPr>
                <w:rFonts w:eastAsia="Times New Roman" w:cs="Calibri"/>
                <w:b/>
                <w:bCs/>
                <w:sz w:val="20"/>
                <w:szCs w:val="20"/>
                <w:lang w:eastAsia="en-AU"/>
              </w:rPr>
            </w:pPr>
            <w:r w:rsidRPr="00503F5B">
              <w:rPr>
                <w:rFonts w:eastAsia="Times New Roman" w:cs="Calibri"/>
                <w:b/>
                <w:bCs/>
                <w:sz w:val="20"/>
                <w:szCs w:val="20"/>
                <w:lang w:eastAsia="en-AU"/>
              </w:rPr>
              <w:t>MFB</w:t>
            </w:r>
          </w:p>
        </w:tc>
        <w:tc>
          <w:tcPr>
            <w:tcW w:w="1163" w:type="dxa"/>
            <w:tcBorders>
              <w:top w:val="single" w:sz="4" w:space="0" w:color="ED7C5D"/>
              <w:left w:val="nil"/>
              <w:bottom w:val="double" w:sz="6" w:space="0" w:color="C65911"/>
              <w:right w:val="nil"/>
            </w:tcBorders>
            <w:shd w:val="clear" w:color="000000" w:fill="FDE9D9"/>
            <w:noWrap/>
            <w:vAlign w:val="center"/>
            <w:hideMark/>
          </w:tcPr>
          <w:p w14:paraId="66474F3A" w14:textId="77777777" w:rsidR="00E04C6D" w:rsidRPr="00503F5B" w:rsidRDefault="00E04C6D" w:rsidP="00E04C6D">
            <w:pPr>
              <w:jc w:val="both"/>
              <w:rPr>
                <w:rFonts w:eastAsia="Times New Roman" w:cs="Calibri"/>
                <w:sz w:val="20"/>
                <w:szCs w:val="20"/>
                <w:lang w:eastAsia="en-AU"/>
              </w:rPr>
            </w:pPr>
            <w:r w:rsidRPr="00503F5B">
              <w:rPr>
                <w:rFonts w:eastAsia="Times New Roman" w:cs="Calibri"/>
                <w:sz w:val="20"/>
                <w:szCs w:val="20"/>
                <w:lang w:eastAsia="en-AU"/>
              </w:rPr>
              <w:t> </w:t>
            </w:r>
          </w:p>
        </w:tc>
        <w:tc>
          <w:tcPr>
            <w:tcW w:w="1160" w:type="dxa"/>
            <w:tcBorders>
              <w:top w:val="single" w:sz="4" w:space="0" w:color="ED7C5D"/>
              <w:left w:val="nil"/>
              <w:bottom w:val="double" w:sz="6" w:space="0" w:color="C65911"/>
              <w:right w:val="nil"/>
            </w:tcBorders>
            <w:shd w:val="clear" w:color="000000" w:fill="FDE9D9"/>
            <w:noWrap/>
            <w:vAlign w:val="bottom"/>
            <w:hideMark/>
          </w:tcPr>
          <w:p w14:paraId="58B74327"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 </w:t>
            </w:r>
          </w:p>
        </w:tc>
        <w:tc>
          <w:tcPr>
            <w:tcW w:w="1788" w:type="dxa"/>
            <w:tcBorders>
              <w:top w:val="single" w:sz="4" w:space="0" w:color="ED7C5D"/>
              <w:left w:val="nil"/>
              <w:bottom w:val="double" w:sz="6" w:space="0" w:color="C65911"/>
              <w:right w:val="nil"/>
            </w:tcBorders>
            <w:shd w:val="clear" w:color="000000" w:fill="FDE9D9"/>
            <w:noWrap/>
            <w:vAlign w:val="bottom"/>
            <w:hideMark/>
          </w:tcPr>
          <w:p w14:paraId="09981C44" w14:textId="77777777" w:rsidR="00E04C6D" w:rsidRPr="00503F5B" w:rsidRDefault="00E04C6D" w:rsidP="00E04C6D">
            <w:pPr>
              <w:rPr>
                <w:rFonts w:eastAsia="Times New Roman" w:cs="Calibri"/>
                <w:lang w:eastAsia="en-AU"/>
              </w:rPr>
            </w:pPr>
            <w:r w:rsidRPr="00503F5B">
              <w:rPr>
                <w:rFonts w:eastAsia="Times New Roman" w:cs="Calibri"/>
                <w:lang w:eastAsia="en-AU"/>
              </w:rPr>
              <w:t> </w:t>
            </w:r>
          </w:p>
        </w:tc>
      </w:tr>
      <w:tr w:rsidR="00EE3472" w:rsidRPr="00503F5B" w14:paraId="78DC7122" w14:textId="77777777" w:rsidTr="00C03A8F">
        <w:trPr>
          <w:trHeight w:val="80"/>
          <w:jc w:val="center"/>
        </w:trPr>
        <w:tc>
          <w:tcPr>
            <w:tcW w:w="4962" w:type="dxa"/>
            <w:tcBorders>
              <w:top w:val="nil"/>
              <w:left w:val="nil"/>
              <w:bottom w:val="nil"/>
              <w:right w:val="nil"/>
            </w:tcBorders>
            <w:shd w:val="clear" w:color="000000" w:fill="FFFFFF"/>
            <w:noWrap/>
            <w:hideMark/>
          </w:tcPr>
          <w:p w14:paraId="14086759"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Appliance operational staffing</w:t>
            </w:r>
          </w:p>
        </w:tc>
        <w:tc>
          <w:tcPr>
            <w:tcW w:w="1163" w:type="dxa"/>
            <w:tcBorders>
              <w:top w:val="nil"/>
              <w:left w:val="nil"/>
              <w:bottom w:val="nil"/>
              <w:right w:val="nil"/>
            </w:tcBorders>
            <w:shd w:val="clear" w:color="000000" w:fill="FFFFFF"/>
            <w:noWrap/>
            <w:hideMark/>
          </w:tcPr>
          <w:p w14:paraId="21717CC1"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$1,883</w:t>
            </w:r>
          </w:p>
        </w:tc>
        <w:tc>
          <w:tcPr>
            <w:tcW w:w="1160" w:type="dxa"/>
            <w:tcBorders>
              <w:top w:val="nil"/>
              <w:left w:val="nil"/>
              <w:bottom w:val="nil"/>
              <w:right w:val="nil"/>
            </w:tcBorders>
            <w:shd w:val="clear" w:color="000000" w:fill="FFFFFF"/>
            <w:noWrap/>
            <w:hideMark/>
          </w:tcPr>
          <w:p w14:paraId="19CBAD2A"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$1,735</w:t>
            </w:r>
          </w:p>
        </w:tc>
        <w:tc>
          <w:tcPr>
            <w:tcW w:w="1788" w:type="dxa"/>
            <w:tcBorders>
              <w:top w:val="nil"/>
              <w:left w:val="nil"/>
              <w:bottom w:val="nil"/>
              <w:right w:val="nil"/>
            </w:tcBorders>
            <w:shd w:val="clear" w:color="000000" w:fill="FFFFFF"/>
            <w:noWrap/>
            <w:hideMark/>
          </w:tcPr>
          <w:p w14:paraId="35BEEED0" w14:textId="092A61C6" w:rsidR="00EE3472" w:rsidRPr="00503F5B" w:rsidRDefault="00EE3472" w:rsidP="00EE3472">
            <w:pPr>
              <w:jc w:val="right"/>
              <w:rPr>
                <w:rFonts w:eastAsia="Times New Roman" w:cs="Calibri"/>
                <w:sz w:val="20"/>
                <w:szCs w:val="20"/>
                <w:lang w:eastAsia="en-AU"/>
              </w:rPr>
            </w:pPr>
            <w:r w:rsidRPr="00503F5B">
              <w:rPr>
                <w:sz w:val="20"/>
                <w:szCs w:val="20"/>
              </w:rPr>
              <w:t>$8,908</w:t>
            </w:r>
          </w:p>
        </w:tc>
      </w:tr>
      <w:tr w:rsidR="00EE3472" w:rsidRPr="00503F5B" w14:paraId="77AE5961" w14:textId="77777777" w:rsidTr="00C03A8F">
        <w:trPr>
          <w:trHeight w:val="80"/>
          <w:jc w:val="center"/>
        </w:trPr>
        <w:tc>
          <w:tcPr>
            <w:tcW w:w="4962" w:type="dxa"/>
            <w:tcBorders>
              <w:top w:val="nil"/>
              <w:left w:val="nil"/>
              <w:bottom w:val="nil"/>
              <w:right w:val="nil"/>
            </w:tcBorders>
            <w:shd w:val="clear" w:color="000000" w:fill="FFFFFF"/>
            <w:noWrap/>
            <w:hideMark/>
          </w:tcPr>
          <w:p w14:paraId="3BED21CF"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Appliance fuel</w:t>
            </w:r>
          </w:p>
        </w:tc>
        <w:tc>
          <w:tcPr>
            <w:tcW w:w="1163" w:type="dxa"/>
            <w:tcBorders>
              <w:top w:val="nil"/>
              <w:left w:val="nil"/>
              <w:bottom w:val="nil"/>
              <w:right w:val="nil"/>
            </w:tcBorders>
            <w:shd w:val="clear" w:color="000000" w:fill="FFFFFF"/>
            <w:noWrap/>
            <w:hideMark/>
          </w:tcPr>
          <w:p w14:paraId="1336D0CD"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$6</w:t>
            </w:r>
          </w:p>
        </w:tc>
        <w:tc>
          <w:tcPr>
            <w:tcW w:w="1160" w:type="dxa"/>
            <w:tcBorders>
              <w:top w:val="nil"/>
              <w:left w:val="nil"/>
              <w:bottom w:val="nil"/>
              <w:right w:val="nil"/>
            </w:tcBorders>
            <w:shd w:val="clear" w:color="000000" w:fill="FFFFFF"/>
            <w:noWrap/>
            <w:hideMark/>
          </w:tcPr>
          <w:p w14:paraId="38F510B4"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$6</w:t>
            </w:r>
          </w:p>
        </w:tc>
        <w:tc>
          <w:tcPr>
            <w:tcW w:w="1788" w:type="dxa"/>
            <w:tcBorders>
              <w:top w:val="nil"/>
              <w:left w:val="nil"/>
              <w:bottom w:val="nil"/>
              <w:right w:val="nil"/>
            </w:tcBorders>
            <w:shd w:val="clear" w:color="000000" w:fill="FFFFFF"/>
            <w:noWrap/>
            <w:hideMark/>
          </w:tcPr>
          <w:p w14:paraId="2C8EA721" w14:textId="1CF1654D" w:rsidR="00EE3472" w:rsidRPr="00503F5B" w:rsidRDefault="00EE3472" w:rsidP="00EE3472">
            <w:pPr>
              <w:jc w:val="right"/>
              <w:rPr>
                <w:rFonts w:eastAsia="Times New Roman" w:cs="Calibri"/>
                <w:sz w:val="20"/>
                <w:szCs w:val="20"/>
                <w:lang w:eastAsia="en-AU"/>
              </w:rPr>
            </w:pPr>
            <w:r w:rsidRPr="00503F5B">
              <w:rPr>
                <w:sz w:val="20"/>
                <w:szCs w:val="20"/>
              </w:rPr>
              <w:t>$29</w:t>
            </w:r>
          </w:p>
        </w:tc>
      </w:tr>
      <w:tr w:rsidR="00EE3472" w:rsidRPr="00503F5B" w14:paraId="2DD1AB22" w14:textId="77777777" w:rsidTr="00C03A8F">
        <w:trPr>
          <w:trHeight w:val="80"/>
          <w:jc w:val="center"/>
        </w:trPr>
        <w:tc>
          <w:tcPr>
            <w:tcW w:w="4962" w:type="dxa"/>
            <w:tcBorders>
              <w:top w:val="nil"/>
              <w:left w:val="nil"/>
              <w:bottom w:val="nil"/>
              <w:right w:val="nil"/>
            </w:tcBorders>
            <w:shd w:val="clear" w:color="000000" w:fill="FFFFFF"/>
            <w:noWrap/>
            <w:hideMark/>
          </w:tcPr>
          <w:p w14:paraId="76A7C782"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Appliance maintenance</w:t>
            </w:r>
          </w:p>
        </w:tc>
        <w:tc>
          <w:tcPr>
            <w:tcW w:w="1163" w:type="dxa"/>
            <w:tcBorders>
              <w:top w:val="nil"/>
              <w:left w:val="nil"/>
              <w:bottom w:val="nil"/>
              <w:right w:val="nil"/>
            </w:tcBorders>
            <w:shd w:val="clear" w:color="000000" w:fill="FFFFFF"/>
            <w:noWrap/>
            <w:hideMark/>
          </w:tcPr>
          <w:p w14:paraId="1D9DCE60"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$42</w:t>
            </w:r>
          </w:p>
        </w:tc>
        <w:tc>
          <w:tcPr>
            <w:tcW w:w="1160" w:type="dxa"/>
            <w:tcBorders>
              <w:top w:val="nil"/>
              <w:left w:val="nil"/>
              <w:bottom w:val="nil"/>
              <w:right w:val="nil"/>
            </w:tcBorders>
            <w:shd w:val="clear" w:color="000000" w:fill="FFFFFF"/>
            <w:noWrap/>
            <w:hideMark/>
          </w:tcPr>
          <w:p w14:paraId="4A02EE00"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$39</w:t>
            </w:r>
          </w:p>
        </w:tc>
        <w:tc>
          <w:tcPr>
            <w:tcW w:w="1788" w:type="dxa"/>
            <w:tcBorders>
              <w:top w:val="nil"/>
              <w:left w:val="nil"/>
              <w:bottom w:val="nil"/>
              <w:right w:val="nil"/>
            </w:tcBorders>
            <w:shd w:val="clear" w:color="000000" w:fill="FFFFFF"/>
            <w:noWrap/>
            <w:hideMark/>
          </w:tcPr>
          <w:p w14:paraId="6D714785" w14:textId="5CBF4DA6" w:rsidR="00EE3472" w:rsidRPr="00503F5B" w:rsidRDefault="00EE3472" w:rsidP="00EE3472">
            <w:pPr>
              <w:jc w:val="right"/>
              <w:rPr>
                <w:rFonts w:eastAsia="Times New Roman" w:cs="Calibri"/>
                <w:sz w:val="20"/>
                <w:szCs w:val="20"/>
                <w:lang w:eastAsia="en-AU"/>
              </w:rPr>
            </w:pPr>
            <w:r w:rsidRPr="00503F5B">
              <w:rPr>
                <w:sz w:val="20"/>
                <w:szCs w:val="20"/>
              </w:rPr>
              <w:t>$201</w:t>
            </w:r>
          </w:p>
        </w:tc>
      </w:tr>
      <w:tr w:rsidR="00EE3472" w:rsidRPr="00503F5B" w14:paraId="6419EA56" w14:textId="77777777" w:rsidTr="00C03A8F">
        <w:trPr>
          <w:trHeight w:val="80"/>
          <w:jc w:val="center"/>
        </w:trPr>
        <w:tc>
          <w:tcPr>
            <w:tcW w:w="4962" w:type="dxa"/>
            <w:tcBorders>
              <w:top w:val="nil"/>
              <w:left w:val="nil"/>
              <w:bottom w:val="single" w:sz="4" w:space="0" w:color="ED7C5D"/>
              <w:right w:val="nil"/>
            </w:tcBorders>
            <w:shd w:val="clear" w:color="000000" w:fill="FFFFFF"/>
            <w:noWrap/>
            <w:hideMark/>
          </w:tcPr>
          <w:p w14:paraId="5F9F0DE4"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Appliance fee</w:t>
            </w:r>
          </w:p>
        </w:tc>
        <w:tc>
          <w:tcPr>
            <w:tcW w:w="1163" w:type="dxa"/>
            <w:tcBorders>
              <w:top w:val="nil"/>
              <w:left w:val="nil"/>
              <w:bottom w:val="single" w:sz="4" w:space="0" w:color="ED7C5D"/>
              <w:right w:val="nil"/>
            </w:tcBorders>
            <w:shd w:val="clear" w:color="000000" w:fill="FFFFFF"/>
            <w:noWrap/>
            <w:hideMark/>
          </w:tcPr>
          <w:p w14:paraId="73E4DC29"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$2</w:t>
            </w:r>
          </w:p>
        </w:tc>
        <w:tc>
          <w:tcPr>
            <w:tcW w:w="1160" w:type="dxa"/>
            <w:tcBorders>
              <w:top w:val="nil"/>
              <w:left w:val="nil"/>
              <w:bottom w:val="single" w:sz="4" w:space="0" w:color="ED7C5D"/>
              <w:right w:val="nil"/>
            </w:tcBorders>
            <w:shd w:val="clear" w:color="000000" w:fill="FFFFFF"/>
            <w:noWrap/>
            <w:hideMark/>
          </w:tcPr>
          <w:p w14:paraId="2DDF0629"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$2</w:t>
            </w:r>
          </w:p>
        </w:tc>
        <w:tc>
          <w:tcPr>
            <w:tcW w:w="1788" w:type="dxa"/>
            <w:tcBorders>
              <w:top w:val="nil"/>
              <w:left w:val="nil"/>
              <w:bottom w:val="single" w:sz="4" w:space="0" w:color="ED7C5D"/>
              <w:right w:val="nil"/>
            </w:tcBorders>
            <w:shd w:val="clear" w:color="000000" w:fill="FFFFFF"/>
            <w:noWrap/>
            <w:hideMark/>
          </w:tcPr>
          <w:p w14:paraId="5FFC10B5" w14:textId="142FCFF1" w:rsidR="00EE3472" w:rsidRPr="00503F5B" w:rsidRDefault="00EE3472" w:rsidP="00EE3472">
            <w:pPr>
              <w:jc w:val="right"/>
              <w:rPr>
                <w:rFonts w:eastAsia="Times New Roman" w:cs="Calibri"/>
                <w:sz w:val="20"/>
                <w:szCs w:val="20"/>
                <w:lang w:eastAsia="en-AU"/>
              </w:rPr>
            </w:pPr>
            <w:r w:rsidRPr="00503F5B">
              <w:rPr>
                <w:sz w:val="20"/>
                <w:szCs w:val="20"/>
              </w:rPr>
              <w:t>$10</w:t>
            </w:r>
          </w:p>
        </w:tc>
      </w:tr>
      <w:tr w:rsidR="00EE3472" w:rsidRPr="00503F5B" w14:paraId="2D276CD7" w14:textId="77777777" w:rsidTr="00C03A8F">
        <w:trPr>
          <w:trHeight w:val="70"/>
          <w:jc w:val="center"/>
        </w:trPr>
        <w:tc>
          <w:tcPr>
            <w:tcW w:w="4962" w:type="dxa"/>
            <w:tcBorders>
              <w:top w:val="single" w:sz="4" w:space="0" w:color="ED7C5D"/>
              <w:left w:val="nil"/>
              <w:bottom w:val="single" w:sz="4" w:space="0" w:color="ED7C5D"/>
              <w:right w:val="nil"/>
            </w:tcBorders>
            <w:shd w:val="clear" w:color="000000" w:fill="FFFFFF"/>
            <w:noWrap/>
            <w:hideMark/>
          </w:tcPr>
          <w:p w14:paraId="513FC560" w14:textId="77777777" w:rsidR="00EE3472" w:rsidRPr="00503F5B" w:rsidRDefault="00EE3472" w:rsidP="00EE3472">
            <w:pPr>
              <w:rPr>
                <w:rFonts w:eastAsia="Times New Roman" w:cs="Calibri"/>
                <w:b/>
                <w:bCs/>
                <w:sz w:val="20"/>
                <w:szCs w:val="20"/>
                <w:lang w:eastAsia="en-AU"/>
              </w:rPr>
            </w:pPr>
            <w:r w:rsidRPr="00503F5B">
              <w:rPr>
                <w:rFonts w:eastAsia="Times New Roman" w:cs="Calibri"/>
                <w:b/>
                <w:bCs/>
                <w:sz w:val="20"/>
                <w:szCs w:val="20"/>
                <w:lang w:eastAsia="en-AU"/>
              </w:rPr>
              <w:t>Sub-total direct cost per for MFB</w:t>
            </w:r>
          </w:p>
        </w:tc>
        <w:tc>
          <w:tcPr>
            <w:tcW w:w="1163" w:type="dxa"/>
            <w:tcBorders>
              <w:top w:val="single" w:sz="4" w:space="0" w:color="ED7C5D"/>
              <w:left w:val="nil"/>
              <w:bottom w:val="single" w:sz="4" w:space="0" w:color="ED7C5D"/>
              <w:right w:val="nil"/>
            </w:tcBorders>
            <w:shd w:val="clear" w:color="000000" w:fill="FFFFFF"/>
            <w:noWrap/>
            <w:hideMark/>
          </w:tcPr>
          <w:p w14:paraId="1683CF71" w14:textId="77777777" w:rsidR="00EE3472" w:rsidRPr="00503F5B" w:rsidRDefault="00EE3472" w:rsidP="00EE3472">
            <w:pPr>
              <w:jc w:val="right"/>
              <w:rPr>
                <w:rFonts w:eastAsia="Times New Roman" w:cs="Calibri"/>
                <w:b/>
                <w:bCs/>
                <w:sz w:val="20"/>
                <w:szCs w:val="20"/>
                <w:lang w:eastAsia="en-AU"/>
              </w:rPr>
            </w:pPr>
            <w:r w:rsidRPr="00503F5B">
              <w:rPr>
                <w:rFonts w:eastAsia="Times New Roman" w:cs="Calibri"/>
                <w:b/>
                <w:bCs/>
                <w:sz w:val="20"/>
                <w:szCs w:val="20"/>
                <w:lang w:eastAsia="en-AU"/>
              </w:rPr>
              <w:t>$1,933</w:t>
            </w:r>
          </w:p>
        </w:tc>
        <w:tc>
          <w:tcPr>
            <w:tcW w:w="1160" w:type="dxa"/>
            <w:tcBorders>
              <w:top w:val="single" w:sz="4" w:space="0" w:color="ED7C5D"/>
              <w:left w:val="nil"/>
              <w:bottom w:val="single" w:sz="4" w:space="0" w:color="ED7C5D"/>
              <w:right w:val="nil"/>
            </w:tcBorders>
            <w:shd w:val="clear" w:color="000000" w:fill="FFFFFF"/>
            <w:noWrap/>
            <w:hideMark/>
          </w:tcPr>
          <w:p w14:paraId="59B9D42D" w14:textId="77777777" w:rsidR="00EE3472" w:rsidRPr="00503F5B" w:rsidRDefault="00EE3472" w:rsidP="00EE3472">
            <w:pPr>
              <w:jc w:val="right"/>
              <w:rPr>
                <w:rFonts w:eastAsia="Times New Roman" w:cs="Calibri"/>
                <w:b/>
                <w:bCs/>
                <w:sz w:val="20"/>
                <w:szCs w:val="20"/>
                <w:lang w:eastAsia="en-AU"/>
              </w:rPr>
            </w:pPr>
            <w:r w:rsidRPr="00503F5B">
              <w:rPr>
                <w:rFonts w:eastAsia="Times New Roman" w:cs="Calibri"/>
                <w:b/>
                <w:bCs/>
                <w:sz w:val="20"/>
                <w:szCs w:val="20"/>
                <w:lang w:eastAsia="en-AU"/>
              </w:rPr>
              <w:t>$1,782</w:t>
            </w:r>
          </w:p>
        </w:tc>
        <w:tc>
          <w:tcPr>
            <w:tcW w:w="1788" w:type="dxa"/>
            <w:tcBorders>
              <w:top w:val="single" w:sz="4" w:space="0" w:color="ED7C5D"/>
              <w:left w:val="nil"/>
              <w:bottom w:val="single" w:sz="4" w:space="0" w:color="ED7C5D"/>
              <w:right w:val="nil"/>
            </w:tcBorders>
            <w:shd w:val="clear" w:color="000000" w:fill="FFFFFF"/>
            <w:noWrap/>
            <w:hideMark/>
          </w:tcPr>
          <w:p w14:paraId="490DB00B" w14:textId="527F82F4" w:rsidR="00EE3472" w:rsidRPr="00503F5B" w:rsidRDefault="00EE3472" w:rsidP="00EE3472">
            <w:pPr>
              <w:jc w:val="right"/>
              <w:rPr>
                <w:rFonts w:eastAsia="Times New Roman" w:cs="Calibri"/>
                <w:b/>
                <w:bCs/>
                <w:sz w:val="20"/>
                <w:szCs w:val="20"/>
                <w:lang w:eastAsia="en-AU"/>
              </w:rPr>
            </w:pPr>
            <w:r w:rsidRPr="00503F5B">
              <w:rPr>
                <w:b/>
                <w:bCs/>
                <w:sz w:val="20"/>
                <w:szCs w:val="20"/>
              </w:rPr>
              <w:t>$9,148</w:t>
            </w:r>
          </w:p>
        </w:tc>
      </w:tr>
      <w:tr w:rsidR="00EE3472" w:rsidRPr="00503F5B" w14:paraId="2A7931DE" w14:textId="77777777" w:rsidTr="00C03A8F">
        <w:trPr>
          <w:trHeight w:val="80"/>
          <w:jc w:val="center"/>
        </w:trPr>
        <w:tc>
          <w:tcPr>
            <w:tcW w:w="4962" w:type="dxa"/>
            <w:tcBorders>
              <w:top w:val="single" w:sz="4" w:space="0" w:color="ED7C5D"/>
              <w:left w:val="nil"/>
              <w:bottom w:val="nil"/>
              <w:right w:val="nil"/>
            </w:tcBorders>
            <w:shd w:val="clear" w:color="000000" w:fill="FFFFFF"/>
            <w:noWrap/>
            <w:hideMark/>
          </w:tcPr>
          <w:p w14:paraId="5C873B96"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Overtime and allowances for station personnel</w:t>
            </w:r>
          </w:p>
        </w:tc>
        <w:tc>
          <w:tcPr>
            <w:tcW w:w="1163" w:type="dxa"/>
            <w:tcBorders>
              <w:top w:val="single" w:sz="4" w:space="0" w:color="ED7C5D"/>
              <w:left w:val="nil"/>
              <w:bottom w:val="nil"/>
              <w:right w:val="nil"/>
            </w:tcBorders>
            <w:shd w:val="clear" w:color="000000" w:fill="FFFFFF"/>
            <w:noWrap/>
            <w:hideMark/>
          </w:tcPr>
          <w:p w14:paraId="4B05CE45"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$285</w:t>
            </w:r>
          </w:p>
        </w:tc>
        <w:tc>
          <w:tcPr>
            <w:tcW w:w="1160" w:type="dxa"/>
            <w:tcBorders>
              <w:top w:val="single" w:sz="4" w:space="0" w:color="ED7C5D"/>
              <w:left w:val="nil"/>
              <w:bottom w:val="nil"/>
              <w:right w:val="nil"/>
            </w:tcBorders>
            <w:shd w:val="clear" w:color="000000" w:fill="FFFFFF"/>
            <w:noWrap/>
            <w:hideMark/>
          </w:tcPr>
          <w:p w14:paraId="38C712AC"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$263</w:t>
            </w:r>
          </w:p>
        </w:tc>
        <w:tc>
          <w:tcPr>
            <w:tcW w:w="1788" w:type="dxa"/>
            <w:tcBorders>
              <w:top w:val="single" w:sz="4" w:space="0" w:color="ED7C5D"/>
              <w:left w:val="nil"/>
              <w:bottom w:val="nil"/>
              <w:right w:val="nil"/>
            </w:tcBorders>
            <w:shd w:val="clear" w:color="000000" w:fill="FFFFFF"/>
            <w:noWrap/>
            <w:hideMark/>
          </w:tcPr>
          <w:p w14:paraId="48240FA6" w14:textId="2AA8DC27" w:rsidR="00EE3472" w:rsidRPr="00503F5B" w:rsidRDefault="00EE3472" w:rsidP="00EE3472">
            <w:pPr>
              <w:jc w:val="right"/>
              <w:rPr>
                <w:rFonts w:eastAsia="Times New Roman" w:cs="Calibri"/>
                <w:sz w:val="20"/>
                <w:szCs w:val="20"/>
                <w:lang w:eastAsia="en-AU"/>
              </w:rPr>
            </w:pPr>
            <w:r w:rsidRPr="00503F5B">
              <w:rPr>
                <w:sz w:val="20"/>
                <w:szCs w:val="20"/>
              </w:rPr>
              <w:t>$1,350</w:t>
            </w:r>
          </w:p>
        </w:tc>
      </w:tr>
      <w:tr w:rsidR="00EE3472" w:rsidRPr="00503F5B" w14:paraId="1202635E" w14:textId="77777777" w:rsidTr="00C03A8F">
        <w:trPr>
          <w:trHeight w:val="80"/>
          <w:jc w:val="center"/>
        </w:trPr>
        <w:tc>
          <w:tcPr>
            <w:tcW w:w="4962" w:type="dxa"/>
            <w:tcBorders>
              <w:top w:val="nil"/>
              <w:left w:val="nil"/>
              <w:bottom w:val="nil"/>
              <w:right w:val="nil"/>
            </w:tcBorders>
            <w:shd w:val="clear" w:color="000000" w:fill="FFFFFF"/>
            <w:noWrap/>
            <w:hideMark/>
          </w:tcPr>
          <w:p w14:paraId="067ACDF8"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Personal protective equipment</w:t>
            </w:r>
          </w:p>
        </w:tc>
        <w:tc>
          <w:tcPr>
            <w:tcW w:w="1163" w:type="dxa"/>
            <w:tcBorders>
              <w:top w:val="nil"/>
              <w:left w:val="nil"/>
              <w:bottom w:val="nil"/>
              <w:right w:val="nil"/>
            </w:tcBorders>
            <w:shd w:val="clear" w:color="000000" w:fill="FFFFFF"/>
            <w:noWrap/>
            <w:hideMark/>
          </w:tcPr>
          <w:p w14:paraId="303C5F0A"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$18</w:t>
            </w:r>
          </w:p>
        </w:tc>
        <w:tc>
          <w:tcPr>
            <w:tcW w:w="1160" w:type="dxa"/>
            <w:tcBorders>
              <w:top w:val="nil"/>
              <w:left w:val="nil"/>
              <w:bottom w:val="nil"/>
              <w:right w:val="nil"/>
            </w:tcBorders>
            <w:shd w:val="clear" w:color="000000" w:fill="FFFFFF"/>
            <w:noWrap/>
            <w:hideMark/>
          </w:tcPr>
          <w:p w14:paraId="1716C21A"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$17</w:t>
            </w:r>
          </w:p>
        </w:tc>
        <w:tc>
          <w:tcPr>
            <w:tcW w:w="1788" w:type="dxa"/>
            <w:tcBorders>
              <w:top w:val="nil"/>
              <w:left w:val="nil"/>
              <w:bottom w:val="nil"/>
              <w:right w:val="nil"/>
            </w:tcBorders>
            <w:shd w:val="clear" w:color="000000" w:fill="FFFFFF"/>
            <w:noWrap/>
            <w:hideMark/>
          </w:tcPr>
          <w:p w14:paraId="5F210D26" w14:textId="03530F44" w:rsidR="00EE3472" w:rsidRPr="00503F5B" w:rsidRDefault="00EE3472" w:rsidP="00EE3472">
            <w:pPr>
              <w:jc w:val="right"/>
              <w:rPr>
                <w:rFonts w:eastAsia="Times New Roman" w:cs="Calibri"/>
                <w:sz w:val="20"/>
                <w:szCs w:val="20"/>
                <w:lang w:eastAsia="en-AU"/>
              </w:rPr>
            </w:pPr>
            <w:r w:rsidRPr="00503F5B">
              <w:rPr>
                <w:sz w:val="20"/>
                <w:szCs w:val="20"/>
              </w:rPr>
              <w:t>$86</w:t>
            </w:r>
          </w:p>
        </w:tc>
      </w:tr>
      <w:tr w:rsidR="00EE3472" w:rsidRPr="00503F5B" w14:paraId="3685118C" w14:textId="77777777" w:rsidTr="00C03A8F">
        <w:trPr>
          <w:trHeight w:val="80"/>
          <w:jc w:val="center"/>
        </w:trPr>
        <w:tc>
          <w:tcPr>
            <w:tcW w:w="4962" w:type="dxa"/>
            <w:tcBorders>
              <w:top w:val="nil"/>
              <w:left w:val="nil"/>
              <w:bottom w:val="nil"/>
              <w:right w:val="nil"/>
            </w:tcBorders>
            <w:shd w:val="clear" w:color="000000" w:fill="FFFFFF"/>
            <w:noWrap/>
            <w:hideMark/>
          </w:tcPr>
          <w:p w14:paraId="00AACA98"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Training</w:t>
            </w:r>
          </w:p>
        </w:tc>
        <w:tc>
          <w:tcPr>
            <w:tcW w:w="1163" w:type="dxa"/>
            <w:tcBorders>
              <w:top w:val="nil"/>
              <w:left w:val="nil"/>
              <w:bottom w:val="nil"/>
              <w:right w:val="nil"/>
            </w:tcBorders>
            <w:shd w:val="clear" w:color="000000" w:fill="FFFFFF"/>
            <w:noWrap/>
            <w:hideMark/>
          </w:tcPr>
          <w:p w14:paraId="332ADA99"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$5</w:t>
            </w:r>
          </w:p>
        </w:tc>
        <w:tc>
          <w:tcPr>
            <w:tcW w:w="1160" w:type="dxa"/>
            <w:tcBorders>
              <w:top w:val="nil"/>
              <w:left w:val="nil"/>
              <w:bottom w:val="nil"/>
              <w:right w:val="nil"/>
            </w:tcBorders>
            <w:shd w:val="clear" w:color="000000" w:fill="FFFFFF"/>
            <w:noWrap/>
            <w:hideMark/>
          </w:tcPr>
          <w:p w14:paraId="0E10EDF6"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$4</w:t>
            </w:r>
          </w:p>
        </w:tc>
        <w:tc>
          <w:tcPr>
            <w:tcW w:w="1788" w:type="dxa"/>
            <w:tcBorders>
              <w:top w:val="nil"/>
              <w:left w:val="nil"/>
              <w:bottom w:val="nil"/>
              <w:right w:val="nil"/>
            </w:tcBorders>
            <w:shd w:val="clear" w:color="000000" w:fill="FFFFFF"/>
            <w:noWrap/>
            <w:hideMark/>
          </w:tcPr>
          <w:p w14:paraId="3A85B532" w14:textId="7797909B" w:rsidR="00EE3472" w:rsidRPr="00503F5B" w:rsidRDefault="00EE3472" w:rsidP="00EE3472">
            <w:pPr>
              <w:jc w:val="right"/>
              <w:rPr>
                <w:rFonts w:eastAsia="Times New Roman" w:cs="Calibri"/>
                <w:sz w:val="20"/>
                <w:szCs w:val="20"/>
                <w:lang w:eastAsia="en-AU"/>
              </w:rPr>
            </w:pPr>
            <w:r w:rsidRPr="00503F5B">
              <w:rPr>
                <w:sz w:val="20"/>
                <w:szCs w:val="20"/>
              </w:rPr>
              <w:t>$22</w:t>
            </w:r>
          </w:p>
        </w:tc>
      </w:tr>
      <w:tr w:rsidR="00EE3472" w:rsidRPr="00503F5B" w14:paraId="2D8F6A0E" w14:textId="77777777" w:rsidTr="00C03A8F">
        <w:trPr>
          <w:trHeight w:val="80"/>
          <w:jc w:val="center"/>
        </w:trPr>
        <w:tc>
          <w:tcPr>
            <w:tcW w:w="4962" w:type="dxa"/>
            <w:tcBorders>
              <w:top w:val="nil"/>
              <w:left w:val="nil"/>
              <w:bottom w:val="single" w:sz="4" w:space="0" w:color="ED7C5D"/>
              <w:right w:val="nil"/>
            </w:tcBorders>
            <w:shd w:val="clear" w:color="000000" w:fill="FFFFFF"/>
            <w:noWrap/>
            <w:hideMark/>
          </w:tcPr>
          <w:p w14:paraId="29FF09DE"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Administrative support</w:t>
            </w:r>
          </w:p>
        </w:tc>
        <w:tc>
          <w:tcPr>
            <w:tcW w:w="1163" w:type="dxa"/>
            <w:tcBorders>
              <w:top w:val="nil"/>
              <w:left w:val="nil"/>
              <w:bottom w:val="single" w:sz="4" w:space="0" w:color="ED7C5D"/>
              <w:right w:val="nil"/>
            </w:tcBorders>
            <w:shd w:val="clear" w:color="000000" w:fill="FFFFFF"/>
            <w:noWrap/>
            <w:hideMark/>
          </w:tcPr>
          <w:p w14:paraId="382A539A"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$337</w:t>
            </w:r>
          </w:p>
        </w:tc>
        <w:tc>
          <w:tcPr>
            <w:tcW w:w="1160" w:type="dxa"/>
            <w:tcBorders>
              <w:top w:val="nil"/>
              <w:left w:val="nil"/>
              <w:bottom w:val="single" w:sz="4" w:space="0" w:color="ED7C5D"/>
              <w:right w:val="nil"/>
            </w:tcBorders>
            <w:shd w:val="clear" w:color="000000" w:fill="FFFFFF"/>
            <w:noWrap/>
            <w:hideMark/>
          </w:tcPr>
          <w:p w14:paraId="4AD61F80"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$311</w:t>
            </w:r>
          </w:p>
        </w:tc>
        <w:tc>
          <w:tcPr>
            <w:tcW w:w="1788" w:type="dxa"/>
            <w:tcBorders>
              <w:top w:val="nil"/>
              <w:left w:val="nil"/>
              <w:bottom w:val="single" w:sz="4" w:space="0" w:color="ED7C5D"/>
              <w:right w:val="nil"/>
            </w:tcBorders>
            <w:shd w:val="clear" w:color="000000" w:fill="FFFFFF"/>
            <w:noWrap/>
            <w:hideMark/>
          </w:tcPr>
          <w:p w14:paraId="13834233" w14:textId="12E2392A" w:rsidR="00EE3472" w:rsidRPr="00503F5B" w:rsidRDefault="00EE3472" w:rsidP="00EE3472">
            <w:pPr>
              <w:jc w:val="right"/>
              <w:rPr>
                <w:rFonts w:eastAsia="Times New Roman" w:cs="Calibri"/>
                <w:sz w:val="20"/>
                <w:szCs w:val="20"/>
                <w:lang w:eastAsia="en-AU"/>
              </w:rPr>
            </w:pPr>
            <w:r w:rsidRPr="00503F5B">
              <w:rPr>
                <w:sz w:val="20"/>
                <w:szCs w:val="20"/>
              </w:rPr>
              <w:t>$1,595</w:t>
            </w:r>
          </w:p>
        </w:tc>
      </w:tr>
      <w:tr w:rsidR="00EE3472" w:rsidRPr="00503F5B" w14:paraId="6DB854D4" w14:textId="77777777" w:rsidTr="00C03A8F">
        <w:trPr>
          <w:trHeight w:val="70"/>
          <w:jc w:val="center"/>
        </w:trPr>
        <w:tc>
          <w:tcPr>
            <w:tcW w:w="4962" w:type="dxa"/>
            <w:tcBorders>
              <w:top w:val="single" w:sz="4" w:space="0" w:color="ED7C5D"/>
              <w:left w:val="nil"/>
              <w:bottom w:val="single" w:sz="4" w:space="0" w:color="ED7C5D"/>
              <w:right w:val="nil"/>
            </w:tcBorders>
            <w:shd w:val="clear" w:color="000000" w:fill="FFFFFF"/>
            <w:noWrap/>
            <w:hideMark/>
          </w:tcPr>
          <w:p w14:paraId="71E47885" w14:textId="77777777" w:rsidR="00EE3472" w:rsidRPr="00503F5B" w:rsidRDefault="00EE3472" w:rsidP="00EE3472">
            <w:pPr>
              <w:rPr>
                <w:rFonts w:eastAsia="Times New Roman" w:cs="Calibri"/>
                <w:b/>
                <w:bCs/>
                <w:sz w:val="20"/>
                <w:szCs w:val="20"/>
                <w:lang w:eastAsia="en-AU"/>
              </w:rPr>
            </w:pPr>
            <w:r w:rsidRPr="00503F5B">
              <w:rPr>
                <w:rFonts w:eastAsia="Times New Roman" w:cs="Calibri"/>
                <w:b/>
                <w:bCs/>
                <w:sz w:val="20"/>
                <w:szCs w:val="20"/>
                <w:lang w:eastAsia="en-AU"/>
              </w:rPr>
              <w:t>Sub-total indirect cost for MFB</w:t>
            </w:r>
          </w:p>
        </w:tc>
        <w:tc>
          <w:tcPr>
            <w:tcW w:w="1163" w:type="dxa"/>
            <w:tcBorders>
              <w:top w:val="single" w:sz="4" w:space="0" w:color="ED7C5D"/>
              <w:left w:val="nil"/>
              <w:bottom w:val="single" w:sz="4" w:space="0" w:color="ED7C5D"/>
              <w:right w:val="nil"/>
            </w:tcBorders>
            <w:shd w:val="clear" w:color="000000" w:fill="FFFFFF"/>
            <w:noWrap/>
            <w:hideMark/>
          </w:tcPr>
          <w:p w14:paraId="64F0738F" w14:textId="77777777" w:rsidR="00EE3472" w:rsidRPr="00503F5B" w:rsidRDefault="00EE3472" w:rsidP="00EE3472">
            <w:pPr>
              <w:jc w:val="right"/>
              <w:rPr>
                <w:rFonts w:eastAsia="Times New Roman" w:cs="Calibri"/>
                <w:b/>
                <w:bCs/>
                <w:sz w:val="20"/>
                <w:szCs w:val="20"/>
                <w:lang w:eastAsia="en-AU"/>
              </w:rPr>
            </w:pPr>
            <w:r w:rsidRPr="00503F5B">
              <w:rPr>
                <w:rFonts w:eastAsia="Times New Roman" w:cs="Calibri"/>
                <w:b/>
                <w:bCs/>
                <w:sz w:val="20"/>
                <w:szCs w:val="20"/>
                <w:lang w:eastAsia="en-AU"/>
              </w:rPr>
              <w:t>$645</w:t>
            </w:r>
          </w:p>
        </w:tc>
        <w:tc>
          <w:tcPr>
            <w:tcW w:w="1160" w:type="dxa"/>
            <w:tcBorders>
              <w:top w:val="single" w:sz="4" w:space="0" w:color="ED7C5D"/>
              <w:left w:val="nil"/>
              <w:bottom w:val="single" w:sz="4" w:space="0" w:color="ED7C5D"/>
              <w:right w:val="nil"/>
            </w:tcBorders>
            <w:shd w:val="clear" w:color="000000" w:fill="FFFFFF"/>
            <w:noWrap/>
            <w:hideMark/>
          </w:tcPr>
          <w:p w14:paraId="778E2EDB" w14:textId="77777777" w:rsidR="00EE3472" w:rsidRPr="00503F5B" w:rsidRDefault="00EE3472" w:rsidP="00EE3472">
            <w:pPr>
              <w:jc w:val="right"/>
              <w:rPr>
                <w:rFonts w:eastAsia="Times New Roman" w:cs="Calibri"/>
                <w:b/>
                <w:bCs/>
                <w:sz w:val="20"/>
                <w:szCs w:val="20"/>
                <w:lang w:eastAsia="en-AU"/>
              </w:rPr>
            </w:pPr>
            <w:r w:rsidRPr="00503F5B">
              <w:rPr>
                <w:rFonts w:eastAsia="Times New Roman" w:cs="Calibri"/>
                <w:b/>
                <w:bCs/>
                <w:sz w:val="20"/>
                <w:szCs w:val="20"/>
                <w:lang w:eastAsia="en-AU"/>
              </w:rPr>
              <w:t>$594</w:t>
            </w:r>
          </w:p>
        </w:tc>
        <w:tc>
          <w:tcPr>
            <w:tcW w:w="1788" w:type="dxa"/>
            <w:tcBorders>
              <w:top w:val="single" w:sz="4" w:space="0" w:color="ED7C5D"/>
              <w:left w:val="nil"/>
              <w:bottom w:val="single" w:sz="4" w:space="0" w:color="ED7C5D"/>
              <w:right w:val="nil"/>
            </w:tcBorders>
            <w:shd w:val="clear" w:color="000000" w:fill="FFFFFF"/>
            <w:noWrap/>
            <w:hideMark/>
          </w:tcPr>
          <w:p w14:paraId="24A875B5" w14:textId="24260610" w:rsidR="00EE3472" w:rsidRPr="00503F5B" w:rsidRDefault="00EE3472" w:rsidP="00EE3472">
            <w:pPr>
              <w:jc w:val="right"/>
              <w:rPr>
                <w:rFonts w:eastAsia="Times New Roman" w:cs="Calibri"/>
                <w:b/>
                <w:bCs/>
                <w:sz w:val="20"/>
                <w:szCs w:val="20"/>
                <w:lang w:eastAsia="en-AU"/>
              </w:rPr>
            </w:pPr>
            <w:r w:rsidRPr="00503F5B">
              <w:rPr>
                <w:b/>
                <w:bCs/>
                <w:sz w:val="20"/>
                <w:szCs w:val="20"/>
              </w:rPr>
              <w:t>$3,052</w:t>
            </w:r>
          </w:p>
        </w:tc>
      </w:tr>
      <w:tr w:rsidR="00EE3472" w:rsidRPr="00503F5B" w14:paraId="53C21249" w14:textId="77777777" w:rsidTr="00333BC5">
        <w:trPr>
          <w:trHeight w:val="70"/>
          <w:jc w:val="center"/>
        </w:trPr>
        <w:tc>
          <w:tcPr>
            <w:tcW w:w="4962" w:type="dxa"/>
            <w:tcBorders>
              <w:top w:val="single" w:sz="4" w:space="0" w:color="ED7C5D"/>
              <w:left w:val="nil"/>
              <w:bottom w:val="single" w:sz="4" w:space="0" w:color="ED7C5D"/>
              <w:right w:val="nil"/>
            </w:tcBorders>
            <w:shd w:val="clear" w:color="000000" w:fill="FFFFFF"/>
            <w:noWrap/>
            <w:hideMark/>
          </w:tcPr>
          <w:p w14:paraId="539B2C12" w14:textId="77777777" w:rsidR="00EE3472" w:rsidRPr="00503F5B" w:rsidRDefault="00EE3472" w:rsidP="00EE3472">
            <w:pPr>
              <w:rPr>
                <w:rFonts w:eastAsia="Times New Roman" w:cs="Calibri"/>
                <w:b/>
                <w:bCs/>
                <w:i/>
                <w:iCs/>
                <w:sz w:val="20"/>
                <w:szCs w:val="20"/>
                <w:lang w:eastAsia="en-AU"/>
              </w:rPr>
            </w:pPr>
            <w:r w:rsidRPr="00503F5B">
              <w:rPr>
                <w:rFonts w:eastAsia="Times New Roman" w:cs="Calibri"/>
                <w:b/>
                <w:bCs/>
                <w:i/>
                <w:iCs/>
                <w:sz w:val="20"/>
                <w:szCs w:val="20"/>
                <w:lang w:eastAsia="en-AU"/>
              </w:rPr>
              <w:t>Total direct and indirect cost for MFB</w:t>
            </w:r>
          </w:p>
        </w:tc>
        <w:tc>
          <w:tcPr>
            <w:tcW w:w="1163" w:type="dxa"/>
            <w:tcBorders>
              <w:top w:val="single" w:sz="4" w:space="0" w:color="ED7C5D"/>
              <w:left w:val="nil"/>
              <w:bottom w:val="single" w:sz="4" w:space="0" w:color="ED7C5D"/>
              <w:right w:val="nil"/>
            </w:tcBorders>
            <w:shd w:val="clear" w:color="000000" w:fill="FFFFFF"/>
            <w:noWrap/>
            <w:hideMark/>
          </w:tcPr>
          <w:p w14:paraId="02F68D7A" w14:textId="77777777" w:rsidR="00EE3472" w:rsidRPr="00503F5B" w:rsidRDefault="00EE3472" w:rsidP="00EE3472">
            <w:pPr>
              <w:jc w:val="right"/>
              <w:rPr>
                <w:rFonts w:eastAsia="Times New Roman" w:cs="Calibri"/>
                <w:b/>
                <w:bCs/>
                <w:i/>
                <w:iCs/>
                <w:sz w:val="20"/>
                <w:szCs w:val="20"/>
                <w:lang w:eastAsia="en-AU"/>
              </w:rPr>
            </w:pPr>
            <w:r w:rsidRPr="00503F5B">
              <w:rPr>
                <w:rFonts w:eastAsia="Times New Roman" w:cs="Calibri"/>
                <w:b/>
                <w:bCs/>
                <w:i/>
                <w:iCs/>
                <w:sz w:val="20"/>
                <w:szCs w:val="20"/>
                <w:lang w:eastAsia="en-AU"/>
              </w:rPr>
              <w:t>$2,579</w:t>
            </w:r>
          </w:p>
        </w:tc>
        <w:tc>
          <w:tcPr>
            <w:tcW w:w="1160" w:type="dxa"/>
            <w:tcBorders>
              <w:top w:val="single" w:sz="4" w:space="0" w:color="ED7C5D"/>
              <w:left w:val="nil"/>
              <w:bottom w:val="single" w:sz="4" w:space="0" w:color="ED7C5D"/>
              <w:right w:val="nil"/>
            </w:tcBorders>
            <w:shd w:val="clear" w:color="000000" w:fill="FFFFFF"/>
            <w:noWrap/>
            <w:hideMark/>
          </w:tcPr>
          <w:p w14:paraId="479E3A1E" w14:textId="77777777" w:rsidR="00EE3472" w:rsidRPr="00503F5B" w:rsidRDefault="00EE3472" w:rsidP="00EE3472">
            <w:pPr>
              <w:jc w:val="right"/>
              <w:rPr>
                <w:rFonts w:eastAsia="Times New Roman" w:cs="Calibri"/>
                <w:b/>
                <w:bCs/>
                <w:i/>
                <w:iCs/>
                <w:sz w:val="20"/>
                <w:szCs w:val="20"/>
                <w:lang w:eastAsia="en-AU"/>
              </w:rPr>
            </w:pPr>
            <w:r w:rsidRPr="00503F5B">
              <w:rPr>
                <w:rFonts w:eastAsia="Times New Roman" w:cs="Calibri"/>
                <w:b/>
                <w:bCs/>
                <w:i/>
                <w:iCs/>
                <w:sz w:val="20"/>
                <w:szCs w:val="20"/>
                <w:lang w:eastAsia="en-AU"/>
              </w:rPr>
              <w:t>$2,376</w:t>
            </w:r>
          </w:p>
        </w:tc>
        <w:tc>
          <w:tcPr>
            <w:tcW w:w="1788" w:type="dxa"/>
            <w:tcBorders>
              <w:top w:val="single" w:sz="4" w:space="0" w:color="ED7C5D"/>
              <w:left w:val="nil"/>
              <w:bottom w:val="single" w:sz="4" w:space="0" w:color="ED7C5D"/>
              <w:right w:val="nil"/>
            </w:tcBorders>
            <w:shd w:val="clear" w:color="000000" w:fill="FFFFFF"/>
            <w:noWrap/>
            <w:hideMark/>
          </w:tcPr>
          <w:p w14:paraId="1C285E9B" w14:textId="1D617EBC" w:rsidR="00EE3472" w:rsidRPr="00503F5B" w:rsidRDefault="00EE3472" w:rsidP="00EE3472">
            <w:pPr>
              <w:jc w:val="right"/>
              <w:rPr>
                <w:rFonts w:eastAsia="Times New Roman" w:cs="Calibri"/>
                <w:b/>
                <w:bCs/>
                <w:i/>
                <w:iCs/>
                <w:sz w:val="20"/>
                <w:szCs w:val="20"/>
                <w:lang w:eastAsia="en-AU"/>
              </w:rPr>
            </w:pPr>
            <w:r w:rsidRPr="00503F5B">
              <w:rPr>
                <w:b/>
                <w:bCs/>
                <w:i/>
                <w:iCs/>
                <w:sz w:val="20"/>
                <w:szCs w:val="20"/>
              </w:rPr>
              <w:t>$12,200</w:t>
            </w:r>
          </w:p>
        </w:tc>
      </w:tr>
      <w:tr w:rsidR="00E04C6D" w:rsidRPr="00503F5B" w14:paraId="4230A7F5" w14:textId="77777777" w:rsidTr="00333BC5">
        <w:trPr>
          <w:trHeight w:val="315"/>
          <w:jc w:val="center"/>
        </w:trPr>
        <w:tc>
          <w:tcPr>
            <w:tcW w:w="4962" w:type="dxa"/>
            <w:tcBorders>
              <w:top w:val="single" w:sz="4" w:space="0" w:color="ED7C5D"/>
              <w:left w:val="nil"/>
              <w:bottom w:val="double" w:sz="4" w:space="0" w:color="ED7C5D"/>
              <w:right w:val="nil"/>
            </w:tcBorders>
            <w:shd w:val="clear" w:color="000000" w:fill="FDE9D9"/>
            <w:noWrap/>
            <w:hideMark/>
          </w:tcPr>
          <w:p w14:paraId="57445A47" w14:textId="77777777" w:rsidR="00E04C6D" w:rsidRPr="00503F5B" w:rsidRDefault="00E04C6D" w:rsidP="00E04C6D">
            <w:pPr>
              <w:rPr>
                <w:rFonts w:eastAsia="Times New Roman" w:cs="Calibri"/>
                <w:b/>
                <w:bCs/>
                <w:sz w:val="20"/>
                <w:szCs w:val="20"/>
                <w:lang w:eastAsia="en-AU"/>
              </w:rPr>
            </w:pPr>
            <w:r w:rsidRPr="00503F5B">
              <w:rPr>
                <w:rFonts w:eastAsia="Times New Roman" w:cs="Calibri"/>
                <w:b/>
                <w:bCs/>
                <w:sz w:val="20"/>
                <w:szCs w:val="20"/>
                <w:lang w:eastAsia="en-AU"/>
              </w:rPr>
              <w:t>CFA Integrated stations</w:t>
            </w:r>
          </w:p>
        </w:tc>
        <w:tc>
          <w:tcPr>
            <w:tcW w:w="1163" w:type="dxa"/>
            <w:tcBorders>
              <w:top w:val="single" w:sz="4" w:space="0" w:color="ED7C5D"/>
              <w:left w:val="nil"/>
              <w:bottom w:val="double" w:sz="4" w:space="0" w:color="ED7C5D"/>
              <w:right w:val="nil"/>
            </w:tcBorders>
            <w:shd w:val="clear" w:color="000000" w:fill="FDE9D9"/>
            <w:noWrap/>
            <w:hideMark/>
          </w:tcPr>
          <w:p w14:paraId="744834E0"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 </w:t>
            </w:r>
          </w:p>
        </w:tc>
        <w:tc>
          <w:tcPr>
            <w:tcW w:w="1160" w:type="dxa"/>
            <w:tcBorders>
              <w:top w:val="single" w:sz="4" w:space="0" w:color="ED7C5D"/>
              <w:left w:val="nil"/>
              <w:bottom w:val="double" w:sz="4" w:space="0" w:color="ED7C5D"/>
              <w:right w:val="nil"/>
            </w:tcBorders>
            <w:shd w:val="clear" w:color="000000" w:fill="FDE9D9"/>
            <w:noWrap/>
            <w:hideMark/>
          </w:tcPr>
          <w:p w14:paraId="11216279"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 </w:t>
            </w:r>
          </w:p>
        </w:tc>
        <w:tc>
          <w:tcPr>
            <w:tcW w:w="1788" w:type="dxa"/>
            <w:tcBorders>
              <w:top w:val="single" w:sz="4" w:space="0" w:color="ED7C5D"/>
              <w:left w:val="nil"/>
              <w:bottom w:val="double" w:sz="4" w:space="0" w:color="ED7C5D"/>
              <w:right w:val="nil"/>
            </w:tcBorders>
            <w:shd w:val="clear" w:color="000000" w:fill="FDE9D9"/>
            <w:noWrap/>
            <w:hideMark/>
          </w:tcPr>
          <w:p w14:paraId="48CB816A" w14:textId="77777777" w:rsidR="00E04C6D" w:rsidRPr="00503F5B" w:rsidRDefault="00E04C6D" w:rsidP="00E04C6D">
            <w:pPr>
              <w:jc w:val="right"/>
              <w:rPr>
                <w:rFonts w:eastAsia="Times New Roman" w:cs="Calibri"/>
                <w:sz w:val="20"/>
                <w:szCs w:val="20"/>
                <w:lang w:eastAsia="en-AU"/>
              </w:rPr>
            </w:pPr>
            <w:r w:rsidRPr="00503F5B">
              <w:rPr>
                <w:rFonts w:eastAsia="Times New Roman" w:cs="Calibri"/>
                <w:sz w:val="20"/>
                <w:szCs w:val="20"/>
                <w:lang w:eastAsia="en-AU"/>
              </w:rPr>
              <w:t> </w:t>
            </w:r>
          </w:p>
        </w:tc>
      </w:tr>
      <w:tr w:rsidR="00EE3472" w:rsidRPr="00503F5B" w14:paraId="4E5A3F28" w14:textId="77777777" w:rsidTr="00333BC5">
        <w:trPr>
          <w:trHeight w:val="35"/>
          <w:jc w:val="center"/>
        </w:trPr>
        <w:tc>
          <w:tcPr>
            <w:tcW w:w="4962" w:type="dxa"/>
            <w:tcBorders>
              <w:top w:val="double" w:sz="4" w:space="0" w:color="ED7C5D"/>
              <w:left w:val="nil"/>
              <w:bottom w:val="nil"/>
              <w:right w:val="nil"/>
            </w:tcBorders>
            <w:shd w:val="clear" w:color="000000" w:fill="FFFFFF"/>
            <w:noWrap/>
            <w:hideMark/>
          </w:tcPr>
          <w:p w14:paraId="5FA843C9"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Appliance maintenance and support</w:t>
            </w:r>
          </w:p>
        </w:tc>
        <w:tc>
          <w:tcPr>
            <w:tcW w:w="1163" w:type="dxa"/>
            <w:tcBorders>
              <w:top w:val="double" w:sz="4" w:space="0" w:color="ED7C5D"/>
              <w:left w:val="nil"/>
              <w:bottom w:val="nil"/>
              <w:right w:val="nil"/>
            </w:tcBorders>
            <w:shd w:val="clear" w:color="000000" w:fill="FFFFFF"/>
            <w:noWrap/>
            <w:hideMark/>
          </w:tcPr>
          <w:p w14:paraId="553D516E"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$9</w:t>
            </w:r>
          </w:p>
        </w:tc>
        <w:tc>
          <w:tcPr>
            <w:tcW w:w="1160" w:type="dxa"/>
            <w:tcBorders>
              <w:top w:val="double" w:sz="4" w:space="0" w:color="ED7C5D"/>
              <w:left w:val="nil"/>
              <w:bottom w:val="nil"/>
              <w:right w:val="nil"/>
            </w:tcBorders>
            <w:shd w:val="clear" w:color="000000" w:fill="FFFFFF"/>
            <w:noWrap/>
            <w:hideMark/>
          </w:tcPr>
          <w:p w14:paraId="2C69D9E1"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$1</w:t>
            </w:r>
          </w:p>
        </w:tc>
        <w:tc>
          <w:tcPr>
            <w:tcW w:w="1788" w:type="dxa"/>
            <w:tcBorders>
              <w:top w:val="double" w:sz="4" w:space="0" w:color="ED7C5D"/>
              <w:left w:val="nil"/>
              <w:bottom w:val="nil"/>
              <w:right w:val="nil"/>
            </w:tcBorders>
            <w:shd w:val="clear" w:color="000000" w:fill="FFFFFF"/>
            <w:noWrap/>
            <w:hideMark/>
          </w:tcPr>
          <w:p w14:paraId="73D85C4F" w14:textId="6862436E" w:rsidR="00EE3472" w:rsidRPr="00503F5B" w:rsidRDefault="00EE3472" w:rsidP="00EE3472">
            <w:pPr>
              <w:jc w:val="right"/>
              <w:rPr>
                <w:rFonts w:eastAsia="Times New Roman" w:cs="Calibri"/>
                <w:sz w:val="20"/>
                <w:szCs w:val="20"/>
                <w:lang w:eastAsia="en-AU"/>
              </w:rPr>
            </w:pPr>
            <w:r w:rsidRPr="00503F5B">
              <w:rPr>
                <w:sz w:val="20"/>
                <w:szCs w:val="20"/>
              </w:rPr>
              <w:t>$4</w:t>
            </w:r>
          </w:p>
        </w:tc>
      </w:tr>
      <w:tr w:rsidR="00EE3472" w:rsidRPr="00503F5B" w14:paraId="32B74EE8" w14:textId="77777777" w:rsidTr="00E04C6D">
        <w:trPr>
          <w:trHeight w:val="80"/>
          <w:jc w:val="center"/>
        </w:trPr>
        <w:tc>
          <w:tcPr>
            <w:tcW w:w="4962" w:type="dxa"/>
            <w:tcBorders>
              <w:top w:val="nil"/>
              <w:left w:val="nil"/>
              <w:bottom w:val="nil"/>
              <w:right w:val="nil"/>
            </w:tcBorders>
            <w:shd w:val="clear" w:color="000000" w:fill="FFFFFF"/>
            <w:noWrap/>
            <w:hideMark/>
          </w:tcPr>
          <w:p w14:paraId="7735B021"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Appliance licencing</w:t>
            </w:r>
          </w:p>
        </w:tc>
        <w:tc>
          <w:tcPr>
            <w:tcW w:w="1163" w:type="dxa"/>
            <w:tcBorders>
              <w:top w:val="nil"/>
              <w:left w:val="nil"/>
              <w:bottom w:val="nil"/>
              <w:right w:val="nil"/>
            </w:tcBorders>
            <w:shd w:val="clear" w:color="000000" w:fill="FFFFFF"/>
            <w:noWrap/>
            <w:hideMark/>
          </w:tcPr>
          <w:p w14:paraId="61B2D095"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$0</w:t>
            </w:r>
          </w:p>
        </w:tc>
        <w:tc>
          <w:tcPr>
            <w:tcW w:w="1160" w:type="dxa"/>
            <w:tcBorders>
              <w:top w:val="nil"/>
              <w:left w:val="nil"/>
              <w:bottom w:val="nil"/>
              <w:right w:val="nil"/>
            </w:tcBorders>
            <w:shd w:val="clear" w:color="000000" w:fill="FFFFFF"/>
            <w:noWrap/>
            <w:hideMark/>
          </w:tcPr>
          <w:p w14:paraId="23F8C1DE"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$0</w:t>
            </w:r>
          </w:p>
        </w:tc>
        <w:tc>
          <w:tcPr>
            <w:tcW w:w="1788" w:type="dxa"/>
            <w:tcBorders>
              <w:top w:val="nil"/>
              <w:left w:val="nil"/>
              <w:bottom w:val="nil"/>
              <w:right w:val="nil"/>
            </w:tcBorders>
            <w:shd w:val="clear" w:color="000000" w:fill="FFFFFF"/>
            <w:noWrap/>
            <w:hideMark/>
          </w:tcPr>
          <w:p w14:paraId="19321E0B" w14:textId="50FA3902" w:rsidR="00EE3472" w:rsidRPr="00503F5B" w:rsidRDefault="00EE3472" w:rsidP="00EE3472">
            <w:pPr>
              <w:jc w:val="right"/>
              <w:rPr>
                <w:rFonts w:eastAsia="Times New Roman" w:cs="Calibri"/>
                <w:sz w:val="20"/>
                <w:szCs w:val="20"/>
                <w:lang w:eastAsia="en-AU"/>
              </w:rPr>
            </w:pPr>
            <w:r w:rsidRPr="00503F5B">
              <w:rPr>
                <w:sz w:val="20"/>
                <w:szCs w:val="20"/>
              </w:rPr>
              <w:t>$0</w:t>
            </w:r>
          </w:p>
        </w:tc>
      </w:tr>
      <w:tr w:rsidR="00EE3472" w:rsidRPr="00503F5B" w14:paraId="03266AC1" w14:textId="77777777" w:rsidTr="00333BC5">
        <w:trPr>
          <w:trHeight w:val="80"/>
          <w:jc w:val="center"/>
        </w:trPr>
        <w:tc>
          <w:tcPr>
            <w:tcW w:w="4962" w:type="dxa"/>
            <w:tcBorders>
              <w:top w:val="nil"/>
              <w:left w:val="nil"/>
              <w:bottom w:val="single" w:sz="4" w:space="0" w:color="ED7C5D"/>
              <w:right w:val="nil"/>
            </w:tcBorders>
            <w:shd w:val="clear" w:color="000000" w:fill="FFFFFF"/>
            <w:noWrap/>
            <w:hideMark/>
          </w:tcPr>
          <w:p w14:paraId="3D5AFBFD"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Vehicle direct costs (external Inc. Fuel) SAP</w:t>
            </w:r>
          </w:p>
        </w:tc>
        <w:tc>
          <w:tcPr>
            <w:tcW w:w="1163" w:type="dxa"/>
            <w:tcBorders>
              <w:top w:val="nil"/>
              <w:left w:val="nil"/>
              <w:bottom w:val="single" w:sz="4" w:space="0" w:color="ED7C5D"/>
              <w:right w:val="nil"/>
            </w:tcBorders>
            <w:shd w:val="clear" w:color="000000" w:fill="FFFFFF"/>
            <w:noWrap/>
            <w:hideMark/>
          </w:tcPr>
          <w:p w14:paraId="6681ED5A"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$4</w:t>
            </w:r>
          </w:p>
        </w:tc>
        <w:tc>
          <w:tcPr>
            <w:tcW w:w="1160" w:type="dxa"/>
            <w:tcBorders>
              <w:top w:val="nil"/>
              <w:left w:val="nil"/>
              <w:bottom w:val="single" w:sz="4" w:space="0" w:color="ED7C5D"/>
              <w:right w:val="nil"/>
            </w:tcBorders>
            <w:shd w:val="clear" w:color="000000" w:fill="FFFFFF"/>
            <w:noWrap/>
            <w:hideMark/>
          </w:tcPr>
          <w:p w14:paraId="217B8ABC"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$0</w:t>
            </w:r>
          </w:p>
        </w:tc>
        <w:tc>
          <w:tcPr>
            <w:tcW w:w="1788" w:type="dxa"/>
            <w:tcBorders>
              <w:top w:val="nil"/>
              <w:left w:val="nil"/>
              <w:bottom w:val="single" w:sz="4" w:space="0" w:color="ED7C5D"/>
              <w:right w:val="nil"/>
            </w:tcBorders>
            <w:shd w:val="clear" w:color="000000" w:fill="FFFFFF"/>
            <w:noWrap/>
            <w:hideMark/>
          </w:tcPr>
          <w:p w14:paraId="1B861D80" w14:textId="3CF61A5F" w:rsidR="00EE3472" w:rsidRPr="00503F5B" w:rsidRDefault="00EE3472" w:rsidP="00EE3472">
            <w:pPr>
              <w:jc w:val="right"/>
              <w:rPr>
                <w:rFonts w:eastAsia="Times New Roman" w:cs="Calibri"/>
                <w:sz w:val="20"/>
                <w:szCs w:val="20"/>
                <w:lang w:eastAsia="en-AU"/>
              </w:rPr>
            </w:pPr>
            <w:r w:rsidRPr="00503F5B">
              <w:rPr>
                <w:sz w:val="20"/>
                <w:szCs w:val="20"/>
              </w:rPr>
              <w:t>$2</w:t>
            </w:r>
          </w:p>
        </w:tc>
      </w:tr>
      <w:tr w:rsidR="00EE3472" w:rsidRPr="00503F5B" w14:paraId="01ED340F" w14:textId="77777777" w:rsidTr="00333BC5">
        <w:trPr>
          <w:trHeight w:val="70"/>
          <w:jc w:val="center"/>
        </w:trPr>
        <w:tc>
          <w:tcPr>
            <w:tcW w:w="4962" w:type="dxa"/>
            <w:tcBorders>
              <w:top w:val="single" w:sz="4" w:space="0" w:color="ED7C5D"/>
              <w:left w:val="nil"/>
              <w:bottom w:val="single" w:sz="4" w:space="0" w:color="ED7C5D"/>
              <w:right w:val="nil"/>
            </w:tcBorders>
            <w:shd w:val="clear" w:color="000000" w:fill="FFFFFF"/>
            <w:noWrap/>
            <w:hideMark/>
          </w:tcPr>
          <w:p w14:paraId="73DA2AE1" w14:textId="77777777" w:rsidR="00EE3472" w:rsidRPr="00503F5B" w:rsidRDefault="00EE3472" w:rsidP="00EE3472">
            <w:pPr>
              <w:rPr>
                <w:rFonts w:eastAsia="Times New Roman" w:cs="Calibri"/>
                <w:b/>
                <w:bCs/>
                <w:sz w:val="20"/>
                <w:szCs w:val="20"/>
                <w:lang w:eastAsia="en-AU"/>
              </w:rPr>
            </w:pPr>
            <w:r w:rsidRPr="00503F5B">
              <w:rPr>
                <w:rFonts w:eastAsia="Times New Roman" w:cs="Calibri"/>
                <w:b/>
                <w:bCs/>
                <w:sz w:val="20"/>
                <w:szCs w:val="20"/>
                <w:lang w:eastAsia="en-AU"/>
              </w:rPr>
              <w:t>Sub-total direct appliance costs CFA integrated stations</w:t>
            </w:r>
          </w:p>
        </w:tc>
        <w:tc>
          <w:tcPr>
            <w:tcW w:w="1163" w:type="dxa"/>
            <w:tcBorders>
              <w:top w:val="single" w:sz="4" w:space="0" w:color="ED7C5D"/>
              <w:left w:val="nil"/>
              <w:bottom w:val="single" w:sz="4" w:space="0" w:color="ED7C5D"/>
              <w:right w:val="nil"/>
            </w:tcBorders>
            <w:shd w:val="clear" w:color="000000" w:fill="FFFFFF"/>
            <w:noWrap/>
            <w:hideMark/>
          </w:tcPr>
          <w:p w14:paraId="13ABDF7F" w14:textId="77777777" w:rsidR="00EE3472" w:rsidRPr="00503F5B" w:rsidRDefault="00EE3472" w:rsidP="00EE3472">
            <w:pPr>
              <w:jc w:val="right"/>
              <w:rPr>
                <w:rFonts w:eastAsia="Times New Roman" w:cs="Calibri"/>
                <w:b/>
                <w:bCs/>
                <w:sz w:val="20"/>
                <w:szCs w:val="20"/>
                <w:lang w:eastAsia="en-AU"/>
              </w:rPr>
            </w:pPr>
            <w:r w:rsidRPr="00503F5B">
              <w:rPr>
                <w:rFonts w:eastAsia="Times New Roman" w:cs="Calibri"/>
                <w:b/>
                <w:bCs/>
                <w:sz w:val="20"/>
                <w:szCs w:val="20"/>
                <w:lang w:eastAsia="en-AU"/>
              </w:rPr>
              <w:t>$14</w:t>
            </w:r>
          </w:p>
        </w:tc>
        <w:tc>
          <w:tcPr>
            <w:tcW w:w="1160" w:type="dxa"/>
            <w:tcBorders>
              <w:top w:val="single" w:sz="4" w:space="0" w:color="ED7C5D"/>
              <w:left w:val="nil"/>
              <w:bottom w:val="single" w:sz="4" w:space="0" w:color="ED7C5D"/>
              <w:right w:val="nil"/>
            </w:tcBorders>
            <w:shd w:val="clear" w:color="000000" w:fill="FFFFFF"/>
            <w:noWrap/>
            <w:hideMark/>
          </w:tcPr>
          <w:p w14:paraId="43A9C8F4" w14:textId="77777777" w:rsidR="00EE3472" w:rsidRPr="00503F5B" w:rsidRDefault="00EE3472" w:rsidP="00EE3472">
            <w:pPr>
              <w:jc w:val="right"/>
              <w:rPr>
                <w:rFonts w:eastAsia="Times New Roman" w:cs="Calibri"/>
                <w:b/>
                <w:bCs/>
                <w:sz w:val="20"/>
                <w:szCs w:val="20"/>
                <w:lang w:eastAsia="en-AU"/>
              </w:rPr>
            </w:pPr>
            <w:r w:rsidRPr="00503F5B">
              <w:rPr>
                <w:rFonts w:eastAsia="Times New Roman" w:cs="Calibri"/>
                <w:b/>
                <w:bCs/>
                <w:sz w:val="20"/>
                <w:szCs w:val="20"/>
                <w:lang w:eastAsia="en-AU"/>
              </w:rPr>
              <w:t>$1</w:t>
            </w:r>
          </w:p>
        </w:tc>
        <w:tc>
          <w:tcPr>
            <w:tcW w:w="1788" w:type="dxa"/>
            <w:tcBorders>
              <w:top w:val="single" w:sz="4" w:space="0" w:color="ED7C5D"/>
              <w:left w:val="nil"/>
              <w:bottom w:val="single" w:sz="4" w:space="0" w:color="ED7C5D"/>
              <w:right w:val="nil"/>
            </w:tcBorders>
            <w:shd w:val="clear" w:color="000000" w:fill="FFFFFF"/>
            <w:noWrap/>
            <w:hideMark/>
          </w:tcPr>
          <w:p w14:paraId="638F0CDC" w14:textId="6B4EB123" w:rsidR="00EE3472" w:rsidRPr="00503F5B" w:rsidRDefault="00EE3472" w:rsidP="00EE3472">
            <w:pPr>
              <w:jc w:val="right"/>
              <w:rPr>
                <w:rFonts w:eastAsia="Times New Roman" w:cs="Calibri"/>
                <w:b/>
                <w:bCs/>
                <w:sz w:val="20"/>
                <w:szCs w:val="20"/>
                <w:lang w:eastAsia="en-AU"/>
              </w:rPr>
            </w:pPr>
            <w:r w:rsidRPr="00503F5B">
              <w:rPr>
                <w:b/>
                <w:bCs/>
                <w:sz w:val="20"/>
                <w:szCs w:val="20"/>
              </w:rPr>
              <w:t>$6</w:t>
            </w:r>
          </w:p>
        </w:tc>
      </w:tr>
      <w:tr w:rsidR="00EE3472" w:rsidRPr="00503F5B" w14:paraId="634B05DA" w14:textId="77777777" w:rsidTr="00333BC5">
        <w:trPr>
          <w:trHeight w:val="70"/>
          <w:jc w:val="center"/>
        </w:trPr>
        <w:tc>
          <w:tcPr>
            <w:tcW w:w="4962" w:type="dxa"/>
            <w:tcBorders>
              <w:top w:val="single" w:sz="4" w:space="0" w:color="ED7C5D"/>
              <w:left w:val="nil"/>
              <w:bottom w:val="nil"/>
              <w:right w:val="nil"/>
            </w:tcBorders>
            <w:shd w:val="clear" w:color="000000" w:fill="FFFFFF"/>
            <w:noWrap/>
            <w:hideMark/>
          </w:tcPr>
          <w:p w14:paraId="03F2D8A7"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Salaries and on-costs (including operational staff)</w:t>
            </w:r>
          </w:p>
        </w:tc>
        <w:tc>
          <w:tcPr>
            <w:tcW w:w="1163" w:type="dxa"/>
            <w:tcBorders>
              <w:top w:val="single" w:sz="4" w:space="0" w:color="ED7C5D"/>
              <w:left w:val="nil"/>
              <w:bottom w:val="nil"/>
              <w:right w:val="nil"/>
            </w:tcBorders>
            <w:shd w:val="clear" w:color="000000" w:fill="FFFFFF"/>
            <w:noWrap/>
            <w:hideMark/>
          </w:tcPr>
          <w:p w14:paraId="166E30CD"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$1,181</w:t>
            </w:r>
          </w:p>
        </w:tc>
        <w:tc>
          <w:tcPr>
            <w:tcW w:w="1160" w:type="dxa"/>
            <w:tcBorders>
              <w:top w:val="single" w:sz="4" w:space="0" w:color="ED7C5D"/>
              <w:left w:val="nil"/>
              <w:bottom w:val="nil"/>
              <w:right w:val="nil"/>
            </w:tcBorders>
            <w:shd w:val="clear" w:color="000000" w:fill="FFFFFF"/>
            <w:noWrap/>
            <w:hideMark/>
          </w:tcPr>
          <w:p w14:paraId="1C52E070"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$93</w:t>
            </w:r>
          </w:p>
        </w:tc>
        <w:tc>
          <w:tcPr>
            <w:tcW w:w="1788" w:type="dxa"/>
            <w:tcBorders>
              <w:top w:val="single" w:sz="4" w:space="0" w:color="ED7C5D"/>
              <w:left w:val="nil"/>
              <w:bottom w:val="nil"/>
              <w:right w:val="nil"/>
            </w:tcBorders>
            <w:shd w:val="clear" w:color="000000" w:fill="FFFFFF"/>
            <w:noWrap/>
            <w:hideMark/>
          </w:tcPr>
          <w:p w14:paraId="3278E737" w14:textId="0A055B8A" w:rsidR="00EE3472" w:rsidRPr="00503F5B" w:rsidRDefault="00EE3472" w:rsidP="00EE3472">
            <w:pPr>
              <w:jc w:val="right"/>
              <w:rPr>
                <w:rFonts w:eastAsia="Times New Roman" w:cs="Calibri"/>
                <w:sz w:val="20"/>
                <w:szCs w:val="20"/>
                <w:lang w:eastAsia="en-AU"/>
              </w:rPr>
            </w:pPr>
            <w:r w:rsidRPr="00503F5B">
              <w:rPr>
                <w:sz w:val="20"/>
                <w:szCs w:val="20"/>
              </w:rPr>
              <w:t>$491</w:t>
            </w:r>
          </w:p>
        </w:tc>
      </w:tr>
      <w:tr w:rsidR="00EE3472" w:rsidRPr="00503F5B" w14:paraId="526F873B" w14:textId="77777777" w:rsidTr="00333BC5">
        <w:trPr>
          <w:trHeight w:val="80"/>
          <w:jc w:val="center"/>
        </w:trPr>
        <w:tc>
          <w:tcPr>
            <w:tcW w:w="4962" w:type="dxa"/>
            <w:tcBorders>
              <w:top w:val="nil"/>
              <w:left w:val="nil"/>
              <w:bottom w:val="single" w:sz="4" w:space="0" w:color="ED7C5D"/>
              <w:right w:val="nil"/>
            </w:tcBorders>
            <w:shd w:val="clear" w:color="000000" w:fill="FFFFFF"/>
            <w:noWrap/>
            <w:hideMark/>
          </w:tcPr>
          <w:p w14:paraId="502C6EB9"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Other employee expenses</w:t>
            </w:r>
          </w:p>
        </w:tc>
        <w:tc>
          <w:tcPr>
            <w:tcW w:w="1163" w:type="dxa"/>
            <w:tcBorders>
              <w:top w:val="nil"/>
              <w:left w:val="nil"/>
              <w:bottom w:val="single" w:sz="4" w:space="0" w:color="ED7C5D"/>
              <w:right w:val="nil"/>
            </w:tcBorders>
            <w:shd w:val="clear" w:color="000000" w:fill="FFFFFF"/>
            <w:noWrap/>
            <w:hideMark/>
          </w:tcPr>
          <w:p w14:paraId="53A08E5D"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$61</w:t>
            </w:r>
          </w:p>
        </w:tc>
        <w:tc>
          <w:tcPr>
            <w:tcW w:w="1160" w:type="dxa"/>
            <w:tcBorders>
              <w:top w:val="nil"/>
              <w:left w:val="nil"/>
              <w:bottom w:val="single" w:sz="4" w:space="0" w:color="ED7C5D"/>
              <w:right w:val="nil"/>
            </w:tcBorders>
            <w:shd w:val="clear" w:color="000000" w:fill="FFFFFF"/>
            <w:noWrap/>
            <w:hideMark/>
          </w:tcPr>
          <w:p w14:paraId="518279D9"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$5</w:t>
            </w:r>
          </w:p>
        </w:tc>
        <w:tc>
          <w:tcPr>
            <w:tcW w:w="1788" w:type="dxa"/>
            <w:tcBorders>
              <w:top w:val="nil"/>
              <w:left w:val="nil"/>
              <w:bottom w:val="single" w:sz="4" w:space="0" w:color="ED7C5D"/>
              <w:right w:val="nil"/>
            </w:tcBorders>
            <w:shd w:val="clear" w:color="000000" w:fill="FFFFFF"/>
            <w:noWrap/>
            <w:hideMark/>
          </w:tcPr>
          <w:p w14:paraId="15896189" w14:textId="220B027A" w:rsidR="00EE3472" w:rsidRPr="00503F5B" w:rsidRDefault="00EE3472" w:rsidP="00EE3472">
            <w:pPr>
              <w:jc w:val="right"/>
              <w:rPr>
                <w:rFonts w:eastAsia="Times New Roman" w:cs="Calibri"/>
                <w:sz w:val="20"/>
                <w:szCs w:val="20"/>
                <w:lang w:eastAsia="en-AU"/>
              </w:rPr>
            </w:pPr>
            <w:r w:rsidRPr="00503F5B">
              <w:rPr>
                <w:sz w:val="20"/>
                <w:szCs w:val="20"/>
              </w:rPr>
              <w:t>$25</w:t>
            </w:r>
          </w:p>
        </w:tc>
      </w:tr>
      <w:tr w:rsidR="00EE3472" w:rsidRPr="00503F5B" w14:paraId="5492D09E" w14:textId="77777777" w:rsidTr="00333BC5">
        <w:trPr>
          <w:trHeight w:val="70"/>
          <w:jc w:val="center"/>
        </w:trPr>
        <w:tc>
          <w:tcPr>
            <w:tcW w:w="4962" w:type="dxa"/>
            <w:tcBorders>
              <w:top w:val="single" w:sz="4" w:space="0" w:color="ED7C5D"/>
              <w:left w:val="nil"/>
              <w:bottom w:val="single" w:sz="4" w:space="0" w:color="ED7C5D"/>
              <w:right w:val="nil"/>
            </w:tcBorders>
            <w:shd w:val="clear" w:color="000000" w:fill="FFFFFF"/>
            <w:noWrap/>
            <w:hideMark/>
          </w:tcPr>
          <w:p w14:paraId="1BA3C0B2" w14:textId="77777777" w:rsidR="00EE3472" w:rsidRPr="00503F5B" w:rsidRDefault="00EE3472" w:rsidP="00EE3472">
            <w:pPr>
              <w:rPr>
                <w:rFonts w:eastAsia="Times New Roman" w:cs="Calibri"/>
                <w:b/>
                <w:bCs/>
                <w:sz w:val="20"/>
                <w:szCs w:val="20"/>
                <w:lang w:eastAsia="en-AU"/>
              </w:rPr>
            </w:pPr>
            <w:r w:rsidRPr="00503F5B">
              <w:rPr>
                <w:rFonts w:eastAsia="Times New Roman" w:cs="Calibri"/>
                <w:b/>
                <w:bCs/>
                <w:sz w:val="20"/>
                <w:szCs w:val="20"/>
                <w:lang w:eastAsia="en-AU"/>
              </w:rPr>
              <w:t>Sub-total direct staffing costs for CFA integrated stations</w:t>
            </w:r>
          </w:p>
        </w:tc>
        <w:tc>
          <w:tcPr>
            <w:tcW w:w="1163" w:type="dxa"/>
            <w:tcBorders>
              <w:top w:val="single" w:sz="4" w:space="0" w:color="ED7C5D"/>
              <w:left w:val="nil"/>
              <w:bottom w:val="single" w:sz="4" w:space="0" w:color="ED7C5D"/>
              <w:right w:val="nil"/>
            </w:tcBorders>
            <w:shd w:val="clear" w:color="000000" w:fill="FFFFFF"/>
            <w:noWrap/>
            <w:hideMark/>
          </w:tcPr>
          <w:p w14:paraId="74243378" w14:textId="77777777" w:rsidR="00EE3472" w:rsidRPr="00503F5B" w:rsidRDefault="00EE3472" w:rsidP="00EE3472">
            <w:pPr>
              <w:jc w:val="right"/>
              <w:rPr>
                <w:rFonts w:eastAsia="Times New Roman" w:cs="Calibri"/>
                <w:b/>
                <w:bCs/>
                <w:sz w:val="20"/>
                <w:szCs w:val="20"/>
                <w:lang w:eastAsia="en-AU"/>
              </w:rPr>
            </w:pPr>
            <w:r w:rsidRPr="00503F5B">
              <w:rPr>
                <w:rFonts w:eastAsia="Times New Roman" w:cs="Calibri"/>
                <w:b/>
                <w:bCs/>
                <w:sz w:val="20"/>
                <w:szCs w:val="20"/>
                <w:lang w:eastAsia="en-AU"/>
              </w:rPr>
              <w:t>$1,242</w:t>
            </w:r>
          </w:p>
        </w:tc>
        <w:tc>
          <w:tcPr>
            <w:tcW w:w="1160" w:type="dxa"/>
            <w:tcBorders>
              <w:top w:val="single" w:sz="4" w:space="0" w:color="ED7C5D"/>
              <w:left w:val="nil"/>
              <w:bottom w:val="single" w:sz="4" w:space="0" w:color="ED7C5D"/>
              <w:right w:val="nil"/>
            </w:tcBorders>
            <w:shd w:val="clear" w:color="000000" w:fill="FFFFFF"/>
            <w:noWrap/>
            <w:hideMark/>
          </w:tcPr>
          <w:p w14:paraId="2BD77563" w14:textId="77777777" w:rsidR="00EE3472" w:rsidRPr="00503F5B" w:rsidRDefault="00EE3472" w:rsidP="00EE3472">
            <w:pPr>
              <w:jc w:val="right"/>
              <w:rPr>
                <w:rFonts w:eastAsia="Times New Roman" w:cs="Calibri"/>
                <w:b/>
                <w:bCs/>
                <w:sz w:val="20"/>
                <w:szCs w:val="20"/>
                <w:lang w:eastAsia="en-AU"/>
              </w:rPr>
            </w:pPr>
            <w:r w:rsidRPr="00503F5B">
              <w:rPr>
                <w:rFonts w:eastAsia="Times New Roman" w:cs="Calibri"/>
                <w:b/>
                <w:bCs/>
                <w:sz w:val="20"/>
                <w:szCs w:val="20"/>
                <w:lang w:eastAsia="en-AU"/>
              </w:rPr>
              <w:t>$97</w:t>
            </w:r>
          </w:p>
        </w:tc>
        <w:tc>
          <w:tcPr>
            <w:tcW w:w="1788" w:type="dxa"/>
            <w:tcBorders>
              <w:top w:val="single" w:sz="4" w:space="0" w:color="ED7C5D"/>
              <w:left w:val="nil"/>
              <w:bottom w:val="single" w:sz="4" w:space="0" w:color="ED7C5D"/>
              <w:right w:val="nil"/>
            </w:tcBorders>
            <w:shd w:val="clear" w:color="000000" w:fill="FFFFFF"/>
            <w:noWrap/>
            <w:hideMark/>
          </w:tcPr>
          <w:p w14:paraId="03BF14EF" w14:textId="6859FE71" w:rsidR="00EE3472" w:rsidRPr="00503F5B" w:rsidRDefault="00EE3472" w:rsidP="00EE3472">
            <w:pPr>
              <w:jc w:val="right"/>
              <w:rPr>
                <w:rFonts w:eastAsia="Times New Roman" w:cs="Calibri"/>
                <w:b/>
                <w:bCs/>
                <w:sz w:val="20"/>
                <w:szCs w:val="20"/>
                <w:lang w:eastAsia="en-AU"/>
              </w:rPr>
            </w:pPr>
            <w:r w:rsidRPr="00503F5B">
              <w:rPr>
                <w:b/>
                <w:bCs/>
                <w:sz w:val="20"/>
                <w:szCs w:val="20"/>
              </w:rPr>
              <w:t>$516</w:t>
            </w:r>
          </w:p>
        </w:tc>
      </w:tr>
      <w:tr w:rsidR="00EE3472" w:rsidRPr="00503F5B" w14:paraId="0A04F2E9" w14:textId="77777777" w:rsidTr="00333BC5">
        <w:trPr>
          <w:trHeight w:val="70"/>
          <w:jc w:val="center"/>
        </w:trPr>
        <w:tc>
          <w:tcPr>
            <w:tcW w:w="4962" w:type="dxa"/>
            <w:tcBorders>
              <w:top w:val="single" w:sz="4" w:space="0" w:color="ED7C5D"/>
              <w:left w:val="nil"/>
              <w:bottom w:val="nil"/>
              <w:right w:val="nil"/>
            </w:tcBorders>
            <w:shd w:val="clear" w:color="000000" w:fill="FFFFFF"/>
            <w:noWrap/>
            <w:hideMark/>
          </w:tcPr>
          <w:p w14:paraId="1F5A154B"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Land and buildings maintenance (external Suppliers)</w:t>
            </w:r>
          </w:p>
        </w:tc>
        <w:tc>
          <w:tcPr>
            <w:tcW w:w="1163" w:type="dxa"/>
            <w:tcBorders>
              <w:top w:val="single" w:sz="4" w:space="0" w:color="ED7C5D"/>
              <w:left w:val="nil"/>
              <w:bottom w:val="nil"/>
              <w:right w:val="nil"/>
            </w:tcBorders>
            <w:shd w:val="clear" w:color="000000" w:fill="FFFFFF"/>
            <w:noWrap/>
            <w:hideMark/>
          </w:tcPr>
          <w:p w14:paraId="5DEF9431"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$9</w:t>
            </w:r>
          </w:p>
        </w:tc>
        <w:tc>
          <w:tcPr>
            <w:tcW w:w="1160" w:type="dxa"/>
            <w:tcBorders>
              <w:top w:val="single" w:sz="4" w:space="0" w:color="ED7C5D"/>
              <w:left w:val="nil"/>
              <w:bottom w:val="nil"/>
              <w:right w:val="nil"/>
            </w:tcBorders>
            <w:shd w:val="clear" w:color="000000" w:fill="FFFFFF"/>
            <w:noWrap/>
            <w:hideMark/>
          </w:tcPr>
          <w:p w14:paraId="4B15139C"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$1</w:t>
            </w:r>
          </w:p>
        </w:tc>
        <w:tc>
          <w:tcPr>
            <w:tcW w:w="1788" w:type="dxa"/>
            <w:tcBorders>
              <w:top w:val="single" w:sz="4" w:space="0" w:color="ED7C5D"/>
              <w:left w:val="nil"/>
              <w:bottom w:val="nil"/>
              <w:right w:val="nil"/>
            </w:tcBorders>
            <w:shd w:val="clear" w:color="000000" w:fill="FFFFFF"/>
            <w:noWrap/>
            <w:hideMark/>
          </w:tcPr>
          <w:p w14:paraId="029E3286" w14:textId="46098285" w:rsidR="00EE3472" w:rsidRPr="00503F5B" w:rsidRDefault="00EE3472" w:rsidP="00EE3472">
            <w:pPr>
              <w:jc w:val="right"/>
              <w:rPr>
                <w:rFonts w:eastAsia="Times New Roman" w:cs="Calibri"/>
                <w:sz w:val="20"/>
                <w:szCs w:val="20"/>
                <w:lang w:eastAsia="en-AU"/>
              </w:rPr>
            </w:pPr>
            <w:r w:rsidRPr="00503F5B">
              <w:rPr>
                <w:sz w:val="20"/>
                <w:szCs w:val="20"/>
              </w:rPr>
              <w:t>$4</w:t>
            </w:r>
          </w:p>
        </w:tc>
      </w:tr>
      <w:tr w:rsidR="00EE3472" w:rsidRPr="00503F5B" w14:paraId="30413166" w14:textId="77777777" w:rsidTr="00E04C6D">
        <w:trPr>
          <w:trHeight w:val="80"/>
          <w:jc w:val="center"/>
        </w:trPr>
        <w:tc>
          <w:tcPr>
            <w:tcW w:w="4962" w:type="dxa"/>
            <w:tcBorders>
              <w:top w:val="nil"/>
              <w:left w:val="nil"/>
              <w:bottom w:val="nil"/>
              <w:right w:val="nil"/>
            </w:tcBorders>
            <w:shd w:val="clear" w:color="000000" w:fill="FFFFFF"/>
            <w:noWrap/>
            <w:hideMark/>
          </w:tcPr>
          <w:p w14:paraId="7AE778E9"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Plant and equipment maintenance (external Suppliers)</w:t>
            </w:r>
          </w:p>
        </w:tc>
        <w:tc>
          <w:tcPr>
            <w:tcW w:w="1163" w:type="dxa"/>
            <w:tcBorders>
              <w:top w:val="nil"/>
              <w:left w:val="nil"/>
              <w:bottom w:val="nil"/>
              <w:right w:val="nil"/>
            </w:tcBorders>
            <w:shd w:val="clear" w:color="000000" w:fill="FFFFFF"/>
            <w:noWrap/>
            <w:hideMark/>
          </w:tcPr>
          <w:p w14:paraId="1D16702F"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$6</w:t>
            </w:r>
          </w:p>
        </w:tc>
        <w:tc>
          <w:tcPr>
            <w:tcW w:w="1160" w:type="dxa"/>
            <w:tcBorders>
              <w:top w:val="nil"/>
              <w:left w:val="nil"/>
              <w:bottom w:val="nil"/>
              <w:right w:val="nil"/>
            </w:tcBorders>
            <w:shd w:val="clear" w:color="000000" w:fill="FFFFFF"/>
            <w:noWrap/>
            <w:hideMark/>
          </w:tcPr>
          <w:p w14:paraId="00DA74D9"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$0</w:t>
            </w:r>
          </w:p>
        </w:tc>
        <w:tc>
          <w:tcPr>
            <w:tcW w:w="1788" w:type="dxa"/>
            <w:tcBorders>
              <w:top w:val="nil"/>
              <w:left w:val="nil"/>
              <w:bottom w:val="nil"/>
              <w:right w:val="nil"/>
            </w:tcBorders>
            <w:shd w:val="clear" w:color="000000" w:fill="FFFFFF"/>
            <w:noWrap/>
            <w:hideMark/>
          </w:tcPr>
          <w:p w14:paraId="57C15E08" w14:textId="54E2E147" w:rsidR="00EE3472" w:rsidRPr="00503F5B" w:rsidRDefault="00EE3472" w:rsidP="00EE3472">
            <w:pPr>
              <w:jc w:val="right"/>
              <w:rPr>
                <w:rFonts w:eastAsia="Times New Roman" w:cs="Calibri"/>
                <w:sz w:val="20"/>
                <w:szCs w:val="20"/>
                <w:lang w:eastAsia="en-AU"/>
              </w:rPr>
            </w:pPr>
            <w:r w:rsidRPr="00503F5B">
              <w:rPr>
                <w:sz w:val="20"/>
                <w:szCs w:val="20"/>
              </w:rPr>
              <w:t>$2</w:t>
            </w:r>
          </w:p>
        </w:tc>
      </w:tr>
      <w:tr w:rsidR="00EE3472" w:rsidRPr="00503F5B" w14:paraId="46BE36F8" w14:textId="77777777" w:rsidTr="00E04C6D">
        <w:trPr>
          <w:trHeight w:val="80"/>
          <w:jc w:val="center"/>
        </w:trPr>
        <w:tc>
          <w:tcPr>
            <w:tcW w:w="4962" w:type="dxa"/>
            <w:tcBorders>
              <w:top w:val="nil"/>
              <w:left w:val="nil"/>
              <w:bottom w:val="nil"/>
              <w:right w:val="nil"/>
            </w:tcBorders>
            <w:shd w:val="clear" w:color="000000" w:fill="FFFFFF"/>
            <w:noWrap/>
            <w:hideMark/>
          </w:tcPr>
          <w:p w14:paraId="5010E8DA"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General expenses (external suppliers)</w:t>
            </w:r>
          </w:p>
        </w:tc>
        <w:tc>
          <w:tcPr>
            <w:tcW w:w="1163" w:type="dxa"/>
            <w:tcBorders>
              <w:top w:val="nil"/>
              <w:left w:val="nil"/>
              <w:bottom w:val="nil"/>
              <w:right w:val="nil"/>
            </w:tcBorders>
            <w:shd w:val="clear" w:color="000000" w:fill="FFFFFF"/>
            <w:noWrap/>
            <w:hideMark/>
          </w:tcPr>
          <w:p w14:paraId="33C1C205"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$4</w:t>
            </w:r>
          </w:p>
        </w:tc>
        <w:tc>
          <w:tcPr>
            <w:tcW w:w="1160" w:type="dxa"/>
            <w:tcBorders>
              <w:top w:val="nil"/>
              <w:left w:val="nil"/>
              <w:bottom w:val="nil"/>
              <w:right w:val="nil"/>
            </w:tcBorders>
            <w:shd w:val="clear" w:color="000000" w:fill="FFFFFF"/>
            <w:noWrap/>
            <w:hideMark/>
          </w:tcPr>
          <w:p w14:paraId="2B3D16F4"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$0</w:t>
            </w:r>
          </w:p>
        </w:tc>
        <w:tc>
          <w:tcPr>
            <w:tcW w:w="1788" w:type="dxa"/>
            <w:tcBorders>
              <w:top w:val="nil"/>
              <w:left w:val="nil"/>
              <w:bottom w:val="nil"/>
              <w:right w:val="nil"/>
            </w:tcBorders>
            <w:shd w:val="clear" w:color="000000" w:fill="FFFFFF"/>
            <w:noWrap/>
            <w:hideMark/>
          </w:tcPr>
          <w:p w14:paraId="61A66003" w14:textId="77CE043D" w:rsidR="00EE3472" w:rsidRPr="00503F5B" w:rsidRDefault="00EE3472" w:rsidP="00EE3472">
            <w:pPr>
              <w:jc w:val="right"/>
              <w:rPr>
                <w:rFonts w:eastAsia="Times New Roman" w:cs="Calibri"/>
                <w:sz w:val="20"/>
                <w:szCs w:val="20"/>
                <w:lang w:eastAsia="en-AU"/>
              </w:rPr>
            </w:pPr>
            <w:r w:rsidRPr="00503F5B">
              <w:rPr>
                <w:sz w:val="20"/>
                <w:szCs w:val="20"/>
              </w:rPr>
              <w:t>$2</w:t>
            </w:r>
          </w:p>
        </w:tc>
      </w:tr>
      <w:tr w:rsidR="00EE3472" w:rsidRPr="00503F5B" w14:paraId="61B55ACD" w14:textId="77777777" w:rsidTr="00333BC5">
        <w:trPr>
          <w:trHeight w:val="80"/>
          <w:jc w:val="center"/>
        </w:trPr>
        <w:tc>
          <w:tcPr>
            <w:tcW w:w="4962" w:type="dxa"/>
            <w:tcBorders>
              <w:top w:val="nil"/>
              <w:left w:val="nil"/>
              <w:bottom w:val="single" w:sz="4" w:space="0" w:color="ED7C5D"/>
              <w:right w:val="nil"/>
            </w:tcBorders>
            <w:shd w:val="clear" w:color="000000" w:fill="FFFFFF"/>
            <w:noWrap/>
            <w:hideMark/>
          </w:tcPr>
          <w:p w14:paraId="0A4FA6CF" w14:textId="77777777" w:rsidR="00EE3472" w:rsidRPr="00503F5B" w:rsidRDefault="00EE3472" w:rsidP="00EE3472">
            <w:pPr>
              <w:rPr>
                <w:rFonts w:eastAsia="Times New Roman" w:cs="Calibri"/>
                <w:sz w:val="20"/>
                <w:szCs w:val="20"/>
                <w:lang w:eastAsia="en-AU"/>
              </w:rPr>
            </w:pPr>
            <w:r w:rsidRPr="00503F5B">
              <w:rPr>
                <w:rFonts w:eastAsia="Times New Roman" w:cs="Calibri"/>
                <w:sz w:val="20"/>
                <w:szCs w:val="20"/>
                <w:lang w:eastAsia="en-AU"/>
              </w:rPr>
              <w:t>Land and buildings - CFA internal maintenance costs</w:t>
            </w:r>
          </w:p>
        </w:tc>
        <w:tc>
          <w:tcPr>
            <w:tcW w:w="1163" w:type="dxa"/>
            <w:tcBorders>
              <w:top w:val="nil"/>
              <w:left w:val="nil"/>
              <w:bottom w:val="single" w:sz="4" w:space="0" w:color="ED7C5D"/>
              <w:right w:val="nil"/>
            </w:tcBorders>
            <w:shd w:val="clear" w:color="000000" w:fill="FFFFFF"/>
            <w:noWrap/>
            <w:hideMark/>
          </w:tcPr>
          <w:p w14:paraId="2CBEF717"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$6</w:t>
            </w:r>
          </w:p>
        </w:tc>
        <w:tc>
          <w:tcPr>
            <w:tcW w:w="1160" w:type="dxa"/>
            <w:tcBorders>
              <w:top w:val="nil"/>
              <w:left w:val="nil"/>
              <w:bottom w:val="single" w:sz="4" w:space="0" w:color="ED7C5D"/>
              <w:right w:val="nil"/>
            </w:tcBorders>
            <w:shd w:val="clear" w:color="000000" w:fill="FFFFFF"/>
            <w:noWrap/>
            <w:hideMark/>
          </w:tcPr>
          <w:p w14:paraId="351A076C" w14:textId="77777777" w:rsidR="00EE3472" w:rsidRPr="00503F5B" w:rsidRDefault="00EE3472" w:rsidP="00EE3472">
            <w:pPr>
              <w:jc w:val="right"/>
              <w:rPr>
                <w:rFonts w:eastAsia="Times New Roman" w:cs="Calibri"/>
                <w:sz w:val="20"/>
                <w:szCs w:val="20"/>
                <w:lang w:eastAsia="en-AU"/>
              </w:rPr>
            </w:pPr>
            <w:r w:rsidRPr="00503F5B">
              <w:rPr>
                <w:rFonts w:eastAsia="Times New Roman" w:cs="Calibri"/>
                <w:sz w:val="20"/>
                <w:szCs w:val="20"/>
                <w:lang w:eastAsia="en-AU"/>
              </w:rPr>
              <w:t>$0</w:t>
            </w:r>
          </w:p>
        </w:tc>
        <w:tc>
          <w:tcPr>
            <w:tcW w:w="1788" w:type="dxa"/>
            <w:tcBorders>
              <w:top w:val="nil"/>
              <w:left w:val="nil"/>
              <w:bottom w:val="single" w:sz="4" w:space="0" w:color="ED7C5D"/>
              <w:right w:val="nil"/>
            </w:tcBorders>
            <w:shd w:val="clear" w:color="000000" w:fill="FFFFFF"/>
            <w:noWrap/>
            <w:hideMark/>
          </w:tcPr>
          <w:p w14:paraId="429B7A73" w14:textId="624CACDB" w:rsidR="00EE3472" w:rsidRPr="00503F5B" w:rsidRDefault="00EE3472" w:rsidP="00EE3472">
            <w:pPr>
              <w:jc w:val="right"/>
              <w:rPr>
                <w:rFonts w:eastAsia="Times New Roman" w:cs="Calibri"/>
                <w:sz w:val="20"/>
                <w:szCs w:val="20"/>
                <w:lang w:eastAsia="en-AU"/>
              </w:rPr>
            </w:pPr>
            <w:r w:rsidRPr="00503F5B">
              <w:rPr>
                <w:sz w:val="20"/>
                <w:szCs w:val="20"/>
              </w:rPr>
              <w:t>$2</w:t>
            </w:r>
          </w:p>
        </w:tc>
      </w:tr>
      <w:tr w:rsidR="00EE3472" w:rsidRPr="00503F5B" w14:paraId="397A3947" w14:textId="77777777" w:rsidTr="00333BC5">
        <w:trPr>
          <w:trHeight w:val="70"/>
          <w:jc w:val="center"/>
        </w:trPr>
        <w:tc>
          <w:tcPr>
            <w:tcW w:w="4962" w:type="dxa"/>
            <w:tcBorders>
              <w:top w:val="single" w:sz="4" w:space="0" w:color="ED7C5D"/>
              <w:left w:val="nil"/>
              <w:bottom w:val="single" w:sz="4" w:space="0" w:color="ED7C5D"/>
              <w:right w:val="nil"/>
            </w:tcBorders>
            <w:shd w:val="clear" w:color="000000" w:fill="FFFFFF"/>
            <w:noWrap/>
            <w:hideMark/>
          </w:tcPr>
          <w:p w14:paraId="05696030" w14:textId="77777777" w:rsidR="00EE3472" w:rsidRPr="00503F5B" w:rsidRDefault="00EE3472" w:rsidP="00EE3472">
            <w:pPr>
              <w:rPr>
                <w:rFonts w:eastAsia="Times New Roman" w:cs="Calibri"/>
                <w:b/>
                <w:bCs/>
                <w:sz w:val="20"/>
                <w:szCs w:val="20"/>
                <w:lang w:eastAsia="en-AU"/>
              </w:rPr>
            </w:pPr>
            <w:r w:rsidRPr="00503F5B">
              <w:rPr>
                <w:rFonts w:eastAsia="Times New Roman" w:cs="Calibri"/>
                <w:b/>
                <w:bCs/>
                <w:sz w:val="20"/>
                <w:szCs w:val="20"/>
                <w:lang w:eastAsia="en-AU"/>
              </w:rPr>
              <w:t>Sub-total direct station costs for CFA integrated stations</w:t>
            </w:r>
          </w:p>
        </w:tc>
        <w:tc>
          <w:tcPr>
            <w:tcW w:w="1163" w:type="dxa"/>
            <w:tcBorders>
              <w:top w:val="single" w:sz="4" w:space="0" w:color="ED7C5D"/>
              <w:left w:val="nil"/>
              <w:bottom w:val="single" w:sz="4" w:space="0" w:color="ED7C5D"/>
              <w:right w:val="nil"/>
            </w:tcBorders>
            <w:shd w:val="clear" w:color="000000" w:fill="FFFFFF"/>
            <w:noWrap/>
            <w:hideMark/>
          </w:tcPr>
          <w:p w14:paraId="369BD2A0" w14:textId="77777777" w:rsidR="00EE3472" w:rsidRPr="00503F5B" w:rsidRDefault="00EE3472" w:rsidP="00EE3472">
            <w:pPr>
              <w:jc w:val="right"/>
              <w:rPr>
                <w:rFonts w:eastAsia="Times New Roman" w:cs="Calibri"/>
                <w:b/>
                <w:bCs/>
                <w:sz w:val="20"/>
                <w:szCs w:val="20"/>
                <w:lang w:eastAsia="en-AU"/>
              </w:rPr>
            </w:pPr>
            <w:r w:rsidRPr="00503F5B">
              <w:rPr>
                <w:rFonts w:eastAsia="Times New Roman" w:cs="Calibri"/>
                <w:b/>
                <w:bCs/>
                <w:sz w:val="20"/>
                <w:szCs w:val="20"/>
                <w:lang w:eastAsia="en-AU"/>
              </w:rPr>
              <w:t>$25</w:t>
            </w:r>
          </w:p>
        </w:tc>
        <w:tc>
          <w:tcPr>
            <w:tcW w:w="1160" w:type="dxa"/>
            <w:tcBorders>
              <w:top w:val="single" w:sz="4" w:space="0" w:color="ED7C5D"/>
              <w:left w:val="nil"/>
              <w:bottom w:val="single" w:sz="4" w:space="0" w:color="ED7C5D"/>
              <w:right w:val="nil"/>
            </w:tcBorders>
            <w:shd w:val="clear" w:color="000000" w:fill="FFFFFF"/>
            <w:noWrap/>
            <w:hideMark/>
          </w:tcPr>
          <w:p w14:paraId="12EC1F04" w14:textId="77777777" w:rsidR="00EE3472" w:rsidRPr="00503F5B" w:rsidRDefault="00EE3472" w:rsidP="00EE3472">
            <w:pPr>
              <w:jc w:val="right"/>
              <w:rPr>
                <w:rFonts w:eastAsia="Times New Roman" w:cs="Calibri"/>
                <w:b/>
                <w:bCs/>
                <w:sz w:val="20"/>
                <w:szCs w:val="20"/>
                <w:lang w:eastAsia="en-AU"/>
              </w:rPr>
            </w:pPr>
            <w:r w:rsidRPr="00503F5B">
              <w:rPr>
                <w:rFonts w:eastAsia="Times New Roman" w:cs="Calibri"/>
                <w:b/>
                <w:bCs/>
                <w:sz w:val="20"/>
                <w:szCs w:val="20"/>
                <w:lang w:eastAsia="en-AU"/>
              </w:rPr>
              <w:t>$2</w:t>
            </w:r>
          </w:p>
        </w:tc>
        <w:tc>
          <w:tcPr>
            <w:tcW w:w="1788" w:type="dxa"/>
            <w:tcBorders>
              <w:top w:val="single" w:sz="4" w:space="0" w:color="ED7C5D"/>
              <w:left w:val="nil"/>
              <w:bottom w:val="single" w:sz="4" w:space="0" w:color="ED7C5D"/>
              <w:right w:val="nil"/>
            </w:tcBorders>
            <w:shd w:val="clear" w:color="000000" w:fill="FFFFFF"/>
            <w:noWrap/>
            <w:hideMark/>
          </w:tcPr>
          <w:p w14:paraId="076E9C98" w14:textId="62F5FB2D" w:rsidR="00EE3472" w:rsidRPr="00503F5B" w:rsidRDefault="00EE3472" w:rsidP="00EE3472">
            <w:pPr>
              <w:jc w:val="right"/>
              <w:rPr>
                <w:rFonts w:eastAsia="Times New Roman" w:cs="Calibri"/>
                <w:b/>
                <w:bCs/>
                <w:sz w:val="20"/>
                <w:szCs w:val="20"/>
                <w:lang w:eastAsia="en-AU"/>
              </w:rPr>
            </w:pPr>
            <w:r w:rsidRPr="00503F5B">
              <w:rPr>
                <w:b/>
                <w:bCs/>
                <w:sz w:val="20"/>
                <w:szCs w:val="20"/>
              </w:rPr>
              <w:t>$10</w:t>
            </w:r>
          </w:p>
        </w:tc>
      </w:tr>
      <w:tr w:rsidR="00EE3472" w:rsidRPr="00503F5B" w14:paraId="69E95097" w14:textId="77777777" w:rsidTr="00333BC5">
        <w:trPr>
          <w:trHeight w:val="70"/>
          <w:jc w:val="center"/>
        </w:trPr>
        <w:tc>
          <w:tcPr>
            <w:tcW w:w="4962" w:type="dxa"/>
            <w:tcBorders>
              <w:top w:val="single" w:sz="4" w:space="0" w:color="ED7C5D"/>
              <w:left w:val="nil"/>
              <w:bottom w:val="single" w:sz="4" w:space="0" w:color="ED7C5D"/>
              <w:right w:val="nil"/>
            </w:tcBorders>
            <w:shd w:val="clear" w:color="000000" w:fill="FFFFFF"/>
            <w:noWrap/>
            <w:hideMark/>
          </w:tcPr>
          <w:p w14:paraId="20F42C44" w14:textId="77777777" w:rsidR="00EE3472" w:rsidRPr="00503F5B" w:rsidRDefault="00EE3472" w:rsidP="00EE3472">
            <w:pPr>
              <w:rPr>
                <w:rFonts w:eastAsia="Times New Roman" w:cs="Calibri"/>
                <w:b/>
                <w:bCs/>
                <w:sz w:val="20"/>
                <w:szCs w:val="20"/>
                <w:lang w:eastAsia="en-AU"/>
              </w:rPr>
            </w:pPr>
            <w:r w:rsidRPr="00503F5B">
              <w:rPr>
                <w:rFonts w:eastAsia="Times New Roman" w:cs="Calibri"/>
                <w:b/>
                <w:bCs/>
                <w:sz w:val="20"/>
                <w:szCs w:val="20"/>
                <w:lang w:eastAsia="en-AU"/>
              </w:rPr>
              <w:t>Sub-total indirect cost for CFA integrated stations</w:t>
            </w:r>
          </w:p>
        </w:tc>
        <w:tc>
          <w:tcPr>
            <w:tcW w:w="1163" w:type="dxa"/>
            <w:tcBorders>
              <w:top w:val="single" w:sz="4" w:space="0" w:color="ED7C5D"/>
              <w:left w:val="nil"/>
              <w:bottom w:val="single" w:sz="4" w:space="0" w:color="ED7C5D"/>
              <w:right w:val="nil"/>
            </w:tcBorders>
            <w:shd w:val="clear" w:color="000000" w:fill="FFFFFF"/>
            <w:noWrap/>
            <w:hideMark/>
          </w:tcPr>
          <w:p w14:paraId="5252ED84" w14:textId="77777777" w:rsidR="00EE3472" w:rsidRPr="00503F5B" w:rsidRDefault="00EE3472" w:rsidP="00EE3472">
            <w:pPr>
              <w:jc w:val="right"/>
              <w:rPr>
                <w:rFonts w:eastAsia="Times New Roman" w:cs="Calibri"/>
                <w:b/>
                <w:bCs/>
                <w:sz w:val="20"/>
                <w:szCs w:val="20"/>
                <w:lang w:eastAsia="en-AU"/>
              </w:rPr>
            </w:pPr>
            <w:r w:rsidRPr="00503F5B">
              <w:rPr>
                <w:rFonts w:eastAsia="Times New Roman" w:cs="Calibri"/>
                <w:b/>
                <w:bCs/>
                <w:sz w:val="20"/>
                <w:szCs w:val="20"/>
                <w:lang w:eastAsia="en-AU"/>
              </w:rPr>
              <w:t>$427</w:t>
            </w:r>
          </w:p>
        </w:tc>
        <w:tc>
          <w:tcPr>
            <w:tcW w:w="1160" w:type="dxa"/>
            <w:tcBorders>
              <w:top w:val="single" w:sz="4" w:space="0" w:color="ED7C5D"/>
              <w:left w:val="nil"/>
              <w:bottom w:val="single" w:sz="4" w:space="0" w:color="ED7C5D"/>
              <w:right w:val="nil"/>
            </w:tcBorders>
            <w:shd w:val="clear" w:color="000000" w:fill="FFFFFF"/>
            <w:noWrap/>
            <w:hideMark/>
          </w:tcPr>
          <w:p w14:paraId="526EBF5D" w14:textId="77777777" w:rsidR="00EE3472" w:rsidRPr="00503F5B" w:rsidRDefault="00EE3472" w:rsidP="00EE3472">
            <w:pPr>
              <w:jc w:val="right"/>
              <w:rPr>
                <w:rFonts w:eastAsia="Times New Roman" w:cs="Calibri"/>
                <w:b/>
                <w:bCs/>
                <w:sz w:val="20"/>
                <w:szCs w:val="20"/>
                <w:lang w:eastAsia="en-AU"/>
              </w:rPr>
            </w:pPr>
            <w:r w:rsidRPr="00503F5B">
              <w:rPr>
                <w:rFonts w:eastAsia="Times New Roman" w:cs="Calibri"/>
                <w:b/>
                <w:bCs/>
                <w:sz w:val="20"/>
                <w:szCs w:val="20"/>
                <w:lang w:eastAsia="en-AU"/>
              </w:rPr>
              <w:t>$34</w:t>
            </w:r>
          </w:p>
        </w:tc>
        <w:tc>
          <w:tcPr>
            <w:tcW w:w="1788" w:type="dxa"/>
            <w:tcBorders>
              <w:top w:val="single" w:sz="4" w:space="0" w:color="ED7C5D"/>
              <w:left w:val="nil"/>
              <w:bottom w:val="single" w:sz="4" w:space="0" w:color="ED7C5D"/>
              <w:right w:val="nil"/>
            </w:tcBorders>
            <w:shd w:val="clear" w:color="000000" w:fill="FFFFFF"/>
            <w:noWrap/>
            <w:hideMark/>
          </w:tcPr>
          <w:p w14:paraId="7DB02787" w14:textId="6FEAC34D" w:rsidR="00EE3472" w:rsidRPr="00503F5B" w:rsidRDefault="00EE3472" w:rsidP="00EE3472">
            <w:pPr>
              <w:jc w:val="right"/>
              <w:rPr>
                <w:rFonts w:eastAsia="Times New Roman" w:cs="Calibri"/>
                <w:b/>
                <w:bCs/>
                <w:sz w:val="20"/>
                <w:szCs w:val="20"/>
                <w:lang w:eastAsia="en-AU"/>
              </w:rPr>
            </w:pPr>
            <w:r w:rsidRPr="00503F5B">
              <w:rPr>
                <w:b/>
                <w:bCs/>
                <w:sz w:val="20"/>
                <w:szCs w:val="20"/>
              </w:rPr>
              <w:t>$177</w:t>
            </w:r>
          </w:p>
        </w:tc>
      </w:tr>
      <w:tr w:rsidR="00EE3472" w:rsidRPr="00503F5B" w14:paraId="2128081C" w14:textId="77777777" w:rsidTr="00333BC5">
        <w:trPr>
          <w:trHeight w:val="70"/>
          <w:jc w:val="center"/>
        </w:trPr>
        <w:tc>
          <w:tcPr>
            <w:tcW w:w="4962" w:type="dxa"/>
            <w:tcBorders>
              <w:top w:val="single" w:sz="4" w:space="0" w:color="ED7C5D"/>
              <w:left w:val="nil"/>
              <w:bottom w:val="single" w:sz="4" w:space="0" w:color="ED7C5D"/>
              <w:right w:val="nil"/>
            </w:tcBorders>
            <w:shd w:val="clear" w:color="000000" w:fill="FFFFFF"/>
            <w:noWrap/>
            <w:hideMark/>
          </w:tcPr>
          <w:p w14:paraId="36C59616" w14:textId="77777777" w:rsidR="00EE3472" w:rsidRPr="00503F5B" w:rsidRDefault="00EE3472" w:rsidP="00EE3472">
            <w:pPr>
              <w:rPr>
                <w:rFonts w:eastAsia="Times New Roman" w:cs="Calibri"/>
                <w:b/>
                <w:bCs/>
                <w:i/>
                <w:iCs/>
                <w:sz w:val="20"/>
                <w:szCs w:val="20"/>
                <w:lang w:eastAsia="en-AU"/>
              </w:rPr>
            </w:pPr>
            <w:r w:rsidRPr="00503F5B">
              <w:rPr>
                <w:rFonts w:eastAsia="Times New Roman" w:cs="Calibri"/>
                <w:b/>
                <w:bCs/>
                <w:i/>
                <w:iCs/>
                <w:sz w:val="20"/>
                <w:szCs w:val="20"/>
                <w:lang w:eastAsia="en-AU"/>
              </w:rPr>
              <w:t>Total direct and indirect costs for CFA integrated stations</w:t>
            </w:r>
          </w:p>
        </w:tc>
        <w:tc>
          <w:tcPr>
            <w:tcW w:w="1163" w:type="dxa"/>
            <w:tcBorders>
              <w:top w:val="single" w:sz="4" w:space="0" w:color="ED7C5D"/>
              <w:left w:val="nil"/>
              <w:bottom w:val="single" w:sz="4" w:space="0" w:color="ED7C5D"/>
              <w:right w:val="nil"/>
            </w:tcBorders>
            <w:shd w:val="clear" w:color="000000" w:fill="FFFFFF"/>
            <w:noWrap/>
            <w:hideMark/>
          </w:tcPr>
          <w:p w14:paraId="551B8CAD" w14:textId="77777777" w:rsidR="00EE3472" w:rsidRPr="00503F5B" w:rsidRDefault="00EE3472" w:rsidP="00EE3472">
            <w:pPr>
              <w:jc w:val="right"/>
              <w:rPr>
                <w:rFonts w:eastAsia="Times New Roman" w:cs="Calibri"/>
                <w:b/>
                <w:bCs/>
                <w:i/>
                <w:iCs/>
                <w:sz w:val="20"/>
                <w:szCs w:val="20"/>
                <w:lang w:eastAsia="en-AU"/>
              </w:rPr>
            </w:pPr>
            <w:r w:rsidRPr="00503F5B">
              <w:rPr>
                <w:rFonts w:eastAsia="Times New Roman" w:cs="Calibri"/>
                <w:b/>
                <w:bCs/>
                <w:i/>
                <w:iCs/>
                <w:sz w:val="20"/>
                <w:szCs w:val="20"/>
                <w:lang w:eastAsia="en-AU"/>
              </w:rPr>
              <w:t>$1,708</w:t>
            </w:r>
          </w:p>
        </w:tc>
        <w:tc>
          <w:tcPr>
            <w:tcW w:w="1160" w:type="dxa"/>
            <w:tcBorders>
              <w:top w:val="single" w:sz="4" w:space="0" w:color="ED7C5D"/>
              <w:left w:val="nil"/>
              <w:bottom w:val="single" w:sz="4" w:space="0" w:color="ED7C5D"/>
              <w:right w:val="nil"/>
            </w:tcBorders>
            <w:shd w:val="clear" w:color="000000" w:fill="FFFFFF"/>
            <w:noWrap/>
            <w:hideMark/>
          </w:tcPr>
          <w:p w14:paraId="1CF0BC04" w14:textId="77777777" w:rsidR="00EE3472" w:rsidRPr="00503F5B" w:rsidRDefault="00EE3472" w:rsidP="00EE3472">
            <w:pPr>
              <w:jc w:val="right"/>
              <w:rPr>
                <w:rFonts w:eastAsia="Times New Roman" w:cs="Calibri"/>
                <w:b/>
                <w:bCs/>
                <w:i/>
                <w:iCs/>
                <w:sz w:val="20"/>
                <w:szCs w:val="20"/>
                <w:lang w:eastAsia="en-AU"/>
              </w:rPr>
            </w:pPr>
            <w:r w:rsidRPr="00503F5B">
              <w:rPr>
                <w:rFonts w:eastAsia="Times New Roman" w:cs="Calibri"/>
                <w:b/>
                <w:bCs/>
                <w:i/>
                <w:iCs/>
                <w:sz w:val="20"/>
                <w:szCs w:val="20"/>
                <w:lang w:eastAsia="en-AU"/>
              </w:rPr>
              <w:t>$134</w:t>
            </w:r>
          </w:p>
        </w:tc>
        <w:tc>
          <w:tcPr>
            <w:tcW w:w="1788" w:type="dxa"/>
            <w:tcBorders>
              <w:top w:val="single" w:sz="4" w:space="0" w:color="ED7C5D"/>
              <w:left w:val="nil"/>
              <w:bottom w:val="single" w:sz="4" w:space="0" w:color="ED7C5D"/>
              <w:right w:val="nil"/>
            </w:tcBorders>
            <w:shd w:val="clear" w:color="000000" w:fill="FFFFFF"/>
            <w:noWrap/>
            <w:hideMark/>
          </w:tcPr>
          <w:p w14:paraId="5A699FE5" w14:textId="427F52A7" w:rsidR="00EE3472" w:rsidRPr="00503F5B" w:rsidRDefault="00EE3472" w:rsidP="00EE3472">
            <w:pPr>
              <w:jc w:val="right"/>
              <w:rPr>
                <w:rFonts w:eastAsia="Times New Roman" w:cs="Calibri"/>
                <w:b/>
                <w:bCs/>
                <w:i/>
                <w:iCs/>
                <w:sz w:val="20"/>
                <w:szCs w:val="20"/>
                <w:lang w:eastAsia="en-AU"/>
              </w:rPr>
            </w:pPr>
            <w:r w:rsidRPr="00503F5B">
              <w:rPr>
                <w:b/>
                <w:bCs/>
                <w:i/>
                <w:iCs/>
                <w:sz w:val="20"/>
                <w:szCs w:val="20"/>
              </w:rPr>
              <w:t>$709</w:t>
            </w:r>
          </w:p>
        </w:tc>
      </w:tr>
      <w:tr w:rsidR="00EE3472" w:rsidRPr="00503F5B" w14:paraId="1E943152" w14:textId="77777777" w:rsidTr="00333BC5">
        <w:trPr>
          <w:trHeight w:val="300"/>
          <w:jc w:val="center"/>
        </w:trPr>
        <w:tc>
          <w:tcPr>
            <w:tcW w:w="4962" w:type="dxa"/>
            <w:tcBorders>
              <w:top w:val="single" w:sz="4" w:space="0" w:color="ED7C5D"/>
              <w:left w:val="nil"/>
              <w:bottom w:val="single" w:sz="4" w:space="0" w:color="ED7C5D"/>
              <w:right w:val="nil"/>
            </w:tcBorders>
            <w:shd w:val="clear" w:color="000000" w:fill="000000"/>
            <w:noWrap/>
            <w:hideMark/>
          </w:tcPr>
          <w:p w14:paraId="17CBCD93" w14:textId="77777777" w:rsidR="00EE3472" w:rsidRPr="00503F5B" w:rsidRDefault="00EE3472" w:rsidP="00EE3472">
            <w:pPr>
              <w:rPr>
                <w:rFonts w:eastAsia="Times New Roman" w:cs="Calibri"/>
                <w:i/>
                <w:iCs/>
                <w:color w:val="FFFFFF"/>
                <w:sz w:val="20"/>
                <w:szCs w:val="20"/>
                <w:lang w:eastAsia="en-AU"/>
              </w:rPr>
            </w:pPr>
            <w:r w:rsidRPr="00503F5B">
              <w:rPr>
                <w:rFonts w:eastAsia="Times New Roman" w:cs="Calibri"/>
                <w:i/>
                <w:iCs/>
                <w:color w:val="FFFFFF"/>
                <w:sz w:val="20"/>
                <w:szCs w:val="20"/>
                <w:lang w:eastAsia="en-AU"/>
              </w:rPr>
              <w:t>Total direct and indirect costs for FRV</w:t>
            </w:r>
          </w:p>
        </w:tc>
        <w:tc>
          <w:tcPr>
            <w:tcW w:w="1163" w:type="dxa"/>
            <w:tcBorders>
              <w:top w:val="single" w:sz="4" w:space="0" w:color="ED7C5D"/>
              <w:left w:val="nil"/>
              <w:bottom w:val="single" w:sz="4" w:space="0" w:color="ED7C5D"/>
              <w:right w:val="nil"/>
            </w:tcBorders>
            <w:shd w:val="clear" w:color="000000" w:fill="000000"/>
            <w:noWrap/>
            <w:hideMark/>
          </w:tcPr>
          <w:p w14:paraId="009A4B1C" w14:textId="77777777" w:rsidR="00EE3472" w:rsidRPr="00503F5B" w:rsidRDefault="00EE3472" w:rsidP="00EE3472">
            <w:pPr>
              <w:rPr>
                <w:rFonts w:eastAsia="Times New Roman" w:cs="Calibri"/>
                <w:i/>
                <w:iCs/>
                <w:color w:val="FFFFFF"/>
                <w:sz w:val="20"/>
                <w:szCs w:val="20"/>
                <w:lang w:eastAsia="en-AU"/>
              </w:rPr>
            </w:pPr>
            <w:r w:rsidRPr="00503F5B">
              <w:rPr>
                <w:rFonts w:eastAsia="Times New Roman" w:cs="Calibri"/>
                <w:i/>
                <w:iCs/>
                <w:color w:val="FFFFFF"/>
                <w:sz w:val="20"/>
                <w:szCs w:val="20"/>
                <w:lang w:eastAsia="en-AU"/>
              </w:rPr>
              <w:t> </w:t>
            </w:r>
          </w:p>
        </w:tc>
        <w:tc>
          <w:tcPr>
            <w:tcW w:w="1160" w:type="dxa"/>
            <w:tcBorders>
              <w:top w:val="single" w:sz="4" w:space="0" w:color="ED7C5D"/>
              <w:left w:val="nil"/>
              <w:bottom w:val="single" w:sz="4" w:space="0" w:color="ED7C5D"/>
              <w:right w:val="nil"/>
            </w:tcBorders>
            <w:shd w:val="clear" w:color="000000" w:fill="000000"/>
            <w:noWrap/>
            <w:hideMark/>
          </w:tcPr>
          <w:p w14:paraId="3A402852" w14:textId="77777777" w:rsidR="00EE3472" w:rsidRPr="00503F5B" w:rsidRDefault="00EE3472" w:rsidP="00EE3472">
            <w:pPr>
              <w:jc w:val="right"/>
              <w:rPr>
                <w:rFonts w:eastAsia="Times New Roman" w:cs="Calibri"/>
                <w:b/>
                <w:bCs/>
                <w:i/>
                <w:iCs/>
                <w:color w:val="FFFFFF"/>
                <w:sz w:val="20"/>
                <w:szCs w:val="20"/>
                <w:lang w:eastAsia="en-AU"/>
              </w:rPr>
            </w:pPr>
            <w:r w:rsidRPr="00503F5B">
              <w:rPr>
                <w:rFonts w:eastAsia="Times New Roman" w:cs="Calibri"/>
                <w:b/>
                <w:bCs/>
                <w:i/>
                <w:iCs/>
                <w:color w:val="FFFFFF"/>
                <w:sz w:val="20"/>
                <w:szCs w:val="20"/>
                <w:lang w:eastAsia="en-AU"/>
              </w:rPr>
              <w:t>$2,510</w:t>
            </w:r>
          </w:p>
        </w:tc>
        <w:tc>
          <w:tcPr>
            <w:tcW w:w="1788" w:type="dxa"/>
            <w:tcBorders>
              <w:top w:val="single" w:sz="4" w:space="0" w:color="ED7C5D"/>
              <w:left w:val="nil"/>
              <w:bottom w:val="single" w:sz="4" w:space="0" w:color="ED7C5D"/>
              <w:right w:val="nil"/>
            </w:tcBorders>
            <w:shd w:val="clear" w:color="000000" w:fill="000000"/>
            <w:noWrap/>
            <w:hideMark/>
          </w:tcPr>
          <w:p w14:paraId="4A579FA4" w14:textId="7C111E78" w:rsidR="00EE3472" w:rsidRPr="00503F5B" w:rsidRDefault="00EE3472" w:rsidP="00EE3472">
            <w:pPr>
              <w:jc w:val="right"/>
              <w:rPr>
                <w:rFonts w:eastAsia="Times New Roman" w:cs="Calibri"/>
                <w:b/>
                <w:bCs/>
                <w:i/>
                <w:iCs/>
                <w:color w:val="FFFFFF"/>
                <w:sz w:val="20"/>
                <w:szCs w:val="20"/>
                <w:lang w:eastAsia="en-AU"/>
              </w:rPr>
            </w:pPr>
            <w:r w:rsidRPr="00503F5B">
              <w:rPr>
                <w:b/>
                <w:bCs/>
                <w:i/>
                <w:iCs/>
                <w:color w:val="FFFFFF" w:themeColor="background1"/>
                <w:sz w:val="20"/>
                <w:szCs w:val="20"/>
              </w:rPr>
              <w:t>$12,909</w:t>
            </w:r>
          </w:p>
        </w:tc>
      </w:tr>
    </w:tbl>
    <w:p w14:paraId="3634C8FE" w14:textId="77777777" w:rsidR="00E04C6D" w:rsidRPr="00503F5B" w:rsidRDefault="00E04C6D" w:rsidP="00E04C6D">
      <w:pPr>
        <w:jc w:val="both"/>
        <w:rPr>
          <w:rFonts w:eastAsia="Times New Roman"/>
        </w:rPr>
      </w:pPr>
    </w:p>
    <w:p w14:paraId="220F8693" w14:textId="77777777" w:rsidR="00E04C6D" w:rsidRPr="00503F5B" w:rsidRDefault="00E04C6D" w:rsidP="00F94B17">
      <w:pPr>
        <w:pStyle w:val="Heading3"/>
      </w:pPr>
      <w:bookmarkStart w:id="312" w:name="_Toc457772570"/>
      <w:bookmarkStart w:id="313" w:name="_Toc35804180"/>
      <w:bookmarkStart w:id="314" w:name="_Toc35804674"/>
      <w:bookmarkStart w:id="315" w:name="_Toc35812718"/>
      <w:r w:rsidRPr="00503F5B">
        <w:t>A3.2.2 Option 1 fee revenue</w:t>
      </w:r>
      <w:bookmarkEnd w:id="312"/>
      <w:bookmarkEnd w:id="313"/>
      <w:bookmarkEnd w:id="314"/>
      <w:bookmarkEnd w:id="315"/>
    </w:p>
    <w:p w14:paraId="48AA881F" w14:textId="77777777" w:rsidR="00E04C6D" w:rsidRPr="00503F5B" w:rsidRDefault="00E04C6D" w:rsidP="00E04C6D">
      <w:pPr>
        <w:jc w:val="both"/>
      </w:pPr>
    </w:p>
    <w:p w14:paraId="5134FB7B" w14:textId="4CB9E9E5" w:rsidR="00E04C6D" w:rsidRPr="00503F5B" w:rsidRDefault="00E04C6D" w:rsidP="00E04C6D">
      <w:pPr>
        <w:jc w:val="both"/>
      </w:pPr>
      <w:r w:rsidRPr="00503F5B">
        <w:t>In order to determine fee revenue, an assumption is made that the growth rate in the annual volume of transactions for MFB (averaging 4.49%, as shown in Table A3.1) and annual volume of transactions for CFA integrated stations (averaging -11.7%, as shown in Table A3.3) is expected to fall by 10%</w:t>
      </w:r>
      <w:r w:rsidRPr="00503F5B">
        <w:rPr>
          <w:rStyle w:val="FootnoteReference"/>
        </w:rPr>
        <w:footnoteReference w:id="201"/>
      </w:r>
      <w:r w:rsidRPr="00503F5B">
        <w:t xml:space="preserve">.  This assumption is made on the assertion that </w:t>
      </w:r>
      <w:r w:rsidRPr="00503F5B">
        <w:rPr>
          <w:i/>
        </w:rPr>
        <w:t>some</w:t>
      </w:r>
      <w:r w:rsidRPr="00503F5B">
        <w:t xml:space="preserve"> owners of alarm systems for small businesses rewiring or disconnecting parts of monitoring systems so that the system only provides a local alarm instead of alerting </w:t>
      </w:r>
      <w:r w:rsidR="00D23B9E" w:rsidRPr="00503F5B">
        <w:t>FRV</w:t>
      </w:r>
      <w:r w:rsidRPr="00503F5B">
        <w:t xml:space="preserve"> </w:t>
      </w:r>
      <w:proofErr w:type="gramStart"/>
      <w:r w:rsidRPr="00503F5B">
        <w:t>in an attempt to</w:t>
      </w:r>
      <w:proofErr w:type="gramEnd"/>
      <w:r w:rsidRPr="00503F5B">
        <w:t xml:space="preserve"> avoid the higher false alarm attendance fees.  This would mean a reduction in the annual growth rate </w:t>
      </w:r>
      <w:r w:rsidRPr="00503F5B">
        <w:lastRenderedPageBreak/>
        <w:t xml:space="preserve">of transactions under full cost recovery from 1 July 2020 (see Table A3.3). The present value of fee revenue over 10 years is estimated to be $510.54 million, as shown in Table A3.6.  </w:t>
      </w:r>
    </w:p>
    <w:p w14:paraId="78A07EF0" w14:textId="77777777" w:rsidR="00E04C6D" w:rsidRPr="00503F5B" w:rsidRDefault="00E04C6D" w:rsidP="00E04C6D">
      <w:pPr>
        <w:jc w:val="both"/>
      </w:pPr>
    </w:p>
    <w:p w14:paraId="4032B48C" w14:textId="77777777" w:rsidR="00E04C6D" w:rsidRPr="00503F5B" w:rsidRDefault="00E04C6D" w:rsidP="00E04C6D">
      <w:pPr>
        <w:jc w:val="center"/>
        <w:rPr>
          <w:b/>
          <w:sz w:val="20"/>
          <w:szCs w:val="20"/>
        </w:rPr>
      </w:pPr>
      <w:r w:rsidRPr="00503F5B">
        <w:rPr>
          <w:b/>
          <w:sz w:val="20"/>
          <w:szCs w:val="20"/>
        </w:rPr>
        <w:t xml:space="preserve">TableA3.6: Estimated revenue from full cost recovery fees under Option 1 </w:t>
      </w:r>
    </w:p>
    <w:p w14:paraId="74454655" w14:textId="77777777" w:rsidR="00E04C6D" w:rsidRPr="00503F5B" w:rsidRDefault="00E04C6D" w:rsidP="00E04C6D">
      <w:pPr>
        <w:jc w:val="center"/>
        <w:rPr>
          <w:b/>
          <w:sz w:val="20"/>
          <w:szCs w:val="20"/>
        </w:rPr>
      </w:pPr>
      <w:r w:rsidRPr="00503F5B">
        <w:rPr>
          <w:b/>
          <w:sz w:val="20"/>
          <w:szCs w:val="20"/>
        </w:rPr>
        <w:t>(quarterly hour per appliance) – 2020-21 to 2029-30</w:t>
      </w:r>
    </w:p>
    <w:p w14:paraId="20A8252A" w14:textId="77777777" w:rsidR="00E04C6D" w:rsidRPr="00503F5B" w:rsidRDefault="00E04C6D" w:rsidP="00E04C6D">
      <w:pPr>
        <w:jc w:val="center"/>
      </w:pPr>
    </w:p>
    <w:tbl>
      <w:tblPr>
        <w:tblW w:w="9254" w:type="dxa"/>
        <w:jc w:val="center"/>
        <w:tblLook w:val="04A0" w:firstRow="1" w:lastRow="0" w:firstColumn="1" w:lastColumn="0" w:noHBand="0" w:noVBand="1"/>
      </w:tblPr>
      <w:tblGrid>
        <w:gridCol w:w="1418"/>
        <w:gridCol w:w="1416"/>
        <w:gridCol w:w="1537"/>
        <w:gridCol w:w="1276"/>
        <w:gridCol w:w="941"/>
        <w:gridCol w:w="1333"/>
        <w:gridCol w:w="1333"/>
      </w:tblGrid>
      <w:tr w:rsidR="00E04C6D" w:rsidRPr="00503F5B" w14:paraId="35CC3CAF" w14:textId="77777777" w:rsidTr="004C4B5A">
        <w:trPr>
          <w:trHeight w:val="89"/>
          <w:jc w:val="center"/>
        </w:trPr>
        <w:tc>
          <w:tcPr>
            <w:tcW w:w="1418" w:type="dxa"/>
            <w:tcBorders>
              <w:top w:val="single" w:sz="4" w:space="0" w:color="ED7C5D"/>
              <w:left w:val="nil"/>
              <w:bottom w:val="double" w:sz="4" w:space="0" w:color="ED7C5D"/>
              <w:right w:val="nil"/>
            </w:tcBorders>
            <w:shd w:val="clear" w:color="000000" w:fill="FFFFFF"/>
            <w:noWrap/>
            <w:hideMark/>
          </w:tcPr>
          <w:p w14:paraId="6DA68084" w14:textId="77777777" w:rsidR="00E04C6D" w:rsidRPr="00503F5B" w:rsidRDefault="00E04C6D" w:rsidP="00E04C6D">
            <w:pPr>
              <w:rPr>
                <w:rFonts w:eastAsia="Times New Roman" w:cs="Calibri"/>
                <w:b/>
                <w:bCs/>
                <w:color w:val="C00000"/>
                <w:sz w:val="20"/>
                <w:szCs w:val="20"/>
                <w:lang w:eastAsia="en-AU"/>
              </w:rPr>
            </w:pPr>
            <w:r w:rsidRPr="00503F5B">
              <w:rPr>
                <w:rFonts w:eastAsia="Times New Roman" w:cs="Calibri"/>
                <w:b/>
                <w:bCs/>
                <w:color w:val="C00000"/>
                <w:sz w:val="20"/>
                <w:szCs w:val="20"/>
                <w:lang w:eastAsia="en-AU"/>
              </w:rPr>
              <w:t>Year</w:t>
            </w:r>
          </w:p>
        </w:tc>
        <w:tc>
          <w:tcPr>
            <w:tcW w:w="1416" w:type="dxa"/>
            <w:tcBorders>
              <w:top w:val="single" w:sz="4" w:space="0" w:color="ED7C5D"/>
              <w:left w:val="nil"/>
              <w:bottom w:val="double" w:sz="4" w:space="0" w:color="ED7C5D"/>
              <w:right w:val="nil"/>
            </w:tcBorders>
            <w:shd w:val="clear" w:color="000000" w:fill="FFFFFF"/>
            <w:noWrap/>
            <w:hideMark/>
          </w:tcPr>
          <w:p w14:paraId="279D3400"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MFB transactions (reduction in growth rate from 4.49% to 4.04%)</w:t>
            </w:r>
          </w:p>
        </w:tc>
        <w:tc>
          <w:tcPr>
            <w:tcW w:w="1537" w:type="dxa"/>
            <w:tcBorders>
              <w:top w:val="single" w:sz="4" w:space="0" w:color="ED7C5D"/>
              <w:left w:val="nil"/>
              <w:bottom w:val="double" w:sz="4" w:space="0" w:color="ED7C5D"/>
              <w:right w:val="nil"/>
            </w:tcBorders>
            <w:shd w:val="clear" w:color="000000" w:fill="FFFFFF"/>
            <w:noWrap/>
            <w:hideMark/>
          </w:tcPr>
          <w:p w14:paraId="54E0BB24"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CFA integrated stations transactions</w:t>
            </w:r>
          </w:p>
          <w:p w14:paraId="4C78376F" w14:textId="35D01398"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 xml:space="preserve">(reduction in growth rate from </w:t>
            </w:r>
            <w:r w:rsidR="00972085" w:rsidRPr="00503F5B">
              <w:rPr>
                <w:rFonts w:eastAsia="Times New Roman" w:cs="Calibri"/>
                <w:b/>
                <w:bCs/>
                <w:color w:val="C00000"/>
                <w:sz w:val="20"/>
                <w:szCs w:val="20"/>
                <w:lang w:eastAsia="en-AU"/>
              </w:rPr>
              <w:t>(</w:t>
            </w:r>
            <w:r w:rsidRPr="00503F5B">
              <w:rPr>
                <w:rFonts w:eastAsia="Times New Roman" w:cs="Calibri"/>
                <w:b/>
                <w:bCs/>
                <w:color w:val="C00000"/>
                <w:sz w:val="20"/>
                <w:szCs w:val="20"/>
                <w:lang w:eastAsia="en-AU"/>
              </w:rPr>
              <w:t>-11.7%</w:t>
            </w:r>
            <w:r w:rsidR="00972085" w:rsidRPr="00503F5B">
              <w:rPr>
                <w:rFonts w:eastAsia="Times New Roman" w:cs="Calibri"/>
                <w:b/>
                <w:bCs/>
                <w:color w:val="C00000"/>
                <w:sz w:val="20"/>
                <w:szCs w:val="20"/>
                <w:lang w:eastAsia="en-AU"/>
              </w:rPr>
              <w:t>)</w:t>
            </w:r>
            <w:r w:rsidRPr="00503F5B">
              <w:rPr>
                <w:rFonts w:eastAsia="Times New Roman" w:cs="Calibri"/>
                <w:b/>
                <w:bCs/>
                <w:color w:val="C00000"/>
                <w:sz w:val="20"/>
                <w:szCs w:val="20"/>
                <w:lang w:eastAsia="en-AU"/>
              </w:rPr>
              <w:t xml:space="preserve"> to </w:t>
            </w:r>
            <w:r w:rsidR="00972085" w:rsidRPr="00503F5B">
              <w:rPr>
                <w:rFonts w:eastAsia="Times New Roman" w:cs="Calibri"/>
                <w:b/>
                <w:bCs/>
                <w:color w:val="C00000"/>
                <w:sz w:val="20"/>
                <w:szCs w:val="20"/>
                <w:lang w:eastAsia="en-AU"/>
              </w:rPr>
              <w:t>(</w:t>
            </w:r>
            <w:r w:rsidRPr="00503F5B">
              <w:rPr>
                <w:rFonts w:eastAsia="Times New Roman" w:cs="Calibri"/>
                <w:b/>
                <w:bCs/>
                <w:color w:val="C00000"/>
                <w:sz w:val="20"/>
                <w:szCs w:val="20"/>
                <w:lang w:eastAsia="en-AU"/>
              </w:rPr>
              <w:t>-12.87%</w:t>
            </w:r>
            <w:r w:rsidR="00972085" w:rsidRPr="00503F5B">
              <w:rPr>
                <w:rFonts w:eastAsia="Times New Roman" w:cs="Calibri"/>
                <w:b/>
                <w:bCs/>
                <w:color w:val="C00000"/>
                <w:sz w:val="20"/>
                <w:szCs w:val="20"/>
                <w:lang w:eastAsia="en-AU"/>
              </w:rPr>
              <w:t>)</w:t>
            </w:r>
            <w:r w:rsidRPr="00503F5B">
              <w:rPr>
                <w:rFonts w:eastAsia="Times New Roman" w:cs="Calibri"/>
                <w:b/>
                <w:bCs/>
                <w:color w:val="C00000"/>
                <w:sz w:val="20"/>
                <w:szCs w:val="20"/>
                <w:lang w:eastAsia="en-AU"/>
              </w:rPr>
              <w:t>)</w:t>
            </w:r>
          </w:p>
        </w:tc>
        <w:tc>
          <w:tcPr>
            <w:tcW w:w="1276" w:type="dxa"/>
            <w:tcBorders>
              <w:top w:val="single" w:sz="4" w:space="0" w:color="ED7C5D"/>
              <w:left w:val="nil"/>
              <w:bottom w:val="double" w:sz="4" w:space="0" w:color="ED7C5D"/>
              <w:right w:val="nil"/>
            </w:tcBorders>
            <w:shd w:val="clear" w:color="000000" w:fill="FFFFFF"/>
            <w:noWrap/>
            <w:hideMark/>
          </w:tcPr>
          <w:p w14:paraId="3AF3719F" w14:textId="77777777" w:rsidR="00E04C6D" w:rsidRPr="00503F5B" w:rsidRDefault="00E04C6D" w:rsidP="00E04C6D">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FRV transactions</w:t>
            </w:r>
          </w:p>
        </w:tc>
        <w:tc>
          <w:tcPr>
            <w:tcW w:w="941" w:type="dxa"/>
            <w:tcBorders>
              <w:top w:val="single" w:sz="4" w:space="0" w:color="ED7C5D"/>
              <w:left w:val="nil"/>
              <w:bottom w:val="double" w:sz="4" w:space="0" w:color="ED7C5D"/>
              <w:right w:val="nil"/>
            </w:tcBorders>
            <w:shd w:val="clear" w:color="000000" w:fill="FFFFFF"/>
          </w:tcPr>
          <w:p w14:paraId="285AA180" w14:textId="77777777" w:rsidR="00E04C6D" w:rsidRPr="00503F5B" w:rsidRDefault="00E04C6D" w:rsidP="00E04C6D">
            <w:pPr>
              <w:jc w:val="center"/>
              <w:rPr>
                <w:b/>
                <w:color w:val="BE2A18"/>
                <w:sz w:val="20"/>
                <w:szCs w:val="20"/>
              </w:rPr>
            </w:pPr>
            <w:r w:rsidRPr="00503F5B">
              <w:rPr>
                <w:b/>
                <w:color w:val="BE2A18"/>
                <w:sz w:val="20"/>
                <w:szCs w:val="20"/>
              </w:rPr>
              <w:t>Full cost recovery fee</w:t>
            </w:r>
          </w:p>
        </w:tc>
        <w:tc>
          <w:tcPr>
            <w:tcW w:w="1333" w:type="dxa"/>
            <w:tcBorders>
              <w:top w:val="single" w:sz="4" w:space="0" w:color="ED7C5D"/>
              <w:left w:val="nil"/>
              <w:bottom w:val="double" w:sz="4" w:space="0" w:color="ED7C5D"/>
              <w:right w:val="nil"/>
            </w:tcBorders>
            <w:shd w:val="clear" w:color="000000" w:fill="FFFFFF"/>
          </w:tcPr>
          <w:p w14:paraId="37F282F1" w14:textId="77777777" w:rsidR="00E04C6D" w:rsidRPr="00503F5B" w:rsidRDefault="00E04C6D" w:rsidP="00E04C6D">
            <w:pPr>
              <w:jc w:val="center"/>
              <w:rPr>
                <w:rFonts w:eastAsia="Times New Roman" w:cs="Calibri"/>
                <w:b/>
                <w:bCs/>
                <w:color w:val="C00000"/>
                <w:sz w:val="20"/>
                <w:szCs w:val="20"/>
                <w:lang w:eastAsia="en-AU"/>
              </w:rPr>
            </w:pPr>
            <w:r w:rsidRPr="00503F5B">
              <w:rPr>
                <w:b/>
                <w:color w:val="BE2A18"/>
                <w:sz w:val="20"/>
                <w:szCs w:val="20"/>
              </w:rPr>
              <w:t>False alarm charges</w:t>
            </w:r>
          </w:p>
        </w:tc>
        <w:tc>
          <w:tcPr>
            <w:tcW w:w="1333" w:type="dxa"/>
            <w:tcBorders>
              <w:top w:val="single" w:sz="4" w:space="0" w:color="ED7C5D"/>
              <w:left w:val="nil"/>
              <w:bottom w:val="double" w:sz="4" w:space="0" w:color="ED7C5D"/>
              <w:right w:val="nil"/>
            </w:tcBorders>
            <w:shd w:val="clear" w:color="000000" w:fill="FFFFFF"/>
          </w:tcPr>
          <w:p w14:paraId="6D96306A" w14:textId="468F724B" w:rsidR="00E04C6D" w:rsidRPr="00503F5B" w:rsidRDefault="00E04C6D" w:rsidP="00E04C6D">
            <w:pPr>
              <w:jc w:val="center"/>
              <w:rPr>
                <w:rFonts w:eastAsia="Times New Roman" w:cs="Calibri"/>
                <w:b/>
                <w:bCs/>
                <w:color w:val="C00000"/>
                <w:sz w:val="20"/>
                <w:szCs w:val="20"/>
                <w:lang w:eastAsia="en-AU"/>
              </w:rPr>
            </w:pPr>
            <w:r w:rsidRPr="00503F5B">
              <w:rPr>
                <w:b/>
                <w:color w:val="BE2A18"/>
                <w:sz w:val="20"/>
                <w:szCs w:val="20"/>
              </w:rPr>
              <w:t>False alarm charges (Present value 201</w:t>
            </w:r>
            <w:r w:rsidR="007B1C84" w:rsidRPr="00503F5B">
              <w:rPr>
                <w:b/>
                <w:color w:val="BE2A18"/>
                <w:sz w:val="20"/>
                <w:szCs w:val="20"/>
              </w:rPr>
              <w:t>9</w:t>
            </w:r>
            <w:r w:rsidRPr="00503F5B">
              <w:rPr>
                <w:b/>
                <w:color w:val="BE2A18"/>
                <w:sz w:val="20"/>
                <w:szCs w:val="20"/>
              </w:rPr>
              <w:t>-</w:t>
            </w:r>
            <w:r w:rsidR="007B1C84" w:rsidRPr="00503F5B">
              <w:rPr>
                <w:b/>
                <w:color w:val="BE2A18"/>
                <w:sz w:val="20"/>
                <w:szCs w:val="20"/>
              </w:rPr>
              <w:t>20</w:t>
            </w:r>
            <w:r w:rsidRPr="00503F5B">
              <w:rPr>
                <w:b/>
                <w:color w:val="BE2A18"/>
                <w:sz w:val="20"/>
                <w:szCs w:val="20"/>
              </w:rPr>
              <w:t xml:space="preserve"> dollars)</w:t>
            </w:r>
            <w:r w:rsidRPr="00503F5B">
              <w:rPr>
                <w:rStyle w:val="FootnoteReference"/>
                <w:b/>
                <w:color w:val="BE2A18"/>
                <w:sz w:val="20"/>
                <w:szCs w:val="20"/>
              </w:rPr>
              <w:footnoteReference w:id="202"/>
            </w:r>
          </w:p>
        </w:tc>
      </w:tr>
      <w:tr w:rsidR="004C4B5A" w:rsidRPr="00503F5B" w14:paraId="6A47A839" w14:textId="77777777" w:rsidTr="004C4B5A">
        <w:trPr>
          <w:trHeight w:val="50"/>
          <w:jc w:val="center"/>
        </w:trPr>
        <w:tc>
          <w:tcPr>
            <w:tcW w:w="1418" w:type="dxa"/>
            <w:tcBorders>
              <w:top w:val="double" w:sz="4" w:space="0" w:color="ED7C5D"/>
              <w:left w:val="nil"/>
              <w:bottom w:val="nil"/>
              <w:right w:val="nil"/>
            </w:tcBorders>
            <w:shd w:val="clear" w:color="000000" w:fill="FFFFFF"/>
            <w:noWrap/>
          </w:tcPr>
          <w:p w14:paraId="6F6299FD" w14:textId="082C76FA" w:rsidR="004C4B5A" w:rsidRPr="00503F5B" w:rsidRDefault="004C4B5A" w:rsidP="004C4B5A">
            <w:pPr>
              <w:rPr>
                <w:rFonts w:eastAsia="Times New Roman" w:cs="Calibri"/>
                <w:sz w:val="20"/>
                <w:szCs w:val="20"/>
                <w:lang w:eastAsia="en-AU"/>
              </w:rPr>
            </w:pPr>
            <w:r w:rsidRPr="00503F5B">
              <w:rPr>
                <w:sz w:val="20"/>
                <w:szCs w:val="20"/>
              </w:rPr>
              <w:t>2019-20</w:t>
            </w:r>
          </w:p>
        </w:tc>
        <w:tc>
          <w:tcPr>
            <w:tcW w:w="1416" w:type="dxa"/>
            <w:tcBorders>
              <w:top w:val="double" w:sz="4" w:space="0" w:color="ED7C5D"/>
              <w:left w:val="nil"/>
              <w:bottom w:val="nil"/>
              <w:right w:val="nil"/>
            </w:tcBorders>
            <w:shd w:val="clear" w:color="000000" w:fill="FFFFFF"/>
            <w:noWrap/>
          </w:tcPr>
          <w:p w14:paraId="34BA6171" w14:textId="2CDD15DC" w:rsidR="004C4B5A" w:rsidRPr="00503F5B" w:rsidRDefault="004C4B5A" w:rsidP="004C4B5A">
            <w:pPr>
              <w:jc w:val="right"/>
              <w:rPr>
                <w:sz w:val="20"/>
                <w:szCs w:val="20"/>
              </w:rPr>
            </w:pPr>
            <w:r w:rsidRPr="00503F5B">
              <w:rPr>
                <w:sz w:val="20"/>
                <w:szCs w:val="20"/>
              </w:rPr>
              <w:t xml:space="preserve"> 18,686 </w:t>
            </w:r>
          </w:p>
        </w:tc>
        <w:tc>
          <w:tcPr>
            <w:tcW w:w="1537" w:type="dxa"/>
            <w:tcBorders>
              <w:top w:val="double" w:sz="4" w:space="0" w:color="ED7C5D"/>
              <w:left w:val="nil"/>
              <w:bottom w:val="nil"/>
              <w:right w:val="nil"/>
            </w:tcBorders>
            <w:shd w:val="clear" w:color="000000" w:fill="FFFFFF"/>
            <w:noWrap/>
          </w:tcPr>
          <w:p w14:paraId="6D39007E" w14:textId="389C65E0" w:rsidR="004C4B5A" w:rsidRPr="00503F5B" w:rsidRDefault="004C4B5A" w:rsidP="004C4B5A">
            <w:pPr>
              <w:jc w:val="right"/>
              <w:rPr>
                <w:sz w:val="20"/>
                <w:szCs w:val="20"/>
              </w:rPr>
            </w:pPr>
            <w:r w:rsidRPr="00503F5B">
              <w:rPr>
                <w:sz w:val="20"/>
                <w:szCs w:val="20"/>
              </w:rPr>
              <w:t xml:space="preserve"> 3,766 </w:t>
            </w:r>
          </w:p>
        </w:tc>
        <w:tc>
          <w:tcPr>
            <w:tcW w:w="1276" w:type="dxa"/>
            <w:tcBorders>
              <w:top w:val="double" w:sz="4" w:space="0" w:color="ED7C5D"/>
              <w:left w:val="nil"/>
              <w:bottom w:val="nil"/>
              <w:right w:val="nil"/>
            </w:tcBorders>
            <w:shd w:val="clear" w:color="000000" w:fill="FFFFFF"/>
            <w:noWrap/>
          </w:tcPr>
          <w:p w14:paraId="3ED4D6D0" w14:textId="62FD0AC1" w:rsidR="004C4B5A" w:rsidRPr="00503F5B" w:rsidRDefault="004C4B5A" w:rsidP="004C4B5A">
            <w:pPr>
              <w:jc w:val="right"/>
              <w:rPr>
                <w:sz w:val="20"/>
                <w:szCs w:val="20"/>
              </w:rPr>
            </w:pPr>
            <w:r w:rsidRPr="00503F5B">
              <w:rPr>
                <w:sz w:val="20"/>
                <w:szCs w:val="20"/>
              </w:rPr>
              <w:t xml:space="preserve"> 22,451 </w:t>
            </w:r>
          </w:p>
        </w:tc>
        <w:tc>
          <w:tcPr>
            <w:tcW w:w="941" w:type="dxa"/>
            <w:tcBorders>
              <w:top w:val="double" w:sz="4" w:space="0" w:color="ED7C5D"/>
              <w:left w:val="nil"/>
              <w:bottom w:val="nil"/>
            </w:tcBorders>
            <w:shd w:val="clear" w:color="auto" w:fill="FBE4D5" w:themeFill="accent2" w:themeFillTint="33"/>
          </w:tcPr>
          <w:p w14:paraId="0641B8EA" w14:textId="209279CA" w:rsidR="004C4B5A" w:rsidRPr="00503F5B" w:rsidRDefault="004C4B5A" w:rsidP="004C4B5A">
            <w:pPr>
              <w:jc w:val="right"/>
              <w:rPr>
                <w:sz w:val="20"/>
                <w:szCs w:val="20"/>
              </w:rPr>
            </w:pPr>
            <w:r w:rsidRPr="00503F5B">
              <w:rPr>
                <w:sz w:val="20"/>
                <w:szCs w:val="20"/>
              </w:rPr>
              <w:t>$2,510</w:t>
            </w:r>
          </w:p>
        </w:tc>
        <w:tc>
          <w:tcPr>
            <w:tcW w:w="1333" w:type="dxa"/>
            <w:tcBorders>
              <w:top w:val="double" w:sz="4" w:space="0" w:color="ED7C5D"/>
              <w:left w:val="nil"/>
              <w:bottom w:val="nil"/>
              <w:right w:val="nil"/>
            </w:tcBorders>
            <w:shd w:val="clear" w:color="000000" w:fill="FFFFFF"/>
          </w:tcPr>
          <w:p w14:paraId="225FAA33" w14:textId="2E56EE89" w:rsidR="004C4B5A" w:rsidRPr="00503F5B" w:rsidRDefault="004C4B5A" w:rsidP="004C4B5A">
            <w:pPr>
              <w:jc w:val="right"/>
              <w:rPr>
                <w:sz w:val="20"/>
                <w:szCs w:val="20"/>
              </w:rPr>
            </w:pPr>
            <w:r w:rsidRPr="00503F5B">
              <w:rPr>
                <w:sz w:val="20"/>
                <w:szCs w:val="20"/>
              </w:rPr>
              <w:t>$56,358,829</w:t>
            </w:r>
          </w:p>
        </w:tc>
        <w:tc>
          <w:tcPr>
            <w:tcW w:w="1333" w:type="dxa"/>
            <w:tcBorders>
              <w:top w:val="double" w:sz="4" w:space="0" w:color="ED7C5D"/>
              <w:left w:val="nil"/>
              <w:bottom w:val="nil"/>
              <w:right w:val="nil"/>
            </w:tcBorders>
            <w:shd w:val="clear" w:color="000000" w:fill="FFFFFF"/>
          </w:tcPr>
          <w:p w14:paraId="4B111B0D" w14:textId="5809C16E" w:rsidR="004C4B5A" w:rsidRPr="00503F5B" w:rsidRDefault="004C4B5A" w:rsidP="004C4B5A">
            <w:pPr>
              <w:jc w:val="right"/>
              <w:rPr>
                <w:sz w:val="20"/>
                <w:szCs w:val="20"/>
              </w:rPr>
            </w:pPr>
            <w:r w:rsidRPr="00503F5B">
              <w:rPr>
                <w:sz w:val="20"/>
                <w:szCs w:val="20"/>
              </w:rPr>
              <w:t>$54,191,182</w:t>
            </w:r>
          </w:p>
        </w:tc>
      </w:tr>
      <w:tr w:rsidR="00E04C6D" w:rsidRPr="00503F5B" w14:paraId="44FA1D3F" w14:textId="77777777" w:rsidTr="004C4B5A">
        <w:trPr>
          <w:trHeight w:val="50"/>
          <w:jc w:val="center"/>
        </w:trPr>
        <w:tc>
          <w:tcPr>
            <w:tcW w:w="1418" w:type="dxa"/>
            <w:tcBorders>
              <w:left w:val="nil"/>
              <w:bottom w:val="nil"/>
              <w:right w:val="nil"/>
            </w:tcBorders>
            <w:shd w:val="clear" w:color="000000" w:fill="FFFFFF"/>
            <w:noWrap/>
            <w:hideMark/>
          </w:tcPr>
          <w:p w14:paraId="7740C7E2"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2020-21</w:t>
            </w:r>
          </w:p>
        </w:tc>
        <w:tc>
          <w:tcPr>
            <w:tcW w:w="1416" w:type="dxa"/>
            <w:tcBorders>
              <w:left w:val="nil"/>
              <w:bottom w:val="nil"/>
              <w:right w:val="nil"/>
            </w:tcBorders>
            <w:shd w:val="clear" w:color="000000" w:fill="FFFFFF"/>
            <w:noWrap/>
            <w:hideMark/>
          </w:tcPr>
          <w:p w14:paraId="0B411FCB"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19,440 </w:t>
            </w:r>
          </w:p>
        </w:tc>
        <w:tc>
          <w:tcPr>
            <w:tcW w:w="1537" w:type="dxa"/>
            <w:tcBorders>
              <w:left w:val="nil"/>
              <w:bottom w:val="nil"/>
              <w:right w:val="nil"/>
            </w:tcBorders>
            <w:shd w:val="clear" w:color="000000" w:fill="FFFFFF"/>
            <w:noWrap/>
            <w:hideMark/>
          </w:tcPr>
          <w:p w14:paraId="5C6D576E"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3,281 </w:t>
            </w:r>
          </w:p>
        </w:tc>
        <w:tc>
          <w:tcPr>
            <w:tcW w:w="1276" w:type="dxa"/>
            <w:tcBorders>
              <w:left w:val="nil"/>
              <w:bottom w:val="nil"/>
              <w:right w:val="nil"/>
            </w:tcBorders>
            <w:shd w:val="clear" w:color="000000" w:fill="FFFFFF"/>
            <w:noWrap/>
            <w:hideMark/>
          </w:tcPr>
          <w:p w14:paraId="69C00900"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22,721 </w:t>
            </w:r>
          </w:p>
        </w:tc>
        <w:tc>
          <w:tcPr>
            <w:tcW w:w="941" w:type="dxa"/>
            <w:tcBorders>
              <w:left w:val="nil"/>
              <w:bottom w:val="nil"/>
            </w:tcBorders>
            <w:shd w:val="clear" w:color="auto" w:fill="FBE4D5" w:themeFill="accent2" w:themeFillTint="33"/>
          </w:tcPr>
          <w:p w14:paraId="07263060" w14:textId="77777777" w:rsidR="00E04C6D" w:rsidRPr="00503F5B" w:rsidRDefault="00E04C6D" w:rsidP="00E04C6D">
            <w:pPr>
              <w:jc w:val="right"/>
              <w:rPr>
                <w:b/>
                <w:bCs/>
                <w:sz w:val="20"/>
                <w:szCs w:val="20"/>
              </w:rPr>
            </w:pPr>
            <w:r w:rsidRPr="00503F5B">
              <w:rPr>
                <w:sz w:val="20"/>
                <w:szCs w:val="20"/>
              </w:rPr>
              <w:t>$2,510</w:t>
            </w:r>
          </w:p>
        </w:tc>
        <w:tc>
          <w:tcPr>
            <w:tcW w:w="1333" w:type="dxa"/>
            <w:tcBorders>
              <w:left w:val="nil"/>
              <w:bottom w:val="nil"/>
              <w:right w:val="nil"/>
            </w:tcBorders>
            <w:shd w:val="clear" w:color="000000" w:fill="FFFFFF"/>
          </w:tcPr>
          <w:p w14:paraId="5F1A9183" w14:textId="77777777" w:rsidR="00E04C6D" w:rsidRPr="00503F5B" w:rsidRDefault="00E04C6D" w:rsidP="00E04C6D">
            <w:pPr>
              <w:jc w:val="right"/>
              <w:rPr>
                <w:b/>
                <w:bCs/>
                <w:sz w:val="20"/>
                <w:szCs w:val="20"/>
              </w:rPr>
            </w:pPr>
            <w:r w:rsidRPr="00503F5B">
              <w:rPr>
                <w:sz w:val="20"/>
                <w:szCs w:val="20"/>
              </w:rPr>
              <w:t>$57,037,000</w:t>
            </w:r>
          </w:p>
        </w:tc>
        <w:tc>
          <w:tcPr>
            <w:tcW w:w="1333" w:type="dxa"/>
            <w:tcBorders>
              <w:left w:val="nil"/>
              <w:bottom w:val="nil"/>
              <w:right w:val="nil"/>
            </w:tcBorders>
            <w:shd w:val="clear" w:color="000000" w:fill="FFFFFF"/>
          </w:tcPr>
          <w:p w14:paraId="194D491A" w14:textId="77777777" w:rsidR="00E04C6D" w:rsidRPr="00503F5B" w:rsidRDefault="00E04C6D" w:rsidP="00E04C6D">
            <w:pPr>
              <w:jc w:val="right"/>
              <w:rPr>
                <w:b/>
                <w:bCs/>
                <w:sz w:val="20"/>
                <w:szCs w:val="20"/>
              </w:rPr>
            </w:pPr>
            <w:r w:rsidRPr="00503F5B">
              <w:rPr>
                <w:sz w:val="20"/>
                <w:szCs w:val="20"/>
              </w:rPr>
              <w:t>$54,843,269</w:t>
            </w:r>
          </w:p>
        </w:tc>
      </w:tr>
      <w:tr w:rsidR="00E04C6D" w:rsidRPr="00503F5B" w14:paraId="785EA1AA" w14:textId="77777777" w:rsidTr="004C4B5A">
        <w:trPr>
          <w:trHeight w:val="50"/>
          <w:jc w:val="center"/>
        </w:trPr>
        <w:tc>
          <w:tcPr>
            <w:tcW w:w="1418" w:type="dxa"/>
            <w:tcBorders>
              <w:top w:val="nil"/>
              <w:left w:val="nil"/>
              <w:bottom w:val="nil"/>
              <w:right w:val="nil"/>
            </w:tcBorders>
            <w:shd w:val="clear" w:color="000000" w:fill="FFFFFF"/>
            <w:noWrap/>
            <w:hideMark/>
          </w:tcPr>
          <w:p w14:paraId="4A40D992"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2021-22</w:t>
            </w:r>
          </w:p>
        </w:tc>
        <w:tc>
          <w:tcPr>
            <w:tcW w:w="1416" w:type="dxa"/>
            <w:tcBorders>
              <w:top w:val="nil"/>
              <w:left w:val="nil"/>
              <w:bottom w:val="nil"/>
              <w:right w:val="nil"/>
            </w:tcBorders>
            <w:shd w:val="clear" w:color="000000" w:fill="FFFFFF"/>
            <w:noWrap/>
            <w:hideMark/>
          </w:tcPr>
          <w:p w14:paraId="34E78E28"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20,226 </w:t>
            </w:r>
          </w:p>
        </w:tc>
        <w:tc>
          <w:tcPr>
            <w:tcW w:w="1537" w:type="dxa"/>
            <w:tcBorders>
              <w:top w:val="nil"/>
              <w:left w:val="nil"/>
              <w:bottom w:val="nil"/>
              <w:right w:val="nil"/>
            </w:tcBorders>
            <w:shd w:val="clear" w:color="000000" w:fill="FFFFFF"/>
            <w:noWrap/>
            <w:hideMark/>
          </w:tcPr>
          <w:p w14:paraId="32455F63"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2,859 </w:t>
            </w:r>
          </w:p>
        </w:tc>
        <w:tc>
          <w:tcPr>
            <w:tcW w:w="1276" w:type="dxa"/>
            <w:tcBorders>
              <w:top w:val="nil"/>
              <w:left w:val="nil"/>
              <w:bottom w:val="nil"/>
              <w:right w:val="nil"/>
            </w:tcBorders>
            <w:shd w:val="clear" w:color="000000" w:fill="FFFFFF"/>
            <w:noWrap/>
            <w:hideMark/>
          </w:tcPr>
          <w:p w14:paraId="2A691E0D"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23,084 </w:t>
            </w:r>
          </w:p>
        </w:tc>
        <w:tc>
          <w:tcPr>
            <w:tcW w:w="941" w:type="dxa"/>
            <w:tcBorders>
              <w:top w:val="nil"/>
              <w:left w:val="nil"/>
              <w:bottom w:val="nil"/>
            </w:tcBorders>
            <w:shd w:val="clear" w:color="auto" w:fill="FBE4D5" w:themeFill="accent2" w:themeFillTint="33"/>
          </w:tcPr>
          <w:p w14:paraId="1DB29E55" w14:textId="77777777" w:rsidR="00E04C6D" w:rsidRPr="00503F5B" w:rsidRDefault="00E04C6D" w:rsidP="00E04C6D">
            <w:pPr>
              <w:jc w:val="right"/>
              <w:rPr>
                <w:b/>
                <w:bCs/>
                <w:sz w:val="20"/>
                <w:szCs w:val="20"/>
              </w:rPr>
            </w:pPr>
            <w:r w:rsidRPr="00503F5B">
              <w:rPr>
                <w:sz w:val="20"/>
                <w:szCs w:val="20"/>
              </w:rPr>
              <w:t>$2,510</w:t>
            </w:r>
          </w:p>
        </w:tc>
        <w:tc>
          <w:tcPr>
            <w:tcW w:w="1333" w:type="dxa"/>
            <w:tcBorders>
              <w:top w:val="nil"/>
              <w:left w:val="nil"/>
              <w:bottom w:val="nil"/>
              <w:right w:val="nil"/>
            </w:tcBorders>
            <w:shd w:val="clear" w:color="000000" w:fill="FFFFFF"/>
          </w:tcPr>
          <w:p w14:paraId="6870F2E6" w14:textId="77777777" w:rsidR="00E04C6D" w:rsidRPr="00503F5B" w:rsidRDefault="00E04C6D" w:rsidP="00E04C6D">
            <w:pPr>
              <w:jc w:val="right"/>
              <w:rPr>
                <w:b/>
                <w:bCs/>
                <w:sz w:val="20"/>
                <w:szCs w:val="20"/>
              </w:rPr>
            </w:pPr>
            <w:r w:rsidRPr="00503F5B">
              <w:rPr>
                <w:sz w:val="20"/>
                <w:szCs w:val="20"/>
              </w:rPr>
              <w:t>$57,948,244</w:t>
            </w:r>
          </w:p>
        </w:tc>
        <w:tc>
          <w:tcPr>
            <w:tcW w:w="1333" w:type="dxa"/>
            <w:tcBorders>
              <w:top w:val="nil"/>
              <w:left w:val="nil"/>
              <w:bottom w:val="nil"/>
              <w:right w:val="nil"/>
            </w:tcBorders>
            <w:shd w:val="clear" w:color="000000" w:fill="FFFFFF"/>
          </w:tcPr>
          <w:p w14:paraId="50236175" w14:textId="77777777" w:rsidR="00E04C6D" w:rsidRPr="00503F5B" w:rsidRDefault="00E04C6D" w:rsidP="00E04C6D">
            <w:pPr>
              <w:jc w:val="right"/>
              <w:rPr>
                <w:b/>
                <w:bCs/>
                <w:sz w:val="20"/>
                <w:szCs w:val="20"/>
              </w:rPr>
            </w:pPr>
            <w:r w:rsidRPr="00503F5B">
              <w:rPr>
                <w:sz w:val="20"/>
                <w:szCs w:val="20"/>
              </w:rPr>
              <w:t>$53,576,409</w:t>
            </w:r>
          </w:p>
        </w:tc>
      </w:tr>
      <w:tr w:rsidR="00E04C6D" w:rsidRPr="00503F5B" w14:paraId="77381EDB" w14:textId="77777777" w:rsidTr="004C4B5A">
        <w:trPr>
          <w:trHeight w:val="50"/>
          <w:jc w:val="center"/>
        </w:trPr>
        <w:tc>
          <w:tcPr>
            <w:tcW w:w="1418" w:type="dxa"/>
            <w:tcBorders>
              <w:top w:val="nil"/>
              <w:left w:val="nil"/>
              <w:bottom w:val="nil"/>
              <w:right w:val="nil"/>
            </w:tcBorders>
            <w:shd w:val="clear" w:color="000000" w:fill="FFFFFF"/>
            <w:noWrap/>
            <w:hideMark/>
          </w:tcPr>
          <w:p w14:paraId="616CE0A1"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2022-23</w:t>
            </w:r>
          </w:p>
        </w:tc>
        <w:tc>
          <w:tcPr>
            <w:tcW w:w="1416" w:type="dxa"/>
            <w:tcBorders>
              <w:top w:val="nil"/>
              <w:left w:val="nil"/>
              <w:bottom w:val="nil"/>
              <w:right w:val="nil"/>
            </w:tcBorders>
            <w:shd w:val="clear" w:color="000000" w:fill="FFFFFF"/>
            <w:noWrap/>
            <w:hideMark/>
          </w:tcPr>
          <w:p w14:paraId="28F273A8"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21,042 </w:t>
            </w:r>
          </w:p>
        </w:tc>
        <w:tc>
          <w:tcPr>
            <w:tcW w:w="1537" w:type="dxa"/>
            <w:tcBorders>
              <w:top w:val="nil"/>
              <w:left w:val="nil"/>
              <w:bottom w:val="nil"/>
              <w:right w:val="nil"/>
            </w:tcBorders>
            <w:shd w:val="clear" w:color="000000" w:fill="FFFFFF"/>
            <w:noWrap/>
            <w:hideMark/>
          </w:tcPr>
          <w:p w14:paraId="784BAE79"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2,491 </w:t>
            </w:r>
          </w:p>
        </w:tc>
        <w:tc>
          <w:tcPr>
            <w:tcW w:w="1276" w:type="dxa"/>
            <w:tcBorders>
              <w:top w:val="nil"/>
              <w:left w:val="nil"/>
              <w:bottom w:val="nil"/>
              <w:right w:val="nil"/>
            </w:tcBorders>
            <w:shd w:val="clear" w:color="000000" w:fill="FFFFFF"/>
            <w:noWrap/>
            <w:hideMark/>
          </w:tcPr>
          <w:p w14:paraId="0A714BE0"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23,533 </w:t>
            </w:r>
          </w:p>
        </w:tc>
        <w:tc>
          <w:tcPr>
            <w:tcW w:w="941" w:type="dxa"/>
            <w:tcBorders>
              <w:top w:val="nil"/>
              <w:left w:val="nil"/>
              <w:bottom w:val="nil"/>
              <w:right w:val="nil"/>
            </w:tcBorders>
            <w:shd w:val="clear" w:color="auto" w:fill="FBE4D5" w:themeFill="accent2" w:themeFillTint="33"/>
          </w:tcPr>
          <w:p w14:paraId="377883DA" w14:textId="77777777" w:rsidR="00E04C6D" w:rsidRPr="00503F5B" w:rsidRDefault="00E04C6D" w:rsidP="00E04C6D">
            <w:pPr>
              <w:jc w:val="right"/>
              <w:rPr>
                <w:b/>
                <w:bCs/>
                <w:sz w:val="20"/>
                <w:szCs w:val="20"/>
              </w:rPr>
            </w:pPr>
            <w:r w:rsidRPr="00503F5B">
              <w:rPr>
                <w:sz w:val="20"/>
                <w:szCs w:val="20"/>
              </w:rPr>
              <w:t>$2,510</w:t>
            </w:r>
          </w:p>
        </w:tc>
        <w:tc>
          <w:tcPr>
            <w:tcW w:w="1333" w:type="dxa"/>
            <w:tcBorders>
              <w:top w:val="nil"/>
              <w:left w:val="nil"/>
              <w:bottom w:val="nil"/>
              <w:right w:val="nil"/>
            </w:tcBorders>
            <w:shd w:val="clear" w:color="000000" w:fill="FFFFFF"/>
          </w:tcPr>
          <w:p w14:paraId="256713DE" w14:textId="77777777" w:rsidR="00E04C6D" w:rsidRPr="00503F5B" w:rsidRDefault="00E04C6D" w:rsidP="00E04C6D">
            <w:pPr>
              <w:jc w:val="right"/>
              <w:rPr>
                <w:b/>
                <w:bCs/>
                <w:sz w:val="20"/>
                <w:szCs w:val="20"/>
              </w:rPr>
            </w:pPr>
            <w:r w:rsidRPr="00503F5B">
              <w:rPr>
                <w:sz w:val="20"/>
                <w:szCs w:val="20"/>
              </w:rPr>
              <w:t>$59,075,509</w:t>
            </w:r>
          </w:p>
        </w:tc>
        <w:tc>
          <w:tcPr>
            <w:tcW w:w="1333" w:type="dxa"/>
            <w:tcBorders>
              <w:top w:val="nil"/>
              <w:left w:val="nil"/>
              <w:bottom w:val="nil"/>
              <w:right w:val="nil"/>
            </w:tcBorders>
            <w:shd w:val="clear" w:color="000000" w:fill="FFFFFF"/>
          </w:tcPr>
          <w:p w14:paraId="7E720509" w14:textId="77777777" w:rsidR="00E04C6D" w:rsidRPr="00503F5B" w:rsidRDefault="00E04C6D" w:rsidP="00E04C6D">
            <w:pPr>
              <w:jc w:val="right"/>
              <w:rPr>
                <w:b/>
                <w:bCs/>
                <w:sz w:val="20"/>
                <w:szCs w:val="20"/>
              </w:rPr>
            </w:pPr>
            <w:r w:rsidRPr="00503F5B">
              <w:rPr>
                <w:sz w:val="20"/>
                <w:szCs w:val="20"/>
              </w:rPr>
              <w:t>$52,517,912</w:t>
            </w:r>
          </w:p>
        </w:tc>
      </w:tr>
      <w:tr w:rsidR="00E04C6D" w:rsidRPr="00503F5B" w14:paraId="721A3029" w14:textId="77777777" w:rsidTr="004C4B5A">
        <w:trPr>
          <w:trHeight w:val="50"/>
          <w:jc w:val="center"/>
        </w:trPr>
        <w:tc>
          <w:tcPr>
            <w:tcW w:w="1418" w:type="dxa"/>
            <w:tcBorders>
              <w:top w:val="nil"/>
              <w:left w:val="nil"/>
              <w:bottom w:val="nil"/>
              <w:right w:val="nil"/>
            </w:tcBorders>
            <w:shd w:val="clear" w:color="000000" w:fill="FFFFFF"/>
            <w:noWrap/>
            <w:hideMark/>
          </w:tcPr>
          <w:p w14:paraId="3F04A9AD"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2023-24</w:t>
            </w:r>
          </w:p>
        </w:tc>
        <w:tc>
          <w:tcPr>
            <w:tcW w:w="1416" w:type="dxa"/>
            <w:tcBorders>
              <w:top w:val="nil"/>
              <w:left w:val="nil"/>
              <w:bottom w:val="nil"/>
              <w:right w:val="nil"/>
            </w:tcBorders>
            <w:shd w:val="clear" w:color="000000" w:fill="FFFFFF"/>
            <w:noWrap/>
            <w:hideMark/>
          </w:tcPr>
          <w:p w14:paraId="30EE1DE7"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21,892 </w:t>
            </w:r>
          </w:p>
        </w:tc>
        <w:tc>
          <w:tcPr>
            <w:tcW w:w="1537" w:type="dxa"/>
            <w:tcBorders>
              <w:top w:val="nil"/>
              <w:left w:val="nil"/>
              <w:bottom w:val="nil"/>
              <w:right w:val="nil"/>
            </w:tcBorders>
            <w:shd w:val="clear" w:color="000000" w:fill="FFFFFF"/>
            <w:noWrap/>
            <w:hideMark/>
          </w:tcPr>
          <w:p w14:paraId="39FDE868"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2,170 </w:t>
            </w:r>
          </w:p>
        </w:tc>
        <w:tc>
          <w:tcPr>
            <w:tcW w:w="1276" w:type="dxa"/>
            <w:tcBorders>
              <w:top w:val="nil"/>
              <w:left w:val="nil"/>
              <w:bottom w:val="nil"/>
              <w:right w:val="nil"/>
            </w:tcBorders>
            <w:shd w:val="clear" w:color="000000" w:fill="FFFFFF"/>
            <w:noWrap/>
            <w:hideMark/>
          </w:tcPr>
          <w:p w14:paraId="5CC9AE2E"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24,063 </w:t>
            </w:r>
          </w:p>
        </w:tc>
        <w:tc>
          <w:tcPr>
            <w:tcW w:w="941" w:type="dxa"/>
            <w:tcBorders>
              <w:top w:val="nil"/>
              <w:left w:val="nil"/>
              <w:bottom w:val="nil"/>
              <w:right w:val="nil"/>
            </w:tcBorders>
            <w:shd w:val="clear" w:color="auto" w:fill="FBE4D5" w:themeFill="accent2" w:themeFillTint="33"/>
          </w:tcPr>
          <w:p w14:paraId="402BF0BB" w14:textId="77777777" w:rsidR="00E04C6D" w:rsidRPr="00503F5B" w:rsidRDefault="00E04C6D" w:rsidP="00E04C6D">
            <w:pPr>
              <w:jc w:val="right"/>
              <w:rPr>
                <w:b/>
                <w:bCs/>
                <w:sz w:val="20"/>
                <w:szCs w:val="20"/>
              </w:rPr>
            </w:pPr>
            <w:r w:rsidRPr="00503F5B">
              <w:rPr>
                <w:sz w:val="20"/>
                <w:szCs w:val="20"/>
              </w:rPr>
              <w:t>$2,510</w:t>
            </w:r>
          </w:p>
        </w:tc>
        <w:tc>
          <w:tcPr>
            <w:tcW w:w="1333" w:type="dxa"/>
            <w:tcBorders>
              <w:top w:val="nil"/>
              <w:left w:val="nil"/>
              <w:bottom w:val="nil"/>
              <w:right w:val="nil"/>
            </w:tcBorders>
            <w:shd w:val="clear" w:color="000000" w:fill="FFFFFF"/>
          </w:tcPr>
          <w:p w14:paraId="70BEFD7D" w14:textId="77777777" w:rsidR="00E04C6D" w:rsidRPr="00503F5B" w:rsidRDefault="00E04C6D" w:rsidP="00E04C6D">
            <w:pPr>
              <w:jc w:val="right"/>
              <w:rPr>
                <w:b/>
                <w:bCs/>
                <w:sz w:val="20"/>
                <w:szCs w:val="20"/>
              </w:rPr>
            </w:pPr>
            <w:r w:rsidRPr="00503F5B">
              <w:rPr>
                <w:sz w:val="20"/>
                <w:szCs w:val="20"/>
              </w:rPr>
              <w:t>$60,404,455</w:t>
            </w:r>
          </w:p>
        </w:tc>
        <w:tc>
          <w:tcPr>
            <w:tcW w:w="1333" w:type="dxa"/>
            <w:tcBorders>
              <w:top w:val="nil"/>
              <w:left w:val="nil"/>
              <w:bottom w:val="nil"/>
              <w:right w:val="nil"/>
            </w:tcBorders>
            <w:shd w:val="clear" w:color="000000" w:fill="FFFFFF"/>
          </w:tcPr>
          <w:p w14:paraId="6A0F9028" w14:textId="77777777" w:rsidR="00E04C6D" w:rsidRPr="00503F5B" w:rsidRDefault="00E04C6D" w:rsidP="00E04C6D">
            <w:pPr>
              <w:jc w:val="right"/>
              <w:rPr>
                <w:b/>
                <w:bCs/>
                <w:sz w:val="20"/>
                <w:szCs w:val="20"/>
              </w:rPr>
            </w:pPr>
            <w:r w:rsidRPr="00503F5B">
              <w:rPr>
                <w:sz w:val="20"/>
                <w:szCs w:val="20"/>
              </w:rPr>
              <w:t>$51,633,981</w:t>
            </w:r>
          </w:p>
        </w:tc>
      </w:tr>
      <w:tr w:rsidR="00E04C6D" w:rsidRPr="00503F5B" w14:paraId="65669C9B" w14:textId="77777777" w:rsidTr="004C4B5A">
        <w:trPr>
          <w:trHeight w:val="50"/>
          <w:jc w:val="center"/>
        </w:trPr>
        <w:tc>
          <w:tcPr>
            <w:tcW w:w="1418" w:type="dxa"/>
            <w:tcBorders>
              <w:top w:val="nil"/>
              <w:left w:val="nil"/>
              <w:bottom w:val="nil"/>
              <w:right w:val="nil"/>
            </w:tcBorders>
            <w:shd w:val="clear" w:color="000000" w:fill="FFFFFF"/>
            <w:noWrap/>
            <w:hideMark/>
          </w:tcPr>
          <w:p w14:paraId="71B688BB"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2024-25</w:t>
            </w:r>
          </w:p>
        </w:tc>
        <w:tc>
          <w:tcPr>
            <w:tcW w:w="1416" w:type="dxa"/>
            <w:tcBorders>
              <w:top w:val="nil"/>
              <w:left w:val="nil"/>
              <w:bottom w:val="nil"/>
              <w:right w:val="nil"/>
            </w:tcBorders>
            <w:shd w:val="clear" w:color="000000" w:fill="FFFFFF"/>
            <w:noWrap/>
            <w:hideMark/>
          </w:tcPr>
          <w:p w14:paraId="02A8673F"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22,777 </w:t>
            </w:r>
          </w:p>
        </w:tc>
        <w:tc>
          <w:tcPr>
            <w:tcW w:w="1537" w:type="dxa"/>
            <w:tcBorders>
              <w:top w:val="nil"/>
              <w:left w:val="nil"/>
              <w:bottom w:val="nil"/>
              <w:right w:val="nil"/>
            </w:tcBorders>
            <w:shd w:val="clear" w:color="000000" w:fill="FFFFFF"/>
            <w:noWrap/>
            <w:hideMark/>
          </w:tcPr>
          <w:p w14:paraId="118D925D"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1,891 </w:t>
            </w:r>
          </w:p>
        </w:tc>
        <w:tc>
          <w:tcPr>
            <w:tcW w:w="1276" w:type="dxa"/>
            <w:tcBorders>
              <w:top w:val="nil"/>
              <w:left w:val="nil"/>
              <w:bottom w:val="nil"/>
              <w:right w:val="nil"/>
            </w:tcBorders>
            <w:shd w:val="clear" w:color="000000" w:fill="FFFFFF"/>
            <w:noWrap/>
            <w:hideMark/>
          </w:tcPr>
          <w:p w14:paraId="7F34AF48"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24,668 </w:t>
            </w:r>
          </w:p>
        </w:tc>
        <w:tc>
          <w:tcPr>
            <w:tcW w:w="941" w:type="dxa"/>
            <w:tcBorders>
              <w:top w:val="nil"/>
              <w:left w:val="nil"/>
              <w:bottom w:val="nil"/>
              <w:right w:val="nil"/>
            </w:tcBorders>
            <w:shd w:val="clear" w:color="auto" w:fill="FBE4D5" w:themeFill="accent2" w:themeFillTint="33"/>
          </w:tcPr>
          <w:p w14:paraId="23356886" w14:textId="77777777" w:rsidR="00E04C6D" w:rsidRPr="00503F5B" w:rsidRDefault="00E04C6D" w:rsidP="00E04C6D">
            <w:pPr>
              <w:jc w:val="right"/>
              <w:rPr>
                <w:b/>
                <w:bCs/>
                <w:sz w:val="20"/>
                <w:szCs w:val="20"/>
              </w:rPr>
            </w:pPr>
            <w:r w:rsidRPr="00503F5B">
              <w:rPr>
                <w:sz w:val="20"/>
                <w:szCs w:val="20"/>
              </w:rPr>
              <w:t>$2,510</w:t>
            </w:r>
          </w:p>
        </w:tc>
        <w:tc>
          <w:tcPr>
            <w:tcW w:w="1333" w:type="dxa"/>
            <w:tcBorders>
              <w:top w:val="nil"/>
              <w:left w:val="nil"/>
              <w:bottom w:val="nil"/>
              <w:right w:val="nil"/>
            </w:tcBorders>
            <w:shd w:val="clear" w:color="000000" w:fill="FFFFFF"/>
          </w:tcPr>
          <w:p w14:paraId="52F7B0D3" w14:textId="77777777" w:rsidR="00E04C6D" w:rsidRPr="00503F5B" w:rsidRDefault="00E04C6D" w:rsidP="00E04C6D">
            <w:pPr>
              <w:jc w:val="right"/>
              <w:rPr>
                <w:b/>
                <w:bCs/>
                <w:sz w:val="20"/>
                <w:szCs w:val="20"/>
              </w:rPr>
            </w:pPr>
            <w:r w:rsidRPr="00503F5B">
              <w:rPr>
                <w:sz w:val="20"/>
                <w:szCs w:val="20"/>
              </w:rPr>
              <w:t>$61,923,134</w:t>
            </w:r>
          </w:p>
        </w:tc>
        <w:tc>
          <w:tcPr>
            <w:tcW w:w="1333" w:type="dxa"/>
            <w:tcBorders>
              <w:top w:val="nil"/>
              <w:left w:val="nil"/>
              <w:bottom w:val="nil"/>
              <w:right w:val="nil"/>
            </w:tcBorders>
            <w:shd w:val="clear" w:color="000000" w:fill="FFFFFF"/>
          </w:tcPr>
          <w:p w14:paraId="034767D2" w14:textId="77777777" w:rsidR="00E04C6D" w:rsidRPr="00503F5B" w:rsidRDefault="00E04C6D" w:rsidP="00E04C6D">
            <w:pPr>
              <w:jc w:val="right"/>
              <w:rPr>
                <w:b/>
                <w:bCs/>
                <w:sz w:val="20"/>
                <w:szCs w:val="20"/>
              </w:rPr>
            </w:pPr>
            <w:r w:rsidRPr="00503F5B">
              <w:rPr>
                <w:sz w:val="20"/>
                <w:szCs w:val="20"/>
              </w:rPr>
              <w:t>$50,896,302</w:t>
            </w:r>
          </w:p>
        </w:tc>
      </w:tr>
      <w:tr w:rsidR="00E04C6D" w:rsidRPr="00503F5B" w14:paraId="6F196956" w14:textId="77777777" w:rsidTr="004C4B5A">
        <w:trPr>
          <w:trHeight w:val="50"/>
          <w:jc w:val="center"/>
        </w:trPr>
        <w:tc>
          <w:tcPr>
            <w:tcW w:w="1418" w:type="dxa"/>
            <w:tcBorders>
              <w:top w:val="nil"/>
              <w:left w:val="nil"/>
              <w:bottom w:val="nil"/>
              <w:right w:val="nil"/>
            </w:tcBorders>
            <w:shd w:val="clear" w:color="000000" w:fill="FFFFFF"/>
            <w:noWrap/>
            <w:hideMark/>
          </w:tcPr>
          <w:p w14:paraId="2C92E4CB"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2025-26</w:t>
            </w:r>
          </w:p>
        </w:tc>
        <w:tc>
          <w:tcPr>
            <w:tcW w:w="1416" w:type="dxa"/>
            <w:tcBorders>
              <w:top w:val="nil"/>
              <w:left w:val="nil"/>
              <w:bottom w:val="nil"/>
              <w:right w:val="nil"/>
            </w:tcBorders>
            <w:shd w:val="clear" w:color="000000" w:fill="FFFFFF"/>
            <w:noWrap/>
            <w:hideMark/>
          </w:tcPr>
          <w:p w14:paraId="1A5FFB3E"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23,697 </w:t>
            </w:r>
          </w:p>
        </w:tc>
        <w:tc>
          <w:tcPr>
            <w:tcW w:w="1537" w:type="dxa"/>
            <w:tcBorders>
              <w:top w:val="nil"/>
              <w:left w:val="nil"/>
              <w:bottom w:val="nil"/>
              <w:right w:val="nil"/>
            </w:tcBorders>
            <w:shd w:val="clear" w:color="000000" w:fill="FFFFFF"/>
            <w:noWrap/>
            <w:hideMark/>
          </w:tcPr>
          <w:p w14:paraId="6F36358A"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1,648 </w:t>
            </w:r>
          </w:p>
        </w:tc>
        <w:tc>
          <w:tcPr>
            <w:tcW w:w="1276" w:type="dxa"/>
            <w:tcBorders>
              <w:top w:val="nil"/>
              <w:left w:val="nil"/>
              <w:bottom w:val="nil"/>
              <w:right w:val="nil"/>
            </w:tcBorders>
            <w:shd w:val="clear" w:color="000000" w:fill="FFFFFF"/>
            <w:noWrap/>
            <w:hideMark/>
          </w:tcPr>
          <w:p w14:paraId="0DB0DBEF"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25,344 </w:t>
            </w:r>
          </w:p>
        </w:tc>
        <w:tc>
          <w:tcPr>
            <w:tcW w:w="941" w:type="dxa"/>
            <w:tcBorders>
              <w:top w:val="nil"/>
              <w:left w:val="nil"/>
              <w:bottom w:val="nil"/>
              <w:right w:val="nil"/>
            </w:tcBorders>
            <w:shd w:val="clear" w:color="auto" w:fill="FBE4D5" w:themeFill="accent2" w:themeFillTint="33"/>
          </w:tcPr>
          <w:p w14:paraId="54F20969" w14:textId="77777777" w:rsidR="00E04C6D" w:rsidRPr="00503F5B" w:rsidRDefault="00E04C6D" w:rsidP="00E04C6D">
            <w:pPr>
              <w:jc w:val="right"/>
              <w:rPr>
                <w:b/>
                <w:bCs/>
                <w:sz w:val="20"/>
                <w:szCs w:val="20"/>
              </w:rPr>
            </w:pPr>
            <w:r w:rsidRPr="00503F5B">
              <w:rPr>
                <w:sz w:val="20"/>
                <w:szCs w:val="20"/>
              </w:rPr>
              <w:t>$2,510</w:t>
            </w:r>
          </w:p>
        </w:tc>
        <w:tc>
          <w:tcPr>
            <w:tcW w:w="1333" w:type="dxa"/>
            <w:tcBorders>
              <w:top w:val="nil"/>
              <w:left w:val="nil"/>
              <w:bottom w:val="nil"/>
              <w:right w:val="nil"/>
            </w:tcBorders>
            <w:shd w:val="clear" w:color="000000" w:fill="FFFFFF"/>
          </w:tcPr>
          <w:p w14:paraId="645FD3B7" w14:textId="77777777" w:rsidR="00E04C6D" w:rsidRPr="00503F5B" w:rsidRDefault="00E04C6D" w:rsidP="00E04C6D">
            <w:pPr>
              <w:jc w:val="right"/>
              <w:rPr>
                <w:b/>
                <w:bCs/>
                <w:sz w:val="20"/>
                <w:szCs w:val="20"/>
              </w:rPr>
            </w:pPr>
            <w:r w:rsidRPr="00503F5B">
              <w:rPr>
                <w:sz w:val="20"/>
                <w:szCs w:val="20"/>
              </w:rPr>
              <w:t>$63,621,701</w:t>
            </w:r>
          </w:p>
        </w:tc>
        <w:tc>
          <w:tcPr>
            <w:tcW w:w="1333" w:type="dxa"/>
            <w:tcBorders>
              <w:top w:val="nil"/>
              <w:left w:val="nil"/>
              <w:bottom w:val="nil"/>
              <w:right w:val="nil"/>
            </w:tcBorders>
            <w:shd w:val="clear" w:color="000000" w:fill="FFFFFF"/>
          </w:tcPr>
          <w:p w14:paraId="4B49F3C3" w14:textId="77777777" w:rsidR="00E04C6D" w:rsidRPr="00503F5B" w:rsidRDefault="00E04C6D" w:rsidP="00E04C6D">
            <w:pPr>
              <w:jc w:val="right"/>
              <w:rPr>
                <w:b/>
                <w:bCs/>
                <w:sz w:val="20"/>
                <w:szCs w:val="20"/>
              </w:rPr>
            </w:pPr>
            <w:r w:rsidRPr="00503F5B">
              <w:rPr>
                <w:sz w:val="20"/>
                <w:szCs w:val="20"/>
              </w:rPr>
              <w:t>$50,281,155</w:t>
            </w:r>
          </w:p>
        </w:tc>
      </w:tr>
      <w:tr w:rsidR="00E04C6D" w:rsidRPr="00503F5B" w14:paraId="4F1156C1" w14:textId="77777777" w:rsidTr="004C4B5A">
        <w:trPr>
          <w:trHeight w:val="50"/>
          <w:jc w:val="center"/>
        </w:trPr>
        <w:tc>
          <w:tcPr>
            <w:tcW w:w="1418" w:type="dxa"/>
            <w:tcBorders>
              <w:top w:val="nil"/>
              <w:left w:val="nil"/>
              <w:bottom w:val="nil"/>
              <w:right w:val="nil"/>
            </w:tcBorders>
            <w:shd w:val="clear" w:color="000000" w:fill="FFFFFF"/>
            <w:noWrap/>
            <w:hideMark/>
          </w:tcPr>
          <w:p w14:paraId="3CEAFEDB"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2026-27</w:t>
            </w:r>
          </w:p>
        </w:tc>
        <w:tc>
          <w:tcPr>
            <w:tcW w:w="1416" w:type="dxa"/>
            <w:tcBorders>
              <w:top w:val="nil"/>
              <w:left w:val="nil"/>
              <w:bottom w:val="nil"/>
              <w:right w:val="nil"/>
            </w:tcBorders>
            <w:shd w:val="clear" w:color="000000" w:fill="FFFFFF"/>
            <w:noWrap/>
            <w:hideMark/>
          </w:tcPr>
          <w:p w14:paraId="1E3FDFB8"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24,654 </w:t>
            </w:r>
          </w:p>
        </w:tc>
        <w:tc>
          <w:tcPr>
            <w:tcW w:w="1537" w:type="dxa"/>
            <w:tcBorders>
              <w:top w:val="nil"/>
              <w:left w:val="nil"/>
              <w:bottom w:val="nil"/>
              <w:right w:val="nil"/>
            </w:tcBorders>
            <w:shd w:val="clear" w:color="000000" w:fill="FFFFFF"/>
            <w:noWrap/>
            <w:hideMark/>
          </w:tcPr>
          <w:p w14:paraId="13764640"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1,436 </w:t>
            </w:r>
          </w:p>
        </w:tc>
        <w:tc>
          <w:tcPr>
            <w:tcW w:w="1276" w:type="dxa"/>
            <w:tcBorders>
              <w:top w:val="nil"/>
              <w:left w:val="nil"/>
              <w:bottom w:val="nil"/>
              <w:right w:val="nil"/>
            </w:tcBorders>
            <w:shd w:val="clear" w:color="000000" w:fill="FFFFFF"/>
            <w:noWrap/>
            <w:hideMark/>
          </w:tcPr>
          <w:p w14:paraId="3B71C5C4"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26,089 </w:t>
            </w:r>
          </w:p>
        </w:tc>
        <w:tc>
          <w:tcPr>
            <w:tcW w:w="941" w:type="dxa"/>
            <w:tcBorders>
              <w:top w:val="nil"/>
              <w:left w:val="nil"/>
              <w:bottom w:val="nil"/>
              <w:right w:val="nil"/>
            </w:tcBorders>
            <w:shd w:val="clear" w:color="auto" w:fill="FBE4D5" w:themeFill="accent2" w:themeFillTint="33"/>
          </w:tcPr>
          <w:p w14:paraId="16BCB2BE" w14:textId="77777777" w:rsidR="00E04C6D" w:rsidRPr="00503F5B" w:rsidRDefault="00E04C6D" w:rsidP="00E04C6D">
            <w:pPr>
              <w:jc w:val="right"/>
              <w:rPr>
                <w:b/>
                <w:bCs/>
                <w:sz w:val="20"/>
                <w:szCs w:val="20"/>
              </w:rPr>
            </w:pPr>
            <w:r w:rsidRPr="00503F5B">
              <w:rPr>
                <w:sz w:val="20"/>
                <w:szCs w:val="20"/>
              </w:rPr>
              <w:t>$2,510</w:t>
            </w:r>
          </w:p>
        </w:tc>
        <w:tc>
          <w:tcPr>
            <w:tcW w:w="1333" w:type="dxa"/>
            <w:tcBorders>
              <w:top w:val="nil"/>
              <w:left w:val="nil"/>
              <w:bottom w:val="nil"/>
              <w:right w:val="nil"/>
            </w:tcBorders>
            <w:shd w:val="clear" w:color="000000" w:fill="FFFFFF"/>
          </w:tcPr>
          <w:p w14:paraId="6021E1E3" w14:textId="77777777" w:rsidR="00E04C6D" w:rsidRPr="00503F5B" w:rsidRDefault="00E04C6D" w:rsidP="00E04C6D">
            <w:pPr>
              <w:jc w:val="right"/>
              <w:rPr>
                <w:b/>
                <w:bCs/>
                <w:sz w:val="20"/>
                <w:szCs w:val="20"/>
              </w:rPr>
            </w:pPr>
            <w:r w:rsidRPr="00503F5B">
              <w:rPr>
                <w:sz w:val="20"/>
                <w:szCs w:val="20"/>
              </w:rPr>
              <w:t>$65,492,167</w:t>
            </w:r>
          </w:p>
        </w:tc>
        <w:tc>
          <w:tcPr>
            <w:tcW w:w="1333" w:type="dxa"/>
            <w:tcBorders>
              <w:top w:val="nil"/>
              <w:left w:val="nil"/>
              <w:bottom w:val="nil"/>
              <w:right w:val="nil"/>
            </w:tcBorders>
            <w:shd w:val="clear" w:color="000000" w:fill="FFFFFF"/>
          </w:tcPr>
          <w:p w14:paraId="0EE3AA85" w14:textId="77777777" w:rsidR="00E04C6D" w:rsidRPr="00503F5B" w:rsidRDefault="00E04C6D" w:rsidP="00E04C6D">
            <w:pPr>
              <w:jc w:val="right"/>
              <w:rPr>
                <w:b/>
                <w:bCs/>
                <w:sz w:val="20"/>
                <w:szCs w:val="20"/>
              </w:rPr>
            </w:pPr>
            <w:r w:rsidRPr="00503F5B">
              <w:rPr>
                <w:sz w:val="20"/>
                <w:szCs w:val="20"/>
              </w:rPr>
              <w:t>$49,768,664</w:t>
            </w:r>
          </w:p>
        </w:tc>
      </w:tr>
      <w:tr w:rsidR="00E04C6D" w:rsidRPr="00503F5B" w14:paraId="0EE8EE8D" w14:textId="77777777" w:rsidTr="004C4B5A">
        <w:trPr>
          <w:trHeight w:val="50"/>
          <w:jc w:val="center"/>
        </w:trPr>
        <w:tc>
          <w:tcPr>
            <w:tcW w:w="1418" w:type="dxa"/>
            <w:tcBorders>
              <w:top w:val="nil"/>
              <w:left w:val="nil"/>
              <w:bottom w:val="nil"/>
              <w:right w:val="nil"/>
            </w:tcBorders>
            <w:shd w:val="clear" w:color="000000" w:fill="FFFFFF"/>
            <w:noWrap/>
            <w:hideMark/>
          </w:tcPr>
          <w:p w14:paraId="673A0AEB"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2027-28</w:t>
            </w:r>
          </w:p>
        </w:tc>
        <w:tc>
          <w:tcPr>
            <w:tcW w:w="1416" w:type="dxa"/>
            <w:tcBorders>
              <w:top w:val="nil"/>
              <w:left w:val="nil"/>
              <w:bottom w:val="nil"/>
              <w:right w:val="nil"/>
            </w:tcBorders>
            <w:shd w:val="clear" w:color="000000" w:fill="FFFFFF"/>
            <w:noWrap/>
            <w:hideMark/>
          </w:tcPr>
          <w:p w14:paraId="38C1CD49"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25,650 </w:t>
            </w:r>
          </w:p>
        </w:tc>
        <w:tc>
          <w:tcPr>
            <w:tcW w:w="1537" w:type="dxa"/>
            <w:tcBorders>
              <w:top w:val="nil"/>
              <w:left w:val="nil"/>
              <w:bottom w:val="nil"/>
              <w:right w:val="nil"/>
            </w:tcBorders>
            <w:shd w:val="clear" w:color="000000" w:fill="FFFFFF"/>
            <w:noWrap/>
            <w:hideMark/>
          </w:tcPr>
          <w:p w14:paraId="7DED4348"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1,251 </w:t>
            </w:r>
          </w:p>
        </w:tc>
        <w:tc>
          <w:tcPr>
            <w:tcW w:w="1276" w:type="dxa"/>
            <w:tcBorders>
              <w:top w:val="nil"/>
              <w:left w:val="nil"/>
              <w:bottom w:val="nil"/>
              <w:right w:val="nil"/>
            </w:tcBorders>
            <w:shd w:val="clear" w:color="000000" w:fill="FFFFFF"/>
            <w:noWrap/>
            <w:hideMark/>
          </w:tcPr>
          <w:p w14:paraId="123B123A"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26,901 </w:t>
            </w:r>
          </w:p>
        </w:tc>
        <w:tc>
          <w:tcPr>
            <w:tcW w:w="941" w:type="dxa"/>
            <w:tcBorders>
              <w:top w:val="nil"/>
              <w:left w:val="nil"/>
              <w:bottom w:val="nil"/>
              <w:right w:val="nil"/>
            </w:tcBorders>
            <w:shd w:val="clear" w:color="auto" w:fill="FBE4D5" w:themeFill="accent2" w:themeFillTint="33"/>
          </w:tcPr>
          <w:p w14:paraId="7F36F24A" w14:textId="77777777" w:rsidR="00E04C6D" w:rsidRPr="00503F5B" w:rsidRDefault="00E04C6D" w:rsidP="00E04C6D">
            <w:pPr>
              <w:jc w:val="right"/>
              <w:rPr>
                <w:b/>
                <w:bCs/>
                <w:sz w:val="20"/>
                <w:szCs w:val="20"/>
              </w:rPr>
            </w:pPr>
            <w:r w:rsidRPr="00503F5B">
              <w:rPr>
                <w:sz w:val="20"/>
                <w:szCs w:val="20"/>
              </w:rPr>
              <w:t>$2,510</w:t>
            </w:r>
          </w:p>
        </w:tc>
        <w:tc>
          <w:tcPr>
            <w:tcW w:w="1333" w:type="dxa"/>
            <w:tcBorders>
              <w:top w:val="nil"/>
              <w:left w:val="nil"/>
              <w:bottom w:val="nil"/>
              <w:right w:val="nil"/>
            </w:tcBorders>
            <w:shd w:val="clear" w:color="000000" w:fill="FFFFFF"/>
          </w:tcPr>
          <w:p w14:paraId="79F9FC10" w14:textId="77777777" w:rsidR="00E04C6D" w:rsidRPr="00503F5B" w:rsidRDefault="00E04C6D" w:rsidP="00E04C6D">
            <w:pPr>
              <w:jc w:val="right"/>
              <w:rPr>
                <w:b/>
                <w:bCs/>
                <w:sz w:val="20"/>
                <w:szCs w:val="20"/>
              </w:rPr>
            </w:pPr>
            <w:r w:rsidRPr="00503F5B">
              <w:rPr>
                <w:sz w:val="20"/>
                <w:szCs w:val="20"/>
              </w:rPr>
              <w:t>$67,528,181</w:t>
            </w:r>
          </w:p>
        </w:tc>
        <w:tc>
          <w:tcPr>
            <w:tcW w:w="1333" w:type="dxa"/>
            <w:tcBorders>
              <w:top w:val="nil"/>
              <w:left w:val="nil"/>
              <w:bottom w:val="nil"/>
              <w:right w:val="nil"/>
            </w:tcBorders>
            <w:shd w:val="clear" w:color="000000" w:fill="FFFFFF"/>
          </w:tcPr>
          <w:p w14:paraId="0647E355" w14:textId="77777777" w:rsidR="00E04C6D" w:rsidRPr="00503F5B" w:rsidRDefault="00E04C6D" w:rsidP="00E04C6D">
            <w:pPr>
              <w:jc w:val="right"/>
              <w:rPr>
                <w:b/>
                <w:bCs/>
                <w:sz w:val="20"/>
                <w:szCs w:val="20"/>
              </w:rPr>
            </w:pPr>
            <w:r w:rsidRPr="00503F5B">
              <w:rPr>
                <w:sz w:val="20"/>
                <w:szCs w:val="20"/>
              </w:rPr>
              <w:t>$49,342,180</w:t>
            </w:r>
          </w:p>
        </w:tc>
      </w:tr>
      <w:tr w:rsidR="00E04C6D" w:rsidRPr="00503F5B" w14:paraId="6832393F" w14:textId="77777777" w:rsidTr="004C4B5A">
        <w:trPr>
          <w:trHeight w:val="50"/>
          <w:jc w:val="center"/>
        </w:trPr>
        <w:tc>
          <w:tcPr>
            <w:tcW w:w="1418" w:type="dxa"/>
            <w:tcBorders>
              <w:top w:val="nil"/>
              <w:left w:val="nil"/>
              <w:bottom w:val="nil"/>
              <w:right w:val="nil"/>
            </w:tcBorders>
            <w:shd w:val="clear" w:color="000000" w:fill="FFFFFF"/>
            <w:noWrap/>
            <w:hideMark/>
          </w:tcPr>
          <w:p w14:paraId="19145351"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2028-29</w:t>
            </w:r>
          </w:p>
        </w:tc>
        <w:tc>
          <w:tcPr>
            <w:tcW w:w="1416" w:type="dxa"/>
            <w:tcBorders>
              <w:top w:val="nil"/>
              <w:left w:val="nil"/>
              <w:bottom w:val="nil"/>
              <w:right w:val="nil"/>
            </w:tcBorders>
            <w:shd w:val="clear" w:color="000000" w:fill="FFFFFF"/>
            <w:noWrap/>
            <w:hideMark/>
          </w:tcPr>
          <w:p w14:paraId="3BCD17D4"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26,686 </w:t>
            </w:r>
          </w:p>
        </w:tc>
        <w:tc>
          <w:tcPr>
            <w:tcW w:w="1537" w:type="dxa"/>
            <w:tcBorders>
              <w:top w:val="nil"/>
              <w:left w:val="nil"/>
              <w:bottom w:val="nil"/>
              <w:right w:val="nil"/>
            </w:tcBorders>
            <w:shd w:val="clear" w:color="000000" w:fill="FFFFFF"/>
            <w:noWrap/>
            <w:hideMark/>
          </w:tcPr>
          <w:p w14:paraId="4617EBD8"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1,090 </w:t>
            </w:r>
          </w:p>
        </w:tc>
        <w:tc>
          <w:tcPr>
            <w:tcW w:w="1276" w:type="dxa"/>
            <w:tcBorders>
              <w:top w:val="nil"/>
              <w:left w:val="nil"/>
              <w:bottom w:val="nil"/>
              <w:right w:val="nil"/>
            </w:tcBorders>
            <w:shd w:val="clear" w:color="000000" w:fill="FFFFFF"/>
            <w:noWrap/>
            <w:hideMark/>
          </w:tcPr>
          <w:p w14:paraId="1EBF906B"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27,776 </w:t>
            </w:r>
          </w:p>
        </w:tc>
        <w:tc>
          <w:tcPr>
            <w:tcW w:w="941" w:type="dxa"/>
            <w:tcBorders>
              <w:top w:val="nil"/>
              <w:left w:val="nil"/>
              <w:bottom w:val="nil"/>
              <w:right w:val="nil"/>
            </w:tcBorders>
            <w:shd w:val="clear" w:color="auto" w:fill="FBE4D5" w:themeFill="accent2" w:themeFillTint="33"/>
          </w:tcPr>
          <w:p w14:paraId="36140F45" w14:textId="77777777" w:rsidR="00E04C6D" w:rsidRPr="00503F5B" w:rsidRDefault="00E04C6D" w:rsidP="00E04C6D">
            <w:pPr>
              <w:jc w:val="right"/>
              <w:rPr>
                <w:b/>
                <w:bCs/>
                <w:sz w:val="20"/>
                <w:szCs w:val="20"/>
              </w:rPr>
            </w:pPr>
            <w:r w:rsidRPr="00503F5B">
              <w:rPr>
                <w:sz w:val="20"/>
                <w:szCs w:val="20"/>
              </w:rPr>
              <w:t>$2,510</w:t>
            </w:r>
          </w:p>
        </w:tc>
        <w:tc>
          <w:tcPr>
            <w:tcW w:w="1333" w:type="dxa"/>
            <w:tcBorders>
              <w:top w:val="nil"/>
              <w:left w:val="nil"/>
              <w:bottom w:val="nil"/>
              <w:right w:val="nil"/>
            </w:tcBorders>
            <w:shd w:val="clear" w:color="000000" w:fill="FFFFFF"/>
          </w:tcPr>
          <w:p w14:paraId="3A9A9EF6" w14:textId="77777777" w:rsidR="00E04C6D" w:rsidRPr="00503F5B" w:rsidRDefault="00E04C6D" w:rsidP="00E04C6D">
            <w:pPr>
              <w:jc w:val="right"/>
              <w:rPr>
                <w:b/>
                <w:bCs/>
                <w:sz w:val="20"/>
                <w:szCs w:val="20"/>
              </w:rPr>
            </w:pPr>
            <w:r w:rsidRPr="00503F5B">
              <w:rPr>
                <w:sz w:val="20"/>
                <w:szCs w:val="20"/>
              </w:rPr>
              <w:t>$69,724,849</w:t>
            </w:r>
          </w:p>
        </w:tc>
        <w:tc>
          <w:tcPr>
            <w:tcW w:w="1333" w:type="dxa"/>
            <w:tcBorders>
              <w:top w:val="nil"/>
              <w:left w:val="nil"/>
              <w:bottom w:val="nil"/>
              <w:right w:val="nil"/>
            </w:tcBorders>
            <w:shd w:val="clear" w:color="000000" w:fill="FFFFFF"/>
          </w:tcPr>
          <w:p w14:paraId="58D1157D" w14:textId="77777777" w:rsidR="00E04C6D" w:rsidRPr="00503F5B" w:rsidRDefault="00E04C6D" w:rsidP="00E04C6D">
            <w:pPr>
              <w:jc w:val="right"/>
              <w:rPr>
                <w:b/>
                <w:bCs/>
                <w:sz w:val="20"/>
                <w:szCs w:val="20"/>
              </w:rPr>
            </w:pPr>
            <w:r w:rsidRPr="00503F5B">
              <w:rPr>
                <w:sz w:val="20"/>
                <w:szCs w:val="20"/>
              </w:rPr>
              <w:t>$48,987,754</w:t>
            </w:r>
          </w:p>
        </w:tc>
      </w:tr>
      <w:tr w:rsidR="00E04C6D" w:rsidRPr="00503F5B" w14:paraId="3E28CA96" w14:textId="77777777" w:rsidTr="004C4B5A">
        <w:trPr>
          <w:trHeight w:val="50"/>
          <w:jc w:val="center"/>
        </w:trPr>
        <w:tc>
          <w:tcPr>
            <w:tcW w:w="1418" w:type="dxa"/>
            <w:tcBorders>
              <w:top w:val="nil"/>
              <w:left w:val="nil"/>
              <w:bottom w:val="single" w:sz="4" w:space="0" w:color="ED7C5D"/>
              <w:right w:val="nil"/>
            </w:tcBorders>
            <w:shd w:val="clear" w:color="000000" w:fill="FFFFFF"/>
            <w:noWrap/>
            <w:hideMark/>
          </w:tcPr>
          <w:p w14:paraId="69CB01BF" w14:textId="77777777" w:rsidR="00E04C6D" w:rsidRPr="00503F5B" w:rsidRDefault="00E04C6D" w:rsidP="00E04C6D">
            <w:pPr>
              <w:rPr>
                <w:rFonts w:eastAsia="Times New Roman" w:cs="Calibri"/>
                <w:sz w:val="20"/>
                <w:szCs w:val="20"/>
                <w:lang w:eastAsia="en-AU"/>
              </w:rPr>
            </w:pPr>
            <w:r w:rsidRPr="00503F5B">
              <w:rPr>
                <w:rFonts w:eastAsia="Times New Roman" w:cs="Calibri"/>
                <w:sz w:val="20"/>
                <w:szCs w:val="20"/>
                <w:lang w:eastAsia="en-AU"/>
              </w:rPr>
              <w:t>2029-30</w:t>
            </w:r>
          </w:p>
        </w:tc>
        <w:tc>
          <w:tcPr>
            <w:tcW w:w="1416" w:type="dxa"/>
            <w:tcBorders>
              <w:top w:val="nil"/>
              <w:left w:val="nil"/>
              <w:bottom w:val="single" w:sz="4" w:space="0" w:color="ED7C5D"/>
              <w:right w:val="nil"/>
            </w:tcBorders>
            <w:shd w:val="clear" w:color="000000" w:fill="FFFFFF"/>
            <w:noWrap/>
            <w:hideMark/>
          </w:tcPr>
          <w:p w14:paraId="2C0EF0C0"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27,764 </w:t>
            </w:r>
          </w:p>
        </w:tc>
        <w:tc>
          <w:tcPr>
            <w:tcW w:w="1537" w:type="dxa"/>
            <w:tcBorders>
              <w:top w:val="nil"/>
              <w:left w:val="nil"/>
              <w:bottom w:val="single" w:sz="4" w:space="0" w:color="ED7C5D"/>
              <w:right w:val="nil"/>
            </w:tcBorders>
            <w:shd w:val="clear" w:color="000000" w:fill="FFFFFF"/>
            <w:noWrap/>
            <w:hideMark/>
          </w:tcPr>
          <w:p w14:paraId="5436D2F6"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950 </w:t>
            </w:r>
          </w:p>
        </w:tc>
        <w:tc>
          <w:tcPr>
            <w:tcW w:w="1276" w:type="dxa"/>
            <w:tcBorders>
              <w:top w:val="nil"/>
              <w:left w:val="nil"/>
              <w:bottom w:val="single" w:sz="4" w:space="0" w:color="ED7C5D"/>
              <w:right w:val="nil"/>
            </w:tcBorders>
            <w:shd w:val="clear" w:color="000000" w:fill="FFFFFF"/>
            <w:noWrap/>
            <w:hideMark/>
          </w:tcPr>
          <w:p w14:paraId="5647FFB5" w14:textId="77777777" w:rsidR="00E04C6D" w:rsidRPr="00503F5B" w:rsidRDefault="00E04C6D" w:rsidP="00E04C6D">
            <w:pPr>
              <w:jc w:val="right"/>
              <w:rPr>
                <w:rFonts w:eastAsia="Times New Roman" w:cs="Calibri"/>
                <w:sz w:val="20"/>
                <w:szCs w:val="20"/>
                <w:lang w:eastAsia="en-AU"/>
              </w:rPr>
            </w:pPr>
            <w:r w:rsidRPr="00503F5B">
              <w:rPr>
                <w:sz w:val="20"/>
                <w:szCs w:val="20"/>
              </w:rPr>
              <w:t xml:space="preserve"> 28,713 </w:t>
            </w:r>
          </w:p>
        </w:tc>
        <w:tc>
          <w:tcPr>
            <w:tcW w:w="941" w:type="dxa"/>
            <w:tcBorders>
              <w:top w:val="nil"/>
              <w:left w:val="nil"/>
              <w:bottom w:val="single" w:sz="4" w:space="0" w:color="ED7C5D"/>
              <w:right w:val="nil"/>
            </w:tcBorders>
            <w:shd w:val="clear" w:color="auto" w:fill="FBE4D5" w:themeFill="accent2" w:themeFillTint="33"/>
          </w:tcPr>
          <w:p w14:paraId="2329A284" w14:textId="77777777" w:rsidR="00E04C6D" w:rsidRPr="00503F5B" w:rsidRDefault="00E04C6D" w:rsidP="00E04C6D">
            <w:pPr>
              <w:jc w:val="right"/>
              <w:rPr>
                <w:b/>
                <w:bCs/>
                <w:sz w:val="20"/>
                <w:szCs w:val="20"/>
              </w:rPr>
            </w:pPr>
            <w:r w:rsidRPr="00503F5B">
              <w:rPr>
                <w:sz w:val="20"/>
                <w:szCs w:val="20"/>
              </w:rPr>
              <w:t>$2,510</w:t>
            </w:r>
          </w:p>
        </w:tc>
        <w:tc>
          <w:tcPr>
            <w:tcW w:w="1333" w:type="dxa"/>
            <w:tcBorders>
              <w:top w:val="nil"/>
              <w:left w:val="nil"/>
              <w:bottom w:val="single" w:sz="4" w:space="0" w:color="ED7C5D"/>
              <w:right w:val="nil"/>
            </w:tcBorders>
            <w:shd w:val="clear" w:color="000000" w:fill="FFFFFF"/>
          </w:tcPr>
          <w:p w14:paraId="0F4C5AAD" w14:textId="77777777" w:rsidR="00E04C6D" w:rsidRPr="00503F5B" w:rsidRDefault="00E04C6D" w:rsidP="00E04C6D">
            <w:pPr>
              <w:jc w:val="right"/>
              <w:rPr>
                <w:b/>
                <w:bCs/>
                <w:sz w:val="20"/>
                <w:szCs w:val="20"/>
              </w:rPr>
            </w:pPr>
            <w:r w:rsidRPr="00503F5B">
              <w:rPr>
                <w:sz w:val="20"/>
                <w:szCs w:val="20"/>
              </w:rPr>
              <w:t>$72,078,569</w:t>
            </w:r>
          </w:p>
        </w:tc>
        <w:tc>
          <w:tcPr>
            <w:tcW w:w="1333" w:type="dxa"/>
            <w:tcBorders>
              <w:top w:val="nil"/>
              <w:left w:val="nil"/>
              <w:bottom w:val="single" w:sz="4" w:space="0" w:color="ED7C5D"/>
              <w:right w:val="nil"/>
            </w:tcBorders>
            <w:shd w:val="clear" w:color="000000" w:fill="FFFFFF"/>
          </w:tcPr>
          <w:p w14:paraId="7F3F6594" w14:textId="77777777" w:rsidR="00E04C6D" w:rsidRPr="00503F5B" w:rsidRDefault="00E04C6D" w:rsidP="00E04C6D">
            <w:pPr>
              <w:jc w:val="right"/>
              <w:rPr>
                <w:b/>
                <w:bCs/>
                <w:sz w:val="20"/>
                <w:szCs w:val="20"/>
              </w:rPr>
            </w:pPr>
            <w:r w:rsidRPr="00503F5B">
              <w:rPr>
                <w:sz w:val="20"/>
                <w:szCs w:val="20"/>
              </w:rPr>
              <w:t>$48,693,699</w:t>
            </w:r>
          </w:p>
        </w:tc>
      </w:tr>
      <w:tr w:rsidR="00E04C6D" w:rsidRPr="00503F5B" w14:paraId="7673C261" w14:textId="77777777" w:rsidTr="004C4B5A">
        <w:trPr>
          <w:trHeight w:val="40"/>
          <w:jc w:val="center"/>
        </w:trPr>
        <w:tc>
          <w:tcPr>
            <w:tcW w:w="1418" w:type="dxa"/>
            <w:tcBorders>
              <w:top w:val="single" w:sz="4" w:space="0" w:color="ED7C5D"/>
              <w:left w:val="nil"/>
              <w:bottom w:val="single" w:sz="4" w:space="0" w:color="ED7C5D"/>
            </w:tcBorders>
            <w:shd w:val="clear" w:color="000000" w:fill="FFFFFF"/>
            <w:noWrap/>
            <w:hideMark/>
          </w:tcPr>
          <w:p w14:paraId="3DF0C505" w14:textId="1F595B5C" w:rsidR="00E04C6D" w:rsidRPr="00503F5B" w:rsidRDefault="00E04C6D" w:rsidP="00E04C6D">
            <w:pPr>
              <w:rPr>
                <w:rFonts w:eastAsia="Times New Roman" w:cs="Calibri"/>
                <w:b/>
                <w:bCs/>
                <w:i/>
                <w:iCs/>
                <w:sz w:val="20"/>
                <w:szCs w:val="20"/>
                <w:lang w:eastAsia="en-AU"/>
              </w:rPr>
            </w:pPr>
            <w:r w:rsidRPr="00503F5B">
              <w:rPr>
                <w:b/>
                <w:bCs/>
                <w:sz w:val="20"/>
                <w:szCs w:val="20"/>
              </w:rPr>
              <w:t>Total</w:t>
            </w:r>
            <w:r w:rsidR="004C4B5A" w:rsidRPr="00503F5B">
              <w:rPr>
                <w:b/>
                <w:bCs/>
                <w:sz w:val="20"/>
                <w:szCs w:val="20"/>
              </w:rPr>
              <w:t xml:space="preserve"> 10 year (2020-21 to 2029-30))</w:t>
            </w:r>
          </w:p>
        </w:tc>
        <w:tc>
          <w:tcPr>
            <w:tcW w:w="1416" w:type="dxa"/>
            <w:tcBorders>
              <w:top w:val="single" w:sz="4" w:space="0" w:color="ED7C5D"/>
              <w:left w:val="nil"/>
              <w:bottom w:val="single" w:sz="4" w:space="0" w:color="ED7C5D"/>
              <w:right w:val="nil"/>
            </w:tcBorders>
            <w:shd w:val="clear" w:color="000000" w:fill="FFFFFF"/>
            <w:noWrap/>
            <w:hideMark/>
          </w:tcPr>
          <w:p w14:paraId="58C31334" w14:textId="77777777" w:rsidR="00E04C6D" w:rsidRPr="00503F5B" w:rsidRDefault="00E04C6D" w:rsidP="00E04C6D">
            <w:pPr>
              <w:jc w:val="right"/>
              <w:rPr>
                <w:rFonts w:eastAsia="Times New Roman" w:cs="Calibri"/>
                <w:b/>
                <w:bCs/>
                <w:i/>
                <w:iCs/>
                <w:sz w:val="20"/>
                <w:szCs w:val="20"/>
                <w:lang w:eastAsia="en-AU"/>
              </w:rPr>
            </w:pPr>
            <w:r w:rsidRPr="00503F5B">
              <w:rPr>
                <w:sz w:val="20"/>
                <w:szCs w:val="20"/>
              </w:rPr>
              <w:t xml:space="preserve"> 233,827 </w:t>
            </w:r>
          </w:p>
        </w:tc>
        <w:tc>
          <w:tcPr>
            <w:tcW w:w="1537" w:type="dxa"/>
            <w:tcBorders>
              <w:top w:val="single" w:sz="4" w:space="0" w:color="ED7C5D"/>
              <w:left w:val="nil"/>
              <w:bottom w:val="single" w:sz="4" w:space="0" w:color="ED7C5D"/>
              <w:right w:val="nil"/>
            </w:tcBorders>
            <w:shd w:val="clear" w:color="000000" w:fill="FFFFFF"/>
            <w:noWrap/>
            <w:hideMark/>
          </w:tcPr>
          <w:p w14:paraId="4EC4892E" w14:textId="77777777" w:rsidR="00E04C6D" w:rsidRPr="00503F5B" w:rsidRDefault="00E04C6D" w:rsidP="00E04C6D">
            <w:pPr>
              <w:jc w:val="right"/>
              <w:rPr>
                <w:rFonts w:eastAsia="Times New Roman" w:cs="Calibri"/>
                <w:b/>
                <w:bCs/>
                <w:i/>
                <w:iCs/>
                <w:sz w:val="20"/>
                <w:szCs w:val="20"/>
                <w:lang w:eastAsia="en-AU"/>
              </w:rPr>
            </w:pPr>
            <w:r w:rsidRPr="00503F5B">
              <w:rPr>
                <w:sz w:val="20"/>
                <w:szCs w:val="20"/>
              </w:rPr>
              <w:t xml:space="preserve"> 19,065 </w:t>
            </w:r>
          </w:p>
        </w:tc>
        <w:tc>
          <w:tcPr>
            <w:tcW w:w="1276" w:type="dxa"/>
            <w:tcBorders>
              <w:top w:val="single" w:sz="4" w:space="0" w:color="ED7C5D"/>
              <w:left w:val="nil"/>
              <w:bottom w:val="single" w:sz="4" w:space="0" w:color="ED7C5D"/>
              <w:right w:val="nil"/>
            </w:tcBorders>
            <w:shd w:val="clear" w:color="000000" w:fill="FFFFFF"/>
            <w:noWrap/>
            <w:hideMark/>
          </w:tcPr>
          <w:p w14:paraId="64CF9B00" w14:textId="77777777" w:rsidR="00E04C6D" w:rsidRPr="00503F5B" w:rsidRDefault="00E04C6D" w:rsidP="00E04C6D">
            <w:pPr>
              <w:jc w:val="right"/>
              <w:rPr>
                <w:rFonts w:eastAsia="Times New Roman" w:cs="Calibri"/>
                <w:b/>
                <w:bCs/>
                <w:i/>
                <w:iCs/>
                <w:sz w:val="20"/>
                <w:szCs w:val="20"/>
                <w:lang w:eastAsia="en-AU"/>
              </w:rPr>
            </w:pPr>
            <w:r w:rsidRPr="00503F5B">
              <w:rPr>
                <w:sz w:val="20"/>
                <w:szCs w:val="20"/>
              </w:rPr>
              <w:t xml:space="preserve"> </w:t>
            </w:r>
            <w:r w:rsidRPr="00503F5B">
              <w:rPr>
                <w:b/>
                <w:bCs/>
                <w:i/>
                <w:iCs/>
                <w:sz w:val="20"/>
                <w:szCs w:val="20"/>
              </w:rPr>
              <w:t xml:space="preserve">252,892 </w:t>
            </w:r>
          </w:p>
        </w:tc>
        <w:tc>
          <w:tcPr>
            <w:tcW w:w="941" w:type="dxa"/>
            <w:tcBorders>
              <w:top w:val="single" w:sz="4" w:space="0" w:color="ED7C5D"/>
              <w:left w:val="nil"/>
              <w:bottom w:val="single" w:sz="4" w:space="0" w:color="ED7C5D"/>
              <w:right w:val="nil"/>
            </w:tcBorders>
            <w:shd w:val="clear" w:color="000000" w:fill="FFFFFF"/>
          </w:tcPr>
          <w:p w14:paraId="0B7A416B" w14:textId="77777777" w:rsidR="00E04C6D" w:rsidRPr="00503F5B" w:rsidRDefault="00E04C6D" w:rsidP="00E04C6D">
            <w:pPr>
              <w:jc w:val="right"/>
              <w:rPr>
                <w:sz w:val="20"/>
                <w:szCs w:val="20"/>
              </w:rPr>
            </w:pPr>
          </w:p>
        </w:tc>
        <w:tc>
          <w:tcPr>
            <w:tcW w:w="1333" w:type="dxa"/>
            <w:tcBorders>
              <w:top w:val="single" w:sz="4" w:space="0" w:color="ED7C5D"/>
              <w:left w:val="nil"/>
              <w:bottom w:val="single" w:sz="4" w:space="0" w:color="ED7C5D"/>
              <w:right w:val="nil"/>
            </w:tcBorders>
            <w:shd w:val="clear" w:color="000000" w:fill="FFFFFF"/>
          </w:tcPr>
          <w:p w14:paraId="6C2C675B" w14:textId="77777777" w:rsidR="00E04C6D" w:rsidRPr="00503F5B" w:rsidRDefault="00E04C6D" w:rsidP="00E04C6D">
            <w:pPr>
              <w:jc w:val="right"/>
              <w:rPr>
                <w:b/>
                <w:bCs/>
                <w:i/>
                <w:iCs/>
                <w:sz w:val="20"/>
                <w:szCs w:val="20"/>
              </w:rPr>
            </w:pPr>
            <w:r w:rsidRPr="00503F5B">
              <w:rPr>
                <w:b/>
                <w:bCs/>
                <w:i/>
                <w:iCs/>
                <w:sz w:val="20"/>
                <w:szCs w:val="20"/>
              </w:rPr>
              <w:t>$634,833,808</w:t>
            </w:r>
          </w:p>
        </w:tc>
        <w:tc>
          <w:tcPr>
            <w:tcW w:w="1333" w:type="dxa"/>
            <w:tcBorders>
              <w:top w:val="single" w:sz="4" w:space="0" w:color="ED7C5D"/>
              <w:left w:val="nil"/>
              <w:bottom w:val="single" w:sz="4" w:space="0" w:color="ED7C5D"/>
              <w:right w:val="nil"/>
            </w:tcBorders>
            <w:shd w:val="clear" w:color="000000" w:fill="FFFFFF"/>
          </w:tcPr>
          <w:p w14:paraId="7E8604D1" w14:textId="77777777" w:rsidR="00E04C6D" w:rsidRPr="00503F5B" w:rsidRDefault="00E04C6D" w:rsidP="00E04C6D">
            <w:pPr>
              <w:jc w:val="right"/>
              <w:rPr>
                <w:b/>
                <w:bCs/>
                <w:i/>
                <w:iCs/>
                <w:sz w:val="20"/>
                <w:szCs w:val="20"/>
              </w:rPr>
            </w:pPr>
            <w:r w:rsidRPr="00503F5B">
              <w:rPr>
                <w:b/>
                <w:bCs/>
                <w:i/>
                <w:iCs/>
                <w:sz w:val="20"/>
                <w:szCs w:val="20"/>
              </w:rPr>
              <w:t>$510,541,325</w:t>
            </w:r>
          </w:p>
        </w:tc>
      </w:tr>
    </w:tbl>
    <w:p w14:paraId="51F4F833" w14:textId="77777777" w:rsidR="00E04C6D" w:rsidRPr="00503F5B" w:rsidRDefault="00E04C6D" w:rsidP="00E04C6D">
      <w:pPr>
        <w:jc w:val="both"/>
      </w:pPr>
    </w:p>
    <w:p w14:paraId="3DE2AB32" w14:textId="77777777" w:rsidR="00E04C6D" w:rsidRPr="00503F5B" w:rsidRDefault="00E04C6D" w:rsidP="00E04C6D">
      <w:pPr>
        <w:jc w:val="both"/>
      </w:pPr>
      <w:r w:rsidRPr="00503F5B">
        <w:t xml:space="preserve">Whilst $2,510.29 represents the full weighted quarterly hour cost recovery fee it is important to note that not all attendances are charged for as is the case where a ‘reasonable excuse’ is determined.  Consequently, revenue generated under Option 1 in 2020-21 (where the full cost recovery fee applies for </w:t>
      </w:r>
      <w:r w:rsidRPr="00503F5B">
        <w:rPr>
          <w:i/>
        </w:rPr>
        <w:t>the entire year</w:t>
      </w:r>
      <w:r w:rsidRPr="00503F5B">
        <w:t>) covers 46.09%</w:t>
      </w:r>
      <w:r w:rsidRPr="00503F5B">
        <w:rPr>
          <w:rStyle w:val="FootnoteReference"/>
        </w:rPr>
        <w:footnoteReference w:id="203"/>
      </w:r>
      <w:r w:rsidRPr="00503F5B">
        <w:t xml:space="preserve"> of all costs of emergency attendance for false alarms as estimated for 2018-19 across MFB and CFA integrated stations.</w:t>
      </w:r>
    </w:p>
    <w:p w14:paraId="3BCE81DE" w14:textId="77777777" w:rsidR="00E04C6D" w:rsidRPr="00503F5B" w:rsidRDefault="00E04C6D" w:rsidP="00E04C6D">
      <w:pPr>
        <w:jc w:val="both"/>
      </w:pPr>
    </w:p>
    <w:p w14:paraId="00DD3B07" w14:textId="77777777" w:rsidR="001656BA" w:rsidRPr="00503F5B" w:rsidRDefault="001656BA" w:rsidP="00517C6D">
      <w:bookmarkStart w:id="316" w:name="_Toc457772571"/>
      <w:r w:rsidRPr="00503F5B">
        <w:br w:type="page"/>
      </w:r>
    </w:p>
    <w:p w14:paraId="4738454E" w14:textId="42F81CB6" w:rsidR="009320DE" w:rsidRPr="00503F5B" w:rsidRDefault="00E04C6D" w:rsidP="00E04C6D">
      <w:pPr>
        <w:pStyle w:val="Heading2"/>
      </w:pPr>
      <w:bookmarkStart w:id="317" w:name="_Toc35804181"/>
      <w:bookmarkStart w:id="318" w:name="_Toc35804675"/>
      <w:bookmarkStart w:id="319" w:name="_Toc35812719"/>
      <w:r w:rsidRPr="00503F5B">
        <w:lastRenderedPageBreak/>
        <w:t xml:space="preserve">A3.3 </w:t>
      </w:r>
      <w:r w:rsidR="00AC1BFF" w:rsidRPr="00503F5B">
        <w:rPr>
          <w:b/>
          <w:bCs/>
        </w:rPr>
        <w:t>Option 2</w:t>
      </w:r>
      <w:r w:rsidR="00AC1BFF" w:rsidRPr="00503F5B">
        <w:t xml:space="preserve"> - Partial cost recovery of emergency attendance of false alarms per quarterly hour by FRV based on current fee</w:t>
      </w:r>
      <w:bookmarkEnd w:id="317"/>
      <w:bookmarkEnd w:id="318"/>
      <w:bookmarkEnd w:id="319"/>
      <w:r w:rsidR="005E5BE3" w:rsidRPr="00503F5B">
        <w:t xml:space="preserve"> units – </w:t>
      </w:r>
      <w:r w:rsidR="005E5BE3" w:rsidRPr="00503F5B">
        <w:rPr>
          <w:i/>
          <w:iCs/>
        </w:rPr>
        <w:t>the proposed option</w:t>
      </w:r>
    </w:p>
    <w:p w14:paraId="188AD2A0" w14:textId="77777777" w:rsidR="009B61CC" w:rsidRPr="00503F5B" w:rsidRDefault="009B61CC" w:rsidP="00F94B17">
      <w:pPr>
        <w:pStyle w:val="Heading3"/>
      </w:pPr>
      <w:bookmarkStart w:id="320" w:name="_Toc35804182"/>
      <w:bookmarkStart w:id="321" w:name="_Toc35804676"/>
      <w:bookmarkStart w:id="322" w:name="_Toc35812720"/>
      <w:r w:rsidRPr="00503F5B">
        <w:t>A3.3.1 Option 2 fee</w:t>
      </w:r>
      <w:bookmarkEnd w:id="320"/>
      <w:bookmarkEnd w:id="321"/>
      <w:bookmarkEnd w:id="322"/>
    </w:p>
    <w:p w14:paraId="20BEF13C" w14:textId="77777777" w:rsidR="009B61CC" w:rsidRPr="00503F5B" w:rsidRDefault="009B61CC" w:rsidP="009B61CC">
      <w:pPr>
        <w:jc w:val="both"/>
      </w:pPr>
    </w:p>
    <w:p w14:paraId="778CBAE2" w14:textId="762C2C94" w:rsidR="009B61CC" w:rsidRPr="00503F5B" w:rsidRDefault="009B61CC" w:rsidP="009B61CC">
      <w:pPr>
        <w:jc w:val="both"/>
      </w:pPr>
      <w:r w:rsidRPr="00503F5B">
        <w:t xml:space="preserve">The partial cost recovery fee is set at </w:t>
      </w:r>
      <w:r w:rsidRPr="00503F5B">
        <w:rPr>
          <w:b/>
          <w:i/>
        </w:rPr>
        <w:t>$</w:t>
      </w:r>
      <w:r w:rsidR="005E5BE3" w:rsidRPr="00503F5B">
        <w:rPr>
          <w:b/>
          <w:i/>
        </w:rPr>
        <w:t>578.48</w:t>
      </w:r>
      <w:r w:rsidRPr="00503F5B">
        <w:rPr>
          <w:b/>
          <w:i/>
        </w:rPr>
        <w:t xml:space="preserve"> per quarterly hour per appliance</w:t>
      </w:r>
      <w:r w:rsidRPr="00503F5B">
        <w:t>.  This fee represents 23.9% of the full quarterly hourly cost per appliance for emergency attendances (i.e. 23.</w:t>
      </w:r>
      <w:r w:rsidR="005E5BE3" w:rsidRPr="00503F5B">
        <w:t>04</w:t>
      </w:r>
      <w:r w:rsidRPr="00503F5B">
        <w:t>% of $2,510.29).  This fee has been set at the current 201</w:t>
      </w:r>
      <w:r w:rsidR="005E5BE3" w:rsidRPr="00503F5B">
        <w:t>9</w:t>
      </w:r>
      <w:r w:rsidRPr="00503F5B">
        <w:t>-</w:t>
      </w:r>
      <w:r w:rsidR="005E5BE3" w:rsidRPr="00503F5B">
        <w:t>20</w:t>
      </w:r>
      <w:r w:rsidRPr="00503F5B">
        <w:t xml:space="preserve"> amount of 39.06 fee units (i.e. $578.48) </w:t>
      </w:r>
      <w:r w:rsidR="008214E3" w:rsidRPr="00503F5B">
        <w:t xml:space="preserve">for </w:t>
      </w:r>
      <w:r w:rsidR="00595DFB" w:rsidRPr="00503F5B">
        <w:t>MFB</w:t>
      </w:r>
      <w:r w:rsidRPr="00503F5B">
        <w:t xml:space="preserve"> - per quarterly hour per appliance.  </w:t>
      </w:r>
      <w:r w:rsidR="005E5BE3" w:rsidRPr="00503F5B">
        <w:t xml:space="preserve"> </w:t>
      </w:r>
      <w:r w:rsidRPr="00503F5B">
        <w:t>Based on an average of 1.28 appliance hours</w:t>
      </w:r>
      <w:r w:rsidRPr="00503F5B">
        <w:rPr>
          <w:rStyle w:val="FootnoteReference"/>
        </w:rPr>
        <w:footnoteReference w:id="204"/>
      </w:r>
      <w:r w:rsidRPr="00503F5B">
        <w:t xml:space="preserve"> per false alarm attendance it is estimated that the average fee paid under Option 2 will be around $</w:t>
      </w:r>
      <w:r w:rsidR="005E5BE3" w:rsidRPr="00503F5B">
        <w:t>2,977</w:t>
      </w:r>
      <w:r w:rsidRPr="00503F5B">
        <w:t xml:space="preserve"> calculated as follows:</w:t>
      </w:r>
    </w:p>
    <w:p w14:paraId="6CEA7266" w14:textId="77777777" w:rsidR="009B61CC" w:rsidRPr="00503F5B" w:rsidRDefault="009B61CC" w:rsidP="009B61CC">
      <w:pPr>
        <w:jc w:val="both"/>
        <w:rPr>
          <w:highlight w:val="yellow"/>
        </w:rPr>
      </w:pPr>
    </w:p>
    <w:p w14:paraId="7933AE75" w14:textId="29B5D7ED" w:rsidR="009B61CC" w:rsidRPr="00503F5B" w:rsidRDefault="009B61CC" w:rsidP="009B61CC">
      <w:pPr>
        <w:jc w:val="center"/>
        <w:rPr>
          <w:sz w:val="20"/>
        </w:rPr>
      </w:pPr>
      <w:r w:rsidRPr="00503F5B">
        <w:rPr>
          <w:sz w:val="20"/>
        </w:rPr>
        <w:t>$</w:t>
      </w:r>
      <w:r w:rsidR="005E5BE3" w:rsidRPr="00503F5B">
        <w:rPr>
          <w:sz w:val="20"/>
        </w:rPr>
        <w:t>578.48</w:t>
      </w:r>
      <w:r w:rsidRPr="00503F5B">
        <w:rPr>
          <w:sz w:val="20"/>
        </w:rPr>
        <w:t xml:space="preserve"> per quarterly hour x 4 x 1.28 hours =</w:t>
      </w:r>
      <w:r w:rsidR="005E5BE3" w:rsidRPr="00503F5B">
        <w:rPr>
          <w:sz w:val="20"/>
        </w:rPr>
        <w:t xml:space="preserve"> $2,977.20</w:t>
      </w:r>
    </w:p>
    <w:p w14:paraId="4114E4BB" w14:textId="77777777" w:rsidR="005E5BE3" w:rsidRPr="00503F5B" w:rsidRDefault="005E5BE3" w:rsidP="005E5BE3">
      <w:pPr>
        <w:jc w:val="both"/>
      </w:pPr>
    </w:p>
    <w:p w14:paraId="144D8E44" w14:textId="17A8C832" w:rsidR="005E5BE3" w:rsidRPr="00503F5B" w:rsidRDefault="005E5BE3" w:rsidP="005E5BE3">
      <w:pPr>
        <w:jc w:val="both"/>
      </w:pPr>
      <w:r w:rsidRPr="00503F5B">
        <w:t xml:space="preserve">This reflects the need to </w:t>
      </w:r>
      <w:r w:rsidRPr="00503F5B">
        <w:rPr>
          <w:i/>
        </w:rPr>
        <w:t>strike the right balance</w:t>
      </w:r>
      <w:r w:rsidRPr="00503F5B">
        <w:t xml:space="preserve"> between encouraging owners of alarm systems to proactively manage and maintain their systems in order to minimise:</w:t>
      </w:r>
    </w:p>
    <w:p w14:paraId="7E577E99" w14:textId="77777777" w:rsidR="005E5BE3" w:rsidRPr="00503F5B" w:rsidRDefault="005E5BE3" w:rsidP="005E5BE3">
      <w:pPr>
        <w:jc w:val="both"/>
      </w:pPr>
    </w:p>
    <w:p w14:paraId="7DA0A0C0" w14:textId="77777777" w:rsidR="005E5BE3" w:rsidRPr="00503F5B" w:rsidRDefault="005E5BE3" w:rsidP="005E5BE3">
      <w:pPr>
        <w:pStyle w:val="ListParagraph"/>
        <w:numPr>
          <w:ilvl w:val="0"/>
          <w:numId w:val="8"/>
        </w:numPr>
        <w:jc w:val="both"/>
      </w:pPr>
      <w:r w:rsidRPr="00503F5B">
        <w:t>resources being expended on false alarms by FRV;</w:t>
      </w:r>
    </w:p>
    <w:p w14:paraId="1643D89E" w14:textId="77777777" w:rsidR="005E5BE3" w:rsidRPr="00503F5B" w:rsidRDefault="005E5BE3" w:rsidP="005E5BE3">
      <w:pPr>
        <w:pStyle w:val="ListParagraph"/>
        <w:numPr>
          <w:ilvl w:val="0"/>
          <w:numId w:val="7"/>
        </w:numPr>
        <w:jc w:val="both"/>
      </w:pPr>
      <w:r w:rsidRPr="00503F5B">
        <w:t xml:space="preserve">complacency towards genuine alarms which have the potential to lead to serious injury or deaths;  </w:t>
      </w:r>
    </w:p>
    <w:p w14:paraId="43D9EA68" w14:textId="77777777" w:rsidR="005E5BE3" w:rsidRPr="00503F5B" w:rsidRDefault="005E5BE3" w:rsidP="005E5BE3">
      <w:pPr>
        <w:pStyle w:val="ListParagraph"/>
        <w:numPr>
          <w:ilvl w:val="0"/>
          <w:numId w:val="7"/>
        </w:numPr>
        <w:jc w:val="both"/>
      </w:pPr>
      <w:r w:rsidRPr="00503F5B">
        <w:t>risk of accident and injury to firefighters and the general public as firefighters will attend emergencies under sirens and lights; and</w:t>
      </w:r>
    </w:p>
    <w:p w14:paraId="1A027CCA" w14:textId="77777777" w:rsidR="005E5BE3" w:rsidRPr="00503F5B" w:rsidRDefault="005E5BE3" w:rsidP="005E5BE3">
      <w:pPr>
        <w:pStyle w:val="ListParagraph"/>
        <w:numPr>
          <w:ilvl w:val="0"/>
          <w:numId w:val="7"/>
        </w:numPr>
        <w:jc w:val="both"/>
      </w:pPr>
      <w:r w:rsidRPr="00503F5B">
        <w:t>response times to real emergencies (affected by delays caused by false alarm attendances)</w:t>
      </w:r>
    </w:p>
    <w:p w14:paraId="6C79FF29" w14:textId="77777777" w:rsidR="005E5BE3" w:rsidRPr="00503F5B" w:rsidRDefault="005E5BE3" w:rsidP="005E5BE3">
      <w:pPr>
        <w:ind w:left="360"/>
        <w:jc w:val="both"/>
      </w:pPr>
    </w:p>
    <w:p w14:paraId="1F3EC76D" w14:textId="77777777" w:rsidR="005E5BE3" w:rsidRPr="00503F5B" w:rsidRDefault="005E5BE3" w:rsidP="005E5BE3">
      <w:pPr>
        <w:jc w:val="both"/>
      </w:pPr>
      <w:r w:rsidRPr="00503F5B">
        <w:t>- whilst not discouraging them in order to minimise:</w:t>
      </w:r>
    </w:p>
    <w:p w14:paraId="46755A11" w14:textId="77777777" w:rsidR="005E5BE3" w:rsidRPr="00503F5B" w:rsidRDefault="005E5BE3" w:rsidP="005E5BE3">
      <w:pPr>
        <w:jc w:val="both"/>
      </w:pPr>
    </w:p>
    <w:p w14:paraId="1F0D243B" w14:textId="77777777" w:rsidR="005E5BE3" w:rsidRPr="00503F5B" w:rsidRDefault="005E5BE3" w:rsidP="005E5BE3">
      <w:pPr>
        <w:pStyle w:val="ListParagraph"/>
        <w:numPr>
          <w:ilvl w:val="0"/>
          <w:numId w:val="9"/>
        </w:numPr>
        <w:jc w:val="both"/>
      </w:pPr>
      <w:r w:rsidRPr="00503F5B">
        <w:t>additional disputes at VCAT and internal reviews; and</w:t>
      </w:r>
    </w:p>
    <w:p w14:paraId="5633AE0B" w14:textId="77777777" w:rsidR="005E5BE3" w:rsidRPr="00503F5B" w:rsidRDefault="005E5BE3" w:rsidP="005E5BE3">
      <w:pPr>
        <w:pStyle w:val="ListParagraph"/>
        <w:numPr>
          <w:ilvl w:val="0"/>
          <w:numId w:val="9"/>
        </w:numPr>
        <w:jc w:val="both"/>
      </w:pPr>
      <w:r w:rsidRPr="00503F5B">
        <w:t>smaller owners of alarm systems circumventing their alarm systems to avoid higher fees.</w:t>
      </w:r>
    </w:p>
    <w:p w14:paraId="5E2EA6B2" w14:textId="77777777" w:rsidR="009B61CC" w:rsidRPr="00503F5B" w:rsidRDefault="009B61CC" w:rsidP="009B61CC"/>
    <w:p w14:paraId="4EB8C500" w14:textId="77777777" w:rsidR="009B61CC" w:rsidRPr="00503F5B" w:rsidRDefault="009B61CC" w:rsidP="00F94B17">
      <w:pPr>
        <w:pStyle w:val="Heading3"/>
      </w:pPr>
      <w:bookmarkStart w:id="323" w:name="_Toc35804183"/>
      <w:bookmarkStart w:id="324" w:name="_Toc35804677"/>
      <w:bookmarkStart w:id="325" w:name="_Toc35812721"/>
      <w:r w:rsidRPr="00503F5B">
        <w:t>A3.3.2 Option 2 fee revenue</w:t>
      </w:r>
      <w:bookmarkEnd w:id="323"/>
      <w:bookmarkEnd w:id="324"/>
      <w:bookmarkEnd w:id="325"/>
    </w:p>
    <w:p w14:paraId="216A6CA4" w14:textId="77777777" w:rsidR="009B61CC" w:rsidRPr="00503F5B" w:rsidRDefault="009B61CC" w:rsidP="009B61CC">
      <w:pPr>
        <w:jc w:val="both"/>
      </w:pPr>
    </w:p>
    <w:p w14:paraId="0AD688AD" w14:textId="38CEF049" w:rsidR="009B61CC" w:rsidRPr="00503F5B" w:rsidRDefault="009B61CC" w:rsidP="009B61CC">
      <w:pPr>
        <w:jc w:val="both"/>
      </w:pPr>
      <w:r w:rsidRPr="00503F5B">
        <w:t xml:space="preserve">Fee revenue under Option 2 assumes the continued annual growth in the number of transactions (currently estimated to be 4.49% for </w:t>
      </w:r>
      <w:r w:rsidR="00595DFB" w:rsidRPr="00503F5B">
        <w:t>MFB</w:t>
      </w:r>
      <w:r w:rsidRPr="00503F5B">
        <w:t xml:space="preserve"> on average, as shown in Table A3.1 and -11.7% for </w:t>
      </w:r>
      <w:r w:rsidR="00B36EEE" w:rsidRPr="00503F5B">
        <w:t>CFA</w:t>
      </w:r>
      <w:r w:rsidRPr="00503F5B">
        <w:t xml:space="preserve"> integrated stations, as shown in Table A3.3) and a partial cost recovery quarterly hour rate fee $</w:t>
      </w:r>
      <w:r w:rsidR="005E5BE3" w:rsidRPr="00503F5B">
        <w:t>578.48</w:t>
      </w:r>
      <w:r w:rsidRPr="00503F5B">
        <w:t xml:space="preserve"> per appliance. The present value of fee revenue over 10 years is estimated to be $12</w:t>
      </w:r>
      <w:r w:rsidR="002A31D2" w:rsidRPr="00503F5B">
        <w:t>1</w:t>
      </w:r>
      <w:r w:rsidRPr="00503F5B">
        <w:t>.</w:t>
      </w:r>
      <w:r w:rsidR="002A31D2" w:rsidRPr="00503F5B">
        <w:t>4</w:t>
      </w:r>
      <w:r w:rsidRPr="00503F5B">
        <w:t xml:space="preserve"> million, as shown in Table A3.7.  Revenue generated under Option 2 for 2020-21 covers 1</w:t>
      </w:r>
      <w:r w:rsidR="002A31D2" w:rsidRPr="00503F5B">
        <w:t>0</w:t>
      </w:r>
      <w:r w:rsidRPr="00503F5B">
        <w:t>.</w:t>
      </w:r>
      <w:r w:rsidR="002A31D2" w:rsidRPr="00503F5B">
        <w:t>7</w:t>
      </w:r>
      <w:r w:rsidRPr="00503F5B">
        <w:t>4%</w:t>
      </w:r>
      <w:r w:rsidRPr="00503F5B">
        <w:rPr>
          <w:rStyle w:val="FootnoteReference"/>
        </w:rPr>
        <w:footnoteReference w:id="205"/>
      </w:r>
      <w:r w:rsidRPr="00503F5B">
        <w:t xml:space="preserve"> of all costs of emergency attendance for false alarms estimated for 2018-19.</w:t>
      </w:r>
    </w:p>
    <w:p w14:paraId="6346180E" w14:textId="77777777" w:rsidR="009B61CC" w:rsidRPr="00503F5B" w:rsidRDefault="009B61CC" w:rsidP="009B61CC">
      <w:pPr>
        <w:jc w:val="both"/>
        <w:rPr>
          <w:b/>
        </w:rPr>
      </w:pPr>
    </w:p>
    <w:p w14:paraId="099A6C62" w14:textId="77777777" w:rsidR="00E76166" w:rsidRPr="00503F5B" w:rsidRDefault="00E76166" w:rsidP="009B61CC">
      <w:pPr>
        <w:jc w:val="center"/>
        <w:rPr>
          <w:b/>
          <w:sz w:val="20"/>
          <w:szCs w:val="20"/>
        </w:rPr>
      </w:pPr>
    </w:p>
    <w:p w14:paraId="27B4D127" w14:textId="77777777" w:rsidR="00E76166" w:rsidRPr="00503F5B" w:rsidRDefault="00E76166" w:rsidP="009B61CC">
      <w:pPr>
        <w:jc w:val="center"/>
        <w:rPr>
          <w:b/>
          <w:sz w:val="20"/>
          <w:szCs w:val="20"/>
        </w:rPr>
      </w:pPr>
    </w:p>
    <w:p w14:paraId="46A63A15" w14:textId="75E4FF13" w:rsidR="009B61CC" w:rsidRPr="00503F5B" w:rsidRDefault="009B61CC">
      <w:pPr>
        <w:jc w:val="center"/>
        <w:rPr>
          <w:b/>
          <w:sz w:val="20"/>
          <w:szCs w:val="20"/>
        </w:rPr>
      </w:pPr>
      <w:r w:rsidRPr="00503F5B">
        <w:rPr>
          <w:b/>
          <w:sz w:val="20"/>
          <w:szCs w:val="20"/>
        </w:rPr>
        <w:lastRenderedPageBreak/>
        <w:t>Table A3.7: Estimated revenue from partial cost recovery fees under Option 2</w:t>
      </w:r>
      <w:r w:rsidR="00E76166" w:rsidRPr="00503F5B">
        <w:rPr>
          <w:b/>
          <w:sz w:val="20"/>
          <w:szCs w:val="20"/>
        </w:rPr>
        <w:t xml:space="preserve"> – the proposed </w:t>
      </w:r>
      <w:proofErr w:type="gramStart"/>
      <w:r w:rsidR="00E76166" w:rsidRPr="00503F5B">
        <w:rPr>
          <w:b/>
          <w:sz w:val="20"/>
          <w:szCs w:val="20"/>
        </w:rPr>
        <w:t>option</w:t>
      </w:r>
      <w:r w:rsidRPr="00503F5B">
        <w:rPr>
          <w:b/>
          <w:sz w:val="20"/>
          <w:szCs w:val="20"/>
        </w:rPr>
        <w:t xml:space="preserve"> </w:t>
      </w:r>
      <w:r w:rsidR="00E76166" w:rsidRPr="00503F5B">
        <w:rPr>
          <w:b/>
          <w:sz w:val="20"/>
          <w:szCs w:val="20"/>
        </w:rPr>
        <w:t xml:space="preserve"> </w:t>
      </w:r>
      <w:r w:rsidRPr="00503F5B">
        <w:rPr>
          <w:b/>
          <w:sz w:val="20"/>
          <w:szCs w:val="20"/>
        </w:rPr>
        <w:t>(</w:t>
      </w:r>
      <w:proofErr w:type="gramEnd"/>
      <w:r w:rsidRPr="00503F5B">
        <w:rPr>
          <w:b/>
          <w:sz w:val="20"/>
          <w:szCs w:val="20"/>
        </w:rPr>
        <w:t>quarterly hour per appliance) – 2020-21 to 2029-30</w:t>
      </w:r>
    </w:p>
    <w:p w14:paraId="720F07CD" w14:textId="77777777" w:rsidR="009B61CC" w:rsidRPr="00503F5B" w:rsidRDefault="009B61CC" w:rsidP="009B61CC">
      <w:pPr>
        <w:jc w:val="both"/>
        <w:rPr>
          <w:b/>
        </w:rPr>
      </w:pPr>
    </w:p>
    <w:tbl>
      <w:tblPr>
        <w:tblW w:w="9084" w:type="dxa"/>
        <w:jc w:val="center"/>
        <w:tblLayout w:type="fixed"/>
        <w:tblLook w:val="04A0" w:firstRow="1" w:lastRow="0" w:firstColumn="1" w:lastColumn="0" w:noHBand="0" w:noVBand="1"/>
      </w:tblPr>
      <w:tblGrid>
        <w:gridCol w:w="1016"/>
        <w:gridCol w:w="1416"/>
        <w:gridCol w:w="1537"/>
        <w:gridCol w:w="1276"/>
        <w:gridCol w:w="941"/>
        <w:gridCol w:w="1469"/>
        <w:gridCol w:w="1429"/>
      </w:tblGrid>
      <w:tr w:rsidR="009B61CC" w:rsidRPr="00503F5B" w14:paraId="1D4EBFDE" w14:textId="77777777" w:rsidTr="00517C6D">
        <w:trPr>
          <w:trHeight w:val="89"/>
          <w:jc w:val="center"/>
        </w:trPr>
        <w:tc>
          <w:tcPr>
            <w:tcW w:w="1016" w:type="dxa"/>
            <w:tcBorders>
              <w:top w:val="single" w:sz="4" w:space="0" w:color="ED7C5D"/>
              <w:left w:val="nil"/>
              <w:bottom w:val="double" w:sz="4" w:space="0" w:color="ED7C5D"/>
              <w:right w:val="nil"/>
            </w:tcBorders>
            <w:shd w:val="clear" w:color="000000" w:fill="FFFFFF"/>
            <w:noWrap/>
            <w:hideMark/>
          </w:tcPr>
          <w:p w14:paraId="45AB2AF3" w14:textId="77777777" w:rsidR="009B61CC" w:rsidRPr="00503F5B" w:rsidRDefault="009B61CC" w:rsidP="00C03A8F">
            <w:pPr>
              <w:rPr>
                <w:rFonts w:eastAsia="Times New Roman" w:cs="Calibri"/>
                <w:b/>
                <w:bCs/>
                <w:color w:val="C00000"/>
                <w:sz w:val="20"/>
                <w:szCs w:val="20"/>
                <w:lang w:eastAsia="en-AU"/>
              </w:rPr>
            </w:pPr>
            <w:r w:rsidRPr="00503F5B">
              <w:rPr>
                <w:rFonts w:eastAsia="Times New Roman" w:cs="Calibri"/>
                <w:b/>
                <w:bCs/>
                <w:color w:val="C00000"/>
                <w:sz w:val="20"/>
                <w:szCs w:val="20"/>
                <w:lang w:eastAsia="en-AU"/>
              </w:rPr>
              <w:t>Year</w:t>
            </w:r>
          </w:p>
        </w:tc>
        <w:tc>
          <w:tcPr>
            <w:tcW w:w="1416" w:type="dxa"/>
            <w:tcBorders>
              <w:top w:val="single" w:sz="4" w:space="0" w:color="ED7C5D"/>
              <w:left w:val="nil"/>
              <w:bottom w:val="double" w:sz="4" w:space="0" w:color="ED7C5D"/>
              <w:right w:val="nil"/>
            </w:tcBorders>
            <w:shd w:val="clear" w:color="000000" w:fill="FFFFFF"/>
            <w:noWrap/>
            <w:hideMark/>
          </w:tcPr>
          <w:p w14:paraId="529B8045" w14:textId="77777777" w:rsidR="009B61CC" w:rsidRPr="00503F5B" w:rsidRDefault="009B61CC" w:rsidP="00C03A8F">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MFB transactions (growth rate 4.49%)</w:t>
            </w:r>
          </w:p>
        </w:tc>
        <w:tc>
          <w:tcPr>
            <w:tcW w:w="1537" w:type="dxa"/>
            <w:tcBorders>
              <w:top w:val="single" w:sz="4" w:space="0" w:color="ED7C5D"/>
              <w:left w:val="nil"/>
              <w:bottom w:val="double" w:sz="4" w:space="0" w:color="ED7C5D"/>
              <w:right w:val="nil"/>
            </w:tcBorders>
            <w:shd w:val="clear" w:color="000000" w:fill="FFFFFF"/>
            <w:noWrap/>
            <w:hideMark/>
          </w:tcPr>
          <w:p w14:paraId="79A55A0E" w14:textId="77777777" w:rsidR="003D50C2" w:rsidRPr="00503F5B" w:rsidRDefault="003D50C2" w:rsidP="003D50C2">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CFA integrated stations transactions</w:t>
            </w:r>
          </w:p>
          <w:p w14:paraId="577CCD89" w14:textId="77777777" w:rsidR="003D50C2" w:rsidRPr="00503F5B" w:rsidRDefault="003D50C2" w:rsidP="003D50C2">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(growth rate</w:t>
            </w:r>
          </w:p>
          <w:p w14:paraId="10E2BCF6" w14:textId="00365B8F" w:rsidR="009B61CC" w:rsidRPr="00503F5B" w:rsidRDefault="003D50C2" w:rsidP="003D50C2">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 xml:space="preserve"> (-11.7%))</w:t>
            </w:r>
          </w:p>
        </w:tc>
        <w:tc>
          <w:tcPr>
            <w:tcW w:w="1276" w:type="dxa"/>
            <w:tcBorders>
              <w:top w:val="single" w:sz="4" w:space="0" w:color="ED7C5D"/>
              <w:left w:val="nil"/>
              <w:bottom w:val="double" w:sz="4" w:space="0" w:color="ED7C5D"/>
              <w:right w:val="nil"/>
            </w:tcBorders>
            <w:shd w:val="clear" w:color="000000" w:fill="FFFFFF"/>
            <w:noWrap/>
            <w:hideMark/>
          </w:tcPr>
          <w:p w14:paraId="6577DA5E" w14:textId="77777777" w:rsidR="009B61CC" w:rsidRPr="00503F5B" w:rsidRDefault="009B61CC" w:rsidP="00C03A8F">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FRV transactions</w:t>
            </w:r>
          </w:p>
        </w:tc>
        <w:tc>
          <w:tcPr>
            <w:tcW w:w="941" w:type="dxa"/>
            <w:tcBorders>
              <w:top w:val="single" w:sz="4" w:space="0" w:color="ED7C5D"/>
              <w:left w:val="nil"/>
              <w:bottom w:val="double" w:sz="4" w:space="0" w:color="ED7C5D"/>
              <w:right w:val="nil"/>
            </w:tcBorders>
            <w:shd w:val="clear" w:color="000000" w:fill="FFFFFF"/>
          </w:tcPr>
          <w:p w14:paraId="42014069" w14:textId="77777777" w:rsidR="009B61CC" w:rsidRPr="00503F5B" w:rsidRDefault="009B61CC" w:rsidP="00C03A8F">
            <w:pPr>
              <w:jc w:val="center"/>
              <w:rPr>
                <w:b/>
                <w:color w:val="BE2A18"/>
                <w:sz w:val="20"/>
                <w:szCs w:val="20"/>
              </w:rPr>
            </w:pPr>
            <w:r w:rsidRPr="00503F5B">
              <w:rPr>
                <w:b/>
                <w:color w:val="BE2A18"/>
                <w:sz w:val="20"/>
                <w:szCs w:val="20"/>
              </w:rPr>
              <w:t>Partial cost recovery fee</w:t>
            </w:r>
          </w:p>
        </w:tc>
        <w:tc>
          <w:tcPr>
            <w:tcW w:w="1469" w:type="dxa"/>
            <w:tcBorders>
              <w:top w:val="single" w:sz="4" w:space="0" w:color="ED7C5D"/>
              <w:left w:val="nil"/>
              <w:bottom w:val="double" w:sz="4" w:space="0" w:color="ED7C5D"/>
              <w:right w:val="nil"/>
            </w:tcBorders>
            <w:shd w:val="clear" w:color="000000" w:fill="FFFFFF"/>
          </w:tcPr>
          <w:p w14:paraId="4510C413" w14:textId="77777777" w:rsidR="009B61CC" w:rsidRPr="00503F5B" w:rsidRDefault="009B61CC" w:rsidP="00C03A8F">
            <w:pPr>
              <w:jc w:val="center"/>
              <w:rPr>
                <w:rFonts w:eastAsia="Times New Roman" w:cs="Calibri"/>
                <w:b/>
                <w:bCs/>
                <w:color w:val="C00000"/>
                <w:sz w:val="20"/>
                <w:szCs w:val="20"/>
                <w:lang w:eastAsia="en-AU"/>
              </w:rPr>
            </w:pPr>
            <w:r w:rsidRPr="00503F5B">
              <w:rPr>
                <w:b/>
                <w:color w:val="BE2A18"/>
                <w:sz w:val="20"/>
                <w:szCs w:val="20"/>
              </w:rPr>
              <w:t>False alarm charges</w:t>
            </w:r>
          </w:p>
        </w:tc>
        <w:tc>
          <w:tcPr>
            <w:tcW w:w="1429" w:type="dxa"/>
            <w:tcBorders>
              <w:top w:val="single" w:sz="4" w:space="0" w:color="ED7C5D"/>
              <w:left w:val="nil"/>
              <w:bottom w:val="double" w:sz="4" w:space="0" w:color="ED7C5D"/>
              <w:right w:val="nil"/>
            </w:tcBorders>
            <w:shd w:val="clear" w:color="000000" w:fill="FFFFFF"/>
          </w:tcPr>
          <w:p w14:paraId="2F3EF521" w14:textId="480F47A3" w:rsidR="009B61CC" w:rsidRPr="00503F5B" w:rsidRDefault="009B61CC" w:rsidP="00C03A8F">
            <w:pPr>
              <w:jc w:val="center"/>
              <w:rPr>
                <w:rFonts w:eastAsia="Times New Roman" w:cs="Calibri"/>
                <w:b/>
                <w:bCs/>
                <w:color w:val="C00000"/>
                <w:sz w:val="20"/>
                <w:szCs w:val="20"/>
                <w:lang w:eastAsia="en-AU"/>
              </w:rPr>
            </w:pPr>
            <w:r w:rsidRPr="00503F5B">
              <w:rPr>
                <w:b/>
                <w:color w:val="BE2A18"/>
                <w:sz w:val="20"/>
                <w:szCs w:val="20"/>
              </w:rPr>
              <w:t>False alarm charges (Present value 201</w:t>
            </w:r>
            <w:r w:rsidR="007B1C84" w:rsidRPr="00503F5B">
              <w:rPr>
                <w:b/>
                <w:color w:val="BE2A18"/>
                <w:sz w:val="20"/>
                <w:szCs w:val="20"/>
              </w:rPr>
              <w:t>9</w:t>
            </w:r>
            <w:r w:rsidRPr="00503F5B">
              <w:rPr>
                <w:b/>
                <w:color w:val="BE2A18"/>
                <w:sz w:val="20"/>
                <w:szCs w:val="20"/>
              </w:rPr>
              <w:t>-</w:t>
            </w:r>
            <w:r w:rsidR="007B1C84" w:rsidRPr="00503F5B">
              <w:rPr>
                <w:b/>
                <w:color w:val="BE2A18"/>
                <w:sz w:val="20"/>
                <w:szCs w:val="20"/>
              </w:rPr>
              <w:t>20</w:t>
            </w:r>
            <w:r w:rsidRPr="00503F5B">
              <w:rPr>
                <w:b/>
                <w:color w:val="BE2A18"/>
                <w:sz w:val="20"/>
                <w:szCs w:val="20"/>
              </w:rPr>
              <w:t xml:space="preserve"> dollars)</w:t>
            </w:r>
            <w:r w:rsidRPr="00503F5B">
              <w:rPr>
                <w:rStyle w:val="FootnoteReference"/>
                <w:b/>
                <w:color w:val="BE2A18"/>
                <w:sz w:val="20"/>
                <w:szCs w:val="20"/>
              </w:rPr>
              <w:footnoteReference w:id="206"/>
            </w:r>
          </w:p>
        </w:tc>
      </w:tr>
      <w:tr w:rsidR="00E76166" w:rsidRPr="00503F5B" w14:paraId="6A36D01E" w14:textId="77777777" w:rsidTr="00517C6D">
        <w:trPr>
          <w:trHeight w:val="50"/>
          <w:jc w:val="center"/>
        </w:trPr>
        <w:tc>
          <w:tcPr>
            <w:tcW w:w="1016" w:type="dxa"/>
            <w:tcBorders>
              <w:top w:val="double" w:sz="4" w:space="0" w:color="ED7C5D"/>
              <w:left w:val="nil"/>
              <w:bottom w:val="nil"/>
              <w:right w:val="nil"/>
            </w:tcBorders>
            <w:shd w:val="clear" w:color="000000" w:fill="FFFFFF"/>
            <w:noWrap/>
            <w:hideMark/>
          </w:tcPr>
          <w:p w14:paraId="7123690F" w14:textId="77777777" w:rsidR="00E76166" w:rsidRPr="00503F5B" w:rsidRDefault="00E76166" w:rsidP="00E76166">
            <w:pPr>
              <w:rPr>
                <w:rFonts w:eastAsia="Times New Roman" w:cs="Calibri"/>
                <w:sz w:val="20"/>
                <w:szCs w:val="20"/>
                <w:lang w:eastAsia="en-AU"/>
              </w:rPr>
            </w:pPr>
            <w:r w:rsidRPr="00503F5B">
              <w:rPr>
                <w:rFonts w:eastAsia="Times New Roman" w:cs="Calibri"/>
                <w:sz w:val="20"/>
                <w:szCs w:val="20"/>
                <w:lang w:eastAsia="en-AU"/>
              </w:rPr>
              <w:t>2020-21</w:t>
            </w:r>
          </w:p>
        </w:tc>
        <w:tc>
          <w:tcPr>
            <w:tcW w:w="1416" w:type="dxa"/>
            <w:tcBorders>
              <w:top w:val="double" w:sz="4" w:space="0" w:color="ED7C5D"/>
              <w:left w:val="nil"/>
              <w:bottom w:val="nil"/>
              <w:right w:val="nil"/>
            </w:tcBorders>
            <w:shd w:val="clear" w:color="000000" w:fill="FFFFFF"/>
            <w:noWrap/>
            <w:hideMark/>
          </w:tcPr>
          <w:p w14:paraId="7682543D" w14:textId="41B01DCC" w:rsidR="00E76166" w:rsidRPr="00503F5B" w:rsidRDefault="00E76166" w:rsidP="00E76166">
            <w:pPr>
              <w:jc w:val="right"/>
              <w:rPr>
                <w:rFonts w:eastAsia="Times New Roman" w:cs="Calibri"/>
                <w:sz w:val="20"/>
                <w:szCs w:val="20"/>
                <w:lang w:eastAsia="en-AU"/>
              </w:rPr>
            </w:pPr>
            <w:r w:rsidRPr="00503F5B">
              <w:rPr>
                <w:rFonts w:cs="Calibri"/>
                <w:sz w:val="20"/>
                <w:szCs w:val="20"/>
              </w:rPr>
              <w:t>19,608</w:t>
            </w:r>
          </w:p>
        </w:tc>
        <w:tc>
          <w:tcPr>
            <w:tcW w:w="1537" w:type="dxa"/>
            <w:tcBorders>
              <w:top w:val="double" w:sz="4" w:space="0" w:color="ED7C5D"/>
              <w:left w:val="nil"/>
              <w:bottom w:val="nil"/>
              <w:right w:val="nil"/>
            </w:tcBorders>
            <w:shd w:val="clear" w:color="000000" w:fill="FFFFFF"/>
            <w:noWrap/>
            <w:hideMark/>
          </w:tcPr>
          <w:p w14:paraId="00E6A8AB" w14:textId="69D15718" w:rsidR="00E76166" w:rsidRPr="00503F5B" w:rsidRDefault="00E76166" w:rsidP="00E76166">
            <w:pPr>
              <w:jc w:val="right"/>
              <w:rPr>
                <w:rFonts w:eastAsia="Times New Roman" w:cs="Calibri"/>
                <w:sz w:val="20"/>
                <w:szCs w:val="20"/>
                <w:lang w:eastAsia="en-AU"/>
              </w:rPr>
            </w:pPr>
            <w:r w:rsidRPr="00503F5B">
              <w:rPr>
                <w:rFonts w:cs="Calibri"/>
                <w:sz w:val="20"/>
                <w:szCs w:val="20"/>
              </w:rPr>
              <w:t>3,370</w:t>
            </w:r>
          </w:p>
        </w:tc>
        <w:tc>
          <w:tcPr>
            <w:tcW w:w="1276" w:type="dxa"/>
            <w:tcBorders>
              <w:top w:val="double" w:sz="4" w:space="0" w:color="ED7C5D"/>
              <w:left w:val="nil"/>
              <w:bottom w:val="nil"/>
              <w:right w:val="nil"/>
            </w:tcBorders>
            <w:shd w:val="clear" w:color="000000" w:fill="FFFFFF"/>
            <w:noWrap/>
            <w:hideMark/>
          </w:tcPr>
          <w:p w14:paraId="2BE14904" w14:textId="402E80D9" w:rsidR="00E76166" w:rsidRPr="00503F5B" w:rsidRDefault="00E76166" w:rsidP="00E76166">
            <w:pPr>
              <w:jc w:val="right"/>
              <w:rPr>
                <w:rFonts w:eastAsia="Times New Roman" w:cs="Calibri"/>
                <w:sz w:val="20"/>
                <w:szCs w:val="20"/>
                <w:lang w:eastAsia="en-AU"/>
              </w:rPr>
            </w:pPr>
            <w:r w:rsidRPr="00503F5B">
              <w:rPr>
                <w:rFonts w:cs="Calibri"/>
                <w:sz w:val="20"/>
                <w:szCs w:val="20"/>
              </w:rPr>
              <w:t>22,978</w:t>
            </w:r>
          </w:p>
        </w:tc>
        <w:tc>
          <w:tcPr>
            <w:tcW w:w="941" w:type="dxa"/>
            <w:tcBorders>
              <w:top w:val="double" w:sz="4" w:space="0" w:color="ED7C5D"/>
              <w:left w:val="nil"/>
              <w:bottom w:val="nil"/>
              <w:right w:val="nil"/>
            </w:tcBorders>
            <w:shd w:val="clear" w:color="auto" w:fill="FBE4D5" w:themeFill="accent2" w:themeFillTint="33"/>
          </w:tcPr>
          <w:p w14:paraId="7CBAEE53" w14:textId="6D1A84F2" w:rsidR="00E76166" w:rsidRPr="00503F5B" w:rsidRDefault="00E76166" w:rsidP="00E76166">
            <w:pPr>
              <w:jc w:val="right"/>
              <w:rPr>
                <w:b/>
                <w:bCs/>
                <w:sz w:val="20"/>
                <w:szCs w:val="20"/>
              </w:rPr>
            </w:pPr>
            <w:r w:rsidRPr="00503F5B">
              <w:rPr>
                <w:rFonts w:cs="Calibri"/>
                <w:sz w:val="20"/>
                <w:szCs w:val="20"/>
              </w:rPr>
              <w:t>$578.48</w:t>
            </w:r>
          </w:p>
        </w:tc>
        <w:tc>
          <w:tcPr>
            <w:tcW w:w="1469" w:type="dxa"/>
            <w:tcBorders>
              <w:top w:val="double" w:sz="4" w:space="0" w:color="ED7C5D"/>
              <w:left w:val="nil"/>
              <w:bottom w:val="nil"/>
              <w:right w:val="nil"/>
            </w:tcBorders>
            <w:shd w:val="clear" w:color="000000" w:fill="FFFFFF"/>
          </w:tcPr>
          <w:p w14:paraId="2A55E39F" w14:textId="2D6B1A4C" w:rsidR="00E76166" w:rsidRPr="00503F5B" w:rsidRDefault="00E76166" w:rsidP="00E76166">
            <w:pPr>
              <w:jc w:val="right"/>
              <w:rPr>
                <w:b/>
                <w:bCs/>
                <w:sz w:val="20"/>
                <w:szCs w:val="20"/>
              </w:rPr>
            </w:pPr>
            <w:r w:rsidRPr="00503F5B">
              <w:rPr>
                <w:sz w:val="20"/>
                <w:szCs w:val="20"/>
              </w:rPr>
              <w:t>$13,292,300</w:t>
            </w:r>
          </w:p>
        </w:tc>
        <w:tc>
          <w:tcPr>
            <w:tcW w:w="1429" w:type="dxa"/>
            <w:tcBorders>
              <w:top w:val="double" w:sz="4" w:space="0" w:color="ED7C5D"/>
              <w:left w:val="nil"/>
              <w:bottom w:val="nil"/>
              <w:right w:val="nil"/>
            </w:tcBorders>
            <w:shd w:val="clear" w:color="000000" w:fill="FFFFFF"/>
          </w:tcPr>
          <w:p w14:paraId="3C0A1790" w14:textId="00DC9C1F" w:rsidR="00E76166" w:rsidRPr="00503F5B" w:rsidRDefault="00E76166" w:rsidP="00E76166">
            <w:pPr>
              <w:jc w:val="right"/>
              <w:rPr>
                <w:b/>
                <w:bCs/>
                <w:sz w:val="20"/>
                <w:szCs w:val="20"/>
              </w:rPr>
            </w:pPr>
            <w:r w:rsidRPr="00503F5B">
              <w:rPr>
                <w:sz w:val="20"/>
                <w:szCs w:val="20"/>
              </w:rPr>
              <w:t>$12,781,058</w:t>
            </w:r>
          </w:p>
        </w:tc>
      </w:tr>
      <w:tr w:rsidR="00E76166" w:rsidRPr="00503F5B" w14:paraId="7586A926" w14:textId="77777777" w:rsidTr="00517C6D">
        <w:trPr>
          <w:trHeight w:val="50"/>
          <w:jc w:val="center"/>
        </w:trPr>
        <w:tc>
          <w:tcPr>
            <w:tcW w:w="1016" w:type="dxa"/>
            <w:tcBorders>
              <w:top w:val="nil"/>
              <w:left w:val="nil"/>
              <w:bottom w:val="nil"/>
              <w:right w:val="nil"/>
            </w:tcBorders>
            <w:shd w:val="clear" w:color="000000" w:fill="FFFFFF"/>
            <w:noWrap/>
            <w:hideMark/>
          </w:tcPr>
          <w:p w14:paraId="53DB02D0" w14:textId="77777777" w:rsidR="00E76166" w:rsidRPr="00503F5B" w:rsidRDefault="00E76166" w:rsidP="00E76166">
            <w:pPr>
              <w:rPr>
                <w:rFonts w:eastAsia="Times New Roman" w:cs="Calibri"/>
                <w:sz w:val="20"/>
                <w:szCs w:val="20"/>
                <w:lang w:eastAsia="en-AU"/>
              </w:rPr>
            </w:pPr>
            <w:r w:rsidRPr="00503F5B">
              <w:rPr>
                <w:rFonts w:eastAsia="Times New Roman" w:cs="Calibri"/>
                <w:sz w:val="20"/>
                <w:szCs w:val="20"/>
                <w:lang w:eastAsia="en-AU"/>
              </w:rPr>
              <w:t>2021-22</w:t>
            </w:r>
          </w:p>
        </w:tc>
        <w:tc>
          <w:tcPr>
            <w:tcW w:w="1416" w:type="dxa"/>
            <w:tcBorders>
              <w:top w:val="nil"/>
              <w:left w:val="nil"/>
              <w:bottom w:val="nil"/>
              <w:right w:val="nil"/>
            </w:tcBorders>
            <w:shd w:val="clear" w:color="000000" w:fill="FFFFFF"/>
            <w:noWrap/>
            <w:hideMark/>
          </w:tcPr>
          <w:p w14:paraId="1407BF54" w14:textId="1C73F0A4" w:rsidR="00E76166" w:rsidRPr="00503F5B" w:rsidRDefault="00E76166" w:rsidP="00E76166">
            <w:pPr>
              <w:jc w:val="right"/>
              <w:rPr>
                <w:rFonts w:eastAsia="Times New Roman" w:cs="Calibri"/>
                <w:sz w:val="20"/>
                <w:szCs w:val="20"/>
                <w:lang w:eastAsia="en-AU"/>
              </w:rPr>
            </w:pPr>
            <w:r w:rsidRPr="00503F5B">
              <w:rPr>
                <w:rFonts w:cs="Calibri"/>
                <w:sz w:val="20"/>
                <w:szCs w:val="20"/>
              </w:rPr>
              <w:t>20,488</w:t>
            </w:r>
          </w:p>
        </w:tc>
        <w:tc>
          <w:tcPr>
            <w:tcW w:w="1537" w:type="dxa"/>
            <w:tcBorders>
              <w:top w:val="nil"/>
              <w:left w:val="nil"/>
              <w:bottom w:val="nil"/>
              <w:right w:val="nil"/>
            </w:tcBorders>
            <w:shd w:val="clear" w:color="000000" w:fill="FFFFFF"/>
            <w:noWrap/>
            <w:hideMark/>
          </w:tcPr>
          <w:p w14:paraId="0843C439" w14:textId="1F071E6B" w:rsidR="00E76166" w:rsidRPr="00503F5B" w:rsidRDefault="00E76166" w:rsidP="00E76166">
            <w:pPr>
              <w:jc w:val="right"/>
              <w:rPr>
                <w:rFonts w:eastAsia="Times New Roman" w:cs="Calibri"/>
                <w:sz w:val="20"/>
                <w:szCs w:val="20"/>
                <w:lang w:eastAsia="en-AU"/>
              </w:rPr>
            </w:pPr>
            <w:r w:rsidRPr="00503F5B">
              <w:rPr>
                <w:rFonts w:cs="Calibri"/>
                <w:sz w:val="20"/>
                <w:szCs w:val="20"/>
              </w:rPr>
              <w:t>2,975</w:t>
            </w:r>
          </w:p>
        </w:tc>
        <w:tc>
          <w:tcPr>
            <w:tcW w:w="1276" w:type="dxa"/>
            <w:tcBorders>
              <w:top w:val="nil"/>
              <w:left w:val="nil"/>
              <w:bottom w:val="nil"/>
              <w:right w:val="nil"/>
            </w:tcBorders>
            <w:shd w:val="clear" w:color="000000" w:fill="FFFFFF"/>
            <w:noWrap/>
            <w:hideMark/>
          </w:tcPr>
          <w:p w14:paraId="2ACB75DB" w14:textId="5311D6CE" w:rsidR="00E76166" w:rsidRPr="00503F5B" w:rsidRDefault="00E76166" w:rsidP="00E76166">
            <w:pPr>
              <w:jc w:val="right"/>
              <w:rPr>
                <w:rFonts w:eastAsia="Times New Roman" w:cs="Calibri"/>
                <w:sz w:val="20"/>
                <w:szCs w:val="20"/>
                <w:lang w:eastAsia="en-AU"/>
              </w:rPr>
            </w:pPr>
            <w:r w:rsidRPr="00503F5B">
              <w:rPr>
                <w:rFonts w:cs="Calibri"/>
                <w:sz w:val="20"/>
                <w:szCs w:val="20"/>
              </w:rPr>
              <w:t>23,464</w:t>
            </w:r>
          </w:p>
        </w:tc>
        <w:tc>
          <w:tcPr>
            <w:tcW w:w="941" w:type="dxa"/>
            <w:tcBorders>
              <w:top w:val="nil"/>
              <w:left w:val="nil"/>
              <w:bottom w:val="nil"/>
              <w:right w:val="nil"/>
            </w:tcBorders>
            <w:shd w:val="clear" w:color="auto" w:fill="FBE4D5" w:themeFill="accent2" w:themeFillTint="33"/>
          </w:tcPr>
          <w:p w14:paraId="5A752068" w14:textId="2A5E01D1" w:rsidR="00E76166" w:rsidRPr="00503F5B" w:rsidRDefault="00E76166" w:rsidP="00E76166">
            <w:pPr>
              <w:jc w:val="right"/>
              <w:rPr>
                <w:b/>
                <w:bCs/>
                <w:sz w:val="20"/>
                <w:szCs w:val="20"/>
              </w:rPr>
            </w:pPr>
            <w:r w:rsidRPr="00503F5B">
              <w:rPr>
                <w:rFonts w:cs="Calibri"/>
                <w:sz w:val="20"/>
                <w:szCs w:val="20"/>
              </w:rPr>
              <w:t>$578.48</w:t>
            </w:r>
          </w:p>
        </w:tc>
        <w:tc>
          <w:tcPr>
            <w:tcW w:w="1469" w:type="dxa"/>
            <w:tcBorders>
              <w:top w:val="nil"/>
              <w:left w:val="nil"/>
              <w:bottom w:val="nil"/>
              <w:right w:val="nil"/>
            </w:tcBorders>
            <w:shd w:val="clear" w:color="000000" w:fill="FFFFFF"/>
          </w:tcPr>
          <w:p w14:paraId="5A692B6B" w14:textId="73787D60" w:rsidR="00E76166" w:rsidRPr="00503F5B" w:rsidRDefault="00E76166" w:rsidP="00E76166">
            <w:pPr>
              <w:jc w:val="right"/>
              <w:rPr>
                <w:b/>
                <w:bCs/>
                <w:sz w:val="20"/>
                <w:szCs w:val="20"/>
              </w:rPr>
            </w:pPr>
            <w:r w:rsidRPr="00503F5B">
              <w:rPr>
                <w:sz w:val="20"/>
                <w:szCs w:val="20"/>
              </w:rPr>
              <w:t>$13,573,326</w:t>
            </w:r>
          </w:p>
        </w:tc>
        <w:tc>
          <w:tcPr>
            <w:tcW w:w="1429" w:type="dxa"/>
            <w:tcBorders>
              <w:top w:val="nil"/>
              <w:left w:val="nil"/>
              <w:bottom w:val="nil"/>
              <w:right w:val="nil"/>
            </w:tcBorders>
            <w:shd w:val="clear" w:color="000000" w:fill="FFFFFF"/>
          </w:tcPr>
          <w:p w14:paraId="0FB38875" w14:textId="706EB808" w:rsidR="00E76166" w:rsidRPr="00503F5B" w:rsidRDefault="00E76166" w:rsidP="00E76166">
            <w:pPr>
              <w:jc w:val="right"/>
              <w:rPr>
                <w:b/>
                <w:bCs/>
                <w:sz w:val="20"/>
                <w:szCs w:val="20"/>
              </w:rPr>
            </w:pPr>
            <w:r w:rsidRPr="00503F5B">
              <w:rPr>
                <w:sz w:val="20"/>
                <w:szCs w:val="20"/>
              </w:rPr>
              <w:t>$12,549,303</w:t>
            </w:r>
          </w:p>
        </w:tc>
      </w:tr>
      <w:tr w:rsidR="00E76166" w:rsidRPr="00503F5B" w14:paraId="4F43E001" w14:textId="77777777" w:rsidTr="00517C6D">
        <w:trPr>
          <w:trHeight w:val="50"/>
          <w:jc w:val="center"/>
        </w:trPr>
        <w:tc>
          <w:tcPr>
            <w:tcW w:w="1016" w:type="dxa"/>
            <w:tcBorders>
              <w:top w:val="nil"/>
              <w:left w:val="nil"/>
              <w:bottom w:val="nil"/>
              <w:right w:val="nil"/>
            </w:tcBorders>
            <w:shd w:val="clear" w:color="000000" w:fill="FFFFFF"/>
            <w:noWrap/>
            <w:hideMark/>
          </w:tcPr>
          <w:p w14:paraId="4A13FCEF" w14:textId="77777777" w:rsidR="00E76166" w:rsidRPr="00503F5B" w:rsidRDefault="00E76166" w:rsidP="00E76166">
            <w:pPr>
              <w:rPr>
                <w:rFonts w:eastAsia="Times New Roman" w:cs="Calibri"/>
                <w:sz w:val="20"/>
                <w:szCs w:val="20"/>
                <w:lang w:eastAsia="en-AU"/>
              </w:rPr>
            </w:pPr>
            <w:r w:rsidRPr="00503F5B">
              <w:rPr>
                <w:rFonts w:eastAsia="Times New Roman" w:cs="Calibri"/>
                <w:sz w:val="20"/>
                <w:szCs w:val="20"/>
                <w:lang w:eastAsia="en-AU"/>
              </w:rPr>
              <w:t>2022-23</w:t>
            </w:r>
          </w:p>
        </w:tc>
        <w:tc>
          <w:tcPr>
            <w:tcW w:w="1416" w:type="dxa"/>
            <w:tcBorders>
              <w:top w:val="nil"/>
              <w:left w:val="nil"/>
              <w:bottom w:val="nil"/>
              <w:right w:val="nil"/>
            </w:tcBorders>
            <w:shd w:val="clear" w:color="000000" w:fill="FFFFFF"/>
            <w:noWrap/>
            <w:hideMark/>
          </w:tcPr>
          <w:p w14:paraId="7BDB267A" w14:textId="26E3975A" w:rsidR="00E76166" w:rsidRPr="00503F5B" w:rsidRDefault="00E76166" w:rsidP="00E76166">
            <w:pPr>
              <w:jc w:val="right"/>
              <w:rPr>
                <w:rFonts w:eastAsia="Times New Roman" w:cs="Calibri"/>
                <w:sz w:val="20"/>
                <w:szCs w:val="20"/>
                <w:lang w:eastAsia="en-AU"/>
              </w:rPr>
            </w:pPr>
            <w:r w:rsidRPr="00503F5B">
              <w:rPr>
                <w:rFonts w:cs="Calibri"/>
                <w:sz w:val="20"/>
                <w:szCs w:val="20"/>
              </w:rPr>
              <w:t>21,408</w:t>
            </w:r>
          </w:p>
        </w:tc>
        <w:tc>
          <w:tcPr>
            <w:tcW w:w="1537" w:type="dxa"/>
            <w:tcBorders>
              <w:top w:val="nil"/>
              <w:left w:val="nil"/>
              <w:bottom w:val="nil"/>
              <w:right w:val="nil"/>
            </w:tcBorders>
            <w:shd w:val="clear" w:color="000000" w:fill="FFFFFF"/>
            <w:noWrap/>
            <w:hideMark/>
          </w:tcPr>
          <w:p w14:paraId="2160055E" w14:textId="6F26BB85" w:rsidR="00E76166" w:rsidRPr="00503F5B" w:rsidRDefault="00E76166" w:rsidP="00E76166">
            <w:pPr>
              <w:jc w:val="right"/>
              <w:rPr>
                <w:rFonts w:eastAsia="Times New Roman" w:cs="Calibri"/>
                <w:sz w:val="20"/>
                <w:szCs w:val="20"/>
                <w:lang w:eastAsia="en-AU"/>
              </w:rPr>
            </w:pPr>
            <w:r w:rsidRPr="00503F5B">
              <w:rPr>
                <w:rFonts w:cs="Calibri"/>
                <w:sz w:val="20"/>
                <w:szCs w:val="20"/>
              </w:rPr>
              <w:t>2,627</w:t>
            </w:r>
          </w:p>
        </w:tc>
        <w:tc>
          <w:tcPr>
            <w:tcW w:w="1276" w:type="dxa"/>
            <w:tcBorders>
              <w:top w:val="nil"/>
              <w:left w:val="nil"/>
              <w:bottom w:val="nil"/>
              <w:right w:val="nil"/>
            </w:tcBorders>
            <w:shd w:val="clear" w:color="000000" w:fill="FFFFFF"/>
            <w:noWrap/>
            <w:hideMark/>
          </w:tcPr>
          <w:p w14:paraId="7BBAA21D" w14:textId="6E6A6BBC" w:rsidR="00E76166" w:rsidRPr="00503F5B" w:rsidRDefault="00E76166" w:rsidP="00E76166">
            <w:pPr>
              <w:jc w:val="right"/>
              <w:rPr>
                <w:rFonts w:eastAsia="Times New Roman" w:cs="Calibri"/>
                <w:sz w:val="20"/>
                <w:szCs w:val="20"/>
                <w:lang w:eastAsia="en-AU"/>
              </w:rPr>
            </w:pPr>
            <w:r w:rsidRPr="00503F5B">
              <w:rPr>
                <w:rFonts w:cs="Calibri"/>
                <w:sz w:val="20"/>
                <w:szCs w:val="20"/>
              </w:rPr>
              <w:t>24,035</w:t>
            </w:r>
          </w:p>
        </w:tc>
        <w:tc>
          <w:tcPr>
            <w:tcW w:w="941" w:type="dxa"/>
            <w:tcBorders>
              <w:top w:val="nil"/>
              <w:left w:val="nil"/>
              <w:bottom w:val="nil"/>
              <w:right w:val="nil"/>
            </w:tcBorders>
            <w:shd w:val="clear" w:color="auto" w:fill="FBE4D5" w:themeFill="accent2" w:themeFillTint="33"/>
          </w:tcPr>
          <w:p w14:paraId="41EA30DD" w14:textId="6296FF91" w:rsidR="00E76166" w:rsidRPr="00503F5B" w:rsidRDefault="00E76166" w:rsidP="00E76166">
            <w:pPr>
              <w:jc w:val="right"/>
              <w:rPr>
                <w:b/>
                <w:bCs/>
                <w:sz w:val="20"/>
                <w:szCs w:val="20"/>
              </w:rPr>
            </w:pPr>
            <w:r w:rsidRPr="00503F5B">
              <w:rPr>
                <w:rFonts w:cs="Calibri"/>
                <w:sz w:val="20"/>
                <w:szCs w:val="20"/>
              </w:rPr>
              <w:t>$578.48</w:t>
            </w:r>
          </w:p>
        </w:tc>
        <w:tc>
          <w:tcPr>
            <w:tcW w:w="1469" w:type="dxa"/>
            <w:tcBorders>
              <w:top w:val="nil"/>
              <w:left w:val="nil"/>
              <w:bottom w:val="nil"/>
              <w:right w:val="nil"/>
            </w:tcBorders>
            <w:shd w:val="clear" w:color="000000" w:fill="FFFFFF"/>
          </w:tcPr>
          <w:p w14:paraId="506171B7" w14:textId="55D756D5" w:rsidR="00E76166" w:rsidRPr="00503F5B" w:rsidRDefault="00E76166" w:rsidP="00E76166">
            <w:pPr>
              <w:jc w:val="right"/>
              <w:rPr>
                <w:b/>
                <w:bCs/>
                <w:sz w:val="20"/>
                <w:szCs w:val="20"/>
              </w:rPr>
            </w:pPr>
            <w:r w:rsidRPr="00503F5B">
              <w:rPr>
                <w:sz w:val="20"/>
                <w:szCs w:val="20"/>
              </w:rPr>
              <w:t>$13,903,879</w:t>
            </w:r>
          </w:p>
        </w:tc>
        <w:tc>
          <w:tcPr>
            <w:tcW w:w="1429" w:type="dxa"/>
            <w:tcBorders>
              <w:top w:val="nil"/>
              <w:left w:val="nil"/>
              <w:bottom w:val="nil"/>
              <w:right w:val="nil"/>
            </w:tcBorders>
            <w:shd w:val="clear" w:color="000000" w:fill="FFFFFF"/>
          </w:tcPr>
          <w:p w14:paraId="455454BE" w14:textId="412B1E91" w:rsidR="00E76166" w:rsidRPr="00503F5B" w:rsidRDefault="00E76166" w:rsidP="00E76166">
            <w:pPr>
              <w:jc w:val="right"/>
              <w:rPr>
                <w:b/>
                <w:bCs/>
                <w:sz w:val="20"/>
                <w:szCs w:val="20"/>
              </w:rPr>
            </w:pPr>
            <w:r w:rsidRPr="00503F5B">
              <w:rPr>
                <w:sz w:val="20"/>
                <w:szCs w:val="20"/>
              </w:rPr>
              <w:t>$12,360,497</w:t>
            </w:r>
          </w:p>
        </w:tc>
      </w:tr>
      <w:tr w:rsidR="00E76166" w:rsidRPr="00503F5B" w14:paraId="5F8023BA" w14:textId="77777777" w:rsidTr="00517C6D">
        <w:trPr>
          <w:trHeight w:val="50"/>
          <w:jc w:val="center"/>
        </w:trPr>
        <w:tc>
          <w:tcPr>
            <w:tcW w:w="1016" w:type="dxa"/>
            <w:tcBorders>
              <w:top w:val="nil"/>
              <w:left w:val="nil"/>
              <w:bottom w:val="nil"/>
              <w:right w:val="nil"/>
            </w:tcBorders>
            <w:shd w:val="clear" w:color="000000" w:fill="FFFFFF"/>
            <w:noWrap/>
            <w:hideMark/>
          </w:tcPr>
          <w:p w14:paraId="79F55E2D" w14:textId="77777777" w:rsidR="00E76166" w:rsidRPr="00503F5B" w:rsidRDefault="00E76166" w:rsidP="00E76166">
            <w:pPr>
              <w:rPr>
                <w:rFonts w:eastAsia="Times New Roman" w:cs="Calibri"/>
                <w:sz w:val="20"/>
                <w:szCs w:val="20"/>
                <w:lang w:eastAsia="en-AU"/>
              </w:rPr>
            </w:pPr>
            <w:r w:rsidRPr="00503F5B">
              <w:rPr>
                <w:rFonts w:eastAsia="Times New Roman" w:cs="Calibri"/>
                <w:sz w:val="20"/>
                <w:szCs w:val="20"/>
                <w:lang w:eastAsia="en-AU"/>
              </w:rPr>
              <w:t>2023-24</w:t>
            </w:r>
          </w:p>
        </w:tc>
        <w:tc>
          <w:tcPr>
            <w:tcW w:w="1416" w:type="dxa"/>
            <w:tcBorders>
              <w:top w:val="nil"/>
              <w:left w:val="nil"/>
              <w:bottom w:val="nil"/>
              <w:right w:val="nil"/>
            </w:tcBorders>
            <w:shd w:val="clear" w:color="000000" w:fill="FFFFFF"/>
            <w:noWrap/>
            <w:hideMark/>
          </w:tcPr>
          <w:p w14:paraId="552AE00E" w14:textId="04320E06" w:rsidR="00E76166" w:rsidRPr="00503F5B" w:rsidRDefault="00E76166" w:rsidP="00E76166">
            <w:pPr>
              <w:jc w:val="right"/>
              <w:rPr>
                <w:rFonts w:eastAsia="Times New Roman" w:cs="Calibri"/>
                <w:sz w:val="20"/>
                <w:szCs w:val="20"/>
                <w:lang w:eastAsia="en-AU"/>
              </w:rPr>
            </w:pPr>
            <w:r w:rsidRPr="00503F5B">
              <w:rPr>
                <w:rFonts w:cs="Calibri"/>
                <w:sz w:val="20"/>
                <w:szCs w:val="20"/>
              </w:rPr>
              <w:t>22,369</w:t>
            </w:r>
          </w:p>
        </w:tc>
        <w:tc>
          <w:tcPr>
            <w:tcW w:w="1537" w:type="dxa"/>
            <w:tcBorders>
              <w:top w:val="nil"/>
              <w:left w:val="nil"/>
              <w:bottom w:val="nil"/>
              <w:right w:val="nil"/>
            </w:tcBorders>
            <w:shd w:val="clear" w:color="000000" w:fill="FFFFFF"/>
            <w:noWrap/>
            <w:hideMark/>
          </w:tcPr>
          <w:p w14:paraId="68E24EBA" w14:textId="11CB52A7" w:rsidR="00E76166" w:rsidRPr="00503F5B" w:rsidRDefault="00E76166" w:rsidP="00E76166">
            <w:pPr>
              <w:jc w:val="right"/>
              <w:rPr>
                <w:rFonts w:eastAsia="Times New Roman" w:cs="Calibri"/>
                <w:sz w:val="20"/>
                <w:szCs w:val="20"/>
                <w:lang w:eastAsia="en-AU"/>
              </w:rPr>
            </w:pPr>
            <w:r w:rsidRPr="00503F5B">
              <w:rPr>
                <w:rFonts w:cs="Calibri"/>
                <w:sz w:val="20"/>
                <w:szCs w:val="20"/>
              </w:rPr>
              <w:t>2,320</w:t>
            </w:r>
          </w:p>
        </w:tc>
        <w:tc>
          <w:tcPr>
            <w:tcW w:w="1276" w:type="dxa"/>
            <w:tcBorders>
              <w:top w:val="nil"/>
              <w:left w:val="nil"/>
              <w:bottom w:val="nil"/>
              <w:right w:val="nil"/>
            </w:tcBorders>
            <w:shd w:val="clear" w:color="000000" w:fill="FFFFFF"/>
            <w:noWrap/>
            <w:hideMark/>
          </w:tcPr>
          <w:p w14:paraId="4CF32703" w14:textId="03B3EF68" w:rsidR="00E76166" w:rsidRPr="00503F5B" w:rsidRDefault="00E76166" w:rsidP="00E76166">
            <w:pPr>
              <w:jc w:val="right"/>
              <w:rPr>
                <w:rFonts w:eastAsia="Times New Roman" w:cs="Calibri"/>
                <w:sz w:val="20"/>
                <w:szCs w:val="20"/>
                <w:lang w:eastAsia="en-AU"/>
              </w:rPr>
            </w:pPr>
            <w:r w:rsidRPr="00503F5B">
              <w:rPr>
                <w:rFonts w:cs="Calibri"/>
                <w:sz w:val="20"/>
                <w:szCs w:val="20"/>
              </w:rPr>
              <w:t>24,689</w:t>
            </w:r>
          </w:p>
        </w:tc>
        <w:tc>
          <w:tcPr>
            <w:tcW w:w="941" w:type="dxa"/>
            <w:tcBorders>
              <w:top w:val="nil"/>
              <w:left w:val="nil"/>
              <w:bottom w:val="nil"/>
              <w:right w:val="nil"/>
            </w:tcBorders>
            <w:shd w:val="clear" w:color="auto" w:fill="FBE4D5" w:themeFill="accent2" w:themeFillTint="33"/>
          </w:tcPr>
          <w:p w14:paraId="272C7815" w14:textId="2E407DD0" w:rsidR="00E76166" w:rsidRPr="00503F5B" w:rsidRDefault="00E76166" w:rsidP="00E76166">
            <w:pPr>
              <w:jc w:val="right"/>
              <w:rPr>
                <w:b/>
                <w:bCs/>
                <w:sz w:val="20"/>
                <w:szCs w:val="20"/>
              </w:rPr>
            </w:pPr>
            <w:r w:rsidRPr="00503F5B">
              <w:rPr>
                <w:rFonts w:cs="Calibri"/>
                <w:sz w:val="20"/>
                <w:szCs w:val="20"/>
              </w:rPr>
              <w:t>$578.48</w:t>
            </w:r>
          </w:p>
        </w:tc>
        <w:tc>
          <w:tcPr>
            <w:tcW w:w="1469" w:type="dxa"/>
            <w:tcBorders>
              <w:top w:val="nil"/>
              <w:left w:val="nil"/>
              <w:bottom w:val="nil"/>
              <w:right w:val="nil"/>
            </w:tcBorders>
            <w:shd w:val="clear" w:color="000000" w:fill="FFFFFF"/>
          </w:tcPr>
          <w:p w14:paraId="700776DF" w14:textId="7B2765EE" w:rsidR="00E76166" w:rsidRPr="00503F5B" w:rsidRDefault="00E76166" w:rsidP="00E76166">
            <w:pPr>
              <w:jc w:val="right"/>
              <w:rPr>
                <w:b/>
                <w:bCs/>
                <w:sz w:val="20"/>
                <w:szCs w:val="20"/>
              </w:rPr>
            </w:pPr>
            <w:r w:rsidRPr="00503F5B">
              <w:rPr>
                <w:sz w:val="20"/>
                <w:szCs w:val="20"/>
              </w:rPr>
              <w:t>$14,281,862</w:t>
            </w:r>
          </w:p>
        </w:tc>
        <w:tc>
          <w:tcPr>
            <w:tcW w:w="1429" w:type="dxa"/>
            <w:tcBorders>
              <w:top w:val="nil"/>
              <w:left w:val="nil"/>
              <w:bottom w:val="nil"/>
              <w:right w:val="nil"/>
            </w:tcBorders>
            <w:shd w:val="clear" w:color="000000" w:fill="FFFFFF"/>
          </w:tcPr>
          <w:p w14:paraId="69684085" w14:textId="317E65B4" w:rsidR="00E76166" w:rsidRPr="00503F5B" w:rsidRDefault="00E76166" w:rsidP="00E76166">
            <w:pPr>
              <w:jc w:val="right"/>
              <w:rPr>
                <w:b/>
                <w:bCs/>
                <w:sz w:val="20"/>
                <w:szCs w:val="20"/>
              </w:rPr>
            </w:pPr>
            <w:r w:rsidRPr="00503F5B">
              <w:rPr>
                <w:sz w:val="20"/>
                <w:szCs w:val="20"/>
              </w:rPr>
              <w:t>$12,208,196</w:t>
            </w:r>
          </w:p>
        </w:tc>
      </w:tr>
      <w:tr w:rsidR="00E76166" w:rsidRPr="00503F5B" w14:paraId="1470CEF7" w14:textId="77777777" w:rsidTr="00517C6D">
        <w:trPr>
          <w:trHeight w:val="50"/>
          <w:jc w:val="center"/>
        </w:trPr>
        <w:tc>
          <w:tcPr>
            <w:tcW w:w="1016" w:type="dxa"/>
            <w:tcBorders>
              <w:top w:val="nil"/>
              <w:left w:val="nil"/>
              <w:bottom w:val="nil"/>
              <w:right w:val="nil"/>
            </w:tcBorders>
            <w:shd w:val="clear" w:color="000000" w:fill="FFFFFF"/>
            <w:noWrap/>
            <w:hideMark/>
          </w:tcPr>
          <w:p w14:paraId="51E7889C" w14:textId="77777777" w:rsidR="00E76166" w:rsidRPr="00503F5B" w:rsidRDefault="00E76166" w:rsidP="00E76166">
            <w:pPr>
              <w:rPr>
                <w:rFonts w:eastAsia="Times New Roman" w:cs="Calibri"/>
                <w:sz w:val="20"/>
                <w:szCs w:val="20"/>
                <w:lang w:eastAsia="en-AU"/>
              </w:rPr>
            </w:pPr>
            <w:r w:rsidRPr="00503F5B">
              <w:rPr>
                <w:rFonts w:eastAsia="Times New Roman" w:cs="Calibri"/>
                <w:sz w:val="20"/>
                <w:szCs w:val="20"/>
                <w:lang w:eastAsia="en-AU"/>
              </w:rPr>
              <w:t>2024-25</w:t>
            </w:r>
          </w:p>
        </w:tc>
        <w:tc>
          <w:tcPr>
            <w:tcW w:w="1416" w:type="dxa"/>
            <w:tcBorders>
              <w:top w:val="nil"/>
              <w:left w:val="nil"/>
              <w:bottom w:val="nil"/>
              <w:right w:val="nil"/>
            </w:tcBorders>
            <w:shd w:val="clear" w:color="000000" w:fill="FFFFFF"/>
            <w:noWrap/>
            <w:hideMark/>
          </w:tcPr>
          <w:p w14:paraId="3A70B40B" w14:textId="0F50A3BF" w:rsidR="00E76166" w:rsidRPr="00503F5B" w:rsidRDefault="00E76166" w:rsidP="00E76166">
            <w:pPr>
              <w:jc w:val="right"/>
              <w:rPr>
                <w:rFonts w:eastAsia="Times New Roman" w:cs="Calibri"/>
                <w:sz w:val="20"/>
                <w:szCs w:val="20"/>
                <w:lang w:eastAsia="en-AU"/>
              </w:rPr>
            </w:pPr>
            <w:r w:rsidRPr="00503F5B">
              <w:rPr>
                <w:rFonts w:cs="Calibri"/>
                <w:sz w:val="20"/>
                <w:szCs w:val="20"/>
              </w:rPr>
              <w:t>23,373</w:t>
            </w:r>
          </w:p>
        </w:tc>
        <w:tc>
          <w:tcPr>
            <w:tcW w:w="1537" w:type="dxa"/>
            <w:tcBorders>
              <w:top w:val="nil"/>
              <w:left w:val="nil"/>
              <w:bottom w:val="nil"/>
              <w:right w:val="nil"/>
            </w:tcBorders>
            <w:shd w:val="clear" w:color="000000" w:fill="FFFFFF"/>
            <w:noWrap/>
            <w:hideMark/>
          </w:tcPr>
          <w:p w14:paraId="10B7EF01" w14:textId="004DF337" w:rsidR="00E76166" w:rsidRPr="00503F5B" w:rsidRDefault="00E76166" w:rsidP="00E76166">
            <w:pPr>
              <w:jc w:val="right"/>
              <w:rPr>
                <w:rFonts w:eastAsia="Times New Roman" w:cs="Calibri"/>
                <w:sz w:val="20"/>
                <w:szCs w:val="20"/>
                <w:lang w:eastAsia="en-AU"/>
              </w:rPr>
            </w:pPr>
            <w:r w:rsidRPr="00503F5B">
              <w:rPr>
                <w:rFonts w:cs="Calibri"/>
                <w:sz w:val="20"/>
                <w:szCs w:val="20"/>
              </w:rPr>
              <w:t>2,049</w:t>
            </w:r>
          </w:p>
        </w:tc>
        <w:tc>
          <w:tcPr>
            <w:tcW w:w="1276" w:type="dxa"/>
            <w:tcBorders>
              <w:top w:val="nil"/>
              <w:left w:val="nil"/>
              <w:bottom w:val="nil"/>
              <w:right w:val="nil"/>
            </w:tcBorders>
            <w:shd w:val="clear" w:color="000000" w:fill="FFFFFF"/>
            <w:noWrap/>
            <w:hideMark/>
          </w:tcPr>
          <w:p w14:paraId="7B58A724" w14:textId="28F40FAC" w:rsidR="00E76166" w:rsidRPr="00503F5B" w:rsidRDefault="00E76166" w:rsidP="00E76166">
            <w:pPr>
              <w:jc w:val="right"/>
              <w:rPr>
                <w:rFonts w:eastAsia="Times New Roman" w:cs="Calibri"/>
                <w:sz w:val="20"/>
                <w:szCs w:val="20"/>
                <w:lang w:eastAsia="en-AU"/>
              </w:rPr>
            </w:pPr>
            <w:r w:rsidRPr="00503F5B">
              <w:rPr>
                <w:rFonts w:cs="Calibri"/>
                <w:sz w:val="20"/>
                <w:szCs w:val="20"/>
              </w:rPr>
              <w:t>25,421</w:t>
            </w:r>
          </w:p>
        </w:tc>
        <w:tc>
          <w:tcPr>
            <w:tcW w:w="941" w:type="dxa"/>
            <w:tcBorders>
              <w:top w:val="nil"/>
              <w:left w:val="nil"/>
              <w:bottom w:val="nil"/>
              <w:right w:val="nil"/>
            </w:tcBorders>
            <w:shd w:val="clear" w:color="auto" w:fill="FBE4D5" w:themeFill="accent2" w:themeFillTint="33"/>
          </w:tcPr>
          <w:p w14:paraId="13110F9C" w14:textId="5910892C" w:rsidR="00E76166" w:rsidRPr="00503F5B" w:rsidRDefault="00E76166" w:rsidP="00E76166">
            <w:pPr>
              <w:jc w:val="right"/>
              <w:rPr>
                <w:b/>
                <w:bCs/>
                <w:sz w:val="20"/>
                <w:szCs w:val="20"/>
              </w:rPr>
            </w:pPr>
            <w:r w:rsidRPr="00503F5B">
              <w:rPr>
                <w:rFonts w:cs="Calibri"/>
                <w:sz w:val="20"/>
                <w:szCs w:val="20"/>
              </w:rPr>
              <w:t>$578.48</w:t>
            </w:r>
          </w:p>
        </w:tc>
        <w:tc>
          <w:tcPr>
            <w:tcW w:w="1469" w:type="dxa"/>
            <w:tcBorders>
              <w:top w:val="nil"/>
              <w:left w:val="nil"/>
              <w:bottom w:val="nil"/>
              <w:right w:val="nil"/>
            </w:tcBorders>
            <w:shd w:val="clear" w:color="000000" w:fill="FFFFFF"/>
          </w:tcPr>
          <w:p w14:paraId="10908D25" w14:textId="6A6B5491" w:rsidR="00E76166" w:rsidRPr="00503F5B" w:rsidRDefault="00E76166" w:rsidP="00E76166">
            <w:pPr>
              <w:jc w:val="right"/>
              <w:rPr>
                <w:b/>
                <w:bCs/>
                <w:sz w:val="20"/>
                <w:szCs w:val="20"/>
              </w:rPr>
            </w:pPr>
            <w:r w:rsidRPr="00503F5B">
              <w:rPr>
                <w:sz w:val="20"/>
                <w:szCs w:val="20"/>
              </w:rPr>
              <w:t>$14,705,592</w:t>
            </w:r>
          </w:p>
        </w:tc>
        <w:tc>
          <w:tcPr>
            <w:tcW w:w="1429" w:type="dxa"/>
            <w:tcBorders>
              <w:top w:val="nil"/>
              <w:left w:val="nil"/>
              <w:bottom w:val="nil"/>
              <w:right w:val="nil"/>
            </w:tcBorders>
            <w:shd w:val="clear" w:color="000000" w:fill="FFFFFF"/>
          </w:tcPr>
          <w:p w14:paraId="14838422" w14:textId="32983AFC" w:rsidR="00E76166" w:rsidRPr="00503F5B" w:rsidRDefault="00E76166" w:rsidP="00E76166">
            <w:pPr>
              <w:jc w:val="right"/>
              <w:rPr>
                <w:b/>
                <w:bCs/>
                <w:sz w:val="20"/>
                <w:szCs w:val="20"/>
              </w:rPr>
            </w:pPr>
            <w:r w:rsidRPr="00503F5B">
              <w:rPr>
                <w:sz w:val="20"/>
                <w:szCs w:val="20"/>
              </w:rPr>
              <w:t>$12,086,924</w:t>
            </w:r>
          </w:p>
        </w:tc>
      </w:tr>
      <w:tr w:rsidR="00E76166" w:rsidRPr="00503F5B" w14:paraId="041BEC32" w14:textId="77777777" w:rsidTr="00517C6D">
        <w:trPr>
          <w:trHeight w:val="50"/>
          <w:jc w:val="center"/>
        </w:trPr>
        <w:tc>
          <w:tcPr>
            <w:tcW w:w="1016" w:type="dxa"/>
            <w:tcBorders>
              <w:top w:val="nil"/>
              <w:left w:val="nil"/>
              <w:bottom w:val="nil"/>
              <w:right w:val="nil"/>
            </w:tcBorders>
            <w:shd w:val="clear" w:color="000000" w:fill="FFFFFF"/>
            <w:noWrap/>
            <w:hideMark/>
          </w:tcPr>
          <w:p w14:paraId="46C09F90" w14:textId="77777777" w:rsidR="00E76166" w:rsidRPr="00503F5B" w:rsidRDefault="00E76166" w:rsidP="00E76166">
            <w:pPr>
              <w:rPr>
                <w:rFonts w:eastAsia="Times New Roman" w:cs="Calibri"/>
                <w:sz w:val="20"/>
                <w:szCs w:val="20"/>
                <w:lang w:eastAsia="en-AU"/>
              </w:rPr>
            </w:pPr>
            <w:r w:rsidRPr="00503F5B">
              <w:rPr>
                <w:rFonts w:eastAsia="Times New Roman" w:cs="Calibri"/>
                <w:sz w:val="20"/>
                <w:szCs w:val="20"/>
                <w:lang w:eastAsia="en-AU"/>
              </w:rPr>
              <w:t>2025-26</w:t>
            </w:r>
          </w:p>
        </w:tc>
        <w:tc>
          <w:tcPr>
            <w:tcW w:w="1416" w:type="dxa"/>
            <w:tcBorders>
              <w:top w:val="nil"/>
              <w:left w:val="nil"/>
              <w:bottom w:val="nil"/>
              <w:right w:val="nil"/>
            </w:tcBorders>
            <w:shd w:val="clear" w:color="000000" w:fill="FFFFFF"/>
            <w:noWrap/>
            <w:hideMark/>
          </w:tcPr>
          <w:p w14:paraId="66B63C3D" w14:textId="23A68645" w:rsidR="00E76166" w:rsidRPr="00503F5B" w:rsidRDefault="00E76166" w:rsidP="00E76166">
            <w:pPr>
              <w:jc w:val="right"/>
              <w:rPr>
                <w:rFonts w:eastAsia="Times New Roman" w:cs="Calibri"/>
                <w:sz w:val="20"/>
                <w:szCs w:val="20"/>
                <w:lang w:eastAsia="en-AU"/>
              </w:rPr>
            </w:pPr>
            <w:r w:rsidRPr="00503F5B">
              <w:rPr>
                <w:rFonts w:cs="Calibri"/>
                <w:sz w:val="20"/>
                <w:szCs w:val="20"/>
              </w:rPr>
              <w:t>24,422</w:t>
            </w:r>
          </w:p>
        </w:tc>
        <w:tc>
          <w:tcPr>
            <w:tcW w:w="1537" w:type="dxa"/>
            <w:tcBorders>
              <w:top w:val="nil"/>
              <w:left w:val="nil"/>
              <w:bottom w:val="nil"/>
              <w:right w:val="nil"/>
            </w:tcBorders>
            <w:shd w:val="clear" w:color="000000" w:fill="FFFFFF"/>
            <w:noWrap/>
            <w:hideMark/>
          </w:tcPr>
          <w:p w14:paraId="7831E3B2" w14:textId="4978281F" w:rsidR="00E76166" w:rsidRPr="00503F5B" w:rsidRDefault="00E76166" w:rsidP="00E76166">
            <w:pPr>
              <w:jc w:val="right"/>
              <w:rPr>
                <w:rFonts w:eastAsia="Times New Roman" w:cs="Calibri"/>
                <w:sz w:val="20"/>
                <w:szCs w:val="20"/>
                <w:lang w:eastAsia="en-AU"/>
              </w:rPr>
            </w:pPr>
            <w:r w:rsidRPr="00503F5B">
              <w:rPr>
                <w:rFonts w:cs="Calibri"/>
                <w:sz w:val="20"/>
                <w:szCs w:val="20"/>
              </w:rPr>
              <w:t>1,809</w:t>
            </w:r>
          </w:p>
        </w:tc>
        <w:tc>
          <w:tcPr>
            <w:tcW w:w="1276" w:type="dxa"/>
            <w:tcBorders>
              <w:top w:val="nil"/>
              <w:left w:val="nil"/>
              <w:bottom w:val="nil"/>
              <w:right w:val="nil"/>
            </w:tcBorders>
            <w:shd w:val="clear" w:color="000000" w:fill="FFFFFF"/>
            <w:noWrap/>
            <w:hideMark/>
          </w:tcPr>
          <w:p w14:paraId="2CF92751" w14:textId="3609F760" w:rsidR="00E76166" w:rsidRPr="00503F5B" w:rsidRDefault="00E76166" w:rsidP="00E76166">
            <w:pPr>
              <w:jc w:val="right"/>
              <w:rPr>
                <w:rFonts w:eastAsia="Times New Roman" w:cs="Calibri"/>
                <w:sz w:val="20"/>
                <w:szCs w:val="20"/>
                <w:lang w:eastAsia="en-AU"/>
              </w:rPr>
            </w:pPr>
            <w:r w:rsidRPr="00503F5B">
              <w:rPr>
                <w:rFonts w:cs="Calibri"/>
                <w:sz w:val="20"/>
                <w:szCs w:val="20"/>
              </w:rPr>
              <w:t>26,230</w:t>
            </w:r>
          </w:p>
        </w:tc>
        <w:tc>
          <w:tcPr>
            <w:tcW w:w="941" w:type="dxa"/>
            <w:tcBorders>
              <w:top w:val="nil"/>
              <w:left w:val="nil"/>
              <w:bottom w:val="nil"/>
              <w:right w:val="nil"/>
            </w:tcBorders>
            <w:shd w:val="clear" w:color="auto" w:fill="FBE4D5" w:themeFill="accent2" w:themeFillTint="33"/>
          </w:tcPr>
          <w:p w14:paraId="6D660772" w14:textId="151B9623" w:rsidR="00E76166" w:rsidRPr="00503F5B" w:rsidRDefault="00E76166" w:rsidP="00E76166">
            <w:pPr>
              <w:jc w:val="right"/>
              <w:rPr>
                <w:b/>
                <w:bCs/>
                <w:sz w:val="20"/>
                <w:szCs w:val="20"/>
              </w:rPr>
            </w:pPr>
            <w:r w:rsidRPr="00503F5B">
              <w:rPr>
                <w:rFonts w:cs="Calibri"/>
                <w:sz w:val="20"/>
                <w:szCs w:val="20"/>
              </w:rPr>
              <w:t>$578.48</w:t>
            </w:r>
          </w:p>
        </w:tc>
        <w:tc>
          <w:tcPr>
            <w:tcW w:w="1469" w:type="dxa"/>
            <w:tcBorders>
              <w:top w:val="nil"/>
              <w:left w:val="nil"/>
              <w:bottom w:val="nil"/>
              <w:right w:val="nil"/>
            </w:tcBorders>
            <w:shd w:val="clear" w:color="000000" w:fill="FFFFFF"/>
          </w:tcPr>
          <w:p w14:paraId="7E388304" w14:textId="5E5B8638" w:rsidR="00E76166" w:rsidRPr="00503F5B" w:rsidRDefault="00E76166" w:rsidP="00E76166">
            <w:pPr>
              <w:jc w:val="right"/>
              <w:rPr>
                <w:b/>
                <w:bCs/>
                <w:sz w:val="20"/>
                <w:szCs w:val="20"/>
              </w:rPr>
            </w:pPr>
            <w:r w:rsidRPr="00503F5B">
              <w:rPr>
                <w:sz w:val="20"/>
                <w:szCs w:val="20"/>
              </w:rPr>
              <w:t>$15,173,753</w:t>
            </w:r>
          </w:p>
        </w:tc>
        <w:tc>
          <w:tcPr>
            <w:tcW w:w="1429" w:type="dxa"/>
            <w:tcBorders>
              <w:top w:val="nil"/>
              <w:left w:val="nil"/>
              <w:bottom w:val="nil"/>
              <w:right w:val="nil"/>
            </w:tcBorders>
            <w:shd w:val="clear" w:color="000000" w:fill="FFFFFF"/>
          </w:tcPr>
          <w:p w14:paraId="59073227" w14:textId="7838F373" w:rsidR="00E76166" w:rsidRPr="00503F5B" w:rsidRDefault="00E76166" w:rsidP="00E76166">
            <w:pPr>
              <w:jc w:val="right"/>
              <w:rPr>
                <w:b/>
                <w:bCs/>
                <w:sz w:val="20"/>
                <w:szCs w:val="20"/>
              </w:rPr>
            </w:pPr>
            <w:r w:rsidRPr="00503F5B">
              <w:rPr>
                <w:sz w:val="20"/>
                <w:szCs w:val="20"/>
              </w:rPr>
              <w:t>$11,992,038</w:t>
            </w:r>
          </w:p>
        </w:tc>
      </w:tr>
      <w:tr w:rsidR="00E76166" w:rsidRPr="00503F5B" w14:paraId="2AD289F2" w14:textId="77777777" w:rsidTr="00517C6D">
        <w:trPr>
          <w:trHeight w:val="50"/>
          <w:jc w:val="center"/>
        </w:trPr>
        <w:tc>
          <w:tcPr>
            <w:tcW w:w="1016" w:type="dxa"/>
            <w:tcBorders>
              <w:top w:val="nil"/>
              <w:left w:val="nil"/>
              <w:bottom w:val="nil"/>
              <w:right w:val="nil"/>
            </w:tcBorders>
            <w:shd w:val="clear" w:color="000000" w:fill="FFFFFF"/>
            <w:noWrap/>
            <w:hideMark/>
          </w:tcPr>
          <w:p w14:paraId="3E40EE77" w14:textId="77777777" w:rsidR="00E76166" w:rsidRPr="00503F5B" w:rsidRDefault="00E76166" w:rsidP="00E76166">
            <w:pPr>
              <w:rPr>
                <w:rFonts w:eastAsia="Times New Roman" w:cs="Calibri"/>
                <w:sz w:val="20"/>
                <w:szCs w:val="20"/>
                <w:lang w:eastAsia="en-AU"/>
              </w:rPr>
            </w:pPr>
            <w:r w:rsidRPr="00503F5B">
              <w:rPr>
                <w:rFonts w:eastAsia="Times New Roman" w:cs="Calibri"/>
                <w:sz w:val="20"/>
                <w:szCs w:val="20"/>
                <w:lang w:eastAsia="en-AU"/>
              </w:rPr>
              <w:t>2026-27</w:t>
            </w:r>
          </w:p>
        </w:tc>
        <w:tc>
          <w:tcPr>
            <w:tcW w:w="1416" w:type="dxa"/>
            <w:tcBorders>
              <w:top w:val="nil"/>
              <w:left w:val="nil"/>
              <w:bottom w:val="nil"/>
              <w:right w:val="nil"/>
            </w:tcBorders>
            <w:shd w:val="clear" w:color="000000" w:fill="FFFFFF"/>
            <w:noWrap/>
            <w:hideMark/>
          </w:tcPr>
          <w:p w14:paraId="5C091CD3" w14:textId="4679BB2A" w:rsidR="00E76166" w:rsidRPr="00503F5B" w:rsidRDefault="00E76166" w:rsidP="00E76166">
            <w:pPr>
              <w:jc w:val="right"/>
              <w:rPr>
                <w:rFonts w:eastAsia="Times New Roman" w:cs="Calibri"/>
                <w:sz w:val="20"/>
                <w:szCs w:val="20"/>
                <w:lang w:eastAsia="en-AU"/>
              </w:rPr>
            </w:pPr>
            <w:r w:rsidRPr="00503F5B">
              <w:rPr>
                <w:rFonts w:cs="Calibri"/>
                <w:sz w:val="20"/>
                <w:szCs w:val="20"/>
              </w:rPr>
              <w:t>25,518</w:t>
            </w:r>
          </w:p>
        </w:tc>
        <w:tc>
          <w:tcPr>
            <w:tcW w:w="1537" w:type="dxa"/>
            <w:tcBorders>
              <w:top w:val="nil"/>
              <w:left w:val="nil"/>
              <w:bottom w:val="nil"/>
              <w:right w:val="nil"/>
            </w:tcBorders>
            <w:shd w:val="clear" w:color="000000" w:fill="FFFFFF"/>
            <w:noWrap/>
            <w:hideMark/>
          </w:tcPr>
          <w:p w14:paraId="64A3C36F" w14:textId="21A80E5F" w:rsidR="00E76166" w:rsidRPr="00503F5B" w:rsidRDefault="00E76166" w:rsidP="00E76166">
            <w:pPr>
              <w:jc w:val="right"/>
              <w:rPr>
                <w:rFonts w:eastAsia="Times New Roman" w:cs="Calibri"/>
                <w:sz w:val="20"/>
                <w:szCs w:val="20"/>
                <w:lang w:eastAsia="en-AU"/>
              </w:rPr>
            </w:pPr>
            <w:r w:rsidRPr="00503F5B">
              <w:rPr>
                <w:rFonts w:cs="Calibri"/>
                <w:sz w:val="20"/>
                <w:szCs w:val="20"/>
              </w:rPr>
              <w:t>1,597</w:t>
            </w:r>
          </w:p>
        </w:tc>
        <w:tc>
          <w:tcPr>
            <w:tcW w:w="1276" w:type="dxa"/>
            <w:tcBorders>
              <w:top w:val="nil"/>
              <w:left w:val="nil"/>
              <w:bottom w:val="nil"/>
              <w:right w:val="nil"/>
            </w:tcBorders>
            <w:shd w:val="clear" w:color="000000" w:fill="FFFFFF"/>
            <w:noWrap/>
            <w:hideMark/>
          </w:tcPr>
          <w:p w14:paraId="798D7208" w14:textId="3763F910" w:rsidR="00E76166" w:rsidRPr="00503F5B" w:rsidRDefault="00E76166" w:rsidP="00E76166">
            <w:pPr>
              <w:jc w:val="right"/>
              <w:rPr>
                <w:rFonts w:eastAsia="Times New Roman" w:cs="Calibri"/>
                <w:sz w:val="20"/>
                <w:szCs w:val="20"/>
                <w:lang w:eastAsia="en-AU"/>
              </w:rPr>
            </w:pPr>
            <w:r w:rsidRPr="00503F5B">
              <w:rPr>
                <w:rFonts w:cs="Calibri"/>
                <w:sz w:val="20"/>
                <w:szCs w:val="20"/>
              </w:rPr>
              <w:t>27,115</w:t>
            </w:r>
          </w:p>
        </w:tc>
        <w:tc>
          <w:tcPr>
            <w:tcW w:w="941" w:type="dxa"/>
            <w:tcBorders>
              <w:top w:val="nil"/>
              <w:left w:val="nil"/>
              <w:bottom w:val="nil"/>
              <w:right w:val="nil"/>
            </w:tcBorders>
            <w:shd w:val="clear" w:color="auto" w:fill="FBE4D5" w:themeFill="accent2" w:themeFillTint="33"/>
          </w:tcPr>
          <w:p w14:paraId="425C8EA6" w14:textId="3BE06C34" w:rsidR="00E76166" w:rsidRPr="00503F5B" w:rsidRDefault="00E76166" w:rsidP="00E76166">
            <w:pPr>
              <w:jc w:val="right"/>
              <w:rPr>
                <w:b/>
                <w:bCs/>
                <w:sz w:val="20"/>
                <w:szCs w:val="20"/>
              </w:rPr>
            </w:pPr>
            <w:r w:rsidRPr="00503F5B">
              <w:rPr>
                <w:rFonts w:cs="Calibri"/>
                <w:sz w:val="20"/>
                <w:szCs w:val="20"/>
              </w:rPr>
              <w:t>$578.48</w:t>
            </w:r>
          </w:p>
        </w:tc>
        <w:tc>
          <w:tcPr>
            <w:tcW w:w="1469" w:type="dxa"/>
            <w:tcBorders>
              <w:top w:val="nil"/>
              <w:left w:val="nil"/>
              <w:bottom w:val="nil"/>
              <w:right w:val="nil"/>
            </w:tcBorders>
            <w:shd w:val="clear" w:color="000000" w:fill="FFFFFF"/>
          </w:tcPr>
          <w:p w14:paraId="73D945F3" w14:textId="2BA3D03F" w:rsidR="00E76166" w:rsidRPr="00503F5B" w:rsidRDefault="00E76166" w:rsidP="00E76166">
            <w:pPr>
              <w:jc w:val="right"/>
              <w:rPr>
                <w:b/>
                <w:bCs/>
                <w:sz w:val="20"/>
                <w:szCs w:val="20"/>
              </w:rPr>
            </w:pPr>
            <w:r w:rsidRPr="00503F5B">
              <w:rPr>
                <w:sz w:val="20"/>
                <w:szCs w:val="20"/>
              </w:rPr>
              <w:t>$15,685,367</w:t>
            </w:r>
          </w:p>
        </w:tc>
        <w:tc>
          <w:tcPr>
            <w:tcW w:w="1429" w:type="dxa"/>
            <w:tcBorders>
              <w:top w:val="nil"/>
              <w:left w:val="nil"/>
              <w:bottom w:val="nil"/>
              <w:right w:val="nil"/>
            </w:tcBorders>
            <w:shd w:val="clear" w:color="000000" w:fill="FFFFFF"/>
          </w:tcPr>
          <w:p w14:paraId="715D7EB3" w14:textId="4678D40F" w:rsidR="00E76166" w:rsidRPr="00503F5B" w:rsidRDefault="00E76166" w:rsidP="00E76166">
            <w:pPr>
              <w:jc w:val="right"/>
              <w:rPr>
                <w:b/>
                <w:bCs/>
                <w:sz w:val="20"/>
                <w:szCs w:val="20"/>
              </w:rPr>
            </w:pPr>
            <w:r w:rsidRPr="00503F5B">
              <w:rPr>
                <w:sz w:val="20"/>
                <w:szCs w:val="20"/>
              </w:rPr>
              <w:t>$11,919,590</w:t>
            </w:r>
          </w:p>
        </w:tc>
      </w:tr>
      <w:tr w:rsidR="00E76166" w:rsidRPr="00503F5B" w14:paraId="595278B2" w14:textId="77777777" w:rsidTr="00517C6D">
        <w:trPr>
          <w:trHeight w:val="50"/>
          <w:jc w:val="center"/>
        </w:trPr>
        <w:tc>
          <w:tcPr>
            <w:tcW w:w="1016" w:type="dxa"/>
            <w:tcBorders>
              <w:top w:val="nil"/>
              <w:left w:val="nil"/>
              <w:bottom w:val="nil"/>
              <w:right w:val="nil"/>
            </w:tcBorders>
            <w:shd w:val="clear" w:color="000000" w:fill="FFFFFF"/>
            <w:noWrap/>
            <w:hideMark/>
          </w:tcPr>
          <w:p w14:paraId="6A02D890" w14:textId="77777777" w:rsidR="00E76166" w:rsidRPr="00503F5B" w:rsidRDefault="00E76166" w:rsidP="00E76166">
            <w:pPr>
              <w:rPr>
                <w:rFonts w:eastAsia="Times New Roman" w:cs="Calibri"/>
                <w:sz w:val="20"/>
                <w:szCs w:val="20"/>
                <w:lang w:eastAsia="en-AU"/>
              </w:rPr>
            </w:pPr>
            <w:r w:rsidRPr="00503F5B">
              <w:rPr>
                <w:rFonts w:eastAsia="Times New Roman" w:cs="Calibri"/>
                <w:sz w:val="20"/>
                <w:szCs w:val="20"/>
                <w:lang w:eastAsia="en-AU"/>
              </w:rPr>
              <w:t>2027-28</w:t>
            </w:r>
          </w:p>
        </w:tc>
        <w:tc>
          <w:tcPr>
            <w:tcW w:w="1416" w:type="dxa"/>
            <w:tcBorders>
              <w:top w:val="nil"/>
              <w:left w:val="nil"/>
              <w:bottom w:val="nil"/>
              <w:right w:val="nil"/>
            </w:tcBorders>
            <w:shd w:val="clear" w:color="000000" w:fill="FFFFFF"/>
            <w:noWrap/>
            <w:hideMark/>
          </w:tcPr>
          <w:p w14:paraId="0A3AE961" w14:textId="470E19A4" w:rsidR="00E76166" w:rsidRPr="00503F5B" w:rsidRDefault="00E76166" w:rsidP="00E76166">
            <w:pPr>
              <w:jc w:val="right"/>
              <w:rPr>
                <w:rFonts w:eastAsia="Times New Roman" w:cs="Calibri"/>
                <w:sz w:val="20"/>
                <w:szCs w:val="20"/>
                <w:lang w:eastAsia="en-AU"/>
              </w:rPr>
            </w:pPr>
            <w:r w:rsidRPr="00503F5B">
              <w:rPr>
                <w:rFonts w:cs="Calibri"/>
                <w:sz w:val="20"/>
                <w:szCs w:val="20"/>
              </w:rPr>
              <w:t>26,663</w:t>
            </w:r>
          </w:p>
        </w:tc>
        <w:tc>
          <w:tcPr>
            <w:tcW w:w="1537" w:type="dxa"/>
            <w:tcBorders>
              <w:top w:val="nil"/>
              <w:left w:val="nil"/>
              <w:bottom w:val="nil"/>
              <w:right w:val="nil"/>
            </w:tcBorders>
            <w:shd w:val="clear" w:color="000000" w:fill="FFFFFF"/>
            <w:noWrap/>
            <w:hideMark/>
          </w:tcPr>
          <w:p w14:paraId="1117D248" w14:textId="473C23F5" w:rsidR="00E76166" w:rsidRPr="00503F5B" w:rsidRDefault="00E76166" w:rsidP="00E76166">
            <w:pPr>
              <w:jc w:val="right"/>
              <w:rPr>
                <w:rFonts w:eastAsia="Times New Roman" w:cs="Calibri"/>
                <w:sz w:val="20"/>
                <w:szCs w:val="20"/>
                <w:lang w:eastAsia="en-AU"/>
              </w:rPr>
            </w:pPr>
            <w:r w:rsidRPr="00503F5B">
              <w:rPr>
                <w:rFonts w:cs="Calibri"/>
                <w:sz w:val="20"/>
                <w:szCs w:val="20"/>
              </w:rPr>
              <w:t>1,410</w:t>
            </w:r>
          </w:p>
        </w:tc>
        <w:tc>
          <w:tcPr>
            <w:tcW w:w="1276" w:type="dxa"/>
            <w:tcBorders>
              <w:top w:val="nil"/>
              <w:left w:val="nil"/>
              <w:bottom w:val="nil"/>
              <w:right w:val="nil"/>
            </w:tcBorders>
            <w:shd w:val="clear" w:color="000000" w:fill="FFFFFF"/>
            <w:noWrap/>
            <w:hideMark/>
          </w:tcPr>
          <w:p w14:paraId="59EAD5CB" w14:textId="1156B6D4" w:rsidR="00E76166" w:rsidRPr="00503F5B" w:rsidRDefault="00E76166" w:rsidP="00E76166">
            <w:pPr>
              <w:jc w:val="right"/>
              <w:rPr>
                <w:rFonts w:eastAsia="Times New Roman" w:cs="Calibri"/>
                <w:sz w:val="20"/>
                <w:szCs w:val="20"/>
                <w:lang w:eastAsia="en-AU"/>
              </w:rPr>
            </w:pPr>
            <w:r w:rsidRPr="00503F5B">
              <w:rPr>
                <w:rFonts w:cs="Calibri"/>
                <w:sz w:val="20"/>
                <w:szCs w:val="20"/>
              </w:rPr>
              <w:t>28,073</w:t>
            </w:r>
          </w:p>
        </w:tc>
        <w:tc>
          <w:tcPr>
            <w:tcW w:w="941" w:type="dxa"/>
            <w:tcBorders>
              <w:top w:val="nil"/>
              <w:left w:val="nil"/>
              <w:bottom w:val="nil"/>
              <w:right w:val="nil"/>
            </w:tcBorders>
            <w:shd w:val="clear" w:color="auto" w:fill="FBE4D5" w:themeFill="accent2" w:themeFillTint="33"/>
          </w:tcPr>
          <w:p w14:paraId="2118AB15" w14:textId="246C0EC1" w:rsidR="00E76166" w:rsidRPr="00503F5B" w:rsidRDefault="00E76166" w:rsidP="00E76166">
            <w:pPr>
              <w:jc w:val="right"/>
              <w:rPr>
                <w:b/>
                <w:bCs/>
                <w:sz w:val="20"/>
                <w:szCs w:val="20"/>
              </w:rPr>
            </w:pPr>
            <w:r w:rsidRPr="00503F5B">
              <w:rPr>
                <w:rFonts w:cs="Calibri"/>
                <w:sz w:val="20"/>
                <w:szCs w:val="20"/>
              </w:rPr>
              <w:t>$578.48</w:t>
            </w:r>
          </w:p>
        </w:tc>
        <w:tc>
          <w:tcPr>
            <w:tcW w:w="1469" w:type="dxa"/>
            <w:tcBorders>
              <w:top w:val="nil"/>
              <w:left w:val="nil"/>
              <w:bottom w:val="nil"/>
              <w:right w:val="nil"/>
            </w:tcBorders>
            <w:shd w:val="clear" w:color="000000" w:fill="FFFFFF"/>
          </w:tcPr>
          <w:p w14:paraId="4A681267" w14:textId="607ECAA4" w:rsidR="00E76166" w:rsidRPr="00503F5B" w:rsidRDefault="00E76166" w:rsidP="00E76166">
            <w:pPr>
              <w:jc w:val="right"/>
              <w:rPr>
                <w:b/>
                <w:bCs/>
                <w:sz w:val="20"/>
                <w:szCs w:val="20"/>
              </w:rPr>
            </w:pPr>
            <w:r w:rsidRPr="00503F5B">
              <w:rPr>
                <w:sz w:val="20"/>
                <w:szCs w:val="20"/>
              </w:rPr>
              <w:t>$16,239,759</w:t>
            </w:r>
          </w:p>
        </w:tc>
        <w:tc>
          <w:tcPr>
            <w:tcW w:w="1429" w:type="dxa"/>
            <w:tcBorders>
              <w:top w:val="nil"/>
              <w:left w:val="nil"/>
              <w:bottom w:val="nil"/>
              <w:right w:val="nil"/>
            </w:tcBorders>
            <w:shd w:val="clear" w:color="000000" w:fill="FFFFFF"/>
          </w:tcPr>
          <w:p w14:paraId="1596E817" w14:textId="7B30EF2F" w:rsidR="00E76166" w:rsidRPr="00503F5B" w:rsidRDefault="00E76166" w:rsidP="00E76166">
            <w:pPr>
              <w:jc w:val="right"/>
              <w:rPr>
                <w:b/>
                <w:bCs/>
                <w:sz w:val="20"/>
                <w:szCs w:val="20"/>
              </w:rPr>
            </w:pPr>
            <w:r w:rsidRPr="00503F5B">
              <w:rPr>
                <w:sz w:val="20"/>
                <w:szCs w:val="20"/>
              </w:rPr>
              <w:t>$11,866,233</w:t>
            </w:r>
          </w:p>
        </w:tc>
      </w:tr>
      <w:tr w:rsidR="00E76166" w:rsidRPr="00503F5B" w14:paraId="6E38B810" w14:textId="77777777" w:rsidTr="00517C6D">
        <w:trPr>
          <w:trHeight w:val="50"/>
          <w:jc w:val="center"/>
        </w:trPr>
        <w:tc>
          <w:tcPr>
            <w:tcW w:w="1016" w:type="dxa"/>
            <w:tcBorders>
              <w:top w:val="nil"/>
              <w:left w:val="nil"/>
              <w:bottom w:val="nil"/>
              <w:right w:val="nil"/>
            </w:tcBorders>
            <w:shd w:val="clear" w:color="000000" w:fill="FFFFFF"/>
            <w:noWrap/>
            <w:hideMark/>
          </w:tcPr>
          <w:p w14:paraId="4BED234C" w14:textId="77777777" w:rsidR="00E76166" w:rsidRPr="00503F5B" w:rsidRDefault="00E76166" w:rsidP="00E76166">
            <w:pPr>
              <w:rPr>
                <w:rFonts w:eastAsia="Times New Roman" w:cs="Calibri"/>
                <w:sz w:val="20"/>
                <w:szCs w:val="20"/>
                <w:lang w:eastAsia="en-AU"/>
              </w:rPr>
            </w:pPr>
            <w:r w:rsidRPr="00503F5B">
              <w:rPr>
                <w:rFonts w:eastAsia="Times New Roman" w:cs="Calibri"/>
                <w:sz w:val="20"/>
                <w:szCs w:val="20"/>
                <w:lang w:eastAsia="en-AU"/>
              </w:rPr>
              <w:t>2028-29</w:t>
            </w:r>
          </w:p>
        </w:tc>
        <w:tc>
          <w:tcPr>
            <w:tcW w:w="1416" w:type="dxa"/>
            <w:tcBorders>
              <w:top w:val="nil"/>
              <w:left w:val="nil"/>
              <w:bottom w:val="nil"/>
              <w:right w:val="nil"/>
            </w:tcBorders>
            <w:shd w:val="clear" w:color="000000" w:fill="FFFFFF"/>
            <w:noWrap/>
            <w:hideMark/>
          </w:tcPr>
          <w:p w14:paraId="63700442" w14:textId="02FA8B30" w:rsidR="00E76166" w:rsidRPr="00503F5B" w:rsidRDefault="00E76166" w:rsidP="00E76166">
            <w:pPr>
              <w:jc w:val="right"/>
              <w:rPr>
                <w:rFonts w:eastAsia="Times New Roman" w:cs="Calibri"/>
                <w:sz w:val="20"/>
                <w:szCs w:val="20"/>
                <w:lang w:eastAsia="en-AU"/>
              </w:rPr>
            </w:pPr>
            <w:r w:rsidRPr="00503F5B">
              <w:rPr>
                <w:rFonts w:cs="Calibri"/>
                <w:sz w:val="20"/>
                <w:szCs w:val="20"/>
              </w:rPr>
              <w:t>27,859</w:t>
            </w:r>
          </w:p>
        </w:tc>
        <w:tc>
          <w:tcPr>
            <w:tcW w:w="1537" w:type="dxa"/>
            <w:tcBorders>
              <w:top w:val="nil"/>
              <w:left w:val="nil"/>
              <w:bottom w:val="nil"/>
              <w:right w:val="nil"/>
            </w:tcBorders>
            <w:shd w:val="clear" w:color="000000" w:fill="FFFFFF"/>
            <w:noWrap/>
            <w:hideMark/>
          </w:tcPr>
          <w:p w14:paraId="5B603629" w14:textId="693C58D9" w:rsidR="00E76166" w:rsidRPr="00503F5B" w:rsidRDefault="00E76166" w:rsidP="00E76166">
            <w:pPr>
              <w:jc w:val="right"/>
              <w:rPr>
                <w:rFonts w:eastAsia="Times New Roman" w:cs="Calibri"/>
                <w:sz w:val="20"/>
                <w:szCs w:val="20"/>
                <w:lang w:eastAsia="en-AU"/>
              </w:rPr>
            </w:pPr>
            <w:r w:rsidRPr="00503F5B">
              <w:rPr>
                <w:rFonts w:cs="Calibri"/>
                <w:sz w:val="20"/>
                <w:szCs w:val="20"/>
              </w:rPr>
              <w:t>1,245</w:t>
            </w:r>
          </w:p>
        </w:tc>
        <w:tc>
          <w:tcPr>
            <w:tcW w:w="1276" w:type="dxa"/>
            <w:tcBorders>
              <w:top w:val="nil"/>
              <w:left w:val="nil"/>
              <w:bottom w:val="nil"/>
              <w:right w:val="nil"/>
            </w:tcBorders>
            <w:shd w:val="clear" w:color="000000" w:fill="FFFFFF"/>
            <w:noWrap/>
            <w:hideMark/>
          </w:tcPr>
          <w:p w14:paraId="150AA91A" w14:textId="46B09897" w:rsidR="00E76166" w:rsidRPr="00503F5B" w:rsidRDefault="00E76166" w:rsidP="00E76166">
            <w:pPr>
              <w:jc w:val="right"/>
              <w:rPr>
                <w:rFonts w:eastAsia="Times New Roman" w:cs="Calibri"/>
                <w:sz w:val="20"/>
                <w:szCs w:val="20"/>
                <w:lang w:eastAsia="en-AU"/>
              </w:rPr>
            </w:pPr>
            <w:r w:rsidRPr="00503F5B">
              <w:rPr>
                <w:rFonts w:cs="Calibri"/>
                <w:sz w:val="20"/>
                <w:szCs w:val="20"/>
              </w:rPr>
              <w:t>29,105</w:t>
            </w:r>
          </w:p>
        </w:tc>
        <w:tc>
          <w:tcPr>
            <w:tcW w:w="941" w:type="dxa"/>
            <w:tcBorders>
              <w:top w:val="nil"/>
              <w:left w:val="nil"/>
              <w:bottom w:val="nil"/>
              <w:right w:val="nil"/>
            </w:tcBorders>
            <w:shd w:val="clear" w:color="auto" w:fill="FBE4D5" w:themeFill="accent2" w:themeFillTint="33"/>
          </w:tcPr>
          <w:p w14:paraId="5505F4A1" w14:textId="1F54D6B6" w:rsidR="00E76166" w:rsidRPr="00503F5B" w:rsidRDefault="00E76166" w:rsidP="00E76166">
            <w:pPr>
              <w:jc w:val="right"/>
              <w:rPr>
                <w:b/>
                <w:bCs/>
                <w:sz w:val="20"/>
                <w:szCs w:val="20"/>
              </w:rPr>
            </w:pPr>
            <w:r w:rsidRPr="00503F5B">
              <w:rPr>
                <w:rFonts w:cs="Calibri"/>
                <w:sz w:val="20"/>
                <w:szCs w:val="20"/>
              </w:rPr>
              <w:t>$578.48</w:t>
            </w:r>
          </w:p>
        </w:tc>
        <w:tc>
          <w:tcPr>
            <w:tcW w:w="1469" w:type="dxa"/>
            <w:tcBorders>
              <w:top w:val="nil"/>
              <w:left w:val="nil"/>
              <w:bottom w:val="nil"/>
              <w:right w:val="nil"/>
            </w:tcBorders>
            <w:shd w:val="clear" w:color="000000" w:fill="FFFFFF"/>
          </w:tcPr>
          <w:p w14:paraId="6086A871" w14:textId="14BDC8AE" w:rsidR="00E76166" w:rsidRPr="00503F5B" w:rsidRDefault="00E76166" w:rsidP="00E76166">
            <w:pPr>
              <w:jc w:val="right"/>
              <w:rPr>
                <w:b/>
                <w:bCs/>
                <w:sz w:val="20"/>
                <w:szCs w:val="20"/>
              </w:rPr>
            </w:pPr>
            <w:r w:rsidRPr="00503F5B">
              <w:rPr>
                <w:sz w:val="20"/>
                <w:szCs w:val="20"/>
              </w:rPr>
              <w:t>$16,836,529</w:t>
            </w:r>
          </w:p>
        </w:tc>
        <w:tc>
          <w:tcPr>
            <w:tcW w:w="1429" w:type="dxa"/>
            <w:tcBorders>
              <w:top w:val="nil"/>
              <w:left w:val="nil"/>
              <w:bottom w:val="nil"/>
              <w:right w:val="nil"/>
            </w:tcBorders>
            <w:shd w:val="clear" w:color="000000" w:fill="FFFFFF"/>
          </w:tcPr>
          <w:p w14:paraId="28F8DCBB" w14:textId="4FC87667" w:rsidR="00E76166" w:rsidRPr="00503F5B" w:rsidRDefault="00E76166" w:rsidP="00E76166">
            <w:pPr>
              <w:jc w:val="right"/>
              <w:rPr>
                <w:b/>
                <w:bCs/>
                <w:sz w:val="20"/>
                <w:szCs w:val="20"/>
              </w:rPr>
            </w:pPr>
            <w:r w:rsidRPr="00503F5B">
              <w:rPr>
                <w:sz w:val="20"/>
                <w:szCs w:val="20"/>
              </w:rPr>
              <w:t>$11,829,122</w:t>
            </w:r>
          </w:p>
        </w:tc>
      </w:tr>
      <w:tr w:rsidR="00E76166" w:rsidRPr="00503F5B" w14:paraId="00276428" w14:textId="77777777" w:rsidTr="00517C6D">
        <w:trPr>
          <w:trHeight w:val="50"/>
          <w:jc w:val="center"/>
        </w:trPr>
        <w:tc>
          <w:tcPr>
            <w:tcW w:w="1016" w:type="dxa"/>
            <w:tcBorders>
              <w:top w:val="nil"/>
              <w:left w:val="nil"/>
              <w:bottom w:val="single" w:sz="4" w:space="0" w:color="ED7C5D"/>
              <w:right w:val="nil"/>
            </w:tcBorders>
            <w:shd w:val="clear" w:color="000000" w:fill="FFFFFF"/>
            <w:noWrap/>
            <w:hideMark/>
          </w:tcPr>
          <w:p w14:paraId="10FA3E9E" w14:textId="77777777" w:rsidR="00E76166" w:rsidRPr="00503F5B" w:rsidRDefault="00E76166" w:rsidP="00E76166">
            <w:pPr>
              <w:rPr>
                <w:rFonts w:eastAsia="Times New Roman" w:cs="Calibri"/>
                <w:sz w:val="20"/>
                <w:szCs w:val="20"/>
                <w:lang w:eastAsia="en-AU"/>
              </w:rPr>
            </w:pPr>
            <w:r w:rsidRPr="00503F5B">
              <w:rPr>
                <w:rFonts w:eastAsia="Times New Roman" w:cs="Calibri"/>
                <w:sz w:val="20"/>
                <w:szCs w:val="20"/>
                <w:lang w:eastAsia="en-AU"/>
              </w:rPr>
              <w:t>2029-30</w:t>
            </w:r>
          </w:p>
        </w:tc>
        <w:tc>
          <w:tcPr>
            <w:tcW w:w="1416" w:type="dxa"/>
            <w:tcBorders>
              <w:top w:val="nil"/>
              <w:left w:val="nil"/>
              <w:bottom w:val="single" w:sz="4" w:space="0" w:color="ED7C5D"/>
              <w:right w:val="nil"/>
            </w:tcBorders>
            <w:shd w:val="clear" w:color="000000" w:fill="FFFFFF"/>
            <w:noWrap/>
            <w:hideMark/>
          </w:tcPr>
          <w:p w14:paraId="6B40F02A" w14:textId="60BA6569" w:rsidR="00E76166" w:rsidRPr="00503F5B" w:rsidRDefault="00E76166" w:rsidP="00E76166">
            <w:pPr>
              <w:jc w:val="right"/>
              <w:rPr>
                <w:rFonts w:eastAsia="Times New Roman" w:cs="Calibri"/>
                <w:sz w:val="20"/>
                <w:szCs w:val="20"/>
                <w:lang w:eastAsia="en-AU"/>
              </w:rPr>
            </w:pPr>
            <w:r w:rsidRPr="00503F5B">
              <w:rPr>
                <w:rFonts w:cs="Calibri"/>
                <w:sz w:val="20"/>
                <w:szCs w:val="20"/>
              </w:rPr>
              <w:t>29,110</w:t>
            </w:r>
          </w:p>
        </w:tc>
        <w:tc>
          <w:tcPr>
            <w:tcW w:w="1537" w:type="dxa"/>
            <w:tcBorders>
              <w:top w:val="nil"/>
              <w:left w:val="nil"/>
              <w:bottom w:val="single" w:sz="4" w:space="0" w:color="ED7C5D"/>
              <w:right w:val="nil"/>
            </w:tcBorders>
            <w:shd w:val="clear" w:color="000000" w:fill="FFFFFF"/>
            <w:noWrap/>
            <w:hideMark/>
          </w:tcPr>
          <w:p w14:paraId="354A6103" w14:textId="4B297DC9" w:rsidR="00E76166" w:rsidRPr="00503F5B" w:rsidRDefault="00E76166" w:rsidP="00E76166">
            <w:pPr>
              <w:jc w:val="right"/>
              <w:rPr>
                <w:rFonts w:eastAsia="Times New Roman" w:cs="Calibri"/>
                <w:sz w:val="20"/>
                <w:szCs w:val="20"/>
                <w:lang w:eastAsia="en-AU"/>
              </w:rPr>
            </w:pPr>
            <w:r w:rsidRPr="00503F5B">
              <w:rPr>
                <w:rFonts w:cs="Calibri"/>
                <w:sz w:val="20"/>
                <w:szCs w:val="20"/>
              </w:rPr>
              <w:t>1,100</w:t>
            </w:r>
          </w:p>
        </w:tc>
        <w:tc>
          <w:tcPr>
            <w:tcW w:w="1276" w:type="dxa"/>
            <w:tcBorders>
              <w:top w:val="nil"/>
              <w:left w:val="nil"/>
              <w:bottom w:val="single" w:sz="4" w:space="0" w:color="ED7C5D"/>
              <w:right w:val="nil"/>
            </w:tcBorders>
            <w:shd w:val="clear" w:color="000000" w:fill="FFFFFF"/>
            <w:noWrap/>
            <w:hideMark/>
          </w:tcPr>
          <w:p w14:paraId="01787D58" w14:textId="7FDAADD2" w:rsidR="00E76166" w:rsidRPr="00503F5B" w:rsidRDefault="00E76166" w:rsidP="00E76166">
            <w:pPr>
              <w:jc w:val="right"/>
              <w:rPr>
                <w:rFonts w:eastAsia="Times New Roman" w:cs="Calibri"/>
                <w:sz w:val="20"/>
                <w:szCs w:val="20"/>
                <w:lang w:eastAsia="en-AU"/>
              </w:rPr>
            </w:pPr>
            <w:r w:rsidRPr="00503F5B">
              <w:rPr>
                <w:rFonts w:cs="Calibri"/>
                <w:sz w:val="20"/>
                <w:szCs w:val="20"/>
              </w:rPr>
              <w:t>30,209</w:t>
            </w:r>
          </w:p>
        </w:tc>
        <w:tc>
          <w:tcPr>
            <w:tcW w:w="941" w:type="dxa"/>
            <w:tcBorders>
              <w:top w:val="nil"/>
              <w:left w:val="nil"/>
              <w:bottom w:val="single" w:sz="4" w:space="0" w:color="ED7C5D"/>
              <w:right w:val="nil"/>
            </w:tcBorders>
            <w:shd w:val="clear" w:color="auto" w:fill="FBE4D5" w:themeFill="accent2" w:themeFillTint="33"/>
          </w:tcPr>
          <w:p w14:paraId="066D56DD" w14:textId="58733A4A" w:rsidR="00E76166" w:rsidRPr="00503F5B" w:rsidRDefault="00E76166" w:rsidP="00E76166">
            <w:pPr>
              <w:jc w:val="right"/>
              <w:rPr>
                <w:b/>
                <w:bCs/>
                <w:sz w:val="20"/>
                <w:szCs w:val="20"/>
              </w:rPr>
            </w:pPr>
            <w:r w:rsidRPr="00503F5B">
              <w:rPr>
                <w:rFonts w:cs="Calibri"/>
                <w:sz w:val="20"/>
                <w:szCs w:val="20"/>
              </w:rPr>
              <w:t>$578.48</w:t>
            </w:r>
          </w:p>
        </w:tc>
        <w:tc>
          <w:tcPr>
            <w:tcW w:w="1469" w:type="dxa"/>
            <w:tcBorders>
              <w:top w:val="nil"/>
              <w:left w:val="nil"/>
              <w:bottom w:val="single" w:sz="4" w:space="0" w:color="ED7C5D"/>
              <w:right w:val="nil"/>
            </w:tcBorders>
            <w:shd w:val="clear" w:color="000000" w:fill="FFFFFF"/>
          </w:tcPr>
          <w:p w14:paraId="2BAA111D" w14:textId="578FFFCC" w:rsidR="00E76166" w:rsidRPr="00503F5B" w:rsidRDefault="00E76166" w:rsidP="00E76166">
            <w:pPr>
              <w:jc w:val="right"/>
              <w:rPr>
                <w:b/>
                <w:bCs/>
                <w:sz w:val="20"/>
                <w:szCs w:val="20"/>
              </w:rPr>
            </w:pPr>
            <w:r w:rsidRPr="00503F5B">
              <w:rPr>
                <w:sz w:val="20"/>
                <w:szCs w:val="20"/>
              </w:rPr>
              <w:t>$17,475,533</w:t>
            </w:r>
          </w:p>
        </w:tc>
        <w:tc>
          <w:tcPr>
            <w:tcW w:w="1429" w:type="dxa"/>
            <w:tcBorders>
              <w:top w:val="nil"/>
              <w:left w:val="nil"/>
              <w:bottom w:val="single" w:sz="4" w:space="0" w:color="ED7C5D"/>
              <w:right w:val="nil"/>
            </w:tcBorders>
            <w:shd w:val="clear" w:color="000000" w:fill="FFFFFF"/>
          </w:tcPr>
          <w:p w14:paraId="365F46AE" w14:textId="4A5529EC" w:rsidR="00E76166" w:rsidRPr="00503F5B" w:rsidRDefault="00E76166" w:rsidP="00E76166">
            <w:pPr>
              <w:jc w:val="right"/>
              <w:rPr>
                <w:b/>
                <w:bCs/>
                <w:sz w:val="20"/>
                <w:szCs w:val="20"/>
              </w:rPr>
            </w:pPr>
            <w:r w:rsidRPr="00503F5B">
              <w:rPr>
                <w:sz w:val="20"/>
                <w:szCs w:val="20"/>
              </w:rPr>
              <w:t>$11,805,844</w:t>
            </w:r>
          </w:p>
        </w:tc>
      </w:tr>
      <w:tr w:rsidR="00E76166" w:rsidRPr="00503F5B" w14:paraId="3EFF48EA" w14:textId="77777777" w:rsidTr="00517C6D">
        <w:trPr>
          <w:trHeight w:val="40"/>
          <w:jc w:val="center"/>
        </w:trPr>
        <w:tc>
          <w:tcPr>
            <w:tcW w:w="1016" w:type="dxa"/>
            <w:tcBorders>
              <w:top w:val="single" w:sz="4" w:space="0" w:color="ED7C5D"/>
              <w:left w:val="nil"/>
              <w:bottom w:val="single" w:sz="4" w:space="0" w:color="ED7C5D"/>
              <w:right w:val="nil"/>
            </w:tcBorders>
            <w:shd w:val="clear" w:color="000000" w:fill="FFFFFF"/>
            <w:noWrap/>
            <w:hideMark/>
          </w:tcPr>
          <w:p w14:paraId="023A13B9" w14:textId="77777777" w:rsidR="00E76166" w:rsidRPr="00503F5B" w:rsidRDefault="00E76166" w:rsidP="00E76166">
            <w:pPr>
              <w:rPr>
                <w:rFonts w:eastAsia="Times New Roman" w:cs="Calibri"/>
                <w:b/>
                <w:bCs/>
                <w:i/>
                <w:iCs/>
                <w:sz w:val="20"/>
                <w:szCs w:val="20"/>
                <w:lang w:eastAsia="en-AU"/>
              </w:rPr>
            </w:pPr>
            <w:r w:rsidRPr="00503F5B">
              <w:rPr>
                <w:b/>
                <w:bCs/>
                <w:i/>
                <w:iCs/>
                <w:sz w:val="20"/>
                <w:szCs w:val="20"/>
              </w:rPr>
              <w:t>Total</w:t>
            </w:r>
          </w:p>
        </w:tc>
        <w:tc>
          <w:tcPr>
            <w:tcW w:w="1416" w:type="dxa"/>
            <w:tcBorders>
              <w:top w:val="single" w:sz="4" w:space="0" w:color="ED7C5D"/>
              <w:left w:val="nil"/>
              <w:bottom w:val="single" w:sz="4" w:space="0" w:color="ED7C5D"/>
              <w:right w:val="nil"/>
            </w:tcBorders>
            <w:shd w:val="clear" w:color="000000" w:fill="FFFFFF"/>
            <w:noWrap/>
            <w:hideMark/>
          </w:tcPr>
          <w:p w14:paraId="091354BD" w14:textId="77777777" w:rsidR="00E76166" w:rsidRPr="00503F5B" w:rsidRDefault="00E76166" w:rsidP="00E76166">
            <w:pPr>
              <w:jc w:val="right"/>
              <w:rPr>
                <w:rFonts w:eastAsia="Times New Roman" w:cs="Calibri"/>
                <w:b/>
                <w:bCs/>
                <w:i/>
                <w:iCs/>
                <w:sz w:val="20"/>
                <w:szCs w:val="20"/>
                <w:lang w:eastAsia="en-AU"/>
              </w:rPr>
            </w:pPr>
            <w:r w:rsidRPr="00503F5B">
              <w:rPr>
                <w:rFonts w:cs="Calibri"/>
                <w:sz w:val="20"/>
                <w:szCs w:val="20"/>
              </w:rPr>
              <w:t>240,817</w:t>
            </w:r>
          </w:p>
        </w:tc>
        <w:tc>
          <w:tcPr>
            <w:tcW w:w="1537" w:type="dxa"/>
            <w:tcBorders>
              <w:top w:val="single" w:sz="4" w:space="0" w:color="ED7C5D"/>
              <w:left w:val="nil"/>
              <w:bottom w:val="single" w:sz="4" w:space="0" w:color="ED7C5D"/>
              <w:right w:val="nil"/>
            </w:tcBorders>
            <w:shd w:val="clear" w:color="000000" w:fill="FFFFFF"/>
            <w:noWrap/>
            <w:hideMark/>
          </w:tcPr>
          <w:p w14:paraId="45A67ECF" w14:textId="77777777" w:rsidR="00E76166" w:rsidRPr="00503F5B" w:rsidRDefault="00E76166" w:rsidP="00E76166">
            <w:pPr>
              <w:jc w:val="right"/>
              <w:rPr>
                <w:rFonts w:eastAsia="Times New Roman" w:cs="Calibri"/>
                <w:b/>
                <w:bCs/>
                <w:i/>
                <w:iCs/>
                <w:sz w:val="20"/>
                <w:szCs w:val="20"/>
                <w:lang w:eastAsia="en-AU"/>
              </w:rPr>
            </w:pPr>
            <w:r w:rsidRPr="00503F5B">
              <w:rPr>
                <w:rFonts w:cs="Calibri"/>
                <w:sz w:val="20"/>
                <w:szCs w:val="20"/>
              </w:rPr>
              <w:t>20,502</w:t>
            </w:r>
          </w:p>
        </w:tc>
        <w:tc>
          <w:tcPr>
            <w:tcW w:w="1276" w:type="dxa"/>
            <w:tcBorders>
              <w:top w:val="single" w:sz="4" w:space="0" w:color="ED7C5D"/>
              <w:left w:val="nil"/>
              <w:bottom w:val="single" w:sz="4" w:space="0" w:color="ED7C5D"/>
              <w:right w:val="nil"/>
            </w:tcBorders>
            <w:shd w:val="clear" w:color="000000" w:fill="FFFFFF"/>
            <w:noWrap/>
            <w:hideMark/>
          </w:tcPr>
          <w:p w14:paraId="1F5BB2F1" w14:textId="77777777" w:rsidR="00E76166" w:rsidRPr="00503F5B" w:rsidRDefault="00E76166" w:rsidP="00E76166">
            <w:pPr>
              <w:jc w:val="right"/>
              <w:rPr>
                <w:rFonts w:eastAsia="Times New Roman" w:cs="Calibri"/>
                <w:b/>
                <w:bCs/>
                <w:i/>
                <w:iCs/>
                <w:sz w:val="20"/>
                <w:szCs w:val="20"/>
                <w:lang w:eastAsia="en-AU"/>
              </w:rPr>
            </w:pPr>
            <w:r w:rsidRPr="00503F5B">
              <w:rPr>
                <w:rFonts w:cs="Calibri"/>
                <w:b/>
                <w:bCs/>
                <w:i/>
                <w:iCs/>
                <w:sz w:val="20"/>
                <w:szCs w:val="20"/>
              </w:rPr>
              <w:t>261,320</w:t>
            </w:r>
          </w:p>
        </w:tc>
        <w:tc>
          <w:tcPr>
            <w:tcW w:w="941" w:type="dxa"/>
            <w:tcBorders>
              <w:top w:val="single" w:sz="4" w:space="0" w:color="ED7C5D"/>
              <w:left w:val="nil"/>
              <w:bottom w:val="single" w:sz="4" w:space="0" w:color="ED7C5D"/>
              <w:right w:val="nil"/>
            </w:tcBorders>
            <w:shd w:val="clear" w:color="000000" w:fill="FFFFFF"/>
          </w:tcPr>
          <w:p w14:paraId="1BEC7A5B" w14:textId="77777777" w:rsidR="00E76166" w:rsidRPr="00503F5B" w:rsidRDefault="00E76166" w:rsidP="00E76166">
            <w:pPr>
              <w:jc w:val="right"/>
              <w:rPr>
                <w:b/>
                <w:bCs/>
                <w:i/>
                <w:iCs/>
                <w:sz w:val="20"/>
                <w:szCs w:val="20"/>
              </w:rPr>
            </w:pPr>
          </w:p>
        </w:tc>
        <w:tc>
          <w:tcPr>
            <w:tcW w:w="1469" w:type="dxa"/>
            <w:tcBorders>
              <w:top w:val="single" w:sz="4" w:space="0" w:color="ED7C5D"/>
              <w:left w:val="nil"/>
              <w:bottom w:val="single" w:sz="4" w:space="0" w:color="ED7C5D"/>
              <w:right w:val="nil"/>
            </w:tcBorders>
            <w:shd w:val="clear" w:color="000000" w:fill="FFFFFF"/>
          </w:tcPr>
          <w:p w14:paraId="5A1EAE61" w14:textId="40362364" w:rsidR="00E76166" w:rsidRPr="00503F5B" w:rsidRDefault="00E76166" w:rsidP="00E76166">
            <w:pPr>
              <w:jc w:val="right"/>
              <w:rPr>
                <w:b/>
                <w:bCs/>
                <w:i/>
                <w:iCs/>
                <w:sz w:val="20"/>
                <w:szCs w:val="20"/>
              </w:rPr>
            </w:pPr>
            <w:r w:rsidRPr="00503F5B">
              <w:rPr>
                <w:b/>
                <w:bCs/>
                <w:i/>
                <w:iCs/>
                <w:sz w:val="20"/>
                <w:szCs w:val="20"/>
              </w:rPr>
              <w:t>$151,167,899</w:t>
            </w:r>
          </w:p>
        </w:tc>
        <w:tc>
          <w:tcPr>
            <w:tcW w:w="1429" w:type="dxa"/>
            <w:tcBorders>
              <w:top w:val="single" w:sz="4" w:space="0" w:color="ED7C5D"/>
              <w:left w:val="nil"/>
              <w:bottom w:val="single" w:sz="4" w:space="0" w:color="ED7C5D"/>
              <w:right w:val="nil"/>
            </w:tcBorders>
            <w:shd w:val="clear" w:color="000000" w:fill="FFFFFF"/>
          </w:tcPr>
          <w:p w14:paraId="6614975A" w14:textId="77F8994D" w:rsidR="00E76166" w:rsidRPr="00503F5B" w:rsidRDefault="00E76166" w:rsidP="00E76166">
            <w:pPr>
              <w:jc w:val="right"/>
              <w:rPr>
                <w:b/>
                <w:bCs/>
                <w:i/>
                <w:iCs/>
                <w:sz w:val="20"/>
                <w:szCs w:val="20"/>
              </w:rPr>
            </w:pPr>
            <w:r w:rsidRPr="00503F5B">
              <w:rPr>
                <w:b/>
                <w:bCs/>
                <w:i/>
                <w:iCs/>
                <w:sz w:val="20"/>
                <w:szCs w:val="20"/>
              </w:rPr>
              <w:t>$121,398,804</w:t>
            </w:r>
          </w:p>
        </w:tc>
      </w:tr>
    </w:tbl>
    <w:p w14:paraId="0A4C5B78" w14:textId="77777777" w:rsidR="009320DE" w:rsidRPr="00503F5B" w:rsidRDefault="009320DE" w:rsidP="00AC1BFF"/>
    <w:p w14:paraId="4C503D89" w14:textId="77777777" w:rsidR="00E76166" w:rsidRPr="00503F5B" w:rsidRDefault="00E76166" w:rsidP="00517C6D">
      <w:bookmarkStart w:id="326" w:name="_Toc35804184"/>
      <w:bookmarkStart w:id="327" w:name="_Toc35804678"/>
      <w:bookmarkStart w:id="328" w:name="_Toc35812722"/>
      <w:r w:rsidRPr="00503F5B">
        <w:br w:type="page"/>
      </w:r>
    </w:p>
    <w:p w14:paraId="7C590048" w14:textId="7AD824EB" w:rsidR="00E04C6D" w:rsidRPr="00503F5B" w:rsidRDefault="009320DE" w:rsidP="00E04C6D">
      <w:pPr>
        <w:pStyle w:val="Heading2"/>
      </w:pPr>
      <w:r w:rsidRPr="00503F5B">
        <w:lastRenderedPageBreak/>
        <w:t xml:space="preserve">A3.4 </w:t>
      </w:r>
      <w:r w:rsidR="00E04C6D" w:rsidRPr="00503F5B">
        <w:rPr>
          <w:b/>
          <w:bCs/>
        </w:rPr>
        <w:t xml:space="preserve">Option </w:t>
      </w:r>
      <w:r w:rsidRPr="00503F5B">
        <w:rPr>
          <w:b/>
          <w:bCs/>
        </w:rPr>
        <w:t>3</w:t>
      </w:r>
      <w:r w:rsidR="00E04C6D" w:rsidRPr="00503F5B">
        <w:t xml:space="preserve"> – Partial cost recovery of emergency attendance of false alarms per quarterly hour </w:t>
      </w:r>
      <w:r w:rsidR="00ED0D8A" w:rsidRPr="00503F5B">
        <w:t>with a maximum amount of $1,600 in 2020-21</w:t>
      </w:r>
      <w:r w:rsidR="00062CF5" w:rsidRPr="00503F5B">
        <w:t xml:space="preserve"> </w:t>
      </w:r>
      <w:r w:rsidR="00ED0D8A" w:rsidRPr="00503F5B">
        <w:t xml:space="preserve">to be set by FRV </w:t>
      </w:r>
      <w:r w:rsidR="00062CF5" w:rsidRPr="00503F5B">
        <w:t>based on NSW false alarm attendance fee</w:t>
      </w:r>
      <w:r w:rsidR="00E76166" w:rsidRPr="00503F5B">
        <w:t>.</w:t>
      </w:r>
      <w:bookmarkEnd w:id="316"/>
      <w:bookmarkEnd w:id="326"/>
      <w:bookmarkEnd w:id="327"/>
      <w:bookmarkEnd w:id="328"/>
    </w:p>
    <w:p w14:paraId="7D6CB3CD" w14:textId="165751B0" w:rsidR="00E04C6D" w:rsidRPr="00503F5B" w:rsidRDefault="00E04C6D" w:rsidP="00F94B17">
      <w:pPr>
        <w:pStyle w:val="Heading3"/>
      </w:pPr>
      <w:bookmarkStart w:id="329" w:name="_Hlk34345803"/>
      <w:bookmarkStart w:id="330" w:name="_Toc457772572"/>
      <w:bookmarkStart w:id="331" w:name="_Toc35804185"/>
      <w:bookmarkStart w:id="332" w:name="_Toc35804679"/>
      <w:bookmarkStart w:id="333" w:name="_Toc35812723"/>
      <w:r w:rsidRPr="00503F5B">
        <w:t>A3.</w:t>
      </w:r>
      <w:r w:rsidR="009320DE" w:rsidRPr="00503F5B">
        <w:t>4</w:t>
      </w:r>
      <w:r w:rsidRPr="00503F5B">
        <w:t xml:space="preserve">.1 </w:t>
      </w:r>
      <w:bookmarkEnd w:id="329"/>
      <w:r w:rsidRPr="00503F5B">
        <w:t xml:space="preserve">Option </w:t>
      </w:r>
      <w:r w:rsidR="009320DE" w:rsidRPr="00503F5B">
        <w:t>3</w:t>
      </w:r>
      <w:r w:rsidRPr="00503F5B">
        <w:t xml:space="preserve"> fee</w:t>
      </w:r>
      <w:bookmarkEnd w:id="330"/>
      <w:bookmarkEnd w:id="331"/>
      <w:bookmarkEnd w:id="332"/>
      <w:bookmarkEnd w:id="333"/>
    </w:p>
    <w:p w14:paraId="4E3AC42C" w14:textId="77777777" w:rsidR="00E04C6D" w:rsidRPr="00503F5B" w:rsidRDefault="00E04C6D" w:rsidP="00E04C6D">
      <w:pPr>
        <w:jc w:val="both"/>
      </w:pPr>
    </w:p>
    <w:p w14:paraId="377BE74D" w14:textId="48E7C694" w:rsidR="008A4708" w:rsidRPr="00503F5B" w:rsidRDefault="00E04C6D" w:rsidP="00E04C6D">
      <w:pPr>
        <w:jc w:val="both"/>
      </w:pPr>
      <w:r w:rsidRPr="00503F5B">
        <w:t xml:space="preserve">The partial cost recovery fee is </w:t>
      </w:r>
      <w:r w:rsidR="008A4708" w:rsidRPr="00503F5B">
        <w:t xml:space="preserve">based on </w:t>
      </w:r>
      <w:r w:rsidR="00E56FD2" w:rsidRPr="00503F5B">
        <w:t xml:space="preserve">the current </w:t>
      </w:r>
      <w:r w:rsidR="008A4708" w:rsidRPr="00503F5B">
        <w:t xml:space="preserve">NSW false alarm attendance fee of $1,600 and is estimated as </w:t>
      </w:r>
      <w:r w:rsidR="008A4708" w:rsidRPr="00503F5B">
        <w:rPr>
          <w:b/>
          <w:bCs/>
          <w:i/>
          <w:iCs/>
        </w:rPr>
        <w:t xml:space="preserve">$310.88 </w:t>
      </w:r>
      <w:r w:rsidRPr="00503F5B">
        <w:rPr>
          <w:b/>
          <w:i/>
        </w:rPr>
        <w:t>per quarterly hour per appliance</w:t>
      </w:r>
      <w:r w:rsidRPr="00503F5B">
        <w:t xml:space="preserve">.  </w:t>
      </w:r>
      <w:r w:rsidR="008A4708" w:rsidRPr="00503F5B">
        <w:t>This quarterly hour fee is calculated as:</w:t>
      </w:r>
    </w:p>
    <w:p w14:paraId="66D1DDD4" w14:textId="77777777" w:rsidR="008A4708" w:rsidRPr="00503F5B" w:rsidRDefault="008A4708" w:rsidP="00E04C6D">
      <w:pPr>
        <w:jc w:val="both"/>
      </w:pPr>
    </w:p>
    <w:p w14:paraId="4598EF42" w14:textId="77777777" w:rsidR="00572199" w:rsidRPr="00503F5B" w:rsidRDefault="008A4708" w:rsidP="008A4708">
      <w:pPr>
        <w:jc w:val="center"/>
      </w:pPr>
      <w:r w:rsidRPr="00503F5B">
        <w:rPr>
          <w:sz w:val="20"/>
          <w:szCs w:val="20"/>
        </w:rPr>
        <w:t xml:space="preserve">$1,600 per </w:t>
      </w:r>
      <w:r w:rsidR="00E56FD2" w:rsidRPr="00503F5B">
        <w:rPr>
          <w:sz w:val="20"/>
          <w:szCs w:val="20"/>
        </w:rPr>
        <w:t xml:space="preserve">false alarm </w:t>
      </w:r>
      <w:r w:rsidRPr="00503F5B">
        <w:rPr>
          <w:sz w:val="20"/>
          <w:szCs w:val="20"/>
        </w:rPr>
        <w:t>attendance</w:t>
      </w:r>
      <w:r w:rsidR="00572199" w:rsidRPr="00503F5B">
        <w:rPr>
          <w:sz w:val="20"/>
          <w:szCs w:val="20"/>
        </w:rPr>
        <w:t xml:space="preserve"> ÷ </w:t>
      </w:r>
      <w:r w:rsidRPr="00503F5B">
        <w:rPr>
          <w:sz w:val="20"/>
          <w:szCs w:val="20"/>
        </w:rPr>
        <w:t>4</w:t>
      </w:r>
      <w:r w:rsidR="00572199" w:rsidRPr="00503F5B">
        <w:rPr>
          <w:sz w:val="20"/>
          <w:szCs w:val="20"/>
        </w:rPr>
        <w:t xml:space="preserve"> ÷ </w:t>
      </w:r>
      <w:r w:rsidRPr="00503F5B">
        <w:rPr>
          <w:sz w:val="20"/>
          <w:szCs w:val="20"/>
        </w:rPr>
        <w:t>1.29 appliance hours</w:t>
      </w:r>
      <w:r w:rsidR="0080697C" w:rsidRPr="00503F5B">
        <w:rPr>
          <w:sz w:val="20"/>
          <w:szCs w:val="20"/>
        </w:rPr>
        <w:t xml:space="preserve"> per</w:t>
      </w:r>
      <w:r w:rsidR="00E56FD2" w:rsidRPr="00503F5B">
        <w:rPr>
          <w:sz w:val="20"/>
          <w:szCs w:val="20"/>
        </w:rPr>
        <w:t xml:space="preserve"> false alarm</w:t>
      </w:r>
      <w:r w:rsidR="0080697C" w:rsidRPr="00503F5B">
        <w:rPr>
          <w:sz w:val="20"/>
          <w:szCs w:val="20"/>
        </w:rPr>
        <w:t xml:space="preserve"> attendance</w:t>
      </w:r>
      <w:r w:rsidR="0080697C" w:rsidRPr="00503F5B">
        <w:rPr>
          <w:rStyle w:val="FootnoteReference"/>
        </w:rPr>
        <w:footnoteReference w:id="207"/>
      </w:r>
      <w:r w:rsidR="0080697C" w:rsidRPr="00503F5B">
        <w:t xml:space="preserve"> </w:t>
      </w:r>
    </w:p>
    <w:p w14:paraId="6A3974BD" w14:textId="5BC592AD" w:rsidR="008A4708" w:rsidRPr="00503F5B" w:rsidRDefault="008A4708" w:rsidP="008A4708">
      <w:pPr>
        <w:jc w:val="center"/>
        <w:rPr>
          <w:sz w:val="20"/>
          <w:szCs w:val="20"/>
        </w:rPr>
      </w:pPr>
      <w:r w:rsidRPr="00503F5B">
        <w:rPr>
          <w:sz w:val="20"/>
          <w:szCs w:val="20"/>
        </w:rPr>
        <w:t xml:space="preserve"> = </w:t>
      </w:r>
      <w:r w:rsidRPr="00503F5B">
        <w:rPr>
          <w:b/>
          <w:bCs/>
          <w:sz w:val="20"/>
          <w:szCs w:val="20"/>
        </w:rPr>
        <w:t>$310.88</w:t>
      </w:r>
    </w:p>
    <w:p w14:paraId="6AE869B5" w14:textId="77777777" w:rsidR="008A4708" w:rsidRPr="00503F5B" w:rsidRDefault="008A4708" w:rsidP="00E04C6D">
      <w:pPr>
        <w:jc w:val="both"/>
      </w:pPr>
    </w:p>
    <w:p w14:paraId="3F6C08D8" w14:textId="5ABC2F45" w:rsidR="00ED0D8A" w:rsidRPr="00503F5B" w:rsidRDefault="00ED0D8A" w:rsidP="00E04C6D">
      <w:pPr>
        <w:jc w:val="both"/>
      </w:pPr>
      <w:r w:rsidRPr="00503F5B">
        <w:t xml:space="preserve">Moreover, as this is a maximum fee option, the maximum fee </w:t>
      </w:r>
      <w:r w:rsidR="00F967CF" w:rsidRPr="00503F5B">
        <w:t xml:space="preserve">payable for a false alarm attendance </w:t>
      </w:r>
      <w:r w:rsidRPr="00503F5B">
        <w:t>will be $1,600 in 2020-21.</w:t>
      </w:r>
    </w:p>
    <w:p w14:paraId="6F7FA090" w14:textId="77777777" w:rsidR="00ED0D8A" w:rsidRPr="00503F5B" w:rsidRDefault="00ED0D8A" w:rsidP="00E04C6D">
      <w:pPr>
        <w:jc w:val="both"/>
      </w:pPr>
    </w:p>
    <w:p w14:paraId="7AB2118B" w14:textId="7EB9F800" w:rsidR="008A4708" w:rsidRPr="00503F5B" w:rsidRDefault="00E04C6D" w:rsidP="00E04C6D">
      <w:pPr>
        <w:jc w:val="both"/>
      </w:pPr>
      <w:r w:rsidRPr="00503F5B">
        <w:t xml:space="preserve">This fee represents </w:t>
      </w:r>
      <w:r w:rsidR="008A4708" w:rsidRPr="00503F5B">
        <w:t>12</w:t>
      </w:r>
      <w:r w:rsidRPr="00503F5B">
        <w:t>.</w:t>
      </w:r>
      <w:r w:rsidR="008A4708" w:rsidRPr="00503F5B">
        <w:t>39</w:t>
      </w:r>
      <w:r w:rsidRPr="00503F5B">
        <w:t xml:space="preserve">% of the full quarterly hourly cost per appliance for emergency attendances (i.e. </w:t>
      </w:r>
      <w:r w:rsidR="008A4708" w:rsidRPr="00503F5B">
        <w:t>12</w:t>
      </w:r>
      <w:r w:rsidRPr="00503F5B">
        <w:t>.</w:t>
      </w:r>
      <w:r w:rsidR="008A4708" w:rsidRPr="00503F5B">
        <w:t>39</w:t>
      </w:r>
      <w:r w:rsidRPr="00503F5B">
        <w:t xml:space="preserve">% of $2,510.29).  </w:t>
      </w:r>
    </w:p>
    <w:p w14:paraId="77FDF97F" w14:textId="77777777" w:rsidR="008A4708" w:rsidRPr="00503F5B" w:rsidRDefault="008A4708" w:rsidP="00E04C6D">
      <w:pPr>
        <w:jc w:val="both"/>
      </w:pPr>
    </w:p>
    <w:p w14:paraId="0FD37116" w14:textId="6D2A8664" w:rsidR="00E04C6D" w:rsidRPr="00503F5B" w:rsidRDefault="00E04C6D" w:rsidP="00517C6D">
      <w:pPr>
        <w:jc w:val="both"/>
      </w:pPr>
      <w:r w:rsidRPr="00503F5B">
        <w:t xml:space="preserve">This fee has been set </w:t>
      </w:r>
      <w:r w:rsidR="008A4708" w:rsidRPr="00503F5B">
        <w:t>lower</w:t>
      </w:r>
      <w:r w:rsidRPr="00503F5B">
        <w:t xml:space="preserve"> than the current 2018-19 amount of 39.06 fee units (i.e. $578.48)</w:t>
      </w:r>
      <w:r w:rsidR="00BC0AF5" w:rsidRPr="00503F5B">
        <w:t xml:space="preserve"> for</w:t>
      </w:r>
      <w:r w:rsidRPr="00503F5B">
        <w:t xml:space="preserve"> </w:t>
      </w:r>
      <w:r w:rsidR="00595DFB" w:rsidRPr="00503F5B">
        <w:t>MFB</w:t>
      </w:r>
      <w:r w:rsidRPr="00503F5B">
        <w:t xml:space="preserve"> and 39.45 fee units (i.e. $584.25)</w:t>
      </w:r>
      <w:r w:rsidR="00BC0AF5" w:rsidRPr="00503F5B">
        <w:t xml:space="preserve"> for</w:t>
      </w:r>
      <w:r w:rsidRPr="00503F5B">
        <w:t xml:space="preserve"> </w:t>
      </w:r>
      <w:r w:rsidR="00B36EEE" w:rsidRPr="00503F5B">
        <w:t>CFA</w:t>
      </w:r>
      <w:r w:rsidRPr="00503F5B">
        <w:t xml:space="preserve"> - per quarterly hour per appliance.  </w:t>
      </w:r>
    </w:p>
    <w:p w14:paraId="356B29CC" w14:textId="7ED15D85" w:rsidR="00E04C6D" w:rsidRPr="00503F5B" w:rsidRDefault="00E04C6D" w:rsidP="00F94B17">
      <w:pPr>
        <w:pStyle w:val="Heading3"/>
      </w:pPr>
      <w:bookmarkStart w:id="334" w:name="_Toc457772573"/>
      <w:bookmarkStart w:id="335" w:name="_Toc35804186"/>
      <w:bookmarkStart w:id="336" w:name="_Toc35804680"/>
      <w:bookmarkStart w:id="337" w:name="_Toc35812724"/>
      <w:r w:rsidRPr="00503F5B">
        <w:t>A3.</w:t>
      </w:r>
      <w:r w:rsidR="009320DE" w:rsidRPr="00503F5B">
        <w:t>4</w:t>
      </w:r>
      <w:r w:rsidRPr="00503F5B">
        <w:t xml:space="preserve">.2 Option </w:t>
      </w:r>
      <w:r w:rsidR="009320DE" w:rsidRPr="00503F5B">
        <w:t>3</w:t>
      </w:r>
      <w:r w:rsidRPr="00503F5B">
        <w:t xml:space="preserve"> fee revenue</w:t>
      </w:r>
      <w:bookmarkEnd w:id="334"/>
      <w:bookmarkEnd w:id="335"/>
      <w:bookmarkEnd w:id="336"/>
      <w:bookmarkEnd w:id="337"/>
    </w:p>
    <w:p w14:paraId="6B2F4FBF" w14:textId="77777777" w:rsidR="00E04C6D" w:rsidRPr="00503F5B" w:rsidRDefault="00E04C6D" w:rsidP="00E04C6D">
      <w:pPr>
        <w:jc w:val="both"/>
      </w:pPr>
    </w:p>
    <w:p w14:paraId="3138F69B" w14:textId="5151589B" w:rsidR="00D777D0" w:rsidRPr="00503F5B" w:rsidRDefault="00090FBA" w:rsidP="00E04C6D">
      <w:pPr>
        <w:jc w:val="both"/>
      </w:pPr>
      <w:r w:rsidRPr="00503F5B">
        <w:t>As shown in Table A3.8, f</w:t>
      </w:r>
      <w:r w:rsidR="00E04C6D" w:rsidRPr="00503F5B">
        <w:t xml:space="preserve">ee revenue under Option </w:t>
      </w:r>
      <w:r w:rsidR="009320DE" w:rsidRPr="00503F5B">
        <w:t>3</w:t>
      </w:r>
      <w:r w:rsidR="00ED0D8A" w:rsidRPr="00503F5B">
        <w:t xml:space="preserve"> (partial cost recovery with a maximum fee of $1,600 in 2020-21)</w:t>
      </w:r>
      <w:r w:rsidR="00E04C6D" w:rsidRPr="00503F5B">
        <w:t xml:space="preserve"> assumes </w:t>
      </w:r>
      <w:r w:rsidR="00645946" w:rsidRPr="00503F5B">
        <w:t>an increase in the</w:t>
      </w:r>
      <w:r w:rsidR="00E04C6D" w:rsidRPr="00503F5B">
        <w:t xml:space="preserve"> annual growth in the number of transactions</w:t>
      </w:r>
      <w:r w:rsidR="00645946" w:rsidRPr="00503F5B">
        <w:t xml:space="preserve"> by </w:t>
      </w:r>
      <w:r w:rsidR="000B12F4" w:rsidRPr="00503F5B">
        <w:t>around 0.7</w:t>
      </w:r>
      <w:r w:rsidR="00645946" w:rsidRPr="00503F5B">
        <w:t>%</w:t>
      </w:r>
      <w:r w:rsidR="00645946" w:rsidRPr="00503F5B">
        <w:rPr>
          <w:rStyle w:val="FootnoteReference"/>
        </w:rPr>
        <w:footnoteReference w:id="208"/>
      </w:r>
      <w:r w:rsidR="00645946" w:rsidRPr="00503F5B">
        <w:t xml:space="preserve"> (currently estimated to be 4.49% for </w:t>
      </w:r>
      <w:r w:rsidR="00595DFB" w:rsidRPr="00503F5B">
        <w:t>MFB</w:t>
      </w:r>
      <w:r w:rsidR="00645946" w:rsidRPr="00503F5B">
        <w:t xml:space="preserve"> on average, as shown in Table A3.1 and -11.7% for </w:t>
      </w:r>
      <w:r w:rsidR="00B36EEE" w:rsidRPr="00503F5B">
        <w:t>CFA</w:t>
      </w:r>
      <w:r w:rsidR="00645946" w:rsidRPr="00503F5B">
        <w:t xml:space="preserve"> integrated stations, as shown in Table A3.3) </w:t>
      </w:r>
      <w:r w:rsidR="00E04C6D" w:rsidRPr="00503F5B">
        <w:t>and a partial cost recovery quarterly hour rate fee $</w:t>
      </w:r>
      <w:r w:rsidR="00E56FD2" w:rsidRPr="00503F5B">
        <w:t>310.88</w:t>
      </w:r>
      <w:r w:rsidR="00E04C6D" w:rsidRPr="00503F5B">
        <w:t xml:space="preserve"> per appliance</w:t>
      </w:r>
      <w:r w:rsidR="00D777D0" w:rsidRPr="00503F5B">
        <w:t xml:space="preserve"> </w:t>
      </w:r>
      <w:r w:rsidR="002533EE" w:rsidRPr="00503F5B">
        <w:t xml:space="preserve">- </w:t>
      </w:r>
      <w:r w:rsidR="00D777D0" w:rsidRPr="00503F5B">
        <w:t xml:space="preserve">with a maximum </w:t>
      </w:r>
      <w:r w:rsidR="002533EE" w:rsidRPr="00503F5B">
        <w:t xml:space="preserve">attendance </w:t>
      </w:r>
      <w:r w:rsidR="00D777D0" w:rsidRPr="00503F5B">
        <w:t>fee of $1,600</w:t>
      </w:r>
      <w:r w:rsidR="002533EE" w:rsidRPr="00503F5B">
        <w:t xml:space="preserve">, </w:t>
      </w:r>
      <w:r w:rsidR="00D777D0" w:rsidRPr="00503F5B">
        <w:t>reflecting 1.29 appliance hours and a quarterly hour rate of $310.88:</w:t>
      </w:r>
    </w:p>
    <w:p w14:paraId="4974D450" w14:textId="2201EA90" w:rsidR="00D777D0" w:rsidRPr="00503F5B" w:rsidRDefault="00D777D0" w:rsidP="00E04C6D">
      <w:pPr>
        <w:jc w:val="both"/>
      </w:pPr>
    </w:p>
    <w:p w14:paraId="3E906690" w14:textId="33369B83" w:rsidR="00D777D0" w:rsidRPr="00503F5B" w:rsidRDefault="00D777D0" w:rsidP="009917B8">
      <w:pPr>
        <w:jc w:val="center"/>
        <w:rPr>
          <w:sz w:val="20"/>
          <w:szCs w:val="20"/>
        </w:rPr>
      </w:pPr>
      <w:r w:rsidRPr="00503F5B">
        <w:rPr>
          <w:sz w:val="20"/>
          <w:szCs w:val="20"/>
        </w:rPr>
        <w:t xml:space="preserve">1.29 x $310.88 x 4 </w:t>
      </w:r>
      <w:r w:rsidR="00D955FF" w:rsidRPr="00503F5B">
        <w:rPr>
          <w:sz w:val="20"/>
          <w:szCs w:val="20"/>
        </w:rPr>
        <w:t xml:space="preserve">quarters </w:t>
      </w:r>
      <w:r w:rsidRPr="00503F5B">
        <w:rPr>
          <w:sz w:val="20"/>
          <w:szCs w:val="20"/>
        </w:rPr>
        <w:t>= $1,600</w:t>
      </w:r>
    </w:p>
    <w:p w14:paraId="0FF8A274" w14:textId="507CE7F9" w:rsidR="00D777D0" w:rsidRPr="00503F5B" w:rsidRDefault="00D777D0" w:rsidP="00E04C6D">
      <w:pPr>
        <w:jc w:val="both"/>
      </w:pPr>
    </w:p>
    <w:p w14:paraId="62DC1F42" w14:textId="643E9D6B" w:rsidR="00D777D0" w:rsidRPr="00503F5B" w:rsidRDefault="00D777D0" w:rsidP="00E04C6D">
      <w:pPr>
        <w:jc w:val="both"/>
      </w:pPr>
      <w:r w:rsidRPr="00503F5B">
        <w:t>As shown in Table A3.8 the distribution of appliance hours shows that in 2018-19</w:t>
      </w:r>
      <w:r w:rsidR="00AC2D2C" w:rsidRPr="00503F5B">
        <w:t>,</w:t>
      </w:r>
      <w:r w:rsidRPr="00503F5B">
        <w:t xml:space="preserve"> 7.83% of invoices were for appliance hours above the 1.29 average hours and 92.17% of invoices were below 1.29 average hours.</w:t>
      </w:r>
    </w:p>
    <w:p w14:paraId="76F230A0" w14:textId="77777777" w:rsidR="00D777D0" w:rsidRPr="00503F5B" w:rsidRDefault="00D777D0" w:rsidP="00E04C6D">
      <w:pPr>
        <w:jc w:val="both"/>
      </w:pPr>
    </w:p>
    <w:p w14:paraId="3D7F68AC" w14:textId="4EC6BCCD" w:rsidR="00D777D0" w:rsidRPr="00503F5B" w:rsidRDefault="00D777D0" w:rsidP="00D777D0">
      <w:pPr>
        <w:jc w:val="center"/>
        <w:rPr>
          <w:b/>
          <w:color w:val="000000" w:themeColor="text1"/>
          <w:sz w:val="20"/>
          <w:szCs w:val="20"/>
        </w:rPr>
      </w:pPr>
      <w:r w:rsidRPr="00503F5B">
        <w:rPr>
          <w:b/>
          <w:color w:val="000000" w:themeColor="text1"/>
          <w:sz w:val="20"/>
          <w:szCs w:val="20"/>
        </w:rPr>
        <w:t xml:space="preserve">Table </w:t>
      </w:r>
      <w:r w:rsidR="00D955FF" w:rsidRPr="00503F5B">
        <w:rPr>
          <w:b/>
          <w:color w:val="000000" w:themeColor="text1"/>
          <w:sz w:val="20"/>
          <w:szCs w:val="20"/>
        </w:rPr>
        <w:t>A3.8</w:t>
      </w:r>
      <w:r w:rsidRPr="00503F5B">
        <w:rPr>
          <w:b/>
          <w:color w:val="000000" w:themeColor="text1"/>
          <w:sz w:val="20"/>
          <w:szCs w:val="20"/>
        </w:rPr>
        <w:t xml:space="preserve">: Distribution of appliance hours </w:t>
      </w:r>
      <w:r w:rsidR="009B295B" w:rsidRPr="00503F5B">
        <w:rPr>
          <w:b/>
          <w:color w:val="000000" w:themeColor="text1"/>
          <w:sz w:val="20"/>
          <w:szCs w:val="20"/>
        </w:rPr>
        <w:t xml:space="preserve">and appliance hours charged </w:t>
      </w:r>
      <w:r w:rsidRPr="00503F5B">
        <w:rPr>
          <w:b/>
          <w:color w:val="000000" w:themeColor="text1"/>
          <w:sz w:val="20"/>
          <w:szCs w:val="20"/>
        </w:rPr>
        <w:t>– 2018-19</w:t>
      </w:r>
    </w:p>
    <w:p w14:paraId="5BDF5D4F" w14:textId="77777777" w:rsidR="00D777D0" w:rsidRPr="00503F5B" w:rsidRDefault="00D777D0" w:rsidP="00D777D0">
      <w:pPr>
        <w:jc w:val="center"/>
        <w:rPr>
          <w:b/>
          <w:color w:val="000000" w:themeColor="text1"/>
          <w:sz w:val="20"/>
          <w:szCs w:val="20"/>
        </w:rPr>
      </w:pPr>
    </w:p>
    <w:tbl>
      <w:tblPr>
        <w:tblW w:w="9356" w:type="dxa"/>
        <w:jc w:val="center"/>
        <w:tblLook w:val="04A0" w:firstRow="1" w:lastRow="0" w:firstColumn="1" w:lastColumn="0" w:noHBand="0" w:noVBand="1"/>
      </w:tblPr>
      <w:tblGrid>
        <w:gridCol w:w="1276"/>
        <w:gridCol w:w="1843"/>
        <w:gridCol w:w="1701"/>
        <w:gridCol w:w="1417"/>
        <w:gridCol w:w="1560"/>
        <w:gridCol w:w="1559"/>
      </w:tblGrid>
      <w:tr w:rsidR="00D777D0" w:rsidRPr="00503F5B" w14:paraId="32363438" w14:textId="19831C0F" w:rsidTr="009917B8">
        <w:trPr>
          <w:trHeight w:val="1207"/>
          <w:tblHeader/>
          <w:jc w:val="center"/>
        </w:trPr>
        <w:tc>
          <w:tcPr>
            <w:tcW w:w="1276" w:type="dxa"/>
            <w:tcBorders>
              <w:top w:val="single" w:sz="4" w:space="0" w:color="C00000"/>
              <w:left w:val="nil"/>
              <w:bottom w:val="double" w:sz="6" w:space="0" w:color="C00000"/>
              <w:right w:val="nil"/>
            </w:tcBorders>
            <w:shd w:val="clear" w:color="000000" w:fill="FFFFFF"/>
            <w:vAlign w:val="center"/>
            <w:hideMark/>
          </w:tcPr>
          <w:p w14:paraId="3111497B" w14:textId="30DD3A23" w:rsidR="00D777D0" w:rsidRPr="00503F5B" w:rsidRDefault="00D777D0" w:rsidP="00D777D0">
            <w:pPr>
              <w:jc w:val="center"/>
              <w:rPr>
                <w:rFonts w:asciiTheme="minorHAnsi" w:eastAsia="Times New Roman" w:hAnsiTheme="minorHAnsi" w:cstheme="minorHAnsi"/>
                <w:b/>
                <w:bCs/>
                <w:color w:val="C00000"/>
                <w:sz w:val="20"/>
                <w:szCs w:val="20"/>
                <w:lang w:eastAsia="en-AU"/>
              </w:rPr>
            </w:pPr>
            <w:r w:rsidRPr="00503F5B">
              <w:rPr>
                <w:rFonts w:asciiTheme="minorHAnsi" w:eastAsia="Times New Roman" w:hAnsiTheme="minorHAnsi" w:cstheme="minorHAnsi"/>
                <w:b/>
                <w:bCs/>
                <w:color w:val="C00000"/>
                <w:sz w:val="20"/>
                <w:szCs w:val="20"/>
                <w:lang w:eastAsia="en-AU"/>
              </w:rPr>
              <w:lastRenderedPageBreak/>
              <w:t>Appliance hrs charged per invoice 2018-19</w:t>
            </w:r>
            <w:r w:rsidR="00D955FF" w:rsidRPr="00503F5B">
              <w:rPr>
                <w:rStyle w:val="FootnoteReference"/>
                <w:rFonts w:asciiTheme="minorHAnsi" w:eastAsia="Times New Roman" w:hAnsiTheme="minorHAnsi" w:cstheme="minorHAnsi"/>
                <w:b/>
                <w:bCs/>
                <w:color w:val="C00000"/>
                <w:sz w:val="20"/>
                <w:szCs w:val="20"/>
                <w:lang w:eastAsia="en-AU"/>
              </w:rPr>
              <w:footnoteReference w:id="209"/>
            </w:r>
          </w:p>
          <w:p w14:paraId="55F0F58A" w14:textId="77777777" w:rsidR="00D777D0" w:rsidRPr="00503F5B" w:rsidRDefault="00D777D0" w:rsidP="00D777D0">
            <w:pPr>
              <w:jc w:val="center"/>
              <w:rPr>
                <w:rFonts w:asciiTheme="minorHAnsi" w:eastAsia="Times New Roman" w:hAnsiTheme="minorHAnsi" w:cstheme="minorHAnsi"/>
                <w:b/>
                <w:bCs/>
                <w:color w:val="C00000"/>
                <w:sz w:val="20"/>
                <w:szCs w:val="20"/>
                <w:lang w:eastAsia="en-AU"/>
              </w:rPr>
            </w:pPr>
          </w:p>
          <w:p w14:paraId="230B7CD6" w14:textId="106EED62" w:rsidR="00D777D0" w:rsidRPr="00503F5B" w:rsidRDefault="00D777D0" w:rsidP="00D777D0">
            <w:pPr>
              <w:jc w:val="center"/>
              <w:rPr>
                <w:rFonts w:asciiTheme="minorHAnsi" w:eastAsia="Times New Roman" w:hAnsiTheme="minorHAnsi" w:cstheme="minorHAnsi"/>
                <w:b/>
                <w:bCs/>
                <w:color w:val="C00000"/>
                <w:sz w:val="20"/>
                <w:szCs w:val="20"/>
                <w:lang w:eastAsia="en-AU"/>
              </w:rPr>
            </w:pPr>
            <w:r w:rsidRPr="00503F5B">
              <w:rPr>
                <w:rFonts w:asciiTheme="minorHAnsi" w:eastAsia="Times New Roman" w:hAnsiTheme="minorHAnsi" w:cstheme="minorHAnsi"/>
                <w:b/>
                <w:bCs/>
                <w:color w:val="C00000"/>
                <w:sz w:val="20"/>
                <w:szCs w:val="20"/>
                <w:lang w:eastAsia="en-AU"/>
              </w:rPr>
              <w:t>(a)</w:t>
            </w:r>
          </w:p>
        </w:tc>
        <w:tc>
          <w:tcPr>
            <w:tcW w:w="1843" w:type="dxa"/>
            <w:tcBorders>
              <w:top w:val="single" w:sz="4" w:space="0" w:color="C00000"/>
              <w:left w:val="nil"/>
              <w:bottom w:val="double" w:sz="6" w:space="0" w:color="C00000"/>
              <w:right w:val="nil"/>
            </w:tcBorders>
            <w:shd w:val="clear" w:color="000000" w:fill="FFFFFF"/>
          </w:tcPr>
          <w:p w14:paraId="1BA82755" w14:textId="4511E969" w:rsidR="00D777D0" w:rsidRPr="00503F5B" w:rsidRDefault="00D777D0" w:rsidP="00D777D0">
            <w:pPr>
              <w:jc w:val="center"/>
              <w:rPr>
                <w:rFonts w:asciiTheme="minorHAnsi" w:eastAsia="Times New Roman" w:hAnsiTheme="minorHAnsi" w:cstheme="minorHAnsi"/>
                <w:b/>
                <w:bCs/>
                <w:color w:val="C00000"/>
                <w:sz w:val="20"/>
                <w:szCs w:val="20"/>
                <w:lang w:eastAsia="en-AU"/>
              </w:rPr>
            </w:pPr>
            <w:r w:rsidRPr="00503F5B">
              <w:rPr>
                <w:rFonts w:asciiTheme="minorHAnsi" w:eastAsia="Times New Roman" w:hAnsiTheme="minorHAnsi" w:cstheme="minorHAnsi"/>
                <w:b/>
                <w:bCs/>
                <w:color w:val="C00000"/>
                <w:sz w:val="20"/>
                <w:szCs w:val="20"/>
                <w:lang w:eastAsia="en-AU"/>
              </w:rPr>
              <w:t>Appliance hrs charged per invoice under Option 3 with a maximum 1.29 hrs</w:t>
            </w:r>
          </w:p>
          <w:p w14:paraId="6690C5D6" w14:textId="3C8EFCC1" w:rsidR="00D777D0" w:rsidRPr="00503F5B" w:rsidRDefault="00D777D0">
            <w:pPr>
              <w:jc w:val="center"/>
              <w:rPr>
                <w:rFonts w:asciiTheme="minorHAnsi" w:eastAsia="Times New Roman" w:hAnsiTheme="minorHAnsi" w:cstheme="minorHAnsi"/>
                <w:b/>
                <w:bCs/>
                <w:color w:val="C00000"/>
                <w:sz w:val="20"/>
                <w:szCs w:val="20"/>
                <w:lang w:eastAsia="en-AU"/>
              </w:rPr>
            </w:pPr>
            <w:r w:rsidRPr="00503F5B">
              <w:rPr>
                <w:rFonts w:asciiTheme="minorHAnsi" w:eastAsia="Times New Roman" w:hAnsiTheme="minorHAnsi" w:cstheme="minorHAnsi"/>
                <w:b/>
                <w:bCs/>
                <w:color w:val="C00000"/>
                <w:sz w:val="20"/>
                <w:szCs w:val="20"/>
                <w:lang w:eastAsia="en-AU"/>
              </w:rPr>
              <w:t>(b)</w:t>
            </w:r>
          </w:p>
        </w:tc>
        <w:tc>
          <w:tcPr>
            <w:tcW w:w="1701" w:type="dxa"/>
            <w:tcBorders>
              <w:top w:val="single" w:sz="4" w:space="0" w:color="C00000"/>
              <w:left w:val="nil"/>
              <w:bottom w:val="double" w:sz="6" w:space="0" w:color="C00000"/>
              <w:right w:val="nil"/>
            </w:tcBorders>
            <w:shd w:val="clear" w:color="000000" w:fill="FFFFFF"/>
            <w:vAlign w:val="center"/>
            <w:hideMark/>
          </w:tcPr>
          <w:p w14:paraId="6BE87E70" w14:textId="77777777" w:rsidR="00D777D0" w:rsidRPr="00503F5B" w:rsidRDefault="00D777D0" w:rsidP="00D777D0">
            <w:pPr>
              <w:jc w:val="center"/>
              <w:rPr>
                <w:rFonts w:asciiTheme="minorHAnsi" w:eastAsia="Times New Roman" w:hAnsiTheme="minorHAnsi" w:cstheme="minorHAnsi"/>
                <w:b/>
                <w:bCs/>
                <w:color w:val="C00000"/>
                <w:sz w:val="20"/>
                <w:szCs w:val="20"/>
                <w:lang w:eastAsia="en-AU"/>
              </w:rPr>
            </w:pPr>
            <w:r w:rsidRPr="00503F5B">
              <w:rPr>
                <w:rFonts w:asciiTheme="minorHAnsi" w:eastAsia="Times New Roman" w:hAnsiTheme="minorHAnsi" w:cstheme="minorHAnsi"/>
                <w:b/>
                <w:bCs/>
                <w:color w:val="C00000"/>
                <w:sz w:val="20"/>
                <w:szCs w:val="20"/>
                <w:lang w:eastAsia="en-AU"/>
              </w:rPr>
              <w:t>Number invoiced</w:t>
            </w:r>
            <w:r w:rsidR="00D955FF" w:rsidRPr="00503F5B">
              <w:rPr>
                <w:rStyle w:val="FootnoteReference"/>
                <w:rFonts w:asciiTheme="minorHAnsi" w:eastAsia="Times New Roman" w:hAnsiTheme="minorHAnsi" w:cstheme="minorHAnsi"/>
                <w:b/>
                <w:bCs/>
                <w:color w:val="C00000"/>
                <w:sz w:val="20"/>
                <w:szCs w:val="20"/>
                <w:lang w:eastAsia="en-AU"/>
              </w:rPr>
              <w:footnoteReference w:id="210"/>
            </w:r>
          </w:p>
          <w:p w14:paraId="3E47D4EC" w14:textId="5EAEAD4C" w:rsidR="00D955FF" w:rsidRPr="00503F5B" w:rsidRDefault="00D955FF" w:rsidP="00D777D0">
            <w:pPr>
              <w:jc w:val="center"/>
              <w:rPr>
                <w:rFonts w:asciiTheme="minorHAnsi" w:eastAsia="Times New Roman" w:hAnsiTheme="minorHAnsi" w:cstheme="minorHAnsi"/>
                <w:b/>
                <w:bCs/>
                <w:color w:val="C00000"/>
                <w:sz w:val="20"/>
                <w:szCs w:val="20"/>
                <w:lang w:eastAsia="en-AU"/>
              </w:rPr>
            </w:pPr>
          </w:p>
          <w:p w14:paraId="6E3B3205" w14:textId="0EFBA7ED" w:rsidR="00D955FF" w:rsidRPr="00503F5B" w:rsidRDefault="00D955FF" w:rsidP="00D777D0">
            <w:pPr>
              <w:jc w:val="center"/>
              <w:rPr>
                <w:rFonts w:asciiTheme="minorHAnsi" w:eastAsia="Times New Roman" w:hAnsiTheme="minorHAnsi" w:cstheme="minorHAnsi"/>
                <w:b/>
                <w:bCs/>
                <w:color w:val="C00000"/>
                <w:sz w:val="20"/>
                <w:szCs w:val="20"/>
                <w:lang w:eastAsia="en-AU"/>
              </w:rPr>
            </w:pPr>
          </w:p>
          <w:p w14:paraId="6765E3FF" w14:textId="77777777" w:rsidR="00AC2D2C" w:rsidRPr="00503F5B" w:rsidRDefault="00AC2D2C" w:rsidP="00D777D0">
            <w:pPr>
              <w:jc w:val="center"/>
              <w:rPr>
                <w:rFonts w:asciiTheme="minorHAnsi" w:eastAsia="Times New Roman" w:hAnsiTheme="minorHAnsi" w:cstheme="minorHAnsi"/>
                <w:b/>
                <w:bCs/>
                <w:color w:val="C00000"/>
                <w:sz w:val="20"/>
                <w:szCs w:val="20"/>
                <w:lang w:eastAsia="en-AU"/>
              </w:rPr>
            </w:pPr>
          </w:p>
          <w:p w14:paraId="0AC0EF1E" w14:textId="6BD3CE79" w:rsidR="00D955FF" w:rsidRPr="00503F5B" w:rsidRDefault="00D955FF" w:rsidP="00D777D0">
            <w:pPr>
              <w:jc w:val="center"/>
              <w:rPr>
                <w:rFonts w:asciiTheme="minorHAnsi" w:eastAsia="Times New Roman" w:hAnsiTheme="minorHAnsi" w:cstheme="minorHAnsi"/>
                <w:b/>
                <w:bCs/>
                <w:color w:val="C00000"/>
                <w:sz w:val="20"/>
                <w:szCs w:val="20"/>
                <w:lang w:eastAsia="en-AU"/>
              </w:rPr>
            </w:pPr>
            <w:r w:rsidRPr="00503F5B">
              <w:rPr>
                <w:rFonts w:asciiTheme="minorHAnsi" w:eastAsia="Times New Roman" w:hAnsiTheme="minorHAnsi" w:cstheme="minorHAnsi"/>
                <w:b/>
                <w:bCs/>
                <w:color w:val="C00000"/>
                <w:sz w:val="20"/>
                <w:szCs w:val="20"/>
                <w:lang w:eastAsia="en-AU"/>
              </w:rPr>
              <w:t>(c)</w:t>
            </w:r>
          </w:p>
        </w:tc>
        <w:tc>
          <w:tcPr>
            <w:tcW w:w="1417" w:type="dxa"/>
            <w:tcBorders>
              <w:top w:val="single" w:sz="4" w:space="0" w:color="C00000"/>
              <w:left w:val="nil"/>
              <w:bottom w:val="double" w:sz="6" w:space="0" w:color="C00000"/>
              <w:right w:val="nil"/>
            </w:tcBorders>
            <w:shd w:val="clear" w:color="000000" w:fill="FFFFFF"/>
            <w:vAlign w:val="center"/>
            <w:hideMark/>
          </w:tcPr>
          <w:p w14:paraId="05D14C16" w14:textId="77777777" w:rsidR="00D777D0" w:rsidRPr="00503F5B" w:rsidRDefault="00D777D0" w:rsidP="00D777D0">
            <w:pPr>
              <w:jc w:val="center"/>
              <w:rPr>
                <w:rFonts w:asciiTheme="minorHAnsi" w:eastAsia="Times New Roman" w:hAnsiTheme="minorHAnsi" w:cstheme="minorHAnsi"/>
                <w:b/>
                <w:bCs/>
                <w:color w:val="C00000"/>
                <w:sz w:val="20"/>
                <w:szCs w:val="20"/>
                <w:lang w:eastAsia="en-AU"/>
              </w:rPr>
            </w:pPr>
            <w:r w:rsidRPr="00503F5B">
              <w:rPr>
                <w:rFonts w:asciiTheme="minorHAnsi" w:eastAsia="Times New Roman" w:hAnsiTheme="minorHAnsi" w:cstheme="minorHAnsi"/>
                <w:b/>
                <w:bCs/>
                <w:color w:val="C00000"/>
                <w:sz w:val="20"/>
                <w:szCs w:val="20"/>
                <w:lang w:eastAsia="en-AU"/>
              </w:rPr>
              <w:t>% of total invoiced</w:t>
            </w:r>
          </w:p>
          <w:p w14:paraId="183F3308" w14:textId="77777777" w:rsidR="00D955FF" w:rsidRPr="00503F5B" w:rsidRDefault="00D955FF" w:rsidP="00D777D0">
            <w:pPr>
              <w:jc w:val="center"/>
              <w:rPr>
                <w:rFonts w:asciiTheme="minorHAnsi" w:eastAsia="Times New Roman" w:hAnsiTheme="minorHAnsi" w:cstheme="minorHAnsi"/>
                <w:b/>
                <w:bCs/>
                <w:color w:val="C00000"/>
                <w:sz w:val="20"/>
                <w:szCs w:val="20"/>
                <w:lang w:eastAsia="en-AU"/>
              </w:rPr>
            </w:pPr>
          </w:p>
          <w:p w14:paraId="3DF6E142" w14:textId="70F91D2A" w:rsidR="00D955FF" w:rsidRPr="00503F5B" w:rsidRDefault="00D955FF" w:rsidP="00D777D0">
            <w:pPr>
              <w:jc w:val="center"/>
              <w:rPr>
                <w:rFonts w:asciiTheme="minorHAnsi" w:eastAsia="Times New Roman" w:hAnsiTheme="minorHAnsi" w:cstheme="minorHAnsi"/>
                <w:b/>
                <w:bCs/>
                <w:color w:val="C00000"/>
                <w:sz w:val="20"/>
                <w:szCs w:val="20"/>
                <w:lang w:eastAsia="en-AU"/>
              </w:rPr>
            </w:pPr>
          </w:p>
          <w:p w14:paraId="1FE0D297" w14:textId="77777777" w:rsidR="00AC2D2C" w:rsidRPr="00503F5B" w:rsidRDefault="00AC2D2C" w:rsidP="00D777D0">
            <w:pPr>
              <w:jc w:val="center"/>
              <w:rPr>
                <w:rFonts w:asciiTheme="minorHAnsi" w:eastAsia="Times New Roman" w:hAnsiTheme="minorHAnsi" w:cstheme="minorHAnsi"/>
                <w:b/>
                <w:bCs/>
                <w:color w:val="C00000"/>
                <w:sz w:val="20"/>
                <w:szCs w:val="20"/>
                <w:lang w:eastAsia="en-AU"/>
              </w:rPr>
            </w:pPr>
          </w:p>
          <w:p w14:paraId="26A20F6B" w14:textId="0225ABF5" w:rsidR="00D955FF" w:rsidRPr="00503F5B" w:rsidRDefault="00D955FF" w:rsidP="00D777D0">
            <w:pPr>
              <w:jc w:val="center"/>
              <w:rPr>
                <w:rFonts w:asciiTheme="minorHAnsi" w:eastAsia="Times New Roman" w:hAnsiTheme="minorHAnsi" w:cstheme="minorHAnsi"/>
                <w:b/>
                <w:bCs/>
                <w:color w:val="C00000"/>
                <w:sz w:val="20"/>
                <w:szCs w:val="20"/>
                <w:lang w:eastAsia="en-AU"/>
              </w:rPr>
            </w:pPr>
            <w:r w:rsidRPr="00503F5B">
              <w:rPr>
                <w:rFonts w:asciiTheme="minorHAnsi" w:eastAsia="Times New Roman" w:hAnsiTheme="minorHAnsi" w:cstheme="minorHAnsi"/>
                <w:b/>
                <w:bCs/>
                <w:color w:val="C00000"/>
                <w:sz w:val="20"/>
                <w:szCs w:val="20"/>
                <w:lang w:eastAsia="en-AU"/>
              </w:rPr>
              <w:t>(d) = (c)/4,460</w:t>
            </w:r>
          </w:p>
        </w:tc>
        <w:tc>
          <w:tcPr>
            <w:tcW w:w="1560" w:type="dxa"/>
            <w:tcBorders>
              <w:top w:val="single" w:sz="4" w:space="0" w:color="C00000"/>
              <w:left w:val="nil"/>
              <w:bottom w:val="double" w:sz="6" w:space="0" w:color="C00000"/>
              <w:right w:val="nil"/>
            </w:tcBorders>
            <w:shd w:val="clear" w:color="000000" w:fill="FFFFFF"/>
          </w:tcPr>
          <w:p w14:paraId="0AD804C0" w14:textId="2D3FB252" w:rsidR="00D777D0" w:rsidRPr="00503F5B" w:rsidRDefault="00AC2D2C" w:rsidP="00D777D0">
            <w:pPr>
              <w:jc w:val="center"/>
              <w:rPr>
                <w:b/>
                <w:bCs/>
                <w:color w:val="C00000"/>
                <w:sz w:val="20"/>
                <w:szCs w:val="20"/>
              </w:rPr>
            </w:pPr>
            <w:r w:rsidRPr="00503F5B">
              <w:rPr>
                <w:b/>
                <w:bCs/>
                <w:color w:val="C00000"/>
                <w:sz w:val="20"/>
                <w:szCs w:val="20"/>
              </w:rPr>
              <w:t>Total a</w:t>
            </w:r>
            <w:r w:rsidR="00D777D0" w:rsidRPr="00503F5B">
              <w:rPr>
                <w:b/>
                <w:bCs/>
                <w:color w:val="C00000"/>
                <w:sz w:val="20"/>
                <w:szCs w:val="20"/>
              </w:rPr>
              <w:t>ppliance hours invoiced</w:t>
            </w:r>
          </w:p>
          <w:p w14:paraId="666A3C4E" w14:textId="77777777" w:rsidR="00D777D0" w:rsidRPr="00503F5B" w:rsidRDefault="00D777D0" w:rsidP="00D777D0">
            <w:pPr>
              <w:jc w:val="center"/>
              <w:rPr>
                <w:b/>
                <w:bCs/>
                <w:color w:val="C00000"/>
                <w:sz w:val="20"/>
                <w:szCs w:val="20"/>
              </w:rPr>
            </w:pPr>
            <w:r w:rsidRPr="00503F5B">
              <w:rPr>
                <w:b/>
                <w:bCs/>
                <w:color w:val="C00000"/>
                <w:sz w:val="20"/>
                <w:szCs w:val="20"/>
              </w:rPr>
              <w:t>2018-19</w:t>
            </w:r>
          </w:p>
          <w:p w14:paraId="3396495D" w14:textId="48988657" w:rsidR="00D955FF" w:rsidRPr="00503F5B" w:rsidRDefault="00D955FF" w:rsidP="00D777D0">
            <w:pPr>
              <w:jc w:val="center"/>
              <w:rPr>
                <w:b/>
                <w:bCs/>
                <w:color w:val="C00000"/>
                <w:sz w:val="20"/>
                <w:szCs w:val="20"/>
              </w:rPr>
            </w:pPr>
          </w:p>
          <w:p w14:paraId="1E669545" w14:textId="77777777" w:rsidR="00AC2D2C" w:rsidRPr="00503F5B" w:rsidRDefault="00AC2D2C" w:rsidP="00D777D0">
            <w:pPr>
              <w:jc w:val="center"/>
              <w:rPr>
                <w:b/>
                <w:bCs/>
                <w:color w:val="C00000"/>
                <w:sz w:val="20"/>
                <w:szCs w:val="20"/>
              </w:rPr>
            </w:pPr>
          </w:p>
          <w:p w14:paraId="55D833E7" w14:textId="3376E509" w:rsidR="00D955FF" w:rsidRPr="00503F5B" w:rsidRDefault="00D955FF" w:rsidP="00D777D0">
            <w:pPr>
              <w:jc w:val="center"/>
              <w:rPr>
                <w:rFonts w:asciiTheme="minorHAnsi" w:eastAsia="Times New Roman" w:hAnsiTheme="minorHAnsi" w:cstheme="minorHAnsi"/>
                <w:b/>
                <w:bCs/>
                <w:color w:val="C00000"/>
                <w:sz w:val="20"/>
                <w:szCs w:val="20"/>
                <w:lang w:eastAsia="en-AU"/>
              </w:rPr>
            </w:pPr>
            <w:r w:rsidRPr="00503F5B">
              <w:rPr>
                <w:rFonts w:asciiTheme="minorHAnsi" w:eastAsia="Times New Roman" w:hAnsiTheme="minorHAnsi" w:cstheme="minorHAnsi"/>
                <w:b/>
                <w:bCs/>
                <w:color w:val="C00000"/>
                <w:sz w:val="20"/>
                <w:szCs w:val="20"/>
                <w:lang w:eastAsia="en-AU"/>
              </w:rPr>
              <w:t>(e) = (a) x (c)</w:t>
            </w:r>
          </w:p>
        </w:tc>
        <w:tc>
          <w:tcPr>
            <w:tcW w:w="1559" w:type="dxa"/>
            <w:tcBorders>
              <w:top w:val="single" w:sz="4" w:space="0" w:color="C00000"/>
              <w:left w:val="nil"/>
              <w:bottom w:val="double" w:sz="6" w:space="0" w:color="C00000"/>
              <w:right w:val="nil"/>
            </w:tcBorders>
            <w:shd w:val="clear" w:color="000000" w:fill="FFFFFF"/>
          </w:tcPr>
          <w:p w14:paraId="1222BB48" w14:textId="2512129D" w:rsidR="00D777D0" w:rsidRPr="00503F5B" w:rsidRDefault="00AC2D2C" w:rsidP="00D777D0">
            <w:pPr>
              <w:jc w:val="center"/>
              <w:rPr>
                <w:b/>
                <w:bCs/>
                <w:color w:val="C00000"/>
                <w:sz w:val="20"/>
                <w:szCs w:val="20"/>
              </w:rPr>
            </w:pPr>
            <w:r w:rsidRPr="00503F5B">
              <w:rPr>
                <w:b/>
                <w:bCs/>
                <w:color w:val="C00000"/>
                <w:sz w:val="20"/>
                <w:szCs w:val="20"/>
              </w:rPr>
              <w:t>Total a</w:t>
            </w:r>
            <w:r w:rsidR="00D777D0" w:rsidRPr="00503F5B">
              <w:rPr>
                <w:b/>
                <w:bCs/>
                <w:color w:val="C00000"/>
                <w:sz w:val="20"/>
                <w:szCs w:val="20"/>
              </w:rPr>
              <w:t>ppliance hours charged for under Option 3</w:t>
            </w:r>
          </w:p>
          <w:p w14:paraId="23D301CF" w14:textId="77777777" w:rsidR="00AC2D2C" w:rsidRPr="00503F5B" w:rsidRDefault="00AC2D2C" w:rsidP="00D777D0">
            <w:pPr>
              <w:jc w:val="center"/>
              <w:rPr>
                <w:b/>
                <w:bCs/>
                <w:color w:val="C00000"/>
                <w:sz w:val="20"/>
                <w:szCs w:val="20"/>
              </w:rPr>
            </w:pPr>
          </w:p>
          <w:p w14:paraId="624C178E" w14:textId="60792D7D" w:rsidR="00D955FF" w:rsidRPr="00503F5B" w:rsidRDefault="00D955FF" w:rsidP="00D777D0">
            <w:pPr>
              <w:jc w:val="center"/>
              <w:rPr>
                <w:rFonts w:asciiTheme="minorHAnsi" w:eastAsia="Times New Roman" w:hAnsiTheme="minorHAnsi" w:cstheme="minorHAnsi"/>
                <w:b/>
                <w:bCs/>
                <w:color w:val="C00000"/>
                <w:sz w:val="20"/>
                <w:szCs w:val="20"/>
                <w:lang w:eastAsia="en-AU"/>
              </w:rPr>
            </w:pPr>
            <w:r w:rsidRPr="00503F5B">
              <w:rPr>
                <w:b/>
                <w:bCs/>
                <w:color w:val="C00000"/>
                <w:sz w:val="20"/>
                <w:szCs w:val="20"/>
              </w:rPr>
              <w:t>(f) = (b) x (c)</w:t>
            </w:r>
          </w:p>
        </w:tc>
      </w:tr>
      <w:tr w:rsidR="00D777D0" w:rsidRPr="00503F5B" w14:paraId="0A147459" w14:textId="1C309F58" w:rsidTr="009917B8">
        <w:trPr>
          <w:trHeight w:val="300"/>
          <w:jc w:val="center"/>
        </w:trPr>
        <w:tc>
          <w:tcPr>
            <w:tcW w:w="1276" w:type="dxa"/>
            <w:tcBorders>
              <w:top w:val="nil"/>
              <w:left w:val="nil"/>
              <w:bottom w:val="nil"/>
              <w:right w:val="nil"/>
            </w:tcBorders>
            <w:shd w:val="clear" w:color="000000" w:fill="FFFFFF"/>
            <w:noWrap/>
            <w:vAlign w:val="center"/>
            <w:hideMark/>
          </w:tcPr>
          <w:p w14:paraId="647E1299"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0.25</w:t>
            </w:r>
          </w:p>
        </w:tc>
        <w:tc>
          <w:tcPr>
            <w:tcW w:w="1843" w:type="dxa"/>
            <w:tcBorders>
              <w:top w:val="nil"/>
              <w:left w:val="nil"/>
              <w:bottom w:val="nil"/>
              <w:right w:val="nil"/>
            </w:tcBorders>
            <w:shd w:val="clear" w:color="000000" w:fill="FFFFFF"/>
            <w:vAlign w:val="center"/>
          </w:tcPr>
          <w:p w14:paraId="09DC8D05" w14:textId="72D32012"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0.25</w:t>
            </w:r>
          </w:p>
        </w:tc>
        <w:tc>
          <w:tcPr>
            <w:tcW w:w="1701" w:type="dxa"/>
            <w:tcBorders>
              <w:top w:val="nil"/>
              <w:left w:val="nil"/>
              <w:bottom w:val="nil"/>
              <w:right w:val="nil"/>
            </w:tcBorders>
            <w:shd w:val="clear" w:color="000000" w:fill="FFFFFF"/>
            <w:noWrap/>
            <w:vAlign w:val="center"/>
            <w:hideMark/>
          </w:tcPr>
          <w:p w14:paraId="539C51A5" w14:textId="5B027F5A"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82</w:t>
            </w:r>
          </w:p>
        </w:tc>
        <w:tc>
          <w:tcPr>
            <w:tcW w:w="1417" w:type="dxa"/>
            <w:tcBorders>
              <w:top w:val="nil"/>
              <w:left w:val="nil"/>
              <w:bottom w:val="nil"/>
              <w:right w:val="nil"/>
            </w:tcBorders>
            <w:shd w:val="clear" w:color="000000" w:fill="FFFFFF"/>
            <w:noWrap/>
            <w:vAlign w:val="center"/>
            <w:hideMark/>
          </w:tcPr>
          <w:p w14:paraId="2EF50D85"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1.84%</w:t>
            </w:r>
          </w:p>
        </w:tc>
        <w:tc>
          <w:tcPr>
            <w:tcW w:w="1560" w:type="dxa"/>
            <w:tcBorders>
              <w:top w:val="nil"/>
              <w:left w:val="nil"/>
              <w:bottom w:val="nil"/>
              <w:right w:val="nil"/>
            </w:tcBorders>
            <w:shd w:val="clear" w:color="000000" w:fill="FFFFFF"/>
            <w:vAlign w:val="center"/>
          </w:tcPr>
          <w:p w14:paraId="105DB702" w14:textId="6137F2D8"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20</w:t>
            </w:r>
          </w:p>
        </w:tc>
        <w:tc>
          <w:tcPr>
            <w:tcW w:w="1559" w:type="dxa"/>
            <w:tcBorders>
              <w:top w:val="nil"/>
              <w:left w:val="nil"/>
              <w:bottom w:val="nil"/>
              <w:right w:val="nil"/>
            </w:tcBorders>
            <w:shd w:val="clear" w:color="000000" w:fill="FFFFFF"/>
            <w:vAlign w:val="center"/>
          </w:tcPr>
          <w:p w14:paraId="76427880" w14:textId="3A6C2801"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20</w:t>
            </w:r>
          </w:p>
        </w:tc>
      </w:tr>
      <w:tr w:rsidR="00D777D0" w:rsidRPr="00503F5B" w14:paraId="2698FC42" w14:textId="6F15D037" w:rsidTr="009917B8">
        <w:trPr>
          <w:trHeight w:val="285"/>
          <w:jc w:val="center"/>
        </w:trPr>
        <w:tc>
          <w:tcPr>
            <w:tcW w:w="1276" w:type="dxa"/>
            <w:tcBorders>
              <w:top w:val="nil"/>
              <w:left w:val="nil"/>
              <w:bottom w:val="nil"/>
              <w:right w:val="nil"/>
            </w:tcBorders>
            <w:shd w:val="clear" w:color="000000" w:fill="FFFFFF"/>
            <w:noWrap/>
            <w:vAlign w:val="center"/>
            <w:hideMark/>
          </w:tcPr>
          <w:p w14:paraId="4DC02351"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0.25</w:t>
            </w:r>
          </w:p>
        </w:tc>
        <w:tc>
          <w:tcPr>
            <w:tcW w:w="1843" w:type="dxa"/>
            <w:tcBorders>
              <w:top w:val="nil"/>
              <w:left w:val="nil"/>
              <w:bottom w:val="nil"/>
              <w:right w:val="nil"/>
            </w:tcBorders>
            <w:shd w:val="clear" w:color="000000" w:fill="FFFFFF"/>
            <w:vAlign w:val="center"/>
          </w:tcPr>
          <w:p w14:paraId="3364AA04" w14:textId="2882373F"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0.25</w:t>
            </w:r>
          </w:p>
        </w:tc>
        <w:tc>
          <w:tcPr>
            <w:tcW w:w="1701" w:type="dxa"/>
            <w:tcBorders>
              <w:top w:val="nil"/>
              <w:left w:val="nil"/>
              <w:bottom w:val="nil"/>
              <w:right w:val="nil"/>
            </w:tcBorders>
            <w:shd w:val="clear" w:color="000000" w:fill="FFFFFF"/>
            <w:noWrap/>
            <w:vAlign w:val="center"/>
            <w:hideMark/>
          </w:tcPr>
          <w:p w14:paraId="5F17C1FA" w14:textId="6D1AACD0"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437</w:t>
            </w:r>
          </w:p>
        </w:tc>
        <w:tc>
          <w:tcPr>
            <w:tcW w:w="1417" w:type="dxa"/>
            <w:tcBorders>
              <w:top w:val="nil"/>
              <w:left w:val="nil"/>
              <w:bottom w:val="nil"/>
              <w:right w:val="nil"/>
            </w:tcBorders>
            <w:shd w:val="clear" w:color="000000" w:fill="FFFFFF"/>
            <w:noWrap/>
            <w:vAlign w:val="center"/>
            <w:hideMark/>
          </w:tcPr>
          <w:p w14:paraId="2D796EB6"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9.80%</w:t>
            </w:r>
          </w:p>
        </w:tc>
        <w:tc>
          <w:tcPr>
            <w:tcW w:w="1560" w:type="dxa"/>
            <w:tcBorders>
              <w:top w:val="nil"/>
              <w:left w:val="nil"/>
              <w:bottom w:val="nil"/>
              <w:right w:val="nil"/>
            </w:tcBorders>
            <w:shd w:val="clear" w:color="000000" w:fill="FFFFFF"/>
            <w:vAlign w:val="center"/>
          </w:tcPr>
          <w:p w14:paraId="32E1C8CA" w14:textId="6247788A"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109</w:t>
            </w:r>
          </w:p>
        </w:tc>
        <w:tc>
          <w:tcPr>
            <w:tcW w:w="1559" w:type="dxa"/>
            <w:tcBorders>
              <w:top w:val="nil"/>
              <w:left w:val="nil"/>
              <w:bottom w:val="nil"/>
              <w:right w:val="nil"/>
            </w:tcBorders>
            <w:shd w:val="clear" w:color="000000" w:fill="FFFFFF"/>
            <w:vAlign w:val="center"/>
          </w:tcPr>
          <w:p w14:paraId="1AE0BC23" w14:textId="6AE83F97"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109</w:t>
            </w:r>
          </w:p>
        </w:tc>
      </w:tr>
      <w:tr w:rsidR="00D777D0" w:rsidRPr="00503F5B" w14:paraId="0AC43F28" w14:textId="3A9E3A85" w:rsidTr="009917B8">
        <w:trPr>
          <w:trHeight w:val="285"/>
          <w:jc w:val="center"/>
        </w:trPr>
        <w:tc>
          <w:tcPr>
            <w:tcW w:w="1276" w:type="dxa"/>
            <w:tcBorders>
              <w:top w:val="nil"/>
              <w:left w:val="nil"/>
              <w:bottom w:val="nil"/>
              <w:right w:val="nil"/>
            </w:tcBorders>
            <w:shd w:val="clear" w:color="000000" w:fill="FFFFFF"/>
            <w:noWrap/>
            <w:vAlign w:val="center"/>
            <w:hideMark/>
          </w:tcPr>
          <w:p w14:paraId="56123609"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0.49</w:t>
            </w:r>
          </w:p>
        </w:tc>
        <w:tc>
          <w:tcPr>
            <w:tcW w:w="1843" w:type="dxa"/>
            <w:tcBorders>
              <w:top w:val="nil"/>
              <w:left w:val="nil"/>
              <w:bottom w:val="nil"/>
              <w:right w:val="nil"/>
            </w:tcBorders>
            <w:shd w:val="clear" w:color="000000" w:fill="FFFFFF"/>
            <w:vAlign w:val="center"/>
          </w:tcPr>
          <w:p w14:paraId="6B37425A" w14:textId="268E2429"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0.49</w:t>
            </w:r>
          </w:p>
        </w:tc>
        <w:tc>
          <w:tcPr>
            <w:tcW w:w="1701" w:type="dxa"/>
            <w:tcBorders>
              <w:top w:val="nil"/>
              <w:left w:val="nil"/>
              <w:bottom w:val="nil"/>
              <w:right w:val="nil"/>
            </w:tcBorders>
            <w:shd w:val="clear" w:color="000000" w:fill="FFFFFF"/>
            <w:noWrap/>
            <w:vAlign w:val="center"/>
            <w:hideMark/>
          </w:tcPr>
          <w:p w14:paraId="13AFCABE" w14:textId="37DB1812"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352</w:t>
            </w:r>
          </w:p>
        </w:tc>
        <w:tc>
          <w:tcPr>
            <w:tcW w:w="1417" w:type="dxa"/>
            <w:tcBorders>
              <w:top w:val="nil"/>
              <w:left w:val="nil"/>
              <w:bottom w:val="nil"/>
              <w:right w:val="nil"/>
            </w:tcBorders>
            <w:shd w:val="clear" w:color="000000" w:fill="FFFFFF"/>
            <w:noWrap/>
            <w:vAlign w:val="center"/>
            <w:hideMark/>
          </w:tcPr>
          <w:p w14:paraId="5A019BD6"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7.89%</w:t>
            </w:r>
          </w:p>
        </w:tc>
        <w:tc>
          <w:tcPr>
            <w:tcW w:w="1560" w:type="dxa"/>
            <w:tcBorders>
              <w:top w:val="nil"/>
              <w:left w:val="nil"/>
              <w:bottom w:val="nil"/>
              <w:right w:val="nil"/>
            </w:tcBorders>
            <w:shd w:val="clear" w:color="000000" w:fill="FFFFFF"/>
            <w:vAlign w:val="center"/>
          </w:tcPr>
          <w:p w14:paraId="6337D5CF" w14:textId="6ADC6E8D"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173</w:t>
            </w:r>
          </w:p>
        </w:tc>
        <w:tc>
          <w:tcPr>
            <w:tcW w:w="1559" w:type="dxa"/>
            <w:tcBorders>
              <w:top w:val="nil"/>
              <w:left w:val="nil"/>
              <w:bottom w:val="nil"/>
              <w:right w:val="nil"/>
            </w:tcBorders>
            <w:shd w:val="clear" w:color="000000" w:fill="FFFFFF"/>
            <w:vAlign w:val="center"/>
          </w:tcPr>
          <w:p w14:paraId="701249B4" w14:textId="258A0A3D"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173</w:t>
            </w:r>
          </w:p>
        </w:tc>
      </w:tr>
      <w:tr w:rsidR="00D777D0" w:rsidRPr="00503F5B" w14:paraId="078D66DB" w14:textId="08A260A0" w:rsidTr="009917B8">
        <w:trPr>
          <w:trHeight w:val="285"/>
          <w:jc w:val="center"/>
        </w:trPr>
        <w:tc>
          <w:tcPr>
            <w:tcW w:w="1276" w:type="dxa"/>
            <w:tcBorders>
              <w:top w:val="nil"/>
              <w:left w:val="nil"/>
              <w:bottom w:val="nil"/>
              <w:right w:val="nil"/>
            </w:tcBorders>
            <w:shd w:val="clear" w:color="000000" w:fill="FFFFFF"/>
            <w:noWrap/>
            <w:vAlign w:val="center"/>
            <w:hideMark/>
          </w:tcPr>
          <w:p w14:paraId="25B78FEA"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0.50</w:t>
            </w:r>
          </w:p>
        </w:tc>
        <w:tc>
          <w:tcPr>
            <w:tcW w:w="1843" w:type="dxa"/>
            <w:tcBorders>
              <w:top w:val="nil"/>
              <w:left w:val="nil"/>
              <w:bottom w:val="nil"/>
              <w:right w:val="nil"/>
            </w:tcBorders>
            <w:shd w:val="clear" w:color="000000" w:fill="FFFFFF"/>
            <w:vAlign w:val="center"/>
          </w:tcPr>
          <w:p w14:paraId="19A6AF10" w14:textId="360DFC2E"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0.50</w:t>
            </w:r>
          </w:p>
        </w:tc>
        <w:tc>
          <w:tcPr>
            <w:tcW w:w="1701" w:type="dxa"/>
            <w:tcBorders>
              <w:top w:val="nil"/>
              <w:left w:val="nil"/>
              <w:bottom w:val="nil"/>
              <w:right w:val="nil"/>
            </w:tcBorders>
            <w:shd w:val="clear" w:color="000000" w:fill="FFFFFF"/>
            <w:noWrap/>
            <w:vAlign w:val="center"/>
            <w:hideMark/>
          </w:tcPr>
          <w:p w14:paraId="0E18C832" w14:textId="41F9726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1019</w:t>
            </w:r>
          </w:p>
        </w:tc>
        <w:tc>
          <w:tcPr>
            <w:tcW w:w="1417" w:type="dxa"/>
            <w:tcBorders>
              <w:top w:val="nil"/>
              <w:left w:val="nil"/>
              <w:bottom w:val="nil"/>
              <w:right w:val="nil"/>
            </w:tcBorders>
            <w:shd w:val="clear" w:color="000000" w:fill="FFFFFF"/>
            <w:noWrap/>
            <w:vAlign w:val="center"/>
            <w:hideMark/>
          </w:tcPr>
          <w:p w14:paraId="67C4E4E0"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22.85%</w:t>
            </w:r>
          </w:p>
        </w:tc>
        <w:tc>
          <w:tcPr>
            <w:tcW w:w="1560" w:type="dxa"/>
            <w:tcBorders>
              <w:top w:val="nil"/>
              <w:left w:val="nil"/>
              <w:bottom w:val="nil"/>
              <w:right w:val="nil"/>
            </w:tcBorders>
            <w:shd w:val="clear" w:color="000000" w:fill="FFFFFF"/>
            <w:vAlign w:val="center"/>
          </w:tcPr>
          <w:p w14:paraId="586192B2" w14:textId="3BB7991B"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509</w:t>
            </w:r>
          </w:p>
        </w:tc>
        <w:tc>
          <w:tcPr>
            <w:tcW w:w="1559" w:type="dxa"/>
            <w:tcBorders>
              <w:top w:val="nil"/>
              <w:left w:val="nil"/>
              <w:bottom w:val="nil"/>
              <w:right w:val="nil"/>
            </w:tcBorders>
            <w:shd w:val="clear" w:color="000000" w:fill="FFFFFF"/>
            <w:vAlign w:val="center"/>
          </w:tcPr>
          <w:p w14:paraId="324595D3" w14:textId="0D797D93"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509</w:t>
            </w:r>
          </w:p>
        </w:tc>
      </w:tr>
      <w:tr w:rsidR="00D777D0" w:rsidRPr="00503F5B" w14:paraId="7BD115CC" w14:textId="32918D5B" w:rsidTr="009917B8">
        <w:trPr>
          <w:trHeight w:val="285"/>
          <w:jc w:val="center"/>
        </w:trPr>
        <w:tc>
          <w:tcPr>
            <w:tcW w:w="1276" w:type="dxa"/>
            <w:tcBorders>
              <w:top w:val="nil"/>
              <w:left w:val="nil"/>
              <w:bottom w:val="nil"/>
              <w:right w:val="nil"/>
            </w:tcBorders>
            <w:shd w:val="clear" w:color="000000" w:fill="FFFFFF"/>
            <w:noWrap/>
            <w:vAlign w:val="center"/>
            <w:hideMark/>
          </w:tcPr>
          <w:p w14:paraId="56AF8E3D"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0.74</w:t>
            </w:r>
          </w:p>
        </w:tc>
        <w:tc>
          <w:tcPr>
            <w:tcW w:w="1843" w:type="dxa"/>
            <w:tcBorders>
              <w:top w:val="nil"/>
              <w:left w:val="nil"/>
              <w:bottom w:val="nil"/>
              <w:right w:val="nil"/>
            </w:tcBorders>
            <w:shd w:val="clear" w:color="000000" w:fill="FFFFFF"/>
            <w:vAlign w:val="center"/>
          </w:tcPr>
          <w:p w14:paraId="74E5DBD0" w14:textId="51904EE5"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0.74</w:t>
            </w:r>
          </w:p>
        </w:tc>
        <w:tc>
          <w:tcPr>
            <w:tcW w:w="1701" w:type="dxa"/>
            <w:tcBorders>
              <w:top w:val="nil"/>
              <w:left w:val="nil"/>
              <w:bottom w:val="nil"/>
              <w:right w:val="nil"/>
            </w:tcBorders>
            <w:shd w:val="clear" w:color="000000" w:fill="FFFFFF"/>
            <w:noWrap/>
            <w:vAlign w:val="center"/>
            <w:hideMark/>
          </w:tcPr>
          <w:p w14:paraId="27F09A38" w14:textId="2A96C3E4"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326</w:t>
            </w:r>
          </w:p>
        </w:tc>
        <w:tc>
          <w:tcPr>
            <w:tcW w:w="1417" w:type="dxa"/>
            <w:tcBorders>
              <w:top w:val="nil"/>
              <w:left w:val="nil"/>
              <w:bottom w:val="nil"/>
              <w:right w:val="nil"/>
            </w:tcBorders>
            <w:shd w:val="clear" w:color="000000" w:fill="FFFFFF"/>
            <w:noWrap/>
            <w:vAlign w:val="center"/>
            <w:hideMark/>
          </w:tcPr>
          <w:p w14:paraId="54592AF0"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7.31%</w:t>
            </w:r>
          </w:p>
        </w:tc>
        <w:tc>
          <w:tcPr>
            <w:tcW w:w="1560" w:type="dxa"/>
            <w:tcBorders>
              <w:top w:val="nil"/>
              <w:left w:val="nil"/>
              <w:bottom w:val="nil"/>
              <w:right w:val="nil"/>
            </w:tcBorders>
            <w:shd w:val="clear" w:color="000000" w:fill="FFFFFF"/>
            <w:vAlign w:val="center"/>
          </w:tcPr>
          <w:p w14:paraId="14E89D66" w14:textId="08D31EF0"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240</w:t>
            </w:r>
          </w:p>
        </w:tc>
        <w:tc>
          <w:tcPr>
            <w:tcW w:w="1559" w:type="dxa"/>
            <w:tcBorders>
              <w:top w:val="nil"/>
              <w:left w:val="nil"/>
              <w:bottom w:val="nil"/>
              <w:right w:val="nil"/>
            </w:tcBorders>
            <w:shd w:val="clear" w:color="000000" w:fill="FFFFFF"/>
            <w:vAlign w:val="center"/>
          </w:tcPr>
          <w:p w14:paraId="3AEB1484" w14:textId="265688F3"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240</w:t>
            </w:r>
          </w:p>
        </w:tc>
      </w:tr>
      <w:tr w:rsidR="00D777D0" w:rsidRPr="00503F5B" w14:paraId="449232F5" w14:textId="677EEA36" w:rsidTr="009917B8">
        <w:trPr>
          <w:trHeight w:val="285"/>
          <w:jc w:val="center"/>
        </w:trPr>
        <w:tc>
          <w:tcPr>
            <w:tcW w:w="1276" w:type="dxa"/>
            <w:tcBorders>
              <w:top w:val="nil"/>
              <w:left w:val="nil"/>
              <w:bottom w:val="nil"/>
              <w:right w:val="nil"/>
            </w:tcBorders>
            <w:shd w:val="clear" w:color="000000" w:fill="FFFFFF"/>
            <w:noWrap/>
            <w:vAlign w:val="center"/>
            <w:hideMark/>
          </w:tcPr>
          <w:p w14:paraId="1F3E206F"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0.75</w:t>
            </w:r>
          </w:p>
        </w:tc>
        <w:tc>
          <w:tcPr>
            <w:tcW w:w="1843" w:type="dxa"/>
            <w:tcBorders>
              <w:top w:val="nil"/>
              <w:left w:val="nil"/>
              <w:bottom w:val="nil"/>
              <w:right w:val="nil"/>
            </w:tcBorders>
            <w:shd w:val="clear" w:color="000000" w:fill="FFFFFF"/>
            <w:vAlign w:val="center"/>
          </w:tcPr>
          <w:p w14:paraId="699D18EA" w14:textId="282F8D65"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0.75</w:t>
            </w:r>
          </w:p>
        </w:tc>
        <w:tc>
          <w:tcPr>
            <w:tcW w:w="1701" w:type="dxa"/>
            <w:tcBorders>
              <w:top w:val="nil"/>
              <w:left w:val="nil"/>
              <w:bottom w:val="nil"/>
              <w:right w:val="nil"/>
            </w:tcBorders>
            <w:shd w:val="clear" w:color="000000" w:fill="FFFFFF"/>
            <w:noWrap/>
            <w:vAlign w:val="center"/>
            <w:hideMark/>
          </w:tcPr>
          <w:p w14:paraId="2D6EF667" w14:textId="312EC089"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987</w:t>
            </w:r>
          </w:p>
        </w:tc>
        <w:tc>
          <w:tcPr>
            <w:tcW w:w="1417" w:type="dxa"/>
            <w:tcBorders>
              <w:top w:val="nil"/>
              <w:left w:val="nil"/>
              <w:bottom w:val="nil"/>
              <w:right w:val="nil"/>
            </w:tcBorders>
            <w:shd w:val="clear" w:color="000000" w:fill="FFFFFF"/>
            <w:noWrap/>
            <w:vAlign w:val="center"/>
            <w:hideMark/>
          </w:tcPr>
          <w:p w14:paraId="14EF8A1D"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22.13%</w:t>
            </w:r>
          </w:p>
        </w:tc>
        <w:tc>
          <w:tcPr>
            <w:tcW w:w="1560" w:type="dxa"/>
            <w:tcBorders>
              <w:top w:val="nil"/>
              <w:left w:val="nil"/>
              <w:bottom w:val="nil"/>
              <w:right w:val="nil"/>
            </w:tcBorders>
            <w:shd w:val="clear" w:color="000000" w:fill="FFFFFF"/>
            <w:vAlign w:val="center"/>
          </w:tcPr>
          <w:p w14:paraId="0AEC06CB" w14:textId="60D088C0"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740</w:t>
            </w:r>
          </w:p>
        </w:tc>
        <w:tc>
          <w:tcPr>
            <w:tcW w:w="1559" w:type="dxa"/>
            <w:tcBorders>
              <w:top w:val="nil"/>
              <w:left w:val="nil"/>
              <w:bottom w:val="nil"/>
              <w:right w:val="nil"/>
            </w:tcBorders>
            <w:shd w:val="clear" w:color="000000" w:fill="FFFFFF"/>
            <w:vAlign w:val="center"/>
          </w:tcPr>
          <w:p w14:paraId="1BCD3FD0" w14:textId="3B1B099D"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740</w:t>
            </w:r>
          </w:p>
        </w:tc>
      </w:tr>
      <w:tr w:rsidR="00D777D0" w:rsidRPr="00503F5B" w14:paraId="2B869A81" w14:textId="2C15CC88" w:rsidTr="009917B8">
        <w:trPr>
          <w:trHeight w:val="285"/>
          <w:jc w:val="center"/>
        </w:trPr>
        <w:tc>
          <w:tcPr>
            <w:tcW w:w="1276" w:type="dxa"/>
            <w:tcBorders>
              <w:top w:val="nil"/>
              <w:left w:val="nil"/>
              <w:bottom w:val="nil"/>
              <w:right w:val="nil"/>
            </w:tcBorders>
            <w:shd w:val="clear" w:color="000000" w:fill="FFFFFF"/>
            <w:noWrap/>
            <w:vAlign w:val="center"/>
            <w:hideMark/>
          </w:tcPr>
          <w:p w14:paraId="37B9B23A"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0.98</w:t>
            </w:r>
          </w:p>
        </w:tc>
        <w:tc>
          <w:tcPr>
            <w:tcW w:w="1843" w:type="dxa"/>
            <w:tcBorders>
              <w:top w:val="nil"/>
              <w:left w:val="nil"/>
              <w:bottom w:val="nil"/>
              <w:right w:val="nil"/>
            </w:tcBorders>
            <w:shd w:val="clear" w:color="000000" w:fill="FFFFFF"/>
            <w:vAlign w:val="center"/>
          </w:tcPr>
          <w:p w14:paraId="6B80210A" w14:textId="43502C3D"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0.98</w:t>
            </w:r>
          </w:p>
        </w:tc>
        <w:tc>
          <w:tcPr>
            <w:tcW w:w="1701" w:type="dxa"/>
            <w:tcBorders>
              <w:top w:val="nil"/>
              <w:left w:val="nil"/>
              <w:bottom w:val="nil"/>
              <w:right w:val="nil"/>
            </w:tcBorders>
            <w:shd w:val="clear" w:color="000000" w:fill="FFFFFF"/>
            <w:noWrap/>
            <w:vAlign w:val="center"/>
            <w:hideMark/>
          </w:tcPr>
          <w:p w14:paraId="69F73103" w14:textId="4AD1BE58"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163</w:t>
            </w:r>
          </w:p>
        </w:tc>
        <w:tc>
          <w:tcPr>
            <w:tcW w:w="1417" w:type="dxa"/>
            <w:tcBorders>
              <w:top w:val="nil"/>
              <w:left w:val="nil"/>
              <w:bottom w:val="nil"/>
              <w:right w:val="nil"/>
            </w:tcBorders>
            <w:shd w:val="clear" w:color="000000" w:fill="FFFFFF"/>
            <w:noWrap/>
            <w:vAlign w:val="center"/>
            <w:hideMark/>
          </w:tcPr>
          <w:p w14:paraId="4B20270A"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3.65%</w:t>
            </w:r>
          </w:p>
        </w:tc>
        <w:tc>
          <w:tcPr>
            <w:tcW w:w="1560" w:type="dxa"/>
            <w:tcBorders>
              <w:top w:val="nil"/>
              <w:left w:val="nil"/>
              <w:bottom w:val="nil"/>
              <w:right w:val="nil"/>
            </w:tcBorders>
            <w:shd w:val="clear" w:color="000000" w:fill="FFFFFF"/>
            <w:vAlign w:val="center"/>
          </w:tcPr>
          <w:p w14:paraId="5B543933" w14:textId="174C9A0A"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160</w:t>
            </w:r>
          </w:p>
        </w:tc>
        <w:tc>
          <w:tcPr>
            <w:tcW w:w="1559" w:type="dxa"/>
            <w:tcBorders>
              <w:top w:val="nil"/>
              <w:left w:val="nil"/>
              <w:bottom w:val="nil"/>
              <w:right w:val="nil"/>
            </w:tcBorders>
            <w:shd w:val="clear" w:color="000000" w:fill="FFFFFF"/>
            <w:vAlign w:val="center"/>
          </w:tcPr>
          <w:p w14:paraId="4923316B" w14:textId="70BE287A"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160</w:t>
            </w:r>
          </w:p>
        </w:tc>
      </w:tr>
      <w:tr w:rsidR="00D777D0" w:rsidRPr="00503F5B" w14:paraId="08CA7AF9" w14:textId="662BB22E" w:rsidTr="009917B8">
        <w:trPr>
          <w:trHeight w:val="285"/>
          <w:jc w:val="center"/>
        </w:trPr>
        <w:tc>
          <w:tcPr>
            <w:tcW w:w="1276" w:type="dxa"/>
            <w:tcBorders>
              <w:top w:val="nil"/>
              <w:left w:val="nil"/>
              <w:bottom w:val="nil"/>
              <w:right w:val="nil"/>
            </w:tcBorders>
            <w:shd w:val="clear" w:color="000000" w:fill="FFFFFF"/>
            <w:noWrap/>
            <w:vAlign w:val="center"/>
            <w:hideMark/>
          </w:tcPr>
          <w:p w14:paraId="65E2019B"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1.00</w:t>
            </w:r>
          </w:p>
        </w:tc>
        <w:tc>
          <w:tcPr>
            <w:tcW w:w="1843" w:type="dxa"/>
            <w:tcBorders>
              <w:top w:val="nil"/>
              <w:left w:val="nil"/>
              <w:bottom w:val="nil"/>
              <w:right w:val="nil"/>
            </w:tcBorders>
            <w:shd w:val="clear" w:color="000000" w:fill="FFFFFF"/>
            <w:vAlign w:val="center"/>
          </w:tcPr>
          <w:p w14:paraId="32C0EC41" w14:textId="75BE041D"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1.00</w:t>
            </w:r>
          </w:p>
        </w:tc>
        <w:tc>
          <w:tcPr>
            <w:tcW w:w="1701" w:type="dxa"/>
            <w:tcBorders>
              <w:top w:val="nil"/>
              <w:left w:val="nil"/>
              <w:bottom w:val="nil"/>
              <w:right w:val="nil"/>
            </w:tcBorders>
            <w:shd w:val="clear" w:color="000000" w:fill="FFFFFF"/>
            <w:noWrap/>
            <w:vAlign w:val="center"/>
            <w:hideMark/>
          </w:tcPr>
          <w:p w14:paraId="2A6480BC" w14:textId="2D806C21"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461</w:t>
            </w:r>
          </w:p>
        </w:tc>
        <w:tc>
          <w:tcPr>
            <w:tcW w:w="1417" w:type="dxa"/>
            <w:tcBorders>
              <w:top w:val="nil"/>
              <w:left w:val="nil"/>
              <w:bottom w:val="nil"/>
              <w:right w:val="nil"/>
            </w:tcBorders>
            <w:shd w:val="clear" w:color="000000" w:fill="FFFFFF"/>
            <w:noWrap/>
            <w:vAlign w:val="center"/>
            <w:hideMark/>
          </w:tcPr>
          <w:p w14:paraId="6CAB7593"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10.34%</w:t>
            </w:r>
          </w:p>
        </w:tc>
        <w:tc>
          <w:tcPr>
            <w:tcW w:w="1560" w:type="dxa"/>
            <w:tcBorders>
              <w:top w:val="nil"/>
              <w:left w:val="nil"/>
              <w:bottom w:val="nil"/>
              <w:right w:val="nil"/>
            </w:tcBorders>
            <w:shd w:val="clear" w:color="000000" w:fill="FFFFFF"/>
            <w:vAlign w:val="center"/>
          </w:tcPr>
          <w:p w14:paraId="355F8686" w14:textId="4A23CF06"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461</w:t>
            </w:r>
          </w:p>
        </w:tc>
        <w:tc>
          <w:tcPr>
            <w:tcW w:w="1559" w:type="dxa"/>
            <w:tcBorders>
              <w:top w:val="nil"/>
              <w:left w:val="nil"/>
              <w:bottom w:val="nil"/>
              <w:right w:val="nil"/>
            </w:tcBorders>
            <w:shd w:val="clear" w:color="000000" w:fill="FFFFFF"/>
            <w:vAlign w:val="center"/>
          </w:tcPr>
          <w:p w14:paraId="2CB8872A" w14:textId="5AC9F903"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461</w:t>
            </w:r>
          </w:p>
        </w:tc>
      </w:tr>
      <w:tr w:rsidR="00D777D0" w:rsidRPr="00503F5B" w14:paraId="0077654A" w14:textId="3E2630D9" w:rsidTr="009917B8">
        <w:trPr>
          <w:trHeight w:val="285"/>
          <w:jc w:val="center"/>
        </w:trPr>
        <w:tc>
          <w:tcPr>
            <w:tcW w:w="1276" w:type="dxa"/>
            <w:tcBorders>
              <w:top w:val="nil"/>
              <w:left w:val="nil"/>
              <w:bottom w:val="nil"/>
              <w:right w:val="nil"/>
            </w:tcBorders>
            <w:shd w:val="clear" w:color="000000" w:fill="FFFFFF"/>
            <w:noWrap/>
            <w:vAlign w:val="center"/>
            <w:hideMark/>
          </w:tcPr>
          <w:p w14:paraId="5ADC4B97"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1.23</w:t>
            </w:r>
          </w:p>
        </w:tc>
        <w:tc>
          <w:tcPr>
            <w:tcW w:w="1843" w:type="dxa"/>
            <w:tcBorders>
              <w:top w:val="nil"/>
              <w:left w:val="nil"/>
              <w:bottom w:val="nil"/>
              <w:right w:val="nil"/>
            </w:tcBorders>
            <w:shd w:val="clear" w:color="000000" w:fill="FFFFFF"/>
            <w:vAlign w:val="center"/>
          </w:tcPr>
          <w:p w14:paraId="281EFE91" w14:textId="15B0B23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1.23</w:t>
            </w:r>
          </w:p>
        </w:tc>
        <w:tc>
          <w:tcPr>
            <w:tcW w:w="1701" w:type="dxa"/>
            <w:tcBorders>
              <w:top w:val="nil"/>
              <w:left w:val="nil"/>
              <w:bottom w:val="nil"/>
              <w:right w:val="nil"/>
            </w:tcBorders>
            <w:shd w:val="clear" w:color="000000" w:fill="FFFFFF"/>
            <w:noWrap/>
            <w:vAlign w:val="center"/>
            <w:hideMark/>
          </w:tcPr>
          <w:p w14:paraId="504CD558" w14:textId="2E345148"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86</w:t>
            </w:r>
          </w:p>
        </w:tc>
        <w:tc>
          <w:tcPr>
            <w:tcW w:w="1417" w:type="dxa"/>
            <w:tcBorders>
              <w:top w:val="nil"/>
              <w:left w:val="nil"/>
              <w:bottom w:val="nil"/>
              <w:right w:val="nil"/>
            </w:tcBorders>
            <w:shd w:val="clear" w:color="000000" w:fill="FFFFFF"/>
            <w:noWrap/>
            <w:vAlign w:val="center"/>
            <w:hideMark/>
          </w:tcPr>
          <w:p w14:paraId="2EA1639E"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1.93%</w:t>
            </w:r>
          </w:p>
        </w:tc>
        <w:tc>
          <w:tcPr>
            <w:tcW w:w="1560" w:type="dxa"/>
            <w:tcBorders>
              <w:top w:val="nil"/>
              <w:left w:val="nil"/>
              <w:bottom w:val="nil"/>
              <w:right w:val="nil"/>
            </w:tcBorders>
            <w:shd w:val="clear" w:color="000000" w:fill="FFFFFF"/>
            <w:vAlign w:val="center"/>
          </w:tcPr>
          <w:p w14:paraId="5A2CBF76" w14:textId="1162CE25"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106</w:t>
            </w:r>
          </w:p>
        </w:tc>
        <w:tc>
          <w:tcPr>
            <w:tcW w:w="1559" w:type="dxa"/>
            <w:tcBorders>
              <w:top w:val="nil"/>
              <w:left w:val="nil"/>
              <w:bottom w:val="nil"/>
              <w:right w:val="nil"/>
            </w:tcBorders>
            <w:shd w:val="clear" w:color="000000" w:fill="FFFFFF"/>
            <w:vAlign w:val="center"/>
          </w:tcPr>
          <w:p w14:paraId="01B9E86A" w14:textId="168B240E"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106</w:t>
            </w:r>
          </w:p>
        </w:tc>
      </w:tr>
      <w:tr w:rsidR="00D777D0" w:rsidRPr="00503F5B" w14:paraId="164F6FB6" w14:textId="5415D61D" w:rsidTr="009917B8">
        <w:trPr>
          <w:trHeight w:val="285"/>
          <w:jc w:val="center"/>
        </w:trPr>
        <w:tc>
          <w:tcPr>
            <w:tcW w:w="1276" w:type="dxa"/>
            <w:tcBorders>
              <w:top w:val="nil"/>
              <w:left w:val="nil"/>
              <w:bottom w:val="nil"/>
              <w:right w:val="nil"/>
            </w:tcBorders>
            <w:shd w:val="clear" w:color="000000" w:fill="FFFFFF"/>
            <w:noWrap/>
            <w:vAlign w:val="center"/>
            <w:hideMark/>
          </w:tcPr>
          <w:p w14:paraId="7F7586E5"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1.25</w:t>
            </w:r>
          </w:p>
        </w:tc>
        <w:tc>
          <w:tcPr>
            <w:tcW w:w="1843" w:type="dxa"/>
            <w:tcBorders>
              <w:top w:val="nil"/>
              <w:left w:val="nil"/>
              <w:bottom w:val="nil"/>
              <w:right w:val="nil"/>
            </w:tcBorders>
            <w:shd w:val="clear" w:color="000000" w:fill="FFFFFF"/>
            <w:vAlign w:val="center"/>
          </w:tcPr>
          <w:p w14:paraId="775C66FC" w14:textId="36B1AE30"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1.25</w:t>
            </w:r>
          </w:p>
        </w:tc>
        <w:tc>
          <w:tcPr>
            <w:tcW w:w="1701" w:type="dxa"/>
            <w:tcBorders>
              <w:top w:val="nil"/>
              <w:left w:val="nil"/>
              <w:bottom w:val="nil"/>
              <w:right w:val="nil"/>
            </w:tcBorders>
            <w:shd w:val="clear" w:color="000000" w:fill="FFFFFF"/>
            <w:noWrap/>
            <w:vAlign w:val="center"/>
            <w:hideMark/>
          </w:tcPr>
          <w:p w14:paraId="5AC4F62D" w14:textId="4818B81F"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198</w:t>
            </w:r>
          </w:p>
        </w:tc>
        <w:tc>
          <w:tcPr>
            <w:tcW w:w="1417" w:type="dxa"/>
            <w:tcBorders>
              <w:top w:val="nil"/>
              <w:left w:val="nil"/>
              <w:bottom w:val="nil"/>
              <w:right w:val="nil"/>
            </w:tcBorders>
            <w:shd w:val="clear" w:color="000000" w:fill="FFFFFF"/>
            <w:noWrap/>
            <w:vAlign w:val="center"/>
            <w:hideMark/>
          </w:tcPr>
          <w:p w14:paraId="512512CF"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4.44%</w:t>
            </w:r>
          </w:p>
        </w:tc>
        <w:tc>
          <w:tcPr>
            <w:tcW w:w="1560" w:type="dxa"/>
            <w:tcBorders>
              <w:top w:val="nil"/>
              <w:left w:val="nil"/>
              <w:bottom w:val="nil"/>
              <w:right w:val="nil"/>
            </w:tcBorders>
            <w:shd w:val="clear" w:color="000000" w:fill="FFFFFF"/>
            <w:vAlign w:val="center"/>
          </w:tcPr>
          <w:p w14:paraId="64C40BCC" w14:textId="72F2F2EB"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247</w:t>
            </w:r>
          </w:p>
        </w:tc>
        <w:tc>
          <w:tcPr>
            <w:tcW w:w="1559" w:type="dxa"/>
            <w:tcBorders>
              <w:top w:val="nil"/>
              <w:left w:val="nil"/>
              <w:bottom w:val="nil"/>
              <w:right w:val="nil"/>
            </w:tcBorders>
            <w:shd w:val="clear" w:color="000000" w:fill="FFFFFF"/>
            <w:vAlign w:val="center"/>
          </w:tcPr>
          <w:p w14:paraId="50058C37" w14:textId="6D5E064C"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247</w:t>
            </w:r>
          </w:p>
        </w:tc>
      </w:tr>
      <w:tr w:rsidR="00D777D0" w:rsidRPr="00503F5B" w14:paraId="2E97012B" w14:textId="7FE10486"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007D4ACD"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1.47</w:t>
            </w:r>
          </w:p>
        </w:tc>
        <w:tc>
          <w:tcPr>
            <w:tcW w:w="1843" w:type="dxa"/>
            <w:tcBorders>
              <w:top w:val="nil"/>
              <w:left w:val="nil"/>
              <w:bottom w:val="nil"/>
              <w:right w:val="nil"/>
            </w:tcBorders>
            <w:shd w:val="clear" w:color="auto" w:fill="FBE4D5" w:themeFill="accent2" w:themeFillTint="33"/>
            <w:vAlign w:val="center"/>
          </w:tcPr>
          <w:p w14:paraId="0A58D343" w14:textId="589051AC"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61AB37FE" w14:textId="2EE7B6B4"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50</w:t>
            </w:r>
          </w:p>
        </w:tc>
        <w:tc>
          <w:tcPr>
            <w:tcW w:w="1417" w:type="dxa"/>
            <w:tcBorders>
              <w:top w:val="nil"/>
              <w:left w:val="nil"/>
              <w:bottom w:val="nil"/>
              <w:right w:val="nil"/>
            </w:tcBorders>
            <w:shd w:val="clear" w:color="auto" w:fill="FBE4D5" w:themeFill="accent2" w:themeFillTint="33"/>
            <w:noWrap/>
            <w:vAlign w:val="center"/>
            <w:hideMark/>
          </w:tcPr>
          <w:p w14:paraId="008FFAD9" w14:textId="77777777" w:rsidR="00D777D0" w:rsidRPr="00503F5B" w:rsidRDefault="00D777D0">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1.12%</w:t>
            </w:r>
          </w:p>
        </w:tc>
        <w:tc>
          <w:tcPr>
            <w:tcW w:w="1560" w:type="dxa"/>
            <w:tcBorders>
              <w:top w:val="nil"/>
              <w:left w:val="nil"/>
              <w:bottom w:val="nil"/>
              <w:right w:val="nil"/>
            </w:tcBorders>
            <w:shd w:val="clear" w:color="auto" w:fill="FBE4D5" w:themeFill="accent2" w:themeFillTint="33"/>
            <w:vAlign w:val="center"/>
          </w:tcPr>
          <w:p w14:paraId="7677941E" w14:textId="4B248539"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74</w:t>
            </w:r>
          </w:p>
        </w:tc>
        <w:tc>
          <w:tcPr>
            <w:tcW w:w="1559" w:type="dxa"/>
            <w:tcBorders>
              <w:top w:val="nil"/>
              <w:left w:val="nil"/>
              <w:bottom w:val="nil"/>
              <w:right w:val="nil"/>
            </w:tcBorders>
            <w:shd w:val="clear" w:color="auto" w:fill="FBE4D5" w:themeFill="accent2" w:themeFillTint="33"/>
            <w:vAlign w:val="center"/>
          </w:tcPr>
          <w:p w14:paraId="647A4473" w14:textId="5317C009" w:rsidR="00D777D0" w:rsidRPr="00503F5B" w:rsidRDefault="00D777D0">
            <w:pPr>
              <w:jc w:val="right"/>
              <w:rPr>
                <w:rFonts w:asciiTheme="minorHAnsi" w:eastAsia="Times New Roman" w:hAnsiTheme="minorHAnsi" w:cstheme="minorHAnsi"/>
                <w:sz w:val="20"/>
                <w:szCs w:val="20"/>
                <w:lang w:eastAsia="en-AU"/>
              </w:rPr>
            </w:pPr>
            <w:r w:rsidRPr="00503F5B">
              <w:rPr>
                <w:sz w:val="20"/>
                <w:szCs w:val="20"/>
              </w:rPr>
              <w:t>65</w:t>
            </w:r>
          </w:p>
        </w:tc>
      </w:tr>
      <w:tr w:rsidR="00D955FF" w:rsidRPr="00503F5B" w14:paraId="3EBFAD33" w14:textId="41A0CBDD"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72149A26"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1.50</w:t>
            </w:r>
          </w:p>
        </w:tc>
        <w:tc>
          <w:tcPr>
            <w:tcW w:w="1843" w:type="dxa"/>
            <w:tcBorders>
              <w:top w:val="nil"/>
              <w:left w:val="nil"/>
              <w:bottom w:val="nil"/>
              <w:right w:val="nil"/>
            </w:tcBorders>
            <w:shd w:val="clear" w:color="auto" w:fill="FBE4D5" w:themeFill="accent2" w:themeFillTint="33"/>
            <w:vAlign w:val="center"/>
          </w:tcPr>
          <w:p w14:paraId="73C20EEE" w14:textId="3BE28745"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1B6A8CBF" w14:textId="0CAD69D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113</w:t>
            </w:r>
          </w:p>
        </w:tc>
        <w:tc>
          <w:tcPr>
            <w:tcW w:w="1417" w:type="dxa"/>
            <w:tcBorders>
              <w:top w:val="nil"/>
              <w:left w:val="nil"/>
              <w:bottom w:val="nil"/>
              <w:right w:val="nil"/>
            </w:tcBorders>
            <w:shd w:val="clear" w:color="auto" w:fill="FBE4D5" w:themeFill="accent2" w:themeFillTint="33"/>
            <w:noWrap/>
            <w:vAlign w:val="center"/>
            <w:hideMark/>
          </w:tcPr>
          <w:p w14:paraId="61A62AAA"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2.53%</w:t>
            </w:r>
          </w:p>
        </w:tc>
        <w:tc>
          <w:tcPr>
            <w:tcW w:w="1560" w:type="dxa"/>
            <w:tcBorders>
              <w:top w:val="nil"/>
              <w:left w:val="nil"/>
              <w:bottom w:val="nil"/>
              <w:right w:val="nil"/>
            </w:tcBorders>
            <w:shd w:val="clear" w:color="auto" w:fill="FBE4D5" w:themeFill="accent2" w:themeFillTint="33"/>
            <w:vAlign w:val="center"/>
          </w:tcPr>
          <w:p w14:paraId="50B9C031" w14:textId="512EFB6D"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169</w:t>
            </w:r>
          </w:p>
        </w:tc>
        <w:tc>
          <w:tcPr>
            <w:tcW w:w="1559" w:type="dxa"/>
            <w:tcBorders>
              <w:top w:val="nil"/>
              <w:left w:val="nil"/>
              <w:bottom w:val="nil"/>
              <w:right w:val="nil"/>
            </w:tcBorders>
            <w:shd w:val="clear" w:color="auto" w:fill="FBE4D5" w:themeFill="accent2" w:themeFillTint="33"/>
            <w:vAlign w:val="center"/>
          </w:tcPr>
          <w:p w14:paraId="010EE8A7" w14:textId="12705C7E"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146</w:t>
            </w:r>
          </w:p>
        </w:tc>
      </w:tr>
      <w:tr w:rsidR="00D955FF" w:rsidRPr="00503F5B" w14:paraId="6F7700D7" w14:textId="340001C5"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5A645784"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1.72</w:t>
            </w:r>
          </w:p>
        </w:tc>
        <w:tc>
          <w:tcPr>
            <w:tcW w:w="1843" w:type="dxa"/>
            <w:tcBorders>
              <w:top w:val="nil"/>
              <w:left w:val="nil"/>
              <w:bottom w:val="nil"/>
              <w:right w:val="nil"/>
            </w:tcBorders>
            <w:shd w:val="clear" w:color="auto" w:fill="FBE4D5" w:themeFill="accent2" w:themeFillTint="33"/>
            <w:vAlign w:val="center"/>
          </w:tcPr>
          <w:p w14:paraId="4D8F7944" w14:textId="7C6C34A2"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567E4290" w14:textId="76C3B8A5"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21</w:t>
            </w:r>
          </w:p>
        </w:tc>
        <w:tc>
          <w:tcPr>
            <w:tcW w:w="1417" w:type="dxa"/>
            <w:tcBorders>
              <w:top w:val="nil"/>
              <w:left w:val="nil"/>
              <w:bottom w:val="nil"/>
              <w:right w:val="nil"/>
            </w:tcBorders>
            <w:shd w:val="clear" w:color="auto" w:fill="FBE4D5" w:themeFill="accent2" w:themeFillTint="33"/>
            <w:noWrap/>
            <w:vAlign w:val="center"/>
            <w:hideMark/>
          </w:tcPr>
          <w:p w14:paraId="44CC5F76"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0.47%</w:t>
            </w:r>
          </w:p>
        </w:tc>
        <w:tc>
          <w:tcPr>
            <w:tcW w:w="1560" w:type="dxa"/>
            <w:tcBorders>
              <w:top w:val="nil"/>
              <w:left w:val="nil"/>
              <w:bottom w:val="nil"/>
              <w:right w:val="nil"/>
            </w:tcBorders>
            <w:shd w:val="clear" w:color="auto" w:fill="FBE4D5" w:themeFill="accent2" w:themeFillTint="33"/>
            <w:vAlign w:val="center"/>
          </w:tcPr>
          <w:p w14:paraId="7F50B7C2" w14:textId="7B9903B8"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36</w:t>
            </w:r>
          </w:p>
        </w:tc>
        <w:tc>
          <w:tcPr>
            <w:tcW w:w="1559" w:type="dxa"/>
            <w:tcBorders>
              <w:top w:val="nil"/>
              <w:left w:val="nil"/>
              <w:bottom w:val="nil"/>
              <w:right w:val="nil"/>
            </w:tcBorders>
            <w:shd w:val="clear" w:color="auto" w:fill="FBE4D5" w:themeFill="accent2" w:themeFillTint="33"/>
            <w:vAlign w:val="center"/>
          </w:tcPr>
          <w:p w14:paraId="56A686F9" w14:textId="3830A1A8"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27</w:t>
            </w:r>
          </w:p>
        </w:tc>
      </w:tr>
      <w:tr w:rsidR="00D955FF" w:rsidRPr="00503F5B" w14:paraId="7C871DDA" w14:textId="4D94D97F"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4368232E"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1.75</w:t>
            </w:r>
          </w:p>
        </w:tc>
        <w:tc>
          <w:tcPr>
            <w:tcW w:w="1843" w:type="dxa"/>
            <w:tcBorders>
              <w:top w:val="nil"/>
              <w:left w:val="nil"/>
              <w:bottom w:val="nil"/>
              <w:right w:val="nil"/>
            </w:tcBorders>
            <w:shd w:val="clear" w:color="auto" w:fill="FBE4D5" w:themeFill="accent2" w:themeFillTint="33"/>
            <w:vAlign w:val="center"/>
          </w:tcPr>
          <w:p w14:paraId="79C02918" w14:textId="5E2C317F"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0D1A64EB" w14:textId="142C1221"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45</w:t>
            </w:r>
          </w:p>
        </w:tc>
        <w:tc>
          <w:tcPr>
            <w:tcW w:w="1417" w:type="dxa"/>
            <w:tcBorders>
              <w:top w:val="nil"/>
              <w:left w:val="nil"/>
              <w:bottom w:val="nil"/>
              <w:right w:val="nil"/>
            </w:tcBorders>
            <w:shd w:val="clear" w:color="auto" w:fill="FBE4D5" w:themeFill="accent2" w:themeFillTint="33"/>
            <w:noWrap/>
            <w:vAlign w:val="center"/>
            <w:hideMark/>
          </w:tcPr>
          <w:p w14:paraId="489E509B"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1.01%</w:t>
            </w:r>
          </w:p>
        </w:tc>
        <w:tc>
          <w:tcPr>
            <w:tcW w:w="1560" w:type="dxa"/>
            <w:tcBorders>
              <w:top w:val="nil"/>
              <w:left w:val="nil"/>
              <w:bottom w:val="nil"/>
              <w:right w:val="nil"/>
            </w:tcBorders>
            <w:shd w:val="clear" w:color="auto" w:fill="FBE4D5" w:themeFill="accent2" w:themeFillTint="33"/>
            <w:vAlign w:val="center"/>
          </w:tcPr>
          <w:p w14:paraId="6268AB36" w14:textId="3CB66E97"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79</w:t>
            </w:r>
          </w:p>
        </w:tc>
        <w:tc>
          <w:tcPr>
            <w:tcW w:w="1559" w:type="dxa"/>
            <w:tcBorders>
              <w:top w:val="nil"/>
              <w:left w:val="nil"/>
              <w:bottom w:val="nil"/>
              <w:right w:val="nil"/>
            </w:tcBorders>
            <w:shd w:val="clear" w:color="auto" w:fill="FBE4D5" w:themeFill="accent2" w:themeFillTint="33"/>
            <w:vAlign w:val="center"/>
          </w:tcPr>
          <w:p w14:paraId="647D1ACB" w14:textId="3DBD786A"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58</w:t>
            </w:r>
          </w:p>
        </w:tc>
      </w:tr>
      <w:tr w:rsidR="00D955FF" w:rsidRPr="00503F5B" w14:paraId="01BA4483" w14:textId="2E79D855"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66912256"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1.97</w:t>
            </w:r>
          </w:p>
        </w:tc>
        <w:tc>
          <w:tcPr>
            <w:tcW w:w="1843" w:type="dxa"/>
            <w:tcBorders>
              <w:top w:val="nil"/>
              <w:left w:val="nil"/>
              <w:bottom w:val="nil"/>
              <w:right w:val="nil"/>
            </w:tcBorders>
            <w:shd w:val="clear" w:color="auto" w:fill="FBE4D5" w:themeFill="accent2" w:themeFillTint="33"/>
            <w:vAlign w:val="center"/>
          </w:tcPr>
          <w:p w14:paraId="702C83AC" w14:textId="6073BEB6"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68DF3E0B" w14:textId="5BF564E5"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9</w:t>
            </w:r>
          </w:p>
        </w:tc>
        <w:tc>
          <w:tcPr>
            <w:tcW w:w="1417" w:type="dxa"/>
            <w:tcBorders>
              <w:top w:val="nil"/>
              <w:left w:val="nil"/>
              <w:bottom w:val="nil"/>
              <w:right w:val="nil"/>
            </w:tcBorders>
            <w:shd w:val="clear" w:color="auto" w:fill="FBE4D5" w:themeFill="accent2" w:themeFillTint="33"/>
            <w:noWrap/>
            <w:vAlign w:val="center"/>
            <w:hideMark/>
          </w:tcPr>
          <w:p w14:paraId="575C0F0D"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0.20%</w:t>
            </w:r>
          </w:p>
        </w:tc>
        <w:tc>
          <w:tcPr>
            <w:tcW w:w="1560" w:type="dxa"/>
            <w:tcBorders>
              <w:top w:val="nil"/>
              <w:left w:val="nil"/>
              <w:bottom w:val="nil"/>
              <w:right w:val="nil"/>
            </w:tcBorders>
            <w:shd w:val="clear" w:color="auto" w:fill="FBE4D5" w:themeFill="accent2" w:themeFillTint="33"/>
            <w:vAlign w:val="center"/>
          </w:tcPr>
          <w:p w14:paraId="136CEEA7" w14:textId="28C14104"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18</w:t>
            </w:r>
          </w:p>
        </w:tc>
        <w:tc>
          <w:tcPr>
            <w:tcW w:w="1559" w:type="dxa"/>
            <w:tcBorders>
              <w:top w:val="nil"/>
              <w:left w:val="nil"/>
              <w:bottom w:val="nil"/>
              <w:right w:val="nil"/>
            </w:tcBorders>
            <w:shd w:val="clear" w:color="auto" w:fill="FBE4D5" w:themeFill="accent2" w:themeFillTint="33"/>
            <w:vAlign w:val="center"/>
          </w:tcPr>
          <w:p w14:paraId="550C31DE" w14:textId="18E80D5F"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12</w:t>
            </w:r>
          </w:p>
        </w:tc>
      </w:tr>
      <w:tr w:rsidR="00D955FF" w:rsidRPr="00503F5B" w14:paraId="6BDF21E9" w14:textId="4FE1EA23"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61E30072"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2.00</w:t>
            </w:r>
          </w:p>
        </w:tc>
        <w:tc>
          <w:tcPr>
            <w:tcW w:w="1843" w:type="dxa"/>
            <w:tcBorders>
              <w:top w:val="nil"/>
              <w:left w:val="nil"/>
              <w:bottom w:val="nil"/>
              <w:right w:val="nil"/>
            </w:tcBorders>
            <w:shd w:val="clear" w:color="auto" w:fill="FBE4D5" w:themeFill="accent2" w:themeFillTint="33"/>
            <w:vAlign w:val="center"/>
          </w:tcPr>
          <w:p w14:paraId="6692D760" w14:textId="53682355"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5C9511B9" w14:textId="76C45F8F"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36</w:t>
            </w:r>
          </w:p>
        </w:tc>
        <w:tc>
          <w:tcPr>
            <w:tcW w:w="1417" w:type="dxa"/>
            <w:tcBorders>
              <w:top w:val="nil"/>
              <w:left w:val="nil"/>
              <w:bottom w:val="nil"/>
              <w:right w:val="nil"/>
            </w:tcBorders>
            <w:shd w:val="clear" w:color="auto" w:fill="FBE4D5" w:themeFill="accent2" w:themeFillTint="33"/>
            <w:noWrap/>
            <w:vAlign w:val="center"/>
            <w:hideMark/>
          </w:tcPr>
          <w:p w14:paraId="5DD5BDCC"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0.81%</w:t>
            </w:r>
          </w:p>
        </w:tc>
        <w:tc>
          <w:tcPr>
            <w:tcW w:w="1560" w:type="dxa"/>
            <w:tcBorders>
              <w:top w:val="nil"/>
              <w:left w:val="nil"/>
              <w:bottom w:val="nil"/>
              <w:right w:val="nil"/>
            </w:tcBorders>
            <w:shd w:val="clear" w:color="auto" w:fill="FBE4D5" w:themeFill="accent2" w:themeFillTint="33"/>
            <w:vAlign w:val="center"/>
          </w:tcPr>
          <w:p w14:paraId="28E02E69" w14:textId="1955C3F7"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72</w:t>
            </w:r>
          </w:p>
        </w:tc>
        <w:tc>
          <w:tcPr>
            <w:tcW w:w="1559" w:type="dxa"/>
            <w:tcBorders>
              <w:top w:val="nil"/>
              <w:left w:val="nil"/>
              <w:bottom w:val="nil"/>
              <w:right w:val="nil"/>
            </w:tcBorders>
            <w:shd w:val="clear" w:color="auto" w:fill="FBE4D5" w:themeFill="accent2" w:themeFillTint="33"/>
            <w:vAlign w:val="center"/>
          </w:tcPr>
          <w:p w14:paraId="3B6148FD" w14:textId="0A4B9507"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46</w:t>
            </w:r>
          </w:p>
        </w:tc>
      </w:tr>
      <w:tr w:rsidR="00D955FF" w:rsidRPr="00503F5B" w14:paraId="3BBA22D0" w14:textId="1E39D965"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6A24C993"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2.12</w:t>
            </w:r>
          </w:p>
        </w:tc>
        <w:tc>
          <w:tcPr>
            <w:tcW w:w="1843" w:type="dxa"/>
            <w:tcBorders>
              <w:top w:val="nil"/>
              <w:left w:val="nil"/>
              <w:bottom w:val="nil"/>
              <w:right w:val="nil"/>
            </w:tcBorders>
            <w:shd w:val="clear" w:color="auto" w:fill="FBE4D5" w:themeFill="accent2" w:themeFillTint="33"/>
            <w:vAlign w:val="center"/>
          </w:tcPr>
          <w:p w14:paraId="5BBB44FA" w14:textId="5D205E33"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2055F5D4" w14:textId="2A5D6368"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w:t>
            </w:r>
          </w:p>
        </w:tc>
        <w:tc>
          <w:tcPr>
            <w:tcW w:w="1417" w:type="dxa"/>
            <w:tcBorders>
              <w:top w:val="nil"/>
              <w:left w:val="nil"/>
              <w:bottom w:val="nil"/>
              <w:right w:val="nil"/>
            </w:tcBorders>
            <w:shd w:val="clear" w:color="auto" w:fill="FBE4D5" w:themeFill="accent2" w:themeFillTint="33"/>
            <w:noWrap/>
            <w:vAlign w:val="center"/>
            <w:hideMark/>
          </w:tcPr>
          <w:p w14:paraId="1CC48F4C"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0.02%</w:t>
            </w:r>
          </w:p>
        </w:tc>
        <w:tc>
          <w:tcPr>
            <w:tcW w:w="1560" w:type="dxa"/>
            <w:tcBorders>
              <w:top w:val="nil"/>
              <w:left w:val="nil"/>
              <w:bottom w:val="nil"/>
              <w:right w:val="nil"/>
            </w:tcBorders>
            <w:shd w:val="clear" w:color="auto" w:fill="FBE4D5" w:themeFill="accent2" w:themeFillTint="33"/>
            <w:vAlign w:val="center"/>
          </w:tcPr>
          <w:p w14:paraId="2C55B61C" w14:textId="10A0ED29"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2</w:t>
            </w:r>
          </w:p>
        </w:tc>
        <w:tc>
          <w:tcPr>
            <w:tcW w:w="1559" w:type="dxa"/>
            <w:tcBorders>
              <w:top w:val="nil"/>
              <w:left w:val="nil"/>
              <w:bottom w:val="nil"/>
              <w:right w:val="nil"/>
            </w:tcBorders>
            <w:shd w:val="clear" w:color="auto" w:fill="FBE4D5" w:themeFill="accent2" w:themeFillTint="33"/>
            <w:vAlign w:val="center"/>
          </w:tcPr>
          <w:p w14:paraId="6F380F69" w14:textId="08B6F98B"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1</w:t>
            </w:r>
          </w:p>
        </w:tc>
      </w:tr>
      <w:tr w:rsidR="00D955FF" w:rsidRPr="00503F5B" w14:paraId="265DE44D" w14:textId="54B414AC"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6ED654FC"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2.21</w:t>
            </w:r>
          </w:p>
        </w:tc>
        <w:tc>
          <w:tcPr>
            <w:tcW w:w="1843" w:type="dxa"/>
            <w:tcBorders>
              <w:top w:val="nil"/>
              <w:left w:val="nil"/>
              <w:bottom w:val="nil"/>
              <w:right w:val="nil"/>
            </w:tcBorders>
            <w:shd w:val="clear" w:color="auto" w:fill="FBE4D5" w:themeFill="accent2" w:themeFillTint="33"/>
            <w:vAlign w:val="center"/>
          </w:tcPr>
          <w:p w14:paraId="78DCC9CE" w14:textId="3DCAC110"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2F873611" w14:textId="3A520D80"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8</w:t>
            </w:r>
          </w:p>
        </w:tc>
        <w:tc>
          <w:tcPr>
            <w:tcW w:w="1417" w:type="dxa"/>
            <w:tcBorders>
              <w:top w:val="nil"/>
              <w:left w:val="nil"/>
              <w:bottom w:val="nil"/>
              <w:right w:val="nil"/>
            </w:tcBorders>
            <w:shd w:val="clear" w:color="auto" w:fill="FBE4D5" w:themeFill="accent2" w:themeFillTint="33"/>
            <w:noWrap/>
            <w:vAlign w:val="center"/>
            <w:hideMark/>
          </w:tcPr>
          <w:p w14:paraId="71320104"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0.18%</w:t>
            </w:r>
          </w:p>
        </w:tc>
        <w:tc>
          <w:tcPr>
            <w:tcW w:w="1560" w:type="dxa"/>
            <w:tcBorders>
              <w:top w:val="nil"/>
              <w:left w:val="nil"/>
              <w:bottom w:val="nil"/>
              <w:right w:val="nil"/>
            </w:tcBorders>
            <w:shd w:val="clear" w:color="auto" w:fill="FBE4D5" w:themeFill="accent2" w:themeFillTint="33"/>
            <w:vAlign w:val="center"/>
          </w:tcPr>
          <w:p w14:paraId="1B89E91F" w14:textId="6E8FED16"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18</w:t>
            </w:r>
          </w:p>
        </w:tc>
        <w:tc>
          <w:tcPr>
            <w:tcW w:w="1559" w:type="dxa"/>
            <w:tcBorders>
              <w:top w:val="nil"/>
              <w:left w:val="nil"/>
              <w:bottom w:val="nil"/>
              <w:right w:val="nil"/>
            </w:tcBorders>
            <w:shd w:val="clear" w:color="auto" w:fill="FBE4D5" w:themeFill="accent2" w:themeFillTint="33"/>
            <w:vAlign w:val="center"/>
          </w:tcPr>
          <w:p w14:paraId="14C10D8D" w14:textId="2287498C"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10</w:t>
            </w:r>
          </w:p>
        </w:tc>
      </w:tr>
      <w:tr w:rsidR="00D955FF" w:rsidRPr="00503F5B" w14:paraId="58F88899" w14:textId="4D31920B"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7B0C1C89"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2.25</w:t>
            </w:r>
          </w:p>
        </w:tc>
        <w:tc>
          <w:tcPr>
            <w:tcW w:w="1843" w:type="dxa"/>
            <w:tcBorders>
              <w:top w:val="nil"/>
              <w:left w:val="nil"/>
              <w:bottom w:val="nil"/>
              <w:right w:val="nil"/>
            </w:tcBorders>
            <w:shd w:val="clear" w:color="auto" w:fill="FBE4D5" w:themeFill="accent2" w:themeFillTint="33"/>
            <w:vAlign w:val="center"/>
          </w:tcPr>
          <w:p w14:paraId="55E352E7" w14:textId="265D6A4A"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1AAFA750" w14:textId="4936C9AA"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16</w:t>
            </w:r>
          </w:p>
        </w:tc>
        <w:tc>
          <w:tcPr>
            <w:tcW w:w="1417" w:type="dxa"/>
            <w:tcBorders>
              <w:top w:val="nil"/>
              <w:left w:val="nil"/>
              <w:bottom w:val="nil"/>
              <w:right w:val="nil"/>
            </w:tcBorders>
            <w:shd w:val="clear" w:color="auto" w:fill="FBE4D5" w:themeFill="accent2" w:themeFillTint="33"/>
            <w:noWrap/>
            <w:vAlign w:val="center"/>
            <w:hideMark/>
          </w:tcPr>
          <w:p w14:paraId="5FB25F22"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0.36%</w:t>
            </w:r>
          </w:p>
        </w:tc>
        <w:tc>
          <w:tcPr>
            <w:tcW w:w="1560" w:type="dxa"/>
            <w:tcBorders>
              <w:top w:val="nil"/>
              <w:left w:val="nil"/>
              <w:bottom w:val="nil"/>
              <w:right w:val="nil"/>
            </w:tcBorders>
            <w:shd w:val="clear" w:color="auto" w:fill="FBE4D5" w:themeFill="accent2" w:themeFillTint="33"/>
            <w:vAlign w:val="center"/>
          </w:tcPr>
          <w:p w14:paraId="01BC9634" w14:textId="3B1D50B5"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36</w:t>
            </w:r>
          </w:p>
        </w:tc>
        <w:tc>
          <w:tcPr>
            <w:tcW w:w="1559" w:type="dxa"/>
            <w:tcBorders>
              <w:top w:val="nil"/>
              <w:left w:val="nil"/>
              <w:bottom w:val="nil"/>
              <w:right w:val="nil"/>
            </w:tcBorders>
            <w:shd w:val="clear" w:color="auto" w:fill="FBE4D5" w:themeFill="accent2" w:themeFillTint="33"/>
            <w:vAlign w:val="center"/>
          </w:tcPr>
          <w:p w14:paraId="3ADAF313" w14:textId="6EAE0937"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21</w:t>
            </w:r>
          </w:p>
        </w:tc>
      </w:tr>
      <w:tr w:rsidR="00D955FF" w:rsidRPr="00503F5B" w14:paraId="45AC9746" w14:textId="7CAC03DB"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519D28FA"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2.46</w:t>
            </w:r>
          </w:p>
        </w:tc>
        <w:tc>
          <w:tcPr>
            <w:tcW w:w="1843" w:type="dxa"/>
            <w:tcBorders>
              <w:top w:val="nil"/>
              <w:left w:val="nil"/>
              <w:bottom w:val="nil"/>
              <w:right w:val="nil"/>
            </w:tcBorders>
            <w:shd w:val="clear" w:color="auto" w:fill="FBE4D5" w:themeFill="accent2" w:themeFillTint="33"/>
            <w:vAlign w:val="center"/>
          </w:tcPr>
          <w:p w14:paraId="77FDA24F" w14:textId="68C36CCD"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1539DF08" w14:textId="0CF04116"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10</w:t>
            </w:r>
          </w:p>
        </w:tc>
        <w:tc>
          <w:tcPr>
            <w:tcW w:w="1417" w:type="dxa"/>
            <w:tcBorders>
              <w:top w:val="nil"/>
              <w:left w:val="nil"/>
              <w:bottom w:val="nil"/>
              <w:right w:val="nil"/>
            </w:tcBorders>
            <w:shd w:val="clear" w:color="auto" w:fill="FBE4D5" w:themeFill="accent2" w:themeFillTint="33"/>
            <w:noWrap/>
            <w:vAlign w:val="center"/>
            <w:hideMark/>
          </w:tcPr>
          <w:p w14:paraId="682DF212"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0.22%</w:t>
            </w:r>
          </w:p>
        </w:tc>
        <w:tc>
          <w:tcPr>
            <w:tcW w:w="1560" w:type="dxa"/>
            <w:tcBorders>
              <w:top w:val="nil"/>
              <w:left w:val="nil"/>
              <w:bottom w:val="nil"/>
              <w:right w:val="nil"/>
            </w:tcBorders>
            <w:shd w:val="clear" w:color="auto" w:fill="FBE4D5" w:themeFill="accent2" w:themeFillTint="33"/>
            <w:vAlign w:val="center"/>
          </w:tcPr>
          <w:p w14:paraId="6E1CE53D" w14:textId="25A47E8A"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25</w:t>
            </w:r>
          </w:p>
        </w:tc>
        <w:tc>
          <w:tcPr>
            <w:tcW w:w="1559" w:type="dxa"/>
            <w:tcBorders>
              <w:top w:val="nil"/>
              <w:left w:val="nil"/>
              <w:bottom w:val="nil"/>
              <w:right w:val="nil"/>
            </w:tcBorders>
            <w:shd w:val="clear" w:color="auto" w:fill="FBE4D5" w:themeFill="accent2" w:themeFillTint="33"/>
            <w:vAlign w:val="center"/>
          </w:tcPr>
          <w:p w14:paraId="65933897" w14:textId="32973BD7"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13</w:t>
            </w:r>
          </w:p>
        </w:tc>
      </w:tr>
      <w:tr w:rsidR="00D955FF" w:rsidRPr="00503F5B" w14:paraId="58334DE1" w14:textId="5BEED431"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09342024"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2.50</w:t>
            </w:r>
          </w:p>
        </w:tc>
        <w:tc>
          <w:tcPr>
            <w:tcW w:w="1843" w:type="dxa"/>
            <w:tcBorders>
              <w:top w:val="nil"/>
              <w:left w:val="nil"/>
              <w:bottom w:val="nil"/>
              <w:right w:val="nil"/>
            </w:tcBorders>
            <w:shd w:val="clear" w:color="auto" w:fill="FBE4D5" w:themeFill="accent2" w:themeFillTint="33"/>
            <w:vAlign w:val="center"/>
          </w:tcPr>
          <w:p w14:paraId="77754290" w14:textId="2C31DF19"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2FC1B209" w14:textId="5848AF2D"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11</w:t>
            </w:r>
          </w:p>
        </w:tc>
        <w:tc>
          <w:tcPr>
            <w:tcW w:w="1417" w:type="dxa"/>
            <w:tcBorders>
              <w:top w:val="nil"/>
              <w:left w:val="nil"/>
              <w:bottom w:val="nil"/>
              <w:right w:val="nil"/>
            </w:tcBorders>
            <w:shd w:val="clear" w:color="auto" w:fill="FBE4D5" w:themeFill="accent2" w:themeFillTint="33"/>
            <w:noWrap/>
            <w:vAlign w:val="center"/>
            <w:hideMark/>
          </w:tcPr>
          <w:p w14:paraId="34D7DC83"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0.25%</w:t>
            </w:r>
          </w:p>
        </w:tc>
        <w:tc>
          <w:tcPr>
            <w:tcW w:w="1560" w:type="dxa"/>
            <w:tcBorders>
              <w:top w:val="nil"/>
              <w:left w:val="nil"/>
              <w:bottom w:val="nil"/>
              <w:right w:val="nil"/>
            </w:tcBorders>
            <w:shd w:val="clear" w:color="auto" w:fill="FBE4D5" w:themeFill="accent2" w:themeFillTint="33"/>
            <w:vAlign w:val="center"/>
          </w:tcPr>
          <w:p w14:paraId="744F45BF" w14:textId="6EDF7A6C"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27</w:t>
            </w:r>
          </w:p>
        </w:tc>
        <w:tc>
          <w:tcPr>
            <w:tcW w:w="1559" w:type="dxa"/>
            <w:tcBorders>
              <w:top w:val="nil"/>
              <w:left w:val="nil"/>
              <w:bottom w:val="nil"/>
              <w:right w:val="nil"/>
            </w:tcBorders>
            <w:shd w:val="clear" w:color="auto" w:fill="FBE4D5" w:themeFill="accent2" w:themeFillTint="33"/>
            <w:vAlign w:val="center"/>
          </w:tcPr>
          <w:p w14:paraId="2033AA72" w14:textId="0E6880D7"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14</w:t>
            </w:r>
          </w:p>
        </w:tc>
      </w:tr>
      <w:tr w:rsidR="00D955FF" w:rsidRPr="00503F5B" w14:paraId="716A20BF" w14:textId="791EAD34"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433F84BC"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2.70</w:t>
            </w:r>
          </w:p>
        </w:tc>
        <w:tc>
          <w:tcPr>
            <w:tcW w:w="1843" w:type="dxa"/>
            <w:tcBorders>
              <w:top w:val="nil"/>
              <w:left w:val="nil"/>
              <w:bottom w:val="nil"/>
              <w:right w:val="nil"/>
            </w:tcBorders>
            <w:shd w:val="clear" w:color="auto" w:fill="FBE4D5" w:themeFill="accent2" w:themeFillTint="33"/>
            <w:vAlign w:val="center"/>
          </w:tcPr>
          <w:p w14:paraId="3056F399" w14:textId="104887C5"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76D3EB86" w14:textId="688779C2"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3</w:t>
            </w:r>
          </w:p>
        </w:tc>
        <w:tc>
          <w:tcPr>
            <w:tcW w:w="1417" w:type="dxa"/>
            <w:tcBorders>
              <w:top w:val="nil"/>
              <w:left w:val="nil"/>
              <w:bottom w:val="nil"/>
              <w:right w:val="nil"/>
            </w:tcBorders>
            <w:shd w:val="clear" w:color="auto" w:fill="FBE4D5" w:themeFill="accent2" w:themeFillTint="33"/>
            <w:noWrap/>
            <w:vAlign w:val="center"/>
            <w:hideMark/>
          </w:tcPr>
          <w:p w14:paraId="3AFF5B9B"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0.07%</w:t>
            </w:r>
          </w:p>
        </w:tc>
        <w:tc>
          <w:tcPr>
            <w:tcW w:w="1560" w:type="dxa"/>
            <w:tcBorders>
              <w:top w:val="nil"/>
              <w:left w:val="nil"/>
              <w:bottom w:val="nil"/>
              <w:right w:val="nil"/>
            </w:tcBorders>
            <w:shd w:val="clear" w:color="auto" w:fill="FBE4D5" w:themeFill="accent2" w:themeFillTint="33"/>
            <w:vAlign w:val="center"/>
          </w:tcPr>
          <w:p w14:paraId="28E7A345" w14:textId="5A237878"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8</w:t>
            </w:r>
          </w:p>
        </w:tc>
        <w:tc>
          <w:tcPr>
            <w:tcW w:w="1559" w:type="dxa"/>
            <w:tcBorders>
              <w:top w:val="nil"/>
              <w:left w:val="nil"/>
              <w:bottom w:val="nil"/>
              <w:right w:val="nil"/>
            </w:tcBorders>
            <w:shd w:val="clear" w:color="auto" w:fill="FBE4D5" w:themeFill="accent2" w:themeFillTint="33"/>
            <w:vAlign w:val="center"/>
          </w:tcPr>
          <w:p w14:paraId="596F5FD0" w14:textId="1DD16E8F"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4</w:t>
            </w:r>
          </w:p>
        </w:tc>
      </w:tr>
      <w:tr w:rsidR="00D955FF" w:rsidRPr="00503F5B" w14:paraId="7C5132D7" w14:textId="20BB8EEC"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0F773E9E"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2.75</w:t>
            </w:r>
          </w:p>
        </w:tc>
        <w:tc>
          <w:tcPr>
            <w:tcW w:w="1843" w:type="dxa"/>
            <w:tcBorders>
              <w:top w:val="nil"/>
              <w:left w:val="nil"/>
              <w:bottom w:val="nil"/>
              <w:right w:val="nil"/>
            </w:tcBorders>
            <w:shd w:val="clear" w:color="auto" w:fill="FBE4D5" w:themeFill="accent2" w:themeFillTint="33"/>
            <w:vAlign w:val="center"/>
          </w:tcPr>
          <w:p w14:paraId="39F02FCB" w14:textId="498D4132"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6CA9F75B" w14:textId="12CC128C"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4</w:t>
            </w:r>
          </w:p>
        </w:tc>
        <w:tc>
          <w:tcPr>
            <w:tcW w:w="1417" w:type="dxa"/>
            <w:tcBorders>
              <w:top w:val="nil"/>
              <w:left w:val="nil"/>
              <w:bottom w:val="nil"/>
              <w:right w:val="nil"/>
            </w:tcBorders>
            <w:shd w:val="clear" w:color="auto" w:fill="FBE4D5" w:themeFill="accent2" w:themeFillTint="33"/>
            <w:noWrap/>
            <w:vAlign w:val="center"/>
            <w:hideMark/>
          </w:tcPr>
          <w:p w14:paraId="4F835498"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0.09%</w:t>
            </w:r>
          </w:p>
        </w:tc>
        <w:tc>
          <w:tcPr>
            <w:tcW w:w="1560" w:type="dxa"/>
            <w:tcBorders>
              <w:top w:val="nil"/>
              <w:left w:val="nil"/>
              <w:bottom w:val="nil"/>
              <w:right w:val="nil"/>
            </w:tcBorders>
            <w:shd w:val="clear" w:color="auto" w:fill="FBE4D5" w:themeFill="accent2" w:themeFillTint="33"/>
            <w:vAlign w:val="center"/>
          </w:tcPr>
          <w:p w14:paraId="5666BDD6" w14:textId="068B2B0F"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11</w:t>
            </w:r>
          </w:p>
        </w:tc>
        <w:tc>
          <w:tcPr>
            <w:tcW w:w="1559" w:type="dxa"/>
            <w:tcBorders>
              <w:top w:val="nil"/>
              <w:left w:val="nil"/>
              <w:bottom w:val="nil"/>
              <w:right w:val="nil"/>
            </w:tcBorders>
            <w:shd w:val="clear" w:color="auto" w:fill="FBE4D5" w:themeFill="accent2" w:themeFillTint="33"/>
            <w:vAlign w:val="center"/>
          </w:tcPr>
          <w:p w14:paraId="3E8DAD3C" w14:textId="23FFA063"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5</w:t>
            </w:r>
          </w:p>
        </w:tc>
      </w:tr>
      <w:tr w:rsidR="00D955FF" w:rsidRPr="00503F5B" w14:paraId="7604389E" w14:textId="5C3B9F40"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52186A53"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2.95</w:t>
            </w:r>
          </w:p>
        </w:tc>
        <w:tc>
          <w:tcPr>
            <w:tcW w:w="1843" w:type="dxa"/>
            <w:tcBorders>
              <w:top w:val="nil"/>
              <w:left w:val="nil"/>
              <w:bottom w:val="nil"/>
              <w:right w:val="nil"/>
            </w:tcBorders>
            <w:shd w:val="clear" w:color="auto" w:fill="FBE4D5" w:themeFill="accent2" w:themeFillTint="33"/>
            <w:vAlign w:val="center"/>
          </w:tcPr>
          <w:p w14:paraId="47D71EDD" w14:textId="4B0AF095"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0DB3D4B0" w14:textId="4E665BA8"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w:t>
            </w:r>
          </w:p>
        </w:tc>
        <w:tc>
          <w:tcPr>
            <w:tcW w:w="1417" w:type="dxa"/>
            <w:tcBorders>
              <w:top w:val="nil"/>
              <w:left w:val="nil"/>
              <w:bottom w:val="nil"/>
              <w:right w:val="nil"/>
            </w:tcBorders>
            <w:shd w:val="clear" w:color="auto" w:fill="FBE4D5" w:themeFill="accent2" w:themeFillTint="33"/>
            <w:noWrap/>
            <w:vAlign w:val="center"/>
            <w:hideMark/>
          </w:tcPr>
          <w:p w14:paraId="46F311F2"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0.04%</w:t>
            </w:r>
          </w:p>
        </w:tc>
        <w:tc>
          <w:tcPr>
            <w:tcW w:w="1560" w:type="dxa"/>
            <w:tcBorders>
              <w:top w:val="nil"/>
              <w:left w:val="nil"/>
              <w:bottom w:val="nil"/>
              <w:right w:val="nil"/>
            </w:tcBorders>
            <w:shd w:val="clear" w:color="auto" w:fill="FBE4D5" w:themeFill="accent2" w:themeFillTint="33"/>
            <w:vAlign w:val="center"/>
          </w:tcPr>
          <w:p w14:paraId="76594CE3" w14:textId="20B8C9D0"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6</w:t>
            </w:r>
          </w:p>
        </w:tc>
        <w:tc>
          <w:tcPr>
            <w:tcW w:w="1559" w:type="dxa"/>
            <w:tcBorders>
              <w:top w:val="nil"/>
              <w:left w:val="nil"/>
              <w:bottom w:val="nil"/>
              <w:right w:val="nil"/>
            </w:tcBorders>
            <w:shd w:val="clear" w:color="auto" w:fill="FBE4D5" w:themeFill="accent2" w:themeFillTint="33"/>
            <w:vAlign w:val="center"/>
          </w:tcPr>
          <w:p w14:paraId="5AE79D38" w14:textId="6C22EDDA"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3</w:t>
            </w:r>
          </w:p>
        </w:tc>
      </w:tr>
      <w:tr w:rsidR="00D955FF" w:rsidRPr="00503F5B" w14:paraId="407D661E" w14:textId="028757D2"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1AFCFF16"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3.00</w:t>
            </w:r>
          </w:p>
        </w:tc>
        <w:tc>
          <w:tcPr>
            <w:tcW w:w="1843" w:type="dxa"/>
            <w:tcBorders>
              <w:top w:val="nil"/>
              <w:left w:val="nil"/>
              <w:bottom w:val="nil"/>
              <w:right w:val="nil"/>
            </w:tcBorders>
            <w:shd w:val="clear" w:color="auto" w:fill="FBE4D5" w:themeFill="accent2" w:themeFillTint="33"/>
            <w:vAlign w:val="center"/>
          </w:tcPr>
          <w:p w14:paraId="663CFED7" w14:textId="7DBC60A9"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76D2A1DE" w14:textId="22C7CE2B"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5</w:t>
            </w:r>
          </w:p>
        </w:tc>
        <w:tc>
          <w:tcPr>
            <w:tcW w:w="1417" w:type="dxa"/>
            <w:tcBorders>
              <w:top w:val="nil"/>
              <w:left w:val="nil"/>
              <w:bottom w:val="nil"/>
              <w:right w:val="nil"/>
            </w:tcBorders>
            <w:shd w:val="clear" w:color="auto" w:fill="FBE4D5" w:themeFill="accent2" w:themeFillTint="33"/>
            <w:noWrap/>
            <w:vAlign w:val="center"/>
            <w:hideMark/>
          </w:tcPr>
          <w:p w14:paraId="0998A84E"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0.11%</w:t>
            </w:r>
          </w:p>
        </w:tc>
        <w:tc>
          <w:tcPr>
            <w:tcW w:w="1560" w:type="dxa"/>
            <w:tcBorders>
              <w:top w:val="nil"/>
              <w:left w:val="nil"/>
              <w:bottom w:val="nil"/>
              <w:right w:val="nil"/>
            </w:tcBorders>
            <w:shd w:val="clear" w:color="auto" w:fill="FBE4D5" w:themeFill="accent2" w:themeFillTint="33"/>
            <w:vAlign w:val="center"/>
          </w:tcPr>
          <w:p w14:paraId="1D40CB0A" w14:textId="130BB45E"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15</w:t>
            </w:r>
          </w:p>
        </w:tc>
        <w:tc>
          <w:tcPr>
            <w:tcW w:w="1559" w:type="dxa"/>
            <w:tcBorders>
              <w:top w:val="nil"/>
              <w:left w:val="nil"/>
              <w:bottom w:val="nil"/>
              <w:right w:val="nil"/>
            </w:tcBorders>
            <w:shd w:val="clear" w:color="auto" w:fill="FBE4D5" w:themeFill="accent2" w:themeFillTint="33"/>
            <w:vAlign w:val="center"/>
          </w:tcPr>
          <w:p w14:paraId="59B9F781" w14:textId="43132A7A"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6</w:t>
            </w:r>
          </w:p>
        </w:tc>
      </w:tr>
      <w:tr w:rsidR="00D955FF" w:rsidRPr="00503F5B" w14:paraId="275A1378" w14:textId="4E58FB89"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25C36611"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3.12</w:t>
            </w:r>
          </w:p>
        </w:tc>
        <w:tc>
          <w:tcPr>
            <w:tcW w:w="1843" w:type="dxa"/>
            <w:tcBorders>
              <w:top w:val="nil"/>
              <w:left w:val="nil"/>
              <w:bottom w:val="nil"/>
              <w:right w:val="nil"/>
            </w:tcBorders>
            <w:shd w:val="clear" w:color="auto" w:fill="FBE4D5" w:themeFill="accent2" w:themeFillTint="33"/>
            <w:vAlign w:val="center"/>
          </w:tcPr>
          <w:p w14:paraId="7F7ED708" w14:textId="3ED5401C"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542F537F" w14:textId="4D097949"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w:t>
            </w:r>
          </w:p>
        </w:tc>
        <w:tc>
          <w:tcPr>
            <w:tcW w:w="1417" w:type="dxa"/>
            <w:tcBorders>
              <w:top w:val="nil"/>
              <w:left w:val="nil"/>
              <w:bottom w:val="nil"/>
              <w:right w:val="nil"/>
            </w:tcBorders>
            <w:shd w:val="clear" w:color="auto" w:fill="FBE4D5" w:themeFill="accent2" w:themeFillTint="33"/>
            <w:noWrap/>
            <w:vAlign w:val="center"/>
            <w:hideMark/>
          </w:tcPr>
          <w:p w14:paraId="36A30741"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0.02%</w:t>
            </w:r>
          </w:p>
        </w:tc>
        <w:tc>
          <w:tcPr>
            <w:tcW w:w="1560" w:type="dxa"/>
            <w:tcBorders>
              <w:top w:val="nil"/>
              <w:left w:val="nil"/>
              <w:bottom w:val="nil"/>
              <w:right w:val="nil"/>
            </w:tcBorders>
            <w:shd w:val="clear" w:color="auto" w:fill="FBE4D5" w:themeFill="accent2" w:themeFillTint="33"/>
            <w:vAlign w:val="center"/>
          </w:tcPr>
          <w:p w14:paraId="46B69148" w14:textId="51516A3A"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3</w:t>
            </w:r>
          </w:p>
        </w:tc>
        <w:tc>
          <w:tcPr>
            <w:tcW w:w="1559" w:type="dxa"/>
            <w:tcBorders>
              <w:top w:val="nil"/>
              <w:left w:val="nil"/>
              <w:bottom w:val="nil"/>
              <w:right w:val="nil"/>
            </w:tcBorders>
            <w:shd w:val="clear" w:color="auto" w:fill="FBE4D5" w:themeFill="accent2" w:themeFillTint="33"/>
            <w:vAlign w:val="center"/>
          </w:tcPr>
          <w:p w14:paraId="64F0612E" w14:textId="3B652017"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1</w:t>
            </w:r>
          </w:p>
        </w:tc>
      </w:tr>
      <w:tr w:rsidR="00D955FF" w:rsidRPr="00503F5B" w14:paraId="3F9ED99A" w14:textId="74CCFC5F"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45A9A7AD"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3.20</w:t>
            </w:r>
          </w:p>
        </w:tc>
        <w:tc>
          <w:tcPr>
            <w:tcW w:w="1843" w:type="dxa"/>
            <w:tcBorders>
              <w:top w:val="nil"/>
              <w:left w:val="nil"/>
              <w:bottom w:val="nil"/>
              <w:right w:val="nil"/>
            </w:tcBorders>
            <w:shd w:val="clear" w:color="auto" w:fill="FBE4D5" w:themeFill="accent2" w:themeFillTint="33"/>
            <w:vAlign w:val="center"/>
          </w:tcPr>
          <w:p w14:paraId="342E6DB5" w14:textId="160950CF"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189283D2" w14:textId="400C553A"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3</w:t>
            </w:r>
          </w:p>
        </w:tc>
        <w:tc>
          <w:tcPr>
            <w:tcW w:w="1417" w:type="dxa"/>
            <w:tcBorders>
              <w:top w:val="nil"/>
              <w:left w:val="nil"/>
              <w:bottom w:val="nil"/>
              <w:right w:val="nil"/>
            </w:tcBorders>
            <w:shd w:val="clear" w:color="auto" w:fill="FBE4D5" w:themeFill="accent2" w:themeFillTint="33"/>
            <w:noWrap/>
            <w:vAlign w:val="center"/>
            <w:hideMark/>
          </w:tcPr>
          <w:p w14:paraId="47D7DF50"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0.07%</w:t>
            </w:r>
          </w:p>
        </w:tc>
        <w:tc>
          <w:tcPr>
            <w:tcW w:w="1560" w:type="dxa"/>
            <w:tcBorders>
              <w:top w:val="nil"/>
              <w:left w:val="nil"/>
              <w:bottom w:val="nil"/>
              <w:right w:val="nil"/>
            </w:tcBorders>
            <w:shd w:val="clear" w:color="auto" w:fill="FBE4D5" w:themeFill="accent2" w:themeFillTint="33"/>
            <w:vAlign w:val="center"/>
          </w:tcPr>
          <w:p w14:paraId="76FAC078" w14:textId="318CF736"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10</w:t>
            </w:r>
          </w:p>
        </w:tc>
        <w:tc>
          <w:tcPr>
            <w:tcW w:w="1559" w:type="dxa"/>
            <w:tcBorders>
              <w:top w:val="nil"/>
              <w:left w:val="nil"/>
              <w:bottom w:val="nil"/>
              <w:right w:val="nil"/>
            </w:tcBorders>
            <w:shd w:val="clear" w:color="auto" w:fill="FBE4D5" w:themeFill="accent2" w:themeFillTint="33"/>
            <w:vAlign w:val="center"/>
          </w:tcPr>
          <w:p w14:paraId="0CB6B475" w14:textId="07F498D4"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4</w:t>
            </w:r>
          </w:p>
        </w:tc>
      </w:tr>
      <w:tr w:rsidR="00D955FF" w:rsidRPr="00503F5B" w14:paraId="388CC7D0" w14:textId="58359F87"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4C0EC51B"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3.25</w:t>
            </w:r>
          </w:p>
        </w:tc>
        <w:tc>
          <w:tcPr>
            <w:tcW w:w="1843" w:type="dxa"/>
            <w:tcBorders>
              <w:top w:val="nil"/>
              <w:left w:val="nil"/>
              <w:bottom w:val="nil"/>
              <w:right w:val="nil"/>
            </w:tcBorders>
            <w:shd w:val="clear" w:color="auto" w:fill="FBE4D5" w:themeFill="accent2" w:themeFillTint="33"/>
            <w:vAlign w:val="center"/>
          </w:tcPr>
          <w:p w14:paraId="7A633930" w14:textId="7E6DD87B"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6DAC86AE" w14:textId="74339836"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w:t>
            </w:r>
          </w:p>
        </w:tc>
        <w:tc>
          <w:tcPr>
            <w:tcW w:w="1417" w:type="dxa"/>
            <w:tcBorders>
              <w:top w:val="nil"/>
              <w:left w:val="nil"/>
              <w:bottom w:val="nil"/>
              <w:right w:val="nil"/>
            </w:tcBorders>
            <w:shd w:val="clear" w:color="auto" w:fill="FBE4D5" w:themeFill="accent2" w:themeFillTint="33"/>
            <w:noWrap/>
            <w:vAlign w:val="center"/>
            <w:hideMark/>
          </w:tcPr>
          <w:p w14:paraId="0EB7B44E"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0.04%</w:t>
            </w:r>
          </w:p>
        </w:tc>
        <w:tc>
          <w:tcPr>
            <w:tcW w:w="1560" w:type="dxa"/>
            <w:tcBorders>
              <w:top w:val="nil"/>
              <w:left w:val="nil"/>
              <w:bottom w:val="nil"/>
              <w:right w:val="nil"/>
            </w:tcBorders>
            <w:shd w:val="clear" w:color="auto" w:fill="FBE4D5" w:themeFill="accent2" w:themeFillTint="33"/>
            <w:vAlign w:val="center"/>
          </w:tcPr>
          <w:p w14:paraId="1C35F2A2" w14:textId="4D97B80F"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6</w:t>
            </w:r>
          </w:p>
        </w:tc>
        <w:tc>
          <w:tcPr>
            <w:tcW w:w="1559" w:type="dxa"/>
            <w:tcBorders>
              <w:top w:val="nil"/>
              <w:left w:val="nil"/>
              <w:bottom w:val="nil"/>
              <w:right w:val="nil"/>
            </w:tcBorders>
            <w:shd w:val="clear" w:color="auto" w:fill="FBE4D5" w:themeFill="accent2" w:themeFillTint="33"/>
            <w:vAlign w:val="center"/>
          </w:tcPr>
          <w:p w14:paraId="5CA9FC9A" w14:textId="507CF662"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3</w:t>
            </w:r>
          </w:p>
        </w:tc>
      </w:tr>
      <w:tr w:rsidR="00D955FF" w:rsidRPr="00503F5B" w14:paraId="51A81F82" w14:textId="004C924A"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0BDA483D"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3.50</w:t>
            </w:r>
          </w:p>
        </w:tc>
        <w:tc>
          <w:tcPr>
            <w:tcW w:w="1843" w:type="dxa"/>
            <w:tcBorders>
              <w:top w:val="nil"/>
              <w:left w:val="nil"/>
              <w:bottom w:val="nil"/>
              <w:right w:val="nil"/>
            </w:tcBorders>
            <w:shd w:val="clear" w:color="auto" w:fill="FBE4D5" w:themeFill="accent2" w:themeFillTint="33"/>
            <w:vAlign w:val="center"/>
          </w:tcPr>
          <w:p w14:paraId="505C37B9" w14:textId="5716EB3B"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5011FF30" w14:textId="4B95E418"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w:t>
            </w:r>
          </w:p>
        </w:tc>
        <w:tc>
          <w:tcPr>
            <w:tcW w:w="1417" w:type="dxa"/>
            <w:tcBorders>
              <w:top w:val="nil"/>
              <w:left w:val="nil"/>
              <w:bottom w:val="nil"/>
              <w:right w:val="nil"/>
            </w:tcBorders>
            <w:shd w:val="clear" w:color="auto" w:fill="FBE4D5" w:themeFill="accent2" w:themeFillTint="33"/>
            <w:noWrap/>
            <w:vAlign w:val="center"/>
            <w:hideMark/>
          </w:tcPr>
          <w:p w14:paraId="5D77A2A9"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0.02%</w:t>
            </w:r>
          </w:p>
        </w:tc>
        <w:tc>
          <w:tcPr>
            <w:tcW w:w="1560" w:type="dxa"/>
            <w:tcBorders>
              <w:top w:val="nil"/>
              <w:left w:val="nil"/>
              <w:bottom w:val="nil"/>
              <w:right w:val="nil"/>
            </w:tcBorders>
            <w:shd w:val="clear" w:color="auto" w:fill="FBE4D5" w:themeFill="accent2" w:themeFillTint="33"/>
            <w:vAlign w:val="center"/>
          </w:tcPr>
          <w:p w14:paraId="1494DB68" w14:textId="6504ECC2"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3</w:t>
            </w:r>
          </w:p>
        </w:tc>
        <w:tc>
          <w:tcPr>
            <w:tcW w:w="1559" w:type="dxa"/>
            <w:tcBorders>
              <w:top w:val="nil"/>
              <w:left w:val="nil"/>
              <w:bottom w:val="nil"/>
              <w:right w:val="nil"/>
            </w:tcBorders>
            <w:shd w:val="clear" w:color="auto" w:fill="FBE4D5" w:themeFill="accent2" w:themeFillTint="33"/>
            <w:vAlign w:val="center"/>
          </w:tcPr>
          <w:p w14:paraId="2DB1D2F1" w14:textId="08FBC28B"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1</w:t>
            </w:r>
          </w:p>
        </w:tc>
      </w:tr>
      <w:tr w:rsidR="00D955FF" w:rsidRPr="00503F5B" w14:paraId="6E7BEE3C" w14:textId="19F62533"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39CDB091"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3.75</w:t>
            </w:r>
          </w:p>
        </w:tc>
        <w:tc>
          <w:tcPr>
            <w:tcW w:w="1843" w:type="dxa"/>
            <w:tcBorders>
              <w:top w:val="nil"/>
              <w:left w:val="nil"/>
              <w:bottom w:val="nil"/>
              <w:right w:val="nil"/>
            </w:tcBorders>
            <w:shd w:val="clear" w:color="auto" w:fill="FBE4D5" w:themeFill="accent2" w:themeFillTint="33"/>
            <w:vAlign w:val="center"/>
          </w:tcPr>
          <w:p w14:paraId="339A9FCD" w14:textId="254B1CB6"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22FB8B8F" w14:textId="7CD28739"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w:t>
            </w:r>
          </w:p>
        </w:tc>
        <w:tc>
          <w:tcPr>
            <w:tcW w:w="1417" w:type="dxa"/>
            <w:tcBorders>
              <w:top w:val="nil"/>
              <w:left w:val="nil"/>
              <w:bottom w:val="nil"/>
              <w:right w:val="nil"/>
            </w:tcBorders>
            <w:shd w:val="clear" w:color="auto" w:fill="FBE4D5" w:themeFill="accent2" w:themeFillTint="33"/>
            <w:noWrap/>
            <w:vAlign w:val="center"/>
            <w:hideMark/>
          </w:tcPr>
          <w:p w14:paraId="2725C178"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0.04%</w:t>
            </w:r>
          </w:p>
        </w:tc>
        <w:tc>
          <w:tcPr>
            <w:tcW w:w="1560" w:type="dxa"/>
            <w:tcBorders>
              <w:top w:val="nil"/>
              <w:left w:val="nil"/>
              <w:bottom w:val="nil"/>
              <w:right w:val="nil"/>
            </w:tcBorders>
            <w:shd w:val="clear" w:color="auto" w:fill="FBE4D5" w:themeFill="accent2" w:themeFillTint="33"/>
            <w:vAlign w:val="center"/>
          </w:tcPr>
          <w:p w14:paraId="12FDE3AE" w14:textId="3D630FD6"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7</w:t>
            </w:r>
          </w:p>
        </w:tc>
        <w:tc>
          <w:tcPr>
            <w:tcW w:w="1559" w:type="dxa"/>
            <w:tcBorders>
              <w:top w:val="nil"/>
              <w:left w:val="nil"/>
              <w:bottom w:val="nil"/>
              <w:right w:val="nil"/>
            </w:tcBorders>
            <w:shd w:val="clear" w:color="auto" w:fill="FBE4D5" w:themeFill="accent2" w:themeFillTint="33"/>
            <w:vAlign w:val="center"/>
          </w:tcPr>
          <w:p w14:paraId="31144EFF" w14:textId="1C634735"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3</w:t>
            </w:r>
          </w:p>
        </w:tc>
      </w:tr>
      <w:tr w:rsidR="00D955FF" w:rsidRPr="00503F5B" w14:paraId="08CD9B71" w14:textId="73275CBB"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236F653E"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3.93</w:t>
            </w:r>
          </w:p>
        </w:tc>
        <w:tc>
          <w:tcPr>
            <w:tcW w:w="1843" w:type="dxa"/>
            <w:tcBorders>
              <w:top w:val="nil"/>
              <w:left w:val="nil"/>
              <w:bottom w:val="nil"/>
              <w:right w:val="nil"/>
            </w:tcBorders>
            <w:shd w:val="clear" w:color="auto" w:fill="FBE4D5" w:themeFill="accent2" w:themeFillTint="33"/>
            <w:vAlign w:val="center"/>
          </w:tcPr>
          <w:p w14:paraId="3D09BF41" w14:textId="4D9949A2"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038BAF4E" w14:textId="4DF14C52"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w:t>
            </w:r>
          </w:p>
        </w:tc>
        <w:tc>
          <w:tcPr>
            <w:tcW w:w="1417" w:type="dxa"/>
            <w:tcBorders>
              <w:top w:val="nil"/>
              <w:left w:val="nil"/>
              <w:bottom w:val="nil"/>
              <w:right w:val="nil"/>
            </w:tcBorders>
            <w:shd w:val="clear" w:color="auto" w:fill="FBE4D5" w:themeFill="accent2" w:themeFillTint="33"/>
            <w:noWrap/>
            <w:vAlign w:val="center"/>
            <w:hideMark/>
          </w:tcPr>
          <w:p w14:paraId="20D0E428"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0.04%</w:t>
            </w:r>
          </w:p>
        </w:tc>
        <w:tc>
          <w:tcPr>
            <w:tcW w:w="1560" w:type="dxa"/>
            <w:tcBorders>
              <w:top w:val="nil"/>
              <w:left w:val="nil"/>
              <w:bottom w:val="nil"/>
              <w:right w:val="nil"/>
            </w:tcBorders>
            <w:shd w:val="clear" w:color="auto" w:fill="FBE4D5" w:themeFill="accent2" w:themeFillTint="33"/>
            <w:vAlign w:val="center"/>
          </w:tcPr>
          <w:p w14:paraId="481D78CE" w14:textId="27AF7427"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8</w:t>
            </w:r>
          </w:p>
        </w:tc>
        <w:tc>
          <w:tcPr>
            <w:tcW w:w="1559" w:type="dxa"/>
            <w:tcBorders>
              <w:top w:val="nil"/>
              <w:left w:val="nil"/>
              <w:bottom w:val="nil"/>
              <w:right w:val="nil"/>
            </w:tcBorders>
            <w:shd w:val="clear" w:color="auto" w:fill="FBE4D5" w:themeFill="accent2" w:themeFillTint="33"/>
            <w:vAlign w:val="center"/>
          </w:tcPr>
          <w:p w14:paraId="2DB04EE1" w14:textId="1107C2FA"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3</w:t>
            </w:r>
          </w:p>
        </w:tc>
      </w:tr>
      <w:tr w:rsidR="00D955FF" w:rsidRPr="00503F5B" w14:paraId="59FA1FDD" w14:textId="5FCED19F"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52D0E769"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4.25</w:t>
            </w:r>
          </w:p>
        </w:tc>
        <w:tc>
          <w:tcPr>
            <w:tcW w:w="1843" w:type="dxa"/>
            <w:tcBorders>
              <w:top w:val="nil"/>
              <w:left w:val="nil"/>
              <w:bottom w:val="nil"/>
              <w:right w:val="nil"/>
            </w:tcBorders>
            <w:shd w:val="clear" w:color="auto" w:fill="FBE4D5" w:themeFill="accent2" w:themeFillTint="33"/>
            <w:vAlign w:val="center"/>
          </w:tcPr>
          <w:p w14:paraId="6BB4CDD4" w14:textId="0CAAABB0"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334A8B2D" w14:textId="39FAF5CF"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2</w:t>
            </w:r>
          </w:p>
        </w:tc>
        <w:tc>
          <w:tcPr>
            <w:tcW w:w="1417" w:type="dxa"/>
            <w:tcBorders>
              <w:top w:val="nil"/>
              <w:left w:val="nil"/>
              <w:bottom w:val="nil"/>
              <w:right w:val="nil"/>
            </w:tcBorders>
            <w:shd w:val="clear" w:color="auto" w:fill="FBE4D5" w:themeFill="accent2" w:themeFillTint="33"/>
            <w:noWrap/>
            <w:vAlign w:val="center"/>
            <w:hideMark/>
          </w:tcPr>
          <w:p w14:paraId="4DCA03A1"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0.04%</w:t>
            </w:r>
          </w:p>
        </w:tc>
        <w:tc>
          <w:tcPr>
            <w:tcW w:w="1560" w:type="dxa"/>
            <w:tcBorders>
              <w:top w:val="nil"/>
              <w:left w:val="nil"/>
              <w:bottom w:val="nil"/>
              <w:right w:val="nil"/>
            </w:tcBorders>
            <w:shd w:val="clear" w:color="auto" w:fill="FBE4D5" w:themeFill="accent2" w:themeFillTint="33"/>
            <w:vAlign w:val="center"/>
          </w:tcPr>
          <w:p w14:paraId="1C4CB055" w14:textId="71CFBD3F"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8</w:t>
            </w:r>
          </w:p>
        </w:tc>
        <w:tc>
          <w:tcPr>
            <w:tcW w:w="1559" w:type="dxa"/>
            <w:tcBorders>
              <w:top w:val="nil"/>
              <w:left w:val="nil"/>
              <w:bottom w:val="nil"/>
              <w:right w:val="nil"/>
            </w:tcBorders>
            <w:shd w:val="clear" w:color="auto" w:fill="FBE4D5" w:themeFill="accent2" w:themeFillTint="33"/>
            <w:vAlign w:val="center"/>
          </w:tcPr>
          <w:p w14:paraId="4515721D" w14:textId="499BFE37"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3</w:t>
            </w:r>
          </w:p>
        </w:tc>
      </w:tr>
      <w:tr w:rsidR="00D955FF" w:rsidRPr="00503F5B" w14:paraId="6CDB55BB" w14:textId="62C79614"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6BA53C19"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4.42</w:t>
            </w:r>
          </w:p>
        </w:tc>
        <w:tc>
          <w:tcPr>
            <w:tcW w:w="1843" w:type="dxa"/>
            <w:tcBorders>
              <w:top w:val="nil"/>
              <w:left w:val="nil"/>
              <w:bottom w:val="nil"/>
              <w:right w:val="nil"/>
            </w:tcBorders>
            <w:shd w:val="clear" w:color="auto" w:fill="FBE4D5" w:themeFill="accent2" w:themeFillTint="33"/>
            <w:vAlign w:val="center"/>
          </w:tcPr>
          <w:p w14:paraId="1CDF535F" w14:textId="0A893EA1"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3CFF6A9E" w14:textId="124930BC"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w:t>
            </w:r>
          </w:p>
        </w:tc>
        <w:tc>
          <w:tcPr>
            <w:tcW w:w="1417" w:type="dxa"/>
            <w:tcBorders>
              <w:top w:val="nil"/>
              <w:left w:val="nil"/>
              <w:bottom w:val="nil"/>
              <w:right w:val="nil"/>
            </w:tcBorders>
            <w:shd w:val="clear" w:color="auto" w:fill="FBE4D5" w:themeFill="accent2" w:themeFillTint="33"/>
            <w:noWrap/>
            <w:vAlign w:val="center"/>
            <w:hideMark/>
          </w:tcPr>
          <w:p w14:paraId="2DA9F9A7"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0.02%</w:t>
            </w:r>
          </w:p>
        </w:tc>
        <w:tc>
          <w:tcPr>
            <w:tcW w:w="1560" w:type="dxa"/>
            <w:tcBorders>
              <w:top w:val="nil"/>
              <w:left w:val="nil"/>
              <w:bottom w:val="nil"/>
              <w:right w:val="nil"/>
            </w:tcBorders>
            <w:shd w:val="clear" w:color="auto" w:fill="FBE4D5" w:themeFill="accent2" w:themeFillTint="33"/>
            <w:vAlign w:val="center"/>
          </w:tcPr>
          <w:p w14:paraId="1DD56B6A" w14:textId="00746637"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4</w:t>
            </w:r>
          </w:p>
        </w:tc>
        <w:tc>
          <w:tcPr>
            <w:tcW w:w="1559" w:type="dxa"/>
            <w:tcBorders>
              <w:top w:val="nil"/>
              <w:left w:val="nil"/>
              <w:bottom w:val="nil"/>
              <w:right w:val="nil"/>
            </w:tcBorders>
            <w:shd w:val="clear" w:color="auto" w:fill="FBE4D5" w:themeFill="accent2" w:themeFillTint="33"/>
            <w:vAlign w:val="center"/>
          </w:tcPr>
          <w:p w14:paraId="1F86756F" w14:textId="0C82047B"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1</w:t>
            </w:r>
          </w:p>
        </w:tc>
      </w:tr>
      <w:tr w:rsidR="00D955FF" w:rsidRPr="00503F5B" w14:paraId="62355BD4" w14:textId="0453F872" w:rsidTr="009917B8">
        <w:trPr>
          <w:trHeight w:val="285"/>
          <w:jc w:val="center"/>
        </w:trPr>
        <w:tc>
          <w:tcPr>
            <w:tcW w:w="1276" w:type="dxa"/>
            <w:tcBorders>
              <w:top w:val="nil"/>
              <w:left w:val="nil"/>
              <w:bottom w:val="nil"/>
              <w:right w:val="nil"/>
            </w:tcBorders>
            <w:shd w:val="clear" w:color="auto" w:fill="FBE4D5" w:themeFill="accent2" w:themeFillTint="33"/>
            <w:noWrap/>
            <w:vAlign w:val="center"/>
            <w:hideMark/>
          </w:tcPr>
          <w:p w14:paraId="3574CD83"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hAnsiTheme="minorHAnsi" w:cstheme="minorHAnsi"/>
                <w:sz w:val="20"/>
                <w:szCs w:val="20"/>
              </w:rPr>
              <w:t>5.16</w:t>
            </w:r>
          </w:p>
        </w:tc>
        <w:tc>
          <w:tcPr>
            <w:tcW w:w="1843" w:type="dxa"/>
            <w:tcBorders>
              <w:top w:val="nil"/>
              <w:left w:val="nil"/>
              <w:bottom w:val="nil"/>
              <w:right w:val="nil"/>
            </w:tcBorders>
            <w:shd w:val="clear" w:color="auto" w:fill="FBE4D5" w:themeFill="accent2" w:themeFillTint="33"/>
            <w:vAlign w:val="center"/>
          </w:tcPr>
          <w:p w14:paraId="6EFD3816" w14:textId="4E346919"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1.29</w:t>
            </w:r>
          </w:p>
        </w:tc>
        <w:tc>
          <w:tcPr>
            <w:tcW w:w="1701" w:type="dxa"/>
            <w:tcBorders>
              <w:top w:val="nil"/>
              <w:left w:val="nil"/>
              <w:bottom w:val="nil"/>
              <w:right w:val="nil"/>
            </w:tcBorders>
            <w:shd w:val="clear" w:color="auto" w:fill="FBE4D5" w:themeFill="accent2" w:themeFillTint="33"/>
            <w:noWrap/>
            <w:vAlign w:val="center"/>
            <w:hideMark/>
          </w:tcPr>
          <w:p w14:paraId="5CFCE7B1" w14:textId="3E8E2A65"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1</w:t>
            </w:r>
          </w:p>
        </w:tc>
        <w:tc>
          <w:tcPr>
            <w:tcW w:w="1417" w:type="dxa"/>
            <w:tcBorders>
              <w:top w:val="nil"/>
              <w:left w:val="nil"/>
              <w:bottom w:val="nil"/>
              <w:right w:val="nil"/>
            </w:tcBorders>
            <w:shd w:val="clear" w:color="auto" w:fill="FBE4D5" w:themeFill="accent2" w:themeFillTint="33"/>
            <w:noWrap/>
            <w:vAlign w:val="center"/>
            <w:hideMark/>
          </w:tcPr>
          <w:p w14:paraId="6D51479E" w14:textId="77777777" w:rsidR="00D955FF" w:rsidRPr="00503F5B" w:rsidRDefault="00D955FF">
            <w:pPr>
              <w:jc w:val="right"/>
              <w:rPr>
                <w:rFonts w:asciiTheme="minorHAnsi" w:eastAsia="Times New Roman" w:hAnsiTheme="minorHAnsi" w:cstheme="minorHAnsi"/>
                <w:sz w:val="20"/>
                <w:szCs w:val="20"/>
                <w:lang w:eastAsia="en-AU"/>
              </w:rPr>
            </w:pPr>
            <w:r w:rsidRPr="00503F5B">
              <w:rPr>
                <w:rFonts w:asciiTheme="minorHAnsi" w:eastAsia="Times New Roman" w:hAnsiTheme="minorHAnsi" w:cstheme="minorHAnsi"/>
                <w:sz w:val="20"/>
                <w:szCs w:val="20"/>
                <w:lang w:eastAsia="en-AU"/>
              </w:rPr>
              <w:t>0.02%</w:t>
            </w:r>
          </w:p>
        </w:tc>
        <w:tc>
          <w:tcPr>
            <w:tcW w:w="1560" w:type="dxa"/>
            <w:tcBorders>
              <w:top w:val="nil"/>
              <w:left w:val="nil"/>
              <w:bottom w:val="nil"/>
              <w:right w:val="nil"/>
            </w:tcBorders>
            <w:shd w:val="clear" w:color="auto" w:fill="FBE4D5" w:themeFill="accent2" w:themeFillTint="33"/>
            <w:vAlign w:val="center"/>
          </w:tcPr>
          <w:p w14:paraId="246EEE14" w14:textId="72F29482"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5</w:t>
            </w:r>
          </w:p>
        </w:tc>
        <w:tc>
          <w:tcPr>
            <w:tcW w:w="1559" w:type="dxa"/>
            <w:tcBorders>
              <w:top w:val="nil"/>
              <w:left w:val="nil"/>
              <w:bottom w:val="nil"/>
              <w:right w:val="nil"/>
            </w:tcBorders>
            <w:shd w:val="clear" w:color="auto" w:fill="FBE4D5" w:themeFill="accent2" w:themeFillTint="33"/>
            <w:vAlign w:val="center"/>
          </w:tcPr>
          <w:p w14:paraId="4EB045BD" w14:textId="5F3842E9" w:rsidR="00D955FF" w:rsidRPr="00503F5B" w:rsidRDefault="00D955FF">
            <w:pPr>
              <w:jc w:val="right"/>
              <w:rPr>
                <w:rFonts w:asciiTheme="minorHAnsi" w:eastAsia="Times New Roman" w:hAnsiTheme="minorHAnsi" w:cstheme="minorHAnsi"/>
                <w:sz w:val="20"/>
                <w:szCs w:val="20"/>
                <w:lang w:eastAsia="en-AU"/>
              </w:rPr>
            </w:pPr>
            <w:r w:rsidRPr="00503F5B">
              <w:rPr>
                <w:sz w:val="20"/>
                <w:szCs w:val="20"/>
              </w:rPr>
              <w:t>1</w:t>
            </w:r>
          </w:p>
        </w:tc>
      </w:tr>
      <w:tr w:rsidR="009B295B" w:rsidRPr="00503F5B" w14:paraId="33CAFD02" w14:textId="5B7040A5" w:rsidTr="009917B8">
        <w:trPr>
          <w:trHeight w:val="70"/>
          <w:jc w:val="center"/>
        </w:trPr>
        <w:tc>
          <w:tcPr>
            <w:tcW w:w="1276" w:type="dxa"/>
            <w:tcBorders>
              <w:top w:val="single" w:sz="4" w:space="0" w:color="C00000"/>
              <w:left w:val="nil"/>
              <w:bottom w:val="single" w:sz="4" w:space="0" w:color="C00000"/>
              <w:right w:val="nil"/>
            </w:tcBorders>
            <w:shd w:val="clear" w:color="auto" w:fill="auto"/>
            <w:noWrap/>
            <w:vAlign w:val="center"/>
          </w:tcPr>
          <w:p w14:paraId="3410AF5B" w14:textId="77777777" w:rsidR="009B295B" w:rsidRPr="00503F5B" w:rsidRDefault="009B295B" w:rsidP="009917B8">
            <w:pPr>
              <w:jc w:val="right"/>
              <w:rPr>
                <w:rFonts w:asciiTheme="minorHAnsi" w:eastAsia="Times New Roman" w:hAnsiTheme="minorHAnsi" w:cstheme="minorHAnsi"/>
                <w:b/>
                <w:bCs/>
                <w:sz w:val="20"/>
                <w:szCs w:val="20"/>
                <w:lang w:eastAsia="en-AU"/>
              </w:rPr>
            </w:pPr>
            <w:r w:rsidRPr="00503F5B">
              <w:rPr>
                <w:rFonts w:asciiTheme="minorHAnsi" w:eastAsia="Times New Roman" w:hAnsiTheme="minorHAnsi" w:cstheme="minorHAnsi"/>
                <w:b/>
                <w:bCs/>
                <w:sz w:val="20"/>
                <w:szCs w:val="20"/>
                <w:lang w:eastAsia="en-AU"/>
              </w:rPr>
              <w:t xml:space="preserve">Total </w:t>
            </w:r>
          </w:p>
        </w:tc>
        <w:tc>
          <w:tcPr>
            <w:tcW w:w="1843" w:type="dxa"/>
            <w:tcBorders>
              <w:top w:val="single" w:sz="4" w:space="0" w:color="C00000"/>
              <w:left w:val="nil"/>
              <w:bottom w:val="single" w:sz="4" w:space="0" w:color="C00000"/>
              <w:right w:val="nil"/>
            </w:tcBorders>
            <w:vAlign w:val="center"/>
          </w:tcPr>
          <w:p w14:paraId="35A57B0F" w14:textId="77777777" w:rsidR="009B295B" w:rsidRPr="00503F5B" w:rsidRDefault="009B295B">
            <w:pPr>
              <w:jc w:val="right"/>
              <w:rPr>
                <w:rFonts w:asciiTheme="minorHAnsi" w:eastAsia="Times New Roman" w:hAnsiTheme="minorHAnsi" w:cstheme="minorHAnsi"/>
                <w:b/>
                <w:bCs/>
                <w:color w:val="auto"/>
                <w:sz w:val="20"/>
                <w:szCs w:val="20"/>
                <w:lang w:eastAsia="en-AU"/>
              </w:rPr>
            </w:pPr>
          </w:p>
        </w:tc>
        <w:tc>
          <w:tcPr>
            <w:tcW w:w="1701" w:type="dxa"/>
            <w:tcBorders>
              <w:top w:val="single" w:sz="4" w:space="0" w:color="C00000"/>
              <w:left w:val="nil"/>
              <w:bottom w:val="single" w:sz="4" w:space="0" w:color="C00000"/>
              <w:right w:val="nil"/>
            </w:tcBorders>
            <w:shd w:val="clear" w:color="auto" w:fill="auto"/>
            <w:noWrap/>
            <w:vAlign w:val="center"/>
          </w:tcPr>
          <w:p w14:paraId="7F23F9A4" w14:textId="035D8434" w:rsidR="009B295B" w:rsidRPr="00503F5B" w:rsidRDefault="009B295B">
            <w:pPr>
              <w:jc w:val="right"/>
              <w:rPr>
                <w:rFonts w:asciiTheme="minorHAnsi" w:eastAsia="Times New Roman" w:hAnsiTheme="minorHAnsi" w:cstheme="minorHAnsi"/>
                <w:b/>
                <w:bCs/>
                <w:color w:val="auto"/>
                <w:sz w:val="20"/>
                <w:szCs w:val="20"/>
                <w:lang w:eastAsia="en-AU"/>
              </w:rPr>
            </w:pPr>
            <w:r w:rsidRPr="00503F5B">
              <w:rPr>
                <w:rFonts w:asciiTheme="minorHAnsi" w:eastAsia="Times New Roman" w:hAnsiTheme="minorHAnsi" w:cstheme="minorHAnsi"/>
                <w:b/>
                <w:bCs/>
                <w:color w:val="auto"/>
                <w:sz w:val="20"/>
                <w:szCs w:val="20"/>
                <w:lang w:eastAsia="en-AU"/>
              </w:rPr>
              <w:t>4,460</w:t>
            </w:r>
          </w:p>
        </w:tc>
        <w:tc>
          <w:tcPr>
            <w:tcW w:w="1417" w:type="dxa"/>
            <w:tcBorders>
              <w:top w:val="single" w:sz="4" w:space="0" w:color="C00000"/>
              <w:left w:val="nil"/>
              <w:bottom w:val="single" w:sz="4" w:space="0" w:color="C00000"/>
              <w:right w:val="nil"/>
            </w:tcBorders>
            <w:shd w:val="clear" w:color="auto" w:fill="auto"/>
            <w:noWrap/>
            <w:vAlign w:val="center"/>
          </w:tcPr>
          <w:p w14:paraId="222D02A3" w14:textId="77777777" w:rsidR="009B295B" w:rsidRPr="00503F5B" w:rsidRDefault="009B295B">
            <w:pPr>
              <w:jc w:val="right"/>
              <w:rPr>
                <w:rFonts w:asciiTheme="minorHAnsi" w:eastAsia="Times New Roman" w:hAnsiTheme="minorHAnsi" w:cstheme="minorHAnsi"/>
                <w:b/>
                <w:bCs/>
                <w:color w:val="auto"/>
                <w:sz w:val="20"/>
                <w:szCs w:val="20"/>
                <w:lang w:eastAsia="en-AU"/>
              </w:rPr>
            </w:pPr>
            <w:r w:rsidRPr="00503F5B">
              <w:rPr>
                <w:rFonts w:asciiTheme="minorHAnsi" w:eastAsia="Times New Roman" w:hAnsiTheme="minorHAnsi" w:cstheme="minorHAnsi"/>
                <w:b/>
                <w:bCs/>
                <w:color w:val="auto"/>
                <w:sz w:val="20"/>
                <w:szCs w:val="20"/>
                <w:lang w:eastAsia="en-AU"/>
              </w:rPr>
              <w:t>100.00%</w:t>
            </w:r>
          </w:p>
        </w:tc>
        <w:tc>
          <w:tcPr>
            <w:tcW w:w="1560" w:type="dxa"/>
            <w:tcBorders>
              <w:top w:val="single" w:sz="4" w:space="0" w:color="C00000"/>
              <w:left w:val="nil"/>
              <w:bottom w:val="single" w:sz="4" w:space="0" w:color="C00000"/>
              <w:right w:val="nil"/>
            </w:tcBorders>
          </w:tcPr>
          <w:p w14:paraId="7C6CE3BD" w14:textId="73FF24D5" w:rsidR="009B295B" w:rsidRPr="00503F5B" w:rsidRDefault="009B295B">
            <w:pPr>
              <w:jc w:val="right"/>
              <w:rPr>
                <w:rFonts w:asciiTheme="minorHAnsi" w:eastAsia="Times New Roman" w:hAnsiTheme="minorHAnsi" w:cstheme="minorHAnsi"/>
                <w:b/>
                <w:bCs/>
                <w:color w:val="auto"/>
                <w:sz w:val="20"/>
                <w:szCs w:val="20"/>
                <w:lang w:eastAsia="en-AU"/>
              </w:rPr>
            </w:pPr>
            <w:r w:rsidRPr="00503F5B">
              <w:rPr>
                <w:b/>
                <w:bCs/>
                <w:sz w:val="20"/>
                <w:szCs w:val="20"/>
              </w:rPr>
              <w:t>3,417</w:t>
            </w:r>
          </w:p>
        </w:tc>
        <w:tc>
          <w:tcPr>
            <w:tcW w:w="1559" w:type="dxa"/>
            <w:tcBorders>
              <w:top w:val="single" w:sz="4" w:space="0" w:color="C00000"/>
              <w:left w:val="nil"/>
              <w:bottom w:val="single" w:sz="4" w:space="0" w:color="C00000"/>
              <w:right w:val="nil"/>
            </w:tcBorders>
          </w:tcPr>
          <w:p w14:paraId="7869B5C7" w14:textId="1E34FB2A" w:rsidR="009B295B" w:rsidRPr="00503F5B" w:rsidRDefault="009B295B">
            <w:pPr>
              <w:jc w:val="right"/>
              <w:rPr>
                <w:rFonts w:asciiTheme="minorHAnsi" w:eastAsia="Times New Roman" w:hAnsiTheme="minorHAnsi" w:cstheme="minorHAnsi"/>
                <w:b/>
                <w:bCs/>
                <w:color w:val="auto"/>
                <w:sz w:val="20"/>
                <w:szCs w:val="20"/>
                <w:lang w:eastAsia="en-AU"/>
              </w:rPr>
            </w:pPr>
            <w:r w:rsidRPr="00503F5B">
              <w:rPr>
                <w:b/>
                <w:bCs/>
                <w:sz w:val="20"/>
                <w:szCs w:val="20"/>
              </w:rPr>
              <w:t>3,216</w:t>
            </w:r>
          </w:p>
        </w:tc>
      </w:tr>
    </w:tbl>
    <w:p w14:paraId="0D590EBF" w14:textId="77777777" w:rsidR="00D777D0" w:rsidRPr="00503F5B" w:rsidRDefault="00D777D0">
      <w:pPr>
        <w:jc w:val="both"/>
        <w:rPr>
          <w:color w:val="000000" w:themeColor="text1"/>
          <w:sz w:val="18"/>
          <w:szCs w:val="18"/>
        </w:rPr>
      </w:pPr>
      <w:r w:rsidRPr="00503F5B">
        <w:rPr>
          <w:color w:val="000000" w:themeColor="text1"/>
          <w:sz w:val="18"/>
          <w:szCs w:val="18"/>
        </w:rPr>
        <w:t>Data supplied by MFB</w:t>
      </w:r>
    </w:p>
    <w:p w14:paraId="7430C1CC" w14:textId="7194306E" w:rsidR="00D777D0" w:rsidRPr="00503F5B" w:rsidRDefault="00D777D0" w:rsidP="00E04C6D">
      <w:pPr>
        <w:jc w:val="both"/>
      </w:pPr>
    </w:p>
    <w:p w14:paraId="406091C7" w14:textId="77777777" w:rsidR="00E76166" w:rsidRPr="00503F5B" w:rsidRDefault="00E76166" w:rsidP="00E04C6D">
      <w:pPr>
        <w:jc w:val="both"/>
      </w:pPr>
    </w:p>
    <w:p w14:paraId="4B828BA0" w14:textId="6D751982" w:rsidR="009B295B" w:rsidRPr="00503F5B" w:rsidRDefault="009B295B" w:rsidP="00E04C6D">
      <w:pPr>
        <w:jc w:val="both"/>
      </w:pPr>
      <w:r w:rsidRPr="00503F5B">
        <w:t>As shown in table A3.8 there would be around a 201 fewer appliance hours charged for under Option 3</w:t>
      </w:r>
      <w:r w:rsidR="002533EE" w:rsidRPr="00503F5B">
        <w:t xml:space="preserve"> leading to </w:t>
      </w:r>
      <w:r w:rsidRPr="00503F5B">
        <w:t>30.91%</w:t>
      </w:r>
      <w:r w:rsidR="002533EE" w:rsidRPr="00503F5B">
        <w:t xml:space="preserve"> </w:t>
      </w:r>
      <w:r w:rsidRPr="00503F5B">
        <w:t xml:space="preserve">fewer </w:t>
      </w:r>
      <w:r w:rsidR="002533EE" w:rsidRPr="00503F5B">
        <w:t xml:space="preserve">effective quarterly hour </w:t>
      </w:r>
      <w:r w:rsidRPr="00503F5B">
        <w:t xml:space="preserve">transactions charged for 7.83% of </w:t>
      </w:r>
      <w:r w:rsidRPr="00503F5B">
        <w:lastRenderedPageBreak/>
        <w:t>invoices over 1.29 average appliance hours.  This adjustment to quarterly hour transactions is made in Table A3.9 to reflect the maximum fee under Option 3.</w:t>
      </w:r>
    </w:p>
    <w:p w14:paraId="39D1EE8B" w14:textId="775677A8" w:rsidR="009B295B" w:rsidRPr="00503F5B" w:rsidRDefault="009B295B" w:rsidP="00E04C6D">
      <w:pPr>
        <w:jc w:val="both"/>
      </w:pPr>
    </w:p>
    <w:p w14:paraId="72892CC0" w14:textId="0CC1B628" w:rsidR="009B295B" w:rsidRPr="00503F5B" w:rsidRDefault="009B295B" w:rsidP="009B295B">
      <w:pPr>
        <w:jc w:val="center"/>
        <w:rPr>
          <w:b/>
          <w:color w:val="000000" w:themeColor="text1"/>
          <w:sz w:val="20"/>
          <w:szCs w:val="20"/>
        </w:rPr>
      </w:pPr>
      <w:r w:rsidRPr="00503F5B">
        <w:rPr>
          <w:b/>
          <w:color w:val="000000" w:themeColor="text1"/>
          <w:sz w:val="20"/>
          <w:szCs w:val="20"/>
        </w:rPr>
        <w:t>Table A3.9: Distribution of appliance hours per number invoiced – 2018-19</w:t>
      </w:r>
    </w:p>
    <w:p w14:paraId="4B395BF2" w14:textId="77777777" w:rsidR="009B295B" w:rsidRPr="00503F5B" w:rsidRDefault="009B295B" w:rsidP="00E04C6D">
      <w:pPr>
        <w:jc w:val="both"/>
      </w:pPr>
    </w:p>
    <w:tbl>
      <w:tblPr>
        <w:tblW w:w="9356" w:type="dxa"/>
        <w:jc w:val="center"/>
        <w:tblLook w:val="04A0" w:firstRow="1" w:lastRow="0" w:firstColumn="1" w:lastColumn="0" w:noHBand="0" w:noVBand="1"/>
      </w:tblPr>
      <w:tblGrid>
        <w:gridCol w:w="1016"/>
        <w:gridCol w:w="1416"/>
        <w:gridCol w:w="1537"/>
        <w:gridCol w:w="1276"/>
        <w:gridCol w:w="1238"/>
        <w:gridCol w:w="1597"/>
        <w:gridCol w:w="1276"/>
      </w:tblGrid>
      <w:tr w:rsidR="00AC2D2C" w:rsidRPr="00503F5B" w14:paraId="2E81A06E" w14:textId="77777777" w:rsidTr="009917B8">
        <w:trPr>
          <w:trHeight w:val="2111"/>
          <w:tblHeader/>
          <w:jc w:val="center"/>
        </w:trPr>
        <w:tc>
          <w:tcPr>
            <w:tcW w:w="1016" w:type="dxa"/>
            <w:tcBorders>
              <w:top w:val="single" w:sz="4" w:space="0" w:color="ED7C5D"/>
              <w:left w:val="nil"/>
              <w:bottom w:val="double" w:sz="4" w:space="0" w:color="ED7C5D"/>
              <w:right w:val="nil"/>
            </w:tcBorders>
            <w:shd w:val="clear" w:color="000000" w:fill="FFFFFF"/>
            <w:noWrap/>
            <w:hideMark/>
          </w:tcPr>
          <w:p w14:paraId="6BC04C21" w14:textId="77777777" w:rsidR="009B295B" w:rsidRPr="00503F5B" w:rsidRDefault="009B295B" w:rsidP="00970CBA">
            <w:pPr>
              <w:rPr>
                <w:rFonts w:eastAsia="Times New Roman" w:cs="Calibri"/>
                <w:b/>
                <w:bCs/>
                <w:color w:val="C00000"/>
                <w:sz w:val="20"/>
                <w:szCs w:val="20"/>
                <w:lang w:eastAsia="en-AU"/>
              </w:rPr>
            </w:pPr>
            <w:r w:rsidRPr="00503F5B">
              <w:rPr>
                <w:rFonts w:eastAsia="Times New Roman" w:cs="Calibri"/>
                <w:b/>
                <w:bCs/>
                <w:color w:val="C00000"/>
                <w:sz w:val="20"/>
                <w:szCs w:val="20"/>
                <w:lang w:eastAsia="en-AU"/>
              </w:rPr>
              <w:t>Year</w:t>
            </w:r>
          </w:p>
        </w:tc>
        <w:tc>
          <w:tcPr>
            <w:tcW w:w="1416" w:type="dxa"/>
            <w:tcBorders>
              <w:top w:val="single" w:sz="4" w:space="0" w:color="ED7C5D"/>
              <w:left w:val="nil"/>
              <w:bottom w:val="double" w:sz="4" w:space="0" w:color="ED7C5D"/>
              <w:right w:val="nil"/>
            </w:tcBorders>
            <w:shd w:val="clear" w:color="000000" w:fill="FFFFFF"/>
            <w:noWrap/>
            <w:hideMark/>
          </w:tcPr>
          <w:p w14:paraId="75E93DBA" w14:textId="77777777" w:rsidR="009B295B" w:rsidRPr="00503F5B" w:rsidRDefault="009B295B" w:rsidP="00970CBA">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MFB transactions (Increase in growth rate from 4.49% to 4.52%)</w:t>
            </w:r>
          </w:p>
          <w:p w14:paraId="51B4F7C8" w14:textId="77777777" w:rsidR="00AC2D2C" w:rsidRPr="00503F5B" w:rsidRDefault="00AC2D2C" w:rsidP="00970CBA">
            <w:pPr>
              <w:jc w:val="center"/>
              <w:rPr>
                <w:rFonts w:eastAsia="Times New Roman" w:cs="Calibri"/>
                <w:b/>
                <w:bCs/>
                <w:color w:val="C00000"/>
                <w:sz w:val="20"/>
                <w:szCs w:val="20"/>
                <w:lang w:eastAsia="en-AU"/>
              </w:rPr>
            </w:pPr>
          </w:p>
          <w:p w14:paraId="4B35904A" w14:textId="3181F0F1" w:rsidR="00AC2D2C" w:rsidRPr="00503F5B" w:rsidRDefault="00AC2D2C" w:rsidP="00970CBA">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(g)</w:t>
            </w:r>
          </w:p>
        </w:tc>
        <w:tc>
          <w:tcPr>
            <w:tcW w:w="1537" w:type="dxa"/>
            <w:tcBorders>
              <w:top w:val="single" w:sz="4" w:space="0" w:color="ED7C5D"/>
              <w:left w:val="nil"/>
              <w:bottom w:val="double" w:sz="4" w:space="0" w:color="ED7C5D"/>
              <w:right w:val="nil"/>
            </w:tcBorders>
            <w:shd w:val="clear" w:color="000000" w:fill="FFFFFF"/>
            <w:noWrap/>
            <w:hideMark/>
          </w:tcPr>
          <w:p w14:paraId="60ED3BED" w14:textId="77777777" w:rsidR="009B295B" w:rsidRPr="00503F5B" w:rsidRDefault="009B295B" w:rsidP="00970CBA">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CFA integrated stations transactions</w:t>
            </w:r>
          </w:p>
          <w:p w14:paraId="1A07C411" w14:textId="77777777" w:rsidR="009B295B" w:rsidRPr="00503F5B" w:rsidRDefault="009B295B" w:rsidP="00970CBA">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(increase in growth rate from (-11.7%) to (-11.62%))</w:t>
            </w:r>
          </w:p>
          <w:p w14:paraId="0820D329" w14:textId="47AA8D76" w:rsidR="00AC2D2C" w:rsidRPr="00503F5B" w:rsidRDefault="00AC2D2C" w:rsidP="00970CBA">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(h)</w:t>
            </w:r>
          </w:p>
        </w:tc>
        <w:tc>
          <w:tcPr>
            <w:tcW w:w="1276" w:type="dxa"/>
            <w:tcBorders>
              <w:top w:val="single" w:sz="4" w:space="0" w:color="ED7C5D"/>
              <w:left w:val="nil"/>
              <w:bottom w:val="double" w:sz="4" w:space="0" w:color="ED7C5D"/>
              <w:right w:val="nil"/>
            </w:tcBorders>
            <w:shd w:val="clear" w:color="000000" w:fill="FFFFFF"/>
            <w:noWrap/>
            <w:hideMark/>
          </w:tcPr>
          <w:p w14:paraId="624B2D93" w14:textId="77777777" w:rsidR="009B295B" w:rsidRPr="00503F5B" w:rsidRDefault="009B295B" w:rsidP="00970CBA">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FRV transactions</w:t>
            </w:r>
          </w:p>
          <w:p w14:paraId="6871FFA3" w14:textId="77777777" w:rsidR="00AC2D2C" w:rsidRPr="00503F5B" w:rsidRDefault="00AC2D2C" w:rsidP="00970CBA">
            <w:pPr>
              <w:jc w:val="center"/>
              <w:rPr>
                <w:rFonts w:eastAsia="Times New Roman" w:cs="Calibri"/>
                <w:b/>
                <w:bCs/>
                <w:color w:val="C00000"/>
                <w:sz w:val="20"/>
                <w:szCs w:val="20"/>
                <w:lang w:eastAsia="en-AU"/>
              </w:rPr>
            </w:pPr>
          </w:p>
          <w:p w14:paraId="6DBF578C" w14:textId="77777777" w:rsidR="00AC2D2C" w:rsidRPr="00503F5B" w:rsidRDefault="00AC2D2C" w:rsidP="00970CBA">
            <w:pPr>
              <w:jc w:val="center"/>
              <w:rPr>
                <w:rFonts w:eastAsia="Times New Roman" w:cs="Calibri"/>
                <w:b/>
                <w:bCs/>
                <w:color w:val="C00000"/>
                <w:sz w:val="20"/>
                <w:szCs w:val="20"/>
                <w:lang w:eastAsia="en-AU"/>
              </w:rPr>
            </w:pPr>
          </w:p>
          <w:p w14:paraId="5587DEF1" w14:textId="77777777" w:rsidR="00AC2D2C" w:rsidRPr="00503F5B" w:rsidRDefault="00AC2D2C" w:rsidP="00970CBA">
            <w:pPr>
              <w:jc w:val="center"/>
              <w:rPr>
                <w:rFonts w:eastAsia="Times New Roman" w:cs="Calibri"/>
                <w:b/>
                <w:bCs/>
                <w:color w:val="C00000"/>
                <w:sz w:val="20"/>
                <w:szCs w:val="20"/>
                <w:lang w:eastAsia="en-AU"/>
              </w:rPr>
            </w:pPr>
          </w:p>
          <w:p w14:paraId="5C44D2EB" w14:textId="77777777" w:rsidR="00AC2D2C" w:rsidRPr="00503F5B" w:rsidRDefault="00AC2D2C" w:rsidP="00970CBA">
            <w:pPr>
              <w:jc w:val="center"/>
              <w:rPr>
                <w:rFonts w:eastAsia="Times New Roman" w:cs="Calibri"/>
                <w:b/>
                <w:bCs/>
                <w:color w:val="C00000"/>
                <w:sz w:val="20"/>
                <w:szCs w:val="20"/>
                <w:lang w:eastAsia="en-AU"/>
              </w:rPr>
            </w:pPr>
          </w:p>
          <w:p w14:paraId="0D3DD721" w14:textId="77777777" w:rsidR="00AC2D2C" w:rsidRPr="00503F5B" w:rsidRDefault="00AC2D2C" w:rsidP="00970CBA">
            <w:pPr>
              <w:jc w:val="center"/>
              <w:rPr>
                <w:rFonts w:eastAsia="Times New Roman" w:cs="Calibri"/>
                <w:b/>
                <w:bCs/>
                <w:color w:val="C00000"/>
                <w:sz w:val="20"/>
                <w:szCs w:val="20"/>
                <w:lang w:eastAsia="en-AU"/>
              </w:rPr>
            </w:pPr>
          </w:p>
          <w:p w14:paraId="6E517A1F" w14:textId="41729E75" w:rsidR="00AC2D2C" w:rsidRPr="00503F5B" w:rsidRDefault="00AC2D2C" w:rsidP="00970CBA">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(i) = (g)+(h)</w:t>
            </w:r>
          </w:p>
        </w:tc>
        <w:tc>
          <w:tcPr>
            <w:tcW w:w="1238" w:type="dxa"/>
            <w:tcBorders>
              <w:top w:val="single" w:sz="4" w:space="0" w:color="ED7C5D"/>
              <w:left w:val="nil"/>
              <w:bottom w:val="double" w:sz="4" w:space="0" w:color="ED7C5D"/>
              <w:right w:val="nil"/>
            </w:tcBorders>
            <w:shd w:val="clear" w:color="000000" w:fill="FFFFFF"/>
          </w:tcPr>
          <w:p w14:paraId="5BE0834D" w14:textId="77777777" w:rsidR="009B295B" w:rsidRPr="00503F5B" w:rsidRDefault="00AC2D2C" w:rsidP="00970CBA">
            <w:pPr>
              <w:jc w:val="center"/>
              <w:rPr>
                <w:b/>
                <w:color w:val="BE2A18"/>
                <w:sz w:val="20"/>
                <w:szCs w:val="20"/>
              </w:rPr>
            </w:pPr>
            <w:r w:rsidRPr="00503F5B">
              <w:rPr>
                <w:b/>
                <w:color w:val="BE2A18"/>
                <w:sz w:val="20"/>
                <w:szCs w:val="20"/>
              </w:rPr>
              <w:t>FRV transactions under 1.29 appliance hours</w:t>
            </w:r>
          </w:p>
          <w:p w14:paraId="36E23F41" w14:textId="77777777" w:rsidR="00AC2D2C" w:rsidRPr="00503F5B" w:rsidRDefault="00AC2D2C" w:rsidP="00970CBA">
            <w:pPr>
              <w:jc w:val="center"/>
              <w:rPr>
                <w:b/>
                <w:color w:val="BE2A18"/>
                <w:sz w:val="20"/>
                <w:szCs w:val="20"/>
              </w:rPr>
            </w:pPr>
          </w:p>
          <w:p w14:paraId="6EA9DCE3" w14:textId="77777777" w:rsidR="00AC2D2C" w:rsidRPr="00503F5B" w:rsidRDefault="00AC2D2C" w:rsidP="00970CBA">
            <w:pPr>
              <w:jc w:val="center"/>
              <w:rPr>
                <w:b/>
                <w:color w:val="BE2A18"/>
                <w:sz w:val="20"/>
                <w:szCs w:val="20"/>
              </w:rPr>
            </w:pPr>
          </w:p>
          <w:p w14:paraId="46C6FA3C" w14:textId="105A542B" w:rsidR="00AC2D2C" w:rsidRPr="00503F5B" w:rsidRDefault="00AC2D2C" w:rsidP="00970CBA">
            <w:pPr>
              <w:jc w:val="center"/>
              <w:rPr>
                <w:b/>
                <w:color w:val="BE2A18"/>
                <w:sz w:val="20"/>
                <w:szCs w:val="20"/>
              </w:rPr>
            </w:pPr>
            <w:r w:rsidRPr="00503F5B">
              <w:rPr>
                <w:b/>
                <w:color w:val="BE2A18"/>
                <w:sz w:val="20"/>
                <w:szCs w:val="20"/>
              </w:rPr>
              <w:t>(j) = (i) x 92.17%</w:t>
            </w:r>
          </w:p>
        </w:tc>
        <w:tc>
          <w:tcPr>
            <w:tcW w:w="1597" w:type="dxa"/>
            <w:tcBorders>
              <w:top w:val="single" w:sz="4" w:space="0" w:color="ED7C5D"/>
              <w:left w:val="nil"/>
              <w:bottom w:val="double" w:sz="4" w:space="0" w:color="ED7C5D"/>
              <w:right w:val="nil"/>
            </w:tcBorders>
            <w:shd w:val="clear" w:color="000000" w:fill="FFFFFF"/>
          </w:tcPr>
          <w:p w14:paraId="09B50D62" w14:textId="63B56D61" w:rsidR="009B295B" w:rsidRPr="00503F5B" w:rsidRDefault="00AC2D2C" w:rsidP="00970CBA">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FRV transactions over 1.29 appliance hours under Option 3</w:t>
            </w:r>
          </w:p>
          <w:p w14:paraId="7C61EABA" w14:textId="77777777" w:rsidR="00AC2D2C" w:rsidRPr="00503F5B" w:rsidRDefault="00AC2D2C" w:rsidP="00970CBA">
            <w:pPr>
              <w:jc w:val="center"/>
              <w:rPr>
                <w:rFonts w:eastAsia="Times New Roman" w:cs="Calibri"/>
                <w:b/>
                <w:bCs/>
                <w:color w:val="C00000"/>
                <w:sz w:val="20"/>
                <w:szCs w:val="20"/>
                <w:lang w:eastAsia="en-AU"/>
              </w:rPr>
            </w:pPr>
          </w:p>
          <w:p w14:paraId="5A7ABD1E" w14:textId="068B349B" w:rsidR="00AC2D2C" w:rsidRPr="00503F5B" w:rsidRDefault="00AC2D2C" w:rsidP="00970CBA">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(k) = (i) x 7.83% - 30.9% x {(j) x 7.83%}</w:t>
            </w:r>
          </w:p>
        </w:tc>
        <w:tc>
          <w:tcPr>
            <w:tcW w:w="1276" w:type="dxa"/>
            <w:tcBorders>
              <w:top w:val="single" w:sz="4" w:space="0" w:color="ED7C5D"/>
              <w:left w:val="nil"/>
              <w:bottom w:val="double" w:sz="4" w:space="0" w:color="ED7C5D"/>
              <w:right w:val="nil"/>
            </w:tcBorders>
            <w:shd w:val="clear" w:color="000000" w:fill="FFFFFF"/>
          </w:tcPr>
          <w:p w14:paraId="59017A64" w14:textId="30448057" w:rsidR="009B295B" w:rsidRPr="00503F5B" w:rsidRDefault="002533EE" w:rsidP="00970CBA">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 xml:space="preserve">Total </w:t>
            </w:r>
            <w:r w:rsidR="00AC2D2C" w:rsidRPr="00503F5B">
              <w:rPr>
                <w:rFonts w:eastAsia="Times New Roman" w:cs="Calibri"/>
                <w:b/>
                <w:bCs/>
                <w:color w:val="C00000"/>
                <w:sz w:val="20"/>
                <w:szCs w:val="20"/>
                <w:lang w:eastAsia="en-AU"/>
              </w:rPr>
              <w:t>FRV</w:t>
            </w:r>
          </w:p>
          <w:p w14:paraId="1710ADDA" w14:textId="53F3228D" w:rsidR="00AC2D2C" w:rsidRPr="00503F5B" w:rsidRDefault="00AC2D2C" w:rsidP="00970CBA">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transactions under Option 3</w:t>
            </w:r>
          </w:p>
          <w:p w14:paraId="72AA82F3" w14:textId="5476EF5D" w:rsidR="00AC2D2C" w:rsidRPr="00503F5B" w:rsidRDefault="00AC2D2C" w:rsidP="00970CBA">
            <w:pPr>
              <w:jc w:val="center"/>
              <w:rPr>
                <w:rFonts w:eastAsia="Times New Roman" w:cs="Calibri"/>
                <w:b/>
                <w:bCs/>
                <w:color w:val="C00000"/>
                <w:sz w:val="20"/>
                <w:szCs w:val="20"/>
                <w:lang w:eastAsia="en-AU"/>
              </w:rPr>
            </w:pPr>
          </w:p>
          <w:p w14:paraId="71C99C06" w14:textId="5E7378D4" w:rsidR="00AC2D2C" w:rsidRPr="00503F5B" w:rsidRDefault="00AC2D2C" w:rsidP="00970CBA">
            <w:pPr>
              <w:jc w:val="center"/>
              <w:rPr>
                <w:rFonts w:eastAsia="Times New Roman" w:cs="Calibri"/>
                <w:b/>
                <w:bCs/>
                <w:color w:val="C00000"/>
                <w:sz w:val="20"/>
                <w:szCs w:val="20"/>
                <w:lang w:eastAsia="en-AU"/>
              </w:rPr>
            </w:pPr>
          </w:p>
          <w:p w14:paraId="0EEF5787" w14:textId="77777777" w:rsidR="00AC2D2C" w:rsidRPr="00503F5B" w:rsidRDefault="00AC2D2C" w:rsidP="00970CBA">
            <w:pPr>
              <w:jc w:val="center"/>
              <w:rPr>
                <w:rFonts w:eastAsia="Times New Roman" w:cs="Calibri"/>
                <w:b/>
                <w:bCs/>
                <w:color w:val="C00000"/>
                <w:sz w:val="20"/>
                <w:szCs w:val="20"/>
                <w:lang w:eastAsia="en-AU"/>
              </w:rPr>
            </w:pPr>
          </w:p>
          <w:p w14:paraId="31B60243" w14:textId="6E3E39AD" w:rsidR="00AC2D2C" w:rsidRPr="00503F5B" w:rsidRDefault="00AC2D2C">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 xml:space="preserve">(l) = (j) + (k) </w:t>
            </w:r>
          </w:p>
        </w:tc>
      </w:tr>
      <w:tr w:rsidR="00AC2D2C" w:rsidRPr="00503F5B" w14:paraId="79334D7D" w14:textId="77777777" w:rsidTr="009917B8">
        <w:trPr>
          <w:trHeight w:val="50"/>
          <w:jc w:val="center"/>
        </w:trPr>
        <w:tc>
          <w:tcPr>
            <w:tcW w:w="1016" w:type="dxa"/>
            <w:tcBorders>
              <w:top w:val="double" w:sz="4" w:space="0" w:color="ED7C5D"/>
              <w:left w:val="nil"/>
              <w:bottom w:val="nil"/>
              <w:right w:val="nil"/>
            </w:tcBorders>
            <w:shd w:val="clear" w:color="000000" w:fill="FFFFFF"/>
            <w:noWrap/>
            <w:hideMark/>
          </w:tcPr>
          <w:p w14:paraId="3DF45881" w14:textId="77777777" w:rsidR="00AC2D2C" w:rsidRPr="00503F5B" w:rsidRDefault="00AC2D2C" w:rsidP="00AC2D2C">
            <w:pPr>
              <w:rPr>
                <w:rFonts w:eastAsia="Times New Roman" w:cs="Calibri"/>
                <w:sz w:val="20"/>
                <w:szCs w:val="20"/>
                <w:lang w:eastAsia="en-AU"/>
              </w:rPr>
            </w:pPr>
            <w:r w:rsidRPr="00503F5B">
              <w:rPr>
                <w:rFonts w:eastAsia="Times New Roman" w:cs="Calibri"/>
                <w:sz w:val="20"/>
                <w:szCs w:val="20"/>
                <w:lang w:eastAsia="en-AU"/>
              </w:rPr>
              <w:t>2020-21</w:t>
            </w:r>
          </w:p>
        </w:tc>
        <w:tc>
          <w:tcPr>
            <w:tcW w:w="1416" w:type="dxa"/>
            <w:tcBorders>
              <w:top w:val="double" w:sz="4" w:space="0" w:color="ED7C5D"/>
              <w:left w:val="nil"/>
              <w:bottom w:val="nil"/>
              <w:right w:val="nil"/>
            </w:tcBorders>
            <w:shd w:val="clear" w:color="000000" w:fill="FFFFFF"/>
            <w:noWrap/>
            <w:hideMark/>
          </w:tcPr>
          <w:p w14:paraId="61F41DB6" w14:textId="77777777" w:rsidR="00AC2D2C" w:rsidRPr="00503F5B" w:rsidRDefault="00AC2D2C" w:rsidP="00AC2D2C">
            <w:pPr>
              <w:jc w:val="right"/>
              <w:rPr>
                <w:rFonts w:eastAsia="Times New Roman" w:cs="Calibri"/>
                <w:sz w:val="20"/>
                <w:szCs w:val="20"/>
                <w:lang w:eastAsia="en-AU"/>
              </w:rPr>
            </w:pPr>
            <w:r w:rsidRPr="00503F5B">
              <w:rPr>
                <w:sz w:val="20"/>
                <w:szCs w:val="20"/>
              </w:rPr>
              <w:t>19,614</w:t>
            </w:r>
          </w:p>
        </w:tc>
        <w:tc>
          <w:tcPr>
            <w:tcW w:w="1537" w:type="dxa"/>
            <w:tcBorders>
              <w:top w:val="double" w:sz="4" w:space="0" w:color="ED7C5D"/>
              <w:left w:val="nil"/>
              <w:bottom w:val="nil"/>
              <w:right w:val="nil"/>
            </w:tcBorders>
            <w:shd w:val="clear" w:color="000000" w:fill="FFFFFF"/>
            <w:noWrap/>
            <w:hideMark/>
          </w:tcPr>
          <w:p w14:paraId="6D24A894" w14:textId="77777777" w:rsidR="00AC2D2C" w:rsidRPr="00503F5B" w:rsidRDefault="00AC2D2C" w:rsidP="00AC2D2C">
            <w:pPr>
              <w:jc w:val="right"/>
              <w:rPr>
                <w:rFonts w:eastAsia="Times New Roman" w:cs="Calibri"/>
                <w:sz w:val="20"/>
                <w:szCs w:val="20"/>
                <w:lang w:eastAsia="en-AU"/>
              </w:rPr>
            </w:pPr>
            <w:r w:rsidRPr="00503F5B">
              <w:rPr>
                <w:sz w:val="20"/>
                <w:szCs w:val="20"/>
              </w:rPr>
              <w:t>3,373</w:t>
            </w:r>
          </w:p>
        </w:tc>
        <w:tc>
          <w:tcPr>
            <w:tcW w:w="1276" w:type="dxa"/>
            <w:tcBorders>
              <w:top w:val="double" w:sz="4" w:space="0" w:color="ED7C5D"/>
              <w:left w:val="nil"/>
              <w:bottom w:val="nil"/>
              <w:right w:val="nil"/>
            </w:tcBorders>
            <w:shd w:val="clear" w:color="000000" w:fill="FFFFFF"/>
            <w:noWrap/>
            <w:hideMark/>
          </w:tcPr>
          <w:p w14:paraId="32643153" w14:textId="77777777" w:rsidR="00AC2D2C" w:rsidRPr="00503F5B" w:rsidRDefault="00AC2D2C" w:rsidP="00AC2D2C">
            <w:pPr>
              <w:jc w:val="right"/>
              <w:rPr>
                <w:rFonts w:eastAsia="Times New Roman" w:cs="Calibri"/>
                <w:sz w:val="20"/>
                <w:szCs w:val="20"/>
                <w:lang w:eastAsia="en-AU"/>
              </w:rPr>
            </w:pPr>
            <w:r w:rsidRPr="00503F5B">
              <w:rPr>
                <w:sz w:val="20"/>
                <w:szCs w:val="20"/>
              </w:rPr>
              <w:t>22,987</w:t>
            </w:r>
          </w:p>
        </w:tc>
        <w:tc>
          <w:tcPr>
            <w:tcW w:w="1238" w:type="dxa"/>
            <w:tcBorders>
              <w:top w:val="double" w:sz="4" w:space="0" w:color="ED7C5D"/>
              <w:left w:val="nil"/>
              <w:bottom w:val="nil"/>
              <w:right w:val="nil"/>
            </w:tcBorders>
            <w:shd w:val="clear" w:color="auto" w:fill="auto"/>
          </w:tcPr>
          <w:p w14:paraId="48C504DC" w14:textId="21DBE50F" w:rsidR="00AC2D2C" w:rsidRPr="00503F5B" w:rsidRDefault="00AC2D2C" w:rsidP="00AC2D2C">
            <w:pPr>
              <w:jc w:val="right"/>
              <w:rPr>
                <w:b/>
                <w:bCs/>
                <w:sz w:val="20"/>
                <w:szCs w:val="20"/>
              </w:rPr>
            </w:pPr>
            <w:r w:rsidRPr="00503F5B">
              <w:rPr>
                <w:sz w:val="20"/>
                <w:szCs w:val="20"/>
              </w:rPr>
              <w:t>21,188</w:t>
            </w:r>
          </w:p>
        </w:tc>
        <w:tc>
          <w:tcPr>
            <w:tcW w:w="1597" w:type="dxa"/>
            <w:tcBorders>
              <w:top w:val="double" w:sz="4" w:space="0" w:color="ED7C5D"/>
              <w:left w:val="nil"/>
              <w:bottom w:val="nil"/>
              <w:right w:val="nil"/>
            </w:tcBorders>
            <w:shd w:val="clear" w:color="000000" w:fill="FFFFFF"/>
          </w:tcPr>
          <w:p w14:paraId="49583F3E" w14:textId="2C3FB923" w:rsidR="00AC2D2C" w:rsidRPr="00503F5B" w:rsidRDefault="00AC2D2C" w:rsidP="00AC2D2C">
            <w:pPr>
              <w:jc w:val="right"/>
              <w:rPr>
                <w:b/>
                <w:bCs/>
                <w:sz w:val="20"/>
                <w:szCs w:val="20"/>
              </w:rPr>
            </w:pPr>
            <w:r w:rsidRPr="00503F5B">
              <w:rPr>
                <w:sz w:val="20"/>
                <w:szCs w:val="20"/>
              </w:rPr>
              <w:t>1,243</w:t>
            </w:r>
          </w:p>
        </w:tc>
        <w:tc>
          <w:tcPr>
            <w:tcW w:w="1276" w:type="dxa"/>
            <w:tcBorders>
              <w:top w:val="double" w:sz="4" w:space="0" w:color="ED7C5D"/>
              <w:left w:val="nil"/>
              <w:bottom w:val="nil"/>
              <w:right w:val="nil"/>
            </w:tcBorders>
            <w:shd w:val="clear" w:color="000000" w:fill="FFFFFF"/>
            <w:vAlign w:val="bottom"/>
          </w:tcPr>
          <w:p w14:paraId="597F06C3" w14:textId="644E1B89" w:rsidR="00AC2D2C" w:rsidRPr="00503F5B" w:rsidRDefault="00AC2D2C" w:rsidP="00AC2D2C">
            <w:pPr>
              <w:jc w:val="right"/>
              <w:rPr>
                <w:b/>
                <w:bCs/>
                <w:sz w:val="20"/>
                <w:szCs w:val="20"/>
              </w:rPr>
            </w:pPr>
            <w:r w:rsidRPr="00503F5B">
              <w:rPr>
                <w:rFonts w:cs="Calibri"/>
                <w:sz w:val="20"/>
                <w:szCs w:val="20"/>
              </w:rPr>
              <w:t>22,431</w:t>
            </w:r>
          </w:p>
        </w:tc>
      </w:tr>
      <w:tr w:rsidR="00AC2D2C" w:rsidRPr="00503F5B" w14:paraId="35798170" w14:textId="77777777" w:rsidTr="009917B8">
        <w:trPr>
          <w:trHeight w:val="88"/>
          <w:jc w:val="center"/>
        </w:trPr>
        <w:tc>
          <w:tcPr>
            <w:tcW w:w="1016" w:type="dxa"/>
            <w:tcBorders>
              <w:top w:val="nil"/>
              <w:left w:val="nil"/>
              <w:bottom w:val="nil"/>
              <w:right w:val="nil"/>
            </w:tcBorders>
            <w:shd w:val="clear" w:color="000000" w:fill="FFFFFF"/>
            <w:noWrap/>
            <w:hideMark/>
          </w:tcPr>
          <w:p w14:paraId="4030AEC5" w14:textId="77777777" w:rsidR="00AC2D2C" w:rsidRPr="00503F5B" w:rsidRDefault="00AC2D2C" w:rsidP="00AC2D2C">
            <w:pPr>
              <w:rPr>
                <w:rFonts w:eastAsia="Times New Roman" w:cs="Calibri"/>
                <w:sz w:val="20"/>
                <w:szCs w:val="20"/>
                <w:lang w:eastAsia="en-AU"/>
              </w:rPr>
            </w:pPr>
            <w:r w:rsidRPr="00503F5B">
              <w:rPr>
                <w:rFonts w:eastAsia="Times New Roman" w:cs="Calibri"/>
                <w:sz w:val="20"/>
                <w:szCs w:val="20"/>
                <w:lang w:eastAsia="en-AU"/>
              </w:rPr>
              <w:t>2021-22</w:t>
            </w:r>
          </w:p>
        </w:tc>
        <w:tc>
          <w:tcPr>
            <w:tcW w:w="1416" w:type="dxa"/>
            <w:tcBorders>
              <w:top w:val="nil"/>
              <w:left w:val="nil"/>
              <w:bottom w:val="nil"/>
              <w:right w:val="nil"/>
            </w:tcBorders>
            <w:shd w:val="clear" w:color="000000" w:fill="FFFFFF"/>
            <w:noWrap/>
            <w:hideMark/>
          </w:tcPr>
          <w:p w14:paraId="26AD86DF" w14:textId="77777777" w:rsidR="00AC2D2C" w:rsidRPr="00503F5B" w:rsidRDefault="00AC2D2C" w:rsidP="00AC2D2C">
            <w:pPr>
              <w:jc w:val="right"/>
              <w:rPr>
                <w:rFonts w:eastAsia="Times New Roman" w:cs="Calibri"/>
                <w:sz w:val="20"/>
                <w:szCs w:val="20"/>
                <w:lang w:eastAsia="en-AU"/>
              </w:rPr>
            </w:pPr>
            <w:r w:rsidRPr="00503F5B">
              <w:rPr>
                <w:sz w:val="20"/>
                <w:szCs w:val="20"/>
              </w:rPr>
              <w:t>20,494</w:t>
            </w:r>
          </w:p>
        </w:tc>
        <w:tc>
          <w:tcPr>
            <w:tcW w:w="1537" w:type="dxa"/>
            <w:tcBorders>
              <w:top w:val="nil"/>
              <w:left w:val="nil"/>
              <w:bottom w:val="nil"/>
              <w:right w:val="nil"/>
            </w:tcBorders>
            <w:shd w:val="clear" w:color="000000" w:fill="FFFFFF"/>
            <w:noWrap/>
            <w:hideMark/>
          </w:tcPr>
          <w:p w14:paraId="6A1BE18A" w14:textId="77777777" w:rsidR="00AC2D2C" w:rsidRPr="00503F5B" w:rsidRDefault="00AC2D2C" w:rsidP="00AC2D2C">
            <w:pPr>
              <w:jc w:val="right"/>
              <w:rPr>
                <w:rFonts w:eastAsia="Times New Roman" w:cs="Calibri"/>
                <w:sz w:val="20"/>
                <w:szCs w:val="20"/>
                <w:lang w:eastAsia="en-AU"/>
              </w:rPr>
            </w:pPr>
            <w:r w:rsidRPr="00503F5B">
              <w:rPr>
                <w:sz w:val="20"/>
                <w:szCs w:val="20"/>
              </w:rPr>
              <w:t>2,978</w:t>
            </w:r>
          </w:p>
        </w:tc>
        <w:tc>
          <w:tcPr>
            <w:tcW w:w="1276" w:type="dxa"/>
            <w:tcBorders>
              <w:top w:val="nil"/>
              <w:left w:val="nil"/>
              <w:bottom w:val="nil"/>
              <w:right w:val="nil"/>
            </w:tcBorders>
            <w:shd w:val="clear" w:color="000000" w:fill="FFFFFF"/>
            <w:noWrap/>
            <w:hideMark/>
          </w:tcPr>
          <w:p w14:paraId="4AA864BE" w14:textId="77777777" w:rsidR="00AC2D2C" w:rsidRPr="00503F5B" w:rsidRDefault="00AC2D2C" w:rsidP="00AC2D2C">
            <w:pPr>
              <w:jc w:val="right"/>
              <w:rPr>
                <w:rFonts w:eastAsia="Times New Roman" w:cs="Calibri"/>
                <w:sz w:val="20"/>
                <w:szCs w:val="20"/>
                <w:lang w:eastAsia="en-AU"/>
              </w:rPr>
            </w:pPr>
            <w:r w:rsidRPr="00503F5B">
              <w:rPr>
                <w:sz w:val="20"/>
                <w:szCs w:val="20"/>
              </w:rPr>
              <w:t>23,472</w:t>
            </w:r>
          </w:p>
        </w:tc>
        <w:tc>
          <w:tcPr>
            <w:tcW w:w="1238" w:type="dxa"/>
            <w:tcBorders>
              <w:top w:val="nil"/>
              <w:left w:val="nil"/>
              <w:bottom w:val="nil"/>
              <w:right w:val="nil"/>
            </w:tcBorders>
            <w:shd w:val="clear" w:color="auto" w:fill="auto"/>
          </w:tcPr>
          <w:p w14:paraId="392D9F4C" w14:textId="0BEF3131" w:rsidR="00AC2D2C" w:rsidRPr="00503F5B" w:rsidRDefault="00AC2D2C" w:rsidP="00AC2D2C">
            <w:pPr>
              <w:jc w:val="right"/>
              <w:rPr>
                <w:b/>
                <w:bCs/>
                <w:sz w:val="20"/>
                <w:szCs w:val="20"/>
              </w:rPr>
            </w:pPr>
            <w:r w:rsidRPr="00503F5B">
              <w:rPr>
                <w:sz w:val="20"/>
                <w:szCs w:val="20"/>
              </w:rPr>
              <w:t>21,636</w:t>
            </w:r>
          </w:p>
        </w:tc>
        <w:tc>
          <w:tcPr>
            <w:tcW w:w="1597" w:type="dxa"/>
            <w:tcBorders>
              <w:top w:val="nil"/>
              <w:left w:val="nil"/>
              <w:bottom w:val="nil"/>
              <w:right w:val="nil"/>
            </w:tcBorders>
            <w:shd w:val="clear" w:color="000000" w:fill="FFFFFF"/>
          </w:tcPr>
          <w:p w14:paraId="2644EB05" w14:textId="23AE3594" w:rsidR="00AC2D2C" w:rsidRPr="00503F5B" w:rsidRDefault="00AC2D2C" w:rsidP="00AC2D2C">
            <w:pPr>
              <w:jc w:val="right"/>
              <w:rPr>
                <w:b/>
                <w:bCs/>
                <w:sz w:val="20"/>
                <w:szCs w:val="20"/>
              </w:rPr>
            </w:pPr>
            <w:r w:rsidRPr="00503F5B">
              <w:rPr>
                <w:sz w:val="20"/>
                <w:szCs w:val="20"/>
              </w:rPr>
              <w:t>1,269</w:t>
            </w:r>
          </w:p>
        </w:tc>
        <w:tc>
          <w:tcPr>
            <w:tcW w:w="1276" w:type="dxa"/>
            <w:tcBorders>
              <w:top w:val="nil"/>
              <w:left w:val="nil"/>
              <w:bottom w:val="nil"/>
              <w:right w:val="nil"/>
            </w:tcBorders>
            <w:shd w:val="clear" w:color="000000" w:fill="FFFFFF"/>
            <w:vAlign w:val="bottom"/>
          </w:tcPr>
          <w:p w14:paraId="3CF8F270" w14:textId="238338ED" w:rsidR="00AC2D2C" w:rsidRPr="00503F5B" w:rsidRDefault="00AC2D2C" w:rsidP="00AC2D2C">
            <w:pPr>
              <w:jc w:val="right"/>
              <w:rPr>
                <w:b/>
                <w:bCs/>
                <w:sz w:val="20"/>
                <w:szCs w:val="20"/>
              </w:rPr>
            </w:pPr>
            <w:r w:rsidRPr="00503F5B">
              <w:rPr>
                <w:rFonts w:cs="Calibri"/>
                <w:sz w:val="20"/>
                <w:szCs w:val="20"/>
              </w:rPr>
              <w:t>22,905</w:t>
            </w:r>
          </w:p>
        </w:tc>
      </w:tr>
      <w:tr w:rsidR="00AC2D2C" w:rsidRPr="00503F5B" w14:paraId="3C483340" w14:textId="77777777" w:rsidTr="009917B8">
        <w:trPr>
          <w:trHeight w:val="50"/>
          <w:jc w:val="center"/>
        </w:trPr>
        <w:tc>
          <w:tcPr>
            <w:tcW w:w="1016" w:type="dxa"/>
            <w:tcBorders>
              <w:top w:val="nil"/>
              <w:left w:val="nil"/>
              <w:bottom w:val="nil"/>
              <w:right w:val="nil"/>
            </w:tcBorders>
            <w:shd w:val="clear" w:color="000000" w:fill="FFFFFF"/>
            <w:noWrap/>
            <w:hideMark/>
          </w:tcPr>
          <w:p w14:paraId="11677BDC" w14:textId="77777777" w:rsidR="00AC2D2C" w:rsidRPr="00503F5B" w:rsidRDefault="00AC2D2C" w:rsidP="00AC2D2C">
            <w:pPr>
              <w:rPr>
                <w:rFonts w:eastAsia="Times New Roman" w:cs="Calibri"/>
                <w:sz w:val="20"/>
                <w:szCs w:val="20"/>
                <w:lang w:eastAsia="en-AU"/>
              </w:rPr>
            </w:pPr>
            <w:r w:rsidRPr="00503F5B">
              <w:rPr>
                <w:rFonts w:eastAsia="Times New Roman" w:cs="Calibri"/>
                <w:sz w:val="20"/>
                <w:szCs w:val="20"/>
                <w:lang w:eastAsia="en-AU"/>
              </w:rPr>
              <w:t>2022-23</w:t>
            </w:r>
          </w:p>
        </w:tc>
        <w:tc>
          <w:tcPr>
            <w:tcW w:w="1416" w:type="dxa"/>
            <w:tcBorders>
              <w:top w:val="nil"/>
              <w:left w:val="nil"/>
              <w:bottom w:val="nil"/>
              <w:right w:val="nil"/>
            </w:tcBorders>
            <w:shd w:val="clear" w:color="000000" w:fill="FFFFFF"/>
            <w:noWrap/>
            <w:hideMark/>
          </w:tcPr>
          <w:p w14:paraId="4A07560D" w14:textId="77777777" w:rsidR="00AC2D2C" w:rsidRPr="00503F5B" w:rsidRDefault="00AC2D2C" w:rsidP="00AC2D2C">
            <w:pPr>
              <w:jc w:val="right"/>
              <w:rPr>
                <w:rFonts w:eastAsia="Times New Roman" w:cs="Calibri"/>
                <w:sz w:val="20"/>
                <w:szCs w:val="20"/>
                <w:lang w:eastAsia="en-AU"/>
              </w:rPr>
            </w:pPr>
            <w:r w:rsidRPr="00503F5B">
              <w:rPr>
                <w:sz w:val="20"/>
                <w:szCs w:val="20"/>
              </w:rPr>
              <w:t>21,414</w:t>
            </w:r>
          </w:p>
        </w:tc>
        <w:tc>
          <w:tcPr>
            <w:tcW w:w="1537" w:type="dxa"/>
            <w:tcBorders>
              <w:top w:val="nil"/>
              <w:left w:val="nil"/>
              <w:bottom w:val="nil"/>
              <w:right w:val="nil"/>
            </w:tcBorders>
            <w:shd w:val="clear" w:color="000000" w:fill="FFFFFF"/>
            <w:noWrap/>
            <w:hideMark/>
          </w:tcPr>
          <w:p w14:paraId="167D143B" w14:textId="77777777" w:rsidR="00AC2D2C" w:rsidRPr="00503F5B" w:rsidRDefault="00AC2D2C" w:rsidP="00AC2D2C">
            <w:pPr>
              <w:jc w:val="right"/>
              <w:rPr>
                <w:rFonts w:eastAsia="Times New Roman" w:cs="Calibri"/>
                <w:sz w:val="20"/>
                <w:szCs w:val="20"/>
                <w:lang w:eastAsia="en-AU"/>
              </w:rPr>
            </w:pPr>
            <w:r w:rsidRPr="00503F5B">
              <w:rPr>
                <w:sz w:val="20"/>
                <w:szCs w:val="20"/>
              </w:rPr>
              <w:t>2,630</w:t>
            </w:r>
          </w:p>
        </w:tc>
        <w:tc>
          <w:tcPr>
            <w:tcW w:w="1276" w:type="dxa"/>
            <w:tcBorders>
              <w:top w:val="nil"/>
              <w:left w:val="nil"/>
              <w:bottom w:val="nil"/>
              <w:right w:val="nil"/>
            </w:tcBorders>
            <w:shd w:val="clear" w:color="000000" w:fill="FFFFFF"/>
            <w:noWrap/>
            <w:hideMark/>
          </w:tcPr>
          <w:p w14:paraId="577DD74D" w14:textId="77777777" w:rsidR="00AC2D2C" w:rsidRPr="00503F5B" w:rsidRDefault="00AC2D2C" w:rsidP="00AC2D2C">
            <w:pPr>
              <w:jc w:val="right"/>
              <w:rPr>
                <w:rFonts w:eastAsia="Times New Roman" w:cs="Calibri"/>
                <w:sz w:val="20"/>
                <w:szCs w:val="20"/>
                <w:lang w:eastAsia="en-AU"/>
              </w:rPr>
            </w:pPr>
            <w:r w:rsidRPr="00503F5B">
              <w:rPr>
                <w:sz w:val="20"/>
                <w:szCs w:val="20"/>
              </w:rPr>
              <w:t>24,044</w:t>
            </w:r>
          </w:p>
        </w:tc>
        <w:tc>
          <w:tcPr>
            <w:tcW w:w="1238" w:type="dxa"/>
            <w:tcBorders>
              <w:top w:val="nil"/>
              <w:left w:val="nil"/>
              <w:bottom w:val="nil"/>
              <w:right w:val="nil"/>
            </w:tcBorders>
            <w:shd w:val="clear" w:color="auto" w:fill="auto"/>
          </w:tcPr>
          <w:p w14:paraId="11B983D6" w14:textId="723ED5E0" w:rsidR="00AC2D2C" w:rsidRPr="00503F5B" w:rsidRDefault="00AC2D2C" w:rsidP="00AC2D2C">
            <w:pPr>
              <w:jc w:val="right"/>
              <w:rPr>
                <w:b/>
                <w:bCs/>
                <w:sz w:val="20"/>
                <w:szCs w:val="20"/>
              </w:rPr>
            </w:pPr>
            <w:r w:rsidRPr="00503F5B">
              <w:rPr>
                <w:sz w:val="20"/>
                <w:szCs w:val="20"/>
              </w:rPr>
              <w:t>22,162</w:t>
            </w:r>
          </w:p>
        </w:tc>
        <w:tc>
          <w:tcPr>
            <w:tcW w:w="1597" w:type="dxa"/>
            <w:tcBorders>
              <w:top w:val="nil"/>
              <w:left w:val="nil"/>
              <w:bottom w:val="nil"/>
              <w:right w:val="nil"/>
            </w:tcBorders>
            <w:shd w:val="clear" w:color="000000" w:fill="FFFFFF"/>
          </w:tcPr>
          <w:p w14:paraId="15035A93" w14:textId="6D4A3BA4" w:rsidR="00AC2D2C" w:rsidRPr="00503F5B" w:rsidRDefault="00AC2D2C" w:rsidP="00AC2D2C">
            <w:pPr>
              <w:jc w:val="right"/>
              <w:rPr>
                <w:b/>
                <w:bCs/>
                <w:sz w:val="20"/>
                <w:szCs w:val="20"/>
              </w:rPr>
            </w:pPr>
            <w:r w:rsidRPr="00503F5B">
              <w:rPr>
                <w:sz w:val="20"/>
                <w:szCs w:val="20"/>
              </w:rPr>
              <w:t>1,300</w:t>
            </w:r>
          </w:p>
        </w:tc>
        <w:tc>
          <w:tcPr>
            <w:tcW w:w="1276" w:type="dxa"/>
            <w:tcBorders>
              <w:top w:val="nil"/>
              <w:left w:val="nil"/>
              <w:bottom w:val="nil"/>
              <w:right w:val="nil"/>
            </w:tcBorders>
            <w:shd w:val="clear" w:color="000000" w:fill="FFFFFF"/>
            <w:vAlign w:val="bottom"/>
          </w:tcPr>
          <w:p w14:paraId="3CB664DC" w14:textId="7C2BB3FC" w:rsidR="00AC2D2C" w:rsidRPr="00503F5B" w:rsidRDefault="00AC2D2C" w:rsidP="00AC2D2C">
            <w:pPr>
              <w:jc w:val="right"/>
              <w:rPr>
                <w:b/>
                <w:bCs/>
                <w:sz w:val="20"/>
                <w:szCs w:val="20"/>
              </w:rPr>
            </w:pPr>
            <w:r w:rsidRPr="00503F5B">
              <w:rPr>
                <w:rFonts w:cs="Calibri"/>
                <w:sz w:val="20"/>
                <w:szCs w:val="20"/>
              </w:rPr>
              <w:t>23,462</w:t>
            </w:r>
          </w:p>
        </w:tc>
      </w:tr>
      <w:tr w:rsidR="00AC2D2C" w:rsidRPr="00503F5B" w14:paraId="19AFEFE0" w14:textId="77777777" w:rsidTr="009917B8">
        <w:trPr>
          <w:trHeight w:val="50"/>
          <w:jc w:val="center"/>
        </w:trPr>
        <w:tc>
          <w:tcPr>
            <w:tcW w:w="1016" w:type="dxa"/>
            <w:tcBorders>
              <w:top w:val="nil"/>
              <w:left w:val="nil"/>
              <w:bottom w:val="nil"/>
              <w:right w:val="nil"/>
            </w:tcBorders>
            <w:shd w:val="clear" w:color="000000" w:fill="FFFFFF"/>
            <w:noWrap/>
            <w:hideMark/>
          </w:tcPr>
          <w:p w14:paraId="38E2E43C" w14:textId="77777777" w:rsidR="00AC2D2C" w:rsidRPr="00503F5B" w:rsidRDefault="00AC2D2C" w:rsidP="00AC2D2C">
            <w:pPr>
              <w:rPr>
                <w:rFonts w:eastAsia="Times New Roman" w:cs="Calibri"/>
                <w:sz w:val="20"/>
                <w:szCs w:val="20"/>
                <w:lang w:eastAsia="en-AU"/>
              </w:rPr>
            </w:pPr>
            <w:r w:rsidRPr="00503F5B">
              <w:rPr>
                <w:rFonts w:eastAsia="Times New Roman" w:cs="Calibri"/>
                <w:sz w:val="20"/>
                <w:szCs w:val="20"/>
                <w:lang w:eastAsia="en-AU"/>
              </w:rPr>
              <w:t>2023-24</w:t>
            </w:r>
          </w:p>
        </w:tc>
        <w:tc>
          <w:tcPr>
            <w:tcW w:w="1416" w:type="dxa"/>
            <w:tcBorders>
              <w:top w:val="nil"/>
              <w:left w:val="nil"/>
              <w:bottom w:val="nil"/>
              <w:right w:val="nil"/>
            </w:tcBorders>
            <w:shd w:val="clear" w:color="000000" w:fill="FFFFFF"/>
            <w:noWrap/>
            <w:hideMark/>
          </w:tcPr>
          <w:p w14:paraId="735A9E4C" w14:textId="77777777" w:rsidR="00AC2D2C" w:rsidRPr="00503F5B" w:rsidRDefault="00AC2D2C" w:rsidP="00AC2D2C">
            <w:pPr>
              <w:jc w:val="right"/>
              <w:rPr>
                <w:rFonts w:eastAsia="Times New Roman" w:cs="Calibri"/>
                <w:sz w:val="20"/>
                <w:szCs w:val="20"/>
                <w:lang w:eastAsia="en-AU"/>
              </w:rPr>
            </w:pPr>
            <w:r w:rsidRPr="00503F5B">
              <w:rPr>
                <w:sz w:val="20"/>
                <w:szCs w:val="20"/>
              </w:rPr>
              <w:t>22,375</w:t>
            </w:r>
          </w:p>
        </w:tc>
        <w:tc>
          <w:tcPr>
            <w:tcW w:w="1537" w:type="dxa"/>
            <w:tcBorders>
              <w:top w:val="nil"/>
              <w:left w:val="nil"/>
              <w:bottom w:val="nil"/>
              <w:right w:val="nil"/>
            </w:tcBorders>
            <w:shd w:val="clear" w:color="000000" w:fill="FFFFFF"/>
            <w:noWrap/>
            <w:hideMark/>
          </w:tcPr>
          <w:p w14:paraId="7677B4E7" w14:textId="77777777" w:rsidR="00AC2D2C" w:rsidRPr="00503F5B" w:rsidRDefault="00AC2D2C" w:rsidP="00AC2D2C">
            <w:pPr>
              <w:jc w:val="right"/>
              <w:rPr>
                <w:rFonts w:eastAsia="Times New Roman" w:cs="Calibri"/>
                <w:sz w:val="20"/>
                <w:szCs w:val="20"/>
                <w:lang w:eastAsia="en-AU"/>
              </w:rPr>
            </w:pPr>
            <w:r w:rsidRPr="00503F5B">
              <w:rPr>
                <w:sz w:val="20"/>
                <w:szCs w:val="20"/>
              </w:rPr>
              <w:t>2,322</w:t>
            </w:r>
          </w:p>
        </w:tc>
        <w:tc>
          <w:tcPr>
            <w:tcW w:w="1276" w:type="dxa"/>
            <w:tcBorders>
              <w:top w:val="nil"/>
              <w:left w:val="nil"/>
              <w:bottom w:val="nil"/>
              <w:right w:val="nil"/>
            </w:tcBorders>
            <w:shd w:val="clear" w:color="000000" w:fill="FFFFFF"/>
            <w:noWrap/>
            <w:hideMark/>
          </w:tcPr>
          <w:p w14:paraId="69640650" w14:textId="77777777" w:rsidR="00AC2D2C" w:rsidRPr="00503F5B" w:rsidRDefault="00AC2D2C" w:rsidP="00AC2D2C">
            <w:pPr>
              <w:jc w:val="right"/>
              <w:rPr>
                <w:rFonts w:eastAsia="Times New Roman" w:cs="Calibri"/>
                <w:sz w:val="20"/>
                <w:szCs w:val="20"/>
                <w:lang w:eastAsia="en-AU"/>
              </w:rPr>
            </w:pPr>
            <w:r w:rsidRPr="00503F5B">
              <w:rPr>
                <w:sz w:val="20"/>
                <w:szCs w:val="20"/>
              </w:rPr>
              <w:t>24,697</w:t>
            </w:r>
          </w:p>
        </w:tc>
        <w:tc>
          <w:tcPr>
            <w:tcW w:w="1238" w:type="dxa"/>
            <w:tcBorders>
              <w:top w:val="nil"/>
              <w:left w:val="nil"/>
              <w:bottom w:val="nil"/>
              <w:right w:val="nil"/>
            </w:tcBorders>
            <w:shd w:val="clear" w:color="auto" w:fill="auto"/>
          </w:tcPr>
          <w:p w14:paraId="3D5329C4" w14:textId="6F9FF19A" w:rsidR="00AC2D2C" w:rsidRPr="00503F5B" w:rsidRDefault="00AC2D2C" w:rsidP="00AC2D2C">
            <w:pPr>
              <w:jc w:val="right"/>
              <w:rPr>
                <w:b/>
                <w:bCs/>
                <w:sz w:val="20"/>
                <w:szCs w:val="20"/>
              </w:rPr>
            </w:pPr>
            <w:r w:rsidRPr="00503F5B">
              <w:rPr>
                <w:sz w:val="20"/>
                <w:szCs w:val="20"/>
              </w:rPr>
              <w:t>22,764</w:t>
            </w:r>
          </w:p>
        </w:tc>
        <w:tc>
          <w:tcPr>
            <w:tcW w:w="1597" w:type="dxa"/>
            <w:tcBorders>
              <w:top w:val="nil"/>
              <w:left w:val="nil"/>
              <w:bottom w:val="nil"/>
              <w:right w:val="nil"/>
            </w:tcBorders>
            <w:shd w:val="clear" w:color="000000" w:fill="FFFFFF"/>
          </w:tcPr>
          <w:p w14:paraId="3A7623F6" w14:textId="53DEEA5A" w:rsidR="00AC2D2C" w:rsidRPr="00503F5B" w:rsidRDefault="00AC2D2C" w:rsidP="00AC2D2C">
            <w:pPr>
              <w:jc w:val="right"/>
              <w:rPr>
                <w:b/>
                <w:bCs/>
                <w:sz w:val="20"/>
                <w:szCs w:val="20"/>
              </w:rPr>
            </w:pPr>
            <w:r w:rsidRPr="00503F5B">
              <w:rPr>
                <w:sz w:val="20"/>
                <w:szCs w:val="20"/>
              </w:rPr>
              <w:t>1,335</w:t>
            </w:r>
          </w:p>
        </w:tc>
        <w:tc>
          <w:tcPr>
            <w:tcW w:w="1276" w:type="dxa"/>
            <w:tcBorders>
              <w:top w:val="nil"/>
              <w:left w:val="nil"/>
              <w:bottom w:val="nil"/>
              <w:right w:val="nil"/>
            </w:tcBorders>
            <w:shd w:val="clear" w:color="000000" w:fill="FFFFFF"/>
            <w:vAlign w:val="bottom"/>
          </w:tcPr>
          <w:p w14:paraId="614E7373" w14:textId="33A4CD39" w:rsidR="00AC2D2C" w:rsidRPr="00503F5B" w:rsidRDefault="00AC2D2C" w:rsidP="00AC2D2C">
            <w:pPr>
              <w:jc w:val="right"/>
              <w:rPr>
                <w:b/>
                <w:bCs/>
                <w:sz w:val="20"/>
                <w:szCs w:val="20"/>
              </w:rPr>
            </w:pPr>
            <w:r w:rsidRPr="00503F5B">
              <w:rPr>
                <w:rFonts w:cs="Calibri"/>
                <w:sz w:val="20"/>
                <w:szCs w:val="20"/>
              </w:rPr>
              <w:t>24,100</w:t>
            </w:r>
          </w:p>
        </w:tc>
      </w:tr>
      <w:tr w:rsidR="00AC2D2C" w:rsidRPr="00503F5B" w14:paraId="41FA85D5" w14:textId="77777777" w:rsidTr="009917B8">
        <w:trPr>
          <w:trHeight w:val="50"/>
          <w:jc w:val="center"/>
        </w:trPr>
        <w:tc>
          <w:tcPr>
            <w:tcW w:w="1016" w:type="dxa"/>
            <w:tcBorders>
              <w:top w:val="nil"/>
              <w:left w:val="nil"/>
              <w:bottom w:val="nil"/>
              <w:right w:val="nil"/>
            </w:tcBorders>
            <w:shd w:val="clear" w:color="000000" w:fill="FFFFFF"/>
            <w:noWrap/>
            <w:hideMark/>
          </w:tcPr>
          <w:p w14:paraId="0D9229D6" w14:textId="77777777" w:rsidR="00AC2D2C" w:rsidRPr="00503F5B" w:rsidRDefault="00AC2D2C" w:rsidP="00AC2D2C">
            <w:pPr>
              <w:rPr>
                <w:rFonts w:eastAsia="Times New Roman" w:cs="Calibri"/>
                <w:sz w:val="20"/>
                <w:szCs w:val="20"/>
                <w:lang w:eastAsia="en-AU"/>
              </w:rPr>
            </w:pPr>
            <w:r w:rsidRPr="00503F5B">
              <w:rPr>
                <w:rFonts w:eastAsia="Times New Roman" w:cs="Calibri"/>
                <w:sz w:val="20"/>
                <w:szCs w:val="20"/>
                <w:lang w:eastAsia="en-AU"/>
              </w:rPr>
              <w:t>2024-25</w:t>
            </w:r>
          </w:p>
        </w:tc>
        <w:tc>
          <w:tcPr>
            <w:tcW w:w="1416" w:type="dxa"/>
            <w:tcBorders>
              <w:top w:val="nil"/>
              <w:left w:val="nil"/>
              <w:bottom w:val="nil"/>
              <w:right w:val="nil"/>
            </w:tcBorders>
            <w:shd w:val="clear" w:color="000000" w:fill="FFFFFF"/>
            <w:noWrap/>
            <w:hideMark/>
          </w:tcPr>
          <w:p w14:paraId="3B5BB8D4" w14:textId="77777777" w:rsidR="00AC2D2C" w:rsidRPr="00503F5B" w:rsidRDefault="00AC2D2C" w:rsidP="00AC2D2C">
            <w:pPr>
              <w:jc w:val="right"/>
              <w:rPr>
                <w:rFonts w:eastAsia="Times New Roman" w:cs="Calibri"/>
                <w:sz w:val="20"/>
                <w:szCs w:val="20"/>
                <w:lang w:eastAsia="en-AU"/>
              </w:rPr>
            </w:pPr>
            <w:r w:rsidRPr="00503F5B">
              <w:rPr>
                <w:sz w:val="20"/>
                <w:szCs w:val="20"/>
              </w:rPr>
              <w:t>23,379</w:t>
            </w:r>
          </w:p>
        </w:tc>
        <w:tc>
          <w:tcPr>
            <w:tcW w:w="1537" w:type="dxa"/>
            <w:tcBorders>
              <w:top w:val="nil"/>
              <w:left w:val="nil"/>
              <w:bottom w:val="nil"/>
              <w:right w:val="nil"/>
            </w:tcBorders>
            <w:shd w:val="clear" w:color="000000" w:fill="FFFFFF"/>
            <w:noWrap/>
            <w:hideMark/>
          </w:tcPr>
          <w:p w14:paraId="48CE7ECC" w14:textId="77777777" w:rsidR="00AC2D2C" w:rsidRPr="00503F5B" w:rsidRDefault="00AC2D2C" w:rsidP="00AC2D2C">
            <w:pPr>
              <w:jc w:val="right"/>
              <w:rPr>
                <w:rFonts w:eastAsia="Times New Roman" w:cs="Calibri"/>
                <w:sz w:val="20"/>
                <w:szCs w:val="20"/>
                <w:lang w:eastAsia="en-AU"/>
              </w:rPr>
            </w:pPr>
            <w:r w:rsidRPr="00503F5B">
              <w:rPr>
                <w:sz w:val="20"/>
                <w:szCs w:val="20"/>
              </w:rPr>
              <w:t>2,050</w:t>
            </w:r>
          </w:p>
        </w:tc>
        <w:tc>
          <w:tcPr>
            <w:tcW w:w="1276" w:type="dxa"/>
            <w:tcBorders>
              <w:top w:val="nil"/>
              <w:left w:val="nil"/>
              <w:bottom w:val="nil"/>
              <w:right w:val="nil"/>
            </w:tcBorders>
            <w:shd w:val="clear" w:color="000000" w:fill="FFFFFF"/>
            <w:noWrap/>
            <w:hideMark/>
          </w:tcPr>
          <w:p w14:paraId="34E33386" w14:textId="77777777" w:rsidR="00AC2D2C" w:rsidRPr="00503F5B" w:rsidRDefault="00AC2D2C" w:rsidP="00AC2D2C">
            <w:pPr>
              <w:jc w:val="right"/>
              <w:rPr>
                <w:rFonts w:eastAsia="Times New Roman" w:cs="Calibri"/>
                <w:sz w:val="20"/>
                <w:szCs w:val="20"/>
                <w:lang w:eastAsia="en-AU"/>
              </w:rPr>
            </w:pPr>
            <w:r w:rsidRPr="00503F5B">
              <w:rPr>
                <w:sz w:val="20"/>
                <w:szCs w:val="20"/>
              </w:rPr>
              <w:t>25,430</w:t>
            </w:r>
          </w:p>
        </w:tc>
        <w:tc>
          <w:tcPr>
            <w:tcW w:w="1238" w:type="dxa"/>
            <w:tcBorders>
              <w:top w:val="nil"/>
              <w:left w:val="nil"/>
              <w:bottom w:val="nil"/>
              <w:right w:val="nil"/>
            </w:tcBorders>
            <w:shd w:val="clear" w:color="auto" w:fill="auto"/>
          </w:tcPr>
          <w:p w14:paraId="0B3C663D" w14:textId="66048B44" w:rsidR="00AC2D2C" w:rsidRPr="00503F5B" w:rsidRDefault="00AC2D2C" w:rsidP="00AC2D2C">
            <w:pPr>
              <w:jc w:val="right"/>
              <w:rPr>
                <w:b/>
                <w:bCs/>
                <w:sz w:val="20"/>
                <w:szCs w:val="20"/>
              </w:rPr>
            </w:pPr>
            <w:r w:rsidRPr="00503F5B">
              <w:rPr>
                <w:sz w:val="20"/>
                <w:szCs w:val="20"/>
              </w:rPr>
              <w:t>23,440</w:t>
            </w:r>
          </w:p>
        </w:tc>
        <w:tc>
          <w:tcPr>
            <w:tcW w:w="1597" w:type="dxa"/>
            <w:tcBorders>
              <w:top w:val="nil"/>
              <w:left w:val="nil"/>
              <w:bottom w:val="nil"/>
              <w:right w:val="nil"/>
            </w:tcBorders>
            <w:shd w:val="clear" w:color="000000" w:fill="FFFFFF"/>
          </w:tcPr>
          <w:p w14:paraId="272ADB5F" w14:textId="29D16E91" w:rsidR="00AC2D2C" w:rsidRPr="00503F5B" w:rsidRDefault="00AC2D2C" w:rsidP="00AC2D2C">
            <w:pPr>
              <w:jc w:val="right"/>
              <w:rPr>
                <w:b/>
                <w:bCs/>
                <w:sz w:val="20"/>
                <w:szCs w:val="20"/>
              </w:rPr>
            </w:pPr>
            <w:r w:rsidRPr="00503F5B">
              <w:rPr>
                <w:sz w:val="20"/>
                <w:szCs w:val="20"/>
              </w:rPr>
              <w:t>1,375</w:t>
            </w:r>
          </w:p>
        </w:tc>
        <w:tc>
          <w:tcPr>
            <w:tcW w:w="1276" w:type="dxa"/>
            <w:tcBorders>
              <w:top w:val="nil"/>
              <w:left w:val="nil"/>
              <w:bottom w:val="nil"/>
              <w:right w:val="nil"/>
            </w:tcBorders>
            <w:shd w:val="clear" w:color="000000" w:fill="FFFFFF"/>
            <w:vAlign w:val="bottom"/>
          </w:tcPr>
          <w:p w14:paraId="322EA19B" w14:textId="5461D527" w:rsidR="00AC2D2C" w:rsidRPr="00503F5B" w:rsidRDefault="00AC2D2C" w:rsidP="00AC2D2C">
            <w:pPr>
              <w:jc w:val="right"/>
              <w:rPr>
                <w:b/>
                <w:bCs/>
                <w:sz w:val="20"/>
                <w:szCs w:val="20"/>
              </w:rPr>
            </w:pPr>
            <w:r w:rsidRPr="00503F5B">
              <w:rPr>
                <w:rFonts w:cs="Calibri"/>
                <w:sz w:val="20"/>
                <w:szCs w:val="20"/>
              </w:rPr>
              <w:t>24,815</w:t>
            </w:r>
          </w:p>
        </w:tc>
      </w:tr>
      <w:tr w:rsidR="00AC2D2C" w:rsidRPr="00503F5B" w14:paraId="088291DB" w14:textId="77777777" w:rsidTr="009917B8">
        <w:trPr>
          <w:trHeight w:val="50"/>
          <w:jc w:val="center"/>
        </w:trPr>
        <w:tc>
          <w:tcPr>
            <w:tcW w:w="1016" w:type="dxa"/>
            <w:tcBorders>
              <w:top w:val="nil"/>
              <w:left w:val="nil"/>
              <w:bottom w:val="nil"/>
              <w:right w:val="nil"/>
            </w:tcBorders>
            <w:shd w:val="clear" w:color="000000" w:fill="FFFFFF"/>
            <w:noWrap/>
            <w:hideMark/>
          </w:tcPr>
          <w:p w14:paraId="42ED2401" w14:textId="77777777" w:rsidR="00AC2D2C" w:rsidRPr="00503F5B" w:rsidRDefault="00AC2D2C" w:rsidP="00AC2D2C">
            <w:pPr>
              <w:rPr>
                <w:rFonts w:eastAsia="Times New Roman" w:cs="Calibri"/>
                <w:sz w:val="20"/>
                <w:szCs w:val="20"/>
                <w:lang w:eastAsia="en-AU"/>
              </w:rPr>
            </w:pPr>
            <w:r w:rsidRPr="00503F5B">
              <w:rPr>
                <w:rFonts w:eastAsia="Times New Roman" w:cs="Calibri"/>
                <w:sz w:val="20"/>
                <w:szCs w:val="20"/>
                <w:lang w:eastAsia="en-AU"/>
              </w:rPr>
              <w:t>2025-26</w:t>
            </w:r>
          </w:p>
        </w:tc>
        <w:tc>
          <w:tcPr>
            <w:tcW w:w="1416" w:type="dxa"/>
            <w:tcBorders>
              <w:top w:val="nil"/>
              <w:left w:val="nil"/>
              <w:bottom w:val="nil"/>
              <w:right w:val="nil"/>
            </w:tcBorders>
            <w:shd w:val="clear" w:color="000000" w:fill="FFFFFF"/>
            <w:noWrap/>
            <w:hideMark/>
          </w:tcPr>
          <w:p w14:paraId="1E8B1C39" w14:textId="77777777" w:rsidR="00AC2D2C" w:rsidRPr="00503F5B" w:rsidRDefault="00AC2D2C" w:rsidP="00AC2D2C">
            <w:pPr>
              <w:jc w:val="right"/>
              <w:rPr>
                <w:rFonts w:eastAsia="Times New Roman" w:cs="Calibri"/>
                <w:sz w:val="20"/>
                <w:szCs w:val="20"/>
                <w:lang w:eastAsia="en-AU"/>
              </w:rPr>
            </w:pPr>
            <w:r w:rsidRPr="00503F5B">
              <w:rPr>
                <w:sz w:val="20"/>
                <w:szCs w:val="20"/>
              </w:rPr>
              <w:t>24,429</w:t>
            </w:r>
          </w:p>
        </w:tc>
        <w:tc>
          <w:tcPr>
            <w:tcW w:w="1537" w:type="dxa"/>
            <w:tcBorders>
              <w:top w:val="nil"/>
              <w:left w:val="nil"/>
              <w:bottom w:val="nil"/>
              <w:right w:val="nil"/>
            </w:tcBorders>
            <w:shd w:val="clear" w:color="000000" w:fill="FFFFFF"/>
            <w:noWrap/>
            <w:hideMark/>
          </w:tcPr>
          <w:p w14:paraId="59C672B9" w14:textId="77777777" w:rsidR="00AC2D2C" w:rsidRPr="00503F5B" w:rsidRDefault="00AC2D2C" w:rsidP="00AC2D2C">
            <w:pPr>
              <w:jc w:val="right"/>
              <w:rPr>
                <w:rFonts w:eastAsia="Times New Roman" w:cs="Calibri"/>
                <w:sz w:val="20"/>
                <w:szCs w:val="20"/>
                <w:lang w:eastAsia="en-AU"/>
              </w:rPr>
            </w:pPr>
            <w:r w:rsidRPr="00503F5B">
              <w:rPr>
                <w:sz w:val="20"/>
                <w:szCs w:val="20"/>
              </w:rPr>
              <w:t>1,810</w:t>
            </w:r>
          </w:p>
        </w:tc>
        <w:tc>
          <w:tcPr>
            <w:tcW w:w="1276" w:type="dxa"/>
            <w:tcBorders>
              <w:top w:val="nil"/>
              <w:left w:val="nil"/>
              <w:bottom w:val="nil"/>
              <w:right w:val="nil"/>
            </w:tcBorders>
            <w:shd w:val="clear" w:color="000000" w:fill="FFFFFF"/>
            <w:noWrap/>
            <w:hideMark/>
          </w:tcPr>
          <w:p w14:paraId="2D2C1001" w14:textId="77777777" w:rsidR="00AC2D2C" w:rsidRPr="00503F5B" w:rsidRDefault="00AC2D2C" w:rsidP="00AC2D2C">
            <w:pPr>
              <w:jc w:val="right"/>
              <w:rPr>
                <w:rFonts w:eastAsia="Times New Roman" w:cs="Calibri"/>
                <w:sz w:val="20"/>
                <w:szCs w:val="20"/>
                <w:lang w:eastAsia="en-AU"/>
              </w:rPr>
            </w:pPr>
            <w:r w:rsidRPr="00503F5B">
              <w:rPr>
                <w:sz w:val="20"/>
                <w:szCs w:val="20"/>
              </w:rPr>
              <w:t>26,239</w:t>
            </w:r>
          </w:p>
        </w:tc>
        <w:tc>
          <w:tcPr>
            <w:tcW w:w="1238" w:type="dxa"/>
            <w:tcBorders>
              <w:top w:val="nil"/>
              <w:left w:val="nil"/>
              <w:bottom w:val="nil"/>
              <w:right w:val="nil"/>
            </w:tcBorders>
            <w:shd w:val="clear" w:color="auto" w:fill="auto"/>
          </w:tcPr>
          <w:p w14:paraId="0E6EC651" w14:textId="575FA650" w:rsidR="00AC2D2C" w:rsidRPr="00503F5B" w:rsidRDefault="00AC2D2C" w:rsidP="00AC2D2C">
            <w:pPr>
              <w:jc w:val="right"/>
              <w:rPr>
                <w:b/>
                <w:bCs/>
                <w:sz w:val="20"/>
                <w:szCs w:val="20"/>
              </w:rPr>
            </w:pPr>
            <w:r w:rsidRPr="00503F5B">
              <w:rPr>
                <w:sz w:val="20"/>
                <w:szCs w:val="20"/>
              </w:rPr>
              <w:t>24,186</w:t>
            </w:r>
          </w:p>
        </w:tc>
        <w:tc>
          <w:tcPr>
            <w:tcW w:w="1597" w:type="dxa"/>
            <w:tcBorders>
              <w:top w:val="nil"/>
              <w:left w:val="nil"/>
              <w:bottom w:val="nil"/>
              <w:right w:val="nil"/>
            </w:tcBorders>
            <w:shd w:val="clear" w:color="000000" w:fill="FFFFFF"/>
          </w:tcPr>
          <w:p w14:paraId="4ABABDA2" w14:textId="628B6B6B" w:rsidR="00AC2D2C" w:rsidRPr="00503F5B" w:rsidRDefault="00AC2D2C" w:rsidP="00AC2D2C">
            <w:pPr>
              <w:jc w:val="right"/>
              <w:rPr>
                <w:b/>
                <w:bCs/>
                <w:sz w:val="20"/>
                <w:szCs w:val="20"/>
              </w:rPr>
            </w:pPr>
            <w:r w:rsidRPr="00503F5B">
              <w:rPr>
                <w:sz w:val="20"/>
                <w:szCs w:val="20"/>
              </w:rPr>
              <w:t>1,419</w:t>
            </w:r>
          </w:p>
        </w:tc>
        <w:tc>
          <w:tcPr>
            <w:tcW w:w="1276" w:type="dxa"/>
            <w:tcBorders>
              <w:top w:val="nil"/>
              <w:left w:val="nil"/>
              <w:bottom w:val="nil"/>
              <w:right w:val="nil"/>
            </w:tcBorders>
            <w:shd w:val="clear" w:color="000000" w:fill="FFFFFF"/>
            <w:vAlign w:val="bottom"/>
          </w:tcPr>
          <w:p w14:paraId="7909D022" w14:textId="483B2404" w:rsidR="00AC2D2C" w:rsidRPr="00503F5B" w:rsidRDefault="00AC2D2C" w:rsidP="00AC2D2C">
            <w:pPr>
              <w:jc w:val="right"/>
              <w:rPr>
                <w:b/>
                <w:bCs/>
                <w:sz w:val="20"/>
                <w:szCs w:val="20"/>
              </w:rPr>
            </w:pPr>
            <w:r w:rsidRPr="00503F5B">
              <w:rPr>
                <w:rFonts w:cs="Calibri"/>
                <w:sz w:val="20"/>
                <w:szCs w:val="20"/>
              </w:rPr>
              <w:t>25,604</w:t>
            </w:r>
          </w:p>
        </w:tc>
      </w:tr>
      <w:tr w:rsidR="00AC2D2C" w:rsidRPr="00503F5B" w14:paraId="0279705C" w14:textId="77777777" w:rsidTr="009917B8">
        <w:trPr>
          <w:trHeight w:val="50"/>
          <w:jc w:val="center"/>
        </w:trPr>
        <w:tc>
          <w:tcPr>
            <w:tcW w:w="1016" w:type="dxa"/>
            <w:tcBorders>
              <w:top w:val="nil"/>
              <w:left w:val="nil"/>
              <w:bottom w:val="nil"/>
              <w:right w:val="nil"/>
            </w:tcBorders>
            <w:shd w:val="clear" w:color="000000" w:fill="FFFFFF"/>
            <w:noWrap/>
            <w:hideMark/>
          </w:tcPr>
          <w:p w14:paraId="14222872" w14:textId="77777777" w:rsidR="00AC2D2C" w:rsidRPr="00503F5B" w:rsidRDefault="00AC2D2C" w:rsidP="00AC2D2C">
            <w:pPr>
              <w:rPr>
                <w:rFonts w:eastAsia="Times New Roman" w:cs="Calibri"/>
                <w:sz w:val="20"/>
                <w:szCs w:val="20"/>
                <w:lang w:eastAsia="en-AU"/>
              </w:rPr>
            </w:pPr>
            <w:r w:rsidRPr="00503F5B">
              <w:rPr>
                <w:rFonts w:eastAsia="Times New Roman" w:cs="Calibri"/>
                <w:sz w:val="20"/>
                <w:szCs w:val="20"/>
                <w:lang w:eastAsia="en-AU"/>
              </w:rPr>
              <w:t>2026-27</w:t>
            </w:r>
          </w:p>
        </w:tc>
        <w:tc>
          <w:tcPr>
            <w:tcW w:w="1416" w:type="dxa"/>
            <w:tcBorders>
              <w:top w:val="nil"/>
              <w:left w:val="nil"/>
              <w:bottom w:val="nil"/>
              <w:right w:val="nil"/>
            </w:tcBorders>
            <w:shd w:val="clear" w:color="000000" w:fill="FFFFFF"/>
            <w:noWrap/>
            <w:hideMark/>
          </w:tcPr>
          <w:p w14:paraId="7D76657E" w14:textId="77777777" w:rsidR="00AC2D2C" w:rsidRPr="00503F5B" w:rsidRDefault="00AC2D2C" w:rsidP="00AC2D2C">
            <w:pPr>
              <w:jc w:val="right"/>
              <w:rPr>
                <w:rFonts w:eastAsia="Times New Roman" w:cs="Calibri"/>
                <w:sz w:val="20"/>
                <w:szCs w:val="20"/>
                <w:lang w:eastAsia="en-AU"/>
              </w:rPr>
            </w:pPr>
            <w:r w:rsidRPr="00503F5B">
              <w:rPr>
                <w:sz w:val="20"/>
                <w:szCs w:val="20"/>
              </w:rPr>
              <w:t>25,525</w:t>
            </w:r>
          </w:p>
        </w:tc>
        <w:tc>
          <w:tcPr>
            <w:tcW w:w="1537" w:type="dxa"/>
            <w:tcBorders>
              <w:top w:val="nil"/>
              <w:left w:val="nil"/>
              <w:bottom w:val="nil"/>
              <w:right w:val="nil"/>
            </w:tcBorders>
            <w:shd w:val="clear" w:color="000000" w:fill="FFFFFF"/>
            <w:noWrap/>
            <w:hideMark/>
          </w:tcPr>
          <w:p w14:paraId="422088F0" w14:textId="77777777" w:rsidR="00AC2D2C" w:rsidRPr="00503F5B" w:rsidRDefault="00AC2D2C" w:rsidP="00AC2D2C">
            <w:pPr>
              <w:jc w:val="right"/>
              <w:rPr>
                <w:rFonts w:eastAsia="Times New Roman" w:cs="Calibri"/>
                <w:sz w:val="20"/>
                <w:szCs w:val="20"/>
                <w:lang w:eastAsia="en-AU"/>
              </w:rPr>
            </w:pPr>
            <w:r w:rsidRPr="00503F5B">
              <w:rPr>
                <w:sz w:val="20"/>
                <w:szCs w:val="20"/>
              </w:rPr>
              <w:t>1,599</w:t>
            </w:r>
          </w:p>
        </w:tc>
        <w:tc>
          <w:tcPr>
            <w:tcW w:w="1276" w:type="dxa"/>
            <w:tcBorders>
              <w:top w:val="nil"/>
              <w:left w:val="nil"/>
              <w:bottom w:val="nil"/>
              <w:right w:val="nil"/>
            </w:tcBorders>
            <w:shd w:val="clear" w:color="000000" w:fill="FFFFFF"/>
            <w:noWrap/>
            <w:hideMark/>
          </w:tcPr>
          <w:p w14:paraId="753223E5" w14:textId="77777777" w:rsidR="00AC2D2C" w:rsidRPr="00503F5B" w:rsidRDefault="00AC2D2C" w:rsidP="00AC2D2C">
            <w:pPr>
              <w:jc w:val="right"/>
              <w:rPr>
                <w:rFonts w:eastAsia="Times New Roman" w:cs="Calibri"/>
                <w:sz w:val="20"/>
                <w:szCs w:val="20"/>
                <w:lang w:eastAsia="en-AU"/>
              </w:rPr>
            </w:pPr>
            <w:r w:rsidRPr="00503F5B">
              <w:rPr>
                <w:sz w:val="20"/>
                <w:szCs w:val="20"/>
              </w:rPr>
              <w:t>27,123</w:t>
            </w:r>
          </w:p>
        </w:tc>
        <w:tc>
          <w:tcPr>
            <w:tcW w:w="1238" w:type="dxa"/>
            <w:tcBorders>
              <w:top w:val="nil"/>
              <w:left w:val="nil"/>
              <w:bottom w:val="nil"/>
              <w:right w:val="nil"/>
            </w:tcBorders>
            <w:shd w:val="clear" w:color="auto" w:fill="auto"/>
          </w:tcPr>
          <w:p w14:paraId="1F97F7B0" w14:textId="0B7C3983" w:rsidR="00AC2D2C" w:rsidRPr="00503F5B" w:rsidRDefault="00AC2D2C" w:rsidP="00AC2D2C">
            <w:pPr>
              <w:jc w:val="right"/>
              <w:rPr>
                <w:b/>
                <w:bCs/>
                <w:sz w:val="20"/>
                <w:szCs w:val="20"/>
              </w:rPr>
            </w:pPr>
            <w:r w:rsidRPr="00503F5B">
              <w:rPr>
                <w:sz w:val="20"/>
                <w:szCs w:val="20"/>
              </w:rPr>
              <w:t>25,001</w:t>
            </w:r>
          </w:p>
        </w:tc>
        <w:tc>
          <w:tcPr>
            <w:tcW w:w="1597" w:type="dxa"/>
            <w:tcBorders>
              <w:top w:val="nil"/>
              <w:left w:val="nil"/>
              <w:bottom w:val="nil"/>
              <w:right w:val="nil"/>
            </w:tcBorders>
            <w:shd w:val="clear" w:color="000000" w:fill="FFFFFF"/>
          </w:tcPr>
          <w:p w14:paraId="2405D934" w14:textId="19A4D14C" w:rsidR="00AC2D2C" w:rsidRPr="00503F5B" w:rsidRDefault="00AC2D2C" w:rsidP="00AC2D2C">
            <w:pPr>
              <w:jc w:val="right"/>
              <w:rPr>
                <w:b/>
                <w:bCs/>
                <w:sz w:val="20"/>
                <w:szCs w:val="20"/>
              </w:rPr>
            </w:pPr>
            <w:r w:rsidRPr="00503F5B">
              <w:rPr>
                <w:sz w:val="20"/>
                <w:szCs w:val="20"/>
              </w:rPr>
              <w:t>1,466</w:t>
            </w:r>
          </w:p>
        </w:tc>
        <w:tc>
          <w:tcPr>
            <w:tcW w:w="1276" w:type="dxa"/>
            <w:tcBorders>
              <w:top w:val="nil"/>
              <w:left w:val="nil"/>
              <w:bottom w:val="nil"/>
              <w:right w:val="nil"/>
            </w:tcBorders>
            <w:shd w:val="clear" w:color="000000" w:fill="FFFFFF"/>
            <w:vAlign w:val="bottom"/>
          </w:tcPr>
          <w:p w14:paraId="0F6A778F" w14:textId="1FE1880B" w:rsidR="00AC2D2C" w:rsidRPr="00503F5B" w:rsidRDefault="00AC2D2C" w:rsidP="00AC2D2C">
            <w:pPr>
              <w:jc w:val="right"/>
              <w:rPr>
                <w:b/>
                <w:bCs/>
                <w:sz w:val="20"/>
                <w:szCs w:val="20"/>
              </w:rPr>
            </w:pPr>
            <w:r w:rsidRPr="00503F5B">
              <w:rPr>
                <w:rFonts w:cs="Calibri"/>
                <w:sz w:val="20"/>
                <w:szCs w:val="20"/>
              </w:rPr>
              <w:t>26,468</w:t>
            </w:r>
          </w:p>
        </w:tc>
      </w:tr>
      <w:tr w:rsidR="00AC2D2C" w:rsidRPr="00503F5B" w14:paraId="01C4A124" w14:textId="77777777" w:rsidTr="009917B8">
        <w:trPr>
          <w:trHeight w:val="50"/>
          <w:jc w:val="center"/>
        </w:trPr>
        <w:tc>
          <w:tcPr>
            <w:tcW w:w="1016" w:type="dxa"/>
            <w:tcBorders>
              <w:top w:val="nil"/>
              <w:left w:val="nil"/>
              <w:bottom w:val="nil"/>
              <w:right w:val="nil"/>
            </w:tcBorders>
            <w:shd w:val="clear" w:color="000000" w:fill="FFFFFF"/>
            <w:noWrap/>
            <w:hideMark/>
          </w:tcPr>
          <w:p w14:paraId="07D830DF" w14:textId="77777777" w:rsidR="00AC2D2C" w:rsidRPr="00503F5B" w:rsidRDefault="00AC2D2C" w:rsidP="00AC2D2C">
            <w:pPr>
              <w:rPr>
                <w:rFonts w:eastAsia="Times New Roman" w:cs="Calibri"/>
                <w:sz w:val="20"/>
                <w:szCs w:val="20"/>
                <w:lang w:eastAsia="en-AU"/>
              </w:rPr>
            </w:pPr>
            <w:r w:rsidRPr="00503F5B">
              <w:rPr>
                <w:rFonts w:eastAsia="Times New Roman" w:cs="Calibri"/>
                <w:sz w:val="20"/>
                <w:szCs w:val="20"/>
                <w:lang w:eastAsia="en-AU"/>
              </w:rPr>
              <w:t>2027-28</w:t>
            </w:r>
          </w:p>
        </w:tc>
        <w:tc>
          <w:tcPr>
            <w:tcW w:w="1416" w:type="dxa"/>
            <w:tcBorders>
              <w:top w:val="nil"/>
              <w:left w:val="nil"/>
              <w:bottom w:val="nil"/>
              <w:right w:val="nil"/>
            </w:tcBorders>
            <w:shd w:val="clear" w:color="000000" w:fill="FFFFFF"/>
            <w:noWrap/>
            <w:hideMark/>
          </w:tcPr>
          <w:p w14:paraId="0BD79E61" w14:textId="77777777" w:rsidR="00AC2D2C" w:rsidRPr="00503F5B" w:rsidRDefault="00AC2D2C" w:rsidP="00AC2D2C">
            <w:pPr>
              <w:jc w:val="right"/>
              <w:rPr>
                <w:rFonts w:eastAsia="Times New Roman" w:cs="Calibri"/>
                <w:sz w:val="20"/>
                <w:szCs w:val="20"/>
                <w:lang w:eastAsia="en-AU"/>
              </w:rPr>
            </w:pPr>
            <w:r w:rsidRPr="00503F5B">
              <w:rPr>
                <w:sz w:val="20"/>
                <w:szCs w:val="20"/>
              </w:rPr>
              <w:t>26,670</w:t>
            </w:r>
          </w:p>
        </w:tc>
        <w:tc>
          <w:tcPr>
            <w:tcW w:w="1537" w:type="dxa"/>
            <w:tcBorders>
              <w:top w:val="nil"/>
              <w:left w:val="nil"/>
              <w:bottom w:val="nil"/>
              <w:right w:val="nil"/>
            </w:tcBorders>
            <w:shd w:val="clear" w:color="000000" w:fill="FFFFFF"/>
            <w:noWrap/>
            <w:hideMark/>
          </w:tcPr>
          <w:p w14:paraId="69E39EA8" w14:textId="77777777" w:rsidR="00AC2D2C" w:rsidRPr="00503F5B" w:rsidRDefault="00AC2D2C" w:rsidP="00AC2D2C">
            <w:pPr>
              <w:jc w:val="right"/>
              <w:rPr>
                <w:rFonts w:eastAsia="Times New Roman" w:cs="Calibri"/>
                <w:sz w:val="20"/>
                <w:szCs w:val="20"/>
                <w:lang w:eastAsia="en-AU"/>
              </w:rPr>
            </w:pPr>
            <w:r w:rsidRPr="00503F5B">
              <w:rPr>
                <w:sz w:val="20"/>
                <w:szCs w:val="20"/>
              </w:rPr>
              <w:t>1,412</w:t>
            </w:r>
          </w:p>
        </w:tc>
        <w:tc>
          <w:tcPr>
            <w:tcW w:w="1276" w:type="dxa"/>
            <w:tcBorders>
              <w:top w:val="nil"/>
              <w:left w:val="nil"/>
              <w:bottom w:val="nil"/>
              <w:right w:val="nil"/>
            </w:tcBorders>
            <w:shd w:val="clear" w:color="000000" w:fill="FFFFFF"/>
            <w:noWrap/>
            <w:hideMark/>
          </w:tcPr>
          <w:p w14:paraId="5C4A8327" w14:textId="77777777" w:rsidR="00AC2D2C" w:rsidRPr="00503F5B" w:rsidRDefault="00AC2D2C" w:rsidP="00AC2D2C">
            <w:pPr>
              <w:jc w:val="right"/>
              <w:rPr>
                <w:rFonts w:eastAsia="Times New Roman" w:cs="Calibri"/>
                <w:sz w:val="20"/>
                <w:szCs w:val="20"/>
                <w:lang w:eastAsia="en-AU"/>
              </w:rPr>
            </w:pPr>
            <w:r w:rsidRPr="00503F5B">
              <w:rPr>
                <w:sz w:val="20"/>
                <w:szCs w:val="20"/>
              </w:rPr>
              <w:t>28,082</w:t>
            </w:r>
          </w:p>
        </w:tc>
        <w:tc>
          <w:tcPr>
            <w:tcW w:w="1238" w:type="dxa"/>
            <w:tcBorders>
              <w:top w:val="nil"/>
              <w:left w:val="nil"/>
              <w:bottom w:val="nil"/>
              <w:right w:val="nil"/>
            </w:tcBorders>
            <w:shd w:val="clear" w:color="auto" w:fill="auto"/>
          </w:tcPr>
          <w:p w14:paraId="3196463C" w14:textId="37B70007" w:rsidR="00AC2D2C" w:rsidRPr="00503F5B" w:rsidRDefault="00AC2D2C" w:rsidP="00AC2D2C">
            <w:pPr>
              <w:jc w:val="right"/>
              <w:rPr>
                <w:b/>
                <w:bCs/>
                <w:sz w:val="20"/>
                <w:szCs w:val="20"/>
              </w:rPr>
            </w:pPr>
            <w:r w:rsidRPr="00503F5B">
              <w:rPr>
                <w:sz w:val="20"/>
                <w:szCs w:val="20"/>
              </w:rPr>
              <w:t>25,885</w:t>
            </w:r>
          </w:p>
        </w:tc>
        <w:tc>
          <w:tcPr>
            <w:tcW w:w="1597" w:type="dxa"/>
            <w:tcBorders>
              <w:top w:val="nil"/>
              <w:left w:val="nil"/>
              <w:bottom w:val="nil"/>
              <w:right w:val="nil"/>
            </w:tcBorders>
            <w:shd w:val="clear" w:color="000000" w:fill="FFFFFF"/>
          </w:tcPr>
          <w:p w14:paraId="6D11482E" w14:textId="62FE19E3" w:rsidR="00AC2D2C" w:rsidRPr="00503F5B" w:rsidRDefault="00AC2D2C" w:rsidP="00AC2D2C">
            <w:pPr>
              <w:jc w:val="right"/>
              <w:rPr>
                <w:b/>
                <w:bCs/>
                <w:sz w:val="20"/>
                <w:szCs w:val="20"/>
              </w:rPr>
            </w:pPr>
            <w:r w:rsidRPr="00503F5B">
              <w:rPr>
                <w:sz w:val="20"/>
                <w:szCs w:val="20"/>
              </w:rPr>
              <w:t>1,518</w:t>
            </w:r>
          </w:p>
        </w:tc>
        <w:tc>
          <w:tcPr>
            <w:tcW w:w="1276" w:type="dxa"/>
            <w:tcBorders>
              <w:top w:val="nil"/>
              <w:left w:val="nil"/>
              <w:bottom w:val="nil"/>
              <w:right w:val="nil"/>
            </w:tcBorders>
            <w:shd w:val="clear" w:color="000000" w:fill="FFFFFF"/>
            <w:vAlign w:val="bottom"/>
          </w:tcPr>
          <w:p w14:paraId="4B0B0B7D" w14:textId="2A2CD8A0" w:rsidR="00AC2D2C" w:rsidRPr="00503F5B" w:rsidRDefault="00AC2D2C" w:rsidP="00AC2D2C">
            <w:pPr>
              <w:jc w:val="right"/>
              <w:rPr>
                <w:b/>
                <w:bCs/>
                <w:sz w:val="20"/>
                <w:szCs w:val="20"/>
              </w:rPr>
            </w:pPr>
            <w:r w:rsidRPr="00503F5B">
              <w:rPr>
                <w:rFonts w:cs="Calibri"/>
                <w:sz w:val="20"/>
                <w:szCs w:val="20"/>
              </w:rPr>
              <w:t>27,403</w:t>
            </w:r>
          </w:p>
        </w:tc>
      </w:tr>
      <w:tr w:rsidR="00AC2D2C" w:rsidRPr="00503F5B" w14:paraId="630EA22D" w14:textId="77777777" w:rsidTr="009917B8">
        <w:trPr>
          <w:trHeight w:val="50"/>
          <w:jc w:val="center"/>
        </w:trPr>
        <w:tc>
          <w:tcPr>
            <w:tcW w:w="1016" w:type="dxa"/>
            <w:tcBorders>
              <w:top w:val="nil"/>
              <w:left w:val="nil"/>
              <w:bottom w:val="nil"/>
              <w:right w:val="nil"/>
            </w:tcBorders>
            <w:shd w:val="clear" w:color="000000" w:fill="FFFFFF"/>
            <w:noWrap/>
            <w:hideMark/>
          </w:tcPr>
          <w:p w14:paraId="6F6696AD" w14:textId="77777777" w:rsidR="00AC2D2C" w:rsidRPr="00503F5B" w:rsidRDefault="00AC2D2C" w:rsidP="00AC2D2C">
            <w:pPr>
              <w:rPr>
                <w:rFonts w:eastAsia="Times New Roman" w:cs="Calibri"/>
                <w:sz w:val="20"/>
                <w:szCs w:val="20"/>
                <w:lang w:eastAsia="en-AU"/>
              </w:rPr>
            </w:pPr>
            <w:r w:rsidRPr="00503F5B">
              <w:rPr>
                <w:rFonts w:eastAsia="Times New Roman" w:cs="Calibri"/>
                <w:sz w:val="20"/>
                <w:szCs w:val="20"/>
                <w:lang w:eastAsia="en-AU"/>
              </w:rPr>
              <w:t>2028-29</w:t>
            </w:r>
          </w:p>
        </w:tc>
        <w:tc>
          <w:tcPr>
            <w:tcW w:w="1416" w:type="dxa"/>
            <w:tcBorders>
              <w:top w:val="nil"/>
              <w:left w:val="nil"/>
              <w:bottom w:val="nil"/>
              <w:right w:val="nil"/>
            </w:tcBorders>
            <w:shd w:val="clear" w:color="000000" w:fill="FFFFFF"/>
            <w:noWrap/>
            <w:hideMark/>
          </w:tcPr>
          <w:p w14:paraId="4DAF5852" w14:textId="77777777" w:rsidR="00AC2D2C" w:rsidRPr="00503F5B" w:rsidRDefault="00AC2D2C" w:rsidP="00AC2D2C">
            <w:pPr>
              <w:jc w:val="right"/>
              <w:rPr>
                <w:rFonts w:eastAsia="Times New Roman" w:cs="Calibri"/>
                <w:sz w:val="20"/>
                <w:szCs w:val="20"/>
                <w:lang w:eastAsia="en-AU"/>
              </w:rPr>
            </w:pPr>
            <w:r w:rsidRPr="00503F5B">
              <w:rPr>
                <w:sz w:val="20"/>
                <w:szCs w:val="20"/>
              </w:rPr>
              <w:t>27,867</w:t>
            </w:r>
          </w:p>
        </w:tc>
        <w:tc>
          <w:tcPr>
            <w:tcW w:w="1537" w:type="dxa"/>
            <w:tcBorders>
              <w:top w:val="nil"/>
              <w:left w:val="nil"/>
              <w:bottom w:val="nil"/>
              <w:right w:val="nil"/>
            </w:tcBorders>
            <w:shd w:val="clear" w:color="000000" w:fill="FFFFFF"/>
            <w:noWrap/>
            <w:hideMark/>
          </w:tcPr>
          <w:p w14:paraId="5ADC1ABA" w14:textId="77777777" w:rsidR="00AC2D2C" w:rsidRPr="00503F5B" w:rsidRDefault="00AC2D2C" w:rsidP="00AC2D2C">
            <w:pPr>
              <w:jc w:val="right"/>
              <w:rPr>
                <w:rFonts w:eastAsia="Times New Roman" w:cs="Calibri"/>
                <w:sz w:val="20"/>
                <w:szCs w:val="20"/>
                <w:lang w:eastAsia="en-AU"/>
              </w:rPr>
            </w:pPr>
            <w:r w:rsidRPr="00503F5B">
              <w:rPr>
                <w:sz w:val="20"/>
                <w:szCs w:val="20"/>
              </w:rPr>
              <w:t>1,246</w:t>
            </w:r>
          </w:p>
        </w:tc>
        <w:tc>
          <w:tcPr>
            <w:tcW w:w="1276" w:type="dxa"/>
            <w:tcBorders>
              <w:top w:val="nil"/>
              <w:left w:val="nil"/>
              <w:bottom w:val="nil"/>
              <w:right w:val="nil"/>
            </w:tcBorders>
            <w:shd w:val="clear" w:color="000000" w:fill="FFFFFF"/>
            <w:noWrap/>
            <w:hideMark/>
          </w:tcPr>
          <w:p w14:paraId="48FA42B6" w14:textId="77777777" w:rsidR="00AC2D2C" w:rsidRPr="00503F5B" w:rsidRDefault="00AC2D2C" w:rsidP="00AC2D2C">
            <w:pPr>
              <w:jc w:val="right"/>
              <w:rPr>
                <w:rFonts w:eastAsia="Times New Roman" w:cs="Calibri"/>
                <w:sz w:val="20"/>
                <w:szCs w:val="20"/>
                <w:lang w:eastAsia="en-AU"/>
              </w:rPr>
            </w:pPr>
            <w:r w:rsidRPr="00503F5B">
              <w:rPr>
                <w:sz w:val="20"/>
                <w:szCs w:val="20"/>
              </w:rPr>
              <w:t>29,114</w:t>
            </w:r>
          </w:p>
        </w:tc>
        <w:tc>
          <w:tcPr>
            <w:tcW w:w="1238" w:type="dxa"/>
            <w:tcBorders>
              <w:top w:val="nil"/>
              <w:left w:val="nil"/>
              <w:bottom w:val="nil"/>
              <w:right w:val="nil"/>
            </w:tcBorders>
            <w:shd w:val="clear" w:color="auto" w:fill="auto"/>
          </w:tcPr>
          <w:p w14:paraId="43DE2499" w14:textId="0288D12E" w:rsidR="00AC2D2C" w:rsidRPr="00503F5B" w:rsidRDefault="00AC2D2C" w:rsidP="00AC2D2C">
            <w:pPr>
              <w:jc w:val="right"/>
              <w:rPr>
                <w:b/>
                <w:bCs/>
                <w:sz w:val="20"/>
                <w:szCs w:val="20"/>
              </w:rPr>
            </w:pPr>
            <w:r w:rsidRPr="00503F5B">
              <w:rPr>
                <w:sz w:val="20"/>
                <w:szCs w:val="20"/>
              </w:rPr>
              <w:t>26,836</w:t>
            </w:r>
          </w:p>
        </w:tc>
        <w:tc>
          <w:tcPr>
            <w:tcW w:w="1597" w:type="dxa"/>
            <w:tcBorders>
              <w:top w:val="nil"/>
              <w:left w:val="nil"/>
              <w:bottom w:val="nil"/>
              <w:right w:val="nil"/>
            </w:tcBorders>
            <w:shd w:val="clear" w:color="000000" w:fill="FFFFFF"/>
          </w:tcPr>
          <w:p w14:paraId="3C2ECB50" w14:textId="49340C08" w:rsidR="00AC2D2C" w:rsidRPr="00503F5B" w:rsidRDefault="00AC2D2C" w:rsidP="00AC2D2C">
            <w:pPr>
              <w:jc w:val="right"/>
              <w:rPr>
                <w:b/>
                <w:bCs/>
                <w:sz w:val="20"/>
                <w:szCs w:val="20"/>
              </w:rPr>
            </w:pPr>
            <w:r w:rsidRPr="00503F5B">
              <w:rPr>
                <w:sz w:val="20"/>
                <w:szCs w:val="20"/>
              </w:rPr>
              <w:t>1,574</w:t>
            </w:r>
          </w:p>
        </w:tc>
        <w:tc>
          <w:tcPr>
            <w:tcW w:w="1276" w:type="dxa"/>
            <w:tcBorders>
              <w:top w:val="nil"/>
              <w:left w:val="nil"/>
              <w:bottom w:val="nil"/>
              <w:right w:val="nil"/>
            </w:tcBorders>
            <w:shd w:val="clear" w:color="000000" w:fill="FFFFFF"/>
            <w:vAlign w:val="bottom"/>
          </w:tcPr>
          <w:p w14:paraId="6A3A8BB6" w14:textId="157F48AC" w:rsidR="00AC2D2C" w:rsidRPr="00503F5B" w:rsidRDefault="00AC2D2C" w:rsidP="00AC2D2C">
            <w:pPr>
              <w:jc w:val="right"/>
              <w:rPr>
                <w:b/>
                <w:bCs/>
                <w:sz w:val="20"/>
                <w:szCs w:val="20"/>
              </w:rPr>
            </w:pPr>
            <w:r w:rsidRPr="00503F5B">
              <w:rPr>
                <w:rFonts w:cs="Calibri"/>
                <w:sz w:val="20"/>
                <w:szCs w:val="20"/>
              </w:rPr>
              <w:t>28,410</w:t>
            </w:r>
          </w:p>
        </w:tc>
      </w:tr>
      <w:tr w:rsidR="00AC2D2C" w:rsidRPr="00503F5B" w14:paraId="16230DD1" w14:textId="77777777" w:rsidTr="009917B8">
        <w:trPr>
          <w:trHeight w:val="50"/>
          <w:jc w:val="center"/>
        </w:trPr>
        <w:tc>
          <w:tcPr>
            <w:tcW w:w="1016" w:type="dxa"/>
            <w:tcBorders>
              <w:top w:val="nil"/>
              <w:left w:val="nil"/>
              <w:bottom w:val="single" w:sz="4" w:space="0" w:color="ED7C5D"/>
              <w:right w:val="nil"/>
            </w:tcBorders>
            <w:shd w:val="clear" w:color="000000" w:fill="FFFFFF"/>
            <w:noWrap/>
            <w:hideMark/>
          </w:tcPr>
          <w:p w14:paraId="4370891D" w14:textId="77777777" w:rsidR="00AC2D2C" w:rsidRPr="00503F5B" w:rsidRDefault="00AC2D2C" w:rsidP="00AC2D2C">
            <w:pPr>
              <w:rPr>
                <w:rFonts w:eastAsia="Times New Roman" w:cs="Calibri"/>
                <w:sz w:val="20"/>
                <w:szCs w:val="20"/>
                <w:lang w:eastAsia="en-AU"/>
              </w:rPr>
            </w:pPr>
            <w:r w:rsidRPr="00503F5B">
              <w:rPr>
                <w:rFonts w:eastAsia="Times New Roman" w:cs="Calibri"/>
                <w:sz w:val="20"/>
                <w:szCs w:val="20"/>
                <w:lang w:eastAsia="en-AU"/>
              </w:rPr>
              <w:t>2029-30</w:t>
            </w:r>
          </w:p>
        </w:tc>
        <w:tc>
          <w:tcPr>
            <w:tcW w:w="1416" w:type="dxa"/>
            <w:tcBorders>
              <w:top w:val="nil"/>
              <w:left w:val="nil"/>
              <w:bottom w:val="single" w:sz="4" w:space="0" w:color="ED7C5D"/>
              <w:right w:val="nil"/>
            </w:tcBorders>
            <w:shd w:val="clear" w:color="000000" w:fill="FFFFFF"/>
            <w:noWrap/>
            <w:hideMark/>
          </w:tcPr>
          <w:p w14:paraId="4F490589" w14:textId="77777777" w:rsidR="00AC2D2C" w:rsidRPr="00503F5B" w:rsidRDefault="00AC2D2C" w:rsidP="00AC2D2C">
            <w:pPr>
              <w:jc w:val="right"/>
              <w:rPr>
                <w:rFonts w:eastAsia="Times New Roman" w:cs="Calibri"/>
                <w:sz w:val="20"/>
                <w:szCs w:val="20"/>
                <w:lang w:eastAsia="en-AU"/>
              </w:rPr>
            </w:pPr>
            <w:r w:rsidRPr="00503F5B">
              <w:rPr>
                <w:sz w:val="20"/>
                <w:szCs w:val="20"/>
              </w:rPr>
              <w:t>29,118</w:t>
            </w:r>
          </w:p>
        </w:tc>
        <w:tc>
          <w:tcPr>
            <w:tcW w:w="1537" w:type="dxa"/>
            <w:tcBorders>
              <w:top w:val="nil"/>
              <w:left w:val="nil"/>
              <w:bottom w:val="single" w:sz="4" w:space="0" w:color="ED7C5D"/>
              <w:right w:val="nil"/>
            </w:tcBorders>
            <w:shd w:val="clear" w:color="000000" w:fill="FFFFFF"/>
            <w:noWrap/>
            <w:hideMark/>
          </w:tcPr>
          <w:p w14:paraId="3F66371B" w14:textId="77777777" w:rsidR="00AC2D2C" w:rsidRPr="00503F5B" w:rsidRDefault="00AC2D2C" w:rsidP="00AC2D2C">
            <w:pPr>
              <w:jc w:val="right"/>
              <w:rPr>
                <w:rFonts w:eastAsia="Times New Roman" w:cs="Calibri"/>
                <w:sz w:val="20"/>
                <w:szCs w:val="20"/>
                <w:lang w:eastAsia="en-AU"/>
              </w:rPr>
            </w:pPr>
            <w:r w:rsidRPr="00503F5B">
              <w:rPr>
                <w:sz w:val="20"/>
                <w:szCs w:val="20"/>
              </w:rPr>
              <w:t>1,101</w:t>
            </w:r>
          </w:p>
        </w:tc>
        <w:tc>
          <w:tcPr>
            <w:tcW w:w="1276" w:type="dxa"/>
            <w:tcBorders>
              <w:top w:val="nil"/>
              <w:left w:val="nil"/>
              <w:bottom w:val="single" w:sz="4" w:space="0" w:color="ED7C5D"/>
              <w:right w:val="nil"/>
            </w:tcBorders>
            <w:shd w:val="clear" w:color="000000" w:fill="FFFFFF"/>
            <w:noWrap/>
            <w:hideMark/>
          </w:tcPr>
          <w:p w14:paraId="4F5CD495" w14:textId="77777777" w:rsidR="00AC2D2C" w:rsidRPr="00503F5B" w:rsidRDefault="00AC2D2C" w:rsidP="00AC2D2C">
            <w:pPr>
              <w:jc w:val="right"/>
              <w:rPr>
                <w:rFonts w:eastAsia="Times New Roman" w:cs="Calibri"/>
                <w:sz w:val="20"/>
                <w:szCs w:val="20"/>
                <w:lang w:eastAsia="en-AU"/>
              </w:rPr>
            </w:pPr>
            <w:r w:rsidRPr="00503F5B">
              <w:rPr>
                <w:sz w:val="20"/>
                <w:szCs w:val="20"/>
              </w:rPr>
              <w:t>30,219</w:t>
            </w:r>
          </w:p>
        </w:tc>
        <w:tc>
          <w:tcPr>
            <w:tcW w:w="1238" w:type="dxa"/>
            <w:tcBorders>
              <w:top w:val="nil"/>
              <w:left w:val="nil"/>
              <w:bottom w:val="single" w:sz="4" w:space="0" w:color="ED7C5D"/>
              <w:right w:val="nil"/>
            </w:tcBorders>
            <w:shd w:val="clear" w:color="auto" w:fill="auto"/>
          </w:tcPr>
          <w:p w14:paraId="375446CD" w14:textId="55CD93DF" w:rsidR="00AC2D2C" w:rsidRPr="00503F5B" w:rsidRDefault="00AC2D2C" w:rsidP="00AC2D2C">
            <w:pPr>
              <w:jc w:val="right"/>
              <w:rPr>
                <w:b/>
                <w:bCs/>
                <w:sz w:val="20"/>
                <w:szCs w:val="20"/>
              </w:rPr>
            </w:pPr>
            <w:r w:rsidRPr="00503F5B">
              <w:rPr>
                <w:sz w:val="20"/>
                <w:szCs w:val="20"/>
              </w:rPr>
              <w:t>27,854</w:t>
            </w:r>
          </w:p>
        </w:tc>
        <w:tc>
          <w:tcPr>
            <w:tcW w:w="1597" w:type="dxa"/>
            <w:tcBorders>
              <w:top w:val="nil"/>
              <w:left w:val="nil"/>
              <w:bottom w:val="single" w:sz="4" w:space="0" w:color="ED7C5D"/>
              <w:right w:val="nil"/>
            </w:tcBorders>
            <w:shd w:val="clear" w:color="000000" w:fill="FFFFFF"/>
          </w:tcPr>
          <w:p w14:paraId="372CE4D0" w14:textId="6CBE5E54" w:rsidR="00AC2D2C" w:rsidRPr="00503F5B" w:rsidRDefault="00AC2D2C" w:rsidP="00AC2D2C">
            <w:pPr>
              <w:jc w:val="right"/>
              <w:rPr>
                <w:b/>
                <w:bCs/>
                <w:sz w:val="20"/>
                <w:szCs w:val="20"/>
              </w:rPr>
            </w:pPr>
            <w:r w:rsidRPr="00503F5B">
              <w:rPr>
                <w:sz w:val="20"/>
                <w:szCs w:val="20"/>
              </w:rPr>
              <w:t>1,634</w:t>
            </w:r>
          </w:p>
        </w:tc>
        <w:tc>
          <w:tcPr>
            <w:tcW w:w="1276" w:type="dxa"/>
            <w:tcBorders>
              <w:top w:val="nil"/>
              <w:left w:val="nil"/>
              <w:bottom w:val="single" w:sz="4" w:space="0" w:color="ED7C5D"/>
              <w:right w:val="nil"/>
            </w:tcBorders>
            <w:shd w:val="clear" w:color="000000" w:fill="FFFFFF"/>
            <w:vAlign w:val="bottom"/>
          </w:tcPr>
          <w:p w14:paraId="5052DE32" w14:textId="4F139A18" w:rsidR="00AC2D2C" w:rsidRPr="00503F5B" w:rsidRDefault="00AC2D2C" w:rsidP="00AC2D2C">
            <w:pPr>
              <w:jc w:val="right"/>
              <w:rPr>
                <w:b/>
                <w:bCs/>
                <w:sz w:val="20"/>
                <w:szCs w:val="20"/>
              </w:rPr>
            </w:pPr>
            <w:r w:rsidRPr="00503F5B">
              <w:rPr>
                <w:rFonts w:cs="Calibri"/>
                <w:sz w:val="20"/>
                <w:szCs w:val="20"/>
              </w:rPr>
              <w:t>29,488</w:t>
            </w:r>
          </w:p>
        </w:tc>
      </w:tr>
      <w:tr w:rsidR="00AC2D2C" w:rsidRPr="00503F5B" w14:paraId="68E899C3" w14:textId="77777777" w:rsidTr="009917B8">
        <w:trPr>
          <w:trHeight w:val="40"/>
          <w:jc w:val="center"/>
        </w:trPr>
        <w:tc>
          <w:tcPr>
            <w:tcW w:w="1016" w:type="dxa"/>
            <w:tcBorders>
              <w:top w:val="single" w:sz="4" w:space="0" w:color="ED7C5D"/>
              <w:left w:val="nil"/>
              <w:bottom w:val="single" w:sz="4" w:space="0" w:color="ED7C5D"/>
              <w:right w:val="nil"/>
            </w:tcBorders>
            <w:shd w:val="clear" w:color="000000" w:fill="FFFFFF"/>
            <w:noWrap/>
            <w:hideMark/>
          </w:tcPr>
          <w:p w14:paraId="59D5C2BF" w14:textId="77777777" w:rsidR="00AC2D2C" w:rsidRPr="00503F5B" w:rsidRDefault="00AC2D2C" w:rsidP="00AC2D2C">
            <w:pPr>
              <w:rPr>
                <w:rFonts w:eastAsia="Times New Roman" w:cs="Calibri"/>
                <w:b/>
                <w:bCs/>
                <w:i/>
                <w:iCs/>
                <w:sz w:val="20"/>
                <w:szCs w:val="20"/>
                <w:lang w:eastAsia="en-AU"/>
              </w:rPr>
            </w:pPr>
            <w:r w:rsidRPr="00503F5B">
              <w:rPr>
                <w:b/>
                <w:bCs/>
                <w:i/>
                <w:iCs/>
                <w:sz w:val="20"/>
                <w:szCs w:val="20"/>
              </w:rPr>
              <w:t>Total</w:t>
            </w:r>
          </w:p>
        </w:tc>
        <w:tc>
          <w:tcPr>
            <w:tcW w:w="1416" w:type="dxa"/>
            <w:tcBorders>
              <w:top w:val="single" w:sz="4" w:space="0" w:color="ED7C5D"/>
              <w:left w:val="nil"/>
              <w:bottom w:val="single" w:sz="4" w:space="0" w:color="ED7C5D"/>
              <w:right w:val="nil"/>
            </w:tcBorders>
            <w:shd w:val="clear" w:color="000000" w:fill="FFFFFF"/>
            <w:noWrap/>
            <w:hideMark/>
          </w:tcPr>
          <w:p w14:paraId="789CFF96" w14:textId="77777777" w:rsidR="00AC2D2C" w:rsidRPr="00503F5B" w:rsidRDefault="00AC2D2C" w:rsidP="00AC2D2C">
            <w:pPr>
              <w:jc w:val="right"/>
              <w:rPr>
                <w:rFonts w:eastAsia="Times New Roman" w:cs="Calibri"/>
                <w:i/>
                <w:iCs/>
                <w:sz w:val="20"/>
                <w:szCs w:val="20"/>
                <w:lang w:eastAsia="en-AU"/>
              </w:rPr>
            </w:pPr>
            <w:r w:rsidRPr="00503F5B">
              <w:rPr>
                <w:i/>
                <w:iCs/>
                <w:sz w:val="20"/>
                <w:szCs w:val="20"/>
              </w:rPr>
              <w:t xml:space="preserve"> 240,886 </w:t>
            </w:r>
          </w:p>
        </w:tc>
        <w:tc>
          <w:tcPr>
            <w:tcW w:w="1537" w:type="dxa"/>
            <w:tcBorders>
              <w:top w:val="single" w:sz="4" w:space="0" w:color="ED7C5D"/>
              <w:left w:val="nil"/>
              <w:bottom w:val="single" w:sz="4" w:space="0" w:color="ED7C5D"/>
              <w:right w:val="nil"/>
            </w:tcBorders>
            <w:shd w:val="clear" w:color="000000" w:fill="FFFFFF"/>
            <w:noWrap/>
            <w:hideMark/>
          </w:tcPr>
          <w:p w14:paraId="3A061467" w14:textId="77777777" w:rsidR="00AC2D2C" w:rsidRPr="00503F5B" w:rsidRDefault="00AC2D2C" w:rsidP="00AC2D2C">
            <w:pPr>
              <w:jc w:val="right"/>
              <w:rPr>
                <w:rFonts w:eastAsia="Times New Roman" w:cs="Calibri"/>
                <w:i/>
                <w:iCs/>
                <w:sz w:val="20"/>
                <w:szCs w:val="20"/>
                <w:lang w:eastAsia="en-AU"/>
              </w:rPr>
            </w:pPr>
            <w:r w:rsidRPr="00503F5B">
              <w:rPr>
                <w:i/>
                <w:iCs/>
                <w:sz w:val="20"/>
                <w:szCs w:val="20"/>
              </w:rPr>
              <w:t xml:space="preserve"> 20,520 </w:t>
            </w:r>
          </w:p>
        </w:tc>
        <w:tc>
          <w:tcPr>
            <w:tcW w:w="1276" w:type="dxa"/>
            <w:tcBorders>
              <w:top w:val="single" w:sz="4" w:space="0" w:color="ED7C5D"/>
              <w:left w:val="nil"/>
              <w:bottom w:val="single" w:sz="4" w:space="0" w:color="ED7C5D"/>
              <w:right w:val="nil"/>
            </w:tcBorders>
            <w:shd w:val="clear" w:color="000000" w:fill="FFFFFF"/>
            <w:noWrap/>
            <w:hideMark/>
          </w:tcPr>
          <w:p w14:paraId="16499773" w14:textId="77777777" w:rsidR="00AC2D2C" w:rsidRPr="00503F5B" w:rsidRDefault="00AC2D2C" w:rsidP="00AC2D2C">
            <w:pPr>
              <w:jc w:val="right"/>
              <w:rPr>
                <w:rFonts w:eastAsia="Times New Roman" w:cs="Calibri"/>
                <w:b/>
                <w:bCs/>
                <w:i/>
                <w:iCs/>
                <w:sz w:val="20"/>
                <w:szCs w:val="20"/>
                <w:lang w:eastAsia="en-AU"/>
              </w:rPr>
            </w:pPr>
            <w:r w:rsidRPr="00503F5B">
              <w:rPr>
                <w:b/>
                <w:bCs/>
                <w:i/>
                <w:iCs/>
                <w:sz w:val="20"/>
                <w:szCs w:val="20"/>
              </w:rPr>
              <w:t xml:space="preserve"> 261,406 </w:t>
            </w:r>
          </w:p>
        </w:tc>
        <w:tc>
          <w:tcPr>
            <w:tcW w:w="1238" w:type="dxa"/>
            <w:tcBorders>
              <w:top w:val="single" w:sz="4" w:space="0" w:color="ED7C5D"/>
              <w:left w:val="nil"/>
              <w:bottom w:val="single" w:sz="4" w:space="0" w:color="ED7C5D"/>
              <w:right w:val="nil"/>
            </w:tcBorders>
            <w:shd w:val="clear" w:color="000000" w:fill="FFFFFF"/>
          </w:tcPr>
          <w:p w14:paraId="2043DD10" w14:textId="5ABF6EE3" w:rsidR="00AC2D2C" w:rsidRPr="00503F5B" w:rsidRDefault="00AC2D2C" w:rsidP="00AC2D2C">
            <w:pPr>
              <w:jc w:val="right"/>
              <w:rPr>
                <w:b/>
                <w:bCs/>
                <w:i/>
                <w:iCs/>
                <w:sz w:val="20"/>
                <w:szCs w:val="20"/>
              </w:rPr>
            </w:pPr>
            <w:r w:rsidRPr="00503F5B">
              <w:rPr>
                <w:i/>
                <w:iCs/>
                <w:sz w:val="20"/>
                <w:szCs w:val="20"/>
              </w:rPr>
              <w:t xml:space="preserve"> 240,951 </w:t>
            </w:r>
          </w:p>
        </w:tc>
        <w:tc>
          <w:tcPr>
            <w:tcW w:w="1597" w:type="dxa"/>
            <w:tcBorders>
              <w:top w:val="single" w:sz="4" w:space="0" w:color="ED7C5D"/>
              <w:left w:val="nil"/>
              <w:bottom w:val="single" w:sz="4" w:space="0" w:color="ED7C5D"/>
              <w:right w:val="nil"/>
            </w:tcBorders>
            <w:shd w:val="clear" w:color="000000" w:fill="FFFFFF"/>
          </w:tcPr>
          <w:p w14:paraId="668470D3" w14:textId="67A03B0A" w:rsidR="00AC2D2C" w:rsidRPr="00503F5B" w:rsidRDefault="00AC2D2C" w:rsidP="00AC2D2C">
            <w:pPr>
              <w:jc w:val="right"/>
              <w:rPr>
                <w:b/>
                <w:bCs/>
                <w:i/>
                <w:iCs/>
                <w:sz w:val="20"/>
                <w:szCs w:val="20"/>
              </w:rPr>
            </w:pPr>
            <w:r w:rsidRPr="00503F5B">
              <w:rPr>
                <w:i/>
                <w:iCs/>
                <w:sz w:val="20"/>
                <w:szCs w:val="20"/>
              </w:rPr>
              <w:t xml:space="preserve"> 14,133 </w:t>
            </w:r>
          </w:p>
        </w:tc>
        <w:tc>
          <w:tcPr>
            <w:tcW w:w="1276" w:type="dxa"/>
            <w:tcBorders>
              <w:top w:val="single" w:sz="4" w:space="0" w:color="ED7C5D"/>
              <w:left w:val="nil"/>
              <w:bottom w:val="single" w:sz="4" w:space="0" w:color="ED7C5D"/>
              <w:right w:val="nil"/>
            </w:tcBorders>
            <w:shd w:val="clear" w:color="000000" w:fill="FFFFFF"/>
          </w:tcPr>
          <w:p w14:paraId="01E92978" w14:textId="131FAFA0" w:rsidR="00AC2D2C" w:rsidRPr="00503F5B" w:rsidRDefault="00AC2D2C" w:rsidP="00AC2D2C">
            <w:pPr>
              <w:jc w:val="right"/>
              <w:rPr>
                <w:b/>
                <w:bCs/>
                <w:i/>
                <w:iCs/>
                <w:sz w:val="20"/>
                <w:szCs w:val="20"/>
              </w:rPr>
            </w:pPr>
            <w:r w:rsidRPr="00503F5B">
              <w:rPr>
                <w:b/>
                <w:bCs/>
                <w:i/>
                <w:iCs/>
                <w:sz w:val="20"/>
                <w:szCs w:val="20"/>
              </w:rPr>
              <w:t xml:space="preserve"> 255,084 </w:t>
            </w:r>
          </w:p>
        </w:tc>
      </w:tr>
    </w:tbl>
    <w:p w14:paraId="2AA79783" w14:textId="7A6C44E4" w:rsidR="009B295B" w:rsidRPr="00503F5B" w:rsidRDefault="009B295B" w:rsidP="00E04C6D">
      <w:pPr>
        <w:jc w:val="both"/>
      </w:pPr>
    </w:p>
    <w:p w14:paraId="11134E06" w14:textId="41BE7750" w:rsidR="00E04C6D" w:rsidRPr="00503F5B" w:rsidRDefault="00E04C6D" w:rsidP="00E04C6D">
      <w:pPr>
        <w:jc w:val="both"/>
      </w:pPr>
      <w:r w:rsidRPr="00503F5B">
        <w:t>The present value of fee revenue over 10 years is estimated to be $</w:t>
      </w:r>
      <w:r w:rsidR="00E56FD2" w:rsidRPr="00503F5B">
        <w:t>6</w:t>
      </w:r>
      <w:r w:rsidR="002533EE" w:rsidRPr="00503F5B">
        <w:t>3</w:t>
      </w:r>
      <w:r w:rsidRPr="00503F5B">
        <w:t>.</w:t>
      </w:r>
      <w:r w:rsidR="002533EE" w:rsidRPr="00503F5B">
        <w:t>69</w:t>
      </w:r>
      <w:r w:rsidRPr="00503F5B">
        <w:t xml:space="preserve"> million, as shown in Table A3.</w:t>
      </w:r>
      <w:r w:rsidR="002533EE" w:rsidRPr="00503F5B">
        <w:t>10</w:t>
      </w:r>
      <w:r w:rsidRPr="00503F5B">
        <w:t xml:space="preserve">.  Revenue generated under Option </w:t>
      </w:r>
      <w:r w:rsidR="009320DE" w:rsidRPr="00503F5B">
        <w:t>3</w:t>
      </w:r>
      <w:r w:rsidRPr="00503F5B">
        <w:t xml:space="preserve"> for 2020-21 covers </w:t>
      </w:r>
      <w:r w:rsidR="00E56FD2" w:rsidRPr="00503F5B">
        <w:t>5.</w:t>
      </w:r>
      <w:r w:rsidR="002533EE" w:rsidRPr="00503F5B">
        <w:t>63</w:t>
      </w:r>
      <w:r w:rsidRPr="00503F5B">
        <w:t>%</w:t>
      </w:r>
      <w:r w:rsidRPr="00503F5B">
        <w:rPr>
          <w:rStyle w:val="FootnoteReference"/>
        </w:rPr>
        <w:footnoteReference w:id="211"/>
      </w:r>
      <w:r w:rsidRPr="00503F5B">
        <w:t xml:space="preserve"> of all costs of emergency attendance for false alarms estimated for 2018-19.</w:t>
      </w:r>
    </w:p>
    <w:p w14:paraId="07398446" w14:textId="77777777" w:rsidR="001656BA" w:rsidRPr="00503F5B" w:rsidRDefault="001656BA" w:rsidP="00E04C6D">
      <w:pPr>
        <w:jc w:val="both"/>
      </w:pPr>
    </w:p>
    <w:p w14:paraId="4CE164D8" w14:textId="42F405EA" w:rsidR="00E04C6D" w:rsidRPr="00503F5B" w:rsidRDefault="00E04C6D" w:rsidP="00E04C6D">
      <w:pPr>
        <w:jc w:val="center"/>
        <w:rPr>
          <w:b/>
          <w:sz w:val="20"/>
          <w:szCs w:val="20"/>
        </w:rPr>
      </w:pPr>
      <w:r w:rsidRPr="00503F5B">
        <w:rPr>
          <w:b/>
          <w:sz w:val="20"/>
          <w:szCs w:val="20"/>
        </w:rPr>
        <w:t>Table A3.</w:t>
      </w:r>
      <w:r w:rsidR="002533EE" w:rsidRPr="00503F5B">
        <w:rPr>
          <w:b/>
          <w:sz w:val="20"/>
          <w:szCs w:val="20"/>
        </w:rPr>
        <w:t>10</w:t>
      </w:r>
      <w:r w:rsidRPr="00503F5B">
        <w:rPr>
          <w:b/>
          <w:sz w:val="20"/>
          <w:szCs w:val="20"/>
        </w:rPr>
        <w:t xml:space="preserve">: Estimated revenue from partial cost recovery fees under Option </w:t>
      </w:r>
      <w:r w:rsidR="009320DE" w:rsidRPr="00503F5B">
        <w:rPr>
          <w:b/>
          <w:sz w:val="20"/>
          <w:szCs w:val="20"/>
        </w:rPr>
        <w:t>3</w:t>
      </w:r>
      <w:r w:rsidRPr="00503F5B">
        <w:rPr>
          <w:b/>
          <w:sz w:val="20"/>
          <w:szCs w:val="20"/>
        </w:rPr>
        <w:t xml:space="preserve"> </w:t>
      </w:r>
    </w:p>
    <w:p w14:paraId="7DE687F5" w14:textId="4DCD5CC4" w:rsidR="00E04C6D" w:rsidRPr="00503F5B" w:rsidRDefault="00E04C6D" w:rsidP="00E04C6D">
      <w:pPr>
        <w:jc w:val="center"/>
        <w:rPr>
          <w:b/>
          <w:sz w:val="20"/>
          <w:szCs w:val="20"/>
        </w:rPr>
      </w:pPr>
      <w:r w:rsidRPr="00503F5B">
        <w:rPr>
          <w:b/>
          <w:sz w:val="20"/>
          <w:szCs w:val="20"/>
        </w:rPr>
        <w:t>(quarterly hour per appliance</w:t>
      </w:r>
      <w:r w:rsidR="002533EE" w:rsidRPr="00503F5B">
        <w:rPr>
          <w:b/>
          <w:sz w:val="20"/>
          <w:szCs w:val="20"/>
        </w:rPr>
        <w:t xml:space="preserve"> and a maximum fee of $1,600</w:t>
      </w:r>
      <w:r w:rsidRPr="00503F5B">
        <w:rPr>
          <w:b/>
          <w:sz w:val="20"/>
          <w:szCs w:val="20"/>
        </w:rPr>
        <w:t>) – 2020-21 to 2029-30</w:t>
      </w:r>
    </w:p>
    <w:p w14:paraId="0FFACBE0" w14:textId="77777777" w:rsidR="00E04C6D" w:rsidRPr="00503F5B" w:rsidRDefault="00E04C6D" w:rsidP="00E04C6D">
      <w:pPr>
        <w:jc w:val="both"/>
        <w:rPr>
          <w:b/>
        </w:rPr>
      </w:pPr>
    </w:p>
    <w:tbl>
      <w:tblPr>
        <w:tblW w:w="8975" w:type="dxa"/>
        <w:jc w:val="center"/>
        <w:tblLayout w:type="fixed"/>
        <w:tblLook w:val="04A0" w:firstRow="1" w:lastRow="0" w:firstColumn="1" w:lastColumn="0" w:noHBand="0" w:noVBand="1"/>
      </w:tblPr>
      <w:tblGrid>
        <w:gridCol w:w="1016"/>
        <w:gridCol w:w="2812"/>
        <w:gridCol w:w="1275"/>
        <w:gridCol w:w="1625"/>
        <w:gridCol w:w="2247"/>
      </w:tblGrid>
      <w:tr w:rsidR="002533EE" w:rsidRPr="00503F5B" w14:paraId="3089F02A" w14:textId="77777777" w:rsidTr="00517C6D">
        <w:trPr>
          <w:trHeight w:val="556"/>
          <w:tblHeader/>
          <w:jc w:val="center"/>
        </w:trPr>
        <w:tc>
          <w:tcPr>
            <w:tcW w:w="1016" w:type="dxa"/>
            <w:tcBorders>
              <w:top w:val="single" w:sz="4" w:space="0" w:color="ED7C5D"/>
              <w:left w:val="nil"/>
              <w:bottom w:val="double" w:sz="4" w:space="0" w:color="ED7C5D"/>
              <w:right w:val="nil"/>
            </w:tcBorders>
            <w:shd w:val="clear" w:color="000000" w:fill="FFFFFF"/>
            <w:noWrap/>
            <w:hideMark/>
          </w:tcPr>
          <w:p w14:paraId="236C0C3F" w14:textId="77777777" w:rsidR="002533EE" w:rsidRPr="00503F5B" w:rsidRDefault="002533EE" w:rsidP="002533EE">
            <w:pPr>
              <w:rPr>
                <w:rFonts w:eastAsia="Times New Roman" w:cs="Calibri"/>
                <w:b/>
                <w:bCs/>
                <w:color w:val="C00000"/>
                <w:sz w:val="20"/>
                <w:szCs w:val="20"/>
                <w:lang w:eastAsia="en-AU"/>
              </w:rPr>
            </w:pPr>
            <w:r w:rsidRPr="00503F5B">
              <w:rPr>
                <w:rFonts w:eastAsia="Times New Roman" w:cs="Calibri"/>
                <w:b/>
                <w:bCs/>
                <w:color w:val="C00000"/>
                <w:sz w:val="20"/>
                <w:szCs w:val="20"/>
                <w:lang w:eastAsia="en-AU"/>
              </w:rPr>
              <w:t>Year</w:t>
            </w:r>
          </w:p>
        </w:tc>
        <w:tc>
          <w:tcPr>
            <w:tcW w:w="2812" w:type="dxa"/>
            <w:tcBorders>
              <w:top w:val="single" w:sz="4" w:space="0" w:color="ED7C5D"/>
              <w:left w:val="nil"/>
              <w:bottom w:val="double" w:sz="4" w:space="0" w:color="ED7C5D"/>
              <w:right w:val="nil"/>
            </w:tcBorders>
            <w:shd w:val="clear" w:color="000000" w:fill="FFFFFF"/>
          </w:tcPr>
          <w:p w14:paraId="0723E7AB" w14:textId="77777777" w:rsidR="002533EE" w:rsidRPr="00503F5B" w:rsidRDefault="002533EE" w:rsidP="002533EE">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Total FRV</w:t>
            </w:r>
          </w:p>
          <w:p w14:paraId="22CF458D" w14:textId="77803193" w:rsidR="002533EE" w:rsidRPr="00503F5B" w:rsidRDefault="002533EE">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transactions under Option 3</w:t>
            </w:r>
          </w:p>
          <w:p w14:paraId="103F7348" w14:textId="04ABE926" w:rsidR="002533EE" w:rsidRPr="00503F5B" w:rsidRDefault="002533EE" w:rsidP="002533EE">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 xml:space="preserve">(l) = (j) + (k) </w:t>
            </w:r>
          </w:p>
        </w:tc>
        <w:tc>
          <w:tcPr>
            <w:tcW w:w="1275" w:type="dxa"/>
            <w:tcBorders>
              <w:top w:val="single" w:sz="4" w:space="0" w:color="ED7C5D"/>
              <w:left w:val="nil"/>
              <w:bottom w:val="double" w:sz="4" w:space="0" w:color="ED7C5D"/>
              <w:right w:val="nil"/>
            </w:tcBorders>
            <w:shd w:val="clear" w:color="000000" w:fill="FFFFFF"/>
          </w:tcPr>
          <w:p w14:paraId="238B5BA5" w14:textId="77777777" w:rsidR="002533EE" w:rsidRPr="00503F5B" w:rsidRDefault="002533EE" w:rsidP="002533EE">
            <w:pPr>
              <w:jc w:val="center"/>
              <w:rPr>
                <w:b/>
                <w:color w:val="BE2A18"/>
                <w:sz w:val="20"/>
                <w:szCs w:val="20"/>
              </w:rPr>
            </w:pPr>
            <w:r w:rsidRPr="00503F5B">
              <w:rPr>
                <w:b/>
                <w:color w:val="BE2A18"/>
                <w:sz w:val="20"/>
                <w:szCs w:val="20"/>
              </w:rPr>
              <w:t>Partial cost recovery fee</w:t>
            </w:r>
          </w:p>
        </w:tc>
        <w:tc>
          <w:tcPr>
            <w:tcW w:w="1625" w:type="dxa"/>
            <w:tcBorders>
              <w:top w:val="single" w:sz="4" w:space="0" w:color="ED7C5D"/>
              <w:left w:val="nil"/>
              <w:bottom w:val="double" w:sz="4" w:space="0" w:color="ED7C5D"/>
              <w:right w:val="nil"/>
            </w:tcBorders>
            <w:shd w:val="clear" w:color="000000" w:fill="FFFFFF"/>
          </w:tcPr>
          <w:p w14:paraId="34479645" w14:textId="77777777" w:rsidR="002533EE" w:rsidRPr="00503F5B" w:rsidRDefault="002533EE" w:rsidP="002533EE">
            <w:pPr>
              <w:jc w:val="center"/>
              <w:rPr>
                <w:rFonts w:eastAsia="Times New Roman" w:cs="Calibri"/>
                <w:b/>
                <w:bCs/>
                <w:color w:val="C00000"/>
                <w:sz w:val="20"/>
                <w:szCs w:val="20"/>
                <w:lang w:eastAsia="en-AU"/>
              </w:rPr>
            </w:pPr>
            <w:r w:rsidRPr="00503F5B">
              <w:rPr>
                <w:b/>
                <w:color w:val="BE2A18"/>
                <w:sz w:val="20"/>
                <w:szCs w:val="20"/>
              </w:rPr>
              <w:t>False alarm charges</w:t>
            </w:r>
          </w:p>
        </w:tc>
        <w:tc>
          <w:tcPr>
            <w:tcW w:w="2247" w:type="dxa"/>
            <w:tcBorders>
              <w:top w:val="single" w:sz="4" w:space="0" w:color="ED7C5D"/>
              <w:left w:val="nil"/>
              <w:bottom w:val="double" w:sz="4" w:space="0" w:color="ED7C5D"/>
              <w:right w:val="nil"/>
            </w:tcBorders>
            <w:shd w:val="clear" w:color="000000" w:fill="FFFFFF"/>
          </w:tcPr>
          <w:p w14:paraId="395C99ED" w14:textId="25E20DE5" w:rsidR="002533EE" w:rsidRPr="00503F5B" w:rsidRDefault="002533EE" w:rsidP="002533EE">
            <w:pPr>
              <w:jc w:val="center"/>
              <w:rPr>
                <w:rFonts w:eastAsia="Times New Roman" w:cs="Calibri"/>
                <w:b/>
                <w:bCs/>
                <w:color w:val="C00000"/>
                <w:sz w:val="20"/>
                <w:szCs w:val="20"/>
                <w:lang w:eastAsia="en-AU"/>
              </w:rPr>
            </w:pPr>
            <w:r w:rsidRPr="00503F5B">
              <w:rPr>
                <w:b/>
                <w:color w:val="BE2A18"/>
                <w:sz w:val="20"/>
                <w:szCs w:val="20"/>
              </w:rPr>
              <w:t>False alarm charges (Present value 2019-20 dollars)</w:t>
            </w:r>
            <w:r w:rsidRPr="00503F5B">
              <w:rPr>
                <w:rStyle w:val="FootnoteReference"/>
                <w:b/>
                <w:color w:val="BE2A18"/>
                <w:sz w:val="20"/>
                <w:szCs w:val="20"/>
              </w:rPr>
              <w:footnoteReference w:id="212"/>
            </w:r>
          </w:p>
        </w:tc>
      </w:tr>
      <w:tr w:rsidR="002533EE" w:rsidRPr="00503F5B" w14:paraId="59C9D6D7" w14:textId="77777777" w:rsidTr="00517C6D">
        <w:trPr>
          <w:trHeight w:val="50"/>
          <w:jc w:val="center"/>
        </w:trPr>
        <w:tc>
          <w:tcPr>
            <w:tcW w:w="1016" w:type="dxa"/>
            <w:tcBorders>
              <w:top w:val="double" w:sz="4" w:space="0" w:color="ED7C5D"/>
              <w:left w:val="nil"/>
              <w:bottom w:val="nil"/>
              <w:right w:val="nil"/>
            </w:tcBorders>
            <w:shd w:val="clear" w:color="000000" w:fill="FFFFFF"/>
            <w:noWrap/>
            <w:hideMark/>
          </w:tcPr>
          <w:p w14:paraId="36CF57A5" w14:textId="77777777" w:rsidR="002533EE" w:rsidRPr="00503F5B" w:rsidRDefault="002533EE" w:rsidP="002533EE">
            <w:pPr>
              <w:rPr>
                <w:rFonts w:eastAsia="Times New Roman" w:cs="Calibri"/>
                <w:sz w:val="20"/>
                <w:szCs w:val="20"/>
                <w:lang w:eastAsia="en-AU"/>
              </w:rPr>
            </w:pPr>
            <w:r w:rsidRPr="00503F5B">
              <w:rPr>
                <w:rFonts w:eastAsia="Times New Roman" w:cs="Calibri"/>
                <w:sz w:val="20"/>
                <w:szCs w:val="20"/>
                <w:lang w:eastAsia="en-AU"/>
              </w:rPr>
              <w:t>2020-21</w:t>
            </w:r>
          </w:p>
        </w:tc>
        <w:tc>
          <w:tcPr>
            <w:tcW w:w="2812" w:type="dxa"/>
            <w:tcBorders>
              <w:top w:val="double" w:sz="4" w:space="0" w:color="ED7C5D"/>
              <w:left w:val="nil"/>
              <w:bottom w:val="nil"/>
              <w:right w:val="nil"/>
            </w:tcBorders>
            <w:shd w:val="clear" w:color="000000" w:fill="FFFFFF"/>
            <w:vAlign w:val="bottom"/>
          </w:tcPr>
          <w:p w14:paraId="57863A6B" w14:textId="521C0FC0" w:rsidR="002533EE" w:rsidRPr="00503F5B" w:rsidRDefault="002533EE" w:rsidP="002533EE">
            <w:pPr>
              <w:jc w:val="right"/>
              <w:rPr>
                <w:sz w:val="20"/>
                <w:szCs w:val="20"/>
              </w:rPr>
            </w:pPr>
            <w:r w:rsidRPr="00503F5B">
              <w:rPr>
                <w:rFonts w:cs="Calibri"/>
                <w:sz w:val="20"/>
                <w:szCs w:val="20"/>
              </w:rPr>
              <w:t>22,431</w:t>
            </w:r>
          </w:p>
        </w:tc>
        <w:tc>
          <w:tcPr>
            <w:tcW w:w="1275" w:type="dxa"/>
            <w:tcBorders>
              <w:top w:val="double" w:sz="4" w:space="0" w:color="ED7C5D"/>
              <w:left w:val="nil"/>
              <w:bottom w:val="nil"/>
              <w:right w:val="nil"/>
            </w:tcBorders>
            <w:shd w:val="clear" w:color="auto" w:fill="FBE4D5" w:themeFill="accent2" w:themeFillTint="33"/>
          </w:tcPr>
          <w:p w14:paraId="33D271A8" w14:textId="59685F7E" w:rsidR="002533EE" w:rsidRPr="00503F5B" w:rsidRDefault="002533EE" w:rsidP="002533EE">
            <w:pPr>
              <w:jc w:val="right"/>
              <w:rPr>
                <w:b/>
                <w:bCs/>
                <w:sz w:val="20"/>
                <w:szCs w:val="20"/>
              </w:rPr>
            </w:pPr>
            <w:r w:rsidRPr="00503F5B">
              <w:rPr>
                <w:sz w:val="20"/>
                <w:szCs w:val="20"/>
              </w:rPr>
              <w:t>$310.88</w:t>
            </w:r>
          </w:p>
        </w:tc>
        <w:tc>
          <w:tcPr>
            <w:tcW w:w="1625" w:type="dxa"/>
            <w:tcBorders>
              <w:top w:val="double" w:sz="4" w:space="0" w:color="ED7C5D"/>
              <w:left w:val="nil"/>
              <w:bottom w:val="nil"/>
              <w:right w:val="nil"/>
            </w:tcBorders>
            <w:shd w:val="clear" w:color="000000" w:fill="FFFFFF"/>
          </w:tcPr>
          <w:p w14:paraId="2B5EFBF8" w14:textId="2693B149" w:rsidR="002533EE" w:rsidRPr="00503F5B" w:rsidRDefault="002533EE" w:rsidP="002533EE">
            <w:pPr>
              <w:jc w:val="right"/>
              <w:rPr>
                <w:b/>
                <w:bCs/>
                <w:sz w:val="20"/>
                <w:szCs w:val="20"/>
              </w:rPr>
            </w:pPr>
            <w:r w:rsidRPr="00503F5B">
              <w:rPr>
                <w:sz w:val="20"/>
                <w:szCs w:val="20"/>
              </w:rPr>
              <w:t>$6,973,337</w:t>
            </w:r>
          </w:p>
        </w:tc>
        <w:tc>
          <w:tcPr>
            <w:tcW w:w="2247" w:type="dxa"/>
            <w:tcBorders>
              <w:top w:val="double" w:sz="4" w:space="0" w:color="ED7C5D"/>
              <w:left w:val="nil"/>
              <w:bottom w:val="nil"/>
              <w:right w:val="nil"/>
            </w:tcBorders>
            <w:shd w:val="clear" w:color="000000" w:fill="FFFFFF"/>
          </w:tcPr>
          <w:p w14:paraId="75F52CEF" w14:textId="0B04F7BE" w:rsidR="002533EE" w:rsidRPr="00503F5B" w:rsidRDefault="002533EE" w:rsidP="002533EE">
            <w:pPr>
              <w:jc w:val="right"/>
              <w:rPr>
                <w:b/>
                <w:bCs/>
                <w:sz w:val="20"/>
                <w:szCs w:val="20"/>
              </w:rPr>
            </w:pPr>
            <w:r w:rsidRPr="00503F5B">
              <w:rPr>
                <w:sz w:val="20"/>
                <w:szCs w:val="20"/>
              </w:rPr>
              <w:t>$6,705,132</w:t>
            </w:r>
          </w:p>
        </w:tc>
      </w:tr>
      <w:tr w:rsidR="002533EE" w:rsidRPr="00503F5B" w14:paraId="59104EEE" w14:textId="77777777" w:rsidTr="00517C6D">
        <w:trPr>
          <w:trHeight w:val="88"/>
          <w:jc w:val="center"/>
        </w:trPr>
        <w:tc>
          <w:tcPr>
            <w:tcW w:w="1016" w:type="dxa"/>
            <w:tcBorders>
              <w:top w:val="nil"/>
              <w:left w:val="nil"/>
              <w:bottom w:val="nil"/>
              <w:right w:val="nil"/>
            </w:tcBorders>
            <w:shd w:val="clear" w:color="000000" w:fill="FFFFFF"/>
            <w:noWrap/>
            <w:hideMark/>
          </w:tcPr>
          <w:p w14:paraId="2F43E66D" w14:textId="77777777" w:rsidR="002533EE" w:rsidRPr="00503F5B" w:rsidRDefault="002533EE" w:rsidP="002533EE">
            <w:pPr>
              <w:rPr>
                <w:rFonts w:eastAsia="Times New Roman" w:cs="Calibri"/>
                <w:sz w:val="20"/>
                <w:szCs w:val="20"/>
                <w:lang w:eastAsia="en-AU"/>
              </w:rPr>
            </w:pPr>
            <w:r w:rsidRPr="00503F5B">
              <w:rPr>
                <w:rFonts w:eastAsia="Times New Roman" w:cs="Calibri"/>
                <w:sz w:val="20"/>
                <w:szCs w:val="20"/>
                <w:lang w:eastAsia="en-AU"/>
              </w:rPr>
              <w:t>2021-22</w:t>
            </w:r>
          </w:p>
        </w:tc>
        <w:tc>
          <w:tcPr>
            <w:tcW w:w="2812" w:type="dxa"/>
            <w:tcBorders>
              <w:top w:val="nil"/>
              <w:left w:val="nil"/>
              <w:bottom w:val="nil"/>
              <w:right w:val="nil"/>
            </w:tcBorders>
            <w:shd w:val="clear" w:color="000000" w:fill="FFFFFF"/>
            <w:vAlign w:val="bottom"/>
          </w:tcPr>
          <w:p w14:paraId="5522BEE4" w14:textId="19951464" w:rsidR="002533EE" w:rsidRPr="00503F5B" w:rsidRDefault="002533EE" w:rsidP="002533EE">
            <w:pPr>
              <w:jc w:val="right"/>
              <w:rPr>
                <w:sz w:val="20"/>
                <w:szCs w:val="20"/>
              </w:rPr>
            </w:pPr>
            <w:r w:rsidRPr="00503F5B">
              <w:rPr>
                <w:rFonts w:cs="Calibri"/>
                <w:sz w:val="20"/>
                <w:szCs w:val="20"/>
              </w:rPr>
              <w:t>22,905</w:t>
            </w:r>
          </w:p>
        </w:tc>
        <w:tc>
          <w:tcPr>
            <w:tcW w:w="1275" w:type="dxa"/>
            <w:tcBorders>
              <w:top w:val="nil"/>
              <w:left w:val="nil"/>
              <w:bottom w:val="nil"/>
              <w:right w:val="nil"/>
            </w:tcBorders>
            <w:shd w:val="clear" w:color="auto" w:fill="FBE4D5" w:themeFill="accent2" w:themeFillTint="33"/>
          </w:tcPr>
          <w:p w14:paraId="6B17D3F7" w14:textId="6C79C402" w:rsidR="002533EE" w:rsidRPr="00503F5B" w:rsidRDefault="002533EE" w:rsidP="002533EE">
            <w:pPr>
              <w:jc w:val="right"/>
              <w:rPr>
                <w:b/>
                <w:bCs/>
                <w:sz w:val="20"/>
                <w:szCs w:val="20"/>
              </w:rPr>
            </w:pPr>
            <w:r w:rsidRPr="00503F5B">
              <w:rPr>
                <w:sz w:val="20"/>
                <w:szCs w:val="20"/>
              </w:rPr>
              <w:t>$310.88</w:t>
            </w:r>
          </w:p>
        </w:tc>
        <w:tc>
          <w:tcPr>
            <w:tcW w:w="1625" w:type="dxa"/>
            <w:tcBorders>
              <w:top w:val="nil"/>
              <w:left w:val="nil"/>
              <w:bottom w:val="nil"/>
              <w:right w:val="nil"/>
            </w:tcBorders>
            <w:shd w:val="clear" w:color="000000" w:fill="FFFFFF"/>
          </w:tcPr>
          <w:p w14:paraId="0C2B97FB" w14:textId="58A0ECAB" w:rsidR="002533EE" w:rsidRPr="00503F5B" w:rsidRDefault="002533EE" w:rsidP="002533EE">
            <w:pPr>
              <w:jc w:val="right"/>
              <w:rPr>
                <w:b/>
                <w:bCs/>
                <w:sz w:val="20"/>
                <w:szCs w:val="20"/>
              </w:rPr>
            </w:pPr>
            <w:r w:rsidRPr="00503F5B">
              <w:rPr>
                <w:sz w:val="20"/>
                <w:szCs w:val="20"/>
              </w:rPr>
              <w:t>$7,120,684</w:t>
            </w:r>
          </w:p>
        </w:tc>
        <w:tc>
          <w:tcPr>
            <w:tcW w:w="2247" w:type="dxa"/>
            <w:tcBorders>
              <w:top w:val="nil"/>
              <w:left w:val="nil"/>
              <w:bottom w:val="nil"/>
              <w:right w:val="nil"/>
            </w:tcBorders>
            <w:shd w:val="clear" w:color="000000" w:fill="FFFFFF"/>
          </w:tcPr>
          <w:p w14:paraId="7F72255D" w14:textId="30A44240" w:rsidR="002533EE" w:rsidRPr="00503F5B" w:rsidRDefault="002533EE" w:rsidP="002533EE">
            <w:pPr>
              <w:jc w:val="right"/>
              <w:rPr>
                <w:b/>
                <w:bCs/>
                <w:sz w:val="20"/>
                <w:szCs w:val="20"/>
              </w:rPr>
            </w:pPr>
            <w:r w:rsidRPr="00503F5B">
              <w:rPr>
                <w:sz w:val="20"/>
                <w:szCs w:val="20"/>
              </w:rPr>
              <w:t>$6,583,472</w:t>
            </w:r>
          </w:p>
        </w:tc>
      </w:tr>
      <w:tr w:rsidR="002533EE" w:rsidRPr="00503F5B" w14:paraId="44CD401B" w14:textId="77777777" w:rsidTr="00517C6D">
        <w:trPr>
          <w:trHeight w:val="50"/>
          <w:jc w:val="center"/>
        </w:trPr>
        <w:tc>
          <w:tcPr>
            <w:tcW w:w="1016" w:type="dxa"/>
            <w:tcBorders>
              <w:top w:val="nil"/>
              <w:left w:val="nil"/>
              <w:bottom w:val="nil"/>
              <w:right w:val="nil"/>
            </w:tcBorders>
            <w:shd w:val="clear" w:color="000000" w:fill="FFFFFF"/>
            <w:noWrap/>
            <w:hideMark/>
          </w:tcPr>
          <w:p w14:paraId="61B0DAE6" w14:textId="77777777" w:rsidR="002533EE" w:rsidRPr="00503F5B" w:rsidRDefault="002533EE" w:rsidP="002533EE">
            <w:pPr>
              <w:rPr>
                <w:rFonts w:eastAsia="Times New Roman" w:cs="Calibri"/>
                <w:sz w:val="20"/>
                <w:szCs w:val="20"/>
                <w:lang w:eastAsia="en-AU"/>
              </w:rPr>
            </w:pPr>
            <w:r w:rsidRPr="00503F5B">
              <w:rPr>
                <w:rFonts w:eastAsia="Times New Roman" w:cs="Calibri"/>
                <w:sz w:val="20"/>
                <w:szCs w:val="20"/>
                <w:lang w:eastAsia="en-AU"/>
              </w:rPr>
              <w:t>2022-23</w:t>
            </w:r>
          </w:p>
        </w:tc>
        <w:tc>
          <w:tcPr>
            <w:tcW w:w="2812" w:type="dxa"/>
            <w:tcBorders>
              <w:top w:val="nil"/>
              <w:left w:val="nil"/>
              <w:bottom w:val="nil"/>
              <w:right w:val="nil"/>
            </w:tcBorders>
            <w:shd w:val="clear" w:color="000000" w:fill="FFFFFF"/>
            <w:vAlign w:val="bottom"/>
          </w:tcPr>
          <w:p w14:paraId="39A1AE4A" w14:textId="073BF96D" w:rsidR="002533EE" w:rsidRPr="00503F5B" w:rsidRDefault="002533EE" w:rsidP="002533EE">
            <w:pPr>
              <w:jc w:val="right"/>
              <w:rPr>
                <w:sz w:val="20"/>
                <w:szCs w:val="20"/>
              </w:rPr>
            </w:pPr>
            <w:r w:rsidRPr="00503F5B">
              <w:rPr>
                <w:rFonts w:cs="Calibri"/>
                <w:sz w:val="20"/>
                <w:szCs w:val="20"/>
              </w:rPr>
              <w:t>23,462</w:t>
            </w:r>
          </w:p>
        </w:tc>
        <w:tc>
          <w:tcPr>
            <w:tcW w:w="1275" w:type="dxa"/>
            <w:tcBorders>
              <w:top w:val="nil"/>
              <w:left w:val="nil"/>
              <w:bottom w:val="nil"/>
              <w:right w:val="nil"/>
            </w:tcBorders>
            <w:shd w:val="clear" w:color="auto" w:fill="FBE4D5" w:themeFill="accent2" w:themeFillTint="33"/>
          </w:tcPr>
          <w:p w14:paraId="66B23D83" w14:textId="15B70165" w:rsidR="002533EE" w:rsidRPr="00503F5B" w:rsidRDefault="002533EE" w:rsidP="002533EE">
            <w:pPr>
              <w:jc w:val="right"/>
              <w:rPr>
                <w:b/>
                <w:bCs/>
                <w:sz w:val="20"/>
                <w:szCs w:val="20"/>
              </w:rPr>
            </w:pPr>
            <w:r w:rsidRPr="00503F5B">
              <w:rPr>
                <w:sz w:val="20"/>
                <w:szCs w:val="20"/>
              </w:rPr>
              <w:t>$310.88</w:t>
            </w:r>
          </w:p>
        </w:tc>
        <w:tc>
          <w:tcPr>
            <w:tcW w:w="1625" w:type="dxa"/>
            <w:tcBorders>
              <w:top w:val="nil"/>
              <w:left w:val="nil"/>
              <w:bottom w:val="nil"/>
              <w:right w:val="nil"/>
            </w:tcBorders>
            <w:shd w:val="clear" w:color="000000" w:fill="FFFFFF"/>
          </w:tcPr>
          <w:p w14:paraId="5EEEB18A" w14:textId="288E5AD5" w:rsidR="002533EE" w:rsidRPr="00503F5B" w:rsidRDefault="002533EE" w:rsidP="002533EE">
            <w:pPr>
              <w:jc w:val="right"/>
              <w:rPr>
                <w:b/>
                <w:bCs/>
                <w:sz w:val="20"/>
                <w:szCs w:val="20"/>
              </w:rPr>
            </w:pPr>
            <w:r w:rsidRPr="00503F5B">
              <w:rPr>
                <w:sz w:val="20"/>
                <w:szCs w:val="20"/>
              </w:rPr>
              <w:t>$7,294,019</w:t>
            </w:r>
          </w:p>
        </w:tc>
        <w:tc>
          <w:tcPr>
            <w:tcW w:w="2247" w:type="dxa"/>
            <w:tcBorders>
              <w:top w:val="nil"/>
              <w:left w:val="nil"/>
              <w:bottom w:val="nil"/>
              <w:right w:val="nil"/>
            </w:tcBorders>
            <w:shd w:val="clear" w:color="000000" w:fill="FFFFFF"/>
          </w:tcPr>
          <w:p w14:paraId="061DEB01" w14:textId="783F5F17" w:rsidR="002533EE" w:rsidRPr="00503F5B" w:rsidRDefault="002533EE" w:rsidP="002533EE">
            <w:pPr>
              <w:jc w:val="right"/>
              <w:rPr>
                <w:b/>
                <w:bCs/>
                <w:sz w:val="20"/>
                <w:szCs w:val="20"/>
              </w:rPr>
            </w:pPr>
            <w:r w:rsidRPr="00503F5B">
              <w:rPr>
                <w:sz w:val="20"/>
                <w:szCs w:val="20"/>
              </w:rPr>
              <w:t>$6,484,356</w:t>
            </w:r>
          </w:p>
        </w:tc>
      </w:tr>
      <w:tr w:rsidR="002533EE" w:rsidRPr="00503F5B" w14:paraId="6208BDC5" w14:textId="77777777" w:rsidTr="00517C6D">
        <w:trPr>
          <w:trHeight w:val="50"/>
          <w:jc w:val="center"/>
        </w:trPr>
        <w:tc>
          <w:tcPr>
            <w:tcW w:w="1016" w:type="dxa"/>
            <w:tcBorders>
              <w:top w:val="nil"/>
              <w:left w:val="nil"/>
              <w:bottom w:val="nil"/>
              <w:right w:val="nil"/>
            </w:tcBorders>
            <w:shd w:val="clear" w:color="000000" w:fill="FFFFFF"/>
            <w:noWrap/>
            <w:hideMark/>
          </w:tcPr>
          <w:p w14:paraId="1121353C" w14:textId="77777777" w:rsidR="002533EE" w:rsidRPr="00503F5B" w:rsidRDefault="002533EE" w:rsidP="002533EE">
            <w:pPr>
              <w:rPr>
                <w:rFonts w:eastAsia="Times New Roman" w:cs="Calibri"/>
                <w:sz w:val="20"/>
                <w:szCs w:val="20"/>
                <w:lang w:eastAsia="en-AU"/>
              </w:rPr>
            </w:pPr>
            <w:r w:rsidRPr="00503F5B">
              <w:rPr>
                <w:rFonts w:eastAsia="Times New Roman" w:cs="Calibri"/>
                <w:sz w:val="20"/>
                <w:szCs w:val="20"/>
                <w:lang w:eastAsia="en-AU"/>
              </w:rPr>
              <w:t>2023-24</w:t>
            </w:r>
          </w:p>
        </w:tc>
        <w:tc>
          <w:tcPr>
            <w:tcW w:w="2812" w:type="dxa"/>
            <w:tcBorders>
              <w:top w:val="nil"/>
              <w:left w:val="nil"/>
              <w:bottom w:val="nil"/>
              <w:right w:val="nil"/>
            </w:tcBorders>
            <w:shd w:val="clear" w:color="000000" w:fill="FFFFFF"/>
            <w:vAlign w:val="bottom"/>
          </w:tcPr>
          <w:p w14:paraId="6EF0E3BD" w14:textId="22DC8DCF" w:rsidR="002533EE" w:rsidRPr="00503F5B" w:rsidRDefault="002533EE" w:rsidP="002533EE">
            <w:pPr>
              <w:jc w:val="right"/>
              <w:rPr>
                <w:sz w:val="20"/>
                <w:szCs w:val="20"/>
              </w:rPr>
            </w:pPr>
            <w:r w:rsidRPr="00503F5B">
              <w:rPr>
                <w:rFonts w:cs="Calibri"/>
                <w:sz w:val="20"/>
                <w:szCs w:val="20"/>
              </w:rPr>
              <w:t>24,100</w:t>
            </w:r>
          </w:p>
        </w:tc>
        <w:tc>
          <w:tcPr>
            <w:tcW w:w="1275" w:type="dxa"/>
            <w:tcBorders>
              <w:top w:val="nil"/>
              <w:left w:val="nil"/>
              <w:bottom w:val="nil"/>
              <w:right w:val="nil"/>
            </w:tcBorders>
            <w:shd w:val="clear" w:color="auto" w:fill="FBE4D5" w:themeFill="accent2" w:themeFillTint="33"/>
          </w:tcPr>
          <w:p w14:paraId="6CF8D1F8" w14:textId="5097E543" w:rsidR="002533EE" w:rsidRPr="00503F5B" w:rsidRDefault="002533EE" w:rsidP="002533EE">
            <w:pPr>
              <w:jc w:val="right"/>
              <w:rPr>
                <w:b/>
                <w:bCs/>
                <w:sz w:val="20"/>
                <w:szCs w:val="20"/>
              </w:rPr>
            </w:pPr>
            <w:r w:rsidRPr="00503F5B">
              <w:rPr>
                <w:sz w:val="20"/>
                <w:szCs w:val="20"/>
              </w:rPr>
              <w:t>$310.88</w:t>
            </w:r>
          </w:p>
        </w:tc>
        <w:tc>
          <w:tcPr>
            <w:tcW w:w="1625" w:type="dxa"/>
            <w:tcBorders>
              <w:top w:val="nil"/>
              <w:left w:val="nil"/>
              <w:bottom w:val="nil"/>
              <w:right w:val="nil"/>
            </w:tcBorders>
            <w:shd w:val="clear" w:color="000000" w:fill="FFFFFF"/>
          </w:tcPr>
          <w:p w14:paraId="209C143A" w14:textId="322FDAA9" w:rsidR="002533EE" w:rsidRPr="00503F5B" w:rsidRDefault="002533EE" w:rsidP="002533EE">
            <w:pPr>
              <w:jc w:val="right"/>
              <w:rPr>
                <w:b/>
                <w:bCs/>
                <w:sz w:val="20"/>
                <w:szCs w:val="20"/>
              </w:rPr>
            </w:pPr>
            <w:r w:rsidRPr="00503F5B">
              <w:rPr>
                <w:sz w:val="20"/>
                <w:szCs w:val="20"/>
              </w:rPr>
              <w:t>$7,492,243</w:t>
            </w:r>
          </w:p>
        </w:tc>
        <w:tc>
          <w:tcPr>
            <w:tcW w:w="2247" w:type="dxa"/>
            <w:tcBorders>
              <w:top w:val="nil"/>
              <w:left w:val="nil"/>
              <w:bottom w:val="nil"/>
              <w:right w:val="nil"/>
            </w:tcBorders>
            <w:shd w:val="clear" w:color="000000" w:fill="FFFFFF"/>
          </w:tcPr>
          <w:p w14:paraId="1EC0B5BC" w14:textId="70E44F0C" w:rsidR="002533EE" w:rsidRPr="00503F5B" w:rsidRDefault="002533EE" w:rsidP="002533EE">
            <w:pPr>
              <w:jc w:val="right"/>
              <w:rPr>
                <w:b/>
                <w:bCs/>
                <w:sz w:val="20"/>
                <w:szCs w:val="20"/>
              </w:rPr>
            </w:pPr>
            <w:r w:rsidRPr="00503F5B">
              <w:rPr>
                <w:sz w:val="20"/>
                <w:szCs w:val="20"/>
              </w:rPr>
              <w:t>$6,404,400</w:t>
            </w:r>
          </w:p>
        </w:tc>
      </w:tr>
      <w:tr w:rsidR="002533EE" w:rsidRPr="00503F5B" w14:paraId="106454B6" w14:textId="77777777" w:rsidTr="00517C6D">
        <w:trPr>
          <w:trHeight w:val="50"/>
          <w:jc w:val="center"/>
        </w:trPr>
        <w:tc>
          <w:tcPr>
            <w:tcW w:w="1016" w:type="dxa"/>
            <w:tcBorders>
              <w:top w:val="nil"/>
              <w:left w:val="nil"/>
              <w:bottom w:val="nil"/>
              <w:right w:val="nil"/>
            </w:tcBorders>
            <w:shd w:val="clear" w:color="000000" w:fill="FFFFFF"/>
            <w:noWrap/>
            <w:hideMark/>
          </w:tcPr>
          <w:p w14:paraId="04650B8E" w14:textId="77777777" w:rsidR="002533EE" w:rsidRPr="00503F5B" w:rsidRDefault="002533EE" w:rsidP="002533EE">
            <w:pPr>
              <w:rPr>
                <w:rFonts w:eastAsia="Times New Roman" w:cs="Calibri"/>
                <w:sz w:val="20"/>
                <w:szCs w:val="20"/>
                <w:lang w:eastAsia="en-AU"/>
              </w:rPr>
            </w:pPr>
            <w:r w:rsidRPr="00503F5B">
              <w:rPr>
                <w:rFonts w:eastAsia="Times New Roman" w:cs="Calibri"/>
                <w:sz w:val="20"/>
                <w:szCs w:val="20"/>
                <w:lang w:eastAsia="en-AU"/>
              </w:rPr>
              <w:t>2024-25</w:t>
            </w:r>
          </w:p>
        </w:tc>
        <w:tc>
          <w:tcPr>
            <w:tcW w:w="2812" w:type="dxa"/>
            <w:tcBorders>
              <w:top w:val="nil"/>
              <w:left w:val="nil"/>
              <w:bottom w:val="nil"/>
              <w:right w:val="nil"/>
            </w:tcBorders>
            <w:shd w:val="clear" w:color="000000" w:fill="FFFFFF"/>
            <w:vAlign w:val="bottom"/>
          </w:tcPr>
          <w:p w14:paraId="6B273441" w14:textId="0239156B" w:rsidR="002533EE" w:rsidRPr="00503F5B" w:rsidRDefault="002533EE" w:rsidP="002533EE">
            <w:pPr>
              <w:jc w:val="right"/>
              <w:rPr>
                <w:sz w:val="20"/>
                <w:szCs w:val="20"/>
              </w:rPr>
            </w:pPr>
            <w:r w:rsidRPr="00503F5B">
              <w:rPr>
                <w:rFonts w:cs="Calibri"/>
                <w:sz w:val="20"/>
                <w:szCs w:val="20"/>
              </w:rPr>
              <w:t>24,815</w:t>
            </w:r>
          </w:p>
        </w:tc>
        <w:tc>
          <w:tcPr>
            <w:tcW w:w="1275" w:type="dxa"/>
            <w:tcBorders>
              <w:top w:val="nil"/>
              <w:left w:val="nil"/>
              <w:bottom w:val="nil"/>
              <w:right w:val="nil"/>
            </w:tcBorders>
            <w:shd w:val="clear" w:color="auto" w:fill="FBE4D5" w:themeFill="accent2" w:themeFillTint="33"/>
          </w:tcPr>
          <w:p w14:paraId="74955919" w14:textId="6AB0A014" w:rsidR="002533EE" w:rsidRPr="00503F5B" w:rsidRDefault="002533EE" w:rsidP="002533EE">
            <w:pPr>
              <w:jc w:val="right"/>
              <w:rPr>
                <w:b/>
                <w:bCs/>
                <w:sz w:val="20"/>
                <w:szCs w:val="20"/>
              </w:rPr>
            </w:pPr>
            <w:r w:rsidRPr="00503F5B">
              <w:rPr>
                <w:sz w:val="20"/>
                <w:szCs w:val="20"/>
              </w:rPr>
              <w:t>$310.88</w:t>
            </w:r>
          </w:p>
        </w:tc>
        <w:tc>
          <w:tcPr>
            <w:tcW w:w="1625" w:type="dxa"/>
            <w:tcBorders>
              <w:top w:val="nil"/>
              <w:left w:val="nil"/>
              <w:bottom w:val="nil"/>
              <w:right w:val="nil"/>
            </w:tcBorders>
            <w:shd w:val="clear" w:color="000000" w:fill="FFFFFF"/>
          </w:tcPr>
          <w:p w14:paraId="2088175C" w14:textId="01B96E68" w:rsidR="002533EE" w:rsidRPr="00503F5B" w:rsidRDefault="002533EE" w:rsidP="002533EE">
            <w:pPr>
              <w:jc w:val="right"/>
              <w:rPr>
                <w:b/>
                <w:bCs/>
                <w:sz w:val="20"/>
                <w:szCs w:val="20"/>
              </w:rPr>
            </w:pPr>
            <w:r w:rsidRPr="00503F5B">
              <w:rPr>
                <w:sz w:val="20"/>
                <w:szCs w:val="20"/>
              </w:rPr>
              <w:t>$7,714,469</w:t>
            </w:r>
          </w:p>
        </w:tc>
        <w:tc>
          <w:tcPr>
            <w:tcW w:w="2247" w:type="dxa"/>
            <w:tcBorders>
              <w:top w:val="nil"/>
              <w:left w:val="nil"/>
              <w:bottom w:val="nil"/>
              <w:right w:val="nil"/>
            </w:tcBorders>
            <w:shd w:val="clear" w:color="000000" w:fill="FFFFFF"/>
          </w:tcPr>
          <w:p w14:paraId="1FF4E0E4" w14:textId="41CD46C0" w:rsidR="002533EE" w:rsidRPr="00503F5B" w:rsidRDefault="002533EE" w:rsidP="002533EE">
            <w:pPr>
              <w:jc w:val="right"/>
              <w:rPr>
                <w:b/>
                <w:bCs/>
                <w:sz w:val="20"/>
                <w:szCs w:val="20"/>
              </w:rPr>
            </w:pPr>
            <w:r w:rsidRPr="00503F5B">
              <w:rPr>
                <w:sz w:val="20"/>
                <w:szCs w:val="20"/>
              </w:rPr>
              <w:t>$6,340,732</w:t>
            </w:r>
          </w:p>
        </w:tc>
      </w:tr>
      <w:tr w:rsidR="002533EE" w:rsidRPr="00503F5B" w14:paraId="6146291A" w14:textId="77777777" w:rsidTr="00517C6D">
        <w:trPr>
          <w:trHeight w:val="50"/>
          <w:jc w:val="center"/>
        </w:trPr>
        <w:tc>
          <w:tcPr>
            <w:tcW w:w="1016" w:type="dxa"/>
            <w:tcBorders>
              <w:top w:val="nil"/>
              <w:left w:val="nil"/>
              <w:bottom w:val="nil"/>
              <w:right w:val="nil"/>
            </w:tcBorders>
            <w:shd w:val="clear" w:color="000000" w:fill="FFFFFF"/>
            <w:noWrap/>
            <w:hideMark/>
          </w:tcPr>
          <w:p w14:paraId="74128156" w14:textId="77777777" w:rsidR="002533EE" w:rsidRPr="00503F5B" w:rsidRDefault="002533EE" w:rsidP="002533EE">
            <w:pPr>
              <w:rPr>
                <w:rFonts w:eastAsia="Times New Roman" w:cs="Calibri"/>
                <w:sz w:val="20"/>
                <w:szCs w:val="20"/>
                <w:lang w:eastAsia="en-AU"/>
              </w:rPr>
            </w:pPr>
            <w:r w:rsidRPr="00503F5B">
              <w:rPr>
                <w:rFonts w:eastAsia="Times New Roman" w:cs="Calibri"/>
                <w:sz w:val="20"/>
                <w:szCs w:val="20"/>
                <w:lang w:eastAsia="en-AU"/>
              </w:rPr>
              <w:t>2025-26</w:t>
            </w:r>
          </w:p>
        </w:tc>
        <w:tc>
          <w:tcPr>
            <w:tcW w:w="2812" w:type="dxa"/>
            <w:tcBorders>
              <w:top w:val="nil"/>
              <w:left w:val="nil"/>
              <w:bottom w:val="nil"/>
              <w:right w:val="nil"/>
            </w:tcBorders>
            <w:shd w:val="clear" w:color="000000" w:fill="FFFFFF"/>
            <w:vAlign w:val="bottom"/>
          </w:tcPr>
          <w:p w14:paraId="2EEE2006" w14:textId="62F76DD4" w:rsidR="002533EE" w:rsidRPr="00503F5B" w:rsidRDefault="002533EE" w:rsidP="002533EE">
            <w:pPr>
              <w:jc w:val="right"/>
              <w:rPr>
                <w:sz w:val="20"/>
                <w:szCs w:val="20"/>
              </w:rPr>
            </w:pPr>
            <w:r w:rsidRPr="00503F5B">
              <w:rPr>
                <w:rFonts w:cs="Calibri"/>
                <w:sz w:val="20"/>
                <w:szCs w:val="20"/>
              </w:rPr>
              <w:t>25,604</w:t>
            </w:r>
          </w:p>
        </w:tc>
        <w:tc>
          <w:tcPr>
            <w:tcW w:w="1275" w:type="dxa"/>
            <w:tcBorders>
              <w:top w:val="nil"/>
              <w:left w:val="nil"/>
              <w:bottom w:val="nil"/>
              <w:right w:val="nil"/>
            </w:tcBorders>
            <w:shd w:val="clear" w:color="auto" w:fill="FBE4D5" w:themeFill="accent2" w:themeFillTint="33"/>
          </w:tcPr>
          <w:p w14:paraId="5E5F103D" w14:textId="589B0C5A" w:rsidR="002533EE" w:rsidRPr="00503F5B" w:rsidRDefault="002533EE" w:rsidP="002533EE">
            <w:pPr>
              <w:jc w:val="right"/>
              <w:rPr>
                <w:b/>
                <w:bCs/>
                <w:sz w:val="20"/>
                <w:szCs w:val="20"/>
              </w:rPr>
            </w:pPr>
            <w:r w:rsidRPr="00503F5B">
              <w:rPr>
                <w:sz w:val="20"/>
                <w:szCs w:val="20"/>
              </w:rPr>
              <w:t>$310.88</w:t>
            </w:r>
          </w:p>
        </w:tc>
        <w:tc>
          <w:tcPr>
            <w:tcW w:w="1625" w:type="dxa"/>
            <w:tcBorders>
              <w:top w:val="nil"/>
              <w:left w:val="nil"/>
              <w:bottom w:val="nil"/>
              <w:right w:val="nil"/>
            </w:tcBorders>
            <w:shd w:val="clear" w:color="000000" w:fill="FFFFFF"/>
          </w:tcPr>
          <w:p w14:paraId="7FFEEC0B" w14:textId="7B200BB7" w:rsidR="002533EE" w:rsidRPr="00503F5B" w:rsidRDefault="002533EE" w:rsidP="002533EE">
            <w:pPr>
              <w:jc w:val="right"/>
              <w:rPr>
                <w:b/>
                <w:bCs/>
                <w:sz w:val="20"/>
                <w:szCs w:val="20"/>
              </w:rPr>
            </w:pPr>
            <w:r w:rsidRPr="00503F5B">
              <w:rPr>
                <w:sz w:val="20"/>
                <w:szCs w:val="20"/>
              </w:rPr>
              <w:t>$7,960,010</w:t>
            </w:r>
          </w:p>
        </w:tc>
        <w:tc>
          <w:tcPr>
            <w:tcW w:w="2247" w:type="dxa"/>
            <w:tcBorders>
              <w:top w:val="nil"/>
              <w:left w:val="nil"/>
              <w:bottom w:val="nil"/>
              <w:right w:val="nil"/>
            </w:tcBorders>
            <w:shd w:val="clear" w:color="000000" w:fill="FFFFFF"/>
          </w:tcPr>
          <w:p w14:paraId="71B253CF" w14:textId="176E65C4" w:rsidR="002533EE" w:rsidRPr="00503F5B" w:rsidRDefault="002533EE" w:rsidP="002533EE">
            <w:pPr>
              <w:jc w:val="right"/>
              <w:rPr>
                <w:b/>
                <w:bCs/>
                <w:sz w:val="20"/>
                <w:szCs w:val="20"/>
              </w:rPr>
            </w:pPr>
            <w:r w:rsidRPr="00503F5B">
              <w:rPr>
                <w:sz w:val="20"/>
                <w:szCs w:val="20"/>
              </w:rPr>
              <w:t>$6,290,911</w:t>
            </w:r>
          </w:p>
        </w:tc>
      </w:tr>
      <w:tr w:rsidR="002533EE" w:rsidRPr="00503F5B" w14:paraId="548AC718" w14:textId="77777777" w:rsidTr="00517C6D">
        <w:trPr>
          <w:trHeight w:val="50"/>
          <w:jc w:val="center"/>
        </w:trPr>
        <w:tc>
          <w:tcPr>
            <w:tcW w:w="1016" w:type="dxa"/>
            <w:tcBorders>
              <w:top w:val="nil"/>
              <w:left w:val="nil"/>
              <w:bottom w:val="nil"/>
              <w:right w:val="nil"/>
            </w:tcBorders>
            <w:shd w:val="clear" w:color="000000" w:fill="FFFFFF"/>
            <w:noWrap/>
            <w:hideMark/>
          </w:tcPr>
          <w:p w14:paraId="5BA3C2DB" w14:textId="77777777" w:rsidR="002533EE" w:rsidRPr="00503F5B" w:rsidRDefault="002533EE" w:rsidP="002533EE">
            <w:pPr>
              <w:rPr>
                <w:rFonts w:eastAsia="Times New Roman" w:cs="Calibri"/>
                <w:sz w:val="20"/>
                <w:szCs w:val="20"/>
                <w:lang w:eastAsia="en-AU"/>
              </w:rPr>
            </w:pPr>
            <w:r w:rsidRPr="00503F5B">
              <w:rPr>
                <w:rFonts w:eastAsia="Times New Roman" w:cs="Calibri"/>
                <w:sz w:val="20"/>
                <w:szCs w:val="20"/>
                <w:lang w:eastAsia="en-AU"/>
              </w:rPr>
              <w:t>2026-27</w:t>
            </w:r>
          </w:p>
        </w:tc>
        <w:tc>
          <w:tcPr>
            <w:tcW w:w="2812" w:type="dxa"/>
            <w:tcBorders>
              <w:top w:val="nil"/>
              <w:left w:val="nil"/>
              <w:bottom w:val="nil"/>
              <w:right w:val="nil"/>
            </w:tcBorders>
            <w:shd w:val="clear" w:color="000000" w:fill="FFFFFF"/>
            <w:vAlign w:val="bottom"/>
          </w:tcPr>
          <w:p w14:paraId="00AA8B6A" w14:textId="493D548E" w:rsidR="002533EE" w:rsidRPr="00503F5B" w:rsidRDefault="002533EE" w:rsidP="002533EE">
            <w:pPr>
              <w:jc w:val="right"/>
              <w:rPr>
                <w:sz w:val="20"/>
                <w:szCs w:val="20"/>
              </w:rPr>
            </w:pPr>
            <w:r w:rsidRPr="00503F5B">
              <w:rPr>
                <w:rFonts w:cs="Calibri"/>
                <w:sz w:val="20"/>
                <w:szCs w:val="20"/>
              </w:rPr>
              <w:t>26,468</w:t>
            </w:r>
          </w:p>
        </w:tc>
        <w:tc>
          <w:tcPr>
            <w:tcW w:w="1275" w:type="dxa"/>
            <w:tcBorders>
              <w:top w:val="nil"/>
              <w:left w:val="nil"/>
              <w:bottom w:val="nil"/>
              <w:right w:val="nil"/>
            </w:tcBorders>
            <w:shd w:val="clear" w:color="auto" w:fill="FBE4D5" w:themeFill="accent2" w:themeFillTint="33"/>
          </w:tcPr>
          <w:p w14:paraId="5DFE0BD8" w14:textId="18855C71" w:rsidR="002533EE" w:rsidRPr="00503F5B" w:rsidRDefault="002533EE" w:rsidP="002533EE">
            <w:pPr>
              <w:jc w:val="right"/>
              <w:rPr>
                <w:b/>
                <w:bCs/>
                <w:sz w:val="20"/>
                <w:szCs w:val="20"/>
              </w:rPr>
            </w:pPr>
            <w:r w:rsidRPr="00503F5B">
              <w:rPr>
                <w:sz w:val="20"/>
                <w:szCs w:val="20"/>
              </w:rPr>
              <w:t>$310.88</w:t>
            </w:r>
          </w:p>
        </w:tc>
        <w:tc>
          <w:tcPr>
            <w:tcW w:w="1625" w:type="dxa"/>
            <w:tcBorders>
              <w:top w:val="nil"/>
              <w:left w:val="nil"/>
              <w:bottom w:val="nil"/>
              <w:right w:val="nil"/>
            </w:tcBorders>
            <w:shd w:val="clear" w:color="000000" w:fill="FFFFFF"/>
          </w:tcPr>
          <w:p w14:paraId="76194A69" w14:textId="0142D478" w:rsidR="002533EE" w:rsidRPr="00503F5B" w:rsidRDefault="002533EE" w:rsidP="002533EE">
            <w:pPr>
              <w:jc w:val="right"/>
              <w:rPr>
                <w:b/>
                <w:bCs/>
                <w:sz w:val="20"/>
                <w:szCs w:val="20"/>
              </w:rPr>
            </w:pPr>
            <w:r w:rsidRPr="00503F5B">
              <w:rPr>
                <w:sz w:val="20"/>
                <w:szCs w:val="20"/>
              </w:rPr>
              <w:t>$8,228,349</w:t>
            </w:r>
          </w:p>
        </w:tc>
        <w:tc>
          <w:tcPr>
            <w:tcW w:w="2247" w:type="dxa"/>
            <w:tcBorders>
              <w:top w:val="nil"/>
              <w:left w:val="nil"/>
              <w:bottom w:val="nil"/>
              <w:right w:val="nil"/>
            </w:tcBorders>
            <w:shd w:val="clear" w:color="000000" w:fill="FFFFFF"/>
          </w:tcPr>
          <w:p w14:paraId="4348A265" w14:textId="7BDD9EE9" w:rsidR="002533EE" w:rsidRPr="00503F5B" w:rsidRDefault="002533EE" w:rsidP="002533EE">
            <w:pPr>
              <w:jc w:val="right"/>
              <w:rPr>
                <w:b/>
                <w:bCs/>
                <w:sz w:val="20"/>
                <w:szCs w:val="20"/>
              </w:rPr>
            </w:pPr>
            <w:r w:rsidRPr="00503F5B">
              <w:rPr>
                <w:sz w:val="20"/>
                <w:szCs w:val="20"/>
              </w:rPr>
              <w:t>$6,252,869</w:t>
            </w:r>
          </w:p>
        </w:tc>
      </w:tr>
      <w:tr w:rsidR="002533EE" w:rsidRPr="00503F5B" w14:paraId="019DA511" w14:textId="77777777" w:rsidTr="00517C6D">
        <w:trPr>
          <w:trHeight w:val="50"/>
          <w:jc w:val="center"/>
        </w:trPr>
        <w:tc>
          <w:tcPr>
            <w:tcW w:w="1016" w:type="dxa"/>
            <w:tcBorders>
              <w:top w:val="nil"/>
              <w:left w:val="nil"/>
              <w:bottom w:val="nil"/>
              <w:right w:val="nil"/>
            </w:tcBorders>
            <w:shd w:val="clear" w:color="000000" w:fill="FFFFFF"/>
            <w:noWrap/>
            <w:hideMark/>
          </w:tcPr>
          <w:p w14:paraId="6B04CBB8" w14:textId="77777777" w:rsidR="002533EE" w:rsidRPr="00503F5B" w:rsidRDefault="002533EE" w:rsidP="002533EE">
            <w:pPr>
              <w:rPr>
                <w:rFonts w:eastAsia="Times New Roman" w:cs="Calibri"/>
                <w:sz w:val="20"/>
                <w:szCs w:val="20"/>
                <w:lang w:eastAsia="en-AU"/>
              </w:rPr>
            </w:pPr>
            <w:r w:rsidRPr="00503F5B">
              <w:rPr>
                <w:rFonts w:eastAsia="Times New Roman" w:cs="Calibri"/>
                <w:sz w:val="20"/>
                <w:szCs w:val="20"/>
                <w:lang w:eastAsia="en-AU"/>
              </w:rPr>
              <w:t>2027-28</w:t>
            </w:r>
          </w:p>
        </w:tc>
        <w:tc>
          <w:tcPr>
            <w:tcW w:w="2812" w:type="dxa"/>
            <w:tcBorders>
              <w:top w:val="nil"/>
              <w:left w:val="nil"/>
              <w:bottom w:val="nil"/>
              <w:right w:val="nil"/>
            </w:tcBorders>
            <w:shd w:val="clear" w:color="000000" w:fill="FFFFFF"/>
            <w:vAlign w:val="bottom"/>
          </w:tcPr>
          <w:p w14:paraId="55DFCB9A" w14:textId="50E1A3B3" w:rsidR="002533EE" w:rsidRPr="00503F5B" w:rsidRDefault="002533EE" w:rsidP="002533EE">
            <w:pPr>
              <w:jc w:val="right"/>
              <w:rPr>
                <w:sz w:val="20"/>
                <w:szCs w:val="20"/>
              </w:rPr>
            </w:pPr>
            <w:r w:rsidRPr="00503F5B">
              <w:rPr>
                <w:rFonts w:cs="Calibri"/>
                <w:sz w:val="20"/>
                <w:szCs w:val="20"/>
              </w:rPr>
              <w:t>27,403</w:t>
            </w:r>
          </w:p>
        </w:tc>
        <w:tc>
          <w:tcPr>
            <w:tcW w:w="1275" w:type="dxa"/>
            <w:tcBorders>
              <w:top w:val="nil"/>
              <w:left w:val="nil"/>
              <w:bottom w:val="nil"/>
              <w:right w:val="nil"/>
            </w:tcBorders>
            <w:shd w:val="clear" w:color="auto" w:fill="FBE4D5" w:themeFill="accent2" w:themeFillTint="33"/>
          </w:tcPr>
          <w:p w14:paraId="1BDD043A" w14:textId="64FC5EB1" w:rsidR="002533EE" w:rsidRPr="00503F5B" w:rsidRDefault="002533EE" w:rsidP="002533EE">
            <w:pPr>
              <w:jc w:val="right"/>
              <w:rPr>
                <w:b/>
                <w:bCs/>
                <w:sz w:val="20"/>
                <w:szCs w:val="20"/>
              </w:rPr>
            </w:pPr>
            <w:r w:rsidRPr="00503F5B">
              <w:rPr>
                <w:sz w:val="20"/>
                <w:szCs w:val="20"/>
              </w:rPr>
              <w:t>$310.88</w:t>
            </w:r>
          </w:p>
        </w:tc>
        <w:tc>
          <w:tcPr>
            <w:tcW w:w="1625" w:type="dxa"/>
            <w:tcBorders>
              <w:top w:val="nil"/>
              <w:left w:val="nil"/>
              <w:bottom w:val="nil"/>
              <w:right w:val="nil"/>
            </w:tcBorders>
            <w:shd w:val="clear" w:color="000000" w:fill="FFFFFF"/>
          </w:tcPr>
          <w:p w14:paraId="08F7EBA8" w14:textId="00264E01" w:rsidR="002533EE" w:rsidRPr="00503F5B" w:rsidRDefault="002533EE" w:rsidP="002533EE">
            <w:pPr>
              <w:jc w:val="right"/>
              <w:rPr>
                <w:b/>
                <w:bCs/>
                <w:sz w:val="20"/>
                <w:szCs w:val="20"/>
              </w:rPr>
            </w:pPr>
            <w:r w:rsidRPr="00503F5B">
              <w:rPr>
                <w:sz w:val="20"/>
                <w:szCs w:val="20"/>
              </w:rPr>
              <w:t>$8,519,132</w:t>
            </w:r>
          </w:p>
        </w:tc>
        <w:tc>
          <w:tcPr>
            <w:tcW w:w="2247" w:type="dxa"/>
            <w:tcBorders>
              <w:top w:val="nil"/>
              <w:left w:val="nil"/>
              <w:bottom w:val="nil"/>
              <w:right w:val="nil"/>
            </w:tcBorders>
            <w:shd w:val="clear" w:color="000000" w:fill="FFFFFF"/>
          </w:tcPr>
          <w:p w14:paraId="2A184F0E" w14:textId="588B3708" w:rsidR="002533EE" w:rsidRPr="00503F5B" w:rsidRDefault="002533EE" w:rsidP="002533EE">
            <w:pPr>
              <w:jc w:val="right"/>
              <w:rPr>
                <w:b/>
                <w:bCs/>
                <w:sz w:val="20"/>
                <w:szCs w:val="20"/>
              </w:rPr>
            </w:pPr>
            <w:r w:rsidRPr="00503F5B">
              <w:rPr>
                <w:sz w:val="20"/>
                <w:szCs w:val="20"/>
              </w:rPr>
              <w:t>$6,224,846</w:t>
            </w:r>
          </w:p>
        </w:tc>
      </w:tr>
      <w:tr w:rsidR="002533EE" w:rsidRPr="00503F5B" w14:paraId="4B98071E" w14:textId="77777777" w:rsidTr="00517C6D">
        <w:trPr>
          <w:trHeight w:val="50"/>
          <w:jc w:val="center"/>
        </w:trPr>
        <w:tc>
          <w:tcPr>
            <w:tcW w:w="1016" w:type="dxa"/>
            <w:tcBorders>
              <w:top w:val="nil"/>
              <w:left w:val="nil"/>
              <w:bottom w:val="nil"/>
              <w:right w:val="nil"/>
            </w:tcBorders>
            <w:shd w:val="clear" w:color="000000" w:fill="FFFFFF"/>
            <w:noWrap/>
            <w:hideMark/>
          </w:tcPr>
          <w:p w14:paraId="17D23842" w14:textId="77777777" w:rsidR="002533EE" w:rsidRPr="00503F5B" w:rsidRDefault="002533EE" w:rsidP="002533EE">
            <w:pPr>
              <w:rPr>
                <w:rFonts w:eastAsia="Times New Roman" w:cs="Calibri"/>
                <w:sz w:val="20"/>
                <w:szCs w:val="20"/>
                <w:lang w:eastAsia="en-AU"/>
              </w:rPr>
            </w:pPr>
            <w:r w:rsidRPr="00503F5B">
              <w:rPr>
                <w:rFonts w:eastAsia="Times New Roman" w:cs="Calibri"/>
                <w:sz w:val="20"/>
                <w:szCs w:val="20"/>
                <w:lang w:eastAsia="en-AU"/>
              </w:rPr>
              <w:t>2028-29</w:t>
            </w:r>
          </w:p>
        </w:tc>
        <w:tc>
          <w:tcPr>
            <w:tcW w:w="2812" w:type="dxa"/>
            <w:tcBorders>
              <w:top w:val="nil"/>
              <w:left w:val="nil"/>
              <w:bottom w:val="nil"/>
              <w:right w:val="nil"/>
            </w:tcBorders>
            <w:shd w:val="clear" w:color="000000" w:fill="FFFFFF"/>
            <w:vAlign w:val="bottom"/>
          </w:tcPr>
          <w:p w14:paraId="6663138B" w14:textId="7B51FB3E" w:rsidR="002533EE" w:rsidRPr="00503F5B" w:rsidRDefault="002533EE" w:rsidP="002533EE">
            <w:pPr>
              <w:jc w:val="right"/>
              <w:rPr>
                <w:sz w:val="20"/>
                <w:szCs w:val="20"/>
              </w:rPr>
            </w:pPr>
            <w:r w:rsidRPr="00503F5B">
              <w:rPr>
                <w:rFonts w:cs="Calibri"/>
                <w:sz w:val="20"/>
                <w:szCs w:val="20"/>
              </w:rPr>
              <w:t>28,410</w:t>
            </w:r>
          </w:p>
        </w:tc>
        <w:tc>
          <w:tcPr>
            <w:tcW w:w="1275" w:type="dxa"/>
            <w:tcBorders>
              <w:top w:val="nil"/>
              <w:left w:val="nil"/>
              <w:bottom w:val="nil"/>
              <w:right w:val="nil"/>
            </w:tcBorders>
            <w:shd w:val="clear" w:color="auto" w:fill="FBE4D5" w:themeFill="accent2" w:themeFillTint="33"/>
          </w:tcPr>
          <w:p w14:paraId="74DF1A35" w14:textId="3FE4D4F7" w:rsidR="002533EE" w:rsidRPr="00503F5B" w:rsidRDefault="002533EE" w:rsidP="002533EE">
            <w:pPr>
              <w:jc w:val="right"/>
              <w:rPr>
                <w:b/>
                <w:bCs/>
                <w:sz w:val="20"/>
                <w:szCs w:val="20"/>
              </w:rPr>
            </w:pPr>
            <w:r w:rsidRPr="00503F5B">
              <w:rPr>
                <w:sz w:val="20"/>
                <w:szCs w:val="20"/>
              </w:rPr>
              <w:t>$310.88</w:t>
            </w:r>
          </w:p>
        </w:tc>
        <w:tc>
          <w:tcPr>
            <w:tcW w:w="1625" w:type="dxa"/>
            <w:tcBorders>
              <w:top w:val="nil"/>
              <w:left w:val="nil"/>
              <w:bottom w:val="nil"/>
              <w:right w:val="nil"/>
            </w:tcBorders>
            <w:shd w:val="clear" w:color="000000" w:fill="FFFFFF"/>
          </w:tcPr>
          <w:p w14:paraId="2DFD501D" w14:textId="6FCB105C" w:rsidR="002533EE" w:rsidRPr="00503F5B" w:rsidRDefault="002533EE" w:rsidP="002533EE">
            <w:pPr>
              <w:jc w:val="right"/>
              <w:rPr>
                <w:b/>
                <w:bCs/>
                <w:sz w:val="20"/>
                <w:szCs w:val="20"/>
              </w:rPr>
            </w:pPr>
            <w:r w:rsidRPr="00503F5B">
              <w:rPr>
                <w:sz w:val="20"/>
                <w:szCs w:val="20"/>
              </w:rPr>
              <w:t>$8,832,150</w:t>
            </w:r>
          </w:p>
        </w:tc>
        <w:tc>
          <w:tcPr>
            <w:tcW w:w="2247" w:type="dxa"/>
            <w:tcBorders>
              <w:top w:val="nil"/>
              <w:left w:val="nil"/>
              <w:bottom w:val="nil"/>
              <w:right w:val="nil"/>
            </w:tcBorders>
            <w:shd w:val="clear" w:color="000000" w:fill="FFFFFF"/>
          </w:tcPr>
          <w:p w14:paraId="69F73423" w14:textId="5C3F9B92" w:rsidR="002533EE" w:rsidRPr="00503F5B" w:rsidRDefault="002533EE" w:rsidP="002533EE">
            <w:pPr>
              <w:jc w:val="right"/>
              <w:rPr>
                <w:b/>
                <w:bCs/>
                <w:sz w:val="20"/>
                <w:szCs w:val="20"/>
              </w:rPr>
            </w:pPr>
            <w:r w:rsidRPr="00503F5B">
              <w:rPr>
                <w:sz w:val="20"/>
                <w:szCs w:val="20"/>
              </w:rPr>
              <w:t>$6,205,351</w:t>
            </w:r>
          </w:p>
        </w:tc>
      </w:tr>
      <w:tr w:rsidR="002533EE" w:rsidRPr="00503F5B" w14:paraId="2040FB3A" w14:textId="77777777" w:rsidTr="00517C6D">
        <w:trPr>
          <w:trHeight w:val="50"/>
          <w:jc w:val="center"/>
        </w:trPr>
        <w:tc>
          <w:tcPr>
            <w:tcW w:w="1016" w:type="dxa"/>
            <w:tcBorders>
              <w:top w:val="nil"/>
              <w:left w:val="nil"/>
              <w:bottom w:val="single" w:sz="4" w:space="0" w:color="ED7C5D"/>
              <w:right w:val="nil"/>
            </w:tcBorders>
            <w:shd w:val="clear" w:color="000000" w:fill="FFFFFF"/>
            <w:noWrap/>
            <w:hideMark/>
          </w:tcPr>
          <w:p w14:paraId="2255F306" w14:textId="77777777" w:rsidR="002533EE" w:rsidRPr="00503F5B" w:rsidRDefault="002533EE" w:rsidP="002533EE">
            <w:pPr>
              <w:rPr>
                <w:rFonts w:eastAsia="Times New Roman" w:cs="Calibri"/>
                <w:sz w:val="20"/>
                <w:szCs w:val="20"/>
                <w:lang w:eastAsia="en-AU"/>
              </w:rPr>
            </w:pPr>
            <w:r w:rsidRPr="00503F5B">
              <w:rPr>
                <w:rFonts w:eastAsia="Times New Roman" w:cs="Calibri"/>
                <w:sz w:val="20"/>
                <w:szCs w:val="20"/>
                <w:lang w:eastAsia="en-AU"/>
              </w:rPr>
              <w:t>2029-30</w:t>
            </w:r>
          </w:p>
        </w:tc>
        <w:tc>
          <w:tcPr>
            <w:tcW w:w="2812" w:type="dxa"/>
            <w:tcBorders>
              <w:top w:val="nil"/>
              <w:left w:val="nil"/>
              <w:bottom w:val="single" w:sz="4" w:space="0" w:color="ED7C5D"/>
              <w:right w:val="nil"/>
            </w:tcBorders>
            <w:shd w:val="clear" w:color="000000" w:fill="FFFFFF"/>
            <w:vAlign w:val="bottom"/>
          </w:tcPr>
          <w:p w14:paraId="2FE608C8" w14:textId="132064F9" w:rsidR="002533EE" w:rsidRPr="00503F5B" w:rsidRDefault="002533EE" w:rsidP="002533EE">
            <w:pPr>
              <w:jc w:val="right"/>
              <w:rPr>
                <w:sz w:val="20"/>
                <w:szCs w:val="20"/>
              </w:rPr>
            </w:pPr>
            <w:r w:rsidRPr="00503F5B">
              <w:rPr>
                <w:rFonts w:cs="Calibri"/>
                <w:sz w:val="20"/>
                <w:szCs w:val="20"/>
              </w:rPr>
              <w:t>29,488</w:t>
            </w:r>
          </w:p>
        </w:tc>
        <w:tc>
          <w:tcPr>
            <w:tcW w:w="1275" w:type="dxa"/>
            <w:tcBorders>
              <w:top w:val="nil"/>
              <w:left w:val="nil"/>
              <w:bottom w:val="single" w:sz="4" w:space="0" w:color="ED7C5D"/>
              <w:right w:val="nil"/>
            </w:tcBorders>
            <w:shd w:val="clear" w:color="auto" w:fill="FBE4D5" w:themeFill="accent2" w:themeFillTint="33"/>
          </w:tcPr>
          <w:p w14:paraId="0D5FE647" w14:textId="695E0D84" w:rsidR="002533EE" w:rsidRPr="00503F5B" w:rsidRDefault="002533EE" w:rsidP="002533EE">
            <w:pPr>
              <w:jc w:val="right"/>
              <w:rPr>
                <w:b/>
                <w:bCs/>
                <w:sz w:val="20"/>
                <w:szCs w:val="20"/>
              </w:rPr>
            </w:pPr>
            <w:r w:rsidRPr="00503F5B">
              <w:rPr>
                <w:sz w:val="20"/>
                <w:szCs w:val="20"/>
              </w:rPr>
              <w:t>$310.88</w:t>
            </w:r>
          </w:p>
        </w:tc>
        <w:tc>
          <w:tcPr>
            <w:tcW w:w="1625" w:type="dxa"/>
            <w:tcBorders>
              <w:top w:val="nil"/>
              <w:left w:val="nil"/>
              <w:bottom w:val="single" w:sz="4" w:space="0" w:color="ED7C5D"/>
              <w:right w:val="nil"/>
            </w:tcBorders>
            <w:shd w:val="clear" w:color="000000" w:fill="FFFFFF"/>
          </w:tcPr>
          <w:p w14:paraId="3311E7E4" w14:textId="0F401D83" w:rsidR="002533EE" w:rsidRPr="00503F5B" w:rsidRDefault="002533EE" w:rsidP="002533EE">
            <w:pPr>
              <w:jc w:val="right"/>
              <w:rPr>
                <w:b/>
                <w:bCs/>
                <w:sz w:val="20"/>
                <w:szCs w:val="20"/>
              </w:rPr>
            </w:pPr>
            <w:r w:rsidRPr="00503F5B">
              <w:rPr>
                <w:sz w:val="20"/>
                <w:szCs w:val="20"/>
              </w:rPr>
              <w:t>$9,167,325</w:t>
            </w:r>
          </w:p>
        </w:tc>
        <w:tc>
          <w:tcPr>
            <w:tcW w:w="2247" w:type="dxa"/>
            <w:tcBorders>
              <w:top w:val="nil"/>
              <w:left w:val="nil"/>
              <w:bottom w:val="single" w:sz="4" w:space="0" w:color="ED7C5D"/>
              <w:right w:val="nil"/>
            </w:tcBorders>
            <w:shd w:val="clear" w:color="000000" w:fill="FFFFFF"/>
          </w:tcPr>
          <w:p w14:paraId="50F9F536" w14:textId="29B8EC87" w:rsidR="002533EE" w:rsidRPr="00503F5B" w:rsidRDefault="002533EE" w:rsidP="002533EE">
            <w:pPr>
              <w:jc w:val="right"/>
              <w:rPr>
                <w:b/>
                <w:bCs/>
                <w:sz w:val="20"/>
                <w:szCs w:val="20"/>
              </w:rPr>
            </w:pPr>
            <w:r w:rsidRPr="00503F5B">
              <w:rPr>
                <w:sz w:val="20"/>
                <w:szCs w:val="20"/>
              </w:rPr>
              <w:t>$6,193,117</w:t>
            </w:r>
          </w:p>
        </w:tc>
      </w:tr>
      <w:tr w:rsidR="002533EE" w:rsidRPr="00503F5B" w14:paraId="2C64842B" w14:textId="77777777" w:rsidTr="00517C6D">
        <w:trPr>
          <w:trHeight w:val="40"/>
          <w:jc w:val="center"/>
        </w:trPr>
        <w:tc>
          <w:tcPr>
            <w:tcW w:w="1016" w:type="dxa"/>
            <w:tcBorders>
              <w:top w:val="single" w:sz="4" w:space="0" w:color="ED7C5D"/>
              <w:left w:val="nil"/>
              <w:bottom w:val="single" w:sz="4" w:space="0" w:color="ED7C5D"/>
              <w:right w:val="nil"/>
            </w:tcBorders>
            <w:shd w:val="clear" w:color="000000" w:fill="FFFFFF"/>
            <w:noWrap/>
            <w:hideMark/>
          </w:tcPr>
          <w:p w14:paraId="77F2950B" w14:textId="77777777" w:rsidR="002533EE" w:rsidRPr="00503F5B" w:rsidRDefault="002533EE" w:rsidP="002533EE">
            <w:pPr>
              <w:rPr>
                <w:rFonts w:eastAsia="Times New Roman" w:cs="Calibri"/>
                <w:b/>
                <w:bCs/>
                <w:i/>
                <w:iCs/>
                <w:sz w:val="20"/>
                <w:szCs w:val="20"/>
                <w:lang w:eastAsia="en-AU"/>
              </w:rPr>
            </w:pPr>
            <w:r w:rsidRPr="00503F5B">
              <w:rPr>
                <w:b/>
                <w:bCs/>
                <w:i/>
                <w:iCs/>
                <w:sz w:val="20"/>
                <w:szCs w:val="20"/>
              </w:rPr>
              <w:t>Total</w:t>
            </w:r>
          </w:p>
        </w:tc>
        <w:tc>
          <w:tcPr>
            <w:tcW w:w="2812" w:type="dxa"/>
            <w:tcBorders>
              <w:top w:val="single" w:sz="4" w:space="0" w:color="ED7C5D"/>
              <w:left w:val="nil"/>
              <w:bottom w:val="single" w:sz="4" w:space="0" w:color="ED7C5D"/>
              <w:right w:val="nil"/>
            </w:tcBorders>
            <w:shd w:val="clear" w:color="000000" w:fill="FFFFFF"/>
          </w:tcPr>
          <w:p w14:paraId="397BC40D" w14:textId="5CCE6A37" w:rsidR="002533EE" w:rsidRPr="00503F5B" w:rsidRDefault="002533EE" w:rsidP="002533EE">
            <w:pPr>
              <w:jc w:val="right"/>
              <w:rPr>
                <w:b/>
                <w:bCs/>
                <w:i/>
                <w:iCs/>
                <w:sz w:val="20"/>
                <w:szCs w:val="20"/>
              </w:rPr>
            </w:pPr>
            <w:r w:rsidRPr="00503F5B">
              <w:rPr>
                <w:b/>
                <w:bCs/>
                <w:i/>
                <w:iCs/>
                <w:sz w:val="20"/>
                <w:szCs w:val="20"/>
              </w:rPr>
              <w:t xml:space="preserve"> 255,084 </w:t>
            </w:r>
          </w:p>
        </w:tc>
        <w:tc>
          <w:tcPr>
            <w:tcW w:w="1275" w:type="dxa"/>
            <w:tcBorders>
              <w:top w:val="single" w:sz="4" w:space="0" w:color="ED7C5D"/>
              <w:left w:val="nil"/>
              <w:bottom w:val="single" w:sz="4" w:space="0" w:color="ED7C5D"/>
              <w:right w:val="nil"/>
            </w:tcBorders>
            <w:shd w:val="clear" w:color="000000" w:fill="FFFFFF"/>
          </w:tcPr>
          <w:p w14:paraId="5F59BF28" w14:textId="77777777" w:rsidR="002533EE" w:rsidRPr="00503F5B" w:rsidRDefault="002533EE" w:rsidP="002533EE">
            <w:pPr>
              <w:jc w:val="right"/>
              <w:rPr>
                <w:b/>
                <w:bCs/>
                <w:i/>
                <w:iCs/>
                <w:sz w:val="20"/>
                <w:szCs w:val="20"/>
              </w:rPr>
            </w:pPr>
          </w:p>
        </w:tc>
        <w:tc>
          <w:tcPr>
            <w:tcW w:w="1625" w:type="dxa"/>
            <w:tcBorders>
              <w:top w:val="single" w:sz="4" w:space="0" w:color="ED7C5D"/>
              <w:left w:val="nil"/>
              <w:bottom w:val="single" w:sz="4" w:space="0" w:color="ED7C5D"/>
              <w:right w:val="nil"/>
            </w:tcBorders>
            <w:shd w:val="clear" w:color="000000" w:fill="FFFFFF"/>
          </w:tcPr>
          <w:p w14:paraId="11073827" w14:textId="3656CAE3" w:rsidR="002533EE" w:rsidRPr="00503F5B" w:rsidRDefault="002533EE" w:rsidP="002533EE">
            <w:pPr>
              <w:jc w:val="right"/>
              <w:rPr>
                <w:b/>
                <w:bCs/>
                <w:i/>
                <w:iCs/>
                <w:sz w:val="20"/>
                <w:szCs w:val="20"/>
              </w:rPr>
            </w:pPr>
            <w:r w:rsidRPr="00503F5B">
              <w:rPr>
                <w:b/>
                <w:bCs/>
                <w:i/>
                <w:iCs/>
                <w:sz w:val="20"/>
                <w:szCs w:val="20"/>
              </w:rPr>
              <w:t>$79,301,717</w:t>
            </w:r>
          </w:p>
        </w:tc>
        <w:tc>
          <w:tcPr>
            <w:tcW w:w="2247" w:type="dxa"/>
            <w:tcBorders>
              <w:top w:val="single" w:sz="4" w:space="0" w:color="ED7C5D"/>
              <w:left w:val="nil"/>
              <w:bottom w:val="single" w:sz="4" w:space="0" w:color="ED7C5D"/>
              <w:right w:val="nil"/>
            </w:tcBorders>
            <w:shd w:val="clear" w:color="000000" w:fill="FFFFFF"/>
          </w:tcPr>
          <w:p w14:paraId="5D01E2BE" w14:textId="3AB24A1F" w:rsidR="002533EE" w:rsidRPr="00503F5B" w:rsidRDefault="002533EE" w:rsidP="002533EE">
            <w:pPr>
              <w:jc w:val="right"/>
              <w:rPr>
                <w:b/>
                <w:bCs/>
                <w:i/>
                <w:iCs/>
                <w:sz w:val="20"/>
                <w:szCs w:val="20"/>
              </w:rPr>
            </w:pPr>
            <w:r w:rsidRPr="00503F5B">
              <w:rPr>
                <w:b/>
                <w:bCs/>
                <w:i/>
                <w:iCs/>
                <w:sz w:val="20"/>
                <w:szCs w:val="20"/>
              </w:rPr>
              <w:t>$63,685,186</w:t>
            </w:r>
          </w:p>
        </w:tc>
      </w:tr>
    </w:tbl>
    <w:p w14:paraId="272F23BD" w14:textId="0348C290" w:rsidR="00E04C6D" w:rsidRPr="00503F5B" w:rsidRDefault="00E04C6D" w:rsidP="00E04C6D">
      <w:pPr>
        <w:pStyle w:val="Heading2"/>
      </w:pPr>
      <w:bookmarkStart w:id="338" w:name="_Toc457772574"/>
      <w:bookmarkStart w:id="339" w:name="_Toc35804187"/>
      <w:bookmarkStart w:id="340" w:name="_Toc35804681"/>
      <w:bookmarkStart w:id="341" w:name="_Toc35812725"/>
      <w:r w:rsidRPr="00503F5B">
        <w:lastRenderedPageBreak/>
        <w:t>A3.</w:t>
      </w:r>
      <w:r w:rsidR="009320DE" w:rsidRPr="00503F5B">
        <w:t>5</w:t>
      </w:r>
      <w:r w:rsidRPr="00503F5B">
        <w:t xml:space="preserve"> </w:t>
      </w:r>
      <w:r w:rsidRPr="00503F5B">
        <w:rPr>
          <w:b/>
          <w:bCs/>
        </w:rPr>
        <w:t xml:space="preserve">Option </w:t>
      </w:r>
      <w:r w:rsidR="009320DE" w:rsidRPr="00503F5B">
        <w:rPr>
          <w:b/>
          <w:bCs/>
        </w:rPr>
        <w:t>4</w:t>
      </w:r>
      <w:r w:rsidRPr="00503F5B">
        <w:t xml:space="preserve"> – Partial cost recovery of emergency attendance of false alarms per attendance</w:t>
      </w:r>
      <w:bookmarkEnd w:id="338"/>
      <w:r w:rsidR="009320DE" w:rsidRPr="00503F5B">
        <w:t xml:space="preserve"> (fixed fee)</w:t>
      </w:r>
      <w:bookmarkEnd w:id="339"/>
      <w:bookmarkEnd w:id="340"/>
      <w:bookmarkEnd w:id="341"/>
    </w:p>
    <w:p w14:paraId="567AD363" w14:textId="6CDF99BD" w:rsidR="00E04C6D" w:rsidRPr="00503F5B" w:rsidRDefault="00E04C6D" w:rsidP="00F94B17">
      <w:pPr>
        <w:pStyle w:val="Heading3"/>
      </w:pPr>
      <w:bookmarkStart w:id="342" w:name="_Toc457772575"/>
      <w:bookmarkStart w:id="343" w:name="_Toc35804188"/>
      <w:bookmarkStart w:id="344" w:name="_Toc35804682"/>
      <w:bookmarkStart w:id="345" w:name="_Toc35812726"/>
      <w:r w:rsidRPr="00503F5B">
        <w:t>A3.</w:t>
      </w:r>
      <w:r w:rsidR="009320DE" w:rsidRPr="00503F5B">
        <w:t>5</w:t>
      </w:r>
      <w:r w:rsidRPr="00503F5B">
        <w:t xml:space="preserve">.1 Option </w:t>
      </w:r>
      <w:r w:rsidR="009320DE" w:rsidRPr="00503F5B">
        <w:t>4</w:t>
      </w:r>
      <w:r w:rsidRPr="00503F5B">
        <w:t xml:space="preserve"> fee</w:t>
      </w:r>
      <w:bookmarkEnd w:id="342"/>
      <w:bookmarkEnd w:id="343"/>
      <w:bookmarkEnd w:id="344"/>
      <w:bookmarkEnd w:id="345"/>
    </w:p>
    <w:p w14:paraId="410C72FA" w14:textId="77777777" w:rsidR="00E04C6D" w:rsidRPr="00503F5B" w:rsidRDefault="00E04C6D" w:rsidP="00E04C6D">
      <w:pPr>
        <w:jc w:val="both"/>
      </w:pPr>
    </w:p>
    <w:p w14:paraId="0147F7AF" w14:textId="77777777" w:rsidR="009320DE" w:rsidRPr="00503F5B" w:rsidRDefault="00E04C6D" w:rsidP="00E04C6D">
      <w:pPr>
        <w:jc w:val="both"/>
      </w:pPr>
      <w:r w:rsidRPr="00503F5B">
        <w:t xml:space="preserve">The partial cost recovery fee under Option </w:t>
      </w:r>
      <w:r w:rsidR="009320DE" w:rsidRPr="00503F5B">
        <w:t>4</w:t>
      </w:r>
      <w:r w:rsidRPr="00503F5B">
        <w:t xml:space="preserve"> involves setting a fixed fee for false alarm attendances</w:t>
      </w:r>
      <w:r w:rsidRPr="00503F5B">
        <w:rPr>
          <w:i/>
          <w:iCs/>
        </w:rPr>
        <w:t xml:space="preserve"> per attendance</w:t>
      </w:r>
      <w:r w:rsidRPr="00503F5B">
        <w:t xml:space="preserve">.  The fee is based on a partial recovery of </w:t>
      </w:r>
      <w:r w:rsidR="00572199" w:rsidRPr="00503F5B">
        <w:t>12</w:t>
      </w:r>
      <w:r w:rsidRPr="00503F5B">
        <w:t>.</w:t>
      </w:r>
      <w:r w:rsidR="00572199" w:rsidRPr="00503F5B">
        <w:t>39</w:t>
      </w:r>
      <w:r w:rsidRPr="00503F5B">
        <w:t xml:space="preserve">% of the full cost per attendance of </w:t>
      </w:r>
      <w:r w:rsidR="00572199" w:rsidRPr="00503F5B">
        <w:t>$12,909</w:t>
      </w:r>
      <w:r w:rsidRPr="00503F5B">
        <w:rPr>
          <w:rStyle w:val="FootnoteReference"/>
        </w:rPr>
        <w:footnoteReference w:id="213"/>
      </w:r>
      <w:r w:rsidRPr="00503F5B">
        <w:t xml:space="preserve">, and </w:t>
      </w:r>
      <w:proofErr w:type="gramStart"/>
      <w:r w:rsidRPr="00503F5B">
        <w:t>similar to</w:t>
      </w:r>
      <w:proofErr w:type="gramEnd"/>
      <w:r w:rsidRPr="00503F5B">
        <w:t xml:space="preserve"> the percentage of cost recovered under Option </w:t>
      </w:r>
      <w:r w:rsidR="009320DE" w:rsidRPr="00503F5B">
        <w:t>3</w:t>
      </w:r>
      <w:r w:rsidRPr="00503F5B">
        <w:t xml:space="preserve">. This would make the </w:t>
      </w:r>
      <w:r w:rsidRPr="00503F5B">
        <w:rPr>
          <w:b/>
          <w:i/>
        </w:rPr>
        <w:t>fixed fee equal to $</w:t>
      </w:r>
      <w:r w:rsidR="00572199" w:rsidRPr="00503F5B">
        <w:rPr>
          <w:b/>
          <w:i/>
        </w:rPr>
        <w:t>1,600</w:t>
      </w:r>
      <w:r w:rsidRPr="00503F5B">
        <w:rPr>
          <w:b/>
          <w:i/>
        </w:rPr>
        <w:t xml:space="preserve"> per attendance</w:t>
      </w:r>
      <w:r w:rsidRPr="00503F5B">
        <w:t xml:space="preserve">.  </w:t>
      </w:r>
    </w:p>
    <w:p w14:paraId="2A231912" w14:textId="77777777" w:rsidR="009320DE" w:rsidRPr="00503F5B" w:rsidRDefault="009320DE" w:rsidP="00E04C6D">
      <w:pPr>
        <w:jc w:val="both"/>
      </w:pPr>
    </w:p>
    <w:p w14:paraId="1B199713" w14:textId="5D1B1CCA" w:rsidR="009320DE" w:rsidRPr="00503F5B" w:rsidRDefault="009320DE" w:rsidP="00F94B17">
      <w:pPr>
        <w:pStyle w:val="Heading3"/>
      </w:pPr>
      <w:bookmarkStart w:id="346" w:name="_Toc35804189"/>
      <w:bookmarkStart w:id="347" w:name="_Toc35804683"/>
      <w:bookmarkStart w:id="348" w:name="_Toc35812727"/>
      <w:r w:rsidRPr="00503F5B">
        <w:t>A3.5.2 Option 4 fee revenue</w:t>
      </w:r>
      <w:bookmarkEnd w:id="346"/>
      <w:bookmarkEnd w:id="347"/>
      <w:bookmarkEnd w:id="348"/>
    </w:p>
    <w:p w14:paraId="2190C3B2" w14:textId="77777777" w:rsidR="009320DE" w:rsidRPr="00503F5B" w:rsidRDefault="009320DE" w:rsidP="00E04C6D">
      <w:pPr>
        <w:jc w:val="both"/>
      </w:pPr>
    </w:p>
    <w:p w14:paraId="15A3BDE2" w14:textId="4DBDDD1A" w:rsidR="00E04C6D" w:rsidRPr="00503F5B" w:rsidRDefault="009320DE" w:rsidP="00E04C6D">
      <w:pPr>
        <w:jc w:val="both"/>
      </w:pPr>
      <w:r w:rsidRPr="00503F5B">
        <w:t>Estimating the fee revenue under Option 4, requires converting the</w:t>
      </w:r>
      <w:r w:rsidR="00E04C6D" w:rsidRPr="00503F5B">
        <w:t xml:space="preserve"> projected volume of ‘quarterly hour’ transactions for FRV</w:t>
      </w:r>
      <w:r w:rsidR="001656BA" w:rsidRPr="00503F5B">
        <w:t xml:space="preserve"> </w:t>
      </w:r>
      <w:r w:rsidR="00E04C6D" w:rsidRPr="00503F5B">
        <w:t>to the projected volume of ‘attendance</w:t>
      </w:r>
      <w:r w:rsidRPr="00503F5B">
        <w:t>s</w:t>
      </w:r>
      <w:r w:rsidR="00E04C6D" w:rsidRPr="00503F5B">
        <w:t>’ using the following algorithm:</w:t>
      </w:r>
    </w:p>
    <w:p w14:paraId="45B85181" w14:textId="77777777" w:rsidR="00E04C6D" w:rsidRPr="00503F5B" w:rsidRDefault="00E04C6D" w:rsidP="00E04C6D">
      <w:pPr>
        <w:jc w:val="both"/>
      </w:pPr>
    </w:p>
    <w:p w14:paraId="4B1BA9DD" w14:textId="3FD9F60C" w:rsidR="00E04C6D" w:rsidRPr="00503F5B" w:rsidRDefault="00E04C6D" w:rsidP="00E04C6D">
      <w:pPr>
        <w:jc w:val="center"/>
        <w:rPr>
          <w:sz w:val="20"/>
          <w:szCs w:val="20"/>
        </w:rPr>
      </w:pPr>
      <w:r w:rsidRPr="00503F5B">
        <w:rPr>
          <w:sz w:val="20"/>
          <w:szCs w:val="20"/>
        </w:rPr>
        <w:t>Estimated FRV attendances</w:t>
      </w:r>
      <w:r w:rsidR="00421664" w:rsidRPr="00503F5B">
        <w:rPr>
          <w:rStyle w:val="FootnoteReference"/>
          <w:sz w:val="20"/>
          <w:szCs w:val="20"/>
        </w:rPr>
        <w:footnoteReference w:id="214"/>
      </w:r>
      <w:r w:rsidRPr="00503F5B">
        <w:rPr>
          <w:sz w:val="20"/>
          <w:szCs w:val="20"/>
        </w:rPr>
        <w:t xml:space="preserve"> = Projected volume of quarterly hour transactions ÷ 4 ÷ </w:t>
      </w:r>
      <w:r w:rsidR="0094007C" w:rsidRPr="00503F5B">
        <w:rPr>
          <w:sz w:val="20"/>
          <w:szCs w:val="20"/>
        </w:rPr>
        <w:t>1.29</w:t>
      </w:r>
      <w:r w:rsidRPr="00503F5B">
        <w:rPr>
          <w:sz w:val="20"/>
          <w:szCs w:val="20"/>
        </w:rPr>
        <w:t xml:space="preserve"> appliance hours</w:t>
      </w:r>
      <w:r w:rsidRPr="00503F5B">
        <w:rPr>
          <w:rStyle w:val="FootnoteReference"/>
          <w:sz w:val="20"/>
          <w:szCs w:val="20"/>
        </w:rPr>
        <w:footnoteReference w:id="215"/>
      </w:r>
    </w:p>
    <w:p w14:paraId="7F50619E" w14:textId="77777777" w:rsidR="00E04C6D" w:rsidRPr="00503F5B" w:rsidRDefault="00E04C6D" w:rsidP="00E04C6D">
      <w:pPr>
        <w:jc w:val="both"/>
      </w:pPr>
    </w:p>
    <w:p w14:paraId="49BDDE89" w14:textId="18937BEC" w:rsidR="00E04C6D" w:rsidRPr="00503F5B" w:rsidRDefault="00CE06DA" w:rsidP="00E04C6D">
      <w:pPr>
        <w:jc w:val="both"/>
      </w:pPr>
      <w:r w:rsidRPr="00503F5B">
        <w:t>As with Option3, t</w:t>
      </w:r>
      <w:r w:rsidR="00E04C6D" w:rsidRPr="00503F5B">
        <w:t xml:space="preserve">he present value of fee revenue </w:t>
      </w:r>
      <w:r w:rsidRPr="00503F5B">
        <w:t xml:space="preserve">for Option 4 </w:t>
      </w:r>
      <w:r w:rsidR="00E04C6D" w:rsidRPr="00503F5B">
        <w:t>over 10 years is estimated to be $</w:t>
      </w:r>
      <w:r w:rsidR="006F345D" w:rsidRPr="00503F5B">
        <w:t>65.2</w:t>
      </w:r>
      <w:r w:rsidRPr="00503F5B">
        <w:t>6</w:t>
      </w:r>
      <w:r w:rsidR="00E04C6D" w:rsidRPr="00503F5B">
        <w:t xml:space="preserve"> million, as shown in Table A3.</w:t>
      </w:r>
      <w:r w:rsidR="003C3937" w:rsidRPr="00503F5B">
        <w:t>9</w:t>
      </w:r>
      <w:r w:rsidR="00E04C6D" w:rsidRPr="00503F5B">
        <w:t xml:space="preserve">.  Revenue generated under Option </w:t>
      </w:r>
      <w:r w:rsidR="009320DE" w:rsidRPr="00503F5B">
        <w:t>4</w:t>
      </w:r>
      <w:r w:rsidR="00E04C6D" w:rsidRPr="00503F5B">
        <w:t xml:space="preserve"> for 2020-21 covers</w:t>
      </w:r>
      <w:r w:rsidR="00EA524F" w:rsidRPr="00503F5B">
        <w:t xml:space="preserve"> 5</w:t>
      </w:r>
      <w:r w:rsidR="00E04C6D" w:rsidRPr="00503F5B">
        <w:t>.</w:t>
      </w:r>
      <w:r w:rsidR="00EA524F" w:rsidRPr="00503F5B">
        <w:t>77</w:t>
      </w:r>
      <w:r w:rsidR="00E04C6D" w:rsidRPr="00503F5B">
        <w:t>%</w:t>
      </w:r>
      <w:r w:rsidR="00E04C6D" w:rsidRPr="00503F5B">
        <w:rPr>
          <w:rStyle w:val="FootnoteReference"/>
        </w:rPr>
        <w:footnoteReference w:id="216"/>
      </w:r>
      <w:r w:rsidR="00E04C6D" w:rsidRPr="00503F5B">
        <w:t xml:space="preserve"> of all costs of emergency attendance for false alarms estimated for 2018-19.</w:t>
      </w:r>
    </w:p>
    <w:p w14:paraId="140F1C97" w14:textId="77777777" w:rsidR="00E04C6D" w:rsidRPr="00503F5B" w:rsidRDefault="00E04C6D" w:rsidP="00E04C6D">
      <w:pPr>
        <w:jc w:val="both"/>
        <w:rPr>
          <w:b/>
        </w:rPr>
      </w:pPr>
    </w:p>
    <w:p w14:paraId="22C89922" w14:textId="22CF51AD" w:rsidR="00E04C6D" w:rsidRPr="00503F5B" w:rsidRDefault="00E04C6D" w:rsidP="00E04C6D">
      <w:pPr>
        <w:jc w:val="center"/>
        <w:rPr>
          <w:b/>
          <w:sz w:val="20"/>
          <w:szCs w:val="20"/>
        </w:rPr>
      </w:pPr>
      <w:r w:rsidRPr="00503F5B">
        <w:rPr>
          <w:b/>
          <w:sz w:val="20"/>
          <w:szCs w:val="20"/>
        </w:rPr>
        <w:t>Table A3.</w:t>
      </w:r>
      <w:r w:rsidR="00714A80" w:rsidRPr="00503F5B">
        <w:rPr>
          <w:b/>
          <w:sz w:val="20"/>
          <w:szCs w:val="20"/>
        </w:rPr>
        <w:t>11</w:t>
      </w:r>
      <w:r w:rsidRPr="00503F5B">
        <w:rPr>
          <w:b/>
          <w:sz w:val="20"/>
          <w:szCs w:val="20"/>
        </w:rPr>
        <w:t xml:space="preserve">: Estimated revenue from partial cost recovery fees under Option </w:t>
      </w:r>
      <w:r w:rsidR="009320DE" w:rsidRPr="00503F5B">
        <w:rPr>
          <w:b/>
          <w:sz w:val="20"/>
          <w:szCs w:val="20"/>
        </w:rPr>
        <w:t>4</w:t>
      </w:r>
      <w:r w:rsidRPr="00503F5B">
        <w:rPr>
          <w:b/>
          <w:sz w:val="20"/>
          <w:szCs w:val="20"/>
        </w:rPr>
        <w:t xml:space="preserve"> </w:t>
      </w:r>
    </w:p>
    <w:p w14:paraId="04A783BF" w14:textId="77777777" w:rsidR="00E04C6D" w:rsidRPr="00503F5B" w:rsidRDefault="00E04C6D" w:rsidP="00E04C6D">
      <w:pPr>
        <w:jc w:val="center"/>
        <w:rPr>
          <w:b/>
          <w:sz w:val="20"/>
          <w:szCs w:val="20"/>
        </w:rPr>
      </w:pPr>
      <w:r w:rsidRPr="00503F5B">
        <w:rPr>
          <w:b/>
          <w:sz w:val="20"/>
          <w:szCs w:val="20"/>
        </w:rPr>
        <w:t>(per attendance) – 2020-21 to 2029-30</w:t>
      </w:r>
    </w:p>
    <w:p w14:paraId="2975FA6C" w14:textId="77777777" w:rsidR="00E04C6D" w:rsidRPr="00503F5B" w:rsidRDefault="00E04C6D" w:rsidP="00E04C6D">
      <w:pPr>
        <w:jc w:val="both"/>
      </w:pPr>
    </w:p>
    <w:tbl>
      <w:tblPr>
        <w:tblW w:w="8221" w:type="dxa"/>
        <w:jc w:val="center"/>
        <w:tblLayout w:type="fixed"/>
        <w:tblLook w:val="04A0" w:firstRow="1" w:lastRow="0" w:firstColumn="1" w:lastColumn="0" w:noHBand="0" w:noVBand="1"/>
      </w:tblPr>
      <w:tblGrid>
        <w:gridCol w:w="1017"/>
        <w:gridCol w:w="1535"/>
        <w:gridCol w:w="1239"/>
        <w:gridCol w:w="1171"/>
        <w:gridCol w:w="1559"/>
        <w:gridCol w:w="1700"/>
      </w:tblGrid>
      <w:tr w:rsidR="00CE06DA" w:rsidRPr="00503F5B" w14:paraId="557A2C9F" w14:textId="77777777" w:rsidTr="0043282F">
        <w:trPr>
          <w:trHeight w:val="519"/>
          <w:tblHeader/>
          <w:jc w:val="center"/>
        </w:trPr>
        <w:tc>
          <w:tcPr>
            <w:tcW w:w="1017" w:type="dxa"/>
            <w:tcBorders>
              <w:top w:val="single" w:sz="4" w:space="0" w:color="ED7C5D"/>
              <w:left w:val="nil"/>
              <w:bottom w:val="double" w:sz="4" w:space="0" w:color="ED7C5D"/>
              <w:right w:val="nil"/>
            </w:tcBorders>
            <w:shd w:val="clear" w:color="000000" w:fill="FFFFFF"/>
            <w:noWrap/>
            <w:hideMark/>
          </w:tcPr>
          <w:p w14:paraId="2E14D861" w14:textId="77777777" w:rsidR="00CE06DA" w:rsidRPr="00503F5B" w:rsidRDefault="00CE06DA" w:rsidP="00090FBA">
            <w:pPr>
              <w:rPr>
                <w:rFonts w:eastAsia="Times New Roman" w:cs="Calibri"/>
                <w:b/>
                <w:bCs/>
                <w:color w:val="C00000"/>
                <w:sz w:val="20"/>
                <w:szCs w:val="20"/>
                <w:lang w:eastAsia="en-AU"/>
              </w:rPr>
            </w:pPr>
            <w:r w:rsidRPr="00503F5B">
              <w:rPr>
                <w:rFonts w:eastAsia="Times New Roman" w:cs="Calibri"/>
                <w:b/>
                <w:bCs/>
                <w:color w:val="C00000"/>
                <w:sz w:val="20"/>
                <w:szCs w:val="20"/>
                <w:lang w:eastAsia="en-AU"/>
              </w:rPr>
              <w:t>Year</w:t>
            </w:r>
          </w:p>
        </w:tc>
        <w:tc>
          <w:tcPr>
            <w:tcW w:w="1535" w:type="dxa"/>
            <w:tcBorders>
              <w:top w:val="single" w:sz="4" w:space="0" w:color="ED7C5D"/>
              <w:left w:val="nil"/>
              <w:bottom w:val="double" w:sz="4" w:space="0" w:color="ED7C5D"/>
              <w:right w:val="nil"/>
            </w:tcBorders>
            <w:shd w:val="clear" w:color="000000" w:fill="FFFFFF"/>
            <w:noWrap/>
            <w:hideMark/>
          </w:tcPr>
          <w:p w14:paraId="36767B78" w14:textId="77777777" w:rsidR="00CE06DA" w:rsidRPr="00503F5B" w:rsidRDefault="00CE06DA" w:rsidP="00090FBA">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FRV quarterly hour</w:t>
            </w:r>
          </w:p>
          <w:p w14:paraId="68C464CB" w14:textId="6D05D111" w:rsidR="00CE06DA" w:rsidRPr="00503F5B" w:rsidRDefault="00CE06DA" w:rsidP="00090FBA">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transactions</w:t>
            </w:r>
            <w:r w:rsidRPr="00503F5B">
              <w:rPr>
                <w:rStyle w:val="FootnoteReference"/>
                <w:rFonts w:eastAsia="Times New Roman" w:cs="Calibri"/>
                <w:b/>
                <w:bCs/>
                <w:color w:val="C00000"/>
                <w:sz w:val="20"/>
                <w:szCs w:val="20"/>
                <w:lang w:eastAsia="en-AU"/>
              </w:rPr>
              <w:footnoteReference w:id="217"/>
            </w:r>
          </w:p>
        </w:tc>
        <w:tc>
          <w:tcPr>
            <w:tcW w:w="1239" w:type="dxa"/>
            <w:tcBorders>
              <w:top w:val="single" w:sz="4" w:space="0" w:color="ED7C5D"/>
              <w:left w:val="nil"/>
              <w:bottom w:val="double" w:sz="4" w:space="0" w:color="ED7C5D"/>
              <w:right w:val="nil"/>
            </w:tcBorders>
            <w:shd w:val="clear" w:color="000000" w:fill="FFFFFF"/>
          </w:tcPr>
          <w:p w14:paraId="515BBADA" w14:textId="77777777" w:rsidR="00CE06DA" w:rsidRPr="00503F5B" w:rsidRDefault="00CE06DA" w:rsidP="00090FBA">
            <w:pPr>
              <w:jc w:val="center"/>
              <w:rPr>
                <w:b/>
                <w:color w:val="BE2A18"/>
                <w:sz w:val="20"/>
                <w:szCs w:val="20"/>
              </w:rPr>
            </w:pPr>
            <w:r w:rsidRPr="00503F5B">
              <w:rPr>
                <w:b/>
                <w:color w:val="BE2A18"/>
                <w:sz w:val="20"/>
                <w:szCs w:val="20"/>
              </w:rPr>
              <w:t>Estimated FRV</w:t>
            </w:r>
          </w:p>
          <w:p w14:paraId="1E2D891B" w14:textId="172267B3" w:rsidR="00CE06DA" w:rsidRPr="00503F5B" w:rsidRDefault="00CE06DA" w:rsidP="00CE06DA">
            <w:pPr>
              <w:jc w:val="center"/>
              <w:rPr>
                <w:b/>
                <w:color w:val="BE2A18"/>
                <w:sz w:val="20"/>
                <w:szCs w:val="20"/>
              </w:rPr>
            </w:pPr>
            <w:r w:rsidRPr="00503F5B">
              <w:rPr>
                <w:b/>
                <w:color w:val="BE2A18"/>
                <w:sz w:val="20"/>
                <w:szCs w:val="20"/>
              </w:rPr>
              <w:t>attendances</w:t>
            </w:r>
          </w:p>
        </w:tc>
        <w:tc>
          <w:tcPr>
            <w:tcW w:w="1171" w:type="dxa"/>
            <w:tcBorders>
              <w:top w:val="single" w:sz="4" w:space="0" w:color="ED7C5D"/>
              <w:left w:val="nil"/>
              <w:bottom w:val="double" w:sz="4" w:space="0" w:color="ED7C5D"/>
              <w:right w:val="nil"/>
            </w:tcBorders>
            <w:shd w:val="clear" w:color="000000" w:fill="FFFFFF"/>
          </w:tcPr>
          <w:p w14:paraId="53F1858F" w14:textId="77777777" w:rsidR="00CE06DA" w:rsidRPr="00503F5B" w:rsidRDefault="00CE06DA" w:rsidP="00090FBA">
            <w:pPr>
              <w:jc w:val="center"/>
              <w:rPr>
                <w:b/>
                <w:color w:val="BE2A18"/>
                <w:sz w:val="20"/>
                <w:szCs w:val="20"/>
              </w:rPr>
            </w:pPr>
            <w:r w:rsidRPr="00503F5B">
              <w:rPr>
                <w:b/>
                <w:color w:val="BE2A18"/>
                <w:sz w:val="20"/>
                <w:szCs w:val="20"/>
              </w:rPr>
              <w:t>Partial cost recovery fee</w:t>
            </w:r>
          </w:p>
        </w:tc>
        <w:tc>
          <w:tcPr>
            <w:tcW w:w="1559" w:type="dxa"/>
            <w:tcBorders>
              <w:top w:val="single" w:sz="4" w:space="0" w:color="ED7C5D"/>
              <w:left w:val="nil"/>
              <w:bottom w:val="double" w:sz="4" w:space="0" w:color="ED7C5D"/>
              <w:right w:val="nil"/>
            </w:tcBorders>
            <w:shd w:val="clear" w:color="000000" w:fill="FFFFFF"/>
          </w:tcPr>
          <w:p w14:paraId="739D93FD" w14:textId="77777777" w:rsidR="00CE06DA" w:rsidRPr="00503F5B" w:rsidRDefault="00CE06DA" w:rsidP="00090FBA">
            <w:pPr>
              <w:jc w:val="center"/>
              <w:rPr>
                <w:rFonts w:eastAsia="Times New Roman" w:cs="Calibri"/>
                <w:b/>
                <w:bCs/>
                <w:color w:val="C00000"/>
                <w:sz w:val="20"/>
                <w:szCs w:val="20"/>
                <w:lang w:eastAsia="en-AU"/>
              </w:rPr>
            </w:pPr>
            <w:r w:rsidRPr="00503F5B">
              <w:rPr>
                <w:b/>
                <w:color w:val="BE2A18"/>
                <w:sz w:val="20"/>
                <w:szCs w:val="20"/>
              </w:rPr>
              <w:t>False alarm charges</w:t>
            </w:r>
          </w:p>
        </w:tc>
        <w:tc>
          <w:tcPr>
            <w:tcW w:w="1700" w:type="dxa"/>
            <w:tcBorders>
              <w:top w:val="single" w:sz="4" w:space="0" w:color="ED7C5D"/>
              <w:left w:val="nil"/>
              <w:bottom w:val="double" w:sz="4" w:space="0" w:color="ED7C5D"/>
              <w:right w:val="nil"/>
            </w:tcBorders>
            <w:shd w:val="clear" w:color="000000" w:fill="FFFFFF"/>
          </w:tcPr>
          <w:p w14:paraId="7F435754" w14:textId="16D4CBB9" w:rsidR="00CE06DA" w:rsidRPr="00503F5B" w:rsidRDefault="00CE06DA" w:rsidP="00090FBA">
            <w:pPr>
              <w:jc w:val="center"/>
              <w:rPr>
                <w:rFonts w:eastAsia="Times New Roman" w:cs="Calibri"/>
                <w:b/>
                <w:bCs/>
                <w:color w:val="C00000"/>
                <w:sz w:val="20"/>
                <w:szCs w:val="20"/>
                <w:lang w:eastAsia="en-AU"/>
              </w:rPr>
            </w:pPr>
            <w:r w:rsidRPr="00503F5B">
              <w:rPr>
                <w:b/>
                <w:color w:val="BE2A18"/>
                <w:sz w:val="20"/>
                <w:szCs w:val="20"/>
              </w:rPr>
              <w:t>False alarm charges (Present value 2019-20 dollars)</w:t>
            </w:r>
            <w:r w:rsidRPr="00503F5B">
              <w:rPr>
                <w:rStyle w:val="FootnoteReference"/>
                <w:b/>
                <w:color w:val="BE2A18"/>
                <w:sz w:val="20"/>
                <w:szCs w:val="20"/>
              </w:rPr>
              <w:footnoteReference w:id="218"/>
            </w:r>
          </w:p>
        </w:tc>
      </w:tr>
      <w:tr w:rsidR="00CE06DA" w:rsidRPr="00503F5B" w14:paraId="6F3070FD" w14:textId="77777777" w:rsidTr="0043282F">
        <w:trPr>
          <w:trHeight w:val="50"/>
          <w:jc w:val="center"/>
        </w:trPr>
        <w:tc>
          <w:tcPr>
            <w:tcW w:w="1017" w:type="dxa"/>
            <w:tcBorders>
              <w:top w:val="double" w:sz="4" w:space="0" w:color="ED7C5D"/>
              <w:left w:val="nil"/>
              <w:bottom w:val="nil"/>
              <w:right w:val="nil"/>
            </w:tcBorders>
            <w:shd w:val="clear" w:color="000000" w:fill="FFFFFF"/>
            <w:noWrap/>
            <w:hideMark/>
          </w:tcPr>
          <w:p w14:paraId="4B0EBA62" w14:textId="77777777" w:rsidR="00CE06DA" w:rsidRPr="00503F5B" w:rsidRDefault="00CE06DA" w:rsidP="00CE06DA">
            <w:pPr>
              <w:rPr>
                <w:rFonts w:eastAsia="Times New Roman" w:cs="Calibri"/>
                <w:sz w:val="20"/>
                <w:szCs w:val="20"/>
                <w:lang w:eastAsia="en-AU"/>
              </w:rPr>
            </w:pPr>
            <w:r w:rsidRPr="00503F5B">
              <w:rPr>
                <w:rFonts w:eastAsia="Times New Roman" w:cs="Calibri"/>
                <w:sz w:val="20"/>
                <w:szCs w:val="20"/>
                <w:lang w:eastAsia="en-AU"/>
              </w:rPr>
              <w:t>2020-21</w:t>
            </w:r>
          </w:p>
        </w:tc>
        <w:tc>
          <w:tcPr>
            <w:tcW w:w="1535" w:type="dxa"/>
            <w:tcBorders>
              <w:top w:val="double" w:sz="4" w:space="0" w:color="ED7C5D"/>
              <w:left w:val="nil"/>
              <w:bottom w:val="nil"/>
              <w:right w:val="nil"/>
            </w:tcBorders>
            <w:shd w:val="clear" w:color="000000" w:fill="FFFFFF"/>
            <w:noWrap/>
            <w:hideMark/>
          </w:tcPr>
          <w:p w14:paraId="26AB0908" w14:textId="7C43CECB" w:rsidR="00CE06DA" w:rsidRPr="00503F5B" w:rsidRDefault="00CE06DA" w:rsidP="00CE06DA">
            <w:pPr>
              <w:jc w:val="right"/>
              <w:rPr>
                <w:rFonts w:eastAsia="Times New Roman" w:cs="Calibri"/>
                <w:sz w:val="20"/>
                <w:szCs w:val="20"/>
                <w:lang w:eastAsia="en-AU"/>
              </w:rPr>
            </w:pPr>
            <w:r w:rsidRPr="00503F5B">
              <w:rPr>
                <w:sz w:val="20"/>
                <w:szCs w:val="20"/>
              </w:rPr>
              <w:t>22,987</w:t>
            </w:r>
          </w:p>
        </w:tc>
        <w:tc>
          <w:tcPr>
            <w:tcW w:w="1239" w:type="dxa"/>
            <w:tcBorders>
              <w:top w:val="double" w:sz="4" w:space="0" w:color="ED7C5D"/>
              <w:left w:val="nil"/>
              <w:bottom w:val="nil"/>
              <w:right w:val="nil"/>
            </w:tcBorders>
            <w:shd w:val="clear" w:color="000000" w:fill="FFFFFF"/>
          </w:tcPr>
          <w:p w14:paraId="0A862E15" w14:textId="74750175" w:rsidR="00CE06DA" w:rsidRPr="00503F5B" w:rsidRDefault="00CE06DA" w:rsidP="00CE06DA">
            <w:pPr>
              <w:jc w:val="right"/>
              <w:rPr>
                <w:b/>
                <w:bCs/>
                <w:sz w:val="20"/>
                <w:szCs w:val="20"/>
              </w:rPr>
            </w:pPr>
            <w:r w:rsidRPr="00503F5B">
              <w:rPr>
                <w:sz w:val="20"/>
                <w:szCs w:val="20"/>
              </w:rPr>
              <w:t>4,466</w:t>
            </w:r>
          </w:p>
        </w:tc>
        <w:tc>
          <w:tcPr>
            <w:tcW w:w="1171" w:type="dxa"/>
            <w:tcBorders>
              <w:top w:val="double" w:sz="4" w:space="0" w:color="ED7C5D"/>
              <w:left w:val="nil"/>
              <w:bottom w:val="nil"/>
              <w:right w:val="nil"/>
            </w:tcBorders>
            <w:shd w:val="clear" w:color="auto" w:fill="FBE4D5" w:themeFill="accent2" w:themeFillTint="33"/>
          </w:tcPr>
          <w:p w14:paraId="58A29B9E" w14:textId="0179797D" w:rsidR="00CE06DA" w:rsidRPr="00503F5B" w:rsidRDefault="00CE06DA" w:rsidP="00CE06DA">
            <w:pPr>
              <w:jc w:val="right"/>
              <w:rPr>
                <w:rFonts w:cs="Calibri"/>
                <w:sz w:val="20"/>
                <w:szCs w:val="20"/>
              </w:rPr>
            </w:pPr>
            <w:r w:rsidRPr="00503F5B">
              <w:rPr>
                <w:sz w:val="20"/>
                <w:szCs w:val="20"/>
              </w:rPr>
              <w:t>$1,600</w:t>
            </w:r>
          </w:p>
        </w:tc>
        <w:tc>
          <w:tcPr>
            <w:tcW w:w="1559" w:type="dxa"/>
            <w:tcBorders>
              <w:top w:val="double" w:sz="4" w:space="0" w:color="ED7C5D"/>
              <w:left w:val="nil"/>
              <w:bottom w:val="nil"/>
              <w:right w:val="nil"/>
            </w:tcBorders>
            <w:shd w:val="clear" w:color="000000" w:fill="FFFFFF"/>
          </w:tcPr>
          <w:p w14:paraId="7138DAE1" w14:textId="5E7B9B78" w:rsidR="00CE06DA" w:rsidRPr="00503F5B" w:rsidRDefault="00CE06DA" w:rsidP="00CE06DA">
            <w:pPr>
              <w:jc w:val="right"/>
              <w:rPr>
                <w:b/>
                <w:bCs/>
                <w:sz w:val="20"/>
                <w:szCs w:val="20"/>
              </w:rPr>
            </w:pPr>
            <w:r w:rsidRPr="00503F5B">
              <w:rPr>
                <w:sz w:val="20"/>
                <w:szCs w:val="20"/>
              </w:rPr>
              <w:t>$7,146,165</w:t>
            </w:r>
          </w:p>
        </w:tc>
        <w:tc>
          <w:tcPr>
            <w:tcW w:w="1700" w:type="dxa"/>
            <w:tcBorders>
              <w:top w:val="double" w:sz="4" w:space="0" w:color="ED7C5D"/>
              <w:left w:val="nil"/>
              <w:bottom w:val="nil"/>
              <w:right w:val="nil"/>
            </w:tcBorders>
            <w:shd w:val="clear" w:color="000000" w:fill="FFFFFF"/>
          </w:tcPr>
          <w:p w14:paraId="2D31EBD1" w14:textId="1FBAD8DE" w:rsidR="00CE06DA" w:rsidRPr="00503F5B" w:rsidRDefault="00CE06DA" w:rsidP="00CE06DA">
            <w:pPr>
              <w:jc w:val="right"/>
              <w:rPr>
                <w:b/>
                <w:bCs/>
                <w:sz w:val="20"/>
                <w:szCs w:val="20"/>
              </w:rPr>
            </w:pPr>
            <w:r w:rsidRPr="00503F5B">
              <w:rPr>
                <w:sz w:val="20"/>
                <w:szCs w:val="20"/>
              </w:rPr>
              <w:t>$6,871,312</w:t>
            </w:r>
          </w:p>
        </w:tc>
      </w:tr>
      <w:tr w:rsidR="00CE06DA" w:rsidRPr="00503F5B" w14:paraId="5F670CC2" w14:textId="77777777" w:rsidTr="0043282F">
        <w:trPr>
          <w:trHeight w:val="50"/>
          <w:jc w:val="center"/>
        </w:trPr>
        <w:tc>
          <w:tcPr>
            <w:tcW w:w="1017" w:type="dxa"/>
            <w:tcBorders>
              <w:top w:val="nil"/>
              <w:left w:val="nil"/>
              <w:bottom w:val="nil"/>
              <w:right w:val="nil"/>
            </w:tcBorders>
            <w:shd w:val="clear" w:color="000000" w:fill="FFFFFF"/>
            <w:noWrap/>
            <w:hideMark/>
          </w:tcPr>
          <w:p w14:paraId="306B7F5D" w14:textId="77777777" w:rsidR="00CE06DA" w:rsidRPr="00503F5B" w:rsidRDefault="00CE06DA" w:rsidP="00CE06DA">
            <w:pPr>
              <w:rPr>
                <w:rFonts w:eastAsia="Times New Roman" w:cs="Calibri"/>
                <w:sz w:val="20"/>
                <w:szCs w:val="20"/>
                <w:lang w:eastAsia="en-AU"/>
              </w:rPr>
            </w:pPr>
            <w:r w:rsidRPr="00503F5B">
              <w:rPr>
                <w:rFonts w:eastAsia="Times New Roman" w:cs="Calibri"/>
                <w:sz w:val="20"/>
                <w:szCs w:val="20"/>
                <w:lang w:eastAsia="en-AU"/>
              </w:rPr>
              <w:t>2021-22</w:t>
            </w:r>
          </w:p>
        </w:tc>
        <w:tc>
          <w:tcPr>
            <w:tcW w:w="1535" w:type="dxa"/>
            <w:tcBorders>
              <w:top w:val="nil"/>
              <w:left w:val="nil"/>
              <w:bottom w:val="nil"/>
              <w:right w:val="nil"/>
            </w:tcBorders>
            <w:shd w:val="clear" w:color="000000" w:fill="FFFFFF"/>
            <w:noWrap/>
            <w:hideMark/>
          </w:tcPr>
          <w:p w14:paraId="7DB5E18F" w14:textId="2F16E5F1" w:rsidR="00CE06DA" w:rsidRPr="00503F5B" w:rsidRDefault="00CE06DA" w:rsidP="00CE06DA">
            <w:pPr>
              <w:jc w:val="right"/>
              <w:rPr>
                <w:rFonts w:eastAsia="Times New Roman" w:cs="Calibri"/>
                <w:sz w:val="20"/>
                <w:szCs w:val="20"/>
                <w:lang w:eastAsia="en-AU"/>
              </w:rPr>
            </w:pPr>
            <w:r w:rsidRPr="00503F5B">
              <w:rPr>
                <w:sz w:val="20"/>
                <w:szCs w:val="20"/>
              </w:rPr>
              <w:t>23,472</w:t>
            </w:r>
          </w:p>
        </w:tc>
        <w:tc>
          <w:tcPr>
            <w:tcW w:w="1239" w:type="dxa"/>
            <w:tcBorders>
              <w:top w:val="nil"/>
              <w:left w:val="nil"/>
              <w:bottom w:val="nil"/>
              <w:right w:val="nil"/>
            </w:tcBorders>
            <w:shd w:val="clear" w:color="000000" w:fill="FFFFFF"/>
          </w:tcPr>
          <w:p w14:paraId="459B150C" w14:textId="47C5E256" w:rsidR="00CE06DA" w:rsidRPr="00503F5B" w:rsidRDefault="00CE06DA" w:rsidP="00CE06DA">
            <w:pPr>
              <w:jc w:val="right"/>
              <w:rPr>
                <w:b/>
                <w:bCs/>
                <w:sz w:val="20"/>
                <w:szCs w:val="20"/>
              </w:rPr>
            </w:pPr>
            <w:r w:rsidRPr="00503F5B">
              <w:rPr>
                <w:sz w:val="20"/>
                <w:szCs w:val="20"/>
              </w:rPr>
              <w:t>4,561</w:t>
            </w:r>
          </w:p>
        </w:tc>
        <w:tc>
          <w:tcPr>
            <w:tcW w:w="1171" w:type="dxa"/>
            <w:tcBorders>
              <w:top w:val="nil"/>
              <w:left w:val="nil"/>
              <w:bottom w:val="nil"/>
              <w:right w:val="nil"/>
            </w:tcBorders>
            <w:shd w:val="clear" w:color="auto" w:fill="FBE4D5" w:themeFill="accent2" w:themeFillTint="33"/>
          </w:tcPr>
          <w:p w14:paraId="69834EFD" w14:textId="5E509363" w:rsidR="00CE06DA" w:rsidRPr="00503F5B" w:rsidRDefault="00CE06DA" w:rsidP="00CE06DA">
            <w:pPr>
              <w:jc w:val="right"/>
              <w:rPr>
                <w:rFonts w:cs="Calibri"/>
                <w:sz w:val="20"/>
                <w:szCs w:val="20"/>
              </w:rPr>
            </w:pPr>
            <w:r w:rsidRPr="00503F5B">
              <w:rPr>
                <w:sz w:val="20"/>
                <w:szCs w:val="20"/>
              </w:rPr>
              <w:t>$1,600</w:t>
            </w:r>
          </w:p>
        </w:tc>
        <w:tc>
          <w:tcPr>
            <w:tcW w:w="1559" w:type="dxa"/>
            <w:tcBorders>
              <w:top w:val="nil"/>
              <w:left w:val="nil"/>
              <w:bottom w:val="nil"/>
              <w:right w:val="nil"/>
            </w:tcBorders>
            <w:shd w:val="clear" w:color="000000" w:fill="FFFFFF"/>
          </w:tcPr>
          <w:p w14:paraId="6D7A33BF" w14:textId="532A517E" w:rsidR="00CE06DA" w:rsidRPr="00503F5B" w:rsidRDefault="00CE06DA" w:rsidP="00CE06DA">
            <w:pPr>
              <w:jc w:val="right"/>
              <w:rPr>
                <w:b/>
                <w:bCs/>
                <w:sz w:val="20"/>
                <w:szCs w:val="20"/>
              </w:rPr>
            </w:pPr>
            <w:r w:rsidRPr="00503F5B">
              <w:rPr>
                <w:sz w:val="20"/>
                <w:szCs w:val="20"/>
              </w:rPr>
              <w:t>$7,297,163</w:t>
            </w:r>
          </w:p>
        </w:tc>
        <w:tc>
          <w:tcPr>
            <w:tcW w:w="1700" w:type="dxa"/>
            <w:tcBorders>
              <w:top w:val="nil"/>
              <w:left w:val="nil"/>
              <w:bottom w:val="nil"/>
              <w:right w:val="nil"/>
            </w:tcBorders>
            <w:shd w:val="clear" w:color="000000" w:fill="FFFFFF"/>
          </w:tcPr>
          <w:p w14:paraId="04201F8D" w14:textId="23D5C7D2" w:rsidR="00CE06DA" w:rsidRPr="00503F5B" w:rsidRDefault="00CE06DA" w:rsidP="00CE06DA">
            <w:pPr>
              <w:jc w:val="right"/>
              <w:rPr>
                <w:b/>
                <w:bCs/>
                <w:sz w:val="20"/>
                <w:szCs w:val="20"/>
              </w:rPr>
            </w:pPr>
            <w:r w:rsidRPr="00503F5B">
              <w:rPr>
                <w:sz w:val="20"/>
                <w:szCs w:val="20"/>
              </w:rPr>
              <w:t>$6,746,638</w:t>
            </w:r>
          </w:p>
        </w:tc>
      </w:tr>
      <w:tr w:rsidR="00CE06DA" w:rsidRPr="00503F5B" w14:paraId="2C1DA8AC" w14:textId="77777777" w:rsidTr="0043282F">
        <w:trPr>
          <w:trHeight w:val="50"/>
          <w:jc w:val="center"/>
        </w:trPr>
        <w:tc>
          <w:tcPr>
            <w:tcW w:w="1017" w:type="dxa"/>
            <w:tcBorders>
              <w:top w:val="nil"/>
              <w:left w:val="nil"/>
              <w:bottom w:val="nil"/>
              <w:right w:val="nil"/>
            </w:tcBorders>
            <w:shd w:val="clear" w:color="000000" w:fill="FFFFFF"/>
            <w:noWrap/>
            <w:hideMark/>
          </w:tcPr>
          <w:p w14:paraId="0F615296" w14:textId="77777777" w:rsidR="00CE06DA" w:rsidRPr="00503F5B" w:rsidRDefault="00CE06DA" w:rsidP="00CE06DA">
            <w:pPr>
              <w:rPr>
                <w:rFonts w:eastAsia="Times New Roman" w:cs="Calibri"/>
                <w:sz w:val="20"/>
                <w:szCs w:val="20"/>
                <w:lang w:eastAsia="en-AU"/>
              </w:rPr>
            </w:pPr>
            <w:r w:rsidRPr="00503F5B">
              <w:rPr>
                <w:rFonts w:eastAsia="Times New Roman" w:cs="Calibri"/>
                <w:sz w:val="20"/>
                <w:szCs w:val="20"/>
                <w:lang w:eastAsia="en-AU"/>
              </w:rPr>
              <w:t>2022-23</w:t>
            </w:r>
          </w:p>
        </w:tc>
        <w:tc>
          <w:tcPr>
            <w:tcW w:w="1535" w:type="dxa"/>
            <w:tcBorders>
              <w:top w:val="nil"/>
              <w:left w:val="nil"/>
              <w:bottom w:val="nil"/>
              <w:right w:val="nil"/>
            </w:tcBorders>
            <w:shd w:val="clear" w:color="000000" w:fill="FFFFFF"/>
            <w:noWrap/>
            <w:hideMark/>
          </w:tcPr>
          <w:p w14:paraId="4E2CD8F6" w14:textId="1A262A24" w:rsidR="00CE06DA" w:rsidRPr="00503F5B" w:rsidRDefault="00CE06DA" w:rsidP="00CE06DA">
            <w:pPr>
              <w:jc w:val="right"/>
              <w:rPr>
                <w:rFonts w:eastAsia="Times New Roman" w:cs="Calibri"/>
                <w:sz w:val="20"/>
                <w:szCs w:val="20"/>
                <w:lang w:eastAsia="en-AU"/>
              </w:rPr>
            </w:pPr>
            <w:r w:rsidRPr="00503F5B">
              <w:rPr>
                <w:sz w:val="20"/>
                <w:szCs w:val="20"/>
              </w:rPr>
              <w:t>24,044</w:t>
            </w:r>
          </w:p>
        </w:tc>
        <w:tc>
          <w:tcPr>
            <w:tcW w:w="1239" w:type="dxa"/>
            <w:tcBorders>
              <w:top w:val="nil"/>
              <w:left w:val="nil"/>
              <w:bottom w:val="nil"/>
              <w:right w:val="nil"/>
            </w:tcBorders>
            <w:shd w:val="clear" w:color="000000" w:fill="FFFFFF"/>
          </w:tcPr>
          <w:p w14:paraId="298C3161" w14:textId="0D88C866" w:rsidR="00CE06DA" w:rsidRPr="00503F5B" w:rsidRDefault="00CE06DA" w:rsidP="00CE06DA">
            <w:pPr>
              <w:jc w:val="right"/>
              <w:rPr>
                <w:b/>
                <w:bCs/>
                <w:sz w:val="20"/>
                <w:szCs w:val="20"/>
              </w:rPr>
            </w:pPr>
            <w:r w:rsidRPr="00503F5B">
              <w:rPr>
                <w:sz w:val="20"/>
                <w:szCs w:val="20"/>
              </w:rPr>
              <w:t>4,672</w:t>
            </w:r>
          </w:p>
        </w:tc>
        <w:tc>
          <w:tcPr>
            <w:tcW w:w="1171" w:type="dxa"/>
            <w:tcBorders>
              <w:top w:val="nil"/>
              <w:left w:val="nil"/>
              <w:bottom w:val="nil"/>
              <w:right w:val="nil"/>
            </w:tcBorders>
            <w:shd w:val="clear" w:color="auto" w:fill="FBE4D5" w:themeFill="accent2" w:themeFillTint="33"/>
          </w:tcPr>
          <w:p w14:paraId="024F322E" w14:textId="747F6F48" w:rsidR="00CE06DA" w:rsidRPr="00503F5B" w:rsidRDefault="00CE06DA" w:rsidP="00CE06DA">
            <w:pPr>
              <w:jc w:val="right"/>
              <w:rPr>
                <w:rFonts w:cs="Calibri"/>
                <w:sz w:val="20"/>
                <w:szCs w:val="20"/>
              </w:rPr>
            </w:pPr>
            <w:r w:rsidRPr="00503F5B">
              <w:rPr>
                <w:sz w:val="20"/>
                <w:szCs w:val="20"/>
              </w:rPr>
              <w:t>$1,600</w:t>
            </w:r>
          </w:p>
        </w:tc>
        <w:tc>
          <w:tcPr>
            <w:tcW w:w="1559" w:type="dxa"/>
            <w:tcBorders>
              <w:top w:val="nil"/>
              <w:left w:val="nil"/>
              <w:bottom w:val="nil"/>
              <w:right w:val="nil"/>
            </w:tcBorders>
            <w:shd w:val="clear" w:color="000000" w:fill="FFFFFF"/>
          </w:tcPr>
          <w:p w14:paraId="3344BD51" w14:textId="7D837383" w:rsidR="00CE06DA" w:rsidRPr="00503F5B" w:rsidRDefault="00CE06DA" w:rsidP="00CE06DA">
            <w:pPr>
              <w:jc w:val="right"/>
              <w:rPr>
                <w:b/>
                <w:bCs/>
                <w:sz w:val="20"/>
                <w:szCs w:val="20"/>
              </w:rPr>
            </w:pPr>
            <w:r w:rsidRPr="00503F5B">
              <w:rPr>
                <w:sz w:val="20"/>
                <w:szCs w:val="20"/>
              </w:rPr>
              <w:t>$7,474,795</w:t>
            </w:r>
          </w:p>
        </w:tc>
        <w:tc>
          <w:tcPr>
            <w:tcW w:w="1700" w:type="dxa"/>
            <w:tcBorders>
              <w:top w:val="nil"/>
              <w:left w:val="nil"/>
              <w:bottom w:val="nil"/>
              <w:right w:val="nil"/>
            </w:tcBorders>
            <w:shd w:val="clear" w:color="000000" w:fill="FFFFFF"/>
          </w:tcPr>
          <w:p w14:paraId="6F1FA584" w14:textId="31337A80" w:rsidR="00CE06DA" w:rsidRPr="00503F5B" w:rsidRDefault="00CE06DA" w:rsidP="00CE06DA">
            <w:pPr>
              <w:jc w:val="right"/>
              <w:rPr>
                <w:b/>
                <w:bCs/>
                <w:sz w:val="20"/>
                <w:szCs w:val="20"/>
              </w:rPr>
            </w:pPr>
            <w:r w:rsidRPr="00503F5B">
              <w:rPr>
                <w:sz w:val="20"/>
                <w:szCs w:val="20"/>
              </w:rPr>
              <w:t>$6,645,065</w:t>
            </w:r>
          </w:p>
        </w:tc>
      </w:tr>
      <w:tr w:rsidR="00CE06DA" w:rsidRPr="00503F5B" w14:paraId="3903AF52" w14:textId="77777777" w:rsidTr="0043282F">
        <w:trPr>
          <w:trHeight w:val="50"/>
          <w:jc w:val="center"/>
        </w:trPr>
        <w:tc>
          <w:tcPr>
            <w:tcW w:w="1017" w:type="dxa"/>
            <w:tcBorders>
              <w:top w:val="nil"/>
              <w:left w:val="nil"/>
              <w:bottom w:val="nil"/>
              <w:right w:val="nil"/>
            </w:tcBorders>
            <w:shd w:val="clear" w:color="000000" w:fill="FFFFFF"/>
            <w:noWrap/>
            <w:hideMark/>
          </w:tcPr>
          <w:p w14:paraId="08DCA1BC" w14:textId="77777777" w:rsidR="00CE06DA" w:rsidRPr="00503F5B" w:rsidRDefault="00CE06DA" w:rsidP="00CE06DA">
            <w:pPr>
              <w:rPr>
                <w:rFonts w:eastAsia="Times New Roman" w:cs="Calibri"/>
                <w:sz w:val="20"/>
                <w:szCs w:val="20"/>
                <w:lang w:eastAsia="en-AU"/>
              </w:rPr>
            </w:pPr>
            <w:r w:rsidRPr="00503F5B">
              <w:rPr>
                <w:rFonts w:eastAsia="Times New Roman" w:cs="Calibri"/>
                <w:sz w:val="20"/>
                <w:szCs w:val="20"/>
                <w:lang w:eastAsia="en-AU"/>
              </w:rPr>
              <w:t>2023-24</w:t>
            </w:r>
          </w:p>
        </w:tc>
        <w:tc>
          <w:tcPr>
            <w:tcW w:w="1535" w:type="dxa"/>
            <w:tcBorders>
              <w:top w:val="nil"/>
              <w:left w:val="nil"/>
              <w:bottom w:val="nil"/>
              <w:right w:val="nil"/>
            </w:tcBorders>
            <w:shd w:val="clear" w:color="000000" w:fill="FFFFFF"/>
            <w:noWrap/>
            <w:hideMark/>
          </w:tcPr>
          <w:p w14:paraId="642ACB60" w14:textId="3B1E327F" w:rsidR="00CE06DA" w:rsidRPr="00503F5B" w:rsidRDefault="00CE06DA" w:rsidP="00CE06DA">
            <w:pPr>
              <w:jc w:val="right"/>
              <w:rPr>
                <w:rFonts w:eastAsia="Times New Roman" w:cs="Calibri"/>
                <w:sz w:val="20"/>
                <w:szCs w:val="20"/>
                <w:lang w:eastAsia="en-AU"/>
              </w:rPr>
            </w:pPr>
            <w:r w:rsidRPr="00503F5B">
              <w:rPr>
                <w:sz w:val="20"/>
                <w:szCs w:val="20"/>
              </w:rPr>
              <w:t>24,697</w:t>
            </w:r>
          </w:p>
        </w:tc>
        <w:tc>
          <w:tcPr>
            <w:tcW w:w="1239" w:type="dxa"/>
            <w:tcBorders>
              <w:top w:val="nil"/>
              <w:left w:val="nil"/>
              <w:bottom w:val="nil"/>
              <w:right w:val="nil"/>
            </w:tcBorders>
            <w:shd w:val="clear" w:color="000000" w:fill="FFFFFF"/>
          </w:tcPr>
          <w:p w14:paraId="58C916FD" w14:textId="537CABA6" w:rsidR="00CE06DA" w:rsidRPr="00503F5B" w:rsidRDefault="00CE06DA" w:rsidP="00CE06DA">
            <w:pPr>
              <w:jc w:val="right"/>
              <w:rPr>
                <w:b/>
                <w:bCs/>
                <w:sz w:val="20"/>
                <w:szCs w:val="20"/>
              </w:rPr>
            </w:pPr>
            <w:r w:rsidRPr="00503F5B">
              <w:rPr>
                <w:sz w:val="20"/>
                <w:szCs w:val="20"/>
              </w:rPr>
              <w:t>4,799</w:t>
            </w:r>
          </w:p>
        </w:tc>
        <w:tc>
          <w:tcPr>
            <w:tcW w:w="1171" w:type="dxa"/>
            <w:tcBorders>
              <w:top w:val="nil"/>
              <w:left w:val="nil"/>
              <w:bottom w:val="nil"/>
              <w:right w:val="nil"/>
            </w:tcBorders>
            <w:shd w:val="clear" w:color="auto" w:fill="FBE4D5" w:themeFill="accent2" w:themeFillTint="33"/>
          </w:tcPr>
          <w:p w14:paraId="3583CBB7" w14:textId="621307BC" w:rsidR="00CE06DA" w:rsidRPr="00503F5B" w:rsidRDefault="00CE06DA" w:rsidP="00CE06DA">
            <w:pPr>
              <w:jc w:val="right"/>
              <w:rPr>
                <w:rFonts w:cs="Calibri"/>
                <w:sz w:val="20"/>
                <w:szCs w:val="20"/>
              </w:rPr>
            </w:pPr>
            <w:r w:rsidRPr="00503F5B">
              <w:rPr>
                <w:sz w:val="20"/>
                <w:szCs w:val="20"/>
              </w:rPr>
              <w:t>$1,600</w:t>
            </w:r>
          </w:p>
        </w:tc>
        <w:tc>
          <w:tcPr>
            <w:tcW w:w="1559" w:type="dxa"/>
            <w:tcBorders>
              <w:top w:val="nil"/>
              <w:left w:val="nil"/>
              <w:bottom w:val="nil"/>
              <w:right w:val="nil"/>
            </w:tcBorders>
            <w:shd w:val="clear" w:color="000000" w:fill="FFFFFF"/>
          </w:tcPr>
          <w:p w14:paraId="1C2B0339" w14:textId="5C86CE83" w:rsidR="00CE06DA" w:rsidRPr="00503F5B" w:rsidRDefault="00CE06DA" w:rsidP="00CE06DA">
            <w:pPr>
              <w:jc w:val="right"/>
              <w:rPr>
                <w:b/>
                <w:bCs/>
                <w:sz w:val="20"/>
                <w:szCs w:val="20"/>
              </w:rPr>
            </w:pPr>
            <w:r w:rsidRPr="00503F5B">
              <w:rPr>
                <w:sz w:val="20"/>
                <w:szCs w:val="20"/>
              </w:rPr>
              <w:t>$7,677,931</w:t>
            </w:r>
          </w:p>
        </w:tc>
        <w:tc>
          <w:tcPr>
            <w:tcW w:w="1700" w:type="dxa"/>
            <w:tcBorders>
              <w:top w:val="nil"/>
              <w:left w:val="nil"/>
              <w:bottom w:val="nil"/>
              <w:right w:val="nil"/>
            </w:tcBorders>
            <w:shd w:val="clear" w:color="000000" w:fill="FFFFFF"/>
          </w:tcPr>
          <w:p w14:paraId="39277015" w14:textId="29867331" w:rsidR="00CE06DA" w:rsidRPr="00503F5B" w:rsidRDefault="00CE06DA" w:rsidP="00CE06DA">
            <w:pPr>
              <w:jc w:val="right"/>
              <w:rPr>
                <w:b/>
                <w:bCs/>
                <w:sz w:val="20"/>
                <w:szCs w:val="20"/>
              </w:rPr>
            </w:pPr>
            <w:r w:rsidRPr="00503F5B">
              <w:rPr>
                <w:sz w:val="20"/>
                <w:szCs w:val="20"/>
              </w:rPr>
              <w:t>$6,563,128</w:t>
            </w:r>
          </w:p>
        </w:tc>
      </w:tr>
      <w:tr w:rsidR="00CE06DA" w:rsidRPr="00503F5B" w14:paraId="498AA952" w14:textId="77777777" w:rsidTr="0043282F">
        <w:trPr>
          <w:trHeight w:val="50"/>
          <w:jc w:val="center"/>
        </w:trPr>
        <w:tc>
          <w:tcPr>
            <w:tcW w:w="1017" w:type="dxa"/>
            <w:tcBorders>
              <w:top w:val="nil"/>
              <w:left w:val="nil"/>
              <w:bottom w:val="nil"/>
              <w:right w:val="nil"/>
            </w:tcBorders>
            <w:shd w:val="clear" w:color="000000" w:fill="FFFFFF"/>
            <w:noWrap/>
            <w:hideMark/>
          </w:tcPr>
          <w:p w14:paraId="5D69A086" w14:textId="77777777" w:rsidR="00CE06DA" w:rsidRPr="00503F5B" w:rsidRDefault="00CE06DA" w:rsidP="00CE06DA">
            <w:pPr>
              <w:rPr>
                <w:rFonts w:eastAsia="Times New Roman" w:cs="Calibri"/>
                <w:sz w:val="20"/>
                <w:szCs w:val="20"/>
                <w:lang w:eastAsia="en-AU"/>
              </w:rPr>
            </w:pPr>
            <w:r w:rsidRPr="00503F5B">
              <w:rPr>
                <w:rFonts w:eastAsia="Times New Roman" w:cs="Calibri"/>
                <w:sz w:val="20"/>
                <w:szCs w:val="20"/>
                <w:lang w:eastAsia="en-AU"/>
              </w:rPr>
              <w:t>2024-25</w:t>
            </w:r>
          </w:p>
        </w:tc>
        <w:tc>
          <w:tcPr>
            <w:tcW w:w="1535" w:type="dxa"/>
            <w:tcBorders>
              <w:top w:val="nil"/>
              <w:left w:val="nil"/>
              <w:bottom w:val="nil"/>
              <w:right w:val="nil"/>
            </w:tcBorders>
            <w:shd w:val="clear" w:color="000000" w:fill="FFFFFF"/>
            <w:noWrap/>
            <w:hideMark/>
          </w:tcPr>
          <w:p w14:paraId="05AE28EF" w14:textId="0E055563" w:rsidR="00CE06DA" w:rsidRPr="00503F5B" w:rsidRDefault="00CE06DA" w:rsidP="00CE06DA">
            <w:pPr>
              <w:jc w:val="right"/>
              <w:rPr>
                <w:rFonts w:eastAsia="Times New Roman" w:cs="Calibri"/>
                <w:sz w:val="20"/>
                <w:szCs w:val="20"/>
                <w:lang w:eastAsia="en-AU"/>
              </w:rPr>
            </w:pPr>
            <w:r w:rsidRPr="00503F5B">
              <w:rPr>
                <w:sz w:val="20"/>
                <w:szCs w:val="20"/>
              </w:rPr>
              <w:t>25,430</w:t>
            </w:r>
          </w:p>
        </w:tc>
        <w:tc>
          <w:tcPr>
            <w:tcW w:w="1239" w:type="dxa"/>
            <w:tcBorders>
              <w:top w:val="nil"/>
              <w:left w:val="nil"/>
              <w:bottom w:val="nil"/>
              <w:right w:val="nil"/>
            </w:tcBorders>
            <w:shd w:val="clear" w:color="000000" w:fill="FFFFFF"/>
          </w:tcPr>
          <w:p w14:paraId="0565014A" w14:textId="70D1DACA" w:rsidR="00CE06DA" w:rsidRPr="00503F5B" w:rsidRDefault="00CE06DA" w:rsidP="00CE06DA">
            <w:pPr>
              <w:jc w:val="right"/>
              <w:rPr>
                <w:b/>
                <w:bCs/>
                <w:sz w:val="20"/>
                <w:szCs w:val="20"/>
              </w:rPr>
            </w:pPr>
            <w:r w:rsidRPr="00503F5B">
              <w:rPr>
                <w:sz w:val="20"/>
                <w:szCs w:val="20"/>
              </w:rPr>
              <w:t>4,941</w:t>
            </w:r>
          </w:p>
        </w:tc>
        <w:tc>
          <w:tcPr>
            <w:tcW w:w="1171" w:type="dxa"/>
            <w:tcBorders>
              <w:top w:val="nil"/>
              <w:left w:val="nil"/>
              <w:bottom w:val="nil"/>
              <w:right w:val="nil"/>
            </w:tcBorders>
            <w:shd w:val="clear" w:color="auto" w:fill="FBE4D5" w:themeFill="accent2" w:themeFillTint="33"/>
          </w:tcPr>
          <w:p w14:paraId="0EEF2AA9" w14:textId="64667A7C" w:rsidR="00CE06DA" w:rsidRPr="00503F5B" w:rsidRDefault="00CE06DA" w:rsidP="00CE06DA">
            <w:pPr>
              <w:jc w:val="right"/>
              <w:rPr>
                <w:rFonts w:cs="Calibri"/>
                <w:sz w:val="20"/>
                <w:szCs w:val="20"/>
              </w:rPr>
            </w:pPr>
            <w:r w:rsidRPr="00503F5B">
              <w:rPr>
                <w:sz w:val="20"/>
                <w:szCs w:val="20"/>
              </w:rPr>
              <w:t>$1,600</w:t>
            </w:r>
          </w:p>
        </w:tc>
        <w:tc>
          <w:tcPr>
            <w:tcW w:w="1559" w:type="dxa"/>
            <w:tcBorders>
              <w:top w:val="nil"/>
              <w:left w:val="nil"/>
              <w:bottom w:val="nil"/>
              <w:right w:val="nil"/>
            </w:tcBorders>
            <w:shd w:val="clear" w:color="000000" w:fill="FFFFFF"/>
          </w:tcPr>
          <w:p w14:paraId="08444068" w14:textId="16C35098" w:rsidR="00CE06DA" w:rsidRPr="00503F5B" w:rsidRDefault="00CE06DA" w:rsidP="00CE06DA">
            <w:pPr>
              <w:jc w:val="right"/>
              <w:rPr>
                <w:b/>
                <w:bCs/>
                <w:sz w:val="20"/>
                <w:szCs w:val="20"/>
              </w:rPr>
            </w:pPr>
            <w:r w:rsidRPr="00503F5B">
              <w:rPr>
                <w:sz w:val="20"/>
                <w:szCs w:val="20"/>
              </w:rPr>
              <w:t>$7,905,666</w:t>
            </w:r>
          </w:p>
        </w:tc>
        <w:tc>
          <w:tcPr>
            <w:tcW w:w="1700" w:type="dxa"/>
            <w:tcBorders>
              <w:top w:val="nil"/>
              <w:left w:val="nil"/>
              <w:bottom w:val="nil"/>
              <w:right w:val="nil"/>
            </w:tcBorders>
            <w:shd w:val="clear" w:color="000000" w:fill="FFFFFF"/>
          </w:tcPr>
          <w:p w14:paraId="3D67934C" w14:textId="0036D64F" w:rsidR="00CE06DA" w:rsidRPr="00503F5B" w:rsidRDefault="00CE06DA" w:rsidP="00CE06DA">
            <w:pPr>
              <w:jc w:val="right"/>
              <w:rPr>
                <w:b/>
                <w:bCs/>
                <w:sz w:val="20"/>
                <w:szCs w:val="20"/>
              </w:rPr>
            </w:pPr>
            <w:r w:rsidRPr="00503F5B">
              <w:rPr>
                <w:sz w:val="20"/>
                <w:szCs w:val="20"/>
              </w:rPr>
              <w:t>$6,497,881</w:t>
            </w:r>
          </w:p>
        </w:tc>
      </w:tr>
      <w:tr w:rsidR="00CE06DA" w:rsidRPr="00503F5B" w14:paraId="0574D3BC" w14:textId="77777777" w:rsidTr="0043282F">
        <w:trPr>
          <w:trHeight w:val="50"/>
          <w:jc w:val="center"/>
        </w:trPr>
        <w:tc>
          <w:tcPr>
            <w:tcW w:w="1017" w:type="dxa"/>
            <w:tcBorders>
              <w:top w:val="nil"/>
              <w:left w:val="nil"/>
              <w:bottom w:val="nil"/>
              <w:right w:val="nil"/>
            </w:tcBorders>
            <w:shd w:val="clear" w:color="000000" w:fill="FFFFFF"/>
            <w:noWrap/>
            <w:hideMark/>
          </w:tcPr>
          <w:p w14:paraId="678E790A" w14:textId="77777777" w:rsidR="00CE06DA" w:rsidRPr="00503F5B" w:rsidRDefault="00CE06DA" w:rsidP="00CE06DA">
            <w:pPr>
              <w:rPr>
                <w:rFonts w:eastAsia="Times New Roman" w:cs="Calibri"/>
                <w:sz w:val="20"/>
                <w:szCs w:val="20"/>
                <w:lang w:eastAsia="en-AU"/>
              </w:rPr>
            </w:pPr>
            <w:r w:rsidRPr="00503F5B">
              <w:rPr>
                <w:rFonts w:eastAsia="Times New Roman" w:cs="Calibri"/>
                <w:sz w:val="20"/>
                <w:szCs w:val="20"/>
                <w:lang w:eastAsia="en-AU"/>
              </w:rPr>
              <w:t>2025-26</w:t>
            </w:r>
          </w:p>
        </w:tc>
        <w:tc>
          <w:tcPr>
            <w:tcW w:w="1535" w:type="dxa"/>
            <w:tcBorders>
              <w:top w:val="nil"/>
              <w:left w:val="nil"/>
              <w:bottom w:val="nil"/>
              <w:right w:val="nil"/>
            </w:tcBorders>
            <w:shd w:val="clear" w:color="000000" w:fill="FFFFFF"/>
            <w:noWrap/>
            <w:hideMark/>
          </w:tcPr>
          <w:p w14:paraId="31658492" w14:textId="7E470109" w:rsidR="00CE06DA" w:rsidRPr="00503F5B" w:rsidRDefault="00CE06DA" w:rsidP="00CE06DA">
            <w:pPr>
              <w:jc w:val="right"/>
              <w:rPr>
                <w:rFonts w:eastAsia="Times New Roman" w:cs="Calibri"/>
                <w:sz w:val="20"/>
                <w:szCs w:val="20"/>
                <w:lang w:eastAsia="en-AU"/>
              </w:rPr>
            </w:pPr>
            <w:r w:rsidRPr="00503F5B">
              <w:rPr>
                <w:sz w:val="20"/>
                <w:szCs w:val="20"/>
              </w:rPr>
              <w:t>26,239</w:t>
            </w:r>
          </w:p>
        </w:tc>
        <w:tc>
          <w:tcPr>
            <w:tcW w:w="1239" w:type="dxa"/>
            <w:tcBorders>
              <w:top w:val="nil"/>
              <w:left w:val="nil"/>
              <w:bottom w:val="nil"/>
              <w:right w:val="nil"/>
            </w:tcBorders>
            <w:shd w:val="clear" w:color="000000" w:fill="FFFFFF"/>
          </w:tcPr>
          <w:p w14:paraId="1E9BA464" w14:textId="3DC36F45" w:rsidR="00CE06DA" w:rsidRPr="00503F5B" w:rsidRDefault="00CE06DA" w:rsidP="00CE06DA">
            <w:pPr>
              <w:jc w:val="right"/>
              <w:rPr>
                <w:b/>
                <w:bCs/>
                <w:sz w:val="20"/>
                <w:szCs w:val="20"/>
              </w:rPr>
            </w:pPr>
            <w:r w:rsidRPr="00503F5B">
              <w:rPr>
                <w:sz w:val="20"/>
                <w:szCs w:val="20"/>
              </w:rPr>
              <w:t>5,098</w:t>
            </w:r>
          </w:p>
        </w:tc>
        <w:tc>
          <w:tcPr>
            <w:tcW w:w="1171" w:type="dxa"/>
            <w:tcBorders>
              <w:top w:val="nil"/>
              <w:left w:val="nil"/>
              <w:bottom w:val="nil"/>
              <w:right w:val="nil"/>
            </w:tcBorders>
            <w:shd w:val="clear" w:color="auto" w:fill="FBE4D5" w:themeFill="accent2" w:themeFillTint="33"/>
          </w:tcPr>
          <w:p w14:paraId="53FE5184" w14:textId="13CE7680" w:rsidR="00CE06DA" w:rsidRPr="00503F5B" w:rsidRDefault="00CE06DA" w:rsidP="00CE06DA">
            <w:pPr>
              <w:jc w:val="right"/>
              <w:rPr>
                <w:rFonts w:cs="Calibri"/>
                <w:sz w:val="20"/>
                <w:szCs w:val="20"/>
              </w:rPr>
            </w:pPr>
            <w:r w:rsidRPr="00503F5B">
              <w:rPr>
                <w:sz w:val="20"/>
                <w:szCs w:val="20"/>
              </w:rPr>
              <w:t>$1,600</w:t>
            </w:r>
          </w:p>
        </w:tc>
        <w:tc>
          <w:tcPr>
            <w:tcW w:w="1559" w:type="dxa"/>
            <w:tcBorders>
              <w:top w:val="nil"/>
              <w:left w:val="nil"/>
              <w:bottom w:val="nil"/>
              <w:right w:val="nil"/>
            </w:tcBorders>
            <w:shd w:val="clear" w:color="000000" w:fill="FFFFFF"/>
          </w:tcPr>
          <w:p w14:paraId="5E8A0FD7" w14:textId="68F5D2FA" w:rsidR="00CE06DA" w:rsidRPr="00503F5B" w:rsidRDefault="00CE06DA" w:rsidP="00CE06DA">
            <w:pPr>
              <w:jc w:val="right"/>
              <w:rPr>
                <w:b/>
                <w:bCs/>
                <w:sz w:val="20"/>
                <w:szCs w:val="20"/>
              </w:rPr>
            </w:pPr>
            <w:r w:rsidRPr="00503F5B">
              <w:rPr>
                <w:sz w:val="20"/>
                <w:szCs w:val="20"/>
              </w:rPr>
              <w:t>$8,157,291</w:t>
            </w:r>
          </w:p>
        </w:tc>
        <w:tc>
          <w:tcPr>
            <w:tcW w:w="1700" w:type="dxa"/>
            <w:tcBorders>
              <w:top w:val="nil"/>
              <w:left w:val="nil"/>
              <w:bottom w:val="nil"/>
              <w:right w:val="nil"/>
            </w:tcBorders>
            <w:shd w:val="clear" w:color="000000" w:fill="FFFFFF"/>
          </w:tcPr>
          <w:p w14:paraId="718E919B" w14:textId="0858EB8F" w:rsidR="00CE06DA" w:rsidRPr="00503F5B" w:rsidRDefault="00CE06DA" w:rsidP="00CE06DA">
            <w:pPr>
              <w:jc w:val="right"/>
              <w:rPr>
                <w:b/>
                <w:bCs/>
                <w:sz w:val="20"/>
                <w:szCs w:val="20"/>
              </w:rPr>
            </w:pPr>
            <w:r w:rsidRPr="00503F5B">
              <w:rPr>
                <w:sz w:val="20"/>
                <w:szCs w:val="20"/>
              </w:rPr>
              <w:t>$6,446,826</w:t>
            </w:r>
          </w:p>
        </w:tc>
      </w:tr>
      <w:tr w:rsidR="00CE06DA" w:rsidRPr="00503F5B" w14:paraId="5DCBF325" w14:textId="77777777" w:rsidTr="0043282F">
        <w:trPr>
          <w:trHeight w:val="50"/>
          <w:jc w:val="center"/>
        </w:trPr>
        <w:tc>
          <w:tcPr>
            <w:tcW w:w="1017" w:type="dxa"/>
            <w:tcBorders>
              <w:top w:val="nil"/>
              <w:left w:val="nil"/>
              <w:bottom w:val="nil"/>
              <w:right w:val="nil"/>
            </w:tcBorders>
            <w:shd w:val="clear" w:color="000000" w:fill="FFFFFF"/>
            <w:noWrap/>
            <w:hideMark/>
          </w:tcPr>
          <w:p w14:paraId="6DEB807A" w14:textId="77777777" w:rsidR="00CE06DA" w:rsidRPr="00503F5B" w:rsidRDefault="00CE06DA" w:rsidP="00CE06DA">
            <w:pPr>
              <w:rPr>
                <w:rFonts w:eastAsia="Times New Roman" w:cs="Calibri"/>
                <w:sz w:val="20"/>
                <w:szCs w:val="20"/>
                <w:lang w:eastAsia="en-AU"/>
              </w:rPr>
            </w:pPr>
            <w:r w:rsidRPr="00503F5B">
              <w:rPr>
                <w:rFonts w:eastAsia="Times New Roman" w:cs="Calibri"/>
                <w:sz w:val="20"/>
                <w:szCs w:val="20"/>
                <w:lang w:eastAsia="en-AU"/>
              </w:rPr>
              <w:t>2026-27</w:t>
            </w:r>
          </w:p>
        </w:tc>
        <w:tc>
          <w:tcPr>
            <w:tcW w:w="1535" w:type="dxa"/>
            <w:tcBorders>
              <w:top w:val="nil"/>
              <w:left w:val="nil"/>
              <w:bottom w:val="nil"/>
              <w:right w:val="nil"/>
            </w:tcBorders>
            <w:shd w:val="clear" w:color="000000" w:fill="FFFFFF"/>
            <w:noWrap/>
            <w:hideMark/>
          </w:tcPr>
          <w:p w14:paraId="453EFC40" w14:textId="3AEC5350" w:rsidR="00CE06DA" w:rsidRPr="00503F5B" w:rsidRDefault="00CE06DA" w:rsidP="00CE06DA">
            <w:pPr>
              <w:jc w:val="right"/>
              <w:rPr>
                <w:rFonts w:eastAsia="Times New Roman" w:cs="Calibri"/>
                <w:sz w:val="20"/>
                <w:szCs w:val="20"/>
                <w:lang w:eastAsia="en-AU"/>
              </w:rPr>
            </w:pPr>
            <w:r w:rsidRPr="00503F5B">
              <w:rPr>
                <w:sz w:val="20"/>
                <w:szCs w:val="20"/>
              </w:rPr>
              <w:t>27,123</w:t>
            </w:r>
          </w:p>
        </w:tc>
        <w:tc>
          <w:tcPr>
            <w:tcW w:w="1239" w:type="dxa"/>
            <w:tcBorders>
              <w:top w:val="nil"/>
              <w:left w:val="nil"/>
              <w:bottom w:val="nil"/>
              <w:right w:val="nil"/>
            </w:tcBorders>
            <w:shd w:val="clear" w:color="000000" w:fill="FFFFFF"/>
          </w:tcPr>
          <w:p w14:paraId="1C600901" w14:textId="0D907586" w:rsidR="00CE06DA" w:rsidRPr="00503F5B" w:rsidRDefault="00CE06DA" w:rsidP="00CE06DA">
            <w:pPr>
              <w:jc w:val="right"/>
              <w:rPr>
                <w:b/>
                <w:bCs/>
                <w:sz w:val="20"/>
                <w:szCs w:val="20"/>
              </w:rPr>
            </w:pPr>
            <w:r w:rsidRPr="00503F5B">
              <w:rPr>
                <w:sz w:val="20"/>
                <w:szCs w:val="20"/>
              </w:rPr>
              <w:t>5,270</w:t>
            </w:r>
          </w:p>
        </w:tc>
        <w:tc>
          <w:tcPr>
            <w:tcW w:w="1171" w:type="dxa"/>
            <w:tcBorders>
              <w:top w:val="nil"/>
              <w:left w:val="nil"/>
              <w:bottom w:val="nil"/>
              <w:right w:val="nil"/>
            </w:tcBorders>
            <w:shd w:val="clear" w:color="auto" w:fill="FBE4D5" w:themeFill="accent2" w:themeFillTint="33"/>
          </w:tcPr>
          <w:p w14:paraId="2B463877" w14:textId="3985E948" w:rsidR="00CE06DA" w:rsidRPr="00503F5B" w:rsidRDefault="00CE06DA" w:rsidP="00CE06DA">
            <w:pPr>
              <w:jc w:val="right"/>
              <w:rPr>
                <w:rFonts w:cs="Calibri"/>
                <w:sz w:val="20"/>
                <w:szCs w:val="20"/>
              </w:rPr>
            </w:pPr>
            <w:r w:rsidRPr="00503F5B">
              <w:rPr>
                <w:sz w:val="20"/>
                <w:szCs w:val="20"/>
              </w:rPr>
              <w:t>$1,600</w:t>
            </w:r>
          </w:p>
        </w:tc>
        <w:tc>
          <w:tcPr>
            <w:tcW w:w="1559" w:type="dxa"/>
            <w:tcBorders>
              <w:top w:val="nil"/>
              <w:left w:val="nil"/>
              <w:bottom w:val="nil"/>
              <w:right w:val="nil"/>
            </w:tcBorders>
            <w:shd w:val="clear" w:color="000000" w:fill="FFFFFF"/>
          </w:tcPr>
          <w:p w14:paraId="3FF1038C" w14:textId="122E2AF3" w:rsidR="00CE06DA" w:rsidRPr="00503F5B" w:rsidRDefault="00CE06DA" w:rsidP="00CE06DA">
            <w:pPr>
              <w:jc w:val="right"/>
              <w:rPr>
                <w:b/>
                <w:bCs/>
                <w:sz w:val="20"/>
                <w:szCs w:val="20"/>
              </w:rPr>
            </w:pPr>
            <w:r w:rsidRPr="00503F5B">
              <w:rPr>
                <w:sz w:val="20"/>
                <w:szCs w:val="20"/>
              </w:rPr>
              <w:t>$8,432,281</w:t>
            </w:r>
          </w:p>
        </w:tc>
        <w:tc>
          <w:tcPr>
            <w:tcW w:w="1700" w:type="dxa"/>
            <w:tcBorders>
              <w:top w:val="nil"/>
              <w:left w:val="nil"/>
              <w:bottom w:val="nil"/>
              <w:right w:val="nil"/>
            </w:tcBorders>
            <w:shd w:val="clear" w:color="000000" w:fill="FFFFFF"/>
          </w:tcPr>
          <w:p w14:paraId="1C21F54B" w14:textId="7A398222" w:rsidR="00CE06DA" w:rsidRPr="00503F5B" w:rsidRDefault="00CE06DA" w:rsidP="00CE06DA">
            <w:pPr>
              <w:jc w:val="right"/>
              <w:rPr>
                <w:b/>
                <w:bCs/>
                <w:sz w:val="20"/>
                <w:szCs w:val="20"/>
              </w:rPr>
            </w:pPr>
            <w:r w:rsidRPr="00503F5B">
              <w:rPr>
                <w:sz w:val="20"/>
                <w:szCs w:val="20"/>
              </w:rPr>
              <w:t>$6,407,840</w:t>
            </w:r>
          </w:p>
        </w:tc>
      </w:tr>
      <w:tr w:rsidR="00CE06DA" w:rsidRPr="00503F5B" w14:paraId="1A3C610B" w14:textId="77777777" w:rsidTr="0043282F">
        <w:trPr>
          <w:trHeight w:val="50"/>
          <w:jc w:val="center"/>
        </w:trPr>
        <w:tc>
          <w:tcPr>
            <w:tcW w:w="1017" w:type="dxa"/>
            <w:tcBorders>
              <w:top w:val="nil"/>
              <w:left w:val="nil"/>
              <w:bottom w:val="nil"/>
              <w:right w:val="nil"/>
            </w:tcBorders>
            <w:shd w:val="clear" w:color="000000" w:fill="FFFFFF"/>
            <w:noWrap/>
            <w:hideMark/>
          </w:tcPr>
          <w:p w14:paraId="743BB56B" w14:textId="77777777" w:rsidR="00CE06DA" w:rsidRPr="00503F5B" w:rsidRDefault="00CE06DA" w:rsidP="00CE06DA">
            <w:pPr>
              <w:rPr>
                <w:rFonts w:eastAsia="Times New Roman" w:cs="Calibri"/>
                <w:sz w:val="20"/>
                <w:szCs w:val="20"/>
                <w:lang w:eastAsia="en-AU"/>
              </w:rPr>
            </w:pPr>
            <w:r w:rsidRPr="00503F5B">
              <w:rPr>
                <w:rFonts w:eastAsia="Times New Roman" w:cs="Calibri"/>
                <w:sz w:val="20"/>
                <w:szCs w:val="20"/>
                <w:lang w:eastAsia="en-AU"/>
              </w:rPr>
              <w:t>2027-28</w:t>
            </w:r>
          </w:p>
        </w:tc>
        <w:tc>
          <w:tcPr>
            <w:tcW w:w="1535" w:type="dxa"/>
            <w:tcBorders>
              <w:top w:val="nil"/>
              <w:left w:val="nil"/>
              <w:bottom w:val="nil"/>
              <w:right w:val="nil"/>
            </w:tcBorders>
            <w:shd w:val="clear" w:color="000000" w:fill="FFFFFF"/>
            <w:noWrap/>
            <w:hideMark/>
          </w:tcPr>
          <w:p w14:paraId="2BA611BF" w14:textId="52CF140A" w:rsidR="00CE06DA" w:rsidRPr="00503F5B" w:rsidRDefault="00CE06DA" w:rsidP="00CE06DA">
            <w:pPr>
              <w:jc w:val="right"/>
              <w:rPr>
                <w:rFonts w:eastAsia="Times New Roman" w:cs="Calibri"/>
                <w:sz w:val="20"/>
                <w:szCs w:val="20"/>
                <w:lang w:eastAsia="en-AU"/>
              </w:rPr>
            </w:pPr>
            <w:r w:rsidRPr="00503F5B">
              <w:rPr>
                <w:sz w:val="20"/>
                <w:szCs w:val="20"/>
              </w:rPr>
              <w:t>28,082</w:t>
            </w:r>
          </w:p>
        </w:tc>
        <w:tc>
          <w:tcPr>
            <w:tcW w:w="1239" w:type="dxa"/>
            <w:tcBorders>
              <w:top w:val="nil"/>
              <w:left w:val="nil"/>
              <w:bottom w:val="nil"/>
              <w:right w:val="nil"/>
            </w:tcBorders>
            <w:shd w:val="clear" w:color="000000" w:fill="FFFFFF"/>
          </w:tcPr>
          <w:p w14:paraId="1D039080" w14:textId="79F945C8" w:rsidR="00CE06DA" w:rsidRPr="00503F5B" w:rsidRDefault="00CE06DA" w:rsidP="00CE06DA">
            <w:pPr>
              <w:jc w:val="right"/>
              <w:rPr>
                <w:b/>
                <w:bCs/>
                <w:sz w:val="20"/>
                <w:szCs w:val="20"/>
              </w:rPr>
            </w:pPr>
            <w:r w:rsidRPr="00503F5B">
              <w:rPr>
                <w:sz w:val="20"/>
                <w:szCs w:val="20"/>
              </w:rPr>
              <w:t>5,456</w:t>
            </w:r>
          </w:p>
        </w:tc>
        <w:tc>
          <w:tcPr>
            <w:tcW w:w="1171" w:type="dxa"/>
            <w:tcBorders>
              <w:top w:val="nil"/>
              <w:left w:val="nil"/>
              <w:bottom w:val="nil"/>
              <w:right w:val="nil"/>
            </w:tcBorders>
            <w:shd w:val="clear" w:color="auto" w:fill="FBE4D5" w:themeFill="accent2" w:themeFillTint="33"/>
          </w:tcPr>
          <w:p w14:paraId="2CCB3640" w14:textId="777862C8" w:rsidR="00CE06DA" w:rsidRPr="00503F5B" w:rsidRDefault="00CE06DA" w:rsidP="00CE06DA">
            <w:pPr>
              <w:jc w:val="right"/>
              <w:rPr>
                <w:rFonts w:cs="Calibri"/>
                <w:sz w:val="20"/>
                <w:szCs w:val="20"/>
              </w:rPr>
            </w:pPr>
            <w:r w:rsidRPr="00503F5B">
              <w:rPr>
                <w:sz w:val="20"/>
                <w:szCs w:val="20"/>
              </w:rPr>
              <w:t>$1,600</w:t>
            </w:r>
          </w:p>
        </w:tc>
        <w:tc>
          <w:tcPr>
            <w:tcW w:w="1559" w:type="dxa"/>
            <w:tcBorders>
              <w:top w:val="nil"/>
              <w:left w:val="nil"/>
              <w:bottom w:val="nil"/>
              <w:right w:val="nil"/>
            </w:tcBorders>
            <w:shd w:val="clear" w:color="000000" w:fill="FFFFFF"/>
          </w:tcPr>
          <w:p w14:paraId="0AECEE20" w14:textId="07B12294" w:rsidR="00CE06DA" w:rsidRPr="00503F5B" w:rsidRDefault="00CE06DA" w:rsidP="00CE06DA">
            <w:pPr>
              <w:jc w:val="right"/>
              <w:rPr>
                <w:b/>
                <w:bCs/>
                <w:sz w:val="20"/>
                <w:szCs w:val="20"/>
              </w:rPr>
            </w:pPr>
            <w:r w:rsidRPr="00503F5B">
              <w:rPr>
                <w:sz w:val="20"/>
                <w:szCs w:val="20"/>
              </w:rPr>
              <w:t>$8,730,271</w:t>
            </w:r>
          </w:p>
        </w:tc>
        <w:tc>
          <w:tcPr>
            <w:tcW w:w="1700" w:type="dxa"/>
            <w:tcBorders>
              <w:top w:val="nil"/>
              <w:left w:val="nil"/>
              <w:bottom w:val="nil"/>
              <w:right w:val="nil"/>
            </w:tcBorders>
            <w:shd w:val="clear" w:color="000000" w:fill="FFFFFF"/>
          </w:tcPr>
          <w:p w14:paraId="3E77EFEE" w14:textId="53B71B4A" w:rsidR="00CE06DA" w:rsidRPr="00503F5B" w:rsidRDefault="00CE06DA" w:rsidP="00CE06DA">
            <w:pPr>
              <w:jc w:val="right"/>
              <w:rPr>
                <w:b/>
                <w:bCs/>
                <w:sz w:val="20"/>
                <w:szCs w:val="20"/>
              </w:rPr>
            </w:pPr>
            <w:r w:rsidRPr="00503F5B">
              <w:rPr>
                <w:sz w:val="20"/>
                <w:szCs w:val="20"/>
              </w:rPr>
              <w:t>$6,379,123</w:t>
            </w:r>
          </w:p>
        </w:tc>
      </w:tr>
      <w:tr w:rsidR="00CE06DA" w:rsidRPr="00503F5B" w14:paraId="661D42D1" w14:textId="77777777" w:rsidTr="0043282F">
        <w:trPr>
          <w:trHeight w:val="50"/>
          <w:jc w:val="center"/>
        </w:trPr>
        <w:tc>
          <w:tcPr>
            <w:tcW w:w="1017" w:type="dxa"/>
            <w:tcBorders>
              <w:top w:val="nil"/>
              <w:left w:val="nil"/>
              <w:bottom w:val="nil"/>
              <w:right w:val="nil"/>
            </w:tcBorders>
            <w:shd w:val="clear" w:color="000000" w:fill="FFFFFF"/>
            <w:noWrap/>
            <w:hideMark/>
          </w:tcPr>
          <w:p w14:paraId="1963A5D6" w14:textId="77777777" w:rsidR="00CE06DA" w:rsidRPr="00503F5B" w:rsidRDefault="00CE06DA" w:rsidP="00CE06DA">
            <w:pPr>
              <w:rPr>
                <w:rFonts w:eastAsia="Times New Roman" w:cs="Calibri"/>
                <w:sz w:val="20"/>
                <w:szCs w:val="20"/>
                <w:lang w:eastAsia="en-AU"/>
              </w:rPr>
            </w:pPr>
            <w:r w:rsidRPr="00503F5B">
              <w:rPr>
                <w:rFonts w:eastAsia="Times New Roman" w:cs="Calibri"/>
                <w:sz w:val="20"/>
                <w:szCs w:val="20"/>
                <w:lang w:eastAsia="en-AU"/>
              </w:rPr>
              <w:t>2028-29</w:t>
            </w:r>
          </w:p>
        </w:tc>
        <w:tc>
          <w:tcPr>
            <w:tcW w:w="1535" w:type="dxa"/>
            <w:tcBorders>
              <w:top w:val="nil"/>
              <w:left w:val="nil"/>
              <w:bottom w:val="nil"/>
              <w:right w:val="nil"/>
            </w:tcBorders>
            <w:shd w:val="clear" w:color="000000" w:fill="FFFFFF"/>
            <w:noWrap/>
            <w:hideMark/>
          </w:tcPr>
          <w:p w14:paraId="7884ED87" w14:textId="2B09DF59" w:rsidR="00CE06DA" w:rsidRPr="00503F5B" w:rsidRDefault="00CE06DA" w:rsidP="00CE06DA">
            <w:pPr>
              <w:jc w:val="right"/>
              <w:rPr>
                <w:rFonts w:eastAsia="Times New Roman" w:cs="Calibri"/>
                <w:sz w:val="20"/>
                <w:szCs w:val="20"/>
                <w:lang w:eastAsia="en-AU"/>
              </w:rPr>
            </w:pPr>
            <w:r w:rsidRPr="00503F5B">
              <w:rPr>
                <w:sz w:val="20"/>
                <w:szCs w:val="20"/>
              </w:rPr>
              <w:t>29,114</w:t>
            </w:r>
          </w:p>
        </w:tc>
        <w:tc>
          <w:tcPr>
            <w:tcW w:w="1239" w:type="dxa"/>
            <w:tcBorders>
              <w:top w:val="nil"/>
              <w:left w:val="nil"/>
              <w:bottom w:val="nil"/>
              <w:right w:val="nil"/>
            </w:tcBorders>
            <w:shd w:val="clear" w:color="000000" w:fill="FFFFFF"/>
          </w:tcPr>
          <w:p w14:paraId="1E994D21" w14:textId="6AF6FB05" w:rsidR="00CE06DA" w:rsidRPr="00503F5B" w:rsidRDefault="00CE06DA" w:rsidP="00CE06DA">
            <w:pPr>
              <w:jc w:val="right"/>
              <w:rPr>
                <w:b/>
                <w:bCs/>
                <w:sz w:val="20"/>
                <w:szCs w:val="20"/>
              </w:rPr>
            </w:pPr>
            <w:r w:rsidRPr="00503F5B">
              <w:rPr>
                <w:sz w:val="20"/>
                <w:szCs w:val="20"/>
              </w:rPr>
              <w:t>5,657</w:t>
            </w:r>
          </w:p>
        </w:tc>
        <w:tc>
          <w:tcPr>
            <w:tcW w:w="1171" w:type="dxa"/>
            <w:tcBorders>
              <w:top w:val="nil"/>
              <w:left w:val="nil"/>
              <w:bottom w:val="nil"/>
              <w:right w:val="nil"/>
            </w:tcBorders>
            <w:shd w:val="clear" w:color="auto" w:fill="FBE4D5" w:themeFill="accent2" w:themeFillTint="33"/>
          </w:tcPr>
          <w:p w14:paraId="7A30B2D7" w14:textId="31C22CD6" w:rsidR="00CE06DA" w:rsidRPr="00503F5B" w:rsidRDefault="00CE06DA" w:rsidP="00CE06DA">
            <w:pPr>
              <w:jc w:val="right"/>
              <w:rPr>
                <w:rFonts w:cs="Calibri"/>
                <w:sz w:val="20"/>
                <w:szCs w:val="20"/>
              </w:rPr>
            </w:pPr>
            <w:r w:rsidRPr="00503F5B">
              <w:rPr>
                <w:sz w:val="20"/>
                <w:szCs w:val="20"/>
              </w:rPr>
              <w:t>$1,600</w:t>
            </w:r>
          </w:p>
        </w:tc>
        <w:tc>
          <w:tcPr>
            <w:tcW w:w="1559" w:type="dxa"/>
            <w:tcBorders>
              <w:top w:val="nil"/>
              <w:left w:val="nil"/>
              <w:bottom w:val="nil"/>
              <w:right w:val="nil"/>
            </w:tcBorders>
            <w:shd w:val="clear" w:color="000000" w:fill="FFFFFF"/>
          </w:tcPr>
          <w:p w14:paraId="3949E9BA" w14:textId="0DE35CC1" w:rsidR="00CE06DA" w:rsidRPr="00503F5B" w:rsidRDefault="00CE06DA" w:rsidP="00CE06DA">
            <w:pPr>
              <w:jc w:val="right"/>
              <w:rPr>
                <w:b/>
                <w:bCs/>
                <w:sz w:val="20"/>
                <w:szCs w:val="20"/>
              </w:rPr>
            </w:pPr>
            <w:r w:rsidRPr="00503F5B">
              <w:rPr>
                <w:sz w:val="20"/>
                <w:szCs w:val="20"/>
              </w:rPr>
              <w:t>$9,051,046</w:t>
            </w:r>
          </w:p>
        </w:tc>
        <w:tc>
          <w:tcPr>
            <w:tcW w:w="1700" w:type="dxa"/>
            <w:tcBorders>
              <w:top w:val="nil"/>
              <w:left w:val="nil"/>
              <w:bottom w:val="nil"/>
              <w:right w:val="nil"/>
            </w:tcBorders>
            <w:shd w:val="clear" w:color="000000" w:fill="FFFFFF"/>
          </w:tcPr>
          <w:p w14:paraId="639855B7" w14:textId="0F427AE6" w:rsidR="00CE06DA" w:rsidRPr="00503F5B" w:rsidRDefault="00CE06DA" w:rsidP="00CE06DA">
            <w:pPr>
              <w:jc w:val="right"/>
              <w:rPr>
                <w:b/>
                <w:bCs/>
                <w:sz w:val="20"/>
                <w:szCs w:val="20"/>
              </w:rPr>
            </w:pPr>
            <w:r w:rsidRPr="00503F5B">
              <w:rPr>
                <w:sz w:val="20"/>
                <w:szCs w:val="20"/>
              </w:rPr>
              <w:t>$6,359,145</w:t>
            </w:r>
          </w:p>
        </w:tc>
      </w:tr>
      <w:tr w:rsidR="00CE06DA" w:rsidRPr="00503F5B" w14:paraId="351FAA65" w14:textId="77777777" w:rsidTr="0043282F">
        <w:trPr>
          <w:trHeight w:val="50"/>
          <w:jc w:val="center"/>
        </w:trPr>
        <w:tc>
          <w:tcPr>
            <w:tcW w:w="1017" w:type="dxa"/>
            <w:tcBorders>
              <w:top w:val="nil"/>
              <w:left w:val="nil"/>
              <w:bottom w:val="single" w:sz="4" w:space="0" w:color="ED7C5D"/>
              <w:right w:val="nil"/>
            </w:tcBorders>
            <w:shd w:val="clear" w:color="000000" w:fill="FFFFFF"/>
            <w:noWrap/>
            <w:hideMark/>
          </w:tcPr>
          <w:p w14:paraId="0B993700" w14:textId="77777777" w:rsidR="00CE06DA" w:rsidRPr="00503F5B" w:rsidRDefault="00CE06DA" w:rsidP="00CE06DA">
            <w:pPr>
              <w:rPr>
                <w:rFonts w:eastAsia="Times New Roman" w:cs="Calibri"/>
                <w:sz w:val="20"/>
                <w:szCs w:val="20"/>
                <w:lang w:eastAsia="en-AU"/>
              </w:rPr>
            </w:pPr>
            <w:r w:rsidRPr="00503F5B">
              <w:rPr>
                <w:rFonts w:eastAsia="Times New Roman" w:cs="Calibri"/>
                <w:sz w:val="20"/>
                <w:szCs w:val="20"/>
                <w:lang w:eastAsia="en-AU"/>
              </w:rPr>
              <w:t>2029-30</w:t>
            </w:r>
          </w:p>
        </w:tc>
        <w:tc>
          <w:tcPr>
            <w:tcW w:w="1535" w:type="dxa"/>
            <w:tcBorders>
              <w:top w:val="nil"/>
              <w:left w:val="nil"/>
              <w:bottom w:val="single" w:sz="4" w:space="0" w:color="ED7C5D"/>
              <w:right w:val="nil"/>
            </w:tcBorders>
            <w:shd w:val="clear" w:color="000000" w:fill="FFFFFF"/>
            <w:noWrap/>
            <w:hideMark/>
          </w:tcPr>
          <w:p w14:paraId="7CC82710" w14:textId="7BD0713C" w:rsidR="00CE06DA" w:rsidRPr="00503F5B" w:rsidRDefault="00CE06DA" w:rsidP="00CE06DA">
            <w:pPr>
              <w:jc w:val="right"/>
              <w:rPr>
                <w:rFonts w:eastAsia="Times New Roman" w:cs="Calibri"/>
                <w:sz w:val="20"/>
                <w:szCs w:val="20"/>
                <w:lang w:eastAsia="en-AU"/>
              </w:rPr>
            </w:pPr>
            <w:r w:rsidRPr="00503F5B">
              <w:rPr>
                <w:sz w:val="20"/>
                <w:szCs w:val="20"/>
              </w:rPr>
              <w:t>30,219</w:t>
            </w:r>
          </w:p>
        </w:tc>
        <w:tc>
          <w:tcPr>
            <w:tcW w:w="1239" w:type="dxa"/>
            <w:tcBorders>
              <w:top w:val="nil"/>
              <w:left w:val="nil"/>
              <w:bottom w:val="single" w:sz="4" w:space="0" w:color="ED7C5D"/>
              <w:right w:val="nil"/>
            </w:tcBorders>
            <w:shd w:val="clear" w:color="000000" w:fill="FFFFFF"/>
          </w:tcPr>
          <w:p w14:paraId="258F7E96" w14:textId="2008E847" w:rsidR="00CE06DA" w:rsidRPr="00503F5B" w:rsidRDefault="00CE06DA" w:rsidP="00CE06DA">
            <w:pPr>
              <w:jc w:val="right"/>
              <w:rPr>
                <w:b/>
                <w:bCs/>
                <w:sz w:val="20"/>
                <w:szCs w:val="20"/>
              </w:rPr>
            </w:pPr>
            <w:r w:rsidRPr="00503F5B">
              <w:rPr>
                <w:sz w:val="20"/>
                <w:szCs w:val="20"/>
              </w:rPr>
              <w:t>5,872</w:t>
            </w:r>
          </w:p>
        </w:tc>
        <w:tc>
          <w:tcPr>
            <w:tcW w:w="1171" w:type="dxa"/>
            <w:tcBorders>
              <w:top w:val="nil"/>
              <w:left w:val="nil"/>
              <w:bottom w:val="single" w:sz="4" w:space="0" w:color="ED7C5D"/>
              <w:right w:val="nil"/>
            </w:tcBorders>
            <w:shd w:val="clear" w:color="auto" w:fill="FBE4D5" w:themeFill="accent2" w:themeFillTint="33"/>
          </w:tcPr>
          <w:p w14:paraId="0CF7F804" w14:textId="62A92E79" w:rsidR="00CE06DA" w:rsidRPr="00503F5B" w:rsidRDefault="00CE06DA" w:rsidP="00CE06DA">
            <w:pPr>
              <w:jc w:val="right"/>
              <w:rPr>
                <w:rFonts w:cs="Calibri"/>
                <w:sz w:val="20"/>
                <w:szCs w:val="20"/>
              </w:rPr>
            </w:pPr>
            <w:r w:rsidRPr="00503F5B">
              <w:rPr>
                <w:sz w:val="20"/>
                <w:szCs w:val="20"/>
              </w:rPr>
              <w:t>$1,600</w:t>
            </w:r>
          </w:p>
        </w:tc>
        <w:tc>
          <w:tcPr>
            <w:tcW w:w="1559" w:type="dxa"/>
            <w:tcBorders>
              <w:top w:val="nil"/>
              <w:left w:val="nil"/>
              <w:bottom w:val="single" w:sz="4" w:space="0" w:color="ED7C5D"/>
              <w:right w:val="nil"/>
            </w:tcBorders>
            <w:shd w:val="clear" w:color="000000" w:fill="FFFFFF"/>
          </w:tcPr>
          <w:p w14:paraId="1FF27BC9" w14:textId="11ED4109" w:rsidR="00CE06DA" w:rsidRPr="00503F5B" w:rsidRDefault="00CE06DA" w:rsidP="00CE06DA">
            <w:pPr>
              <w:jc w:val="right"/>
              <w:rPr>
                <w:b/>
                <w:bCs/>
                <w:sz w:val="20"/>
                <w:szCs w:val="20"/>
              </w:rPr>
            </w:pPr>
            <w:r w:rsidRPr="00503F5B">
              <w:rPr>
                <w:sz w:val="20"/>
                <w:szCs w:val="20"/>
              </w:rPr>
              <w:t>$9,394,529</w:t>
            </w:r>
          </w:p>
        </w:tc>
        <w:tc>
          <w:tcPr>
            <w:tcW w:w="1700" w:type="dxa"/>
            <w:tcBorders>
              <w:top w:val="nil"/>
              <w:left w:val="nil"/>
              <w:bottom w:val="single" w:sz="4" w:space="0" w:color="ED7C5D"/>
              <w:right w:val="nil"/>
            </w:tcBorders>
            <w:shd w:val="clear" w:color="000000" w:fill="FFFFFF"/>
          </w:tcPr>
          <w:p w14:paraId="348388B0" w14:textId="4395506D" w:rsidR="00CE06DA" w:rsidRPr="00503F5B" w:rsidRDefault="00CE06DA" w:rsidP="00CE06DA">
            <w:pPr>
              <w:jc w:val="right"/>
              <w:rPr>
                <w:b/>
                <w:bCs/>
                <w:sz w:val="20"/>
                <w:szCs w:val="20"/>
              </w:rPr>
            </w:pPr>
            <w:r w:rsidRPr="00503F5B">
              <w:rPr>
                <w:sz w:val="20"/>
                <w:szCs w:val="20"/>
              </w:rPr>
              <w:t>$6,346,607</w:t>
            </w:r>
          </w:p>
        </w:tc>
      </w:tr>
      <w:tr w:rsidR="00CE06DA" w:rsidRPr="00503F5B" w14:paraId="1D74A5CC" w14:textId="77777777" w:rsidTr="0043282F">
        <w:trPr>
          <w:trHeight w:val="254"/>
          <w:jc w:val="center"/>
        </w:trPr>
        <w:tc>
          <w:tcPr>
            <w:tcW w:w="1017" w:type="dxa"/>
            <w:tcBorders>
              <w:top w:val="single" w:sz="4" w:space="0" w:color="ED7C5D"/>
              <w:left w:val="nil"/>
              <w:bottom w:val="single" w:sz="4" w:space="0" w:color="ED7C5D"/>
              <w:right w:val="nil"/>
            </w:tcBorders>
            <w:shd w:val="clear" w:color="000000" w:fill="FFFFFF"/>
            <w:noWrap/>
            <w:hideMark/>
          </w:tcPr>
          <w:p w14:paraId="1AD8B218" w14:textId="77777777" w:rsidR="00CE06DA" w:rsidRPr="00503F5B" w:rsidRDefault="00CE06DA" w:rsidP="00CE06DA">
            <w:pPr>
              <w:rPr>
                <w:rFonts w:eastAsia="Times New Roman" w:cs="Calibri"/>
                <w:b/>
                <w:bCs/>
                <w:i/>
                <w:iCs/>
                <w:sz w:val="20"/>
                <w:szCs w:val="20"/>
                <w:lang w:eastAsia="en-AU"/>
              </w:rPr>
            </w:pPr>
            <w:r w:rsidRPr="00503F5B">
              <w:rPr>
                <w:b/>
                <w:bCs/>
                <w:sz w:val="20"/>
                <w:szCs w:val="20"/>
              </w:rPr>
              <w:t>Total</w:t>
            </w:r>
          </w:p>
        </w:tc>
        <w:tc>
          <w:tcPr>
            <w:tcW w:w="1535" w:type="dxa"/>
            <w:tcBorders>
              <w:top w:val="single" w:sz="4" w:space="0" w:color="ED7C5D"/>
              <w:left w:val="nil"/>
              <w:bottom w:val="single" w:sz="4" w:space="0" w:color="ED7C5D"/>
              <w:right w:val="nil"/>
            </w:tcBorders>
            <w:shd w:val="clear" w:color="000000" w:fill="FFFFFF"/>
            <w:noWrap/>
            <w:hideMark/>
          </w:tcPr>
          <w:p w14:paraId="77DF3298" w14:textId="605F86A6" w:rsidR="00CE06DA" w:rsidRPr="00503F5B" w:rsidRDefault="00CE06DA" w:rsidP="00CE06DA">
            <w:pPr>
              <w:jc w:val="right"/>
              <w:rPr>
                <w:rFonts w:eastAsia="Times New Roman" w:cs="Calibri"/>
                <w:i/>
                <w:iCs/>
                <w:sz w:val="20"/>
                <w:szCs w:val="20"/>
                <w:lang w:eastAsia="en-AU"/>
              </w:rPr>
            </w:pPr>
            <w:r w:rsidRPr="00503F5B">
              <w:rPr>
                <w:b/>
                <w:bCs/>
                <w:i/>
                <w:iCs/>
                <w:sz w:val="20"/>
                <w:szCs w:val="20"/>
              </w:rPr>
              <w:t xml:space="preserve"> </w:t>
            </w:r>
            <w:r w:rsidRPr="00503F5B">
              <w:rPr>
                <w:i/>
                <w:iCs/>
                <w:sz w:val="20"/>
                <w:szCs w:val="20"/>
              </w:rPr>
              <w:t xml:space="preserve">261,406 </w:t>
            </w:r>
          </w:p>
        </w:tc>
        <w:tc>
          <w:tcPr>
            <w:tcW w:w="1239" w:type="dxa"/>
            <w:tcBorders>
              <w:top w:val="single" w:sz="4" w:space="0" w:color="ED7C5D"/>
              <w:left w:val="nil"/>
              <w:bottom w:val="single" w:sz="4" w:space="0" w:color="ED7C5D"/>
              <w:right w:val="nil"/>
            </w:tcBorders>
            <w:shd w:val="clear" w:color="000000" w:fill="FFFFFF"/>
          </w:tcPr>
          <w:p w14:paraId="48A4EC7A" w14:textId="435AC497" w:rsidR="00CE06DA" w:rsidRPr="00503F5B" w:rsidRDefault="00CE06DA" w:rsidP="00CE06DA">
            <w:pPr>
              <w:jc w:val="right"/>
              <w:rPr>
                <w:b/>
                <w:bCs/>
                <w:i/>
                <w:iCs/>
                <w:sz w:val="20"/>
                <w:szCs w:val="20"/>
              </w:rPr>
            </w:pPr>
            <w:r w:rsidRPr="00503F5B">
              <w:rPr>
                <w:sz w:val="20"/>
                <w:szCs w:val="20"/>
              </w:rPr>
              <w:t xml:space="preserve"> </w:t>
            </w:r>
            <w:r w:rsidRPr="00503F5B">
              <w:rPr>
                <w:b/>
                <w:bCs/>
                <w:i/>
                <w:iCs/>
                <w:sz w:val="20"/>
                <w:szCs w:val="20"/>
              </w:rPr>
              <w:t xml:space="preserve">50,792 </w:t>
            </w:r>
          </w:p>
        </w:tc>
        <w:tc>
          <w:tcPr>
            <w:tcW w:w="1171" w:type="dxa"/>
            <w:tcBorders>
              <w:top w:val="single" w:sz="4" w:space="0" w:color="ED7C5D"/>
              <w:left w:val="nil"/>
              <w:bottom w:val="single" w:sz="4" w:space="0" w:color="ED7C5D"/>
              <w:right w:val="nil"/>
            </w:tcBorders>
            <w:shd w:val="clear" w:color="000000" w:fill="FFFFFF"/>
          </w:tcPr>
          <w:p w14:paraId="7A10D683" w14:textId="77777777" w:rsidR="00CE06DA" w:rsidRPr="00503F5B" w:rsidRDefault="00CE06DA" w:rsidP="00CE06DA">
            <w:pPr>
              <w:jc w:val="right"/>
              <w:rPr>
                <w:rFonts w:cs="Calibri"/>
                <w:b/>
                <w:bCs/>
                <w:i/>
                <w:iCs/>
                <w:sz w:val="20"/>
                <w:szCs w:val="20"/>
              </w:rPr>
            </w:pPr>
          </w:p>
        </w:tc>
        <w:tc>
          <w:tcPr>
            <w:tcW w:w="1559" w:type="dxa"/>
            <w:tcBorders>
              <w:top w:val="single" w:sz="4" w:space="0" w:color="ED7C5D"/>
              <w:left w:val="nil"/>
              <w:bottom w:val="single" w:sz="4" w:space="0" w:color="ED7C5D"/>
              <w:right w:val="nil"/>
            </w:tcBorders>
            <w:shd w:val="clear" w:color="000000" w:fill="FFFFFF"/>
          </w:tcPr>
          <w:p w14:paraId="730269C1" w14:textId="446DEF56" w:rsidR="00CE06DA" w:rsidRPr="00503F5B" w:rsidRDefault="00CE06DA" w:rsidP="00CE06DA">
            <w:pPr>
              <w:jc w:val="right"/>
              <w:rPr>
                <w:b/>
                <w:bCs/>
                <w:i/>
                <w:iCs/>
                <w:sz w:val="20"/>
                <w:szCs w:val="20"/>
              </w:rPr>
            </w:pPr>
            <w:r w:rsidRPr="00503F5B">
              <w:rPr>
                <w:b/>
                <w:bCs/>
                <w:i/>
                <w:iCs/>
                <w:sz w:val="20"/>
                <w:szCs w:val="20"/>
              </w:rPr>
              <w:t>$81,267,138</w:t>
            </w:r>
          </w:p>
        </w:tc>
        <w:tc>
          <w:tcPr>
            <w:tcW w:w="1700" w:type="dxa"/>
            <w:tcBorders>
              <w:top w:val="single" w:sz="4" w:space="0" w:color="ED7C5D"/>
              <w:left w:val="nil"/>
              <w:bottom w:val="single" w:sz="4" w:space="0" w:color="ED7C5D"/>
              <w:right w:val="nil"/>
            </w:tcBorders>
            <w:shd w:val="clear" w:color="000000" w:fill="FFFFFF"/>
          </w:tcPr>
          <w:p w14:paraId="3EA00F38" w14:textId="79C56C9A" w:rsidR="00CE06DA" w:rsidRPr="00503F5B" w:rsidRDefault="00CE06DA" w:rsidP="00CE06DA">
            <w:pPr>
              <w:jc w:val="right"/>
              <w:rPr>
                <w:b/>
                <w:bCs/>
                <w:i/>
                <w:iCs/>
                <w:sz w:val="20"/>
                <w:szCs w:val="20"/>
              </w:rPr>
            </w:pPr>
            <w:r w:rsidRPr="00503F5B">
              <w:rPr>
                <w:b/>
                <w:bCs/>
                <w:i/>
                <w:iCs/>
                <w:sz w:val="20"/>
                <w:szCs w:val="20"/>
              </w:rPr>
              <w:t>$65,263,565</w:t>
            </w:r>
          </w:p>
        </w:tc>
      </w:tr>
    </w:tbl>
    <w:p w14:paraId="1F093D68" w14:textId="77777777" w:rsidR="00E04C6D" w:rsidRPr="00503F5B" w:rsidRDefault="00E04C6D" w:rsidP="00E04C6D">
      <w:pPr>
        <w:jc w:val="both"/>
      </w:pPr>
    </w:p>
    <w:p w14:paraId="5C4ECAB2" w14:textId="77777777" w:rsidR="00E04C6D" w:rsidRPr="00503F5B" w:rsidRDefault="00E04C6D" w:rsidP="0080683B">
      <w:pPr>
        <w:pStyle w:val="Heading1"/>
      </w:pPr>
      <w:bookmarkStart w:id="349" w:name="_Toc457772576"/>
      <w:bookmarkStart w:id="350" w:name="_Toc35804190"/>
      <w:bookmarkStart w:id="351" w:name="_Toc35804684"/>
      <w:bookmarkStart w:id="352" w:name="_Toc35812728"/>
      <w:r w:rsidRPr="00503F5B">
        <w:lastRenderedPageBreak/>
        <w:t>Appendix 4 – Nonmaterial impact/burden of proposed non-fee FRV regulations</w:t>
      </w:r>
      <w:bookmarkEnd w:id="349"/>
      <w:bookmarkEnd w:id="350"/>
      <w:bookmarkEnd w:id="351"/>
      <w:bookmarkEnd w:id="352"/>
    </w:p>
    <w:p w14:paraId="55C2FEFB" w14:textId="5E686121" w:rsidR="00E04C6D" w:rsidRPr="00503F5B" w:rsidRDefault="00E04C6D" w:rsidP="00E04C6D">
      <w:pPr>
        <w:jc w:val="both"/>
      </w:pPr>
      <w:r w:rsidRPr="00503F5B">
        <w:t xml:space="preserve">The proposed non-fee regulations deal with matters that are fundamentally machinery in nature and/or are not considered likely to impose any appreciable burden, cost or disadvantage on the public.  These are summarised in Table A4.1.  The total incremental annual cost of the non-fee regulations is estimated to be approximately </w:t>
      </w:r>
      <w:r w:rsidRPr="00503F5B">
        <w:rPr>
          <w:b/>
        </w:rPr>
        <w:t>$154,742 per annum</w:t>
      </w:r>
      <w:r w:rsidRPr="00503F5B">
        <w:t xml:space="preserve">.  The incremental present value cost of the non-fee regulations, as compared to the base case, is estimated to be </w:t>
      </w:r>
      <w:r w:rsidRPr="00503F5B">
        <w:rPr>
          <w:b/>
          <w:i/>
        </w:rPr>
        <w:t>$1,409,842</w:t>
      </w:r>
      <w:r w:rsidRPr="00503F5B">
        <w:t xml:space="preserve"> </w:t>
      </w:r>
      <w:r w:rsidRPr="00503F5B">
        <w:rPr>
          <w:b/>
          <w:i/>
        </w:rPr>
        <w:t>over 10 years</w:t>
      </w:r>
      <w:r w:rsidRPr="00503F5B">
        <w:t>.</w:t>
      </w:r>
    </w:p>
    <w:p w14:paraId="34BCC7BD" w14:textId="77777777" w:rsidR="00E04C6D" w:rsidRPr="00503F5B" w:rsidRDefault="00E04C6D" w:rsidP="00E04C6D">
      <w:pPr>
        <w:jc w:val="both"/>
      </w:pPr>
    </w:p>
    <w:p w14:paraId="49476E5C" w14:textId="77777777" w:rsidR="00E04C6D" w:rsidRPr="00503F5B" w:rsidRDefault="00E04C6D" w:rsidP="00E04C6D">
      <w:pPr>
        <w:jc w:val="both"/>
        <w:rPr>
          <w:b/>
          <w:sz w:val="20"/>
          <w:szCs w:val="20"/>
        </w:rPr>
      </w:pPr>
      <w:r w:rsidRPr="00503F5B">
        <w:rPr>
          <w:b/>
          <w:sz w:val="20"/>
          <w:szCs w:val="20"/>
        </w:rPr>
        <w:t>Table A4.1 – Incremental impact of the proposed non-fee FRV regulations</w:t>
      </w:r>
    </w:p>
    <w:p w14:paraId="54618AF3" w14:textId="77777777" w:rsidR="00E04C6D" w:rsidRPr="00503F5B" w:rsidRDefault="00E04C6D" w:rsidP="00E04C6D">
      <w:pPr>
        <w:jc w:val="both"/>
      </w:pPr>
    </w:p>
    <w:tbl>
      <w:tblPr>
        <w:tblW w:w="8494" w:type="dxa"/>
        <w:tblInd w:w="108" w:type="dxa"/>
        <w:tblLook w:val="04A0" w:firstRow="1" w:lastRow="0" w:firstColumn="1" w:lastColumn="0" w:noHBand="0" w:noVBand="1"/>
      </w:tblPr>
      <w:tblGrid>
        <w:gridCol w:w="752"/>
        <w:gridCol w:w="1516"/>
        <w:gridCol w:w="3861"/>
        <w:gridCol w:w="1120"/>
        <w:gridCol w:w="1245"/>
      </w:tblGrid>
      <w:tr w:rsidR="00E04C6D" w:rsidRPr="00503F5B" w14:paraId="65351249" w14:textId="77777777" w:rsidTr="00E04C6D">
        <w:trPr>
          <w:trHeight w:val="70"/>
          <w:tblHeader/>
        </w:trPr>
        <w:tc>
          <w:tcPr>
            <w:tcW w:w="752" w:type="dxa"/>
            <w:tcBorders>
              <w:top w:val="single" w:sz="4" w:space="0" w:color="ED7C5D"/>
              <w:bottom w:val="double" w:sz="4" w:space="0" w:color="ED7C5D"/>
            </w:tcBorders>
          </w:tcPr>
          <w:p w14:paraId="3D1C69B7" w14:textId="77777777" w:rsidR="00E04C6D" w:rsidRPr="00503F5B" w:rsidRDefault="00E04C6D" w:rsidP="00E04C6D">
            <w:pPr>
              <w:jc w:val="both"/>
              <w:rPr>
                <w:b/>
                <w:color w:val="BE2A18"/>
                <w:sz w:val="18"/>
                <w:szCs w:val="18"/>
              </w:rPr>
            </w:pPr>
            <w:r w:rsidRPr="00503F5B">
              <w:rPr>
                <w:b/>
                <w:color w:val="BE2A18"/>
                <w:sz w:val="18"/>
                <w:szCs w:val="18"/>
              </w:rPr>
              <w:t>Reg. No.</w:t>
            </w:r>
          </w:p>
        </w:tc>
        <w:tc>
          <w:tcPr>
            <w:tcW w:w="1516" w:type="dxa"/>
            <w:tcBorders>
              <w:top w:val="single" w:sz="4" w:space="0" w:color="ED7C5D"/>
              <w:bottom w:val="double" w:sz="4" w:space="0" w:color="ED7C5D"/>
            </w:tcBorders>
          </w:tcPr>
          <w:p w14:paraId="0610585E" w14:textId="77777777" w:rsidR="00E04C6D" w:rsidRPr="00503F5B" w:rsidRDefault="00E04C6D" w:rsidP="00E04C6D">
            <w:pPr>
              <w:jc w:val="both"/>
              <w:rPr>
                <w:b/>
                <w:color w:val="BE2A18"/>
                <w:sz w:val="18"/>
                <w:szCs w:val="18"/>
              </w:rPr>
            </w:pPr>
            <w:r w:rsidRPr="00503F5B">
              <w:rPr>
                <w:b/>
                <w:color w:val="BE2A18"/>
                <w:sz w:val="18"/>
                <w:szCs w:val="18"/>
              </w:rPr>
              <w:t>Description</w:t>
            </w:r>
          </w:p>
        </w:tc>
        <w:tc>
          <w:tcPr>
            <w:tcW w:w="3861" w:type="dxa"/>
            <w:tcBorders>
              <w:top w:val="single" w:sz="4" w:space="0" w:color="ED7C5D"/>
              <w:bottom w:val="double" w:sz="4" w:space="0" w:color="ED7C5D"/>
            </w:tcBorders>
          </w:tcPr>
          <w:p w14:paraId="3C1ABB2E" w14:textId="77777777" w:rsidR="00E04C6D" w:rsidRPr="00503F5B" w:rsidRDefault="00E04C6D" w:rsidP="00E04C6D">
            <w:pPr>
              <w:jc w:val="both"/>
              <w:rPr>
                <w:b/>
                <w:color w:val="BE2A18"/>
                <w:sz w:val="18"/>
                <w:szCs w:val="18"/>
              </w:rPr>
            </w:pPr>
            <w:r w:rsidRPr="00503F5B">
              <w:rPr>
                <w:b/>
                <w:color w:val="BE2A18"/>
                <w:sz w:val="18"/>
                <w:szCs w:val="18"/>
              </w:rPr>
              <w:t>Coverage/impact</w:t>
            </w:r>
          </w:p>
        </w:tc>
        <w:tc>
          <w:tcPr>
            <w:tcW w:w="1120" w:type="dxa"/>
            <w:tcBorders>
              <w:top w:val="single" w:sz="4" w:space="0" w:color="ED7C5D"/>
              <w:bottom w:val="double" w:sz="4" w:space="0" w:color="ED7C5D"/>
            </w:tcBorders>
          </w:tcPr>
          <w:p w14:paraId="688BB3EB" w14:textId="77777777" w:rsidR="00E04C6D" w:rsidRPr="00503F5B" w:rsidRDefault="00E04C6D" w:rsidP="00E04C6D">
            <w:pPr>
              <w:jc w:val="center"/>
              <w:rPr>
                <w:b/>
                <w:color w:val="BE2A18"/>
                <w:sz w:val="18"/>
                <w:szCs w:val="18"/>
              </w:rPr>
            </w:pPr>
            <w:r w:rsidRPr="00503F5B">
              <w:rPr>
                <w:b/>
                <w:color w:val="BE2A18"/>
                <w:sz w:val="18"/>
                <w:szCs w:val="18"/>
              </w:rPr>
              <w:t>Incremental annual cost</w:t>
            </w:r>
          </w:p>
        </w:tc>
        <w:tc>
          <w:tcPr>
            <w:tcW w:w="1245" w:type="dxa"/>
            <w:tcBorders>
              <w:top w:val="single" w:sz="4" w:space="0" w:color="ED7C5D"/>
              <w:bottom w:val="double" w:sz="4" w:space="0" w:color="ED7C5D"/>
            </w:tcBorders>
          </w:tcPr>
          <w:p w14:paraId="528220E7" w14:textId="77777777" w:rsidR="00E04C6D" w:rsidRPr="00503F5B" w:rsidRDefault="00E04C6D" w:rsidP="00E04C6D">
            <w:pPr>
              <w:jc w:val="center"/>
              <w:rPr>
                <w:b/>
                <w:color w:val="BE2A18"/>
                <w:sz w:val="18"/>
                <w:szCs w:val="18"/>
              </w:rPr>
            </w:pPr>
            <w:r w:rsidRPr="00503F5B">
              <w:rPr>
                <w:b/>
                <w:color w:val="BE2A18"/>
                <w:sz w:val="18"/>
                <w:szCs w:val="18"/>
              </w:rPr>
              <w:t>Cost imposed on</w:t>
            </w:r>
          </w:p>
        </w:tc>
      </w:tr>
      <w:tr w:rsidR="00E04C6D" w:rsidRPr="00503F5B" w14:paraId="082F2EEB" w14:textId="77777777" w:rsidTr="00E04C6D">
        <w:trPr>
          <w:trHeight w:val="271"/>
        </w:trPr>
        <w:tc>
          <w:tcPr>
            <w:tcW w:w="752" w:type="dxa"/>
            <w:tcBorders>
              <w:top w:val="double" w:sz="4" w:space="0" w:color="ED7C5D"/>
            </w:tcBorders>
            <w:shd w:val="clear" w:color="auto" w:fill="FBE4D5" w:themeFill="accent2" w:themeFillTint="33"/>
          </w:tcPr>
          <w:p w14:paraId="400B6897" w14:textId="77777777" w:rsidR="00E04C6D" w:rsidRPr="00503F5B" w:rsidRDefault="00E04C6D" w:rsidP="00E04C6D">
            <w:pPr>
              <w:widowControl w:val="0"/>
              <w:autoSpaceDE w:val="0"/>
              <w:autoSpaceDN w:val="0"/>
              <w:adjustRightInd w:val="0"/>
              <w:rPr>
                <w:rFonts w:ascii="P%[ˇ" w:hAnsi="P%[ˇ" w:cs="P%[ˇ"/>
                <w:b/>
                <w:color w:val="010202"/>
                <w:sz w:val="18"/>
                <w:szCs w:val="18"/>
              </w:rPr>
            </w:pPr>
            <w:r w:rsidRPr="00503F5B">
              <w:rPr>
                <w:rFonts w:ascii="P%[ˇ" w:hAnsi="P%[ˇ" w:cs="P%[ˇ"/>
                <w:b/>
                <w:color w:val="010202"/>
                <w:sz w:val="18"/>
                <w:szCs w:val="18"/>
              </w:rPr>
              <w:t>1</w:t>
            </w:r>
          </w:p>
        </w:tc>
        <w:tc>
          <w:tcPr>
            <w:tcW w:w="1516" w:type="dxa"/>
            <w:tcBorders>
              <w:top w:val="double" w:sz="4" w:space="0" w:color="ED7C5D"/>
            </w:tcBorders>
            <w:shd w:val="clear" w:color="auto" w:fill="FBE4D5" w:themeFill="accent2" w:themeFillTint="33"/>
          </w:tcPr>
          <w:p w14:paraId="10B83C2E" w14:textId="77777777" w:rsidR="00E04C6D" w:rsidRPr="00503F5B" w:rsidRDefault="00E04C6D" w:rsidP="00E04C6D">
            <w:pPr>
              <w:rPr>
                <w:sz w:val="18"/>
                <w:szCs w:val="18"/>
              </w:rPr>
            </w:pPr>
            <w:r w:rsidRPr="00503F5B">
              <w:rPr>
                <w:rFonts w:ascii="P%[ˇ" w:hAnsi="P%[ˇ" w:cs="P%[ˇ"/>
                <w:color w:val="010202"/>
                <w:sz w:val="18"/>
                <w:szCs w:val="18"/>
              </w:rPr>
              <w:t>Objective</w:t>
            </w:r>
          </w:p>
        </w:tc>
        <w:tc>
          <w:tcPr>
            <w:tcW w:w="3861" w:type="dxa"/>
            <w:tcBorders>
              <w:top w:val="double" w:sz="4" w:space="0" w:color="ED7C5D"/>
            </w:tcBorders>
            <w:shd w:val="clear" w:color="auto" w:fill="FBE4D5" w:themeFill="accent2" w:themeFillTint="33"/>
          </w:tcPr>
          <w:p w14:paraId="06E96397" w14:textId="77777777" w:rsidR="00E04C6D" w:rsidRPr="00503F5B" w:rsidRDefault="00E04C6D" w:rsidP="00E04C6D">
            <w:pPr>
              <w:jc w:val="both"/>
              <w:rPr>
                <w:sz w:val="18"/>
                <w:szCs w:val="18"/>
              </w:rPr>
            </w:pPr>
            <w:r w:rsidRPr="00503F5B">
              <w:rPr>
                <w:sz w:val="18"/>
                <w:szCs w:val="18"/>
              </w:rPr>
              <w:t>Machinery</w:t>
            </w:r>
          </w:p>
        </w:tc>
        <w:tc>
          <w:tcPr>
            <w:tcW w:w="1120" w:type="dxa"/>
            <w:tcBorders>
              <w:top w:val="double" w:sz="4" w:space="0" w:color="ED7C5D"/>
            </w:tcBorders>
            <w:shd w:val="clear" w:color="auto" w:fill="FBE4D5" w:themeFill="accent2" w:themeFillTint="33"/>
          </w:tcPr>
          <w:p w14:paraId="429E5825" w14:textId="77777777" w:rsidR="00E04C6D" w:rsidRPr="00503F5B" w:rsidRDefault="00E04C6D" w:rsidP="00E04C6D">
            <w:pPr>
              <w:jc w:val="right"/>
              <w:rPr>
                <w:sz w:val="18"/>
                <w:szCs w:val="18"/>
              </w:rPr>
            </w:pPr>
            <w:r w:rsidRPr="00503F5B">
              <w:rPr>
                <w:sz w:val="18"/>
                <w:szCs w:val="18"/>
              </w:rPr>
              <w:t>N/A</w:t>
            </w:r>
          </w:p>
        </w:tc>
        <w:tc>
          <w:tcPr>
            <w:tcW w:w="1245" w:type="dxa"/>
            <w:tcBorders>
              <w:top w:val="double" w:sz="4" w:space="0" w:color="ED7C5D"/>
            </w:tcBorders>
            <w:shd w:val="clear" w:color="auto" w:fill="FBE4D5" w:themeFill="accent2" w:themeFillTint="33"/>
          </w:tcPr>
          <w:p w14:paraId="4FA8576F" w14:textId="77777777" w:rsidR="00E04C6D" w:rsidRPr="00503F5B" w:rsidRDefault="00E04C6D" w:rsidP="00E04C6D">
            <w:pPr>
              <w:jc w:val="center"/>
              <w:rPr>
                <w:sz w:val="18"/>
                <w:szCs w:val="18"/>
              </w:rPr>
            </w:pPr>
            <w:r w:rsidRPr="00503F5B">
              <w:rPr>
                <w:sz w:val="18"/>
                <w:szCs w:val="18"/>
              </w:rPr>
              <w:t>N/A</w:t>
            </w:r>
          </w:p>
        </w:tc>
      </w:tr>
      <w:tr w:rsidR="00E04C6D" w:rsidRPr="00503F5B" w14:paraId="24C25C50" w14:textId="77777777" w:rsidTr="00E04C6D">
        <w:tc>
          <w:tcPr>
            <w:tcW w:w="752" w:type="dxa"/>
          </w:tcPr>
          <w:p w14:paraId="1527AEF0" w14:textId="77777777" w:rsidR="00E04C6D" w:rsidRPr="00503F5B" w:rsidRDefault="00E04C6D" w:rsidP="00E04C6D">
            <w:pPr>
              <w:widowControl w:val="0"/>
              <w:autoSpaceDE w:val="0"/>
              <w:autoSpaceDN w:val="0"/>
              <w:adjustRightInd w:val="0"/>
              <w:rPr>
                <w:rFonts w:ascii="P%[ˇ" w:hAnsi="P%[ˇ" w:cs="P%[ˇ"/>
                <w:b/>
                <w:color w:val="010202"/>
                <w:sz w:val="18"/>
                <w:szCs w:val="18"/>
              </w:rPr>
            </w:pPr>
            <w:r w:rsidRPr="00503F5B">
              <w:rPr>
                <w:rFonts w:ascii="P%[ˇ" w:hAnsi="P%[ˇ" w:cs="P%[ˇ"/>
                <w:b/>
                <w:color w:val="010202"/>
                <w:sz w:val="18"/>
                <w:szCs w:val="18"/>
              </w:rPr>
              <w:t>2</w:t>
            </w:r>
          </w:p>
        </w:tc>
        <w:tc>
          <w:tcPr>
            <w:tcW w:w="1516" w:type="dxa"/>
          </w:tcPr>
          <w:p w14:paraId="2E6EDE31" w14:textId="77777777" w:rsidR="00E04C6D" w:rsidRPr="00503F5B" w:rsidRDefault="00E04C6D" w:rsidP="00E04C6D">
            <w:pPr>
              <w:rPr>
                <w:sz w:val="18"/>
                <w:szCs w:val="18"/>
              </w:rPr>
            </w:pPr>
            <w:r w:rsidRPr="00503F5B">
              <w:rPr>
                <w:rFonts w:ascii="P%[ˇ" w:hAnsi="P%[ˇ" w:cs="P%[ˇ"/>
                <w:color w:val="010202"/>
                <w:sz w:val="18"/>
                <w:szCs w:val="18"/>
              </w:rPr>
              <w:t>Authorising provision</w:t>
            </w:r>
          </w:p>
        </w:tc>
        <w:tc>
          <w:tcPr>
            <w:tcW w:w="3861" w:type="dxa"/>
          </w:tcPr>
          <w:p w14:paraId="6E4ECFB2" w14:textId="77777777" w:rsidR="00E04C6D" w:rsidRPr="00503F5B" w:rsidRDefault="00E04C6D" w:rsidP="00E04C6D">
            <w:pPr>
              <w:jc w:val="both"/>
              <w:rPr>
                <w:sz w:val="18"/>
                <w:szCs w:val="18"/>
              </w:rPr>
            </w:pPr>
            <w:r w:rsidRPr="00503F5B">
              <w:rPr>
                <w:sz w:val="18"/>
                <w:szCs w:val="18"/>
              </w:rPr>
              <w:t>Machinery</w:t>
            </w:r>
          </w:p>
        </w:tc>
        <w:tc>
          <w:tcPr>
            <w:tcW w:w="1120" w:type="dxa"/>
          </w:tcPr>
          <w:p w14:paraId="6082CDF5" w14:textId="77777777" w:rsidR="00E04C6D" w:rsidRPr="00503F5B" w:rsidRDefault="00E04C6D" w:rsidP="00E04C6D">
            <w:pPr>
              <w:jc w:val="right"/>
              <w:rPr>
                <w:sz w:val="18"/>
                <w:szCs w:val="18"/>
              </w:rPr>
            </w:pPr>
            <w:r w:rsidRPr="00503F5B">
              <w:rPr>
                <w:sz w:val="18"/>
                <w:szCs w:val="18"/>
              </w:rPr>
              <w:t>N/A</w:t>
            </w:r>
          </w:p>
        </w:tc>
        <w:tc>
          <w:tcPr>
            <w:tcW w:w="1245" w:type="dxa"/>
          </w:tcPr>
          <w:p w14:paraId="1524183B" w14:textId="77777777" w:rsidR="00E04C6D" w:rsidRPr="00503F5B" w:rsidRDefault="00E04C6D" w:rsidP="00E04C6D">
            <w:pPr>
              <w:jc w:val="center"/>
              <w:rPr>
                <w:sz w:val="18"/>
                <w:szCs w:val="18"/>
              </w:rPr>
            </w:pPr>
            <w:r w:rsidRPr="00503F5B">
              <w:rPr>
                <w:sz w:val="18"/>
                <w:szCs w:val="18"/>
              </w:rPr>
              <w:t>N/A</w:t>
            </w:r>
          </w:p>
        </w:tc>
      </w:tr>
      <w:tr w:rsidR="00E04C6D" w:rsidRPr="00503F5B" w14:paraId="04B0555D" w14:textId="77777777" w:rsidTr="00E04C6D">
        <w:tc>
          <w:tcPr>
            <w:tcW w:w="752" w:type="dxa"/>
            <w:shd w:val="clear" w:color="auto" w:fill="FBE4D5" w:themeFill="accent2" w:themeFillTint="33"/>
          </w:tcPr>
          <w:p w14:paraId="4F5C2A79" w14:textId="77777777" w:rsidR="00E04C6D" w:rsidRPr="00503F5B" w:rsidRDefault="00E04C6D" w:rsidP="00E04C6D">
            <w:pPr>
              <w:widowControl w:val="0"/>
              <w:autoSpaceDE w:val="0"/>
              <w:autoSpaceDN w:val="0"/>
              <w:adjustRightInd w:val="0"/>
              <w:rPr>
                <w:rFonts w:ascii="P%[ˇ" w:hAnsi="P%[ˇ" w:cs="P%[ˇ"/>
                <w:b/>
                <w:color w:val="010202"/>
                <w:sz w:val="18"/>
                <w:szCs w:val="18"/>
              </w:rPr>
            </w:pPr>
            <w:r w:rsidRPr="00503F5B">
              <w:rPr>
                <w:rFonts w:ascii="P%[ˇ" w:hAnsi="P%[ˇ" w:cs="P%[ˇ"/>
                <w:b/>
                <w:color w:val="010202"/>
                <w:sz w:val="18"/>
                <w:szCs w:val="18"/>
              </w:rPr>
              <w:t>3</w:t>
            </w:r>
          </w:p>
        </w:tc>
        <w:tc>
          <w:tcPr>
            <w:tcW w:w="1516" w:type="dxa"/>
            <w:shd w:val="clear" w:color="auto" w:fill="FBE4D5" w:themeFill="accent2" w:themeFillTint="33"/>
          </w:tcPr>
          <w:p w14:paraId="1DD653C1" w14:textId="77777777" w:rsidR="00E04C6D" w:rsidRPr="00503F5B" w:rsidRDefault="00E04C6D" w:rsidP="00E04C6D">
            <w:pPr>
              <w:rPr>
                <w:sz w:val="18"/>
                <w:szCs w:val="18"/>
              </w:rPr>
            </w:pPr>
            <w:r w:rsidRPr="00503F5B">
              <w:rPr>
                <w:rFonts w:ascii="P%[ˇ" w:hAnsi="P%[ˇ" w:cs="P%[ˇ"/>
                <w:color w:val="010202"/>
                <w:sz w:val="18"/>
                <w:szCs w:val="18"/>
              </w:rPr>
              <w:t>Commencement</w:t>
            </w:r>
          </w:p>
        </w:tc>
        <w:tc>
          <w:tcPr>
            <w:tcW w:w="3861" w:type="dxa"/>
            <w:shd w:val="clear" w:color="auto" w:fill="FBE4D5" w:themeFill="accent2" w:themeFillTint="33"/>
          </w:tcPr>
          <w:p w14:paraId="4257C6E4" w14:textId="77777777" w:rsidR="00E04C6D" w:rsidRPr="00503F5B" w:rsidRDefault="00E04C6D" w:rsidP="00E04C6D">
            <w:pPr>
              <w:jc w:val="both"/>
              <w:rPr>
                <w:sz w:val="18"/>
                <w:szCs w:val="18"/>
              </w:rPr>
            </w:pPr>
            <w:r w:rsidRPr="00503F5B">
              <w:rPr>
                <w:sz w:val="18"/>
                <w:szCs w:val="18"/>
              </w:rPr>
              <w:t>Machinery</w:t>
            </w:r>
          </w:p>
        </w:tc>
        <w:tc>
          <w:tcPr>
            <w:tcW w:w="1120" w:type="dxa"/>
            <w:shd w:val="clear" w:color="auto" w:fill="FBE4D5" w:themeFill="accent2" w:themeFillTint="33"/>
          </w:tcPr>
          <w:p w14:paraId="3C75E003" w14:textId="77777777" w:rsidR="00E04C6D" w:rsidRPr="00503F5B" w:rsidRDefault="00E04C6D" w:rsidP="00E04C6D">
            <w:pPr>
              <w:jc w:val="right"/>
              <w:rPr>
                <w:sz w:val="18"/>
                <w:szCs w:val="18"/>
              </w:rPr>
            </w:pPr>
            <w:r w:rsidRPr="00503F5B">
              <w:rPr>
                <w:sz w:val="18"/>
                <w:szCs w:val="18"/>
              </w:rPr>
              <w:t>N/A</w:t>
            </w:r>
          </w:p>
        </w:tc>
        <w:tc>
          <w:tcPr>
            <w:tcW w:w="1245" w:type="dxa"/>
            <w:shd w:val="clear" w:color="auto" w:fill="FBE4D5" w:themeFill="accent2" w:themeFillTint="33"/>
          </w:tcPr>
          <w:p w14:paraId="111F9C00" w14:textId="77777777" w:rsidR="00E04C6D" w:rsidRPr="00503F5B" w:rsidRDefault="00E04C6D" w:rsidP="00E04C6D">
            <w:pPr>
              <w:jc w:val="center"/>
              <w:rPr>
                <w:sz w:val="18"/>
                <w:szCs w:val="18"/>
              </w:rPr>
            </w:pPr>
            <w:r w:rsidRPr="00503F5B">
              <w:rPr>
                <w:sz w:val="18"/>
                <w:szCs w:val="18"/>
              </w:rPr>
              <w:t>N/A</w:t>
            </w:r>
          </w:p>
        </w:tc>
      </w:tr>
      <w:tr w:rsidR="00E04C6D" w:rsidRPr="00503F5B" w14:paraId="5FA8C6B6" w14:textId="77777777" w:rsidTr="00E04C6D">
        <w:tc>
          <w:tcPr>
            <w:tcW w:w="752" w:type="dxa"/>
          </w:tcPr>
          <w:p w14:paraId="7BC78E73" w14:textId="77777777" w:rsidR="00E04C6D" w:rsidRPr="00503F5B" w:rsidRDefault="00E04C6D" w:rsidP="00E04C6D">
            <w:pPr>
              <w:widowControl w:val="0"/>
              <w:autoSpaceDE w:val="0"/>
              <w:autoSpaceDN w:val="0"/>
              <w:adjustRightInd w:val="0"/>
              <w:rPr>
                <w:rFonts w:ascii="P%[ˇ" w:hAnsi="P%[ˇ" w:cs="P%[ˇ"/>
                <w:b/>
                <w:color w:val="010202"/>
                <w:sz w:val="18"/>
                <w:szCs w:val="18"/>
              </w:rPr>
            </w:pPr>
            <w:r w:rsidRPr="00503F5B">
              <w:rPr>
                <w:rFonts w:ascii="P%[ˇ" w:hAnsi="P%[ˇ" w:cs="P%[ˇ"/>
                <w:b/>
                <w:color w:val="010202"/>
                <w:sz w:val="18"/>
                <w:szCs w:val="18"/>
              </w:rPr>
              <w:t>4</w:t>
            </w:r>
          </w:p>
        </w:tc>
        <w:tc>
          <w:tcPr>
            <w:tcW w:w="1516" w:type="dxa"/>
          </w:tcPr>
          <w:p w14:paraId="31B0BE6D" w14:textId="77777777" w:rsidR="00E04C6D" w:rsidRPr="00503F5B" w:rsidRDefault="00E04C6D" w:rsidP="00E04C6D">
            <w:pPr>
              <w:rPr>
                <w:rFonts w:ascii="P%[ˇ" w:hAnsi="P%[ˇ" w:cs="P%[ˇ"/>
                <w:color w:val="010202"/>
                <w:sz w:val="18"/>
                <w:szCs w:val="18"/>
              </w:rPr>
            </w:pPr>
            <w:r w:rsidRPr="00503F5B">
              <w:rPr>
                <w:rFonts w:ascii="P%[ˇ" w:hAnsi="P%[ˇ" w:cs="P%[ˇ"/>
                <w:color w:val="010202"/>
                <w:sz w:val="18"/>
                <w:szCs w:val="18"/>
              </w:rPr>
              <w:t>Revocation</w:t>
            </w:r>
          </w:p>
        </w:tc>
        <w:tc>
          <w:tcPr>
            <w:tcW w:w="3861" w:type="dxa"/>
          </w:tcPr>
          <w:p w14:paraId="64861DC2" w14:textId="77777777" w:rsidR="00E04C6D" w:rsidRPr="00503F5B" w:rsidRDefault="00E04C6D" w:rsidP="00E04C6D">
            <w:pPr>
              <w:jc w:val="both"/>
              <w:rPr>
                <w:sz w:val="18"/>
                <w:szCs w:val="18"/>
              </w:rPr>
            </w:pPr>
            <w:r w:rsidRPr="00503F5B">
              <w:rPr>
                <w:sz w:val="18"/>
                <w:szCs w:val="18"/>
              </w:rPr>
              <w:t>Machinery</w:t>
            </w:r>
          </w:p>
        </w:tc>
        <w:tc>
          <w:tcPr>
            <w:tcW w:w="1120" w:type="dxa"/>
          </w:tcPr>
          <w:p w14:paraId="0830843B" w14:textId="77777777" w:rsidR="00E04C6D" w:rsidRPr="00503F5B" w:rsidRDefault="00E04C6D" w:rsidP="00E04C6D">
            <w:pPr>
              <w:jc w:val="right"/>
              <w:rPr>
                <w:sz w:val="18"/>
                <w:szCs w:val="18"/>
              </w:rPr>
            </w:pPr>
            <w:r w:rsidRPr="00503F5B">
              <w:rPr>
                <w:sz w:val="18"/>
                <w:szCs w:val="18"/>
              </w:rPr>
              <w:t>N/A</w:t>
            </w:r>
          </w:p>
        </w:tc>
        <w:tc>
          <w:tcPr>
            <w:tcW w:w="1245" w:type="dxa"/>
          </w:tcPr>
          <w:p w14:paraId="484D7C5D" w14:textId="77777777" w:rsidR="00E04C6D" w:rsidRPr="00503F5B" w:rsidRDefault="00E04C6D" w:rsidP="00E04C6D">
            <w:pPr>
              <w:jc w:val="center"/>
              <w:rPr>
                <w:sz w:val="18"/>
                <w:szCs w:val="18"/>
              </w:rPr>
            </w:pPr>
            <w:r w:rsidRPr="00503F5B">
              <w:rPr>
                <w:sz w:val="18"/>
                <w:szCs w:val="18"/>
              </w:rPr>
              <w:t>N/A</w:t>
            </w:r>
          </w:p>
        </w:tc>
      </w:tr>
      <w:tr w:rsidR="00E04C6D" w:rsidRPr="00503F5B" w14:paraId="7FE08621" w14:textId="77777777" w:rsidTr="00E04C6D">
        <w:tc>
          <w:tcPr>
            <w:tcW w:w="752" w:type="dxa"/>
            <w:shd w:val="clear" w:color="auto" w:fill="FBE4D5" w:themeFill="accent2" w:themeFillTint="33"/>
          </w:tcPr>
          <w:p w14:paraId="68DC2688" w14:textId="77777777" w:rsidR="00E04C6D" w:rsidRPr="00503F5B" w:rsidRDefault="00E04C6D" w:rsidP="00E04C6D">
            <w:pPr>
              <w:widowControl w:val="0"/>
              <w:autoSpaceDE w:val="0"/>
              <w:autoSpaceDN w:val="0"/>
              <w:adjustRightInd w:val="0"/>
              <w:rPr>
                <w:rFonts w:ascii="P%[ˇ" w:hAnsi="P%[ˇ" w:cs="P%[ˇ"/>
                <w:b/>
                <w:color w:val="010202"/>
                <w:sz w:val="18"/>
                <w:szCs w:val="18"/>
              </w:rPr>
            </w:pPr>
            <w:r w:rsidRPr="00503F5B">
              <w:rPr>
                <w:rFonts w:ascii="P%[ˇ" w:hAnsi="P%[ˇ" w:cs="P%[ˇ"/>
                <w:b/>
                <w:color w:val="010202"/>
                <w:sz w:val="18"/>
                <w:szCs w:val="18"/>
              </w:rPr>
              <w:t>5</w:t>
            </w:r>
          </w:p>
        </w:tc>
        <w:tc>
          <w:tcPr>
            <w:tcW w:w="1516" w:type="dxa"/>
            <w:shd w:val="clear" w:color="auto" w:fill="FBE4D5" w:themeFill="accent2" w:themeFillTint="33"/>
          </w:tcPr>
          <w:p w14:paraId="60BF1741" w14:textId="77777777" w:rsidR="00E04C6D" w:rsidRPr="00503F5B" w:rsidRDefault="00E04C6D" w:rsidP="00E04C6D">
            <w:pPr>
              <w:rPr>
                <w:sz w:val="18"/>
                <w:szCs w:val="18"/>
              </w:rPr>
            </w:pPr>
            <w:r w:rsidRPr="00503F5B">
              <w:rPr>
                <w:rFonts w:ascii="P%[ˇ" w:hAnsi="P%[ˇ" w:cs="P%[ˇ"/>
                <w:color w:val="010202"/>
                <w:sz w:val="18"/>
                <w:szCs w:val="18"/>
              </w:rPr>
              <w:t>Definitions</w:t>
            </w:r>
          </w:p>
        </w:tc>
        <w:tc>
          <w:tcPr>
            <w:tcW w:w="3861" w:type="dxa"/>
            <w:shd w:val="clear" w:color="auto" w:fill="FBE4D5" w:themeFill="accent2" w:themeFillTint="33"/>
          </w:tcPr>
          <w:p w14:paraId="1DEC0F61" w14:textId="77777777" w:rsidR="00E04C6D" w:rsidRPr="00503F5B" w:rsidRDefault="00E04C6D" w:rsidP="00E04C6D">
            <w:pPr>
              <w:jc w:val="both"/>
              <w:rPr>
                <w:sz w:val="18"/>
                <w:szCs w:val="18"/>
              </w:rPr>
            </w:pPr>
            <w:r w:rsidRPr="00503F5B">
              <w:rPr>
                <w:sz w:val="18"/>
                <w:szCs w:val="18"/>
              </w:rPr>
              <w:t>Machinery</w:t>
            </w:r>
          </w:p>
        </w:tc>
        <w:tc>
          <w:tcPr>
            <w:tcW w:w="1120" w:type="dxa"/>
            <w:shd w:val="clear" w:color="auto" w:fill="FBE4D5" w:themeFill="accent2" w:themeFillTint="33"/>
          </w:tcPr>
          <w:p w14:paraId="0416ABE6" w14:textId="77777777" w:rsidR="00E04C6D" w:rsidRPr="00503F5B" w:rsidRDefault="00E04C6D" w:rsidP="00E04C6D">
            <w:pPr>
              <w:jc w:val="right"/>
              <w:rPr>
                <w:sz w:val="18"/>
                <w:szCs w:val="18"/>
              </w:rPr>
            </w:pPr>
            <w:r w:rsidRPr="00503F5B">
              <w:rPr>
                <w:sz w:val="18"/>
                <w:szCs w:val="18"/>
              </w:rPr>
              <w:t>N/A</w:t>
            </w:r>
          </w:p>
        </w:tc>
        <w:tc>
          <w:tcPr>
            <w:tcW w:w="1245" w:type="dxa"/>
            <w:shd w:val="clear" w:color="auto" w:fill="FBE4D5" w:themeFill="accent2" w:themeFillTint="33"/>
          </w:tcPr>
          <w:p w14:paraId="74CD37BF" w14:textId="77777777" w:rsidR="00E04C6D" w:rsidRPr="00503F5B" w:rsidRDefault="00E04C6D" w:rsidP="00E04C6D">
            <w:pPr>
              <w:jc w:val="center"/>
              <w:rPr>
                <w:sz w:val="18"/>
                <w:szCs w:val="18"/>
              </w:rPr>
            </w:pPr>
            <w:r w:rsidRPr="00503F5B">
              <w:rPr>
                <w:sz w:val="18"/>
                <w:szCs w:val="18"/>
              </w:rPr>
              <w:t>N/A</w:t>
            </w:r>
          </w:p>
        </w:tc>
      </w:tr>
      <w:tr w:rsidR="00E04C6D" w:rsidRPr="00503F5B" w14:paraId="211C4402" w14:textId="77777777" w:rsidTr="00E04C6D">
        <w:trPr>
          <w:trHeight w:val="930"/>
        </w:trPr>
        <w:tc>
          <w:tcPr>
            <w:tcW w:w="752" w:type="dxa"/>
            <w:shd w:val="clear" w:color="auto" w:fill="FFFFFF" w:themeFill="background1"/>
          </w:tcPr>
          <w:p w14:paraId="6386A7FB" w14:textId="77777777" w:rsidR="00E04C6D" w:rsidRPr="00503F5B" w:rsidRDefault="00E04C6D" w:rsidP="00E04C6D">
            <w:pPr>
              <w:rPr>
                <w:b/>
                <w:sz w:val="18"/>
                <w:szCs w:val="18"/>
              </w:rPr>
            </w:pPr>
            <w:r w:rsidRPr="00503F5B">
              <w:rPr>
                <w:b/>
                <w:sz w:val="18"/>
                <w:szCs w:val="18"/>
              </w:rPr>
              <w:t>6</w:t>
            </w:r>
          </w:p>
        </w:tc>
        <w:tc>
          <w:tcPr>
            <w:tcW w:w="1516" w:type="dxa"/>
            <w:shd w:val="clear" w:color="auto" w:fill="FFFFFF" w:themeFill="background1"/>
          </w:tcPr>
          <w:p w14:paraId="3FE73C19" w14:textId="77777777" w:rsidR="00E04C6D" w:rsidRPr="00503F5B" w:rsidRDefault="00E04C6D" w:rsidP="00E04C6D">
            <w:pPr>
              <w:rPr>
                <w:sz w:val="18"/>
                <w:szCs w:val="18"/>
              </w:rPr>
            </w:pPr>
            <w:r w:rsidRPr="00503F5B">
              <w:rPr>
                <w:sz w:val="18"/>
                <w:szCs w:val="18"/>
              </w:rPr>
              <w:t>Insignia of the Fire Rescue Victoria</w:t>
            </w:r>
          </w:p>
        </w:tc>
        <w:tc>
          <w:tcPr>
            <w:tcW w:w="3861" w:type="dxa"/>
            <w:shd w:val="clear" w:color="auto" w:fill="FFFFFF" w:themeFill="background1"/>
          </w:tcPr>
          <w:p w14:paraId="24F964D9" w14:textId="77777777" w:rsidR="00E04C6D" w:rsidRPr="00503F5B" w:rsidRDefault="00E04C6D" w:rsidP="00E04C6D">
            <w:pPr>
              <w:rPr>
                <w:sz w:val="18"/>
                <w:szCs w:val="18"/>
              </w:rPr>
            </w:pPr>
            <w:r w:rsidRPr="00503F5B">
              <w:rPr>
                <w:sz w:val="18"/>
                <w:szCs w:val="18"/>
              </w:rPr>
              <w:t>The insignia set out in Schedule 1 may be used on clothing worn by the Fire Rescue Commissioner, operational staff or any other person acting in the lawful execution of a power conferred by the Act or these Regulations; or on any other property whatever used for the purposes of the Act or these Regulations.</w:t>
            </w:r>
          </w:p>
        </w:tc>
        <w:tc>
          <w:tcPr>
            <w:tcW w:w="1120" w:type="dxa"/>
            <w:shd w:val="clear" w:color="auto" w:fill="FFFFFF" w:themeFill="background1"/>
          </w:tcPr>
          <w:p w14:paraId="0E9EA38A" w14:textId="77777777" w:rsidR="00E04C6D" w:rsidRPr="00503F5B" w:rsidRDefault="00E04C6D" w:rsidP="00E04C6D">
            <w:pPr>
              <w:jc w:val="right"/>
              <w:rPr>
                <w:sz w:val="18"/>
                <w:szCs w:val="18"/>
              </w:rPr>
            </w:pPr>
            <w:r w:rsidRPr="00503F5B">
              <w:rPr>
                <w:sz w:val="18"/>
                <w:szCs w:val="18"/>
              </w:rPr>
              <w:t>N/A</w:t>
            </w:r>
          </w:p>
        </w:tc>
        <w:tc>
          <w:tcPr>
            <w:tcW w:w="1245" w:type="dxa"/>
            <w:shd w:val="clear" w:color="auto" w:fill="FFFFFF" w:themeFill="background1"/>
          </w:tcPr>
          <w:p w14:paraId="76F49C47" w14:textId="77777777" w:rsidR="00E04C6D" w:rsidRPr="00503F5B" w:rsidRDefault="00E04C6D" w:rsidP="00E04C6D">
            <w:pPr>
              <w:jc w:val="center"/>
              <w:rPr>
                <w:sz w:val="18"/>
                <w:szCs w:val="18"/>
              </w:rPr>
            </w:pPr>
            <w:r w:rsidRPr="00503F5B">
              <w:rPr>
                <w:sz w:val="18"/>
                <w:szCs w:val="18"/>
              </w:rPr>
              <w:t>N/A</w:t>
            </w:r>
          </w:p>
        </w:tc>
      </w:tr>
      <w:tr w:rsidR="00E04C6D" w:rsidRPr="00503F5B" w14:paraId="75C59C3B" w14:textId="77777777" w:rsidTr="00E04C6D">
        <w:trPr>
          <w:trHeight w:val="515"/>
        </w:trPr>
        <w:tc>
          <w:tcPr>
            <w:tcW w:w="752" w:type="dxa"/>
            <w:shd w:val="clear" w:color="auto" w:fill="FBE4D5" w:themeFill="accent2" w:themeFillTint="33"/>
          </w:tcPr>
          <w:p w14:paraId="5469D013" w14:textId="77777777" w:rsidR="00E04C6D" w:rsidRPr="00503F5B" w:rsidRDefault="00E04C6D" w:rsidP="00E04C6D">
            <w:pPr>
              <w:rPr>
                <w:b/>
                <w:sz w:val="18"/>
                <w:szCs w:val="18"/>
              </w:rPr>
            </w:pPr>
            <w:r w:rsidRPr="00503F5B">
              <w:rPr>
                <w:b/>
                <w:sz w:val="18"/>
                <w:szCs w:val="18"/>
              </w:rPr>
              <w:t>7</w:t>
            </w:r>
          </w:p>
        </w:tc>
        <w:tc>
          <w:tcPr>
            <w:tcW w:w="1516" w:type="dxa"/>
            <w:shd w:val="clear" w:color="auto" w:fill="FBE4D5" w:themeFill="accent2" w:themeFillTint="33"/>
          </w:tcPr>
          <w:p w14:paraId="7A605073" w14:textId="77777777" w:rsidR="00E04C6D" w:rsidRPr="00503F5B" w:rsidRDefault="00E04C6D" w:rsidP="00E04C6D">
            <w:pPr>
              <w:rPr>
                <w:sz w:val="18"/>
                <w:szCs w:val="18"/>
              </w:rPr>
            </w:pPr>
            <w:r w:rsidRPr="00503F5B">
              <w:rPr>
                <w:sz w:val="18"/>
                <w:szCs w:val="18"/>
              </w:rPr>
              <w:t>Service for the purpose of long service leave</w:t>
            </w:r>
          </w:p>
        </w:tc>
        <w:tc>
          <w:tcPr>
            <w:tcW w:w="3861" w:type="dxa"/>
            <w:shd w:val="clear" w:color="auto" w:fill="FBE4D5" w:themeFill="accent2" w:themeFillTint="33"/>
          </w:tcPr>
          <w:p w14:paraId="5BFB4D07" w14:textId="77777777" w:rsidR="00E04C6D" w:rsidRPr="00503F5B" w:rsidRDefault="00E04C6D" w:rsidP="00E04C6D">
            <w:pPr>
              <w:rPr>
                <w:sz w:val="18"/>
                <w:szCs w:val="18"/>
              </w:rPr>
            </w:pPr>
            <w:r w:rsidRPr="00503F5B">
              <w:rPr>
                <w:sz w:val="18"/>
                <w:szCs w:val="18"/>
              </w:rPr>
              <w:t>Continuous service with Fire Rescue Victoria where long service leave/pay in lieu has not been granted; commencing not more than 4 weeks from termination (or any longer period Fire Rescue Victoria having regard to any special circumstances relating to any officer or employee may determine); and includes period of war service in the Australian armed forces that ended not more than 12 months before commencement of any other service or employment which under this regulation entitles the officer or employee to long service leave.</w:t>
            </w:r>
          </w:p>
        </w:tc>
        <w:tc>
          <w:tcPr>
            <w:tcW w:w="1120" w:type="dxa"/>
            <w:shd w:val="clear" w:color="auto" w:fill="FBE4D5" w:themeFill="accent2" w:themeFillTint="33"/>
          </w:tcPr>
          <w:p w14:paraId="52C6EC1E" w14:textId="77777777" w:rsidR="00E04C6D" w:rsidRPr="00503F5B" w:rsidRDefault="00E04C6D" w:rsidP="00E04C6D">
            <w:pPr>
              <w:jc w:val="right"/>
              <w:rPr>
                <w:sz w:val="18"/>
                <w:szCs w:val="18"/>
              </w:rPr>
            </w:pPr>
            <w:r w:rsidRPr="00503F5B">
              <w:rPr>
                <w:sz w:val="18"/>
                <w:szCs w:val="18"/>
              </w:rPr>
              <w:t>N/A</w:t>
            </w:r>
          </w:p>
        </w:tc>
        <w:tc>
          <w:tcPr>
            <w:tcW w:w="1245" w:type="dxa"/>
            <w:shd w:val="clear" w:color="auto" w:fill="FBE4D5" w:themeFill="accent2" w:themeFillTint="33"/>
          </w:tcPr>
          <w:p w14:paraId="345D2E4A" w14:textId="77777777" w:rsidR="00E04C6D" w:rsidRPr="00503F5B" w:rsidRDefault="00E04C6D" w:rsidP="00E04C6D">
            <w:pPr>
              <w:jc w:val="center"/>
              <w:rPr>
                <w:sz w:val="18"/>
                <w:szCs w:val="18"/>
              </w:rPr>
            </w:pPr>
            <w:r w:rsidRPr="00503F5B">
              <w:rPr>
                <w:sz w:val="18"/>
                <w:szCs w:val="18"/>
              </w:rPr>
              <w:t>N/A</w:t>
            </w:r>
          </w:p>
        </w:tc>
      </w:tr>
      <w:tr w:rsidR="00E04C6D" w:rsidRPr="00503F5B" w14:paraId="09EC8692" w14:textId="77777777" w:rsidTr="00E04C6D">
        <w:trPr>
          <w:trHeight w:val="790"/>
        </w:trPr>
        <w:tc>
          <w:tcPr>
            <w:tcW w:w="752" w:type="dxa"/>
            <w:shd w:val="clear" w:color="auto" w:fill="FFFFFF" w:themeFill="background1"/>
          </w:tcPr>
          <w:p w14:paraId="39076AFC" w14:textId="77777777" w:rsidR="00E04C6D" w:rsidRPr="00503F5B" w:rsidRDefault="00E04C6D" w:rsidP="00E04C6D">
            <w:pPr>
              <w:rPr>
                <w:b/>
                <w:sz w:val="18"/>
                <w:szCs w:val="18"/>
              </w:rPr>
            </w:pPr>
            <w:r w:rsidRPr="00503F5B">
              <w:rPr>
                <w:b/>
                <w:sz w:val="18"/>
                <w:szCs w:val="18"/>
              </w:rPr>
              <w:t>8</w:t>
            </w:r>
          </w:p>
        </w:tc>
        <w:tc>
          <w:tcPr>
            <w:tcW w:w="1516" w:type="dxa"/>
            <w:shd w:val="clear" w:color="auto" w:fill="FFFFFF" w:themeFill="background1"/>
          </w:tcPr>
          <w:p w14:paraId="6CA02095" w14:textId="77777777" w:rsidR="00E04C6D" w:rsidRPr="00503F5B" w:rsidRDefault="00E04C6D" w:rsidP="00E04C6D">
            <w:pPr>
              <w:rPr>
                <w:sz w:val="18"/>
                <w:szCs w:val="18"/>
              </w:rPr>
            </w:pPr>
            <w:r w:rsidRPr="00503F5B">
              <w:rPr>
                <w:sz w:val="18"/>
                <w:szCs w:val="18"/>
              </w:rPr>
              <w:t>Appointments by FRV</w:t>
            </w:r>
          </w:p>
        </w:tc>
        <w:tc>
          <w:tcPr>
            <w:tcW w:w="3861" w:type="dxa"/>
            <w:shd w:val="clear" w:color="auto" w:fill="FFFFFF" w:themeFill="background1"/>
          </w:tcPr>
          <w:p w14:paraId="560EE891" w14:textId="77777777" w:rsidR="00E04C6D" w:rsidRPr="00503F5B" w:rsidRDefault="00E04C6D" w:rsidP="00E04C6D">
            <w:pPr>
              <w:rPr>
                <w:sz w:val="18"/>
                <w:szCs w:val="18"/>
              </w:rPr>
            </w:pPr>
            <w:r w:rsidRPr="00503F5B">
              <w:rPr>
                <w:sz w:val="18"/>
                <w:szCs w:val="18"/>
              </w:rPr>
              <w:t xml:space="preserve">Applicants for appointment are required to satisfy a medical officer of their fitness for service and provide consent for a criminal record search to be conducted </w:t>
            </w:r>
          </w:p>
        </w:tc>
        <w:tc>
          <w:tcPr>
            <w:tcW w:w="1120" w:type="dxa"/>
            <w:shd w:val="clear" w:color="auto" w:fill="FFFFFF" w:themeFill="background1"/>
          </w:tcPr>
          <w:p w14:paraId="14FCE702" w14:textId="77777777" w:rsidR="00E04C6D" w:rsidRPr="00503F5B" w:rsidRDefault="00E04C6D" w:rsidP="00E04C6D">
            <w:pPr>
              <w:jc w:val="right"/>
              <w:rPr>
                <w:sz w:val="18"/>
                <w:szCs w:val="18"/>
              </w:rPr>
            </w:pPr>
            <w:r w:rsidRPr="00503F5B">
              <w:rPr>
                <w:sz w:val="18"/>
                <w:szCs w:val="18"/>
              </w:rPr>
              <w:t>$80,509</w:t>
            </w:r>
            <w:r w:rsidRPr="00503F5B">
              <w:rPr>
                <w:rStyle w:val="FootnoteReference"/>
                <w:sz w:val="18"/>
                <w:szCs w:val="18"/>
              </w:rPr>
              <w:footnoteReference w:id="219"/>
            </w:r>
          </w:p>
          <w:p w14:paraId="4536F385" w14:textId="77777777" w:rsidR="00E04C6D" w:rsidRPr="00503F5B" w:rsidRDefault="00E04C6D" w:rsidP="00E04C6D">
            <w:pPr>
              <w:jc w:val="right"/>
              <w:rPr>
                <w:sz w:val="18"/>
                <w:szCs w:val="18"/>
              </w:rPr>
            </w:pPr>
          </w:p>
        </w:tc>
        <w:tc>
          <w:tcPr>
            <w:tcW w:w="1245" w:type="dxa"/>
            <w:shd w:val="clear" w:color="auto" w:fill="FFFFFF" w:themeFill="background1"/>
          </w:tcPr>
          <w:p w14:paraId="68290D35" w14:textId="77777777" w:rsidR="00E04C6D" w:rsidRPr="00503F5B" w:rsidRDefault="00E04C6D" w:rsidP="00E04C6D">
            <w:pPr>
              <w:jc w:val="center"/>
              <w:rPr>
                <w:sz w:val="18"/>
                <w:szCs w:val="18"/>
              </w:rPr>
            </w:pPr>
            <w:r w:rsidRPr="00503F5B">
              <w:rPr>
                <w:sz w:val="18"/>
                <w:szCs w:val="18"/>
              </w:rPr>
              <w:t>FRV</w:t>
            </w:r>
          </w:p>
        </w:tc>
      </w:tr>
      <w:tr w:rsidR="00E04C6D" w:rsidRPr="00503F5B" w14:paraId="5BAA9D93" w14:textId="77777777" w:rsidTr="00E04C6D">
        <w:trPr>
          <w:trHeight w:val="305"/>
        </w:trPr>
        <w:tc>
          <w:tcPr>
            <w:tcW w:w="752" w:type="dxa"/>
            <w:shd w:val="clear" w:color="auto" w:fill="FBE4D5" w:themeFill="accent2" w:themeFillTint="33"/>
          </w:tcPr>
          <w:p w14:paraId="51F33A1F" w14:textId="77777777" w:rsidR="00E04C6D" w:rsidRPr="00503F5B" w:rsidRDefault="00E04C6D" w:rsidP="00E04C6D">
            <w:pPr>
              <w:jc w:val="both"/>
              <w:rPr>
                <w:b/>
                <w:sz w:val="18"/>
                <w:szCs w:val="18"/>
              </w:rPr>
            </w:pPr>
            <w:r w:rsidRPr="00503F5B">
              <w:rPr>
                <w:b/>
                <w:sz w:val="18"/>
                <w:szCs w:val="18"/>
              </w:rPr>
              <w:t>8</w:t>
            </w:r>
          </w:p>
        </w:tc>
        <w:tc>
          <w:tcPr>
            <w:tcW w:w="1516" w:type="dxa"/>
            <w:shd w:val="clear" w:color="auto" w:fill="FBE4D5" w:themeFill="accent2" w:themeFillTint="33"/>
          </w:tcPr>
          <w:p w14:paraId="7B09A21B" w14:textId="77777777" w:rsidR="00E04C6D" w:rsidRPr="00503F5B" w:rsidRDefault="00E04C6D" w:rsidP="00E04C6D">
            <w:pPr>
              <w:rPr>
                <w:sz w:val="18"/>
                <w:szCs w:val="18"/>
              </w:rPr>
            </w:pPr>
            <w:r w:rsidRPr="00503F5B">
              <w:rPr>
                <w:sz w:val="18"/>
                <w:szCs w:val="18"/>
              </w:rPr>
              <w:t>Appointments by FRV</w:t>
            </w:r>
          </w:p>
        </w:tc>
        <w:tc>
          <w:tcPr>
            <w:tcW w:w="3861" w:type="dxa"/>
            <w:shd w:val="clear" w:color="auto" w:fill="FBE4D5" w:themeFill="accent2" w:themeFillTint="33"/>
          </w:tcPr>
          <w:p w14:paraId="3B9CE6C3" w14:textId="0BE9FBFA" w:rsidR="00E04C6D" w:rsidRPr="00503F5B" w:rsidRDefault="00E04C6D" w:rsidP="00E04C6D">
            <w:pPr>
              <w:rPr>
                <w:sz w:val="18"/>
                <w:szCs w:val="18"/>
              </w:rPr>
            </w:pPr>
            <w:r w:rsidRPr="00503F5B">
              <w:rPr>
                <w:sz w:val="18"/>
                <w:szCs w:val="18"/>
              </w:rPr>
              <w:t xml:space="preserve">Applicant’s own time cost for attending medical consultation for appointment as an employee of </w:t>
            </w:r>
            <w:r w:rsidR="00D23B9E" w:rsidRPr="00503F5B">
              <w:rPr>
                <w:sz w:val="18"/>
                <w:szCs w:val="18"/>
              </w:rPr>
              <w:t>FRV</w:t>
            </w:r>
            <w:r w:rsidRPr="00503F5B">
              <w:rPr>
                <w:sz w:val="18"/>
                <w:szCs w:val="18"/>
              </w:rPr>
              <w:t>.</w:t>
            </w:r>
          </w:p>
        </w:tc>
        <w:tc>
          <w:tcPr>
            <w:tcW w:w="1120" w:type="dxa"/>
            <w:shd w:val="clear" w:color="auto" w:fill="FBE4D5" w:themeFill="accent2" w:themeFillTint="33"/>
          </w:tcPr>
          <w:p w14:paraId="0D4D918C" w14:textId="77777777" w:rsidR="00E04C6D" w:rsidRPr="00503F5B" w:rsidRDefault="00E04C6D" w:rsidP="00E04C6D">
            <w:pPr>
              <w:jc w:val="right"/>
              <w:rPr>
                <w:sz w:val="18"/>
                <w:szCs w:val="18"/>
              </w:rPr>
            </w:pPr>
            <w:r w:rsidRPr="00503F5B">
              <w:rPr>
                <w:sz w:val="18"/>
                <w:szCs w:val="18"/>
              </w:rPr>
              <w:t>$20,240</w:t>
            </w:r>
            <w:r w:rsidRPr="00503F5B">
              <w:rPr>
                <w:rStyle w:val="FootnoteReference"/>
                <w:sz w:val="18"/>
                <w:szCs w:val="18"/>
              </w:rPr>
              <w:footnoteReference w:id="220"/>
            </w:r>
          </w:p>
        </w:tc>
        <w:tc>
          <w:tcPr>
            <w:tcW w:w="1245" w:type="dxa"/>
            <w:shd w:val="clear" w:color="auto" w:fill="FBE4D5" w:themeFill="accent2" w:themeFillTint="33"/>
          </w:tcPr>
          <w:p w14:paraId="73D55F01" w14:textId="77777777" w:rsidR="00E04C6D" w:rsidRPr="00503F5B" w:rsidRDefault="00E04C6D" w:rsidP="00E04C6D">
            <w:pPr>
              <w:jc w:val="center"/>
              <w:rPr>
                <w:sz w:val="18"/>
                <w:szCs w:val="18"/>
              </w:rPr>
            </w:pPr>
            <w:r w:rsidRPr="00503F5B">
              <w:rPr>
                <w:sz w:val="18"/>
                <w:szCs w:val="18"/>
              </w:rPr>
              <w:t>Applicant</w:t>
            </w:r>
          </w:p>
        </w:tc>
      </w:tr>
      <w:tr w:rsidR="00E04C6D" w:rsidRPr="00503F5B" w14:paraId="5EE59269" w14:textId="77777777" w:rsidTr="00E04C6D">
        <w:tc>
          <w:tcPr>
            <w:tcW w:w="752" w:type="dxa"/>
            <w:shd w:val="clear" w:color="auto" w:fill="FBE4D5" w:themeFill="accent2" w:themeFillTint="33"/>
          </w:tcPr>
          <w:p w14:paraId="1C0C81C3" w14:textId="728DC332" w:rsidR="00E04C6D" w:rsidRPr="00503F5B" w:rsidRDefault="00A66FB8" w:rsidP="00E04C6D">
            <w:pPr>
              <w:jc w:val="both"/>
              <w:rPr>
                <w:b/>
                <w:sz w:val="18"/>
                <w:szCs w:val="18"/>
              </w:rPr>
            </w:pPr>
            <w:r w:rsidRPr="00503F5B">
              <w:rPr>
                <w:b/>
                <w:sz w:val="18"/>
                <w:szCs w:val="18"/>
              </w:rPr>
              <w:lastRenderedPageBreak/>
              <w:t>9</w:t>
            </w:r>
          </w:p>
        </w:tc>
        <w:tc>
          <w:tcPr>
            <w:tcW w:w="1516" w:type="dxa"/>
            <w:shd w:val="clear" w:color="auto" w:fill="FBE4D5" w:themeFill="accent2" w:themeFillTint="33"/>
          </w:tcPr>
          <w:p w14:paraId="26DACDE3" w14:textId="77777777" w:rsidR="00E04C6D" w:rsidRPr="00503F5B" w:rsidRDefault="00E04C6D" w:rsidP="00E04C6D">
            <w:pPr>
              <w:jc w:val="both"/>
              <w:rPr>
                <w:sz w:val="18"/>
                <w:szCs w:val="18"/>
              </w:rPr>
            </w:pPr>
            <w:r w:rsidRPr="00503F5B">
              <w:rPr>
                <w:sz w:val="18"/>
                <w:szCs w:val="18"/>
              </w:rPr>
              <w:t>Fitness for duty</w:t>
            </w:r>
          </w:p>
        </w:tc>
        <w:tc>
          <w:tcPr>
            <w:tcW w:w="3861" w:type="dxa"/>
            <w:shd w:val="clear" w:color="auto" w:fill="FBE4D5" w:themeFill="accent2" w:themeFillTint="33"/>
          </w:tcPr>
          <w:p w14:paraId="33195236" w14:textId="77777777" w:rsidR="00E04C6D" w:rsidRPr="00503F5B" w:rsidRDefault="00E04C6D" w:rsidP="00E04C6D">
            <w:pPr>
              <w:rPr>
                <w:sz w:val="18"/>
                <w:szCs w:val="18"/>
              </w:rPr>
            </w:pPr>
            <w:r w:rsidRPr="00503F5B">
              <w:rPr>
                <w:sz w:val="18"/>
                <w:szCs w:val="18"/>
              </w:rPr>
              <w:t xml:space="preserve">Operational staff member to satisfy a medical officer that he or she is fit for duty. </w:t>
            </w:r>
          </w:p>
        </w:tc>
        <w:tc>
          <w:tcPr>
            <w:tcW w:w="1120" w:type="dxa"/>
            <w:shd w:val="clear" w:color="auto" w:fill="FBE4D5" w:themeFill="accent2" w:themeFillTint="33"/>
          </w:tcPr>
          <w:p w14:paraId="6D73A5CD" w14:textId="77777777" w:rsidR="00E04C6D" w:rsidRPr="00503F5B" w:rsidRDefault="00E04C6D" w:rsidP="00E04C6D">
            <w:pPr>
              <w:jc w:val="right"/>
              <w:rPr>
                <w:sz w:val="18"/>
                <w:szCs w:val="18"/>
              </w:rPr>
            </w:pPr>
            <w:r w:rsidRPr="00503F5B">
              <w:rPr>
                <w:sz w:val="18"/>
                <w:szCs w:val="18"/>
              </w:rPr>
              <w:t>$18,939</w:t>
            </w:r>
            <w:r w:rsidRPr="00503F5B">
              <w:rPr>
                <w:rStyle w:val="FootnoteReference"/>
                <w:sz w:val="18"/>
                <w:szCs w:val="18"/>
              </w:rPr>
              <w:footnoteReference w:id="221"/>
            </w:r>
          </w:p>
        </w:tc>
        <w:tc>
          <w:tcPr>
            <w:tcW w:w="1245" w:type="dxa"/>
            <w:shd w:val="clear" w:color="auto" w:fill="FBE4D5" w:themeFill="accent2" w:themeFillTint="33"/>
          </w:tcPr>
          <w:p w14:paraId="08AC8E8E" w14:textId="77777777" w:rsidR="00E04C6D" w:rsidRPr="00503F5B" w:rsidRDefault="00E04C6D" w:rsidP="00E04C6D">
            <w:pPr>
              <w:jc w:val="center"/>
              <w:rPr>
                <w:sz w:val="18"/>
                <w:szCs w:val="18"/>
              </w:rPr>
            </w:pPr>
            <w:r w:rsidRPr="00503F5B">
              <w:rPr>
                <w:sz w:val="18"/>
                <w:szCs w:val="18"/>
              </w:rPr>
              <w:t>FRV</w:t>
            </w:r>
          </w:p>
        </w:tc>
      </w:tr>
      <w:tr w:rsidR="00E04C6D" w:rsidRPr="00503F5B" w14:paraId="3AE0B597" w14:textId="77777777" w:rsidTr="00E04C6D">
        <w:tc>
          <w:tcPr>
            <w:tcW w:w="752" w:type="dxa"/>
            <w:shd w:val="clear" w:color="auto" w:fill="FFFFFF" w:themeFill="background1"/>
          </w:tcPr>
          <w:p w14:paraId="282EA229" w14:textId="112D0401" w:rsidR="00E04C6D" w:rsidRPr="00503F5B" w:rsidRDefault="00A66FB8" w:rsidP="00E04C6D">
            <w:pPr>
              <w:jc w:val="both"/>
              <w:rPr>
                <w:b/>
                <w:sz w:val="18"/>
                <w:szCs w:val="18"/>
              </w:rPr>
            </w:pPr>
            <w:r w:rsidRPr="00503F5B">
              <w:rPr>
                <w:b/>
                <w:sz w:val="18"/>
                <w:szCs w:val="18"/>
              </w:rPr>
              <w:t>9</w:t>
            </w:r>
          </w:p>
        </w:tc>
        <w:tc>
          <w:tcPr>
            <w:tcW w:w="1516" w:type="dxa"/>
            <w:shd w:val="clear" w:color="auto" w:fill="FFFFFF" w:themeFill="background1"/>
          </w:tcPr>
          <w:p w14:paraId="200FB478" w14:textId="77777777" w:rsidR="00E04C6D" w:rsidRPr="00503F5B" w:rsidRDefault="00E04C6D" w:rsidP="00E04C6D">
            <w:pPr>
              <w:jc w:val="both"/>
              <w:rPr>
                <w:sz w:val="18"/>
                <w:szCs w:val="18"/>
              </w:rPr>
            </w:pPr>
            <w:r w:rsidRPr="00503F5B">
              <w:rPr>
                <w:sz w:val="18"/>
                <w:szCs w:val="18"/>
              </w:rPr>
              <w:t>Fitness for duty</w:t>
            </w:r>
          </w:p>
        </w:tc>
        <w:tc>
          <w:tcPr>
            <w:tcW w:w="3861" w:type="dxa"/>
            <w:shd w:val="clear" w:color="auto" w:fill="FFFFFF" w:themeFill="background1"/>
          </w:tcPr>
          <w:p w14:paraId="158B3491" w14:textId="77777777" w:rsidR="00E04C6D" w:rsidRPr="00503F5B" w:rsidRDefault="00E04C6D" w:rsidP="00E04C6D">
            <w:pPr>
              <w:rPr>
                <w:sz w:val="18"/>
                <w:szCs w:val="18"/>
              </w:rPr>
            </w:pPr>
            <w:r w:rsidRPr="00503F5B">
              <w:rPr>
                <w:sz w:val="18"/>
                <w:szCs w:val="18"/>
              </w:rPr>
              <w:t>Operational staff member to attend fitness for duty examination</w:t>
            </w:r>
          </w:p>
        </w:tc>
        <w:tc>
          <w:tcPr>
            <w:tcW w:w="1120" w:type="dxa"/>
            <w:shd w:val="clear" w:color="auto" w:fill="FFFFFF" w:themeFill="background1"/>
          </w:tcPr>
          <w:p w14:paraId="186C5168" w14:textId="77777777" w:rsidR="00E04C6D" w:rsidRPr="00503F5B" w:rsidRDefault="00E04C6D" w:rsidP="00E04C6D">
            <w:pPr>
              <w:jc w:val="right"/>
              <w:rPr>
                <w:sz w:val="18"/>
                <w:szCs w:val="18"/>
              </w:rPr>
            </w:pPr>
            <w:r w:rsidRPr="00503F5B">
              <w:rPr>
                <w:sz w:val="18"/>
                <w:szCs w:val="18"/>
              </w:rPr>
              <w:t>$7,774</w:t>
            </w:r>
            <w:r w:rsidRPr="00503F5B">
              <w:rPr>
                <w:rStyle w:val="FootnoteReference"/>
                <w:sz w:val="18"/>
                <w:szCs w:val="18"/>
              </w:rPr>
              <w:footnoteReference w:id="222"/>
            </w:r>
          </w:p>
        </w:tc>
        <w:tc>
          <w:tcPr>
            <w:tcW w:w="1245" w:type="dxa"/>
            <w:shd w:val="clear" w:color="auto" w:fill="FFFFFF" w:themeFill="background1"/>
          </w:tcPr>
          <w:p w14:paraId="0E7BB523" w14:textId="77777777" w:rsidR="00E04C6D" w:rsidRPr="00503F5B" w:rsidRDefault="00E04C6D" w:rsidP="00E04C6D">
            <w:pPr>
              <w:jc w:val="center"/>
              <w:rPr>
                <w:sz w:val="18"/>
                <w:szCs w:val="18"/>
              </w:rPr>
            </w:pPr>
            <w:r w:rsidRPr="00503F5B">
              <w:rPr>
                <w:sz w:val="18"/>
                <w:szCs w:val="18"/>
              </w:rPr>
              <w:t>FRV operational staff member</w:t>
            </w:r>
          </w:p>
        </w:tc>
      </w:tr>
      <w:tr w:rsidR="00E04C6D" w:rsidRPr="00503F5B" w14:paraId="046C3CD9" w14:textId="77777777" w:rsidTr="00E04C6D">
        <w:tc>
          <w:tcPr>
            <w:tcW w:w="752" w:type="dxa"/>
            <w:shd w:val="clear" w:color="auto" w:fill="FBE4D5" w:themeFill="accent2" w:themeFillTint="33"/>
          </w:tcPr>
          <w:p w14:paraId="59A32C55" w14:textId="0A37AFD8" w:rsidR="00E04C6D" w:rsidRPr="00503F5B" w:rsidRDefault="00E04C6D" w:rsidP="00E04C6D">
            <w:pPr>
              <w:jc w:val="both"/>
              <w:rPr>
                <w:b/>
                <w:sz w:val="18"/>
                <w:szCs w:val="18"/>
              </w:rPr>
            </w:pPr>
            <w:r w:rsidRPr="00503F5B">
              <w:rPr>
                <w:b/>
                <w:sz w:val="18"/>
                <w:szCs w:val="18"/>
              </w:rPr>
              <w:t>1</w:t>
            </w:r>
            <w:r w:rsidR="00A66FB8" w:rsidRPr="00503F5B">
              <w:rPr>
                <w:b/>
                <w:sz w:val="18"/>
                <w:szCs w:val="18"/>
              </w:rPr>
              <w:t>0</w:t>
            </w:r>
          </w:p>
        </w:tc>
        <w:tc>
          <w:tcPr>
            <w:tcW w:w="1516" w:type="dxa"/>
            <w:shd w:val="clear" w:color="auto" w:fill="FBE4D5" w:themeFill="accent2" w:themeFillTint="33"/>
          </w:tcPr>
          <w:p w14:paraId="63E8A7D9" w14:textId="77777777" w:rsidR="00E04C6D" w:rsidRPr="00503F5B" w:rsidRDefault="00E04C6D" w:rsidP="00E04C6D">
            <w:pPr>
              <w:rPr>
                <w:sz w:val="18"/>
                <w:szCs w:val="18"/>
              </w:rPr>
            </w:pPr>
            <w:r w:rsidRPr="00503F5B">
              <w:rPr>
                <w:sz w:val="18"/>
                <w:szCs w:val="18"/>
              </w:rPr>
              <w:t>Conditions of promotion</w:t>
            </w:r>
          </w:p>
        </w:tc>
        <w:tc>
          <w:tcPr>
            <w:tcW w:w="3861" w:type="dxa"/>
            <w:shd w:val="clear" w:color="auto" w:fill="FBE4D5" w:themeFill="accent2" w:themeFillTint="33"/>
          </w:tcPr>
          <w:p w14:paraId="6F7C0A0B" w14:textId="77777777" w:rsidR="00E04C6D" w:rsidRPr="00503F5B" w:rsidRDefault="00E04C6D" w:rsidP="00E04C6D">
            <w:pPr>
              <w:rPr>
                <w:sz w:val="18"/>
                <w:szCs w:val="18"/>
              </w:rPr>
            </w:pPr>
            <w:r w:rsidRPr="00503F5B">
              <w:rPr>
                <w:sz w:val="18"/>
                <w:szCs w:val="18"/>
              </w:rPr>
              <w:t>Procedural requirements for the promotions process</w:t>
            </w:r>
          </w:p>
        </w:tc>
        <w:tc>
          <w:tcPr>
            <w:tcW w:w="1120" w:type="dxa"/>
            <w:shd w:val="clear" w:color="auto" w:fill="FBE4D5" w:themeFill="accent2" w:themeFillTint="33"/>
          </w:tcPr>
          <w:p w14:paraId="049A3C83" w14:textId="77777777" w:rsidR="00E04C6D" w:rsidRPr="00503F5B" w:rsidRDefault="00E04C6D" w:rsidP="00E04C6D">
            <w:pPr>
              <w:jc w:val="right"/>
              <w:rPr>
                <w:sz w:val="18"/>
                <w:szCs w:val="18"/>
              </w:rPr>
            </w:pPr>
            <w:r w:rsidRPr="00503F5B">
              <w:rPr>
                <w:sz w:val="18"/>
                <w:szCs w:val="18"/>
              </w:rPr>
              <w:t>$18,554</w:t>
            </w:r>
            <w:r w:rsidRPr="00503F5B">
              <w:rPr>
                <w:rStyle w:val="FootnoteReference"/>
                <w:sz w:val="18"/>
                <w:szCs w:val="18"/>
              </w:rPr>
              <w:footnoteReference w:id="223"/>
            </w:r>
          </w:p>
        </w:tc>
        <w:tc>
          <w:tcPr>
            <w:tcW w:w="1245" w:type="dxa"/>
            <w:shd w:val="clear" w:color="auto" w:fill="FBE4D5" w:themeFill="accent2" w:themeFillTint="33"/>
          </w:tcPr>
          <w:p w14:paraId="2C103273" w14:textId="77777777" w:rsidR="00E04C6D" w:rsidRPr="00503F5B" w:rsidRDefault="00E04C6D" w:rsidP="00E04C6D">
            <w:pPr>
              <w:jc w:val="center"/>
              <w:rPr>
                <w:sz w:val="18"/>
                <w:szCs w:val="18"/>
              </w:rPr>
            </w:pPr>
            <w:r w:rsidRPr="00503F5B">
              <w:rPr>
                <w:sz w:val="18"/>
                <w:szCs w:val="18"/>
              </w:rPr>
              <w:t>FRV</w:t>
            </w:r>
          </w:p>
        </w:tc>
      </w:tr>
      <w:tr w:rsidR="00E04C6D" w:rsidRPr="00503F5B" w14:paraId="622F2936" w14:textId="77777777" w:rsidTr="00E04C6D">
        <w:tc>
          <w:tcPr>
            <w:tcW w:w="752" w:type="dxa"/>
            <w:shd w:val="clear" w:color="auto" w:fill="FFFFFF" w:themeFill="background1"/>
          </w:tcPr>
          <w:p w14:paraId="476706DB" w14:textId="5D131452" w:rsidR="00E04C6D" w:rsidRPr="00503F5B" w:rsidRDefault="00E04C6D" w:rsidP="00E04C6D">
            <w:pPr>
              <w:jc w:val="both"/>
              <w:rPr>
                <w:b/>
                <w:sz w:val="18"/>
                <w:szCs w:val="18"/>
              </w:rPr>
            </w:pPr>
            <w:r w:rsidRPr="00503F5B">
              <w:rPr>
                <w:b/>
                <w:sz w:val="18"/>
                <w:szCs w:val="18"/>
              </w:rPr>
              <w:t>1</w:t>
            </w:r>
            <w:r w:rsidR="00A66FB8" w:rsidRPr="00503F5B">
              <w:rPr>
                <w:b/>
                <w:sz w:val="18"/>
                <w:szCs w:val="18"/>
              </w:rPr>
              <w:t>0</w:t>
            </w:r>
          </w:p>
        </w:tc>
        <w:tc>
          <w:tcPr>
            <w:tcW w:w="1516" w:type="dxa"/>
            <w:shd w:val="clear" w:color="auto" w:fill="FFFFFF" w:themeFill="background1"/>
          </w:tcPr>
          <w:p w14:paraId="567ED7F9" w14:textId="77777777" w:rsidR="00E04C6D" w:rsidRPr="00503F5B" w:rsidRDefault="00E04C6D" w:rsidP="00E04C6D">
            <w:pPr>
              <w:rPr>
                <w:sz w:val="18"/>
                <w:szCs w:val="18"/>
              </w:rPr>
            </w:pPr>
            <w:r w:rsidRPr="00503F5B">
              <w:rPr>
                <w:sz w:val="18"/>
                <w:szCs w:val="18"/>
              </w:rPr>
              <w:t>Conditions of promotion</w:t>
            </w:r>
          </w:p>
        </w:tc>
        <w:tc>
          <w:tcPr>
            <w:tcW w:w="3861" w:type="dxa"/>
            <w:shd w:val="clear" w:color="auto" w:fill="FFFFFF" w:themeFill="background1"/>
          </w:tcPr>
          <w:p w14:paraId="5B30522F" w14:textId="77777777" w:rsidR="00E04C6D" w:rsidRPr="00503F5B" w:rsidRDefault="00E04C6D" w:rsidP="00E04C6D">
            <w:pPr>
              <w:rPr>
                <w:sz w:val="18"/>
                <w:szCs w:val="18"/>
              </w:rPr>
            </w:pPr>
            <w:r w:rsidRPr="00503F5B">
              <w:rPr>
                <w:sz w:val="18"/>
                <w:szCs w:val="18"/>
              </w:rPr>
              <w:t>Operational staff members are required to adhere to procedural requirements for promotions process</w:t>
            </w:r>
          </w:p>
        </w:tc>
        <w:tc>
          <w:tcPr>
            <w:tcW w:w="1120" w:type="dxa"/>
            <w:shd w:val="clear" w:color="auto" w:fill="FFFFFF" w:themeFill="background1"/>
          </w:tcPr>
          <w:p w14:paraId="67CDB009" w14:textId="77777777" w:rsidR="00E04C6D" w:rsidRPr="00503F5B" w:rsidRDefault="00E04C6D" w:rsidP="00E04C6D">
            <w:pPr>
              <w:jc w:val="right"/>
              <w:rPr>
                <w:sz w:val="18"/>
                <w:szCs w:val="18"/>
              </w:rPr>
            </w:pPr>
            <w:r w:rsidRPr="00503F5B">
              <w:rPr>
                <w:sz w:val="18"/>
                <w:szCs w:val="18"/>
              </w:rPr>
              <w:t>$8,726</w:t>
            </w:r>
            <w:r w:rsidRPr="00503F5B">
              <w:rPr>
                <w:rStyle w:val="FootnoteReference"/>
                <w:sz w:val="18"/>
                <w:szCs w:val="18"/>
              </w:rPr>
              <w:footnoteReference w:id="224"/>
            </w:r>
          </w:p>
        </w:tc>
        <w:tc>
          <w:tcPr>
            <w:tcW w:w="1245" w:type="dxa"/>
            <w:shd w:val="clear" w:color="auto" w:fill="FFFFFF" w:themeFill="background1"/>
          </w:tcPr>
          <w:p w14:paraId="58E736BD" w14:textId="77777777" w:rsidR="00E04C6D" w:rsidRPr="00503F5B" w:rsidRDefault="00E04C6D" w:rsidP="00E04C6D">
            <w:pPr>
              <w:jc w:val="center"/>
              <w:rPr>
                <w:sz w:val="18"/>
                <w:szCs w:val="18"/>
              </w:rPr>
            </w:pPr>
            <w:r w:rsidRPr="00503F5B">
              <w:rPr>
                <w:sz w:val="18"/>
                <w:szCs w:val="18"/>
              </w:rPr>
              <w:t>FRV</w:t>
            </w:r>
          </w:p>
          <w:p w14:paraId="392BD8F6" w14:textId="77777777" w:rsidR="00E04C6D" w:rsidRPr="00503F5B" w:rsidRDefault="00E04C6D" w:rsidP="00E04C6D">
            <w:pPr>
              <w:jc w:val="center"/>
              <w:rPr>
                <w:sz w:val="18"/>
                <w:szCs w:val="18"/>
              </w:rPr>
            </w:pPr>
            <w:r w:rsidRPr="00503F5B">
              <w:rPr>
                <w:sz w:val="18"/>
                <w:szCs w:val="18"/>
              </w:rPr>
              <w:t>operational staff member</w:t>
            </w:r>
          </w:p>
        </w:tc>
      </w:tr>
      <w:tr w:rsidR="00E04C6D" w:rsidRPr="00503F5B" w14:paraId="64D987EF" w14:textId="77777777" w:rsidTr="00E04C6D">
        <w:trPr>
          <w:trHeight w:val="277"/>
        </w:trPr>
        <w:tc>
          <w:tcPr>
            <w:tcW w:w="752" w:type="dxa"/>
            <w:shd w:val="clear" w:color="auto" w:fill="FBE4D5" w:themeFill="accent2" w:themeFillTint="33"/>
          </w:tcPr>
          <w:p w14:paraId="464CE046" w14:textId="43AA837F" w:rsidR="00E04C6D" w:rsidRPr="00503F5B" w:rsidRDefault="00E04C6D" w:rsidP="00E04C6D">
            <w:pPr>
              <w:jc w:val="both"/>
              <w:rPr>
                <w:b/>
                <w:sz w:val="18"/>
                <w:szCs w:val="18"/>
              </w:rPr>
            </w:pPr>
            <w:r w:rsidRPr="00503F5B">
              <w:rPr>
                <w:b/>
                <w:sz w:val="18"/>
                <w:szCs w:val="18"/>
              </w:rPr>
              <w:t>1</w:t>
            </w:r>
            <w:r w:rsidR="00A66FB8" w:rsidRPr="00503F5B">
              <w:rPr>
                <w:b/>
                <w:sz w:val="18"/>
                <w:szCs w:val="18"/>
              </w:rPr>
              <w:t>1</w:t>
            </w:r>
          </w:p>
        </w:tc>
        <w:tc>
          <w:tcPr>
            <w:tcW w:w="1516" w:type="dxa"/>
            <w:shd w:val="clear" w:color="auto" w:fill="FBE4D5" w:themeFill="accent2" w:themeFillTint="33"/>
          </w:tcPr>
          <w:p w14:paraId="0E44A73D" w14:textId="77777777" w:rsidR="00E04C6D" w:rsidRPr="00503F5B" w:rsidRDefault="00E04C6D" w:rsidP="00E04C6D">
            <w:pPr>
              <w:jc w:val="both"/>
              <w:rPr>
                <w:sz w:val="18"/>
                <w:szCs w:val="18"/>
              </w:rPr>
            </w:pPr>
            <w:r w:rsidRPr="00503F5B">
              <w:rPr>
                <w:sz w:val="18"/>
                <w:szCs w:val="18"/>
              </w:rPr>
              <w:t>General Orders</w:t>
            </w:r>
          </w:p>
        </w:tc>
        <w:tc>
          <w:tcPr>
            <w:tcW w:w="3861" w:type="dxa"/>
            <w:shd w:val="clear" w:color="auto" w:fill="FBE4D5" w:themeFill="accent2" w:themeFillTint="33"/>
          </w:tcPr>
          <w:p w14:paraId="7AD07F69" w14:textId="77777777" w:rsidR="00E04C6D" w:rsidRPr="00503F5B" w:rsidRDefault="00E04C6D" w:rsidP="00E04C6D">
            <w:pPr>
              <w:widowControl w:val="0"/>
              <w:autoSpaceDE w:val="0"/>
              <w:autoSpaceDN w:val="0"/>
              <w:adjustRightInd w:val="0"/>
              <w:rPr>
                <w:rFonts w:ascii="P%[ˇ" w:hAnsi="P%[ˇ" w:cs="P%[ˇ"/>
                <w:sz w:val="18"/>
                <w:szCs w:val="18"/>
              </w:rPr>
            </w:pPr>
            <w:r w:rsidRPr="00503F5B">
              <w:rPr>
                <w:rFonts w:ascii="P%[ˇ" w:hAnsi="P%[ˇ" w:cs="P%[ˇ"/>
                <w:sz w:val="18"/>
                <w:szCs w:val="18"/>
              </w:rPr>
              <w:t xml:space="preserve">The provision for recording of orders issued and making them available electronically  </w:t>
            </w:r>
          </w:p>
        </w:tc>
        <w:tc>
          <w:tcPr>
            <w:tcW w:w="1120" w:type="dxa"/>
            <w:shd w:val="clear" w:color="auto" w:fill="FBE4D5" w:themeFill="accent2" w:themeFillTint="33"/>
          </w:tcPr>
          <w:p w14:paraId="2BB4DE73" w14:textId="77777777" w:rsidR="00E04C6D" w:rsidRPr="00503F5B" w:rsidRDefault="00E04C6D" w:rsidP="00E04C6D">
            <w:pPr>
              <w:jc w:val="right"/>
              <w:rPr>
                <w:sz w:val="18"/>
                <w:szCs w:val="18"/>
              </w:rPr>
            </w:pPr>
            <w:r w:rsidRPr="00503F5B">
              <w:rPr>
                <w:sz w:val="18"/>
                <w:szCs w:val="18"/>
              </w:rPr>
              <w:t>N/A</w:t>
            </w:r>
          </w:p>
        </w:tc>
        <w:tc>
          <w:tcPr>
            <w:tcW w:w="1245" w:type="dxa"/>
            <w:shd w:val="clear" w:color="auto" w:fill="FBE4D5" w:themeFill="accent2" w:themeFillTint="33"/>
          </w:tcPr>
          <w:p w14:paraId="54C6ACA1" w14:textId="77777777" w:rsidR="00E04C6D" w:rsidRPr="00503F5B" w:rsidRDefault="00E04C6D" w:rsidP="00E04C6D">
            <w:pPr>
              <w:jc w:val="center"/>
              <w:rPr>
                <w:sz w:val="18"/>
                <w:szCs w:val="18"/>
              </w:rPr>
            </w:pPr>
            <w:r w:rsidRPr="00503F5B">
              <w:rPr>
                <w:sz w:val="18"/>
                <w:szCs w:val="18"/>
              </w:rPr>
              <w:t>N/A</w:t>
            </w:r>
          </w:p>
        </w:tc>
      </w:tr>
      <w:tr w:rsidR="00E04C6D" w:rsidRPr="00503F5B" w14:paraId="1AE43AC0" w14:textId="77777777" w:rsidTr="00E04C6D">
        <w:tc>
          <w:tcPr>
            <w:tcW w:w="752" w:type="dxa"/>
            <w:shd w:val="clear" w:color="auto" w:fill="FFFFFF" w:themeFill="background1"/>
          </w:tcPr>
          <w:p w14:paraId="0840C7CD" w14:textId="7337AFCE" w:rsidR="00E04C6D" w:rsidRPr="00503F5B" w:rsidRDefault="00E04C6D" w:rsidP="00E04C6D">
            <w:pPr>
              <w:jc w:val="both"/>
              <w:rPr>
                <w:b/>
                <w:sz w:val="18"/>
                <w:szCs w:val="18"/>
              </w:rPr>
            </w:pPr>
            <w:r w:rsidRPr="00503F5B">
              <w:rPr>
                <w:b/>
                <w:sz w:val="18"/>
                <w:szCs w:val="18"/>
              </w:rPr>
              <w:t>1</w:t>
            </w:r>
            <w:r w:rsidR="00A66FB8" w:rsidRPr="00503F5B">
              <w:rPr>
                <w:b/>
                <w:sz w:val="18"/>
                <w:szCs w:val="18"/>
              </w:rPr>
              <w:t>2</w:t>
            </w:r>
          </w:p>
        </w:tc>
        <w:tc>
          <w:tcPr>
            <w:tcW w:w="1516" w:type="dxa"/>
            <w:shd w:val="clear" w:color="auto" w:fill="FFFFFF" w:themeFill="background1"/>
          </w:tcPr>
          <w:p w14:paraId="383DAD22" w14:textId="77777777" w:rsidR="00E04C6D" w:rsidRPr="00503F5B" w:rsidRDefault="00E04C6D" w:rsidP="00E04C6D">
            <w:pPr>
              <w:rPr>
                <w:sz w:val="18"/>
                <w:szCs w:val="18"/>
              </w:rPr>
            </w:pPr>
            <w:r w:rsidRPr="00503F5B">
              <w:rPr>
                <w:sz w:val="18"/>
                <w:szCs w:val="18"/>
              </w:rPr>
              <w:t>Prohibitions on members</w:t>
            </w:r>
          </w:p>
        </w:tc>
        <w:tc>
          <w:tcPr>
            <w:tcW w:w="3861" w:type="dxa"/>
            <w:shd w:val="clear" w:color="auto" w:fill="FFFFFF" w:themeFill="background1"/>
          </w:tcPr>
          <w:p w14:paraId="3127CAE4" w14:textId="77777777" w:rsidR="00E04C6D" w:rsidRPr="00503F5B" w:rsidRDefault="00E04C6D" w:rsidP="00E04C6D">
            <w:pPr>
              <w:rPr>
                <w:sz w:val="18"/>
                <w:szCs w:val="18"/>
              </w:rPr>
            </w:pPr>
            <w:r w:rsidRPr="00503F5B">
              <w:rPr>
                <w:sz w:val="18"/>
                <w:szCs w:val="18"/>
              </w:rPr>
              <w:t xml:space="preserve">Specific prohibitions on the conduct of staff </w:t>
            </w:r>
          </w:p>
        </w:tc>
        <w:tc>
          <w:tcPr>
            <w:tcW w:w="1120" w:type="dxa"/>
            <w:shd w:val="clear" w:color="auto" w:fill="FFFFFF" w:themeFill="background1"/>
          </w:tcPr>
          <w:p w14:paraId="5E9F68FD" w14:textId="77777777" w:rsidR="00E04C6D" w:rsidRPr="00503F5B" w:rsidRDefault="00E04C6D" w:rsidP="00E04C6D">
            <w:pPr>
              <w:jc w:val="right"/>
              <w:rPr>
                <w:sz w:val="18"/>
                <w:szCs w:val="18"/>
              </w:rPr>
            </w:pPr>
            <w:r w:rsidRPr="00503F5B">
              <w:rPr>
                <w:sz w:val="18"/>
                <w:szCs w:val="18"/>
              </w:rPr>
              <w:t>N/A</w:t>
            </w:r>
          </w:p>
        </w:tc>
        <w:tc>
          <w:tcPr>
            <w:tcW w:w="1245" w:type="dxa"/>
            <w:shd w:val="clear" w:color="auto" w:fill="FFFFFF" w:themeFill="background1"/>
          </w:tcPr>
          <w:p w14:paraId="248B9BC9" w14:textId="77777777" w:rsidR="00E04C6D" w:rsidRPr="00503F5B" w:rsidRDefault="00E04C6D" w:rsidP="00E04C6D">
            <w:pPr>
              <w:jc w:val="center"/>
              <w:rPr>
                <w:sz w:val="18"/>
                <w:szCs w:val="18"/>
              </w:rPr>
            </w:pPr>
            <w:r w:rsidRPr="00503F5B">
              <w:rPr>
                <w:sz w:val="18"/>
                <w:szCs w:val="18"/>
              </w:rPr>
              <w:t>N/A</w:t>
            </w:r>
          </w:p>
        </w:tc>
      </w:tr>
      <w:tr w:rsidR="00E04C6D" w:rsidRPr="00503F5B" w14:paraId="4C12C9F1" w14:textId="77777777" w:rsidTr="00E04C6D">
        <w:tc>
          <w:tcPr>
            <w:tcW w:w="752" w:type="dxa"/>
            <w:shd w:val="clear" w:color="auto" w:fill="FBE4D5" w:themeFill="accent2" w:themeFillTint="33"/>
          </w:tcPr>
          <w:p w14:paraId="40AE8B3A" w14:textId="21C73296" w:rsidR="00E04C6D" w:rsidRPr="00503F5B" w:rsidRDefault="00E04C6D" w:rsidP="00E04C6D">
            <w:pPr>
              <w:jc w:val="both"/>
              <w:rPr>
                <w:b/>
                <w:sz w:val="18"/>
                <w:szCs w:val="18"/>
              </w:rPr>
            </w:pPr>
            <w:r w:rsidRPr="00503F5B">
              <w:rPr>
                <w:b/>
                <w:sz w:val="18"/>
                <w:szCs w:val="18"/>
              </w:rPr>
              <w:t>1</w:t>
            </w:r>
            <w:r w:rsidR="00A66FB8" w:rsidRPr="00503F5B">
              <w:rPr>
                <w:b/>
                <w:sz w:val="18"/>
                <w:szCs w:val="18"/>
              </w:rPr>
              <w:t>3</w:t>
            </w:r>
          </w:p>
        </w:tc>
        <w:tc>
          <w:tcPr>
            <w:tcW w:w="1516" w:type="dxa"/>
            <w:shd w:val="clear" w:color="auto" w:fill="FBE4D5" w:themeFill="accent2" w:themeFillTint="33"/>
          </w:tcPr>
          <w:p w14:paraId="032001BF" w14:textId="77777777" w:rsidR="00E04C6D" w:rsidRPr="00503F5B" w:rsidRDefault="00E04C6D" w:rsidP="00E04C6D">
            <w:pPr>
              <w:rPr>
                <w:sz w:val="18"/>
                <w:szCs w:val="18"/>
              </w:rPr>
            </w:pPr>
            <w:r w:rsidRPr="00503F5B">
              <w:rPr>
                <w:sz w:val="18"/>
                <w:szCs w:val="18"/>
              </w:rPr>
              <w:t>Charges for offences</w:t>
            </w:r>
          </w:p>
        </w:tc>
        <w:tc>
          <w:tcPr>
            <w:tcW w:w="3861" w:type="dxa"/>
            <w:shd w:val="clear" w:color="auto" w:fill="FBE4D5" w:themeFill="accent2" w:themeFillTint="33"/>
          </w:tcPr>
          <w:p w14:paraId="7DEFAF69" w14:textId="77777777" w:rsidR="00E04C6D" w:rsidRPr="00503F5B" w:rsidRDefault="00E04C6D" w:rsidP="00E04C6D">
            <w:pPr>
              <w:rPr>
                <w:sz w:val="18"/>
                <w:szCs w:val="18"/>
              </w:rPr>
            </w:pPr>
            <w:r w:rsidRPr="00503F5B">
              <w:rPr>
                <w:sz w:val="18"/>
                <w:szCs w:val="18"/>
              </w:rPr>
              <w:t xml:space="preserve">Set out procedures in relation to charges laid for offences under the Act </w:t>
            </w:r>
          </w:p>
        </w:tc>
        <w:tc>
          <w:tcPr>
            <w:tcW w:w="1120" w:type="dxa"/>
            <w:shd w:val="clear" w:color="auto" w:fill="FBE4D5" w:themeFill="accent2" w:themeFillTint="33"/>
          </w:tcPr>
          <w:p w14:paraId="6F2943BC" w14:textId="77777777" w:rsidR="00E04C6D" w:rsidRPr="00503F5B" w:rsidRDefault="00E04C6D" w:rsidP="00E04C6D">
            <w:pPr>
              <w:jc w:val="right"/>
              <w:rPr>
                <w:sz w:val="18"/>
                <w:szCs w:val="18"/>
              </w:rPr>
            </w:pPr>
            <w:r w:rsidRPr="00503F5B">
              <w:rPr>
                <w:sz w:val="18"/>
                <w:szCs w:val="18"/>
              </w:rPr>
              <w:t>N/A</w:t>
            </w:r>
          </w:p>
        </w:tc>
        <w:tc>
          <w:tcPr>
            <w:tcW w:w="1245" w:type="dxa"/>
            <w:shd w:val="clear" w:color="auto" w:fill="FBE4D5" w:themeFill="accent2" w:themeFillTint="33"/>
          </w:tcPr>
          <w:p w14:paraId="1D186621" w14:textId="77777777" w:rsidR="00E04C6D" w:rsidRPr="00503F5B" w:rsidRDefault="00E04C6D" w:rsidP="00E04C6D">
            <w:pPr>
              <w:jc w:val="center"/>
              <w:rPr>
                <w:sz w:val="18"/>
                <w:szCs w:val="18"/>
              </w:rPr>
            </w:pPr>
            <w:r w:rsidRPr="00503F5B">
              <w:rPr>
                <w:sz w:val="18"/>
                <w:szCs w:val="18"/>
              </w:rPr>
              <w:t>N/A</w:t>
            </w:r>
          </w:p>
        </w:tc>
      </w:tr>
      <w:tr w:rsidR="00E04C6D" w:rsidRPr="00503F5B" w14:paraId="189B6D35" w14:textId="77777777" w:rsidTr="00E04C6D">
        <w:tc>
          <w:tcPr>
            <w:tcW w:w="752" w:type="dxa"/>
            <w:shd w:val="clear" w:color="auto" w:fill="FFFFFF" w:themeFill="background1"/>
          </w:tcPr>
          <w:p w14:paraId="07DA071C" w14:textId="0AFE5D25" w:rsidR="00E04C6D" w:rsidRPr="00503F5B" w:rsidRDefault="00E04C6D" w:rsidP="00E04C6D">
            <w:pPr>
              <w:jc w:val="both"/>
              <w:rPr>
                <w:b/>
                <w:sz w:val="18"/>
                <w:szCs w:val="18"/>
              </w:rPr>
            </w:pPr>
            <w:r w:rsidRPr="00503F5B">
              <w:rPr>
                <w:b/>
                <w:sz w:val="18"/>
                <w:szCs w:val="18"/>
              </w:rPr>
              <w:t>1</w:t>
            </w:r>
            <w:r w:rsidR="00A66FB8" w:rsidRPr="00503F5B">
              <w:rPr>
                <w:b/>
                <w:sz w:val="18"/>
                <w:szCs w:val="18"/>
              </w:rPr>
              <w:t>4</w:t>
            </w:r>
            <w:r w:rsidRPr="00503F5B">
              <w:rPr>
                <w:b/>
                <w:sz w:val="18"/>
                <w:szCs w:val="18"/>
              </w:rPr>
              <w:t xml:space="preserve"> &amp;1</w:t>
            </w:r>
            <w:r w:rsidR="00A66FB8" w:rsidRPr="00503F5B">
              <w:rPr>
                <w:b/>
                <w:sz w:val="18"/>
                <w:szCs w:val="18"/>
              </w:rPr>
              <w:t>5</w:t>
            </w:r>
          </w:p>
        </w:tc>
        <w:tc>
          <w:tcPr>
            <w:tcW w:w="1516" w:type="dxa"/>
            <w:shd w:val="clear" w:color="auto" w:fill="FFFFFF" w:themeFill="background1"/>
          </w:tcPr>
          <w:p w14:paraId="524F6781" w14:textId="77777777" w:rsidR="00E04C6D" w:rsidRPr="00503F5B" w:rsidRDefault="00E04C6D" w:rsidP="00E04C6D">
            <w:pPr>
              <w:jc w:val="both"/>
              <w:rPr>
                <w:sz w:val="18"/>
                <w:szCs w:val="18"/>
              </w:rPr>
            </w:pPr>
            <w:r w:rsidRPr="00503F5B">
              <w:rPr>
                <w:sz w:val="18"/>
                <w:szCs w:val="18"/>
              </w:rPr>
              <w:t>Appeals</w:t>
            </w:r>
          </w:p>
        </w:tc>
        <w:tc>
          <w:tcPr>
            <w:tcW w:w="3861" w:type="dxa"/>
            <w:shd w:val="clear" w:color="auto" w:fill="FFFFFF" w:themeFill="background1"/>
          </w:tcPr>
          <w:p w14:paraId="4B42B1C1" w14:textId="77777777" w:rsidR="00E04C6D" w:rsidRPr="00503F5B" w:rsidRDefault="00E04C6D" w:rsidP="00E04C6D">
            <w:pPr>
              <w:rPr>
                <w:sz w:val="18"/>
                <w:szCs w:val="18"/>
              </w:rPr>
            </w:pPr>
            <w:r w:rsidRPr="00503F5B">
              <w:rPr>
                <w:sz w:val="18"/>
                <w:szCs w:val="18"/>
              </w:rPr>
              <w:t xml:space="preserve">All information relevant to the appeal must be provided by the appellant. Appellant to be given a minimum of 14 days’ notice of a hearing being scheduled </w:t>
            </w:r>
          </w:p>
        </w:tc>
        <w:tc>
          <w:tcPr>
            <w:tcW w:w="1120" w:type="dxa"/>
            <w:shd w:val="clear" w:color="auto" w:fill="FFFFFF" w:themeFill="background1"/>
          </w:tcPr>
          <w:p w14:paraId="58AA168C" w14:textId="77777777" w:rsidR="00E04C6D" w:rsidRPr="00503F5B" w:rsidRDefault="00E04C6D" w:rsidP="00E04C6D">
            <w:pPr>
              <w:jc w:val="right"/>
              <w:rPr>
                <w:sz w:val="18"/>
                <w:szCs w:val="18"/>
              </w:rPr>
            </w:pPr>
            <w:r w:rsidRPr="00503F5B">
              <w:rPr>
                <w:sz w:val="18"/>
                <w:szCs w:val="18"/>
              </w:rPr>
              <w:t>N/A</w:t>
            </w:r>
          </w:p>
        </w:tc>
        <w:tc>
          <w:tcPr>
            <w:tcW w:w="1245" w:type="dxa"/>
            <w:shd w:val="clear" w:color="auto" w:fill="FFFFFF" w:themeFill="background1"/>
          </w:tcPr>
          <w:p w14:paraId="102FE61C" w14:textId="77777777" w:rsidR="00E04C6D" w:rsidRPr="00503F5B" w:rsidRDefault="00E04C6D" w:rsidP="00E04C6D">
            <w:pPr>
              <w:jc w:val="center"/>
              <w:rPr>
                <w:sz w:val="18"/>
                <w:szCs w:val="18"/>
              </w:rPr>
            </w:pPr>
            <w:r w:rsidRPr="00503F5B">
              <w:rPr>
                <w:sz w:val="18"/>
                <w:szCs w:val="18"/>
              </w:rPr>
              <w:t>N/A</w:t>
            </w:r>
          </w:p>
        </w:tc>
      </w:tr>
      <w:tr w:rsidR="00E04C6D" w:rsidRPr="00503F5B" w14:paraId="653DA62C" w14:textId="77777777" w:rsidTr="00E04C6D">
        <w:tc>
          <w:tcPr>
            <w:tcW w:w="752" w:type="dxa"/>
            <w:shd w:val="clear" w:color="auto" w:fill="FBE4D5" w:themeFill="accent2" w:themeFillTint="33"/>
          </w:tcPr>
          <w:p w14:paraId="1DB9441A" w14:textId="74959D5A" w:rsidR="00E04C6D" w:rsidRPr="00503F5B" w:rsidRDefault="00E04C6D" w:rsidP="00E04C6D">
            <w:pPr>
              <w:jc w:val="both"/>
              <w:rPr>
                <w:b/>
                <w:sz w:val="18"/>
                <w:szCs w:val="18"/>
              </w:rPr>
            </w:pPr>
            <w:r w:rsidRPr="00503F5B">
              <w:rPr>
                <w:b/>
                <w:sz w:val="18"/>
                <w:szCs w:val="18"/>
              </w:rPr>
              <w:t>1</w:t>
            </w:r>
            <w:r w:rsidR="00A66FB8" w:rsidRPr="00503F5B">
              <w:rPr>
                <w:b/>
                <w:sz w:val="18"/>
                <w:szCs w:val="18"/>
              </w:rPr>
              <w:t>6</w:t>
            </w:r>
          </w:p>
        </w:tc>
        <w:tc>
          <w:tcPr>
            <w:tcW w:w="1516" w:type="dxa"/>
            <w:shd w:val="clear" w:color="auto" w:fill="FBE4D5" w:themeFill="accent2" w:themeFillTint="33"/>
          </w:tcPr>
          <w:p w14:paraId="6776559C" w14:textId="77777777" w:rsidR="00E04C6D" w:rsidRPr="00503F5B" w:rsidRDefault="00E04C6D" w:rsidP="00E04C6D">
            <w:pPr>
              <w:rPr>
                <w:sz w:val="18"/>
                <w:szCs w:val="18"/>
              </w:rPr>
            </w:pPr>
            <w:r w:rsidRPr="00503F5B">
              <w:rPr>
                <w:sz w:val="18"/>
                <w:szCs w:val="18"/>
              </w:rPr>
              <w:t>Register to be kept</w:t>
            </w:r>
          </w:p>
        </w:tc>
        <w:tc>
          <w:tcPr>
            <w:tcW w:w="3861" w:type="dxa"/>
            <w:shd w:val="clear" w:color="auto" w:fill="FBE4D5" w:themeFill="accent2" w:themeFillTint="33"/>
          </w:tcPr>
          <w:p w14:paraId="41BF3C68" w14:textId="77777777" w:rsidR="00E04C6D" w:rsidRPr="00503F5B" w:rsidRDefault="00E04C6D" w:rsidP="00E04C6D">
            <w:pPr>
              <w:widowControl w:val="0"/>
              <w:autoSpaceDE w:val="0"/>
              <w:autoSpaceDN w:val="0"/>
              <w:adjustRightInd w:val="0"/>
              <w:rPr>
                <w:rFonts w:cs="P%[ˇ"/>
                <w:sz w:val="18"/>
                <w:szCs w:val="18"/>
              </w:rPr>
            </w:pPr>
            <w:r w:rsidRPr="00503F5B">
              <w:rPr>
                <w:rFonts w:cs="P%[ˇ"/>
                <w:sz w:val="18"/>
                <w:szCs w:val="18"/>
              </w:rPr>
              <w:t xml:space="preserve">Requiring the Commission to keep a register of each appeal in which every entry must be signed </w:t>
            </w:r>
          </w:p>
        </w:tc>
        <w:tc>
          <w:tcPr>
            <w:tcW w:w="1120" w:type="dxa"/>
            <w:shd w:val="clear" w:color="auto" w:fill="FBE4D5" w:themeFill="accent2" w:themeFillTint="33"/>
          </w:tcPr>
          <w:p w14:paraId="607D297C" w14:textId="77777777" w:rsidR="00E04C6D" w:rsidRPr="00503F5B" w:rsidRDefault="00E04C6D" w:rsidP="00E04C6D">
            <w:pPr>
              <w:jc w:val="right"/>
              <w:rPr>
                <w:sz w:val="18"/>
                <w:szCs w:val="18"/>
              </w:rPr>
            </w:pPr>
            <w:r w:rsidRPr="00503F5B">
              <w:rPr>
                <w:sz w:val="18"/>
                <w:szCs w:val="18"/>
              </w:rPr>
              <w:t>N/A</w:t>
            </w:r>
          </w:p>
        </w:tc>
        <w:tc>
          <w:tcPr>
            <w:tcW w:w="1245" w:type="dxa"/>
            <w:shd w:val="clear" w:color="auto" w:fill="FBE4D5" w:themeFill="accent2" w:themeFillTint="33"/>
          </w:tcPr>
          <w:p w14:paraId="3CAD73BB" w14:textId="77777777" w:rsidR="00E04C6D" w:rsidRPr="00503F5B" w:rsidRDefault="00E04C6D" w:rsidP="00E04C6D">
            <w:pPr>
              <w:jc w:val="center"/>
              <w:rPr>
                <w:sz w:val="18"/>
                <w:szCs w:val="18"/>
              </w:rPr>
            </w:pPr>
            <w:r w:rsidRPr="00503F5B">
              <w:rPr>
                <w:sz w:val="18"/>
                <w:szCs w:val="18"/>
              </w:rPr>
              <w:t>N/A</w:t>
            </w:r>
          </w:p>
        </w:tc>
      </w:tr>
      <w:tr w:rsidR="00E04C6D" w:rsidRPr="00503F5B" w14:paraId="3A913059" w14:textId="77777777" w:rsidTr="00E04C6D">
        <w:tc>
          <w:tcPr>
            <w:tcW w:w="752" w:type="dxa"/>
            <w:shd w:val="clear" w:color="auto" w:fill="FFFFFF" w:themeFill="background1"/>
          </w:tcPr>
          <w:p w14:paraId="091CCCA4" w14:textId="01FF6CAB" w:rsidR="00E04C6D" w:rsidRPr="00503F5B" w:rsidRDefault="00E04C6D" w:rsidP="00E04C6D">
            <w:pPr>
              <w:jc w:val="both"/>
              <w:rPr>
                <w:b/>
                <w:sz w:val="18"/>
                <w:szCs w:val="18"/>
              </w:rPr>
            </w:pPr>
            <w:r w:rsidRPr="00503F5B">
              <w:rPr>
                <w:b/>
                <w:sz w:val="18"/>
                <w:szCs w:val="18"/>
              </w:rPr>
              <w:t>2</w:t>
            </w:r>
            <w:r w:rsidR="00A66FB8" w:rsidRPr="00503F5B">
              <w:rPr>
                <w:b/>
                <w:sz w:val="18"/>
                <w:szCs w:val="18"/>
              </w:rPr>
              <w:t>2</w:t>
            </w:r>
          </w:p>
        </w:tc>
        <w:tc>
          <w:tcPr>
            <w:tcW w:w="1516" w:type="dxa"/>
            <w:shd w:val="clear" w:color="auto" w:fill="FFFFFF" w:themeFill="background1"/>
          </w:tcPr>
          <w:p w14:paraId="30E35D36" w14:textId="77777777" w:rsidR="00E04C6D" w:rsidRPr="00503F5B" w:rsidRDefault="00E04C6D" w:rsidP="00E04C6D">
            <w:pPr>
              <w:rPr>
                <w:sz w:val="18"/>
                <w:szCs w:val="18"/>
              </w:rPr>
            </w:pPr>
            <w:r w:rsidRPr="00503F5B">
              <w:rPr>
                <w:sz w:val="18"/>
                <w:szCs w:val="18"/>
              </w:rPr>
              <w:t>Fire prevention notices</w:t>
            </w:r>
          </w:p>
        </w:tc>
        <w:tc>
          <w:tcPr>
            <w:tcW w:w="3861" w:type="dxa"/>
            <w:shd w:val="clear" w:color="auto" w:fill="FFFFFF" w:themeFill="background1"/>
          </w:tcPr>
          <w:p w14:paraId="1D7BABD9" w14:textId="77777777" w:rsidR="00E04C6D" w:rsidRPr="00503F5B" w:rsidRDefault="00E04C6D" w:rsidP="00E04C6D">
            <w:pPr>
              <w:widowControl w:val="0"/>
              <w:autoSpaceDE w:val="0"/>
              <w:autoSpaceDN w:val="0"/>
              <w:adjustRightInd w:val="0"/>
              <w:rPr>
                <w:rFonts w:cs="P%[ˇ"/>
                <w:sz w:val="18"/>
                <w:szCs w:val="18"/>
              </w:rPr>
            </w:pPr>
            <w:r w:rsidRPr="00503F5B">
              <w:rPr>
                <w:rFonts w:cs="P%[ˇ"/>
                <w:sz w:val="18"/>
                <w:szCs w:val="18"/>
              </w:rPr>
              <w:t>Prescribes the form of a fire prevention notice and the form to be published in a newspaper where the owner of the property or their whereabouts is unknown</w:t>
            </w:r>
          </w:p>
        </w:tc>
        <w:tc>
          <w:tcPr>
            <w:tcW w:w="1120" w:type="dxa"/>
            <w:shd w:val="clear" w:color="auto" w:fill="FFFFFF" w:themeFill="background1"/>
          </w:tcPr>
          <w:p w14:paraId="2C7C6565" w14:textId="77777777" w:rsidR="00E04C6D" w:rsidRPr="00503F5B" w:rsidRDefault="00E04C6D" w:rsidP="00E04C6D">
            <w:pPr>
              <w:jc w:val="right"/>
              <w:rPr>
                <w:sz w:val="18"/>
                <w:szCs w:val="18"/>
              </w:rPr>
            </w:pPr>
            <w:r w:rsidRPr="00503F5B">
              <w:rPr>
                <w:sz w:val="18"/>
                <w:szCs w:val="18"/>
              </w:rPr>
              <w:t>N/A</w:t>
            </w:r>
          </w:p>
        </w:tc>
        <w:tc>
          <w:tcPr>
            <w:tcW w:w="1245" w:type="dxa"/>
            <w:shd w:val="clear" w:color="auto" w:fill="FFFFFF" w:themeFill="background1"/>
          </w:tcPr>
          <w:p w14:paraId="3B4AAB0F" w14:textId="77777777" w:rsidR="00E04C6D" w:rsidRPr="00503F5B" w:rsidRDefault="00E04C6D" w:rsidP="00E04C6D">
            <w:pPr>
              <w:jc w:val="center"/>
              <w:rPr>
                <w:sz w:val="18"/>
                <w:szCs w:val="18"/>
              </w:rPr>
            </w:pPr>
            <w:r w:rsidRPr="00503F5B">
              <w:rPr>
                <w:sz w:val="18"/>
                <w:szCs w:val="18"/>
              </w:rPr>
              <w:t>N/A</w:t>
            </w:r>
          </w:p>
        </w:tc>
      </w:tr>
      <w:tr w:rsidR="00E04C6D" w:rsidRPr="00503F5B" w14:paraId="24EA270C" w14:textId="77777777" w:rsidTr="00E04C6D">
        <w:tc>
          <w:tcPr>
            <w:tcW w:w="752" w:type="dxa"/>
            <w:shd w:val="clear" w:color="auto" w:fill="FBE4D5" w:themeFill="accent2" w:themeFillTint="33"/>
          </w:tcPr>
          <w:p w14:paraId="6EF88E43" w14:textId="791E2698" w:rsidR="00E04C6D" w:rsidRPr="00503F5B" w:rsidRDefault="00E04C6D" w:rsidP="00E04C6D">
            <w:pPr>
              <w:rPr>
                <w:b/>
                <w:sz w:val="18"/>
                <w:szCs w:val="18"/>
              </w:rPr>
            </w:pPr>
            <w:r w:rsidRPr="00503F5B">
              <w:rPr>
                <w:b/>
                <w:sz w:val="18"/>
                <w:szCs w:val="18"/>
              </w:rPr>
              <w:t>2</w:t>
            </w:r>
            <w:r w:rsidR="00A66FB8" w:rsidRPr="00503F5B">
              <w:rPr>
                <w:b/>
                <w:sz w:val="18"/>
                <w:szCs w:val="18"/>
              </w:rPr>
              <w:t>3</w:t>
            </w:r>
            <w:r w:rsidRPr="00503F5B">
              <w:rPr>
                <w:b/>
                <w:sz w:val="18"/>
                <w:szCs w:val="18"/>
              </w:rPr>
              <w:t xml:space="preserve"> to </w:t>
            </w:r>
            <w:r w:rsidR="00A66FB8" w:rsidRPr="00503F5B">
              <w:rPr>
                <w:b/>
                <w:sz w:val="18"/>
                <w:szCs w:val="18"/>
              </w:rPr>
              <w:t>29</w:t>
            </w:r>
          </w:p>
        </w:tc>
        <w:tc>
          <w:tcPr>
            <w:tcW w:w="1516" w:type="dxa"/>
            <w:shd w:val="clear" w:color="auto" w:fill="FBE4D5" w:themeFill="accent2" w:themeFillTint="33"/>
          </w:tcPr>
          <w:p w14:paraId="50768890" w14:textId="77777777" w:rsidR="00E04C6D" w:rsidRPr="00503F5B" w:rsidRDefault="00E04C6D" w:rsidP="00E04C6D">
            <w:pPr>
              <w:rPr>
                <w:sz w:val="18"/>
                <w:szCs w:val="18"/>
              </w:rPr>
            </w:pPr>
            <w:r w:rsidRPr="00503F5B">
              <w:rPr>
                <w:sz w:val="18"/>
                <w:szCs w:val="18"/>
              </w:rPr>
              <w:t>Alarm monitoring information</w:t>
            </w:r>
          </w:p>
        </w:tc>
        <w:tc>
          <w:tcPr>
            <w:tcW w:w="3861" w:type="dxa"/>
            <w:shd w:val="clear" w:color="auto" w:fill="FBE4D5" w:themeFill="accent2" w:themeFillTint="33"/>
          </w:tcPr>
          <w:p w14:paraId="6E61EFA0" w14:textId="77777777" w:rsidR="00E04C6D" w:rsidRPr="00503F5B" w:rsidRDefault="00E04C6D" w:rsidP="00E04C6D">
            <w:pPr>
              <w:widowControl w:val="0"/>
              <w:autoSpaceDE w:val="0"/>
              <w:autoSpaceDN w:val="0"/>
              <w:adjustRightInd w:val="0"/>
              <w:rPr>
                <w:rFonts w:cs="P%[ˇ"/>
                <w:sz w:val="18"/>
                <w:szCs w:val="18"/>
              </w:rPr>
            </w:pPr>
            <w:r w:rsidRPr="00503F5B">
              <w:rPr>
                <w:rFonts w:cs="P%[ˇ"/>
                <w:sz w:val="18"/>
                <w:szCs w:val="18"/>
              </w:rPr>
              <w:t>Information that a person who conducts a fire alarm monitoring service must provide, on written notice, to the fire services, and the prescribed timeframes for providing such information, in the case of an alarm pre-connection, connection, modification and disconnection, and for verification purposes.</w:t>
            </w:r>
          </w:p>
        </w:tc>
        <w:tc>
          <w:tcPr>
            <w:tcW w:w="1120" w:type="dxa"/>
            <w:shd w:val="clear" w:color="auto" w:fill="FBE4D5" w:themeFill="accent2" w:themeFillTint="33"/>
          </w:tcPr>
          <w:p w14:paraId="3E32BBDF" w14:textId="77777777" w:rsidR="00E04C6D" w:rsidRPr="00503F5B" w:rsidRDefault="00E04C6D" w:rsidP="00E04C6D">
            <w:pPr>
              <w:jc w:val="right"/>
              <w:rPr>
                <w:sz w:val="18"/>
                <w:szCs w:val="18"/>
              </w:rPr>
            </w:pPr>
            <w:r w:rsidRPr="00503F5B">
              <w:rPr>
                <w:sz w:val="18"/>
                <w:szCs w:val="18"/>
              </w:rPr>
              <w:t>N/A</w:t>
            </w:r>
          </w:p>
        </w:tc>
        <w:tc>
          <w:tcPr>
            <w:tcW w:w="1245" w:type="dxa"/>
            <w:shd w:val="clear" w:color="auto" w:fill="FBE4D5" w:themeFill="accent2" w:themeFillTint="33"/>
          </w:tcPr>
          <w:p w14:paraId="3B5E1F79" w14:textId="77777777" w:rsidR="00E04C6D" w:rsidRPr="00503F5B" w:rsidRDefault="00E04C6D" w:rsidP="00E04C6D">
            <w:pPr>
              <w:jc w:val="center"/>
              <w:rPr>
                <w:sz w:val="18"/>
                <w:szCs w:val="18"/>
              </w:rPr>
            </w:pPr>
            <w:r w:rsidRPr="00503F5B">
              <w:rPr>
                <w:sz w:val="18"/>
                <w:szCs w:val="18"/>
              </w:rPr>
              <w:t>N/A</w:t>
            </w:r>
          </w:p>
        </w:tc>
      </w:tr>
      <w:tr w:rsidR="00E04C6D" w:rsidRPr="00503F5B" w14:paraId="2D2AF746" w14:textId="77777777" w:rsidTr="00E04C6D">
        <w:tc>
          <w:tcPr>
            <w:tcW w:w="6129" w:type="dxa"/>
            <w:gridSpan w:val="3"/>
            <w:tcBorders>
              <w:top w:val="single" w:sz="4" w:space="0" w:color="ED7C5D"/>
              <w:bottom w:val="single" w:sz="4" w:space="0" w:color="ED7C5D"/>
            </w:tcBorders>
          </w:tcPr>
          <w:p w14:paraId="45E8B2C7" w14:textId="77777777" w:rsidR="00E04C6D" w:rsidRPr="00503F5B" w:rsidRDefault="00E04C6D" w:rsidP="00E04C6D">
            <w:pPr>
              <w:widowControl w:val="0"/>
              <w:autoSpaceDE w:val="0"/>
              <w:autoSpaceDN w:val="0"/>
              <w:adjustRightInd w:val="0"/>
              <w:rPr>
                <w:rFonts w:cs="P%[ˇ"/>
                <w:b/>
                <w:sz w:val="18"/>
                <w:szCs w:val="18"/>
              </w:rPr>
            </w:pPr>
            <w:r w:rsidRPr="00503F5B">
              <w:rPr>
                <w:b/>
                <w:sz w:val="18"/>
                <w:szCs w:val="18"/>
              </w:rPr>
              <w:t>Total annual cost</w:t>
            </w:r>
          </w:p>
        </w:tc>
        <w:tc>
          <w:tcPr>
            <w:tcW w:w="1120" w:type="dxa"/>
            <w:tcBorders>
              <w:top w:val="single" w:sz="4" w:space="0" w:color="ED7C5D"/>
              <w:bottom w:val="single" w:sz="4" w:space="0" w:color="ED7C5D"/>
            </w:tcBorders>
          </w:tcPr>
          <w:p w14:paraId="0B1F57B6" w14:textId="77777777" w:rsidR="00E04C6D" w:rsidRPr="00503F5B" w:rsidRDefault="00E04C6D" w:rsidP="00E04C6D">
            <w:pPr>
              <w:jc w:val="right"/>
              <w:rPr>
                <w:b/>
                <w:sz w:val="18"/>
                <w:szCs w:val="18"/>
              </w:rPr>
            </w:pPr>
            <w:r w:rsidRPr="00503F5B">
              <w:rPr>
                <w:b/>
                <w:sz w:val="18"/>
                <w:szCs w:val="18"/>
              </w:rPr>
              <w:t>$154,742</w:t>
            </w:r>
          </w:p>
        </w:tc>
        <w:tc>
          <w:tcPr>
            <w:tcW w:w="1245" w:type="dxa"/>
            <w:tcBorders>
              <w:top w:val="single" w:sz="4" w:space="0" w:color="ED7C5D"/>
              <w:bottom w:val="single" w:sz="4" w:space="0" w:color="ED7C5D"/>
            </w:tcBorders>
          </w:tcPr>
          <w:p w14:paraId="4C74854F" w14:textId="77777777" w:rsidR="00E04C6D" w:rsidRPr="00503F5B" w:rsidRDefault="00E04C6D" w:rsidP="00E04C6D">
            <w:pPr>
              <w:jc w:val="both"/>
              <w:rPr>
                <w:b/>
                <w:sz w:val="18"/>
                <w:szCs w:val="18"/>
              </w:rPr>
            </w:pPr>
          </w:p>
        </w:tc>
      </w:tr>
      <w:tr w:rsidR="00E04C6D" w:rsidRPr="00503F5B" w14:paraId="283BD4D0" w14:textId="77777777" w:rsidTr="00E04C6D">
        <w:trPr>
          <w:trHeight w:val="193"/>
        </w:trPr>
        <w:tc>
          <w:tcPr>
            <w:tcW w:w="6129" w:type="dxa"/>
            <w:gridSpan w:val="3"/>
            <w:tcBorders>
              <w:top w:val="single" w:sz="4" w:space="0" w:color="ED7C5D"/>
              <w:bottom w:val="single" w:sz="4" w:space="0" w:color="ED7C5D"/>
            </w:tcBorders>
          </w:tcPr>
          <w:p w14:paraId="645D0E85" w14:textId="77777777" w:rsidR="00E04C6D" w:rsidRPr="00503F5B" w:rsidRDefault="00E04C6D" w:rsidP="00E04C6D">
            <w:pPr>
              <w:widowControl w:val="0"/>
              <w:autoSpaceDE w:val="0"/>
              <w:autoSpaceDN w:val="0"/>
              <w:adjustRightInd w:val="0"/>
              <w:rPr>
                <w:b/>
                <w:i/>
                <w:sz w:val="18"/>
                <w:szCs w:val="18"/>
              </w:rPr>
            </w:pPr>
            <w:r w:rsidRPr="00503F5B">
              <w:rPr>
                <w:b/>
                <w:i/>
                <w:sz w:val="18"/>
                <w:szCs w:val="18"/>
              </w:rPr>
              <w:t>Total 10-year present value</w:t>
            </w:r>
            <w:r w:rsidRPr="00503F5B">
              <w:rPr>
                <w:rStyle w:val="FootnoteReference"/>
                <w:b/>
                <w:i/>
                <w:sz w:val="18"/>
                <w:szCs w:val="18"/>
              </w:rPr>
              <w:footnoteReference w:id="225"/>
            </w:r>
            <w:r w:rsidRPr="00503F5B">
              <w:rPr>
                <w:b/>
                <w:i/>
                <w:sz w:val="18"/>
                <w:szCs w:val="18"/>
              </w:rPr>
              <w:t xml:space="preserve"> cost</w:t>
            </w:r>
          </w:p>
        </w:tc>
        <w:tc>
          <w:tcPr>
            <w:tcW w:w="1120" w:type="dxa"/>
            <w:tcBorders>
              <w:top w:val="single" w:sz="4" w:space="0" w:color="ED7C5D"/>
              <w:bottom w:val="single" w:sz="4" w:space="0" w:color="ED7C5D"/>
            </w:tcBorders>
          </w:tcPr>
          <w:p w14:paraId="6102F934" w14:textId="77777777" w:rsidR="00E04C6D" w:rsidRPr="00503F5B" w:rsidRDefault="00E04C6D" w:rsidP="00E04C6D">
            <w:pPr>
              <w:jc w:val="right"/>
              <w:rPr>
                <w:b/>
                <w:i/>
                <w:sz w:val="18"/>
                <w:szCs w:val="18"/>
              </w:rPr>
            </w:pPr>
            <w:r w:rsidRPr="00503F5B">
              <w:rPr>
                <w:b/>
                <w:i/>
                <w:sz w:val="18"/>
                <w:szCs w:val="18"/>
              </w:rPr>
              <w:t>$1,409,842</w:t>
            </w:r>
          </w:p>
        </w:tc>
        <w:tc>
          <w:tcPr>
            <w:tcW w:w="1245" w:type="dxa"/>
            <w:tcBorders>
              <w:top w:val="single" w:sz="4" w:space="0" w:color="ED7C5D"/>
              <w:bottom w:val="single" w:sz="4" w:space="0" w:color="ED7C5D"/>
            </w:tcBorders>
          </w:tcPr>
          <w:p w14:paraId="4A1F2784" w14:textId="77777777" w:rsidR="00E04C6D" w:rsidRPr="00503F5B" w:rsidRDefault="00E04C6D" w:rsidP="00E04C6D">
            <w:pPr>
              <w:jc w:val="both"/>
              <w:rPr>
                <w:b/>
                <w:i/>
                <w:sz w:val="18"/>
                <w:szCs w:val="18"/>
              </w:rPr>
            </w:pPr>
          </w:p>
        </w:tc>
      </w:tr>
    </w:tbl>
    <w:p w14:paraId="1A5FEB95" w14:textId="77777777" w:rsidR="00E04C6D" w:rsidRPr="00503F5B" w:rsidRDefault="00E04C6D" w:rsidP="00E04C6D">
      <w:pPr>
        <w:jc w:val="both"/>
      </w:pPr>
    </w:p>
    <w:p w14:paraId="6CDD798F" w14:textId="77777777" w:rsidR="00E04C6D" w:rsidRPr="00503F5B" w:rsidRDefault="00E04C6D" w:rsidP="00E04C6D">
      <w:r w:rsidRPr="00503F5B">
        <w:br w:type="page"/>
      </w:r>
    </w:p>
    <w:p w14:paraId="078D5944" w14:textId="77777777" w:rsidR="00E04C6D" w:rsidRPr="00503F5B" w:rsidRDefault="00E04C6D" w:rsidP="00E04C6D">
      <w:pPr>
        <w:jc w:val="both"/>
      </w:pPr>
    </w:p>
    <w:p w14:paraId="3AF46AF5" w14:textId="2A7450E8" w:rsidR="00E04C6D" w:rsidRPr="00503F5B" w:rsidRDefault="00E04C6D" w:rsidP="0080683B">
      <w:pPr>
        <w:pStyle w:val="Heading1"/>
      </w:pPr>
      <w:bookmarkStart w:id="353" w:name="_Toc457772577"/>
      <w:bookmarkStart w:id="354" w:name="_Toc35804191"/>
      <w:bookmarkStart w:id="355" w:name="_Toc35804685"/>
      <w:bookmarkStart w:id="356" w:name="_Toc35812729"/>
      <w:r w:rsidRPr="00503F5B">
        <w:t xml:space="preserve">Appendix 5 – </w:t>
      </w:r>
      <w:bookmarkStart w:id="357" w:name="_Toc457772578"/>
      <w:bookmarkEnd w:id="353"/>
      <w:r w:rsidR="00CA2D91" w:rsidRPr="00503F5B">
        <w:t>Annual c</w:t>
      </w:r>
      <w:r w:rsidR="00F542F1" w:rsidRPr="00503F5B">
        <w:t>ost estimate of fire protection services</w:t>
      </w:r>
      <w:bookmarkEnd w:id="354"/>
      <w:bookmarkEnd w:id="355"/>
      <w:bookmarkEnd w:id="356"/>
    </w:p>
    <w:p w14:paraId="653F167B" w14:textId="28F4FEA2" w:rsidR="005203C3" w:rsidRPr="00503F5B" w:rsidRDefault="00E60817" w:rsidP="005203C3">
      <w:r w:rsidRPr="00503F5B">
        <w:t>The cost estimate of fire protection services is undertaken using the following hourly charge out rates as summarised in column 3 in Table A5.1:</w:t>
      </w:r>
    </w:p>
    <w:p w14:paraId="41BEE65B" w14:textId="5398002F" w:rsidR="00E60817" w:rsidRPr="00503F5B" w:rsidRDefault="00E60817" w:rsidP="005203C3"/>
    <w:p w14:paraId="1F208FDB" w14:textId="58CD7240" w:rsidR="00E60817" w:rsidRPr="00503F5B" w:rsidRDefault="00E60817" w:rsidP="009917B8">
      <w:pPr>
        <w:jc w:val="center"/>
        <w:rPr>
          <w:b/>
          <w:sz w:val="20"/>
          <w:szCs w:val="20"/>
        </w:rPr>
      </w:pPr>
      <w:r w:rsidRPr="00503F5B">
        <w:rPr>
          <w:b/>
          <w:sz w:val="20"/>
          <w:szCs w:val="20"/>
        </w:rPr>
        <w:t>Table A5.1 – Hourly charge out rates for staff involved in fire protection services</w:t>
      </w:r>
    </w:p>
    <w:p w14:paraId="094BDDB9" w14:textId="3E85C318" w:rsidR="00E60817" w:rsidRPr="00503F5B" w:rsidRDefault="00E60817" w:rsidP="005203C3"/>
    <w:tbl>
      <w:tblPr>
        <w:tblW w:w="6016" w:type="dxa"/>
        <w:jc w:val="center"/>
        <w:tblLook w:val="04A0" w:firstRow="1" w:lastRow="0" w:firstColumn="1" w:lastColumn="0" w:noHBand="0" w:noVBand="1"/>
      </w:tblPr>
      <w:tblGrid>
        <w:gridCol w:w="2552"/>
        <w:gridCol w:w="1476"/>
        <w:gridCol w:w="1988"/>
      </w:tblGrid>
      <w:tr w:rsidR="00E60817" w:rsidRPr="00503F5B" w14:paraId="61016529" w14:textId="77777777" w:rsidTr="009917B8">
        <w:trPr>
          <w:trHeight w:val="915"/>
          <w:jc w:val="center"/>
        </w:trPr>
        <w:tc>
          <w:tcPr>
            <w:tcW w:w="2552" w:type="dxa"/>
            <w:tcBorders>
              <w:top w:val="single" w:sz="4" w:space="0" w:color="C00000"/>
              <w:left w:val="nil"/>
              <w:bottom w:val="double" w:sz="6" w:space="0" w:color="C00000"/>
              <w:right w:val="nil"/>
            </w:tcBorders>
            <w:shd w:val="clear" w:color="000000" w:fill="FFFFFF"/>
            <w:noWrap/>
            <w:vAlign w:val="center"/>
            <w:hideMark/>
          </w:tcPr>
          <w:p w14:paraId="2263E975" w14:textId="77777777" w:rsidR="00E60817" w:rsidRPr="00503F5B" w:rsidRDefault="00E60817" w:rsidP="00E60817">
            <w:pPr>
              <w:rPr>
                <w:rFonts w:eastAsia="Times New Roman" w:cs="Calibri"/>
                <w:b/>
                <w:bCs/>
                <w:color w:val="C00000"/>
                <w:sz w:val="20"/>
                <w:szCs w:val="20"/>
                <w:lang w:eastAsia="en-AU"/>
              </w:rPr>
            </w:pPr>
            <w:r w:rsidRPr="00503F5B">
              <w:rPr>
                <w:rFonts w:eastAsia="Times New Roman" w:cs="Calibri"/>
                <w:b/>
                <w:bCs/>
                <w:color w:val="C00000"/>
                <w:sz w:val="20"/>
                <w:szCs w:val="20"/>
                <w:lang w:eastAsia="en-AU"/>
              </w:rPr>
              <w:t>Staff Level</w:t>
            </w:r>
          </w:p>
        </w:tc>
        <w:tc>
          <w:tcPr>
            <w:tcW w:w="1476" w:type="dxa"/>
            <w:tcBorders>
              <w:top w:val="single" w:sz="4" w:space="0" w:color="C00000"/>
              <w:left w:val="nil"/>
              <w:bottom w:val="double" w:sz="6" w:space="0" w:color="C00000"/>
              <w:right w:val="nil"/>
            </w:tcBorders>
            <w:shd w:val="clear" w:color="000000" w:fill="FFFFFF"/>
            <w:noWrap/>
            <w:vAlign w:val="center"/>
            <w:hideMark/>
          </w:tcPr>
          <w:p w14:paraId="6DFFE3AD" w14:textId="457161EC" w:rsidR="00E60817" w:rsidRPr="00503F5B" w:rsidRDefault="00E60817" w:rsidP="00E60817">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Hourly salary rate</w:t>
            </w:r>
          </w:p>
        </w:tc>
        <w:tc>
          <w:tcPr>
            <w:tcW w:w="1988" w:type="dxa"/>
            <w:tcBorders>
              <w:top w:val="single" w:sz="4" w:space="0" w:color="C00000"/>
              <w:left w:val="nil"/>
              <w:bottom w:val="double" w:sz="6" w:space="0" w:color="C00000"/>
              <w:right w:val="nil"/>
            </w:tcBorders>
            <w:shd w:val="clear" w:color="000000" w:fill="FFFFFF"/>
            <w:vAlign w:val="center"/>
            <w:hideMark/>
          </w:tcPr>
          <w:p w14:paraId="0CCE4A34" w14:textId="59D96185" w:rsidR="00E60817" w:rsidRPr="00503F5B" w:rsidRDefault="00E60817" w:rsidP="00E60817">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Hourly salary rate with salary on costs and overheads</w:t>
            </w:r>
            <w:r w:rsidRPr="00503F5B">
              <w:rPr>
                <w:rStyle w:val="FootnoteReference"/>
                <w:rFonts w:eastAsia="Times New Roman" w:cs="Calibri"/>
                <w:b/>
                <w:bCs/>
                <w:color w:val="C00000"/>
                <w:sz w:val="20"/>
                <w:szCs w:val="20"/>
                <w:lang w:eastAsia="en-AU"/>
              </w:rPr>
              <w:footnoteReference w:id="226"/>
            </w:r>
          </w:p>
        </w:tc>
      </w:tr>
      <w:tr w:rsidR="00E60817" w:rsidRPr="00503F5B" w14:paraId="132FA50F" w14:textId="77777777" w:rsidTr="009917B8">
        <w:trPr>
          <w:trHeight w:val="315"/>
          <w:jc w:val="center"/>
        </w:trPr>
        <w:tc>
          <w:tcPr>
            <w:tcW w:w="2552" w:type="dxa"/>
            <w:tcBorders>
              <w:top w:val="nil"/>
              <w:left w:val="nil"/>
              <w:bottom w:val="nil"/>
              <w:right w:val="nil"/>
            </w:tcBorders>
            <w:shd w:val="clear" w:color="000000" w:fill="FFFFFF"/>
            <w:noWrap/>
            <w:vAlign w:val="center"/>
            <w:hideMark/>
          </w:tcPr>
          <w:p w14:paraId="0D92BF8C" w14:textId="77777777" w:rsidR="00E60817" w:rsidRPr="00503F5B" w:rsidRDefault="00E60817" w:rsidP="00E60817">
            <w:pPr>
              <w:rPr>
                <w:rFonts w:eastAsia="Times New Roman" w:cs="Calibri"/>
                <w:sz w:val="20"/>
                <w:szCs w:val="20"/>
                <w:lang w:eastAsia="en-AU"/>
              </w:rPr>
            </w:pPr>
            <w:r w:rsidRPr="00503F5B">
              <w:rPr>
                <w:rFonts w:eastAsia="Times New Roman" w:cs="Calibri"/>
                <w:sz w:val="20"/>
                <w:szCs w:val="20"/>
                <w:lang w:eastAsia="en-AU"/>
              </w:rPr>
              <w:t>MFB 5</w:t>
            </w:r>
          </w:p>
        </w:tc>
        <w:tc>
          <w:tcPr>
            <w:tcW w:w="1476" w:type="dxa"/>
            <w:tcBorders>
              <w:top w:val="nil"/>
              <w:left w:val="nil"/>
              <w:bottom w:val="nil"/>
              <w:right w:val="nil"/>
            </w:tcBorders>
            <w:shd w:val="clear" w:color="000000" w:fill="FFFFFF"/>
            <w:noWrap/>
            <w:vAlign w:val="center"/>
            <w:hideMark/>
          </w:tcPr>
          <w:p w14:paraId="51CB15AE" w14:textId="77777777" w:rsidR="00E60817" w:rsidRPr="00503F5B" w:rsidRDefault="00E60817" w:rsidP="00E60817">
            <w:pPr>
              <w:jc w:val="right"/>
              <w:rPr>
                <w:rFonts w:eastAsia="Times New Roman" w:cs="Calibri"/>
                <w:sz w:val="20"/>
                <w:szCs w:val="20"/>
                <w:lang w:eastAsia="en-AU"/>
              </w:rPr>
            </w:pPr>
            <w:r w:rsidRPr="00503F5B">
              <w:rPr>
                <w:rFonts w:eastAsia="Times New Roman" w:cs="Calibri"/>
                <w:sz w:val="20"/>
                <w:szCs w:val="20"/>
                <w:lang w:eastAsia="en-AU"/>
              </w:rPr>
              <w:t>$53.28</w:t>
            </w:r>
          </w:p>
        </w:tc>
        <w:tc>
          <w:tcPr>
            <w:tcW w:w="1988" w:type="dxa"/>
            <w:tcBorders>
              <w:top w:val="nil"/>
              <w:left w:val="nil"/>
              <w:bottom w:val="nil"/>
              <w:right w:val="nil"/>
            </w:tcBorders>
            <w:shd w:val="clear" w:color="000000" w:fill="FFFFFF"/>
            <w:noWrap/>
            <w:vAlign w:val="center"/>
            <w:hideMark/>
          </w:tcPr>
          <w:p w14:paraId="770B9A69" w14:textId="77777777" w:rsidR="00E60817" w:rsidRPr="00503F5B" w:rsidRDefault="00E60817" w:rsidP="00E60817">
            <w:pPr>
              <w:jc w:val="right"/>
              <w:rPr>
                <w:rFonts w:eastAsia="Times New Roman" w:cs="Calibri"/>
                <w:sz w:val="20"/>
                <w:szCs w:val="20"/>
                <w:lang w:eastAsia="en-AU"/>
              </w:rPr>
            </w:pPr>
            <w:r w:rsidRPr="00503F5B">
              <w:rPr>
                <w:rFonts w:eastAsia="Times New Roman" w:cs="Calibri"/>
                <w:sz w:val="20"/>
                <w:szCs w:val="20"/>
                <w:lang w:eastAsia="en-AU"/>
              </w:rPr>
              <w:t>$75.82</w:t>
            </w:r>
          </w:p>
        </w:tc>
      </w:tr>
      <w:tr w:rsidR="00E60817" w:rsidRPr="00503F5B" w14:paraId="166B72CF" w14:textId="77777777" w:rsidTr="009917B8">
        <w:trPr>
          <w:trHeight w:val="315"/>
          <w:jc w:val="center"/>
        </w:trPr>
        <w:tc>
          <w:tcPr>
            <w:tcW w:w="2552" w:type="dxa"/>
            <w:tcBorders>
              <w:top w:val="nil"/>
              <w:left w:val="nil"/>
              <w:bottom w:val="nil"/>
              <w:right w:val="nil"/>
            </w:tcBorders>
            <w:shd w:val="clear" w:color="000000" w:fill="FFFFFF"/>
            <w:noWrap/>
            <w:vAlign w:val="center"/>
            <w:hideMark/>
          </w:tcPr>
          <w:p w14:paraId="25DBEE1E" w14:textId="77777777" w:rsidR="00E60817" w:rsidRPr="00503F5B" w:rsidRDefault="00E60817" w:rsidP="00E60817">
            <w:pPr>
              <w:rPr>
                <w:rFonts w:eastAsia="Times New Roman" w:cs="Calibri"/>
                <w:sz w:val="20"/>
                <w:szCs w:val="20"/>
                <w:lang w:eastAsia="en-AU"/>
              </w:rPr>
            </w:pPr>
            <w:r w:rsidRPr="00503F5B">
              <w:rPr>
                <w:rFonts w:eastAsia="Times New Roman" w:cs="Calibri"/>
                <w:sz w:val="20"/>
                <w:szCs w:val="20"/>
                <w:lang w:eastAsia="en-AU"/>
              </w:rPr>
              <w:t>MFB 4</w:t>
            </w:r>
          </w:p>
        </w:tc>
        <w:tc>
          <w:tcPr>
            <w:tcW w:w="1476" w:type="dxa"/>
            <w:tcBorders>
              <w:top w:val="nil"/>
              <w:left w:val="nil"/>
              <w:bottom w:val="nil"/>
              <w:right w:val="nil"/>
            </w:tcBorders>
            <w:shd w:val="clear" w:color="000000" w:fill="FFFFFF"/>
            <w:noWrap/>
            <w:vAlign w:val="center"/>
            <w:hideMark/>
          </w:tcPr>
          <w:p w14:paraId="014ABB2F" w14:textId="77777777" w:rsidR="00E60817" w:rsidRPr="00503F5B" w:rsidRDefault="00E60817" w:rsidP="00E60817">
            <w:pPr>
              <w:jc w:val="right"/>
              <w:rPr>
                <w:rFonts w:eastAsia="Times New Roman" w:cs="Calibri"/>
                <w:sz w:val="20"/>
                <w:szCs w:val="20"/>
                <w:lang w:eastAsia="en-AU"/>
              </w:rPr>
            </w:pPr>
            <w:r w:rsidRPr="00503F5B">
              <w:rPr>
                <w:rFonts w:eastAsia="Times New Roman" w:cs="Calibri"/>
                <w:sz w:val="20"/>
                <w:szCs w:val="20"/>
                <w:lang w:eastAsia="en-AU"/>
              </w:rPr>
              <w:t>$40.92</w:t>
            </w:r>
          </w:p>
        </w:tc>
        <w:tc>
          <w:tcPr>
            <w:tcW w:w="1988" w:type="dxa"/>
            <w:tcBorders>
              <w:top w:val="nil"/>
              <w:left w:val="nil"/>
              <w:bottom w:val="nil"/>
              <w:right w:val="nil"/>
            </w:tcBorders>
            <w:shd w:val="clear" w:color="000000" w:fill="FFFFFF"/>
            <w:noWrap/>
            <w:vAlign w:val="center"/>
            <w:hideMark/>
          </w:tcPr>
          <w:p w14:paraId="2AFBBC16" w14:textId="77777777" w:rsidR="00E60817" w:rsidRPr="00503F5B" w:rsidRDefault="00E60817" w:rsidP="00E60817">
            <w:pPr>
              <w:jc w:val="right"/>
              <w:rPr>
                <w:rFonts w:eastAsia="Times New Roman" w:cs="Calibri"/>
                <w:sz w:val="20"/>
                <w:szCs w:val="20"/>
                <w:lang w:eastAsia="en-AU"/>
              </w:rPr>
            </w:pPr>
            <w:r w:rsidRPr="00503F5B">
              <w:rPr>
                <w:rFonts w:eastAsia="Times New Roman" w:cs="Calibri"/>
                <w:sz w:val="20"/>
                <w:szCs w:val="20"/>
                <w:lang w:eastAsia="en-AU"/>
              </w:rPr>
              <w:t>$58.23</w:t>
            </w:r>
          </w:p>
        </w:tc>
      </w:tr>
      <w:tr w:rsidR="00E60817" w:rsidRPr="00503F5B" w14:paraId="5665F7A0" w14:textId="77777777" w:rsidTr="009917B8">
        <w:trPr>
          <w:trHeight w:val="300"/>
          <w:jc w:val="center"/>
        </w:trPr>
        <w:tc>
          <w:tcPr>
            <w:tcW w:w="2552" w:type="dxa"/>
            <w:tcBorders>
              <w:top w:val="nil"/>
              <w:left w:val="nil"/>
              <w:bottom w:val="nil"/>
              <w:right w:val="nil"/>
            </w:tcBorders>
            <w:shd w:val="clear" w:color="000000" w:fill="FFFFFF"/>
            <w:noWrap/>
            <w:vAlign w:val="center"/>
            <w:hideMark/>
          </w:tcPr>
          <w:p w14:paraId="332033DF" w14:textId="77777777" w:rsidR="00E60817" w:rsidRPr="00503F5B" w:rsidRDefault="00E60817" w:rsidP="00E60817">
            <w:pPr>
              <w:rPr>
                <w:rFonts w:eastAsia="Times New Roman" w:cs="Calibri"/>
                <w:sz w:val="20"/>
                <w:szCs w:val="20"/>
                <w:lang w:eastAsia="en-AU"/>
              </w:rPr>
            </w:pPr>
            <w:r w:rsidRPr="00503F5B">
              <w:rPr>
                <w:rFonts w:eastAsia="Times New Roman" w:cs="Calibri"/>
                <w:sz w:val="20"/>
                <w:szCs w:val="20"/>
                <w:lang w:eastAsia="en-AU"/>
              </w:rPr>
              <w:t>MFB 3</w:t>
            </w:r>
          </w:p>
        </w:tc>
        <w:tc>
          <w:tcPr>
            <w:tcW w:w="1476" w:type="dxa"/>
            <w:tcBorders>
              <w:top w:val="nil"/>
              <w:left w:val="nil"/>
              <w:bottom w:val="nil"/>
              <w:right w:val="nil"/>
            </w:tcBorders>
            <w:shd w:val="clear" w:color="000000" w:fill="FFFFFF"/>
            <w:noWrap/>
            <w:vAlign w:val="center"/>
            <w:hideMark/>
          </w:tcPr>
          <w:p w14:paraId="7572CAD6" w14:textId="77777777" w:rsidR="00E60817" w:rsidRPr="00503F5B" w:rsidRDefault="00E60817" w:rsidP="00E60817">
            <w:pPr>
              <w:jc w:val="right"/>
              <w:rPr>
                <w:rFonts w:eastAsia="Times New Roman" w:cs="Calibri"/>
                <w:sz w:val="20"/>
                <w:szCs w:val="20"/>
                <w:lang w:eastAsia="en-AU"/>
              </w:rPr>
            </w:pPr>
            <w:r w:rsidRPr="00503F5B">
              <w:rPr>
                <w:rFonts w:eastAsia="Times New Roman" w:cs="Calibri"/>
                <w:sz w:val="20"/>
                <w:szCs w:val="20"/>
                <w:lang w:eastAsia="en-AU"/>
              </w:rPr>
              <w:t>$32.72</w:t>
            </w:r>
          </w:p>
        </w:tc>
        <w:tc>
          <w:tcPr>
            <w:tcW w:w="1988" w:type="dxa"/>
            <w:tcBorders>
              <w:top w:val="nil"/>
              <w:left w:val="nil"/>
              <w:bottom w:val="nil"/>
              <w:right w:val="nil"/>
            </w:tcBorders>
            <w:shd w:val="clear" w:color="000000" w:fill="FFFFFF"/>
            <w:noWrap/>
            <w:vAlign w:val="center"/>
            <w:hideMark/>
          </w:tcPr>
          <w:p w14:paraId="4FDC6D9D" w14:textId="77777777" w:rsidR="00E60817" w:rsidRPr="00503F5B" w:rsidRDefault="00E60817" w:rsidP="00E60817">
            <w:pPr>
              <w:jc w:val="right"/>
              <w:rPr>
                <w:rFonts w:eastAsia="Times New Roman" w:cs="Calibri"/>
                <w:sz w:val="20"/>
                <w:szCs w:val="20"/>
                <w:lang w:eastAsia="en-AU"/>
              </w:rPr>
            </w:pPr>
            <w:r w:rsidRPr="00503F5B">
              <w:rPr>
                <w:rFonts w:eastAsia="Times New Roman" w:cs="Calibri"/>
                <w:sz w:val="20"/>
                <w:szCs w:val="20"/>
                <w:lang w:eastAsia="en-AU"/>
              </w:rPr>
              <w:t>$46.56</w:t>
            </w:r>
          </w:p>
        </w:tc>
      </w:tr>
      <w:tr w:rsidR="00E60817" w:rsidRPr="00503F5B" w14:paraId="16453181" w14:textId="77777777" w:rsidTr="009917B8">
        <w:trPr>
          <w:trHeight w:val="300"/>
          <w:jc w:val="center"/>
        </w:trPr>
        <w:tc>
          <w:tcPr>
            <w:tcW w:w="2552" w:type="dxa"/>
            <w:tcBorders>
              <w:top w:val="nil"/>
              <w:left w:val="nil"/>
              <w:bottom w:val="nil"/>
              <w:right w:val="nil"/>
            </w:tcBorders>
            <w:shd w:val="clear" w:color="000000" w:fill="FFFFFF"/>
            <w:noWrap/>
            <w:vAlign w:val="center"/>
            <w:hideMark/>
          </w:tcPr>
          <w:p w14:paraId="20D99BEE" w14:textId="7EEAF9CE" w:rsidR="00E60817" w:rsidRPr="00503F5B" w:rsidRDefault="00E60817" w:rsidP="00E60817">
            <w:pPr>
              <w:rPr>
                <w:rFonts w:eastAsia="Times New Roman" w:cs="Calibri"/>
                <w:sz w:val="20"/>
                <w:szCs w:val="20"/>
                <w:lang w:eastAsia="en-AU"/>
              </w:rPr>
            </w:pPr>
            <w:proofErr w:type="spellStart"/>
            <w:r w:rsidRPr="00503F5B">
              <w:rPr>
                <w:rFonts w:eastAsia="Times New Roman" w:cs="Calibri"/>
                <w:sz w:val="20"/>
                <w:szCs w:val="20"/>
                <w:lang w:eastAsia="en-AU"/>
              </w:rPr>
              <w:t>Cmdr</w:t>
            </w:r>
            <w:proofErr w:type="spellEnd"/>
            <w:r w:rsidRPr="00503F5B">
              <w:rPr>
                <w:rFonts w:eastAsia="Times New Roman" w:cs="Calibri"/>
                <w:sz w:val="20"/>
                <w:szCs w:val="20"/>
                <w:lang w:eastAsia="en-AU"/>
              </w:rPr>
              <w:t xml:space="preserve"> (Commander)</w:t>
            </w:r>
          </w:p>
        </w:tc>
        <w:tc>
          <w:tcPr>
            <w:tcW w:w="1476" w:type="dxa"/>
            <w:tcBorders>
              <w:top w:val="nil"/>
              <w:left w:val="nil"/>
              <w:bottom w:val="nil"/>
              <w:right w:val="nil"/>
            </w:tcBorders>
            <w:shd w:val="clear" w:color="000000" w:fill="FFFFFF"/>
            <w:noWrap/>
            <w:vAlign w:val="center"/>
            <w:hideMark/>
          </w:tcPr>
          <w:p w14:paraId="573FB507" w14:textId="77777777" w:rsidR="00E60817" w:rsidRPr="00503F5B" w:rsidRDefault="00E60817" w:rsidP="00E60817">
            <w:pPr>
              <w:jc w:val="right"/>
              <w:rPr>
                <w:rFonts w:eastAsia="Times New Roman" w:cs="Calibri"/>
                <w:sz w:val="20"/>
                <w:szCs w:val="20"/>
                <w:lang w:eastAsia="en-AU"/>
              </w:rPr>
            </w:pPr>
            <w:r w:rsidRPr="00503F5B">
              <w:rPr>
                <w:rFonts w:eastAsia="Times New Roman" w:cs="Calibri"/>
                <w:sz w:val="20"/>
                <w:szCs w:val="20"/>
                <w:lang w:eastAsia="en-AU"/>
              </w:rPr>
              <w:t>$72.42</w:t>
            </w:r>
          </w:p>
        </w:tc>
        <w:tc>
          <w:tcPr>
            <w:tcW w:w="1988" w:type="dxa"/>
            <w:tcBorders>
              <w:top w:val="nil"/>
              <w:left w:val="nil"/>
              <w:bottom w:val="nil"/>
              <w:right w:val="nil"/>
            </w:tcBorders>
            <w:shd w:val="clear" w:color="000000" w:fill="FFFFFF"/>
            <w:noWrap/>
            <w:vAlign w:val="center"/>
            <w:hideMark/>
          </w:tcPr>
          <w:p w14:paraId="4210B6E4" w14:textId="77777777" w:rsidR="00E60817" w:rsidRPr="00503F5B" w:rsidRDefault="00E60817" w:rsidP="00E60817">
            <w:pPr>
              <w:jc w:val="right"/>
              <w:rPr>
                <w:rFonts w:eastAsia="Times New Roman" w:cs="Calibri"/>
                <w:sz w:val="20"/>
                <w:szCs w:val="20"/>
                <w:lang w:eastAsia="en-AU"/>
              </w:rPr>
            </w:pPr>
            <w:r w:rsidRPr="00503F5B">
              <w:rPr>
                <w:rFonts w:eastAsia="Times New Roman" w:cs="Calibri"/>
                <w:sz w:val="20"/>
                <w:szCs w:val="20"/>
                <w:lang w:eastAsia="en-AU"/>
              </w:rPr>
              <w:t>$103.07</w:t>
            </w:r>
          </w:p>
        </w:tc>
      </w:tr>
      <w:tr w:rsidR="00E60817" w:rsidRPr="00503F5B" w14:paraId="7301DC3B" w14:textId="77777777" w:rsidTr="009917B8">
        <w:trPr>
          <w:trHeight w:val="300"/>
          <w:jc w:val="center"/>
        </w:trPr>
        <w:tc>
          <w:tcPr>
            <w:tcW w:w="2552" w:type="dxa"/>
            <w:tcBorders>
              <w:top w:val="nil"/>
              <w:left w:val="nil"/>
              <w:bottom w:val="nil"/>
              <w:right w:val="nil"/>
            </w:tcBorders>
            <w:shd w:val="clear" w:color="000000" w:fill="FFFFFF"/>
            <w:noWrap/>
            <w:vAlign w:val="center"/>
            <w:hideMark/>
          </w:tcPr>
          <w:p w14:paraId="7788F22F" w14:textId="23AFCB62" w:rsidR="00E60817" w:rsidRPr="00503F5B" w:rsidRDefault="00E60817" w:rsidP="00E60817">
            <w:pPr>
              <w:rPr>
                <w:rFonts w:eastAsia="Times New Roman" w:cs="Calibri"/>
                <w:sz w:val="20"/>
                <w:szCs w:val="20"/>
                <w:lang w:eastAsia="en-AU"/>
              </w:rPr>
            </w:pPr>
            <w:r w:rsidRPr="00503F5B">
              <w:rPr>
                <w:rFonts w:eastAsia="Times New Roman" w:cs="Calibri"/>
                <w:sz w:val="20"/>
                <w:szCs w:val="20"/>
                <w:lang w:eastAsia="en-AU"/>
              </w:rPr>
              <w:t>S.S.</w:t>
            </w:r>
            <w:r w:rsidR="00607A91">
              <w:rPr>
                <w:rFonts w:eastAsia="Times New Roman" w:cs="Calibri"/>
                <w:sz w:val="20"/>
                <w:szCs w:val="20"/>
                <w:lang w:eastAsia="en-AU"/>
              </w:rPr>
              <w:t>O</w:t>
            </w:r>
            <w:r w:rsidRPr="00503F5B">
              <w:rPr>
                <w:rFonts w:eastAsia="Times New Roman" w:cs="Calibri"/>
                <w:sz w:val="20"/>
                <w:szCs w:val="20"/>
                <w:lang w:eastAsia="en-AU"/>
              </w:rPr>
              <w:t xml:space="preserve"> (Senior Station Officer)</w:t>
            </w:r>
          </w:p>
        </w:tc>
        <w:tc>
          <w:tcPr>
            <w:tcW w:w="1476" w:type="dxa"/>
            <w:tcBorders>
              <w:top w:val="nil"/>
              <w:left w:val="nil"/>
              <w:bottom w:val="nil"/>
              <w:right w:val="nil"/>
            </w:tcBorders>
            <w:shd w:val="clear" w:color="000000" w:fill="FFFFFF"/>
            <w:noWrap/>
            <w:vAlign w:val="center"/>
            <w:hideMark/>
          </w:tcPr>
          <w:p w14:paraId="5BBFEA7C" w14:textId="77777777" w:rsidR="00E60817" w:rsidRPr="00503F5B" w:rsidRDefault="00E60817" w:rsidP="00E60817">
            <w:pPr>
              <w:jc w:val="right"/>
              <w:rPr>
                <w:rFonts w:eastAsia="Times New Roman" w:cs="Calibri"/>
                <w:sz w:val="20"/>
                <w:szCs w:val="20"/>
                <w:lang w:eastAsia="en-AU"/>
              </w:rPr>
            </w:pPr>
            <w:r w:rsidRPr="00503F5B">
              <w:rPr>
                <w:rFonts w:eastAsia="Times New Roman" w:cs="Calibri"/>
                <w:sz w:val="20"/>
                <w:szCs w:val="20"/>
                <w:lang w:eastAsia="en-AU"/>
              </w:rPr>
              <w:t>$60.37</w:t>
            </w:r>
          </w:p>
        </w:tc>
        <w:tc>
          <w:tcPr>
            <w:tcW w:w="1988" w:type="dxa"/>
            <w:tcBorders>
              <w:top w:val="nil"/>
              <w:left w:val="nil"/>
              <w:bottom w:val="nil"/>
              <w:right w:val="nil"/>
            </w:tcBorders>
            <w:shd w:val="clear" w:color="000000" w:fill="FFFFFF"/>
            <w:noWrap/>
            <w:vAlign w:val="center"/>
            <w:hideMark/>
          </w:tcPr>
          <w:p w14:paraId="6C938929" w14:textId="77777777" w:rsidR="00E60817" w:rsidRPr="00503F5B" w:rsidRDefault="00E60817" w:rsidP="00E60817">
            <w:pPr>
              <w:jc w:val="right"/>
              <w:rPr>
                <w:rFonts w:eastAsia="Times New Roman" w:cs="Calibri"/>
                <w:sz w:val="20"/>
                <w:szCs w:val="20"/>
                <w:lang w:eastAsia="en-AU"/>
              </w:rPr>
            </w:pPr>
            <w:r w:rsidRPr="00503F5B">
              <w:rPr>
                <w:rFonts w:eastAsia="Times New Roman" w:cs="Calibri"/>
                <w:sz w:val="20"/>
                <w:szCs w:val="20"/>
                <w:lang w:eastAsia="en-AU"/>
              </w:rPr>
              <w:t>$85.92</w:t>
            </w:r>
          </w:p>
        </w:tc>
      </w:tr>
      <w:tr w:rsidR="00E60817" w:rsidRPr="00503F5B" w14:paraId="1C57E325" w14:textId="77777777" w:rsidTr="009917B8">
        <w:trPr>
          <w:trHeight w:val="300"/>
          <w:jc w:val="center"/>
        </w:trPr>
        <w:tc>
          <w:tcPr>
            <w:tcW w:w="2552" w:type="dxa"/>
            <w:tcBorders>
              <w:top w:val="nil"/>
              <w:left w:val="nil"/>
              <w:bottom w:val="nil"/>
              <w:right w:val="nil"/>
            </w:tcBorders>
            <w:shd w:val="clear" w:color="000000" w:fill="FFFFFF"/>
            <w:noWrap/>
            <w:vAlign w:val="center"/>
            <w:hideMark/>
          </w:tcPr>
          <w:p w14:paraId="296ACAD5" w14:textId="1EBE7F96" w:rsidR="00E60817" w:rsidRPr="00503F5B" w:rsidRDefault="00E60817" w:rsidP="00E60817">
            <w:pPr>
              <w:rPr>
                <w:rFonts w:eastAsia="Times New Roman" w:cs="Calibri"/>
                <w:sz w:val="20"/>
                <w:szCs w:val="20"/>
                <w:lang w:eastAsia="en-AU"/>
              </w:rPr>
            </w:pPr>
            <w:r w:rsidRPr="00503F5B">
              <w:rPr>
                <w:rFonts w:eastAsia="Times New Roman" w:cs="Calibri"/>
                <w:sz w:val="20"/>
                <w:szCs w:val="20"/>
                <w:lang w:eastAsia="en-AU"/>
              </w:rPr>
              <w:t>S.O (Station Officer)</w:t>
            </w:r>
          </w:p>
        </w:tc>
        <w:tc>
          <w:tcPr>
            <w:tcW w:w="1476" w:type="dxa"/>
            <w:tcBorders>
              <w:top w:val="nil"/>
              <w:left w:val="nil"/>
              <w:bottom w:val="nil"/>
              <w:right w:val="nil"/>
            </w:tcBorders>
            <w:shd w:val="clear" w:color="000000" w:fill="FFFFFF"/>
            <w:noWrap/>
            <w:vAlign w:val="center"/>
            <w:hideMark/>
          </w:tcPr>
          <w:p w14:paraId="00F4098D" w14:textId="77777777" w:rsidR="00E60817" w:rsidRPr="00503F5B" w:rsidRDefault="00E60817" w:rsidP="00E60817">
            <w:pPr>
              <w:jc w:val="right"/>
              <w:rPr>
                <w:rFonts w:eastAsia="Times New Roman" w:cs="Calibri"/>
                <w:sz w:val="20"/>
                <w:szCs w:val="20"/>
                <w:lang w:eastAsia="en-AU"/>
              </w:rPr>
            </w:pPr>
            <w:r w:rsidRPr="00503F5B">
              <w:rPr>
                <w:rFonts w:eastAsia="Times New Roman" w:cs="Calibri"/>
                <w:sz w:val="20"/>
                <w:szCs w:val="20"/>
                <w:lang w:eastAsia="en-AU"/>
              </w:rPr>
              <w:t>$56.24</w:t>
            </w:r>
          </w:p>
        </w:tc>
        <w:tc>
          <w:tcPr>
            <w:tcW w:w="1988" w:type="dxa"/>
            <w:tcBorders>
              <w:top w:val="nil"/>
              <w:left w:val="nil"/>
              <w:bottom w:val="nil"/>
              <w:right w:val="nil"/>
            </w:tcBorders>
            <w:shd w:val="clear" w:color="000000" w:fill="FFFFFF"/>
            <w:noWrap/>
            <w:vAlign w:val="center"/>
            <w:hideMark/>
          </w:tcPr>
          <w:p w14:paraId="2D1F143B" w14:textId="77777777" w:rsidR="00E60817" w:rsidRPr="00503F5B" w:rsidRDefault="00E60817" w:rsidP="00E60817">
            <w:pPr>
              <w:jc w:val="right"/>
              <w:rPr>
                <w:rFonts w:eastAsia="Times New Roman" w:cs="Calibri"/>
                <w:sz w:val="20"/>
                <w:szCs w:val="20"/>
                <w:lang w:eastAsia="en-AU"/>
              </w:rPr>
            </w:pPr>
            <w:r w:rsidRPr="00503F5B">
              <w:rPr>
                <w:rFonts w:eastAsia="Times New Roman" w:cs="Calibri"/>
                <w:sz w:val="20"/>
                <w:szCs w:val="20"/>
                <w:lang w:eastAsia="en-AU"/>
              </w:rPr>
              <w:t>$80.04</w:t>
            </w:r>
          </w:p>
        </w:tc>
      </w:tr>
      <w:tr w:rsidR="00E60817" w:rsidRPr="00503F5B" w14:paraId="79CD867A" w14:textId="77777777" w:rsidTr="009917B8">
        <w:trPr>
          <w:trHeight w:val="300"/>
          <w:jc w:val="center"/>
        </w:trPr>
        <w:tc>
          <w:tcPr>
            <w:tcW w:w="2552" w:type="dxa"/>
            <w:tcBorders>
              <w:top w:val="nil"/>
              <w:left w:val="nil"/>
              <w:bottom w:val="single" w:sz="4" w:space="0" w:color="C00000"/>
              <w:right w:val="nil"/>
            </w:tcBorders>
            <w:shd w:val="clear" w:color="000000" w:fill="FFFFFF"/>
            <w:noWrap/>
            <w:vAlign w:val="center"/>
            <w:hideMark/>
          </w:tcPr>
          <w:p w14:paraId="72B1BAE6" w14:textId="77777777" w:rsidR="00E60817" w:rsidRPr="00503F5B" w:rsidRDefault="00E60817" w:rsidP="00E60817">
            <w:pPr>
              <w:rPr>
                <w:rFonts w:eastAsia="Times New Roman" w:cs="Calibri"/>
                <w:sz w:val="20"/>
                <w:szCs w:val="20"/>
                <w:lang w:eastAsia="en-AU"/>
              </w:rPr>
            </w:pPr>
            <w:r w:rsidRPr="00503F5B">
              <w:rPr>
                <w:rFonts w:eastAsia="Times New Roman" w:cs="Calibri"/>
                <w:sz w:val="20"/>
                <w:szCs w:val="20"/>
                <w:lang w:eastAsia="en-AU"/>
              </w:rPr>
              <w:t>MFB 6</w:t>
            </w:r>
          </w:p>
        </w:tc>
        <w:tc>
          <w:tcPr>
            <w:tcW w:w="1476" w:type="dxa"/>
            <w:tcBorders>
              <w:top w:val="nil"/>
              <w:left w:val="nil"/>
              <w:bottom w:val="single" w:sz="4" w:space="0" w:color="C00000"/>
              <w:right w:val="nil"/>
            </w:tcBorders>
            <w:shd w:val="clear" w:color="000000" w:fill="FFFFFF"/>
            <w:noWrap/>
            <w:vAlign w:val="center"/>
            <w:hideMark/>
          </w:tcPr>
          <w:p w14:paraId="275BF172" w14:textId="77777777" w:rsidR="00E60817" w:rsidRPr="00503F5B" w:rsidRDefault="00E60817" w:rsidP="00E60817">
            <w:pPr>
              <w:jc w:val="right"/>
              <w:rPr>
                <w:rFonts w:eastAsia="Times New Roman" w:cs="Calibri"/>
                <w:sz w:val="20"/>
                <w:szCs w:val="20"/>
                <w:lang w:eastAsia="en-AU"/>
              </w:rPr>
            </w:pPr>
            <w:r w:rsidRPr="00503F5B">
              <w:rPr>
                <w:rFonts w:eastAsia="Times New Roman" w:cs="Calibri"/>
                <w:sz w:val="20"/>
                <w:szCs w:val="20"/>
                <w:lang w:eastAsia="en-AU"/>
              </w:rPr>
              <w:t>$64.43</w:t>
            </w:r>
          </w:p>
        </w:tc>
        <w:tc>
          <w:tcPr>
            <w:tcW w:w="1988" w:type="dxa"/>
            <w:tcBorders>
              <w:top w:val="nil"/>
              <w:left w:val="nil"/>
              <w:bottom w:val="single" w:sz="4" w:space="0" w:color="C00000"/>
              <w:right w:val="nil"/>
            </w:tcBorders>
            <w:shd w:val="clear" w:color="000000" w:fill="FFFFFF"/>
            <w:noWrap/>
            <w:vAlign w:val="center"/>
            <w:hideMark/>
          </w:tcPr>
          <w:p w14:paraId="0D4A633B" w14:textId="77777777" w:rsidR="00E60817" w:rsidRPr="00503F5B" w:rsidRDefault="00E60817" w:rsidP="00E60817">
            <w:pPr>
              <w:jc w:val="right"/>
              <w:rPr>
                <w:rFonts w:eastAsia="Times New Roman" w:cs="Calibri"/>
                <w:sz w:val="20"/>
                <w:szCs w:val="20"/>
                <w:lang w:eastAsia="en-AU"/>
              </w:rPr>
            </w:pPr>
            <w:r w:rsidRPr="00503F5B">
              <w:rPr>
                <w:rFonts w:eastAsia="Times New Roman" w:cs="Calibri"/>
                <w:sz w:val="20"/>
                <w:szCs w:val="20"/>
                <w:lang w:eastAsia="en-AU"/>
              </w:rPr>
              <w:t>$91.70</w:t>
            </w:r>
          </w:p>
        </w:tc>
      </w:tr>
    </w:tbl>
    <w:p w14:paraId="2C9A5519" w14:textId="77777777" w:rsidR="00E60817" w:rsidRPr="00503F5B" w:rsidRDefault="00E60817" w:rsidP="005203C3">
      <w:pPr>
        <w:rPr>
          <w:sz w:val="20"/>
          <w:szCs w:val="20"/>
        </w:rPr>
      </w:pPr>
    </w:p>
    <w:p w14:paraId="0038F623" w14:textId="3B9FCE58" w:rsidR="005203C3" w:rsidRPr="00503F5B" w:rsidRDefault="00E60817" w:rsidP="00963DCA">
      <w:pPr>
        <w:jc w:val="both"/>
      </w:pPr>
      <w:r w:rsidRPr="00503F5B">
        <w:t xml:space="preserve">The estimated cost of fire protection services for FRV includes the volume of services to be provided </w:t>
      </w:r>
      <w:r w:rsidR="00963DCA" w:rsidRPr="00503F5B">
        <w:t xml:space="preserve">by CFA integrated stations and is given as </w:t>
      </w:r>
      <w:r w:rsidR="00963DCA" w:rsidRPr="00503F5B">
        <w:rPr>
          <w:b/>
          <w:bCs/>
        </w:rPr>
        <w:t>$1,610,917</w:t>
      </w:r>
      <w:r w:rsidR="00963DCA" w:rsidRPr="00503F5B">
        <w:t xml:space="preserve"> in 2018-19 or </w:t>
      </w:r>
      <w:r w:rsidR="00963DCA" w:rsidRPr="00503F5B">
        <w:rPr>
          <w:b/>
          <w:bCs/>
          <w:i/>
          <w:iCs/>
        </w:rPr>
        <w:t>$13,065,979</w:t>
      </w:r>
      <w:r w:rsidR="00963DCA" w:rsidRPr="00503F5B">
        <w:t xml:space="preserve"> over 10 years in present value dollars – as shown in Table A5.2.</w:t>
      </w:r>
    </w:p>
    <w:p w14:paraId="7CBBE0EE" w14:textId="4EB0F7EE" w:rsidR="00963DCA" w:rsidRPr="00503F5B" w:rsidRDefault="00963DCA" w:rsidP="00963DCA">
      <w:pPr>
        <w:jc w:val="both"/>
      </w:pPr>
    </w:p>
    <w:p w14:paraId="4230754A" w14:textId="632D4724" w:rsidR="00CA2D91" w:rsidRPr="00503F5B" w:rsidRDefault="00CA2D91" w:rsidP="00CA2D91">
      <w:pPr>
        <w:jc w:val="center"/>
        <w:rPr>
          <w:b/>
          <w:sz w:val="20"/>
          <w:szCs w:val="20"/>
        </w:rPr>
      </w:pPr>
      <w:r w:rsidRPr="00503F5B">
        <w:rPr>
          <w:b/>
          <w:sz w:val="20"/>
          <w:szCs w:val="20"/>
        </w:rPr>
        <w:t>Table A5.1 – Estimated annual cost of fire protection services – 2018-19</w:t>
      </w:r>
      <w:r w:rsidRPr="00503F5B">
        <w:rPr>
          <w:rStyle w:val="FootnoteReference"/>
          <w:b/>
          <w:sz w:val="20"/>
          <w:szCs w:val="20"/>
        </w:rPr>
        <w:footnoteReference w:id="227"/>
      </w:r>
    </w:p>
    <w:p w14:paraId="2FE92A49" w14:textId="1F07FA01" w:rsidR="00963DCA" w:rsidRPr="00503F5B" w:rsidRDefault="00963DCA" w:rsidP="005203C3"/>
    <w:tbl>
      <w:tblPr>
        <w:tblW w:w="9214" w:type="dxa"/>
        <w:jc w:val="center"/>
        <w:tblLook w:val="04A0" w:firstRow="1" w:lastRow="0" w:firstColumn="1" w:lastColumn="0" w:noHBand="0" w:noVBand="1"/>
      </w:tblPr>
      <w:tblGrid>
        <w:gridCol w:w="5387"/>
        <w:gridCol w:w="534"/>
        <w:gridCol w:w="883"/>
        <w:gridCol w:w="993"/>
        <w:gridCol w:w="955"/>
        <w:gridCol w:w="1131"/>
      </w:tblGrid>
      <w:tr w:rsidR="00CA2D91" w:rsidRPr="00503F5B" w14:paraId="27E81B51" w14:textId="77777777" w:rsidTr="009917B8">
        <w:trPr>
          <w:trHeight w:val="915"/>
          <w:tblHeader/>
          <w:jc w:val="center"/>
        </w:trPr>
        <w:tc>
          <w:tcPr>
            <w:tcW w:w="5387" w:type="dxa"/>
            <w:tcBorders>
              <w:top w:val="single" w:sz="4" w:space="0" w:color="C00000"/>
              <w:left w:val="nil"/>
              <w:bottom w:val="double" w:sz="6" w:space="0" w:color="C00000"/>
              <w:right w:val="nil"/>
            </w:tcBorders>
            <w:shd w:val="clear" w:color="auto" w:fill="auto"/>
            <w:vAlign w:val="center"/>
            <w:hideMark/>
          </w:tcPr>
          <w:p w14:paraId="759043EB" w14:textId="77777777" w:rsidR="00CA2D91" w:rsidRPr="00503F5B" w:rsidRDefault="00CA2D91" w:rsidP="00CA2D91">
            <w:pPr>
              <w:rPr>
                <w:rFonts w:eastAsia="Times New Roman" w:cs="Calibri"/>
                <w:b/>
                <w:bCs/>
                <w:color w:val="C00000"/>
                <w:sz w:val="20"/>
                <w:szCs w:val="20"/>
                <w:lang w:eastAsia="en-AU"/>
              </w:rPr>
            </w:pPr>
            <w:r w:rsidRPr="00503F5B">
              <w:rPr>
                <w:rFonts w:eastAsia="Times New Roman" w:cs="Calibri"/>
                <w:b/>
                <w:bCs/>
                <w:color w:val="C00000"/>
                <w:sz w:val="20"/>
                <w:szCs w:val="20"/>
                <w:lang w:eastAsia="en-AU"/>
              </w:rPr>
              <w:t>Area/Function/Task</w:t>
            </w:r>
          </w:p>
        </w:tc>
        <w:tc>
          <w:tcPr>
            <w:tcW w:w="534" w:type="dxa"/>
            <w:tcBorders>
              <w:top w:val="single" w:sz="4" w:space="0" w:color="C00000"/>
              <w:left w:val="nil"/>
              <w:bottom w:val="double" w:sz="6" w:space="0" w:color="C00000"/>
              <w:right w:val="nil"/>
            </w:tcBorders>
            <w:shd w:val="clear" w:color="000000" w:fill="FFFFFF"/>
            <w:noWrap/>
            <w:vAlign w:val="center"/>
            <w:hideMark/>
          </w:tcPr>
          <w:p w14:paraId="3A8A879B" w14:textId="77777777" w:rsidR="00CA2D91" w:rsidRPr="00503F5B" w:rsidRDefault="00CA2D91" w:rsidP="00CA2D91">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FTE</w:t>
            </w:r>
          </w:p>
        </w:tc>
        <w:tc>
          <w:tcPr>
            <w:tcW w:w="883" w:type="dxa"/>
            <w:tcBorders>
              <w:top w:val="single" w:sz="4" w:space="0" w:color="C00000"/>
              <w:left w:val="nil"/>
              <w:bottom w:val="double" w:sz="6" w:space="0" w:color="C00000"/>
              <w:right w:val="nil"/>
            </w:tcBorders>
            <w:shd w:val="clear" w:color="000000" w:fill="FFFFFF"/>
            <w:vAlign w:val="center"/>
            <w:hideMark/>
          </w:tcPr>
          <w:p w14:paraId="6F811B40" w14:textId="77777777" w:rsidR="00CA2D91" w:rsidRPr="00503F5B" w:rsidRDefault="00CA2D91" w:rsidP="00CA2D91">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Staff level</w:t>
            </w:r>
          </w:p>
        </w:tc>
        <w:tc>
          <w:tcPr>
            <w:tcW w:w="993" w:type="dxa"/>
            <w:tcBorders>
              <w:top w:val="single" w:sz="4" w:space="0" w:color="C00000"/>
              <w:left w:val="nil"/>
              <w:bottom w:val="double" w:sz="6" w:space="0" w:color="C00000"/>
              <w:right w:val="nil"/>
            </w:tcBorders>
            <w:shd w:val="clear" w:color="000000" w:fill="FFFFFF"/>
            <w:vAlign w:val="center"/>
            <w:hideMark/>
          </w:tcPr>
          <w:p w14:paraId="46FF4D34" w14:textId="5DC9051E" w:rsidR="00CA2D91" w:rsidRPr="00503F5B" w:rsidRDefault="00CA2D91" w:rsidP="00CA2D91">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Average Annual hours</w:t>
            </w:r>
          </w:p>
        </w:tc>
        <w:tc>
          <w:tcPr>
            <w:tcW w:w="955" w:type="dxa"/>
            <w:tcBorders>
              <w:top w:val="single" w:sz="4" w:space="0" w:color="C00000"/>
              <w:left w:val="nil"/>
              <w:bottom w:val="double" w:sz="6" w:space="0" w:color="C00000"/>
              <w:right w:val="nil"/>
            </w:tcBorders>
            <w:shd w:val="clear" w:color="000000" w:fill="FFFFFF"/>
            <w:vAlign w:val="center"/>
            <w:hideMark/>
          </w:tcPr>
          <w:p w14:paraId="4B418D8B" w14:textId="77777777" w:rsidR="00CA2D91" w:rsidRPr="00503F5B" w:rsidRDefault="00CA2D91" w:rsidP="00CA2D91">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Hourly charge out rate</w:t>
            </w:r>
          </w:p>
        </w:tc>
        <w:tc>
          <w:tcPr>
            <w:tcW w:w="462" w:type="dxa"/>
            <w:tcBorders>
              <w:top w:val="single" w:sz="4" w:space="0" w:color="C00000"/>
              <w:left w:val="nil"/>
              <w:bottom w:val="double" w:sz="6" w:space="0" w:color="C00000"/>
              <w:right w:val="nil"/>
            </w:tcBorders>
            <w:shd w:val="clear" w:color="000000" w:fill="FFFFFF"/>
            <w:noWrap/>
            <w:vAlign w:val="center"/>
            <w:hideMark/>
          </w:tcPr>
          <w:p w14:paraId="2CDFFC8B" w14:textId="77777777" w:rsidR="00CA2D91" w:rsidRPr="00503F5B" w:rsidRDefault="00CA2D91" w:rsidP="00CA2D91">
            <w:pPr>
              <w:jc w:val="center"/>
              <w:rPr>
                <w:rFonts w:eastAsia="Times New Roman" w:cs="Calibri"/>
                <w:b/>
                <w:bCs/>
                <w:color w:val="C00000"/>
                <w:sz w:val="20"/>
                <w:szCs w:val="20"/>
                <w:lang w:eastAsia="en-AU"/>
              </w:rPr>
            </w:pPr>
            <w:r w:rsidRPr="00503F5B">
              <w:rPr>
                <w:rFonts w:eastAsia="Times New Roman" w:cs="Calibri"/>
                <w:b/>
                <w:bCs/>
                <w:color w:val="C00000"/>
                <w:sz w:val="20"/>
                <w:szCs w:val="20"/>
                <w:lang w:eastAsia="en-AU"/>
              </w:rPr>
              <w:t>Annual cost</w:t>
            </w:r>
          </w:p>
        </w:tc>
      </w:tr>
      <w:tr w:rsidR="00CA2D91" w:rsidRPr="00503F5B" w14:paraId="5E423A71" w14:textId="77777777" w:rsidTr="009917B8">
        <w:trPr>
          <w:trHeight w:val="35"/>
          <w:jc w:val="center"/>
        </w:trPr>
        <w:tc>
          <w:tcPr>
            <w:tcW w:w="5387" w:type="dxa"/>
            <w:tcBorders>
              <w:top w:val="nil"/>
              <w:left w:val="nil"/>
              <w:bottom w:val="single" w:sz="4" w:space="0" w:color="C00000"/>
              <w:right w:val="nil"/>
            </w:tcBorders>
            <w:shd w:val="clear" w:color="000000" w:fill="FDE9D9"/>
            <w:vAlign w:val="bottom"/>
            <w:hideMark/>
          </w:tcPr>
          <w:p w14:paraId="0E6CBC75"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Community Safety Technical Department</w:t>
            </w:r>
          </w:p>
        </w:tc>
        <w:tc>
          <w:tcPr>
            <w:tcW w:w="534" w:type="dxa"/>
            <w:tcBorders>
              <w:top w:val="nil"/>
              <w:left w:val="nil"/>
              <w:bottom w:val="single" w:sz="4" w:space="0" w:color="C00000"/>
              <w:right w:val="nil"/>
            </w:tcBorders>
            <w:shd w:val="clear" w:color="000000" w:fill="FDE9D9"/>
            <w:noWrap/>
            <w:vAlign w:val="center"/>
            <w:hideMark/>
          </w:tcPr>
          <w:p w14:paraId="7C8699A9"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883" w:type="dxa"/>
            <w:tcBorders>
              <w:top w:val="nil"/>
              <w:left w:val="nil"/>
              <w:bottom w:val="single" w:sz="4" w:space="0" w:color="C00000"/>
              <w:right w:val="nil"/>
            </w:tcBorders>
            <w:shd w:val="clear" w:color="000000" w:fill="FDE9D9"/>
            <w:vAlign w:val="center"/>
            <w:hideMark/>
          </w:tcPr>
          <w:p w14:paraId="52C1DB55"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993" w:type="dxa"/>
            <w:tcBorders>
              <w:top w:val="nil"/>
              <w:left w:val="nil"/>
              <w:bottom w:val="single" w:sz="4" w:space="0" w:color="C00000"/>
              <w:right w:val="nil"/>
            </w:tcBorders>
            <w:shd w:val="clear" w:color="000000" w:fill="FDE9D9"/>
            <w:vAlign w:val="bottom"/>
            <w:hideMark/>
          </w:tcPr>
          <w:p w14:paraId="72083E4B"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955" w:type="dxa"/>
            <w:tcBorders>
              <w:top w:val="nil"/>
              <w:left w:val="nil"/>
              <w:bottom w:val="single" w:sz="4" w:space="0" w:color="C00000"/>
              <w:right w:val="nil"/>
            </w:tcBorders>
            <w:shd w:val="clear" w:color="000000" w:fill="FDE9D9"/>
            <w:vAlign w:val="bottom"/>
            <w:hideMark/>
          </w:tcPr>
          <w:p w14:paraId="414AAB19"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462" w:type="dxa"/>
            <w:tcBorders>
              <w:top w:val="nil"/>
              <w:left w:val="nil"/>
              <w:bottom w:val="single" w:sz="4" w:space="0" w:color="C00000"/>
              <w:right w:val="nil"/>
            </w:tcBorders>
            <w:shd w:val="clear" w:color="000000" w:fill="FDE9D9"/>
            <w:noWrap/>
            <w:vAlign w:val="bottom"/>
            <w:hideMark/>
          </w:tcPr>
          <w:p w14:paraId="6892AEA1"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r>
      <w:tr w:rsidR="00CA2D91" w:rsidRPr="00503F5B" w14:paraId="358C40EB" w14:textId="77777777" w:rsidTr="009917B8">
        <w:trPr>
          <w:trHeight w:val="300"/>
          <w:jc w:val="center"/>
        </w:trPr>
        <w:tc>
          <w:tcPr>
            <w:tcW w:w="5387" w:type="dxa"/>
            <w:tcBorders>
              <w:top w:val="nil"/>
              <w:left w:val="nil"/>
              <w:bottom w:val="nil"/>
              <w:right w:val="nil"/>
            </w:tcBorders>
            <w:shd w:val="clear" w:color="000000" w:fill="FFFFFF"/>
            <w:vAlign w:val="bottom"/>
            <w:hideMark/>
          </w:tcPr>
          <w:p w14:paraId="2DC8E6BB"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Fire Engineering Briefs (IFEG 2005 Stakeholder Consultation)</w:t>
            </w:r>
          </w:p>
        </w:tc>
        <w:tc>
          <w:tcPr>
            <w:tcW w:w="534" w:type="dxa"/>
            <w:tcBorders>
              <w:top w:val="nil"/>
              <w:left w:val="nil"/>
              <w:bottom w:val="nil"/>
              <w:right w:val="nil"/>
            </w:tcBorders>
            <w:shd w:val="clear" w:color="000000" w:fill="FFFFFF"/>
            <w:noWrap/>
            <w:vAlign w:val="center"/>
            <w:hideMark/>
          </w:tcPr>
          <w:p w14:paraId="0F485A12"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883" w:type="dxa"/>
            <w:tcBorders>
              <w:top w:val="nil"/>
              <w:left w:val="nil"/>
              <w:bottom w:val="nil"/>
              <w:right w:val="nil"/>
            </w:tcBorders>
            <w:shd w:val="clear" w:color="000000" w:fill="FFFFFF"/>
            <w:noWrap/>
            <w:vAlign w:val="center"/>
            <w:hideMark/>
          </w:tcPr>
          <w:p w14:paraId="65B4189D"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nil"/>
              <w:right w:val="nil"/>
            </w:tcBorders>
            <w:shd w:val="clear" w:color="000000" w:fill="FFFFFF"/>
            <w:noWrap/>
            <w:vAlign w:val="bottom"/>
            <w:hideMark/>
          </w:tcPr>
          <w:p w14:paraId="49212217"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955" w:type="dxa"/>
            <w:tcBorders>
              <w:top w:val="nil"/>
              <w:left w:val="nil"/>
              <w:bottom w:val="nil"/>
              <w:right w:val="nil"/>
            </w:tcBorders>
            <w:shd w:val="clear" w:color="000000" w:fill="FFFFFF"/>
            <w:noWrap/>
            <w:vAlign w:val="bottom"/>
            <w:hideMark/>
          </w:tcPr>
          <w:p w14:paraId="1725AB24"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462" w:type="dxa"/>
            <w:tcBorders>
              <w:top w:val="nil"/>
              <w:left w:val="nil"/>
              <w:bottom w:val="nil"/>
              <w:right w:val="nil"/>
            </w:tcBorders>
            <w:shd w:val="clear" w:color="000000" w:fill="FFFFFF"/>
            <w:noWrap/>
            <w:vAlign w:val="bottom"/>
            <w:hideMark/>
          </w:tcPr>
          <w:p w14:paraId="1B23554E"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r>
      <w:tr w:rsidR="00CA2D91" w:rsidRPr="00503F5B" w14:paraId="0084A236" w14:textId="77777777" w:rsidTr="009917B8">
        <w:trPr>
          <w:trHeight w:val="510"/>
          <w:jc w:val="center"/>
        </w:trPr>
        <w:tc>
          <w:tcPr>
            <w:tcW w:w="5387" w:type="dxa"/>
            <w:tcBorders>
              <w:top w:val="nil"/>
              <w:left w:val="nil"/>
              <w:bottom w:val="nil"/>
              <w:right w:val="nil"/>
            </w:tcBorders>
            <w:shd w:val="clear" w:color="000000" w:fill="FFFFFF"/>
            <w:vAlign w:val="center"/>
            <w:hideMark/>
          </w:tcPr>
          <w:p w14:paraId="60A337F5"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Administration:  Receive and log electronic application; Telephone inquiry/follow up with applicant; Create file and allocate job number; and Populate template</w:t>
            </w:r>
          </w:p>
        </w:tc>
        <w:tc>
          <w:tcPr>
            <w:tcW w:w="534" w:type="dxa"/>
            <w:tcBorders>
              <w:top w:val="nil"/>
              <w:left w:val="nil"/>
              <w:bottom w:val="nil"/>
              <w:right w:val="nil"/>
            </w:tcBorders>
            <w:shd w:val="clear" w:color="000000" w:fill="FFFFFF"/>
            <w:noWrap/>
            <w:vAlign w:val="center"/>
            <w:hideMark/>
          </w:tcPr>
          <w:p w14:paraId="70A6A1DF"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439CC91E"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MFB 3</w:t>
            </w:r>
          </w:p>
        </w:tc>
        <w:tc>
          <w:tcPr>
            <w:tcW w:w="993" w:type="dxa"/>
            <w:tcBorders>
              <w:top w:val="nil"/>
              <w:left w:val="nil"/>
              <w:bottom w:val="nil"/>
              <w:right w:val="nil"/>
            </w:tcBorders>
            <w:shd w:val="clear" w:color="000000" w:fill="FFFFFF"/>
            <w:noWrap/>
            <w:vAlign w:val="center"/>
            <w:hideMark/>
          </w:tcPr>
          <w:p w14:paraId="70DC6D52"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303</w:t>
            </w:r>
          </w:p>
        </w:tc>
        <w:tc>
          <w:tcPr>
            <w:tcW w:w="955" w:type="dxa"/>
            <w:tcBorders>
              <w:top w:val="nil"/>
              <w:left w:val="nil"/>
              <w:bottom w:val="nil"/>
              <w:right w:val="nil"/>
            </w:tcBorders>
            <w:shd w:val="clear" w:color="000000" w:fill="FFFFFF"/>
            <w:noWrap/>
            <w:vAlign w:val="center"/>
            <w:hideMark/>
          </w:tcPr>
          <w:p w14:paraId="535AD26E"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$47</w:t>
            </w:r>
          </w:p>
        </w:tc>
        <w:tc>
          <w:tcPr>
            <w:tcW w:w="462" w:type="dxa"/>
            <w:tcBorders>
              <w:top w:val="nil"/>
              <w:left w:val="nil"/>
              <w:bottom w:val="nil"/>
              <w:right w:val="nil"/>
            </w:tcBorders>
            <w:shd w:val="clear" w:color="000000" w:fill="FFFFFF"/>
            <w:noWrap/>
            <w:vAlign w:val="center"/>
            <w:hideMark/>
          </w:tcPr>
          <w:p w14:paraId="5E47B8AD"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$14,108</w:t>
            </w:r>
          </w:p>
        </w:tc>
      </w:tr>
      <w:tr w:rsidR="00CA2D91" w:rsidRPr="00503F5B" w14:paraId="1E6BD00F" w14:textId="77777777" w:rsidTr="009917B8">
        <w:trPr>
          <w:trHeight w:val="300"/>
          <w:jc w:val="center"/>
        </w:trPr>
        <w:tc>
          <w:tcPr>
            <w:tcW w:w="5387" w:type="dxa"/>
            <w:tcBorders>
              <w:top w:val="nil"/>
              <w:left w:val="nil"/>
              <w:bottom w:val="nil"/>
              <w:right w:val="nil"/>
            </w:tcBorders>
            <w:shd w:val="clear" w:color="000000" w:fill="FFFFFF"/>
            <w:vAlign w:val="center"/>
            <w:hideMark/>
          </w:tcPr>
          <w:p w14:paraId="7B4FB187"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Supporting documentation review:  Participation in conceptual design meeting or teleconference; and Desktop analysis review</w:t>
            </w:r>
          </w:p>
        </w:tc>
        <w:tc>
          <w:tcPr>
            <w:tcW w:w="534" w:type="dxa"/>
            <w:tcBorders>
              <w:top w:val="nil"/>
              <w:left w:val="nil"/>
              <w:bottom w:val="nil"/>
              <w:right w:val="nil"/>
            </w:tcBorders>
            <w:shd w:val="clear" w:color="000000" w:fill="FFFFFF"/>
            <w:noWrap/>
            <w:vAlign w:val="center"/>
            <w:hideMark/>
          </w:tcPr>
          <w:p w14:paraId="3B5A85ED"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2</w:t>
            </w:r>
          </w:p>
        </w:tc>
        <w:tc>
          <w:tcPr>
            <w:tcW w:w="883" w:type="dxa"/>
            <w:tcBorders>
              <w:top w:val="nil"/>
              <w:left w:val="nil"/>
              <w:bottom w:val="nil"/>
              <w:right w:val="nil"/>
            </w:tcBorders>
            <w:shd w:val="clear" w:color="000000" w:fill="FFFFFF"/>
            <w:noWrap/>
            <w:vAlign w:val="center"/>
            <w:hideMark/>
          </w:tcPr>
          <w:p w14:paraId="1AD09A1C"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MFB 6</w:t>
            </w:r>
          </w:p>
        </w:tc>
        <w:tc>
          <w:tcPr>
            <w:tcW w:w="993" w:type="dxa"/>
            <w:tcBorders>
              <w:top w:val="nil"/>
              <w:left w:val="nil"/>
              <w:bottom w:val="nil"/>
              <w:right w:val="nil"/>
            </w:tcBorders>
            <w:shd w:val="clear" w:color="000000" w:fill="FFFFFF"/>
            <w:noWrap/>
            <w:vAlign w:val="center"/>
            <w:hideMark/>
          </w:tcPr>
          <w:p w14:paraId="4FB4E2D0"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1818</w:t>
            </w:r>
          </w:p>
        </w:tc>
        <w:tc>
          <w:tcPr>
            <w:tcW w:w="955" w:type="dxa"/>
            <w:tcBorders>
              <w:top w:val="nil"/>
              <w:left w:val="nil"/>
              <w:bottom w:val="nil"/>
              <w:right w:val="nil"/>
            </w:tcBorders>
            <w:shd w:val="clear" w:color="000000" w:fill="FFFFFF"/>
            <w:noWrap/>
            <w:vAlign w:val="center"/>
            <w:hideMark/>
          </w:tcPr>
          <w:p w14:paraId="696E19B4"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$92</w:t>
            </w:r>
          </w:p>
        </w:tc>
        <w:tc>
          <w:tcPr>
            <w:tcW w:w="462" w:type="dxa"/>
            <w:tcBorders>
              <w:top w:val="nil"/>
              <w:left w:val="nil"/>
              <w:bottom w:val="nil"/>
              <w:right w:val="nil"/>
            </w:tcBorders>
            <w:shd w:val="clear" w:color="000000" w:fill="FFFFFF"/>
            <w:noWrap/>
            <w:vAlign w:val="center"/>
            <w:hideMark/>
          </w:tcPr>
          <w:p w14:paraId="3FDD0DEB"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$166,718</w:t>
            </w:r>
          </w:p>
        </w:tc>
      </w:tr>
      <w:tr w:rsidR="00CA2D91" w:rsidRPr="00503F5B" w14:paraId="3BF51DD7" w14:textId="77777777" w:rsidTr="009917B8">
        <w:trPr>
          <w:trHeight w:val="300"/>
          <w:jc w:val="center"/>
        </w:trPr>
        <w:tc>
          <w:tcPr>
            <w:tcW w:w="5387" w:type="dxa"/>
            <w:tcBorders>
              <w:top w:val="nil"/>
              <w:left w:val="nil"/>
              <w:bottom w:val="nil"/>
              <w:right w:val="nil"/>
            </w:tcBorders>
            <w:shd w:val="clear" w:color="000000" w:fill="FFFFFF"/>
            <w:vAlign w:val="center"/>
            <w:hideMark/>
          </w:tcPr>
          <w:p w14:paraId="29198134"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Site inspection: Only applies to existing buildings that are being altered or extended</w:t>
            </w:r>
          </w:p>
        </w:tc>
        <w:tc>
          <w:tcPr>
            <w:tcW w:w="534" w:type="dxa"/>
            <w:tcBorders>
              <w:top w:val="nil"/>
              <w:left w:val="nil"/>
              <w:bottom w:val="nil"/>
              <w:right w:val="nil"/>
            </w:tcBorders>
            <w:shd w:val="clear" w:color="000000" w:fill="FFFFFF"/>
            <w:noWrap/>
            <w:vAlign w:val="center"/>
            <w:hideMark/>
          </w:tcPr>
          <w:p w14:paraId="527E72BE"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5804CE78"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MFB 6</w:t>
            </w:r>
          </w:p>
        </w:tc>
        <w:tc>
          <w:tcPr>
            <w:tcW w:w="993" w:type="dxa"/>
            <w:tcBorders>
              <w:top w:val="nil"/>
              <w:left w:val="nil"/>
              <w:bottom w:val="nil"/>
              <w:right w:val="nil"/>
            </w:tcBorders>
            <w:shd w:val="clear" w:color="000000" w:fill="FFFFFF"/>
            <w:noWrap/>
            <w:vAlign w:val="center"/>
            <w:hideMark/>
          </w:tcPr>
          <w:p w14:paraId="4B71BD91"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76</w:t>
            </w:r>
          </w:p>
        </w:tc>
        <w:tc>
          <w:tcPr>
            <w:tcW w:w="955" w:type="dxa"/>
            <w:tcBorders>
              <w:top w:val="nil"/>
              <w:left w:val="nil"/>
              <w:bottom w:val="nil"/>
              <w:right w:val="nil"/>
            </w:tcBorders>
            <w:shd w:val="clear" w:color="000000" w:fill="FFFFFF"/>
            <w:noWrap/>
            <w:vAlign w:val="center"/>
            <w:hideMark/>
          </w:tcPr>
          <w:p w14:paraId="658233B2"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$92</w:t>
            </w:r>
          </w:p>
        </w:tc>
        <w:tc>
          <w:tcPr>
            <w:tcW w:w="462" w:type="dxa"/>
            <w:tcBorders>
              <w:top w:val="nil"/>
              <w:left w:val="nil"/>
              <w:bottom w:val="nil"/>
              <w:right w:val="nil"/>
            </w:tcBorders>
            <w:shd w:val="clear" w:color="000000" w:fill="FFFFFF"/>
            <w:noWrap/>
            <w:vAlign w:val="center"/>
            <w:hideMark/>
          </w:tcPr>
          <w:p w14:paraId="4F063391"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$6,947</w:t>
            </w:r>
          </w:p>
        </w:tc>
      </w:tr>
      <w:tr w:rsidR="00CA2D91" w:rsidRPr="00503F5B" w14:paraId="656F1BD9" w14:textId="77777777" w:rsidTr="009917B8">
        <w:trPr>
          <w:trHeight w:val="300"/>
          <w:jc w:val="center"/>
        </w:trPr>
        <w:tc>
          <w:tcPr>
            <w:tcW w:w="5387" w:type="dxa"/>
            <w:tcBorders>
              <w:top w:val="nil"/>
              <w:left w:val="nil"/>
              <w:bottom w:val="nil"/>
              <w:right w:val="nil"/>
            </w:tcBorders>
            <w:shd w:val="clear" w:color="000000" w:fill="FFFFFF"/>
            <w:vAlign w:val="center"/>
            <w:hideMark/>
          </w:tcPr>
          <w:p w14:paraId="4586849E"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Report preparation &amp; processing: Generate report; Update job tracking; and Send correspondence</w:t>
            </w:r>
          </w:p>
        </w:tc>
        <w:tc>
          <w:tcPr>
            <w:tcW w:w="534" w:type="dxa"/>
            <w:tcBorders>
              <w:top w:val="nil"/>
              <w:left w:val="nil"/>
              <w:bottom w:val="nil"/>
              <w:right w:val="nil"/>
            </w:tcBorders>
            <w:shd w:val="clear" w:color="000000" w:fill="FFFFFF"/>
            <w:noWrap/>
            <w:vAlign w:val="center"/>
            <w:hideMark/>
          </w:tcPr>
          <w:p w14:paraId="549A6E20"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2</w:t>
            </w:r>
          </w:p>
        </w:tc>
        <w:tc>
          <w:tcPr>
            <w:tcW w:w="883" w:type="dxa"/>
            <w:tcBorders>
              <w:top w:val="nil"/>
              <w:left w:val="nil"/>
              <w:bottom w:val="nil"/>
              <w:right w:val="nil"/>
            </w:tcBorders>
            <w:shd w:val="clear" w:color="000000" w:fill="FFFFFF"/>
            <w:noWrap/>
            <w:vAlign w:val="center"/>
            <w:hideMark/>
          </w:tcPr>
          <w:p w14:paraId="437F9B77"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MFB 6</w:t>
            </w:r>
          </w:p>
        </w:tc>
        <w:tc>
          <w:tcPr>
            <w:tcW w:w="993" w:type="dxa"/>
            <w:tcBorders>
              <w:top w:val="nil"/>
              <w:left w:val="nil"/>
              <w:bottom w:val="nil"/>
              <w:right w:val="nil"/>
            </w:tcBorders>
            <w:shd w:val="clear" w:color="000000" w:fill="FFFFFF"/>
            <w:noWrap/>
            <w:vAlign w:val="center"/>
            <w:hideMark/>
          </w:tcPr>
          <w:p w14:paraId="117BF5E8"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1515</w:t>
            </w:r>
          </w:p>
        </w:tc>
        <w:tc>
          <w:tcPr>
            <w:tcW w:w="955" w:type="dxa"/>
            <w:tcBorders>
              <w:top w:val="nil"/>
              <w:left w:val="nil"/>
              <w:bottom w:val="nil"/>
              <w:right w:val="nil"/>
            </w:tcBorders>
            <w:shd w:val="clear" w:color="000000" w:fill="FFFFFF"/>
            <w:noWrap/>
            <w:vAlign w:val="center"/>
            <w:hideMark/>
          </w:tcPr>
          <w:p w14:paraId="5B95784E"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$92</w:t>
            </w:r>
          </w:p>
        </w:tc>
        <w:tc>
          <w:tcPr>
            <w:tcW w:w="462" w:type="dxa"/>
            <w:tcBorders>
              <w:top w:val="nil"/>
              <w:left w:val="nil"/>
              <w:bottom w:val="nil"/>
              <w:right w:val="nil"/>
            </w:tcBorders>
            <w:shd w:val="clear" w:color="000000" w:fill="FFFFFF"/>
            <w:noWrap/>
            <w:vAlign w:val="center"/>
            <w:hideMark/>
          </w:tcPr>
          <w:p w14:paraId="10353CED"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$138,932</w:t>
            </w:r>
          </w:p>
        </w:tc>
      </w:tr>
      <w:tr w:rsidR="00CA2D91" w:rsidRPr="00503F5B" w14:paraId="491D9EEC" w14:textId="77777777" w:rsidTr="009917B8">
        <w:trPr>
          <w:trHeight w:val="300"/>
          <w:jc w:val="center"/>
        </w:trPr>
        <w:tc>
          <w:tcPr>
            <w:tcW w:w="5387" w:type="dxa"/>
            <w:tcBorders>
              <w:top w:val="nil"/>
              <w:left w:val="nil"/>
              <w:bottom w:val="nil"/>
              <w:right w:val="nil"/>
            </w:tcBorders>
            <w:shd w:val="clear" w:color="000000" w:fill="FFFFFF"/>
            <w:vAlign w:val="center"/>
            <w:hideMark/>
          </w:tcPr>
          <w:p w14:paraId="728C462B"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Reassessment: Desktop analysis of resubmission; Generate report; Update job tracking; and Send correspondence</w:t>
            </w:r>
          </w:p>
        </w:tc>
        <w:tc>
          <w:tcPr>
            <w:tcW w:w="534" w:type="dxa"/>
            <w:tcBorders>
              <w:top w:val="nil"/>
              <w:left w:val="nil"/>
              <w:bottom w:val="nil"/>
              <w:right w:val="nil"/>
            </w:tcBorders>
            <w:shd w:val="clear" w:color="000000" w:fill="FFFFFF"/>
            <w:noWrap/>
            <w:vAlign w:val="center"/>
            <w:hideMark/>
          </w:tcPr>
          <w:p w14:paraId="0A6CE6DF"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0EE1A73F"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MFB 6</w:t>
            </w:r>
          </w:p>
        </w:tc>
        <w:tc>
          <w:tcPr>
            <w:tcW w:w="993" w:type="dxa"/>
            <w:tcBorders>
              <w:top w:val="nil"/>
              <w:left w:val="nil"/>
              <w:bottom w:val="nil"/>
              <w:right w:val="nil"/>
            </w:tcBorders>
            <w:shd w:val="clear" w:color="000000" w:fill="FFFFFF"/>
            <w:noWrap/>
            <w:vAlign w:val="center"/>
            <w:hideMark/>
          </w:tcPr>
          <w:p w14:paraId="01D9D224"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455</w:t>
            </w:r>
          </w:p>
        </w:tc>
        <w:tc>
          <w:tcPr>
            <w:tcW w:w="955" w:type="dxa"/>
            <w:tcBorders>
              <w:top w:val="nil"/>
              <w:left w:val="nil"/>
              <w:bottom w:val="nil"/>
              <w:right w:val="nil"/>
            </w:tcBorders>
            <w:shd w:val="clear" w:color="000000" w:fill="FFFFFF"/>
            <w:noWrap/>
            <w:vAlign w:val="center"/>
            <w:hideMark/>
          </w:tcPr>
          <w:p w14:paraId="1C5F4FAD"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$92</w:t>
            </w:r>
          </w:p>
        </w:tc>
        <w:tc>
          <w:tcPr>
            <w:tcW w:w="462" w:type="dxa"/>
            <w:tcBorders>
              <w:top w:val="nil"/>
              <w:left w:val="nil"/>
              <w:bottom w:val="nil"/>
              <w:right w:val="nil"/>
            </w:tcBorders>
            <w:shd w:val="clear" w:color="000000" w:fill="FFFFFF"/>
            <w:noWrap/>
            <w:vAlign w:val="center"/>
            <w:hideMark/>
          </w:tcPr>
          <w:p w14:paraId="0F8053DB"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$41,680</w:t>
            </w:r>
          </w:p>
        </w:tc>
      </w:tr>
      <w:tr w:rsidR="00CA2D91" w:rsidRPr="00503F5B" w14:paraId="273EDB9A" w14:textId="77777777" w:rsidTr="009917B8">
        <w:trPr>
          <w:trHeight w:val="300"/>
          <w:jc w:val="center"/>
        </w:trPr>
        <w:tc>
          <w:tcPr>
            <w:tcW w:w="5387" w:type="dxa"/>
            <w:tcBorders>
              <w:top w:val="single" w:sz="4" w:space="0" w:color="C00000"/>
              <w:left w:val="nil"/>
              <w:bottom w:val="single" w:sz="4" w:space="0" w:color="C00000"/>
              <w:right w:val="nil"/>
            </w:tcBorders>
            <w:shd w:val="clear" w:color="000000" w:fill="FFFFFF"/>
            <w:vAlign w:val="center"/>
            <w:hideMark/>
          </w:tcPr>
          <w:p w14:paraId="10669D94"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Subtotal annual cost</w:t>
            </w:r>
          </w:p>
        </w:tc>
        <w:tc>
          <w:tcPr>
            <w:tcW w:w="534" w:type="dxa"/>
            <w:tcBorders>
              <w:top w:val="single" w:sz="4" w:space="0" w:color="C00000"/>
              <w:left w:val="nil"/>
              <w:bottom w:val="single" w:sz="4" w:space="0" w:color="C00000"/>
              <w:right w:val="nil"/>
            </w:tcBorders>
            <w:shd w:val="clear" w:color="000000" w:fill="FFFFFF"/>
            <w:noWrap/>
            <w:vAlign w:val="center"/>
            <w:hideMark/>
          </w:tcPr>
          <w:p w14:paraId="4BB7E213"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883" w:type="dxa"/>
            <w:tcBorders>
              <w:top w:val="single" w:sz="4" w:space="0" w:color="C00000"/>
              <w:left w:val="nil"/>
              <w:bottom w:val="single" w:sz="4" w:space="0" w:color="C00000"/>
              <w:right w:val="nil"/>
            </w:tcBorders>
            <w:shd w:val="clear" w:color="000000" w:fill="FFFFFF"/>
            <w:noWrap/>
            <w:vAlign w:val="center"/>
            <w:hideMark/>
          </w:tcPr>
          <w:p w14:paraId="6868CC4A"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993" w:type="dxa"/>
            <w:tcBorders>
              <w:top w:val="single" w:sz="4" w:space="0" w:color="C00000"/>
              <w:left w:val="nil"/>
              <w:bottom w:val="single" w:sz="4" w:space="0" w:color="C00000"/>
              <w:right w:val="nil"/>
            </w:tcBorders>
            <w:shd w:val="clear" w:color="000000" w:fill="FFFFFF"/>
            <w:noWrap/>
            <w:vAlign w:val="center"/>
            <w:hideMark/>
          </w:tcPr>
          <w:p w14:paraId="17722779"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 </w:t>
            </w:r>
          </w:p>
        </w:tc>
        <w:tc>
          <w:tcPr>
            <w:tcW w:w="955" w:type="dxa"/>
            <w:tcBorders>
              <w:top w:val="single" w:sz="4" w:space="0" w:color="C00000"/>
              <w:left w:val="nil"/>
              <w:bottom w:val="single" w:sz="4" w:space="0" w:color="C00000"/>
              <w:right w:val="nil"/>
            </w:tcBorders>
            <w:shd w:val="clear" w:color="000000" w:fill="FFFFFF"/>
            <w:noWrap/>
            <w:vAlign w:val="bottom"/>
            <w:hideMark/>
          </w:tcPr>
          <w:p w14:paraId="116118B6"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462" w:type="dxa"/>
            <w:tcBorders>
              <w:top w:val="single" w:sz="4" w:space="0" w:color="C00000"/>
              <w:left w:val="nil"/>
              <w:bottom w:val="single" w:sz="4" w:space="0" w:color="C00000"/>
              <w:right w:val="nil"/>
            </w:tcBorders>
            <w:shd w:val="clear" w:color="000000" w:fill="FFFFFF"/>
            <w:noWrap/>
            <w:vAlign w:val="bottom"/>
            <w:hideMark/>
          </w:tcPr>
          <w:p w14:paraId="54FDCA18"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$368,385</w:t>
            </w:r>
          </w:p>
        </w:tc>
      </w:tr>
      <w:tr w:rsidR="00CA2D91" w:rsidRPr="00503F5B" w14:paraId="33F13CE9" w14:textId="77777777" w:rsidTr="009917B8">
        <w:trPr>
          <w:trHeight w:val="300"/>
          <w:jc w:val="center"/>
        </w:trPr>
        <w:tc>
          <w:tcPr>
            <w:tcW w:w="5387" w:type="dxa"/>
            <w:tcBorders>
              <w:top w:val="nil"/>
              <w:left w:val="nil"/>
              <w:bottom w:val="nil"/>
              <w:right w:val="nil"/>
            </w:tcBorders>
            <w:shd w:val="clear" w:color="000000" w:fill="FFFFFF"/>
            <w:vAlign w:val="bottom"/>
            <w:hideMark/>
          </w:tcPr>
          <w:p w14:paraId="317B7777"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lastRenderedPageBreak/>
              <w:t>Fire Engineering Reports/DG Risk Assessment Reports</w:t>
            </w:r>
          </w:p>
        </w:tc>
        <w:tc>
          <w:tcPr>
            <w:tcW w:w="534" w:type="dxa"/>
            <w:tcBorders>
              <w:top w:val="nil"/>
              <w:left w:val="nil"/>
              <w:bottom w:val="nil"/>
              <w:right w:val="nil"/>
            </w:tcBorders>
            <w:shd w:val="clear" w:color="000000" w:fill="FFFFFF"/>
            <w:noWrap/>
            <w:vAlign w:val="center"/>
            <w:hideMark/>
          </w:tcPr>
          <w:p w14:paraId="68A2E5DF"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883" w:type="dxa"/>
            <w:tcBorders>
              <w:top w:val="nil"/>
              <w:left w:val="nil"/>
              <w:bottom w:val="nil"/>
              <w:right w:val="nil"/>
            </w:tcBorders>
            <w:shd w:val="clear" w:color="000000" w:fill="FFFFFF"/>
            <w:noWrap/>
            <w:vAlign w:val="center"/>
            <w:hideMark/>
          </w:tcPr>
          <w:p w14:paraId="4C598D74"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nil"/>
              <w:right w:val="nil"/>
            </w:tcBorders>
            <w:shd w:val="clear" w:color="000000" w:fill="FFFFFF"/>
            <w:noWrap/>
            <w:vAlign w:val="bottom"/>
            <w:hideMark/>
          </w:tcPr>
          <w:p w14:paraId="22947522"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955" w:type="dxa"/>
            <w:tcBorders>
              <w:top w:val="nil"/>
              <w:left w:val="nil"/>
              <w:bottom w:val="nil"/>
              <w:right w:val="nil"/>
            </w:tcBorders>
            <w:shd w:val="clear" w:color="000000" w:fill="FFFFFF"/>
            <w:noWrap/>
            <w:vAlign w:val="bottom"/>
            <w:hideMark/>
          </w:tcPr>
          <w:p w14:paraId="345E5299"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462" w:type="dxa"/>
            <w:tcBorders>
              <w:top w:val="nil"/>
              <w:left w:val="nil"/>
              <w:bottom w:val="nil"/>
              <w:right w:val="nil"/>
            </w:tcBorders>
            <w:shd w:val="clear" w:color="000000" w:fill="FFFFFF"/>
            <w:noWrap/>
            <w:vAlign w:val="bottom"/>
            <w:hideMark/>
          </w:tcPr>
          <w:p w14:paraId="219388BB"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r>
      <w:tr w:rsidR="00CA2D91" w:rsidRPr="00503F5B" w14:paraId="038D0C95" w14:textId="77777777" w:rsidTr="009917B8">
        <w:trPr>
          <w:trHeight w:val="300"/>
          <w:jc w:val="center"/>
        </w:trPr>
        <w:tc>
          <w:tcPr>
            <w:tcW w:w="5387" w:type="dxa"/>
            <w:tcBorders>
              <w:top w:val="nil"/>
              <w:left w:val="nil"/>
              <w:bottom w:val="nil"/>
              <w:right w:val="nil"/>
            </w:tcBorders>
            <w:shd w:val="clear" w:color="000000" w:fill="FFFFFF"/>
            <w:vAlign w:val="center"/>
            <w:hideMark/>
          </w:tcPr>
          <w:p w14:paraId="48BA7B5B"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Supporting documentation review: Desktop analysis review; and Internal liaison with BC&amp;A officer</w:t>
            </w:r>
          </w:p>
        </w:tc>
        <w:tc>
          <w:tcPr>
            <w:tcW w:w="534" w:type="dxa"/>
            <w:tcBorders>
              <w:top w:val="nil"/>
              <w:left w:val="nil"/>
              <w:bottom w:val="nil"/>
              <w:right w:val="nil"/>
            </w:tcBorders>
            <w:shd w:val="clear" w:color="000000" w:fill="FFFFFF"/>
            <w:noWrap/>
            <w:vAlign w:val="center"/>
            <w:hideMark/>
          </w:tcPr>
          <w:p w14:paraId="351B1B31"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6BEEE510"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MFB 6</w:t>
            </w:r>
          </w:p>
        </w:tc>
        <w:tc>
          <w:tcPr>
            <w:tcW w:w="993" w:type="dxa"/>
            <w:tcBorders>
              <w:top w:val="nil"/>
              <w:left w:val="nil"/>
              <w:bottom w:val="nil"/>
              <w:right w:val="nil"/>
            </w:tcBorders>
            <w:shd w:val="clear" w:color="000000" w:fill="FFFFFF"/>
            <w:noWrap/>
            <w:vAlign w:val="center"/>
            <w:hideMark/>
          </w:tcPr>
          <w:p w14:paraId="46D694D8"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983</w:t>
            </w:r>
          </w:p>
        </w:tc>
        <w:tc>
          <w:tcPr>
            <w:tcW w:w="955" w:type="dxa"/>
            <w:tcBorders>
              <w:top w:val="nil"/>
              <w:left w:val="nil"/>
              <w:bottom w:val="nil"/>
              <w:right w:val="nil"/>
            </w:tcBorders>
            <w:shd w:val="clear" w:color="000000" w:fill="FFFFFF"/>
            <w:noWrap/>
            <w:vAlign w:val="center"/>
            <w:hideMark/>
          </w:tcPr>
          <w:p w14:paraId="3118EA07"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$92</w:t>
            </w:r>
          </w:p>
        </w:tc>
        <w:tc>
          <w:tcPr>
            <w:tcW w:w="462" w:type="dxa"/>
            <w:tcBorders>
              <w:top w:val="nil"/>
              <w:left w:val="nil"/>
              <w:bottom w:val="nil"/>
              <w:right w:val="nil"/>
            </w:tcBorders>
            <w:shd w:val="clear" w:color="000000" w:fill="FFFFFF"/>
            <w:noWrap/>
            <w:vAlign w:val="center"/>
            <w:hideMark/>
          </w:tcPr>
          <w:p w14:paraId="23D6D3EE"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$90,168</w:t>
            </w:r>
          </w:p>
        </w:tc>
      </w:tr>
      <w:tr w:rsidR="00CA2D91" w:rsidRPr="00503F5B" w14:paraId="79468B3F" w14:textId="77777777" w:rsidTr="009917B8">
        <w:trPr>
          <w:trHeight w:val="300"/>
          <w:jc w:val="center"/>
        </w:trPr>
        <w:tc>
          <w:tcPr>
            <w:tcW w:w="5387" w:type="dxa"/>
            <w:tcBorders>
              <w:top w:val="nil"/>
              <w:left w:val="nil"/>
              <w:bottom w:val="nil"/>
              <w:right w:val="nil"/>
            </w:tcBorders>
            <w:shd w:val="clear" w:color="000000" w:fill="FFFFFF"/>
            <w:vAlign w:val="bottom"/>
            <w:hideMark/>
          </w:tcPr>
          <w:p w14:paraId="55286FAB"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Report preparation &amp; processing: Generate internal report; Update job tracking; and Send internal/external correspondence</w:t>
            </w:r>
          </w:p>
        </w:tc>
        <w:tc>
          <w:tcPr>
            <w:tcW w:w="534" w:type="dxa"/>
            <w:tcBorders>
              <w:top w:val="nil"/>
              <w:left w:val="nil"/>
              <w:bottom w:val="nil"/>
              <w:right w:val="nil"/>
            </w:tcBorders>
            <w:shd w:val="clear" w:color="000000" w:fill="FFFFFF"/>
            <w:noWrap/>
            <w:vAlign w:val="center"/>
            <w:hideMark/>
          </w:tcPr>
          <w:p w14:paraId="0B50CE2A"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3601C8F9"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MFB 6</w:t>
            </w:r>
          </w:p>
        </w:tc>
        <w:tc>
          <w:tcPr>
            <w:tcW w:w="993" w:type="dxa"/>
            <w:tcBorders>
              <w:top w:val="nil"/>
              <w:left w:val="nil"/>
              <w:bottom w:val="nil"/>
              <w:right w:val="nil"/>
            </w:tcBorders>
            <w:shd w:val="clear" w:color="000000" w:fill="FFFFFF"/>
            <w:noWrap/>
            <w:vAlign w:val="center"/>
            <w:hideMark/>
          </w:tcPr>
          <w:p w14:paraId="7D87B645"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219</w:t>
            </w:r>
          </w:p>
        </w:tc>
        <w:tc>
          <w:tcPr>
            <w:tcW w:w="955" w:type="dxa"/>
            <w:tcBorders>
              <w:top w:val="nil"/>
              <w:left w:val="nil"/>
              <w:bottom w:val="nil"/>
              <w:right w:val="nil"/>
            </w:tcBorders>
            <w:shd w:val="clear" w:color="000000" w:fill="FFFFFF"/>
            <w:noWrap/>
            <w:vAlign w:val="center"/>
            <w:hideMark/>
          </w:tcPr>
          <w:p w14:paraId="5A686FA6"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$92</w:t>
            </w:r>
          </w:p>
        </w:tc>
        <w:tc>
          <w:tcPr>
            <w:tcW w:w="462" w:type="dxa"/>
            <w:tcBorders>
              <w:top w:val="nil"/>
              <w:left w:val="nil"/>
              <w:bottom w:val="nil"/>
              <w:right w:val="nil"/>
            </w:tcBorders>
            <w:shd w:val="clear" w:color="000000" w:fill="FFFFFF"/>
            <w:noWrap/>
            <w:vAlign w:val="center"/>
            <w:hideMark/>
          </w:tcPr>
          <w:p w14:paraId="7390136F"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$20,037</w:t>
            </w:r>
          </w:p>
        </w:tc>
      </w:tr>
      <w:tr w:rsidR="00CA2D91" w:rsidRPr="00503F5B" w14:paraId="70A26AED" w14:textId="77777777" w:rsidTr="009917B8">
        <w:trPr>
          <w:trHeight w:val="300"/>
          <w:jc w:val="center"/>
        </w:trPr>
        <w:tc>
          <w:tcPr>
            <w:tcW w:w="5387" w:type="dxa"/>
            <w:tcBorders>
              <w:top w:val="nil"/>
              <w:left w:val="nil"/>
              <w:bottom w:val="nil"/>
              <w:right w:val="nil"/>
            </w:tcBorders>
            <w:shd w:val="clear" w:color="000000" w:fill="FFFFFF"/>
            <w:noWrap/>
            <w:vAlign w:val="bottom"/>
            <w:hideMark/>
          </w:tcPr>
          <w:p w14:paraId="2258EEE4" w14:textId="423F0CAD"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Reassessment: Desktop analysis of resubmission; Generate report; Update job tracking; and Send internal/external correspondence</w:t>
            </w:r>
          </w:p>
        </w:tc>
        <w:tc>
          <w:tcPr>
            <w:tcW w:w="534" w:type="dxa"/>
            <w:tcBorders>
              <w:top w:val="nil"/>
              <w:left w:val="nil"/>
              <w:bottom w:val="nil"/>
              <w:right w:val="nil"/>
            </w:tcBorders>
            <w:shd w:val="clear" w:color="000000" w:fill="FFFFFF"/>
            <w:noWrap/>
            <w:vAlign w:val="center"/>
            <w:hideMark/>
          </w:tcPr>
          <w:p w14:paraId="48D1762C"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26AF4B8E"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MFB 6</w:t>
            </w:r>
          </w:p>
        </w:tc>
        <w:tc>
          <w:tcPr>
            <w:tcW w:w="993" w:type="dxa"/>
            <w:tcBorders>
              <w:top w:val="nil"/>
              <w:left w:val="nil"/>
              <w:bottom w:val="nil"/>
              <w:right w:val="nil"/>
            </w:tcBorders>
            <w:shd w:val="clear" w:color="000000" w:fill="FFFFFF"/>
            <w:noWrap/>
            <w:vAlign w:val="center"/>
            <w:hideMark/>
          </w:tcPr>
          <w:p w14:paraId="2DF24AB2"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656</w:t>
            </w:r>
          </w:p>
        </w:tc>
        <w:tc>
          <w:tcPr>
            <w:tcW w:w="955" w:type="dxa"/>
            <w:tcBorders>
              <w:top w:val="nil"/>
              <w:left w:val="nil"/>
              <w:bottom w:val="nil"/>
              <w:right w:val="nil"/>
            </w:tcBorders>
            <w:shd w:val="clear" w:color="000000" w:fill="FFFFFF"/>
            <w:noWrap/>
            <w:vAlign w:val="center"/>
            <w:hideMark/>
          </w:tcPr>
          <w:p w14:paraId="43286CC6"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$92</w:t>
            </w:r>
          </w:p>
        </w:tc>
        <w:tc>
          <w:tcPr>
            <w:tcW w:w="462" w:type="dxa"/>
            <w:tcBorders>
              <w:top w:val="nil"/>
              <w:left w:val="nil"/>
              <w:bottom w:val="nil"/>
              <w:right w:val="nil"/>
            </w:tcBorders>
            <w:shd w:val="clear" w:color="000000" w:fill="FFFFFF"/>
            <w:noWrap/>
            <w:vAlign w:val="center"/>
            <w:hideMark/>
          </w:tcPr>
          <w:p w14:paraId="00E1C72B"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$60,112</w:t>
            </w:r>
          </w:p>
        </w:tc>
      </w:tr>
      <w:tr w:rsidR="00CA2D91" w:rsidRPr="00503F5B" w14:paraId="600BFD56" w14:textId="77777777" w:rsidTr="009917B8">
        <w:trPr>
          <w:trHeight w:val="300"/>
          <w:jc w:val="center"/>
        </w:trPr>
        <w:tc>
          <w:tcPr>
            <w:tcW w:w="5387" w:type="dxa"/>
            <w:tcBorders>
              <w:top w:val="single" w:sz="4" w:space="0" w:color="C00000"/>
              <w:left w:val="nil"/>
              <w:bottom w:val="single" w:sz="4" w:space="0" w:color="C00000"/>
              <w:right w:val="nil"/>
            </w:tcBorders>
            <w:shd w:val="clear" w:color="000000" w:fill="FFFFFF"/>
            <w:vAlign w:val="center"/>
            <w:hideMark/>
          </w:tcPr>
          <w:p w14:paraId="21ECE9AE"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Subtotal annual cost</w:t>
            </w:r>
          </w:p>
        </w:tc>
        <w:tc>
          <w:tcPr>
            <w:tcW w:w="534" w:type="dxa"/>
            <w:tcBorders>
              <w:top w:val="single" w:sz="4" w:space="0" w:color="C00000"/>
              <w:left w:val="nil"/>
              <w:bottom w:val="single" w:sz="4" w:space="0" w:color="C00000"/>
              <w:right w:val="nil"/>
            </w:tcBorders>
            <w:shd w:val="clear" w:color="000000" w:fill="FFFFFF"/>
            <w:noWrap/>
            <w:vAlign w:val="center"/>
            <w:hideMark/>
          </w:tcPr>
          <w:p w14:paraId="18CD86AA"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883" w:type="dxa"/>
            <w:tcBorders>
              <w:top w:val="single" w:sz="4" w:space="0" w:color="C00000"/>
              <w:left w:val="nil"/>
              <w:bottom w:val="single" w:sz="4" w:space="0" w:color="C00000"/>
              <w:right w:val="nil"/>
            </w:tcBorders>
            <w:shd w:val="clear" w:color="000000" w:fill="FFFFFF"/>
            <w:noWrap/>
            <w:vAlign w:val="center"/>
            <w:hideMark/>
          </w:tcPr>
          <w:p w14:paraId="1FB3E20E"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993" w:type="dxa"/>
            <w:tcBorders>
              <w:top w:val="single" w:sz="4" w:space="0" w:color="C00000"/>
              <w:left w:val="nil"/>
              <w:bottom w:val="single" w:sz="4" w:space="0" w:color="C00000"/>
              <w:right w:val="nil"/>
            </w:tcBorders>
            <w:shd w:val="clear" w:color="000000" w:fill="FFFFFF"/>
            <w:vAlign w:val="bottom"/>
            <w:hideMark/>
          </w:tcPr>
          <w:p w14:paraId="52F3F2B3"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955" w:type="dxa"/>
            <w:tcBorders>
              <w:top w:val="single" w:sz="4" w:space="0" w:color="C00000"/>
              <w:left w:val="nil"/>
              <w:bottom w:val="single" w:sz="4" w:space="0" w:color="C00000"/>
              <w:right w:val="nil"/>
            </w:tcBorders>
            <w:shd w:val="clear" w:color="000000" w:fill="FFFFFF"/>
            <w:noWrap/>
            <w:vAlign w:val="bottom"/>
            <w:hideMark/>
          </w:tcPr>
          <w:p w14:paraId="73B29F08"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462" w:type="dxa"/>
            <w:tcBorders>
              <w:top w:val="single" w:sz="4" w:space="0" w:color="C00000"/>
              <w:left w:val="nil"/>
              <w:bottom w:val="single" w:sz="4" w:space="0" w:color="C00000"/>
              <w:right w:val="nil"/>
            </w:tcBorders>
            <w:shd w:val="clear" w:color="000000" w:fill="FFFFFF"/>
            <w:noWrap/>
            <w:vAlign w:val="bottom"/>
            <w:hideMark/>
          </w:tcPr>
          <w:p w14:paraId="268BE63A"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$170,318</w:t>
            </w:r>
          </w:p>
        </w:tc>
      </w:tr>
      <w:tr w:rsidR="00CA2D91" w:rsidRPr="00503F5B" w14:paraId="55958BD1" w14:textId="77777777" w:rsidTr="009917B8">
        <w:trPr>
          <w:trHeight w:val="300"/>
          <w:jc w:val="center"/>
        </w:trPr>
        <w:tc>
          <w:tcPr>
            <w:tcW w:w="5387" w:type="dxa"/>
            <w:tcBorders>
              <w:top w:val="nil"/>
              <w:left w:val="nil"/>
              <w:bottom w:val="nil"/>
              <w:right w:val="nil"/>
            </w:tcBorders>
            <w:shd w:val="clear" w:color="000000" w:fill="FFFFFF"/>
            <w:vAlign w:val="bottom"/>
            <w:hideMark/>
          </w:tcPr>
          <w:p w14:paraId="4702A3E8"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Inspections – Building or DG sites</w:t>
            </w:r>
          </w:p>
        </w:tc>
        <w:tc>
          <w:tcPr>
            <w:tcW w:w="534" w:type="dxa"/>
            <w:tcBorders>
              <w:top w:val="nil"/>
              <w:left w:val="nil"/>
              <w:bottom w:val="nil"/>
              <w:right w:val="nil"/>
            </w:tcBorders>
            <w:shd w:val="clear" w:color="000000" w:fill="FFFFFF"/>
            <w:noWrap/>
            <w:vAlign w:val="center"/>
            <w:hideMark/>
          </w:tcPr>
          <w:p w14:paraId="4B56E90D"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883" w:type="dxa"/>
            <w:tcBorders>
              <w:top w:val="nil"/>
              <w:left w:val="nil"/>
              <w:bottom w:val="nil"/>
              <w:right w:val="nil"/>
            </w:tcBorders>
            <w:shd w:val="clear" w:color="000000" w:fill="FFFFFF"/>
            <w:noWrap/>
            <w:vAlign w:val="center"/>
            <w:hideMark/>
          </w:tcPr>
          <w:p w14:paraId="60377588"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nil"/>
              <w:right w:val="nil"/>
            </w:tcBorders>
            <w:shd w:val="clear" w:color="000000" w:fill="FFFFFF"/>
            <w:noWrap/>
            <w:vAlign w:val="bottom"/>
            <w:hideMark/>
          </w:tcPr>
          <w:p w14:paraId="4AA4CC21"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955" w:type="dxa"/>
            <w:tcBorders>
              <w:top w:val="nil"/>
              <w:left w:val="nil"/>
              <w:bottom w:val="nil"/>
              <w:right w:val="nil"/>
            </w:tcBorders>
            <w:shd w:val="clear" w:color="000000" w:fill="FFFFFF"/>
            <w:noWrap/>
            <w:vAlign w:val="bottom"/>
            <w:hideMark/>
          </w:tcPr>
          <w:p w14:paraId="2F37F325"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462" w:type="dxa"/>
            <w:tcBorders>
              <w:top w:val="nil"/>
              <w:left w:val="nil"/>
              <w:bottom w:val="nil"/>
              <w:right w:val="nil"/>
            </w:tcBorders>
            <w:shd w:val="clear" w:color="000000" w:fill="FFFFFF"/>
            <w:noWrap/>
            <w:vAlign w:val="bottom"/>
            <w:hideMark/>
          </w:tcPr>
          <w:p w14:paraId="10778E2A"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r>
      <w:tr w:rsidR="00CA2D91" w:rsidRPr="00503F5B" w14:paraId="1DD202FB" w14:textId="77777777" w:rsidTr="009917B8">
        <w:trPr>
          <w:trHeight w:val="300"/>
          <w:jc w:val="center"/>
        </w:trPr>
        <w:tc>
          <w:tcPr>
            <w:tcW w:w="5387" w:type="dxa"/>
            <w:tcBorders>
              <w:top w:val="nil"/>
              <w:left w:val="nil"/>
              <w:bottom w:val="nil"/>
              <w:right w:val="nil"/>
            </w:tcBorders>
            <w:shd w:val="clear" w:color="000000" w:fill="FFFFFF"/>
            <w:vAlign w:val="center"/>
            <w:hideMark/>
          </w:tcPr>
          <w:p w14:paraId="6521B15B"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Conduct joint on-site inspection with BC&amp;A officer &amp; generate internal report</w:t>
            </w:r>
          </w:p>
        </w:tc>
        <w:tc>
          <w:tcPr>
            <w:tcW w:w="534" w:type="dxa"/>
            <w:tcBorders>
              <w:top w:val="nil"/>
              <w:left w:val="nil"/>
              <w:bottom w:val="nil"/>
              <w:right w:val="nil"/>
            </w:tcBorders>
            <w:shd w:val="clear" w:color="000000" w:fill="FFFFFF"/>
            <w:noWrap/>
            <w:vAlign w:val="center"/>
            <w:hideMark/>
          </w:tcPr>
          <w:p w14:paraId="589DE77E"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3CC6BB25"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MFB 6</w:t>
            </w:r>
          </w:p>
        </w:tc>
        <w:tc>
          <w:tcPr>
            <w:tcW w:w="993" w:type="dxa"/>
            <w:tcBorders>
              <w:top w:val="nil"/>
              <w:left w:val="nil"/>
              <w:bottom w:val="nil"/>
              <w:right w:val="nil"/>
            </w:tcBorders>
            <w:shd w:val="clear" w:color="000000" w:fill="FFFFFF"/>
            <w:noWrap/>
            <w:vAlign w:val="center"/>
            <w:hideMark/>
          </w:tcPr>
          <w:p w14:paraId="2F064346"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156</w:t>
            </w:r>
          </w:p>
        </w:tc>
        <w:tc>
          <w:tcPr>
            <w:tcW w:w="955" w:type="dxa"/>
            <w:tcBorders>
              <w:top w:val="nil"/>
              <w:left w:val="nil"/>
              <w:bottom w:val="nil"/>
              <w:right w:val="nil"/>
            </w:tcBorders>
            <w:shd w:val="clear" w:color="000000" w:fill="FFFFFF"/>
            <w:noWrap/>
            <w:vAlign w:val="center"/>
            <w:hideMark/>
          </w:tcPr>
          <w:p w14:paraId="1E4F9D30"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$92</w:t>
            </w:r>
          </w:p>
        </w:tc>
        <w:tc>
          <w:tcPr>
            <w:tcW w:w="462" w:type="dxa"/>
            <w:tcBorders>
              <w:top w:val="nil"/>
              <w:left w:val="nil"/>
              <w:bottom w:val="nil"/>
              <w:right w:val="nil"/>
            </w:tcBorders>
            <w:shd w:val="clear" w:color="000000" w:fill="FFFFFF"/>
            <w:noWrap/>
            <w:vAlign w:val="center"/>
            <w:hideMark/>
          </w:tcPr>
          <w:p w14:paraId="6F4DFC39"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$14,306</w:t>
            </w:r>
          </w:p>
        </w:tc>
      </w:tr>
      <w:tr w:rsidR="00CA2D91" w:rsidRPr="00503F5B" w14:paraId="63890820" w14:textId="77777777" w:rsidTr="009917B8">
        <w:trPr>
          <w:trHeight w:val="300"/>
          <w:jc w:val="center"/>
        </w:trPr>
        <w:tc>
          <w:tcPr>
            <w:tcW w:w="5387" w:type="dxa"/>
            <w:tcBorders>
              <w:top w:val="single" w:sz="4" w:space="0" w:color="C00000"/>
              <w:left w:val="nil"/>
              <w:bottom w:val="single" w:sz="4" w:space="0" w:color="C00000"/>
              <w:right w:val="nil"/>
            </w:tcBorders>
            <w:shd w:val="clear" w:color="000000" w:fill="FFFFFF"/>
            <w:vAlign w:val="center"/>
            <w:hideMark/>
          </w:tcPr>
          <w:p w14:paraId="1CC91CCB"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Subtotal annual cost</w:t>
            </w:r>
          </w:p>
        </w:tc>
        <w:tc>
          <w:tcPr>
            <w:tcW w:w="534" w:type="dxa"/>
            <w:tcBorders>
              <w:top w:val="single" w:sz="4" w:space="0" w:color="C00000"/>
              <w:left w:val="nil"/>
              <w:bottom w:val="single" w:sz="4" w:space="0" w:color="C00000"/>
              <w:right w:val="nil"/>
            </w:tcBorders>
            <w:shd w:val="clear" w:color="000000" w:fill="FFFFFF"/>
            <w:noWrap/>
            <w:vAlign w:val="center"/>
            <w:hideMark/>
          </w:tcPr>
          <w:p w14:paraId="6A6267C4"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883" w:type="dxa"/>
            <w:tcBorders>
              <w:top w:val="single" w:sz="4" w:space="0" w:color="C00000"/>
              <w:left w:val="nil"/>
              <w:bottom w:val="single" w:sz="4" w:space="0" w:color="C00000"/>
              <w:right w:val="nil"/>
            </w:tcBorders>
            <w:shd w:val="clear" w:color="000000" w:fill="FFFFFF"/>
            <w:noWrap/>
            <w:vAlign w:val="center"/>
            <w:hideMark/>
          </w:tcPr>
          <w:p w14:paraId="5C33CA1B"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993" w:type="dxa"/>
            <w:tcBorders>
              <w:top w:val="single" w:sz="4" w:space="0" w:color="C00000"/>
              <w:left w:val="nil"/>
              <w:bottom w:val="single" w:sz="4" w:space="0" w:color="C00000"/>
              <w:right w:val="nil"/>
            </w:tcBorders>
            <w:shd w:val="clear" w:color="000000" w:fill="FFFFFF"/>
            <w:noWrap/>
            <w:vAlign w:val="center"/>
            <w:hideMark/>
          </w:tcPr>
          <w:p w14:paraId="49DD49F8"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156</w:t>
            </w:r>
          </w:p>
        </w:tc>
        <w:tc>
          <w:tcPr>
            <w:tcW w:w="955" w:type="dxa"/>
            <w:tcBorders>
              <w:top w:val="single" w:sz="4" w:space="0" w:color="C00000"/>
              <w:left w:val="nil"/>
              <w:bottom w:val="single" w:sz="4" w:space="0" w:color="C00000"/>
              <w:right w:val="nil"/>
            </w:tcBorders>
            <w:shd w:val="clear" w:color="000000" w:fill="FFFFFF"/>
            <w:noWrap/>
            <w:vAlign w:val="center"/>
            <w:hideMark/>
          </w:tcPr>
          <w:p w14:paraId="496B98F8"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 </w:t>
            </w:r>
          </w:p>
        </w:tc>
        <w:tc>
          <w:tcPr>
            <w:tcW w:w="462" w:type="dxa"/>
            <w:tcBorders>
              <w:top w:val="single" w:sz="4" w:space="0" w:color="C00000"/>
              <w:left w:val="nil"/>
              <w:bottom w:val="single" w:sz="4" w:space="0" w:color="C00000"/>
              <w:right w:val="nil"/>
            </w:tcBorders>
            <w:shd w:val="clear" w:color="000000" w:fill="FFFFFF"/>
            <w:noWrap/>
            <w:vAlign w:val="center"/>
            <w:hideMark/>
          </w:tcPr>
          <w:p w14:paraId="3FD82ED2"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$14,306</w:t>
            </w:r>
          </w:p>
        </w:tc>
      </w:tr>
      <w:tr w:rsidR="00CA2D91" w:rsidRPr="00503F5B" w14:paraId="2730071D" w14:textId="77777777" w:rsidTr="009917B8">
        <w:trPr>
          <w:trHeight w:val="300"/>
          <w:jc w:val="center"/>
        </w:trPr>
        <w:tc>
          <w:tcPr>
            <w:tcW w:w="5387" w:type="dxa"/>
            <w:tcBorders>
              <w:top w:val="nil"/>
              <w:left w:val="nil"/>
              <w:bottom w:val="nil"/>
              <w:right w:val="nil"/>
            </w:tcBorders>
            <w:shd w:val="clear" w:color="000000" w:fill="FFFFFF"/>
            <w:vAlign w:val="bottom"/>
            <w:hideMark/>
          </w:tcPr>
          <w:p w14:paraId="1B09ABAA"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MHF Safety Case Reviews</w:t>
            </w:r>
          </w:p>
        </w:tc>
        <w:tc>
          <w:tcPr>
            <w:tcW w:w="534" w:type="dxa"/>
            <w:tcBorders>
              <w:top w:val="nil"/>
              <w:left w:val="nil"/>
              <w:bottom w:val="nil"/>
              <w:right w:val="nil"/>
            </w:tcBorders>
            <w:shd w:val="clear" w:color="000000" w:fill="FFFFFF"/>
            <w:noWrap/>
            <w:vAlign w:val="center"/>
            <w:hideMark/>
          </w:tcPr>
          <w:p w14:paraId="5D0B4BC8"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883" w:type="dxa"/>
            <w:tcBorders>
              <w:top w:val="nil"/>
              <w:left w:val="nil"/>
              <w:bottom w:val="nil"/>
              <w:right w:val="nil"/>
            </w:tcBorders>
            <w:shd w:val="clear" w:color="000000" w:fill="FFFFFF"/>
            <w:noWrap/>
            <w:vAlign w:val="center"/>
            <w:hideMark/>
          </w:tcPr>
          <w:p w14:paraId="15672C3F"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nil"/>
              <w:right w:val="nil"/>
            </w:tcBorders>
            <w:shd w:val="clear" w:color="000000" w:fill="FFFFFF"/>
            <w:noWrap/>
            <w:vAlign w:val="bottom"/>
            <w:hideMark/>
          </w:tcPr>
          <w:p w14:paraId="321938A4"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955" w:type="dxa"/>
            <w:tcBorders>
              <w:top w:val="nil"/>
              <w:left w:val="nil"/>
              <w:bottom w:val="nil"/>
              <w:right w:val="nil"/>
            </w:tcBorders>
            <w:shd w:val="clear" w:color="000000" w:fill="FFFFFF"/>
            <w:noWrap/>
            <w:vAlign w:val="bottom"/>
            <w:hideMark/>
          </w:tcPr>
          <w:p w14:paraId="0C9EB78F"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462" w:type="dxa"/>
            <w:tcBorders>
              <w:top w:val="nil"/>
              <w:left w:val="nil"/>
              <w:bottom w:val="nil"/>
              <w:right w:val="nil"/>
            </w:tcBorders>
            <w:shd w:val="clear" w:color="000000" w:fill="FFFFFF"/>
            <w:noWrap/>
            <w:vAlign w:val="bottom"/>
            <w:hideMark/>
          </w:tcPr>
          <w:p w14:paraId="3FF4A378"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r>
      <w:tr w:rsidR="00CA2D91" w:rsidRPr="00503F5B" w14:paraId="226C7CEA" w14:textId="77777777" w:rsidTr="009917B8">
        <w:trPr>
          <w:trHeight w:val="300"/>
          <w:jc w:val="center"/>
        </w:trPr>
        <w:tc>
          <w:tcPr>
            <w:tcW w:w="5387" w:type="dxa"/>
            <w:tcBorders>
              <w:top w:val="nil"/>
              <w:left w:val="nil"/>
              <w:bottom w:val="nil"/>
              <w:right w:val="nil"/>
            </w:tcBorders>
            <w:shd w:val="clear" w:color="000000" w:fill="FFFFFF"/>
            <w:vAlign w:val="center"/>
            <w:hideMark/>
          </w:tcPr>
          <w:p w14:paraId="788DB92D"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Desktop analysis of Major Hazard Facility safety case review and report</w:t>
            </w:r>
          </w:p>
        </w:tc>
        <w:tc>
          <w:tcPr>
            <w:tcW w:w="534" w:type="dxa"/>
            <w:tcBorders>
              <w:top w:val="nil"/>
              <w:left w:val="nil"/>
              <w:bottom w:val="nil"/>
              <w:right w:val="nil"/>
            </w:tcBorders>
            <w:shd w:val="clear" w:color="000000" w:fill="FFFFFF"/>
            <w:noWrap/>
            <w:vAlign w:val="center"/>
            <w:hideMark/>
          </w:tcPr>
          <w:p w14:paraId="7005E4C9"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2D26F386"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MFB 6</w:t>
            </w:r>
          </w:p>
        </w:tc>
        <w:tc>
          <w:tcPr>
            <w:tcW w:w="993" w:type="dxa"/>
            <w:tcBorders>
              <w:top w:val="nil"/>
              <w:left w:val="nil"/>
              <w:bottom w:val="nil"/>
              <w:right w:val="nil"/>
            </w:tcBorders>
            <w:shd w:val="clear" w:color="000000" w:fill="FFFFFF"/>
            <w:noWrap/>
            <w:vAlign w:val="center"/>
            <w:hideMark/>
          </w:tcPr>
          <w:p w14:paraId="4A5922F0"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150</w:t>
            </w:r>
          </w:p>
        </w:tc>
        <w:tc>
          <w:tcPr>
            <w:tcW w:w="955" w:type="dxa"/>
            <w:tcBorders>
              <w:top w:val="nil"/>
              <w:left w:val="nil"/>
              <w:bottom w:val="nil"/>
              <w:right w:val="nil"/>
            </w:tcBorders>
            <w:shd w:val="clear" w:color="000000" w:fill="FFFFFF"/>
            <w:noWrap/>
            <w:vAlign w:val="center"/>
            <w:hideMark/>
          </w:tcPr>
          <w:p w14:paraId="589E210F"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$92</w:t>
            </w:r>
          </w:p>
        </w:tc>
        <w:tc>
          <w:tcPr>
            <w:tcW w:w="462" w:type="dxa"/>
            <w:tcBorders>
              <w:top w:val="nil"/>
              <w:left w:val="nil"/>
              <w:bottom w:val="nil"/>
              <w:right w:val="nil"/>
            </w:tcBorders>
            <w:shd w:val="clear" w:color="000000" w:fill="FFFFFF"/>
            <w:noWrap/>
            <w:vAlign w:val="center"/>
            <w:hideMark/>
          </w:tcPr>
          <w:p w14:paraId="45672E6A"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$13,756</w:t>
            </w:r>
          </w:p>
        </w:tc>
      </w:tr>
      <w:tr w:rsidR="00CA2D91" w:rsidRPr="00503F5B" w14:paraId="694143DD" w14:textId="77777777" w:rsidTr="009917B8">
        <w:trPr>
          <w:trHeight w:val="300"/>
          <w:jc w:val="center"/>
        </w:trPr>
        <w:tc>
          <w:tcPr>
            <w:tcW w:w="5387" w:type="dxa"/>
            <w:tcBorders>
              <w:top w:val="single" w:sz="4" w:space="0" w:color="C00000"/>
              <w:left w:val="nil"/>
              <w:bottom w:val="single" w:sz="4" w:space="0" w:color="C00000"/>
              <w:right w:val="nil"/>
            </w:tcBorders>
            <w:shd w:val="clear" w:color="000000" w:fill="FFFFFF"/>
            <w:vAlign w:val="center"/>
            <w:hideMark/>
          </w:tcPr>
          <w:p w14:paraId="3700DFC5"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Subtotal annual cost</w:t>
            </w:r>
          </w:p>
        </w:tc>
        <w:tc>
          <w:tcPr>
            <w:tcW w:w="534" w:type="dxa"/>
            <w:tcBorders>
              <w:top w:val="single" w:sz="4" w:space="0" w:color="C00000"/>
              <w:left w:val="nil"/>
              <w:bottom w:val="single" w:sz="4" w:space="0" w:color="C00000"/>
              <w:right w:val="nil"/>
            </w:tcBorders>
            <w:shd w:val="clear" w:color="000000" w:fill="FFFFFF"/>
            <w:noWrap/>
            <w:vAlign w:val="center"/>
            <w:hideMark/>
          </w:tcPr>
          <w:p w14:paraId="37955C56"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883" w:type="dxa"/>
            <w:tcBorders>
              <w:top w:val="single" w:sz="4" w:space="0" w:color="C00000"/>
              <w:left w:val="nil"/>
              <w:bottom w:val="single" w:sz="4" w:space="0" w:color="C00000"/>
              <w:right w:val="nil"/>
            </w:tcBorders>
            <w:shd w:val="clear" w:color="000000" w:fill="FFFFFF"/>
            <w:noWrap/>
            <w:vAlign w:val="center"/>
            <w:hideMark/>
          </w:tcPr>
          <w:p w14:paraId="78042BED"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993" w:type="dxa"/>
            <w:tcBorders>
              <w:top w:val="single" w:sz="4" w:space="0" w:color="C00000"/>
              <w:left w:val="nil"/>
              <w:bottom w:val="single" w:sz="4" w:space="0" w:color="C00000"/>
              <w:right w:val="nil"/>
            </w:tcBorders>
            <w:shd w:val="clear" w:color="000000" w:fill="FFFFFF"/>
            <w:noWrap/>
            <w:vAlign w:val="bottom"/>
            <w:hideMark/>
          </w:tcPr>
          <w:p w14:paraId="53161763"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955" w:type="dxa"/>
            <w:tcBorders>
              <w:top w:val="single" w:sz="4" w:space="0" w:color="C00000"/>
              <w:left w:val="nil"/>
              <w:bottom w:val="single" w:sz="4" w:space="0" w:color="C00000"/>
              <w:right w:val="nil"/>
            </w:tcBorders>
            <w:shd w:val="clear" w:color="000000" w:fill="FFFFFF"/>
            <w:noWrap/>
            <w:vAlign w:val="bottom"/>
            <w:hideMark/>
          </w:tcPr>
          <w:p w14:paraId="118C0736"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462" w:type="dxa"/>
            <w:tcBorders>
              <w:top w:val="single" w:sz="4" w:space="0" w:color="C00000"/>
              <w:left w:val="nil"/>
              <w:bottom w:val="single" w:sz="4" w:space="0" w:color="C00000"/>
              <w:right w:val="nil"/>
            </w:tcBorders>
            <w:shd w:val="clear" w:color="000000" w:fill="FFFFFF"/>
            <w:noWrap/>
            <w:vAlign w:val="bottom"/>
            <w:hideMark/>
          </w:tcPr>
          <w:p w14:paraId="43FD58B7"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$13,756</w:t>
            </w:r>
          </w:p>
        </w:tc>
      </w:tr>
      <w:tr w:rsidR="00CA2D91" w:rsidRPr="00503F5B" w14:paraId="1C0D9472" w14:textId="77777777" w:rsidTr="009917B8">
        <w:trPr>
          <w:trHeight w:val="70"/>
          <w:jc w:val="center"/>
        </w:trPr>
        <w:tc>
          <w:tcPr>
            <w:tcW w:w="5387" w:type="dxa"/>
            <w:tcBorders>
              <w:top w:val="nil"/>
              <w:left w:val="nil"/>
              <w:bottom w:val="single" w:sz="4" w:space="0" w:color="C00000"/>
              <w:right w:val="nil"/>
            </w:tcBorders>
            <w:shd w:val="clear" w:color="000000" w:fill="FDE9D9"/>
            <w:vAlign w:val="bottom"/>
            <w:hideMark/>
          </w:tcPr>
          <w:p w14:paraId="07D557E5"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BCA</w:t>
            </w:r>
          </w:p>
        </w:tc>
        <w:tc>
          <w:tcPr>
            <w:tcW w:w="534" w:type="dxa"/>
            <w:tcBorders>
              <w:top w:val="nil"/>
              <w:left w:val="nil"/>
              <w:bottom w:val="single" w:sz="4" w:space="0" w:color="C00000"/>
              <w:right w:val="nil"/>
            </w:tcBorders>
            <w:shd w:val="clear" w:color="000000" w:fill="FDE9D9"/>
            <w:noWrap/>
            <w:vAlign w:val="center"/>
            <w:hideMark/>
          </w:tcPr>
          <w:p w14:paraId="1E99A12B"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883" w:type="dxa"/>
            <w:tcBorders>
              <w:top w:val="nil"/>
              <w:left w:val="nil"/>
              <w:bottom w:val="single" w:sz="4" w:space="0" w:color="C00000"/>
              <w:right w:val="nil"/>
            </w:tcBorders>
            <w:shd w:val="clear" w:color="000000" w:fill="FDE9D9"/>
            <w:noWrap/>
            <w:vAlign w:val="center"/>
            <w:hideMark/>
          </w:tcPr>
          <w:p w14:paraId="06C8B236"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single" w:sz="4" w:space="0" w:color="C00000"/>
              <w:right w:val="nil"/>
            </w:tcBorders>
            <w:shd w:val="clear" w:color="000000" w:fill="FDE9D9"/>
            <w:noWrap/>
            <w:vAlign w:val="bottom"/>
            <w:hideMark/>
          </w:tcPr>
          <w:p w14:paraId="5C696EF3"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955" w:type="dxa"/>
            <w:tcBorders>
              <w:top w:val="nil"/>
              <w:left w:val="nil"/>
              <w:bottom w:val="single" w:sz="4" w:space="0" w:color="C00000"/>
              <w:right w:val="nil"/>
            </w:tcBorders>
            <w:shd w:val="clear" w:color="000000" w:fill="FDE9D9"/>
            <w:noWrap/>
            <w:vAlign w:val="bottom"/>
            <w:hideMark/>
          </w:tcPr>
          <w:p w14:paraId="53D235FF"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462" w:type="dxa"/>
            <w:tcBorders>
              <w:top w:val="nil"/>
              <w:left w:val="nil"/>
              <w:bottom w:val="single" w:sz="4" w:space="0" w:color="C00000"/>
              <w:right w:val="nil"/>
            </w:tcBorders>
            <w:shd w:val="clear" w:color="000000" w:fill="FDE9D9"/>
            <w:noWrap/>
            <w:vAlign w:val="bottom"/>
            <w:hideMark/>
          </w:tcPr>
          <w:p w14:paraId="426E49AF"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r>
      <w:tr w:rsidR="00CA2D91" w:rsidRPr="00503F5B" w14:paraId="7DD7972C" w14:textId="77777777" w:rsidTr="009917B8">
        <w:trPr>
          <w:trHeight w:val="300"/>
          <w:jc w:val="center"/>
        </w:trPr>
        <w:tc>
          <w:tcPr>
            <w:tcW w:w="5387" w:type="dxa"/>
            <w:tcBorders>
              <w:top w:val="nil"/>
              <w:left w:val="nil"/>
              <w:bottom w:val="nil"/>
              <w:right w:val="nil"/>
            </w:tcBorders>
            <w:shd w:val="clear" w:color="auto" w:fill="auto"/>
            <w:vAlign w:val="bottom"/>
            <w:hideMark/>
          </w:tcPr>
          <w:p w14:paraId="50049309"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xml:space="preserve">Fire Protection report – Reg 309/129 Building Regulations 2018       </w:t>
            </w:r>
          </w:p>
        </w:tc>
        <w:tc>
          <w:tcPr>
            <w:tcW w:w="534" w:type="dxa"/>
            <w:tcBorders>
              <w:top w:val="nil"/>
              <w:left w:val="nil"/>
              <w:bottom w:val="nil"/>
              <w:right w:val="nil"/>
            </w:tcBorders>
            <w:shd w:val="clear" w:color="000000" w:fill="FFFFFF"/>
            <w:noWrap/>
            <w:vAlign w:val="center"/>
            <w:hideMark/>
          </w:tcPr>
          <w:p w14:paraId="5A898DE5"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883" w:type="dxa"/>
            <w:tcBorders>
              <w:top w:val="nil"/>
              <w:left w:val="nil"/>
              <w:bottom w:val="nil"/>
              <w:right w:val="nil"/>
            </w:tcBorders>
            <w:shd w:val="clear" w:color="000000" w:fill="FFFFFF"/>
            <w:noWrap/>
            <w:vAlign w:val="center"/>
            <w:hideMark/>
          </w:tcPr>
          <w:p w14:paraId="6A156AEC"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nil"/>
              <w:right w:val="nil"/>
            </w:tcBorders>
            <w:shd w:val="clear" w:color="000000" w:fill="FFFFFF"/>
            <w:noWrap/>
            <w:vAlign w:val="bottom"/>
            <w:hideMark/>
          </w:tcPr>
          <w:p w14:paraId="52B3CCAE"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955" w:type="dxa"/>
            <w:tcBorders>
              <w:top w:val="nil"/>
              <w:left w:val="nil"/>
              <w:bottom w:val="nil"/>
              <w:right w:val="nil"/>
            </w:tcBorders>
            <w:shd w:val="clear" w:color="000000" w:fill="FFFFFF"/>
            <w:noWrap/>
            <w:vAlign w:val="bottom"/>
            <w:hideMark/>
          </w:tcPr>
          <w:p w14:paraId="56C00D18"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462" w:type="dxa"/>
            <w:tcBorders>
              <w:top w:val="nil"/>
              <w:left w:val="nil"/>
              <w:bottom w:val="nil"/>
              <w:right w:val="nil"/>
            </w:tcBorders>
            <w:shd w:val="clear" w:color="000000" w:fill="FFFFFF"/>
            <w:noWrap/>
            <w:vAlign w:val="bottom"/>
            <w:hideMark/>
          </w:tcPr>
          <w:p w14:paraId="20C3426A"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r>
      <w:tr w:rsidR="00CA2D91" w:rsidRPr="00503F5B" w14:paraId="379A29CE" w14:textId="77777777" w:rsidTr="009917B8">
        <w:trPr>
          <w:trHeight w:val="300"/>
          <w:jc w:val="center"/>
        </w:trPr>
        <w:tc>
          <w:tcPr>
            <w:tcW w:w="5387" w:type="dxa"/>
            <w:tcBorders>
              <w:top w:val="nil"/>
              <w:left w:val="nil"/>
              <w:bottom w:val="nil"/>
              <w:right w:val="nil"/>
            </w:tcBorders>
            <w:shd w:val="clear" w:color="000000" w:fill="FFFFFF"/>
            <w:vAlign w:val="center"/>
            <w:hideMark/>
          </w:tcPr>
          <w:p w14:paraId="52CF7BCD"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Administration (telephone enquiry, application processing)</w:t>
            </w:r>
          </w:p>
        </w:tc>
        <w:tc>
          <w:tcPr>
            <w:tcW w:w="534" w:type="dxa"/>
            <w:tcBorders>
              <w:top w:val="nil"/>
              <w:left w:val="nil"/>
              <w:bottom w:val="nil"/>
              <w:right w:val="nil"/>
            </w:tcBorders>
            <w:shd w:val="clear" w:color="000000" w:fill="FFFFFF"/>
            <w:noWrap/>
            <w:vAlign w:val="center"/>
            <w:hideMark/>
          </w:tcPr>
          <w:p w14:paraId="7CCD5B62"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6D37BEBA"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MFB 4</w:t>
            </w:r>
          </w:p>
        </w:tc>
        <w:tc>
          <w:tcPr>
            <w:tcW w:w="993" w:type="dxa"/>
            <w:tcBorders>
              <w:top w:val="nil"/>
              <w:left w:val="nil"/>
              <w:bottom w:val="nil"/>
              <w:right w:val="nil"/>
            </w:tcBorders>
            <w:shd w:val="clear" w:color="000000" w:fill="FFFFFF"/>
            <w:noWrap/>
            <w:vAlign w:val="center"/>
            <w:hideMark/>
          </w:tcPr>
          <w:p w14:paraId="0E9CD6CA"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1200</w:t>
            </w:r>
          </w:p>
        </w:tc>
        <w:tc>
          <w:tcPr>
            <w:tcW w:w="955" w:type="dxa"/>
            <w:tcBorders>
              <w:top w:val="nil"/>
              <w:left w:val="nil"/>
              <w:bottom w:val="nil"/>
              <w:right w:val="nil"/>
            </w:tcBorders>
            <w:shd w:val="clear" w:color="000000" w:fill="FFFFFF"/>
            <w:noWrap/>
            <w:vAlign w:val="center"/>
            <w:hideMark/>
          </w:tcPr>
          <w:p w14:paraId="31E8C88B"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$58</w:t>
            </w:r>
          </w:p>
        </w:tc>
        <w:tc>
          <w:tcPr>
            <w:tcW w:w="462" w:type="dxa"/>
            <w:tcBorders>
              <w:top w:val="nil"/>
              <w:left w:val="nil"/>
              <w:bottom w:val="nil"/>
              <w:right w:val="nil"/>
            </w:tcBorders>
            <w:shd w:val="clear" w:color="000000" w:fill="FFFFFF"/>
            <w:noWrap/>
            <w:vAlign w:val="center"/>
            <w:hideMark/>
          </w:tcPr>
          <w:p w14:paraId="4A624913"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$69,879</w:t>
            </w:r>
          </w:p>
        </w:tc>
      </w:tr>
      <w:tr w:rsidR="00CA2D91" w:rsidRPr="00503F5B" w14:paraId="4466BE4B" w14:textId="77777777" w:rsidTr="009917B8">
        <w:trPr>
          <w:trHeight w:val="300"/>
          <w:jc w:val="center"/>
        </w:trPr>
        <w:tc>
          <w:tcPr>
            <w:tcW w:w="5387" w:type="dxa"/>
            <w:tcBorders>
              <w:top w:val="nil"/>
              <w:left w:val="nil"/>
              <w:bottom w:val="nil"/>
              <w:right w:val="nil"/>
            </w:tcBorders>
            <w:shd w:val="clear" w:color="000000" w:fill="FFFFFF"/>
            <w:vAlign w:val="center"/>
            <w:hideMark/>
          </w:tcPr>
          <w:p w14:paraId="30429DC0"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Report preparation &amp; processing</w:t>
            </w:r>
          </w:p>
        </w:tc>
        <w:tc>
          <w:tcPr>
            <w:tcW w:w="534" w:type="dxa"/>
            <w:tcBorders>
              <w:top w:val="nil"/>
              <w:left w:val="nil"/>
              <w:bottom w:val="nil"/>
              <w:right w:val="nil"/>
            </w:tcBorders>
            <w:shd w:val="clear" w:color="000000" w:fill="FFFFFF"/>
            <w:noWrap/>
            <w:vAlign w:val="center"/>
            <w:hideMark/>
          </w:tcPr>
          <w:p w14:paraId="06AAA765"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5BE47C98"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center"/>
            <w:hideMark/>
          </w:tcPr>
          <w:p w14:paraId="678CC82E"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1200</w:t>
            </w:r>
          </w:p>
        </w:tc>
        <w:tc>
          <w:tcPr>
            <w:tcW w:w="955" w:type="dxa"/>
            <w:tcBorders>
              <w:top w:val="nil"/>
              <w:left w:val="nil"/>
              <w:bottom w:val="nil"/>
              <w:right w:val="nil"/>
            </w:tcBorders>
            <w:shd w:val="clear" w:color="000000" w:fill="FFFFFF"/>
            <w:noWrap/>
            <w:vAlign w:val="center"/>
            <w:hideMark/>
          </w:tcPr>
          <w:p w14:paraId="1EE87B4F"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center"/>
            <w:hideMark/>
          </w:tcPr>
          <w:p w14:paraId="57CF3D12"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$96,052</w:t>
            </w:r>
          </w:p>
        </w:tc>
      </w:tr>
      <w:tr w:rsidR="00CA2D91" w:rsidRPr="00503F5B" w14:paraId="22AC32FF" w14:textId="77777777" w:rsidTr="009917B8">
        <w:trPr>
          <w:trHeight w:val="300"/>
          <w:jc w:val="center"/>
        </w:trPr>
        <w:tc>
          <w:tcPr>
            <w:tcW w:w="5387" w:type="dxa"/>
            <w:tcBorders>
              <w:top w:val="nil"/>
              <w:left w:val="nil"/>
              <w:bottom w:val="nil"/>
              <w:right w:val="nil"/>
            </w:tcBorders>
            <w:shd w:val="clear" w:color="000000" w:fill="FFFFFF"/>
            <w:vAlign w:val="center"/>
            <w:hideMark/>
          </w:tcPr>
          <w:p w14:paraId="349F2C85"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xml:space="preserve">Report forwarding and job tracking </w:t>
            </w:r>
          </w:p>
        </w:tc>
        <w:tc>
          <w:tcPr>
            <w:tcW w:w="534" w:type="dxa"/>
            <w:tcBorders>
              <w:top w:val="nil"/>
              <w:left w:val="nil"/>
              <w:bottom w:val="nil"/>
              <w:right w:val="nil"/>
            </w:tcBorders>
            <w:shd w:val="clear" w:color="000000" w:fill="FFFFFF"/>
            <w:noWrap/>
            <w:vAlign w:val="center"/>
            <w:hideMark/>
          </w:tcPr>
          <w:p w14:paraId="597BCC06"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7D4ED69F"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center"/>
            <w:hideMark/>
          </w:tcPr>
          <w:p w14:paraId="548C86CC"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180</w:t>
            </w:r>
          </w:p>
        </w:tc>
        <w:tc>
          <w:tcPr>
            <w:tcW w:w="955" w:type="dxa"/>
            <w:tcBorders>
              <w:top w:val="nil"/>
              <w:left w:val="nil"/>
              <w:bottom w:val="nil"/>
              <w:right w:val="nil"/>
            </w:tcBorders>
            <w:shd w:val="clear" w:color="000000" w:fill="FFFFFF"/>
            <w:noWrap/>
            <w:vAlign w:val="center"/>
            <w:hideMark/>
          </w:tcPr>
          <w:p w14:paraId="2E1C35D3"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center"/>
            <w:hideMark/>
          </w:tcPr>
          <w:p w14:paraId="0B49A0D8"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$14,408</w:t>
            </w:r>
          </w:p>
        </w:tc>
      </w:tr>
      <w:tr w:rsidR="00CA2D91" w:rsidRPr="00503F5B" w14:paraId="2B55692F" w14:textId="77777777" w:rsidTr="009917B8">
        <w:trPr>
          <w:trHeight w:val="300"/>
          <w:jc w:val="center"/>
        </w:trPr>
        <w:tc>
          <w:tcPr>
            <w:tcW w:w="5387" w:type="dxa"/>
            <w:tcBorders>
              <w:top w:val="nil"/>
              <w:left w:val="nil"/>
              <w:bottom w:val="nil"/>
              <w:right w:val="nil"/>
            </w:tcBorders>
            <w:shd w:val="clear" w:color="000000" w:fill="FFFFFF"/>
            <w:vAlign w:val="center"/>
            <w:hideMark/>
          </w:tcPr>
          <w:p w14:paraId="432D20C7"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Report sign off by Commander – email to client and job tracking</w:t>
            </w:r>
          </w:p>
        </w:tc>
        <w:tc>
          <w:tcPr>
            <w:tcW w:w="534" w:type="dxa"/>
            <w:tcBorders>
              <w:top w:val="nil"/>
              <w:left w:val="nil"/>
              <w:bottom w:val="nil"/>
              <w:right w:val="nil"/>
            </w:tcBorders>
            <w:shd w:val="clear" w:color="000000" w:fill="FFFFFF"/>
            <w:noWrap/>
            <w:vAlign w:val="center"/>
            <w:hideMark/>
          </w:tcPr>
          <w:p w14:paraId="354F385A"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3B31A82B" w14:textId="77777777" w:rsidR="00CA2D91" w:rsidRPr="00503F5B" w:rsidRDefault="00CA2D91" w:rsidP="00CA2D91">
            <w:pPr>
              <w:jc w:val="center"/>
              <w:rPr>
                <w:rFonts w:eastAsia="Times New Roman" w:cs="Calibri"/>
                <w:sz w:val="20"/>
                <w:szCs w:val="20"/>
                <w:lang w:eastAsia="en-AU"/>
              </w:rPr>
            </w:pPr>
            <w:proofErr w:type="spellStart"/>
            <w:r w:rsidRPr="00503F5B">
              <w:rPr>
                <w:rFonts w:eastAsia="Times New Roman" w:cs="Calibri"/>
                <w:sz w:val="20"/>
                <w:szCs w:val="20"/>
                <w:lang w:eastAsia="en-AU"/>
              </w:rPr>
              <w:t>Cmdr</w:t>
            </w:r>
            <w:proofErr w:type="spellEnd"/>
          </w:p>
        </w:tc>
        <w:tc>
          <w:tcPr>
            <w:tcW w:w="993" w:type="dxa"/>
            <w:tcBorders>
              <w:top w:val="nil"/>
              <w:left w:val="nil"/>
              <w:bottom w:val="nil"/>
              <w:right w:val="nil"/>
            </w:tcBorders>
            <w:shd w:val="clear" w:color="000000" w:fill="FFFFFF"/>
            <w:noWrap/>
            <w:vAlign w:val="center"/>
            <w:hideMark/>
          </w:tcPr>
          <w:p w14:paraId="7B0D3A6E"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500</w:t>
            </w:r>
          </w:p>
        </w:tc>
        <w:tc>
          <w:tcPr>
            <w:tcW w:w="955" w:type="dxa"/>
            <w:tcBorders>
              <w:top w:val="nil"/>
              <w:left w:val="nil"/>
              <w:bottom w:val="nil"/>
              <w:right w:val="nil"/>
            </w:tcBorders>
            <w:shd w:val="clear" w:color="000000" w:fill="FFFFFF"/>
            <w:noWrap/>
            <w:vAlign w:val="center"/>
            <w:hideMark/>
          </w:tcPr>
          <w:p w14:paraId="458792BC"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$103</w:t>
            </w:r>
          </w:p>
        </w:tc>
        <w:tc>
          <w:tcPr>
            <w:tcW w:w="462" w:type="dxa"/>
            <w:tcBorders>
              <w:top w:val="nil"/>
              <w:left w:val="nil"/>
              <w:bottom w:val="nil"/>
              <w:right w:val="nil"/>
            </w:tcBorders>
            <w:shd w:val="clear" w:color="000000" w:fill="FFFFFF"/>
            <w:noWrap/>
            <w:vAlign w:val="center"/>
            <w:hideMark/>
          </w:tcPr>
          <w:p w14:paraId="7D150B0A"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$51,534</w:t>
            </w:r>
          </w:p>
        </w:tc>
      </w:tr>
      <w:tr w:rsidR="00CA2D91" w:rsidRPr="00503F5B" w14:paraId="348EE87E" w14:textId="77777777" w:rsidTr="009917B8">
        <w:trPr>
          <w:trHeight w:val="300"/>
          <w:jc w:val="center"/>
        </w:trPr>
        <w:tc>
          <w:tcPr>
            <w:tcW w:w="5387" w:type="dxa"/>
            <w:tcBorders>
              <w:top w:val="nil"/>
              <w:left w:val="nil"/>
              <w:bottom w:val="nil"/>
              <w:right w:val="nil"/>
            </w:tcBorders>
            <w:shd w:val="clear" w:color="000000" w:fill="FFFFFF"/>
            <w:vAlign w:val="center"/>
            <w:hideMark/>
          </w:tcPr>
          <w:p w14:paraId="06B0EEF1"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xml:space="preserve">Admin processing and invoicing </w:t>
            </w:r>
          </w:p>
        </w:tc>
        <w:tc>
          <w:tcPr>
            <w:tcW w:w="534" w:type="dxa"/>
            <w:tcBorders>
              <w:top w:val="nil"/>
              <w:left w:val="nil"/>
              <w:bottom w:val="nil"/>
              <w:right w:val="nil"/>
            </w:tcBorders>
            <w:shd w:val="clear" w:color="000000" w:fill="FFFFFF"/>
            <w:noWrap/>
            <w:vAlign w:val="center"/>
            <w:hideMark/>
          </w:tcPr>
          <w:p w14:paraId="4CCB563D"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2FB82EF7"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MFB 4</w:t>
            </w:r>
          </w:p>
        </w:tc>
        <w:tc>
          <w:tcPr>
            <w:tcW w:w="993" w:type="dxa"/>
            <w:tcBorders>
              <w:top w:val="nil"/>
              <w:left w:val="nil"/>
              <w:bottom w:val="nil"/>
              <w:right w:val="nil"/>
            </w:tcBorders>
            <w:shd w:val="clear" w:color="000000" w:fill="FFFFFF"/>
            <w:noWrap/>
            <w:vAlign w:val="center"/>
            <w:hideMark/>
          </w:tcPr>
          <w:p w14:paraId="47EE742D"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740</w:t>
            </w:r>
          </w:p>
        </w:tc>
        <w:tc>
          <w:tcPr>
            <w:tcW w:w="955" w:type="dxa"/>
            <w:tcBorders>
              <w:top w:val="nil"/>
              <w:left w:val="nil"/>
              <w:bottom w:val="nil"/>
              <w:right w:val="nil"/>
            </w:tcBorders>
            <w:shd w:val="clear" w:color="000000" w:fill="FFFFFF"/>
            <w:noWrap/>
            <w:vAlign w:val="center"/>
            <w:hideMark/>
          </w:tcPr>
          <w:p w14:paraId="21EBAFE7"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$58</w:t>
            </w:r>
          </w:p>
        </w:tc>
        <w:tc>
          <w:tcPr>
            <w:tcW w:w="462" w:type="dxa"/>
            <w:tcBorders>
              <w:top w:val="nil"/>
              <w:left w:val="nil"/>
              <w:bottom w:val="nil"/>
              <w:right w:val="nil"/>
            </w:tcBorders>
            <w:shd w:val="clear" w:color="000000" w:fill="FFFFFF"/>
            <w:noWrap/>
            <w:vAlign w:val="center"/>
            <w:hideMark/>
          </w:tcPr>
          <w:p w14:paraId="69C7E451"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$43,092</w:t>
            </w:r>
          </w:p>
        </w:tc>
      </w:tr>
      <w:tr w:rsidR="00CA2D91" w:rsidRPr="00503F5B" w14:paraId="2736BA26" w14:textId="77777777" w:rsidTr="009917B8">
        <w:trPr>
          <w:trHeight w:val="300"/>
          <w:jc w:val="center"/>
        </w:trPr>
        <w:tc>
          <w:tcPr>
            <w:tcW w:w="5387" w:type="dxa"/>
            <w:tcBorders>
              <w:top w:val="single" w:sz="4" w:space="0" w:color="C00000"/>
              <w:left w:val="nil"/>
              <w:bottom w:val="single" w:sz="4" w:space="0" w:color="C00000"/>
              <w:right w:val="nil"/>
            </w:tcBorders>
            <w:shd w:val="clear" w:color="000000" w:fill="FFFFFF"/>
            <w:vAlign w:val="center"/>
            <w:hideMark/>
          </w:tcPr>
          <w:p w14:paraId="697A0748"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Subtotal annual cost</w:t>
            </w:r>
          </w:p>
        </w:tc>
        <w:tc>
          <w:tcPr>
            <w:tcW w:w="534" w:type="dxa"/>
            <w:tcBorders>
              <w:top w:val="single" w:sz="4" w:space="0" w:color="C00000"/>
              <w:left w:val="nil"/>
              <w:bottom w:val="single" w:sz="4" w:space="0" w:color="C00000"/>
              <w:right w:val="nil"/>
            </w:tcBorders>
            <w:shd w:val="clear" w:color="000000" w:fill="FFFFFF"/>
            <w:noWrap/>
            <w:vAlign w:val="center"/>
            <w:hideMark/>
          </w:tcPr>
          <w:p w14:paraId="09764960"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883" w:type="dxa"/>
            <w:tcBorders>
              <w:top w:val="single" w:sz="4" w:space="0" w:color="C00000"/>
              <w:left w:val="nil"/>
              <w:bottom w:val="single" w:sz="4" w:space="0" w:color="C00000"/>
              <w:right w:val="nil"/>
            </w:tcBorders>
            <w:shd w:val="clear" w:color="000000" w:fill="FFFFFF"/>
            <w:noWrap/>
            <w:vAlign w:val="center"/>
            <w:hideMark/>
          </w:tcPr>
          <w:p w14:paraId="19E990CA"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993" w:type="dxa"/>
            <w:tcBorders>
              <w:top w:val="single" w:sz="4" w:space="0" w:color="C00000"/>
              <w:left w:val="nil"/>
              <w:bottom w:val="single" w:sz="4" w:space="0" w:color="C00000"/>
              <w:right w:val="nil"/>
            </w:tcBorders>
            <w:shd w:val="clear" w:color="000000" w:fill="FFFFFF"/>
            <w:noWrap/>
            <w:vAlign w:val="center"/>
            <w:hideMark/>
          </w:tcPr>
          <w:p w14:paraId="30644F9A"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 </w:t>
            </w:r>
          </w:p>
        </w:tc>
        <w:tc>
          <w:tcPr>
            <w:tcW w:w="955" w:type="dxa"/>
            <w:tcBorders>
              <w:top w:val="single" w:sz="4" w:space="0" w:color="C00000"/>
              <w:left w:val="nil"/>
              <w:bottom w:val="single" w:sz="4" w:space="0" w:color="C00000"/>
              <w:right w:val="nil"/>
            </w:tcBorders>
            <w:shd w:val="clear" w:color="000000" w:fill="FFFFFF"/>
            <w:noWrap/>
            <w:vAlign w:val="bottom"/>
            <w:hideMark/>
          </w:tcPr>
          <w:p w14:paraId="134EA5F5"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462" w:type="dxa"/>
            <w:tcBorders>
              <w:top w:val="single" w:sz="4" w:space="0" w:color="C00000"/>
              <w:left w:val="nil"/>
              <w:bottom w:val="single" w:sz="4" w:space="0" w:color="C00000"/>
              <w:right w:val="nil"/>
            </w:tcBorders>
            <w:shd w:val="clear" w:color="000000" w:fill="FFFFFF"/>
            <w:noWrap/>
            <w:vAlign w:val="bottom"/>
            <w:hideMark/>
          </w:tcPr>
          <w:p w14:paraId="4B4167C4"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$274,965</w:t>
            </w:r>
          </w:p>
        </w:tc>
      </w:tr>
      <w:tr w:rsidR="00CA2D91" w:rsidRPr="00503F5B" w14:paraId="359B4BA0" w14:textId="77777777" w:rsidTr="009917B8">
        <w:trPr>
          <w:trHeight w:val="300"/>
          <w:jc w:val="center"/>
        </w:trPr>
        <w:tc>
          <w:tcPr>
            <w:tcW w:w="5387" w:type="dxa"/>
            <w:tcBorders>
              <w:top w:val="nil"/>
              <w:left w:val="nil"/>
              <w:bottom w:val="nil"/>
              <w:right w:val="nil"/>
            </w:tcBorders>
            <w:shd w:val="clear" w:color="auto" w:fill="auto"/>
            <w:vAlign w:val="bottom"/>
            <w:hideMark/>
          </w:tcPr>
          <w:p w14:paraId="79900583"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Fire Protection report – Reg 1003/187 Building Regulations 2018</w:t>
            </w:r>
          </w:p>
        </w:tc>
        <w:tc>
          <w:tcPr>
            <w:tcW w:w="534" w:type="dxa"/>
            <w:tcBorders>
              <w:top w:val="nil"/>
              <w:left w:val="nil"/>
              <w:bottom w:val="nil"/>
              <w:right w:val="nil"/>
            </w:tcBorders>
            <w:shd w:val="clear" w:color="000000" w:fill="FFFFFF"/>
            <w:noWrap/>
            <w:vAlign w:val="center"/>
            <w:hideMark/>
          </w:tcPr>
          <w:p w14:paraId="25307E42"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883" w:type="dxa"/>
            <w:tcBorders>
              <w:top w:val="nil"/>
              <w:left w:val="nil"/>
              <w:bottom w:val="nil"/>
              <w:right w:val="nil"/>
            </w:tcBorders>
            <w:shd w:val="clear" w:color="000000" w:fill="FFFFFF"/>
            <w:noWrap/>
            <w:vAlign w:val="center"/>
            <w:hideMark/>
          </w:tcPr>
          <w:p w14:paraId="506873A1"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nil"/>
              <w:right w:val="nil"/>
            </w:tcBorders>
            <w:shd w:val="clear" w:color="000000" w:fill="FFFFFF"/>
            <w:noWrap/>
            <w:vAlign w:val="bottom"/>
            <w:hideMark/>
          </w:tcPr>
          <w:p w14:paraId="5228D688"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955" w:type="dxa"/>
            <w:tcBorders>
              <w:top w:val="nil"/>
              <w:left w:val="nil"/>
              <w:bottom w:val="nil"/>
              <w:right w:val="nil"/>
            </w:tcBorders>
            <w:shd w:val="clear" w:color="000000" w:fill="FFFFFF"/>
            <w:noWrap/>
            <w:vAlign w:val="bottom"/>
            <w:hideMark/>
          </w:tcPr>
          <w:p w14:paraId="03BB0098"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462" w:type="dxa"/>
            <w:tcBorders>
              <w:top w:val="nil"/>
              <w:left w:val="nil"/>
              <w:bottom w:val="nil"/>
              <w:right w:val="nil"/>
            </w:tcBorders>
            <w:shd w:val="clear" w:color="000000" w:fill="FFFFFF"/>
            <w:noWrap/>
            <w:vAlign w:val="bottom"/>
            <w:hideMark/>
          </w:tcPr>
          <w:p w14:paraId="38126AE3"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r>
      <w:tr w:rsidR="00CA2D91" w:rsidRPr="00503F5B" w14:paraId="6A80B707" w14:textId="77777777" w:rsidTr="009917B8">
        <w:trPr>
          <w:trHeight w:val="300"/>
          <w:jc w:val="center"/>
        </w:trPr>
        <w:tc>
          <w:tcPr>
            <w:tcW w:w="5387" w:type="dxa"/>
            <w:tcBorders>
              <w:top w:val="nil"/>
              <w:left w:val="nil"/>
              <w:bottom w:val="nil"/>
              <w:right w:val="nil"/>
            </w:tcBorders>
            <w:shd w:val="clear" w:color="000000" w:fill="FFFFFF"/>
            <w:vAlign w:val="center"/>
            <w:hideMark/>
          </w:tcPr>
          <w:p w14:paraId="21B105B4"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Administration (telephone enquiry, application processing)</w:t>
            </w:r>
          </w:p>
        </w:tc>
        <w:tc>
          <w:tcPr>
            <w:tcW w:w="534" w:type="dxa"/>
            <w:tcBorders>
              <w:top w:val="nil"/>
              <w:left w:val="nil"/>
              <w:bottom w:val="nil"/>
              <w:right w:val="nil"/>
            </w:tcBorders>
            <w:shd w:val="clear" w:color="000000" w:fill="FFFFFF"/>
            <w:noWrap/>
            <w:vAlign w:val="center"/>
            <w:hideMark/>
          </w:tcPr>
          <w:p w14:paraId="1F34964C"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3F769529"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MFB 3</w:t>
            </w:r>
          </w:p>
        </w:tc>
        <w:tc>
          <w:tcPr>
            <w:tcW w:w="993" w:type="dxa"/>
            <w:tcBorders>
              <w:top w:val="nil"/>
              <w:left w:val="nil"/>
              <w:bottom w:val="nil"/>
              <w:right w:val="nil"/>
            </w:tcBorders>
            <w:shd w:val="clear" w:color="000000" w:fill="FFFFFF"/>
            <w:noWrap/>
            <w:vAlign w:val="center"/>
            <w:hideMark/>
          </w:tcPr>
          <w:p w14:paraId="43451E89"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1000</w:t>
            </w:r>
          </w:p>
        </w:tc>
        <w:tc>
          <w:tcPr>
            <w:tcW w:w="955" w:type="dxa"/>
            <w:tcBorders>
              <w:top w:val="nil"/>
              <w:left w:val="nil"/>
              <w:bottom w:val="nil"/>
              <w:right w:val="nil"/>
            </w:tcBorders>
            <w:shd w:val="clear" w:color="000000" w:fill="FFFFFF"/>
            <w:noWrap/>
            <w:vAlign w:val="center"/>
            <w:hideMark/>
          </w:tcPr>
          <w:p w14:paraId="4DB1430A"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$47</w:t>
            </w:r>
          </w:p>
        </w:tc>
        <w:tc>
          <w:tcPr>
            <w:tcW w:w="462" w:type="dxa"/>
            <w:tcBorders>
              <w:top w:val="nil"/>
              <w:left w:val="nil"/>
              <w:bottom w:val="nil"/>
              <w:right w:val="nil"/>
            </w:tcBorders>
            <w:shd w:val="clear" w:color="000000" w:fill="FFFFFF"/>
            <w:noWrap/>
            <w:vAlign w:val="center"/>
            <w:hideMark/>
          </w:tcPr>
          <w:p w14:paraId="2465A53C"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$46,562</w:t>
            </w:r>
          </w:p>
        </w:tc>
      </w:tr>
      <w:tr w:rsidR="00CA2D91" w:rsidRPr="00503F5B" w14:paraId="5CF9AB25" w14:textId="77777777" w:rsidTr="009917B8">
        <w:trPr>
          <w:trHeight w:val="300"/>
          <w:jc w:val="center"/>
        </w:trPr>
        <w:tc>
          <w:tcPr>
            <w:tcW w:w="5387" w:type="dxa"/>
            <w:tcBorders>
              <w:top w:val="nil"/>
              <w:left w:val="nil"/>
              <w:bottom w:val="nil"/>
              <w:right w:val="nil"/>
            </w:tcBorders>
            <w:shd w:val="clear" w:color="000000" w:fill="FFFFFF"/>
            <w:vAlign w:val="center"/>
            <w:hideMark/>
          </w:tcPr>
          <w:p w14:paraId="66FA6547"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Supporting documentation review</w:t>
            </w:r>
          </w:p>
        </w:tc>
        <w:tc>
          <w:tcPr>
            <w:tcW w:w="534" w:type="dxa"/>
            <w:tcBorders>
              <w:top w:val="nil"/>
              <w:left w:val="nil"/>
              <w:bottom w:val="nil"/>
              <w:right w:val="nil"/>
            </w:tcBorders>
            <w:shd w:val="clear" w:color="000000" w:fill="FFFFFF"/>
            <w:noWrap/>
            <w:vAlign w:val="center"/>
            <w:hideMark/>
          </w:tcPr>
          <w:p w14:paraId="2F0C378D"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02BBDF23"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center"/>
            <w:hideMark/>
          </w:tcPr>
          <w:p w14:paraId="7C6BFD0E"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500</w:t>
            </w:r>
          </w:p>
        </w:tc>
        <w:tc>
          <w:tcPr>
            <w:tcW w:w="955" w:type="dxa"/>
            <w:tcBorders>
              <w:top w:val="nil"/>
              <w:left w:val="nil"/>
              <w:bottom w:val="nil"/>
              <w:right w:val="nil"/>
            </w:tcBorders>
            <w:shd w:val="clear" w:color="000000" w:fill="FFFFFF"/>
            <w:noWrap/>
            <w:vAlign w:val="center"/>
            <w:hideMark/>
          </w:tcPr>
          <w:p w14:paraId="55D7FCE5"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center"/>
            <w:hideMark/>
          </w:tcPr>
          <w:p w14:paraId="5A0DC2DE"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$40,022</w:t>
            </w:r>
          </w:p>
        </w:tc>
      </w:tr>
      <w:tr w:rsidR="00CA2D91" w:rsidRPr="00503F5B" w14:paraId="537C031F" w14:textId="77777777" w:rsidTr="009917B8">
        <w:trPr>
          <w:trHeight w:val="300"/>
          <w:jc w:val="center"/>
        </w:trPr>
        <w:tc>
          <w:tcPr>
            <w:tcW w:w="5387" w:type="dxa"/>
            <w:tcBorders>
              <w:top w:val="nil"/>
              <w:left w:val="nil"/>
              <w:bottom w:val="nil"/>
              <w:right w:val="nil"/>
            </w:tcBorders>
            <w:shd w:val="clear" w:color="000000" w:fill="FFFFFF"/>
            <w:vAlign w:val="center"/>
            <w:hideMark/>
          </w:tcPr>
          <w:p w14:paraId="712784E1"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xml:space="preserve">Report action &amp; implementation – forwarding to client </w:t>
            </w:r>
          </w:p>
        </w:tc>
        <w:tc>
          <w:tcPr>
            <w:tcW w:w="534" w:type="dxa"/>
            <w:tcBorders>
              <w:top w:val="nil"/>
              <w:left w:val="nil"/>
              <w:bottom w:val="nil"/>
              <w:right w:val="nil"/>
            </w:tcBorders>
            <w:shd w:val="clear" w:color="000000" w:fill="FFFFFF"/>
            <w:noWrap/>
            <w:vAlign w:val="center"/>
            <w:hideMark/>
          </w:tcPr>
          <w:p w14:paraId="14218ECC"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666FE0AE"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center"/>
            <w:hideMark/>
          </w:tcPr>
          <w:p w14:paraId="6D0B525E"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750</w:t>
            </w:r>
          </w:p>
        </w:tc>
        <w:tc>
          <w:tcPr>
            <w:tcW w:w="955" w:type="dxa"/>
            <w:tcBorders>
              <w:top w:val="nil"/>
              <w:left w:val="nil"/>
              <w:bottom w:val="nil"/>
              <w:right w:val="nil"/>
            </w:tcBorders>
            <w:shd w:val="clear" w:color="000000" w:fill="FFFFFF"/>
            <w:noWrap/>
            <w:vAlign w:val="center"/>
            <w:hideMark/>
          </w:tcPr>
          <w:p w14:paraId="6663D436"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center"/>
            <w:hideMark/>
          </w:tcPr>
          <w:p w14:paraId="1ED10365"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$60,032</w:t>
            </w:r>
          </w:p>
        </w:tc>
      </w:tr>
      <w:tr w:rsidR="00CA2D91" w:rsidRPr="00503F5B" w14:paraId="52BEB146" w14:textId="77777777" w:rsidTr="009917B8">
        <w:trPr>
          <w:trHeight w:val="300"/>
          <w:jc w:val="center"/>
        </w:trPr>
        <w:tc>
          <w:tcPr>
            <w:tcW w:w="5387" w:type="dxa"/>
            <w:tcBorders>
              <w:top w:val="nil"/>
              <w:left w:val="nil"/>
              <w:bottom w:val="nil"/>
              <w:right w:val="nil"/>
            </w:tcBorders>
            <w:shd w:val="clear" w:color="000000" w:fill="FFFFFF"/>
            <w:vAlign w:val="center"/>
            <w:hideMark/>
          </w:tcPr>
          <w:p w14:paraId="57909666"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xml:space="preserve">Commander review </w:t>
            </w:r>
          </w:p>
        </w:tc>
        <w:tc>
          <w:tcPr>
            <w:tcW w:w="534" w:type="dxa"/>
            <w:tcBorders>
              <w:top w:val="nil"/>
              <w:left w:val="nil"/>
              <w:bottom w:val="nil"/>
              <w:right w:val="nil"/>
            </w:tcBorders>
            <w:shd w:val="clear" w:color="000000" w:fill="FFFFFF"/>
            <w:noWrap/>
            <w:vAlign w:val="center"/>
            <w:hideMark/>
          </w:tcPr>
          <w:p w14:paraId="60E6B499"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0DAB40DB" w14:textId="77777777" w:rsidR="00CA2D91" w:rsidRPr="00503F5B" w:rsidRDefault="00CA2D91" w:rsidP="00CA2D91">
            <w:pPr>
              <w:jc w:val="center"/>
              <w:rPr>
                <w:rFonts w:eastAsia="Times New Roman" w:cs="Calibri"/>
                <w:sz w:val="20"/>
                <w:szCs w:val="20"/>
                <w:lang w:eastAsia="en-AU"/>
              </w:rPr>
            </w:pPr>
            <w:proofErr w:type="spellStart"/>
            <w:r w:rsidRPr="00503F5B">
              <w:rPr>
                <w:rFonts w:eastAsia="Times New Roman" w:cs="Calibri"/>
                <w:sz w:val="20"/>
                <w:szCs w:val="20"/>
                <w:lang w:eastAsia="en-AU"/>
              </w:rPr>
              <w:t>Cmdr</w:t>
            </w:r>
            <w:proofErr w:type="spellEnd"/>
          </w:p>
        </w:tc>
        <w:tc>
          <w:tcPr>
            <w:tcW w:w="993" w:type="dxa"/>
            <w:tcBorders>
              <w:top w:val="nil"/>
              <w:left w:val="nil"/>
              <w:bottom w:val="nil"/>
              <w:right w:val="nil"/>
            </w:tcBorders>
            <w:shd w:val="clear" w:color="000000" w:fill="FFFFFF"/>
            <w:noWrap/>
            <w:vAlign w:val="center"/>
            <w:hideMark/>
          </w:tcPr>
          <w:p w14:paraId="7DE3BAEA"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200</w:t>
            </w:r>
          </w:p>
        </w:tc>
        <w:tc>
          <w:tcPr>
            <w:tcW w:w="955" w:type="dxa"/>
            <w:tcBorders>
              <w:top w:val="nil"/>
              <w:left w:val="nil"/>
              <w:bottom w:val="nil"/>
              <w:right w:val="nil"/>
            </w:tcBorders>
            <w:shd w:val="clear" w:color="000000" w:fill="FFFFFF"/>
            <w:noWrap/>
            <w:vAlign w:val="center"/>
            <w:hideMark/>
          </w:tcPr>
          <w:p w14:paraId="2486AD67"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$103</w:t>
            </w:r>
          </w:p>
        </w:tc>
        <w:tc>
          <w:tcPr>
            <w:tcW w:w="462" w:type="dxa"/>
            <w:tcBorders>
              <w:top w:val="nil"/>
              <w:left w:val="nil"/>
              <w:bottom w:val="nil"/>
              <w:right w:val="nil"/>
            </w:tcBorders>
            <w:shd w:val="clear" w:color="000000" w:fill="FFFFFF"/>
            <w:noWrap/>
            <w:vAlign w:val="center"/>
            <w:hideMark/>
          </w:tcPr>
          <w:p w14:paraId="5DB70EC6"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$20,614</w:t>
            </w:r>
          </w:p>
        </w:tc>
      </w:tr>
      <w:tr w:rsidR="00CA2D91" w:rsidRPr="00503F5B" w14:paraId="0BB79C81" w14:textId="77777777" w:rsidTr="009917B8">
        <w:trPr>
          <w:trHeight w:val="300"/>
          <w:jc w:val="center"/>
        </w:trPr>
        <w:tc>
          <w:tcPr>
            <w:tcW w:w="5387" w:type="dxa"/>
            <w:tcBorders>
              <w:top w:val="nil"/>
              <w:left w:val="nil"/>
              <w:bottom w:val="nil"/>
              <w:right w:val="nil"/>
            </w:tcBorders>
            <w:shd w:val="clear" w:color="000000" w:fill="FFFFFF"/>
            <w:vAlign w:val="center"/>
            <w:hideMark/>
          </w:tcPr>
          <w:p w14:paraId="78A3A11E"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xml:space="preserve">Admin processing and invoicing </w:t>
            </w:r>
          </w:p>
        </w:tc>
        <w:tc>
          <w:tcPr>
            <w:tcW w:w="534" w:type="dxa"/>
            <w:tcBorders>
              <w:top w:val="nil"/>
              <w:left w:val="nil"/>
              <w:bottom w:val="nil"/>
              <w:right w:val="nil"/>
            </w:tcBorders>
            <w:shd w:val="clear" w:color="000000" w:fill="FFFFFF"/>
            <w:noWrap/>
            <w:vAlign w:val="center"/>
            <w:hideMark/>
          </w:tcPr>
          <w:p w14:paraId="3869022C"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2F8518A5"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MFB 3</w:t>
            </w:r>
          </w:p>
        </w:tc>
        <w:tc>
          <w:tcPr>
            <w:tcW w:w="993" w:type="dxa"/>
            <w:tcBorders>
              <w:top w:val="nil"/>
              <w:left w:val="nil"/>
              <w:bottom w:val="nil"/>
              <w:right w:val="nil"/>
            </w:tcBorders>
            <w:shd w:val="clear" w:color="000000" w:fill="FFFFFF"/>
            <w:noWrap/>
            <w:vAlign w:val="center"/>
            <w:hideMark/>
          </w:tcPr>
          <w:p w14:paraId="200F306F"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250</w:t>
            </w:r>
          </w:p>
        </w:tc>
        <w:tc>
          <w:tcPr>
            <w:tcW w:w="955" w:type="dxa"/>
            <w:tcBorders>
              <w:top w:val="nil"/>
              <w:left w:val="nil"/>
              <w:bottom w:val="nil"/>
              <w:right w:val="nil"/>
            </w:tcBorders>
            <w:shd w:val="clear" w:color="000000" w:fill="FFFFFF"/>
            <w:noWrap/>
            <w:vAlign w:val="center"/>
            <w:hideMark/>
          </w:tcPr>
          <w:p w14:paraId="01C1D889"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$47</w:t>
            </w:r>
          </w:p>
        </w:tc>
        <w:tc>
          <w:tcPr>
            <w:tcW w:w="462" w:type="dxa"/>
            <w:tcBorders>
              <w:top w:val="nil"/>
              <w:left w:val="nil"/>
              <w:bottom w:val="nil"/>
              <w:right w:val="nil"/>
            </w:tcBorders>
            <w:shd w:val="clear" w:color="000000" w:fill="FFFFFF"/>
            <w:noWrap/>
            <w:vAlign w:val="center"/>
            <w:hideMark/>
          </w:tcPr>
          <w:p w14:paraId="049CBAD1"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$11,640</w:t>
            </w:r>
          </w:p>
        </w:tc>
      </w:tr>
      <w:tr w:rsidR="00CA2D91" w:rsidRPr="00503F5B" w14:paraId="45B64305" w14:textId="77777777" w:rsidTr="009917B8">
        <w:trPr>
          <w:trHeight w:val="300"/>
          <w:jc w:val="center"/>
        </w:trPr>
        <w:tc>
          <w:tcPr>
            <w:tcW w:w="5387" w:type="dxa"/>
            <w:tcBorders>
              <w:top w:val="single" w:sz="4" w:space="0" w:color="C00000"/>
              <w:left w:val="nil"/>
              <w:bottom w:val="single" w:sz="4" w:space="0" w:color="C00000"/>
              <w:right w:val="nil"/>
            </w:tcBorders>
            <w:shd w:val="clear" w:color="000000" w:fill="FFFFFF"/>
            <w:vAlign w:val="center"/>
            <w:hideMark/>
          </w:tcPr>
          <w:p w14:paraId="1DFBAA4B"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Subtotal annual cost</w:t>
            </w:r>
          </w:p>
        </w:tc>
        <w:tc>
          <w:tcPr>
            <w:tcW w:w="534" w:type="dxa"/>
            <w:tcBorders>
              <w:top w:val="single" w:sz="4" w:space="0" w:color="C00000"/>
              <w:left w:val="nil"/>
              <w:bottom w:val="single" w:sz="4" w:space="0" w:color="C00000"/>
              <w:right w:val="nil"/>
            </w:tcBorders>
            <w:shd w:val="clear" w:color="000000" w:fill="FFFFFF"/>
            <w:noWrap/>
            <w:vAlign w:val="center"/>
            <w:hideMark/>
          </w:tcPr>
          <w:p w14:paraId="5AC0B49F"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883" w:type="dxa"/>
            <w:tcBorders>
              <w:top w:val="single" w:sz="4" w:space="0" w:color="C00000"/>
              <w:left w:val="nil"/>
              <w:bottom w:val="single" w:sz="4" w:space="0" w:color="C00000"/>
              <w:right w:val="nil"/>
            </w:tcBorders>
            <w:shd w:val="clear" w:color="000000" w:fill="FFFFFF"/>
            <w:noWrap/>
            <w:vAlign w:val="center"/>
            <w:hideMark/>
          </w:tcPr>
          <w:p w14:paraId="2DDE259C"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993" w:type="dxa"/>
            <w:tcBorders>
              <w:top w:val="single" w:sz="4" w:space="0" w:color="C00000"/>
              <w:left w:val="nil"/>
              <w:bottom w:val="single" w:sz="4" w:space="0" w:color="C00000"/>
              <w:right w:val="nil"/>
            </w:tcBorders>
            <w:shd w:val="clear" w:color="000000" w:fill="FFFFFF"/>
            <w:noWrap/>
            <w:vAlign w:val="center"/>
            <w:hideMark/>
          </w:tcPr>
          <w:p w14:paraId="3E559016"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 </w:t>
            </w:r>
          </w:p>
        </w:tc>
        <w:tc>
          <w:tcPr>
            <w:tcW w:w="955" w:type="dxa"/>
            <w:tcBorders>
              <w:top w:val="single" w:sz="4" w:space="0" w:color="C00000"/>
              <w:left w:val="nil"/>
              <w:bottom w:val="single" w:sz="4" w:space="0" w:color="C00000"/>
              <w:right w:val="nil"/>
            </w:tcBorders>
            <w:shd w:val="clear" w:color="000000" w:fill="FFFFFF"/>
            <w:noWrap/>
            <w:vAlign w:val="bottom"/>
            <w:hideMark/>
          </w:tcPr>
          <w:p w14:paraId="73858198"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462" w:type="dxa"/>
            <w:tcBorders>
              <w:top w:val="single" w:sz="4" w:space="0" w:color="C00000"/>
              <w:left w:val="nil"/>
              <w:bottom w:val="single" w:sz="4" w:space="0" w:color="C00000"/>
              <w:right w:val="nil"/>
            </w:tcBorders>
            <w:shd w:val="clear" w:color="000000" w:fill="FFFFFF"/>
            <w:noWrap/>
            <w:vAlign w:val="bottom"/>
            <w:hideMark/>
          </w:tcPr>
          <w:p w14:paraId="63C989BF"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$178,870</w:t>
            </w:r>
          </w:p>
        </w:tc>
      </w:tr>
      <w:tr w:rsidR="00CA2D91" w:rsidRPr="00503F5B" w14:paraId="00A3409E" w14:textId="77777777" w:rsidTr="009917B8">
        <w:trPr>
          <w:trHeight w:val="300"/>
          <w:jc w:val="center"/>
        </w:trPr>
        <w:tc>
          <w:tcPr>
            <w:tcW w:w="5387" w:type="dxa"/>
            <w:tcBorders>
              <w:top w:val="nil"/>
              <w:left w:val="nil"/>
              <w:bottom w:val="nil"/>
              <w:right w:val="nil"/>
            </w:tcBorders>
            <w:shd w:val="clear" w:color="000000" w:fill="FFFFFF"/>
            <w:vAlign w:val="bottom"/>
            <w:hideMark/>
          </w:tcPr>
          <w:p w14:paraId="7C360076"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Letters of Advice (&amp; pre application review) with regards to general fire protection correspondence</w:t>
            </w:r>
          </w:p>
        </w:tc>
        <w:tc>
          <w:tcPr>
            <w:tcW w:w="534" w:type="dxa"/>
            <w:tcBorders>
              <w:top w:val="nil"/>
              <w:left w:val="nil"/>
              <w:bottom w:val="nil"/>
              <w:right w:val="nil"/>
            </w:tcBorders>
            <w:shd w:val="clear" w:color="000000" w:fill="FFFFFF"/>
            <w:noWrap/>
            <w:vAlign w:val="center"/>
            <w:hideMark/>
          </w:tcPr>
          <w:p w14:paraId="3EBCB36A"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883" w:type="dxa"/>
            <w:tcBorders>
              <w:top w:val="nil"/>
              <w:left w:val="nil"/>
              <w:bottom w:val="nil"/>
              <w:right w:val="nil"/>
            </w:tcBorders>
            <w:shd w:val="clear" w:color="000000" w:fill="FFFFFF"/>
            <w:noWrap/>
            <w:vAlign w:val="center"/>
            <w:hideMark/>
          </w:tcPr>
          <w:p w14:paraId="683BCFC8"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nil"/>
              <w:right w:val="nil"/>
            </w:tcBorders>
            <w:shd w:val="clear" w:color="000000" w:fill="FFFFFF"/>
            <w:noWrap/>
            <w:vAlign w:val="bottom"/>
            <w:hideMark/>
          </w:tcPr>
          <w:p w14:paraId="599F2989"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955" w:type="dxa"/>
            <w:tcBorders>
              <w:top w:val="nil"/>
              <w:left w:val="nil"/>
              <w:bottom w:val="nil"/>
              <w:right w:val="nil"/>
            </w:tcBorders>
            <w:shd w:val="clear" w:color="000000" w:fill="FFFFFF"/>
            <w:noWrap/>
            <w:vAlign w:val="bottom"/>
            <w:hideMark/>
          </w:tcPr>
          <w:p w14:paraId="4A094C9A"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462" w:type="dxa"/>
            <w:tcBorders>
              <w:top w:val="nil"/>
              <w:left w:val="nil"/>
              <w:bottom w:val="nil"/>
              <w:right w:val="nil"/>
            </w:tcBorders>
            <w:shd w:val="clear" w:color="000000" w:fill="FFFFFF"/>
            <w:noWrap/>
            <w:vAlign w:val="bottom"/>
            <w:hideMark/>
          </w:tcPr>
          <w:p w14:paraId="61CC95FF"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r>
      <w:tr w:rsidR="00CA2D91" w:rsidRPr="00503F5B" w14:paraId="63D116DB" w14:textId="77777777" w:rsidTr="009917B8">
        <w:trPr>
          <w:trHeight w:val="300"/>
          <w:jc w:val="center"/>
        </w:trPr>
        <w:tc>
          <w:tcPr>
            <w:tcW w:w="5387" w:type="dxa"/>
            <w:tcBorders>
              <w:top w:val="nil"/>
              <w:left w:val="nil"/>
              <w:bottom w:val="nil"/>
              <w:right w:val="nil"/>
            </w:tcBorders>
            <w:shd w:val="clear" w:color="000000" w:fill="FFFFFF"/>
            <w:vAlign w:val="center"/>
            <w:hideMark/>
          </w:tcPr>
          <w:p w14:paraId="11F28CDF" w14:textId="1A1B22AD"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Pre application review / meeting average 700 contact p.a.</w:t>
            </w:r>
          </w:p>
        </w:tc>
        <w:tc>
          <w:tcPr>
            <w:tcW w:w="534" w:type="dxa"/>
            <w:tcBorders>
              <w:top w:val="nil"/>
              <w:left w:val="nil"/>
              <w:bottom w:val="nil"/>
              <w:right w:val="nil"/>
            </w:tcBorders>
            <w:shd w:val="clear" w:color="000000" w:fill="FFFFFF"/>
            <w:noWrap/>
            <w:vAlign w:val="center"/>
            <w:hideMark/>
          </w:tcPr>
          <w:p w14:paraId="21130595"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2</w:t>
            </w:r>
          </w:p>
        </w:tc>
        <w:tc>
          <w:tcPr>
            <w:tcW w:w="883" w:type="dxa"/>
            <w:tcBorders>
              <w:top w:val="nil"/>
              <w:left w:val="nil"/>
              <w:bottom w:val="nil"/>
              <w:right w:val="nil"/>
            </w:tcBorders>
            <w:shd w:val="clear" w:color="000000" w:fill="FFFFFF"/>
            <w:noWrap/>
            <w:vAlign w:val="center"/>
            <w:hideMark/>
          </w:tcPr>
          <w:p w14:paraId="71C9D771"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center"/>
            <w:hideMark/>
          </w:tcPr>
          <w:p w14:paraId="675AF5FC"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1500</w:t>
            </w:r>
          </w:p>
        </w:tc>
        <w:tc>
          <w:tcPr>
            <w:tcW w:w="955" w:type="dxa"/>
            <w:tcBorders>
              <w:top w:val="nil"/>
              <w:left w:val="nil"/>
              <w:bottom w:val="nil"/>
              <w:right w:val="nil"/>
            </w:tcBorders>
            <w:shd w:val="clear" w:color="000000" w:fill="FFFFFF"/>
            <w:noWrap/>
            <w:vAlign w:val="center"/>
            <w:hideMark/>
          </w:tcPr>
          <w:p w14:paraId="279BA462"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center"/>
            <w:hideMark/>
          </w:tcPr>
          <w:p w14:paraId="18FE034B"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$120,065</w:t>
            </w:r>
          </w:p>
        </w:tc>
      </w:tr>
      <w:tr w:rsidR="00CA2D91" w:rsidRPr="00503F5B" w14:paraId="49EEF974" w14:textId="77777777" w:rsidTr="009917B8">
        <w:trPr>
          <w:trHeight w:val="300"/>
          <w:jc w:val="center"/>
        </w:trPr>
        <w:tc>
          <w:tcPr>
            <w:tcW w:w="5387" w:type="dxa"/>
            <w:tcBorders>
              <w:top w:val="single" w:sz="4" w:space="0" w:color="C00000"/>
              <w:left w:val="nil"/>
              <w:bottom w:val="single" w:sz="4" w:space="0" w:color="C00000"/>
              <w:right w:val="nil"/>
            </w:tcBorders>
            <w:shd w:val="clear" w:color="000000" w:fill="FFFFFF"/>
            <w:vAlign w:val="center"/>
            <w:hideMark/>
          </w:tcPr>
          <w:p w14:paraId="6766BBC1"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Subtotal annual cost</w:t>
            </w:r>
          </w:p>
        </w:tc>
        <w:tc>
          <w:tcPr>
            <w:tcW w:w="534" w:type="dxa"/>
            <w:tcBorders>
              <w:top w:val="single" w:sz="4" w:space="0" w:color="C00000"/>
              <w:left w:val="nil"/>
              <w:bottom w:val="single" w:sz="4" w:space="0" w:color="C00000"/>
              <w:right w:val="nil"/>
            </w:tcBorders>
            <w:shd w:val="clear" w:color="000000" w:fill="FFFFFF"/>
            <w:noWrap/>
            <w:vAlign w:val="center"/>
            <w:hideMark/>
          </w:tcPr>
          <w:p w14:paraId="6B3DC00A"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883" w:type="dxa"/>
            <w:tcBorders>
              <w:top w:val="single" w:sz="4" w:space="0" w:color="C00000"/>
              <w:left w:val="nil"/>
              <w:bottom w:val="single" w:sz="4" w:space="0" w:color="C00000"/>
              <w:right w:val="nil"/>
            </w:tcBorders>
            <w:shd w:val="clear" w:color="000000" w:fill="FFFFFF"/>
            <w:noWrap/>
            <w:vAlign w:val="center"/>
            <w:hideMark/>
          </w:tcPr>
          <w:p w14:paraId="3AFD332C"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993" w:type="dxa"/>
            <w:tcBorders>
              <w:top w:val="single" w:sz="4" w:space="0" w:color="C00000"/>
              <w:left w:val="nil"/>
              <w:bottom w:val="single" w:sz="4" w:space="0" w:color="C00000"/>
              <w:right w:val="nil"/>
            </w:tcBorders>
            <w:shd w:val="clear" w:color="000000" w:fill="FFFFFF"/>
            <w:noWrap/>
            <w:vAlign w:val="center"/>
            <w:hideMark/>
          </w:tcPr>
          <w:p w14:paraId="1EA0FC6C"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955" w:type="dxa"/>
            <w:tcBorders>
              <w:top w:val="single" w:sz="4" w:space="0" w:color="C00000"/>
              <w:left w:val="nil"/>
              <w:bottom w:val="single" w:sz="4" w:space="0" w:color="C00000"/>
              <w:right w:val="nil"/>
            </w:tcBorders>
            <w:shd w:val="clear" w:color="000000" w:fill="FFFFFF"/>
            <w:noWrap/>
            <w:vAlign w:val="center"/>
            <w:hideMark/>
          </w:tcPr>
          <w:p w14:paraId="2100821E"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 </w:t>
            </w:r>
          </w:p>
        </w:tc>
        <w:tc>
          <w:tcPr>
            <w:tcW w:w="462" w:type="dxa"/>
            <w:tcBorders>
              <w:top w:val="single" w:sz="4" w:space="0" w:color="C00000"/>
              <w:left w:val="nil"/>
              <w:bottom w:val="single" w:sz="4" w:space="0" w:color="C00000"/>
              <w:right w:val="nil"/>
            </w:tcBorders>
            <w:shd w:val="clear" w:color="000000" w:fill="FFFFFF"/>
            <w:noWrap/>
            <w:vAlign w:val="center"/>
            <w:hideMark/>
          </w:tcPr>
          <w:p w14:paraId="2B8C8C4C"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$120,065</w:t>
            </w:r>
          </w:p>
        </w:tc>
      </w:tr>
      <w:tr w:rsidR="00CA2D91" w:rsidRPr="00503F5B" w14:paraId="0E90D559" w14:textId="77777777" w:rsidTr="009917B8">
        <w:trPr>
          <w:trHeight w:val="300"/>
          <w:jc w:val="center"/>
        </w:trPr>
        <w:tc>
          <w:tcPr>
            <w:tcW w:w="5387" w:type="dxa"/>
            <w:tcBorders>
              <w:top w:val="nil"/>
              <w:left w:val="nil"/>
              <w:bottom w:val="nil"/>
              <w:right w:val="nil"/>
            </w:tcBorders>
            <w:shd w:val="clear" w:color="auto" w:fill="auto"/>
            <w:vAlign w:val="bottom"/>
            <w:hideMark/>
          </w:tcPr>
          <w:p w14:paraId="6FE4B9AB"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Inspections of buildings, fire protection systems and perimeter access roads</w:t>
            </w:r>
          </w:p>
        </w:tc>
        <w:tc>
          <w:tcPr>
            <w:tcW w:w="534" w:type="dxa"/>
            <w:tcBorders>
              <w:top w:val="nil"/>
              <w:left w:val="nil"/>
              <w:bottom w:val="nil"/>
              <w:right w:val="nil"/>
            </w:tcBorders>
            <w:shd w:val="clear" w:color="000000" w:fill="FFFFFF"/>
            <w:noWrap/>
            <w:vAlign w:val="center"/>
            <w:hideMark/>
          </w:tcPr>
          <w:p w14:paraId="34B3CFDB"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883" w:type="dxa"/>
            <w:tcBorders>
              <w:top w:val="nil"/>
              <w:left w:val="nil"/>
              <w:bottom w:val="nil"/>
              <w:right w:val="nil"/>
            </w:tcBorders>
            <w:shd w:val="clear" w:color="000000" w:fill="FFFFFF"/>
            <w:noWrap/>
            <w:vAlign w:val="center"/>
            <w:hideMark/>
          </w:tcPr>
          <w:p w14:paraId="7139CC6A"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nil"/>
              <w:right w:val="nil"/>
            </w:tcBorders>
            <w:shd w:val="clear" w:color="000000" w:fill="FFFFFF"/>
            <w:noWrap/>
            <w:vAlign w:val="bottom"/>
            <w:hideMark/>
          </w:tcPr>
          <w:p w14:paraId="5163DFC4"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955" w:type="dxa"/>
            <w:tcBorders>
              <w:top w:val="nil"/>
              <w:left w:val="nil"/>
              <w:bottom w:val="nil"/>
              <w:right w:val="nil"/>
            </w:tcBorders>
            <w:shd w:val="clear" w:color="000000" w:fill="FFFFFF"/>
            <w:noWrap/>
            <w:vAlign w:val="bottom"/>
            <w:hideMark/>
          </w:tcPr>
          <w:p w14:paraId="7F8C3359"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462" w:type="dxa"/>
            <w:tcBorders>
              <w:top w:val="nil"/>
              <w:left w:val="nil"/>
              <w:bottom w:val="nil"/>
              <w:right w:val="nil"/>
            </w:tcBorders>
            <w:shd w:val="clear" w:color="000000" w:fill="FFFFFF"/>
            <w:noWrap/>
            <w:vAlign w:val="bottom"/>
            <w:hideMark/>
          </w:tcPr>
          <w:p w14:paraId="409AD2AC"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r>
      <w:tr w:rsidR="00CA2D91" w:rsidRPr="00503F5B" w14:paraId="1F7DE0D3" w14:textId="77777777" w:rsidTr="009917B8">
        <w:trPr>
          <w:trHeight w:val="300"/>
          <w:jc w:val="center"/>
        </w:trPr>
        <w:tc>
          <w:tcPr>
            <w:tcW w:w="5387" w:type="dxa"/>
            <w:tcBorders>
              <w:top w:val="nil"/>
              <w:left w:val="nil"/>
              <w:bottom w:val="nil"/>
              <w:right w:val="nil"/>
            </w:tcBorders>
            <w:shd w:val="clear" w:color="000000" w:fill="FFFFFF"/>
            <w:vAlign w:val="center"/>
            <w:hideMark/>
          </w:tcPr>
          <w:p w14:paraId="65556809" w14:textId="77777777" w:rsidR="00CA2D91" w:rsidRPr="00503F5B" w:rsidRDefault="00CA2D91" w:rsidP="00CA2D91">
            <w:pPr>
              <w:rPr>
                <w:rFonts w:eastAsia="Times New Roman" w:cs="Calibri"/>
                <w:color w:val="auto"/>
                <w:sz w:val="20"/>
                <w:szCs w:val="20"/>
                <w:lang w:eastAsia="en-AU"/>
              </w:rPr>
            </w:pPr>
            <w:r w:rsidRPr="00503F5B">
              <w:rPr>
                <w:rFonts w:eastAsia="Times New Roman" w:cs="Calibri"/>
                <w:color w:val="auto"/>
                <w:sz w:val="20"/>
                <w:szCs w:val="20"/>
                <w:lang w:eastAsia="en-AU"/>
              </w:rPr>
              <w:t xml:space="preserve">Site inspection booking </w:t>
            </w:r>
          </w:p>
        </w:tc>
        <w:tc>
          <w:tcPr>
            <w:tcW w:w="534" w:type="dxa"/>
            <w:tcBorders>
              <w:top w:val="nil"/>
              <w:left w:val="nil"/>
              <w:bottom w:val="nil"/>
              <w:right w:val="nil"/>
            </w:tcBorders>
            <w:shd w:val="clear" w:color="000000" w:fill="FFFFFF"/>
            <w:noWrap/>
            <w:vAlign w:val="center"/>
            <w:hideMark/>
          </w:tcPr>
          <w:p w14:paraId="1884FDA9" w14:textId="77777777" w:rsidR="00CA2D91" w:rsidRPr="00503F5B" w:rsidRDefault="00CA2D91" w:rsidP="00CA2D91">
            <w:pPr>
              <w:jc w:val="center"/>
              <w:rPr>
                <w:rFonts w:eastAsia="Times New Roman" w:cs="Calibri"/>
                <w:color w:val="auto"/>
                <w:sz w:val="20"/>
                <w:szCs w:val="20"/>
                <w:lang w:eastAsia="en-AU"/>
              </w:rPr>
            </w:pPr>
            <w:r w:rsidRPr="00503F5B">
              <w:rPr>
                <w:rFonts w:eastAsia="Times New Roman" w:cs="Calibri"/>
                <w:color w:val="auto"/>
                <w:sz w:val="20"/>
                <w:szCs w:val="20"/>
                <w:lang w:eastAsia="en-AU"/>
              </w:rPr>
              <w:t>1</w:t>
            </w:r>
          </w:p>
        </w:tc>
        <w:tc>
          <w:tcPr>
            <w:tcW w:w="883" w:type="dxa"/>
            <w:tcBorders>
              <w:top w:val="nil"/>
              <w:left w:val="nil"/>
              <w:bottom w:val="nil"/>
              <w:right w:val="nil"/>
            </w:tcBorders>
            <w:shd w:val="clear" w:color="000000" w:fill="FFFFFF"/>
            <w:noWrap/>
            <w:vAlign w:val="center"/>
            <w:hideMark/>
          </w:tcPr>
          <w:p w14:paraId="4103EE72" w14:textId="77777777" w:rsidR="00CA2D91" w:rsidRPr="00503F5B" w:rsidRDefault="00CA2D91" w:rsidP="00CA2D91">
            <w:pPr>
              <w:jc w:val="center"/>
              <w:rPr>
                <w:rFonts w:eastAsia="Times New Roman" w:cs="Calibri"/>
                <w:color w:val="auto"/>
                <w:sz w:val="20"/>
                <w:szCs w:val="20"/>
                <w:lang w:eastAsia="en-AU"/>
              </w:rPr>
            </w:pPr>
            <w:proofErr w:type="gramStart"/>
            <w:r w:rsidRPr="00503F5B">
              <w:rPr>
                <w:rFonts w:eastAsia="Times New Roman" w:cs="Calibri"/>
                <w:color w:val="auto"/>
                <w:sz w:val="20"/>
                <w:szCs w:val="20"/>
                <w:lang w:eastAsia="en-AU"/>
              </w:rPr>
              <w:t>S.O</w:t>
            </w:r>
            <w:proofErr w:type="gramEnd"/>
          </w:p>
        </w:tc>
        <w:tc>
          <w:tcPr>
            <w:tcW w:w="993" w:type="dxa"/>
            <w:tcBorders>
              <w:top w:val="nil"/>
              <w:left w:val="nil"/>
              <w:bottom w:val="nil"/>
              <w:right w:val="nil"/>
            </w:tcBorders>
            <w:shd w:val="clear" w:color="000000" w:fill="FFFFFF"/>
            <w:noWrap/>
            <w:vAlign w:val="center"/>
            <w:hideMark/>
          </w:tcPr>
          <w:p w14:paraId="4EDF7224" w14:textId="77777777" w:rsidR="00CA2D91" w:rsidRPr="00503F5B" w:rsidRDefault="00CA2D91" w:rsidP="00CA2D91">
            <w:pPr>
              <w:jc w:val="right"/>
              <w:rPr>
                <w:rFonts w:eastAsia="Times New Roman" w:cs="Calibri"/>
                <w:color w:val="auto"/>
                <w:sz w:val="20"/>
                <w:szCs w:val="20"/>
                <w:lang w:eastAsia="en-AU"/>
              </w:rPr>
            </w:pPr>
            <w:r w:rsidRPr="00503F5B">
              <w:rPr>
                <w:rFonts w:eastAsia="Times New Roman" w:cs="Calibri"/>
                <w:color w:val="auto"/>
                <w:sz w:val="20"/>
                <w:szCs w:val="20"/>
                <w:lang w:eastAsia="en-AU"/>
              </w:rPr>
              <w:t>250</w:t>
            </w:r>
          </w:p>
        </w:tc>
        <w:tc>
          <w:tcPr>
            <w:tcW w:w="955" w:type="dxa"/>
            <w:tcBorders>
              <w:top w:val="nil"/>
              <w:left w:val="nil"/>
              <w:bottom w:val="nil"/>
              <w:right w:val="nil"/>
            </w:tcBorders>
            <w:shd w:val="clear" w:color="000000" w:fill="FFFFFF"/>
            <w:noWrap/>
            <w:vAlign w:val="center"/>
            <w:hideMark/>
          </w:tcPr>
          <w:p w14:paraId="6D2AAA0A"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center"/>
            <w:hideMark/>
          </w:tcPr>
          <w:p w14:paraId="18CA2F1B" w14:textId="77777777" w:rsidR="00CA2D91" w:rsidRPr="00503F5B" w:rsidRDefault="00CA2D91" w:rsidP="00CA2D91">
            <w:pPr>
              <w:jc w:val="right"/>
              <w:rPr>
                <w:rFonts w:eastAsia="Times New Roman" w:cs="Calibri"/>
                <w:color w:val="auto"/>
                <w:sz w:val="20"/>
                <w:szCs w:val="20"/>
                <w:lang w:eastAsia="en-AU"/>
              </w:rPr>
            </w:pPr>
            <w:r w:rsidRPr="00503F5B">
              <w:rPr>
                <w:rFonts w:eastAsia="Times New Roman" w:cs="Calibri"/>
                <w:color w:val="auto"/>
                <w:sz w:val="20"/>
                <w:szCs w:val="20"/>
                <w:lang w:eastAsia="en-AU"/>
              </w:rPr>
              <w:t>$20,011</w:t>
            </w:r>
          </w:p>
        </w:tc>
      </w:tr>
      <w:tr w:rsidR="00CA2D91" w:rsidRPr="00503F5B" w14:paraId="68CE695D" w14:textId="77777777" w:rsidTr="009917B8">
        <w:trPr>
          <w:trHeight w:val="300"/>
          <w:jc w:val="center"/>
        </w:trPr>
        <w:tc>
          <w:tcPr>
            <w:tcW w:w="5387" w:type="dxa"/>
            <w:tcBorders>
              <w:top w:val="nil"/>
              <w:left w:val="nil"/>
              <w:bottom w:val="nil"/>
              <w:right w:val="nil"/>
            </w:tcBorders>
            <w:shd w:val="clear" w:color="000000" w:fill="FFFFFF"/>
            <w:vAlign w:val="center"/>
            <w:hideMark/>
          </w:tcPr>
          <w:p w14:paraId="3B26B31A" w14:textId="77777777" w:rsidR="00CA2D91" w:rsidRPr="00503F5B" w:rsidRDefault="00CA2D91" w:rsidP="00CA2D91">
            <w:pPr>
              <w:rPr>
                <w:rFonts w:eastAsia="Times New Roman" w:cs="Calibri"/>
                <w:color w:val="auto"/>
                <w:sz w:val="20"/>
                <w:szCs w:val="20"/>
                <w:lang w:eastAsia="en-AU"/>
              </w:rPr>
            </w:pPr>
            <w:r w:rsidRPr="00503F5B">
              <w:rPr>
                <w:rFonts w:eastAsia="Times New Roman" w:cs="Calibri"/>
                <w:color w:val="auto"/>
                <w:sz w:val="20"/>
                <w:szCs w:val="20"/>
                <w:lang w:eastAsia="en-AU"/>
              </w:rPr>
              <w:t>Site inspection and compliance follow ups</w:t>
            </w:r>
          </w:p>
        </w:tc>
        <w:tc>
          <w:tcPr>
            <w:tcW w:w="534" w:type="dxa"/>
            <w:tcBorders>
              <w:top w:val="nil"/>
              <w:left w:val="nil"/>
              <w:bottom w:val="nil"/>
              <w:right w:val="nil"/>
            </w:tcBorders>
            <w:shd w:val="clear" w:color="000000" w:fill="FFFFFF"/>
            <w:noWrap/>
            <w:vAlign w:val="center"/>
            <w:hideMark/>
          </w:tcPr>
          <w:p w14:paraId="56B1CBFA" w14:textId="77777777" w:rsidR="00CA2D91" w:rsidRPr="00503F5B" w:rsidRDefault="00CA2D91" w:rsidP="00CA2D91">
            <w:pPr>
              <w:jc w:val="center"/>
              <w:rPr>
                <w:rFonts w:eastAsia="Times New Roman" w:cs="Calibri"/>
                <w:color w:val="auto"/>
                <w:sz w:val="20"/>
                <w:szCs w:val="20"/>
                <w:lang w:eastAsia="en-AU"/>
              </w:rPr>
            </w:pPr>
            <w:r w:rsidRPr="00503F5B">
              <w:rPr>
                <w:rFonts w:eastAsia="Times New Roman" w:cs="Calibri"/>
                <w:color w:val="auto"/>
                <w:sz w:val="20"/>
                <w:szCs w:val="20"/>
                <w:lang w:eastAsia="en-AU"/>
              </w:rPr>
              <w:t>2</w:t>
            </w:r>
          </w:p>
        </w:tc>
        <w:tc>
          <w:tcPr>
            <w:tcW w:w="883" w:type="dxa"/>
            <w:tcBorders>
              <w:top w:val="nil"/>
              <w:left w:val="nil"/>
              <w:bottom w:val="nil"/>
              <w:right w:val="nil"/>
            </w:tcBorders>
            <w:shd w:val="clear" w:color="000000" w:fill="FFFFFF"/>
            <w:noWrap/>
            <w:vAlign w:val="center"/>
            <w:hideMark/>
          </w:tcPr>
          <w:p w14:paraId="7DEB265C" w14:textId="77777777" w:rsidR="00CA2D91" w:rsidRPr="00503F5B" w:rsidRDefault="00CA2D91" w:rsidP="00CA2D91">
            <w:pPr>
              <w:jc w:val="center"/>
              <w:rPr>
                <w:rFonts w:eastAsia="Times New Roman" w:cs="Calibri"/>
                <w:color w:val="auto"/>
                <w:sz w:val="20"/>
                <w:szCs w:val="20"/>
                <w:lang w:eastAsia="en-AU"/>
              </w:rPr>
            </w:pPr>
            <w:proofErr w:type="gramStart"/>
            <w:r w:rsidRPr="00503F5B">
              <w:rPr>
                <w:rFonts w:eastAsia="Times New Roman" w:cs="Calibri"/>
                <w:color w:val="auto"/>
                <w:sz w:val="20"/>
                <w:szCs w:val="20"/>
                <w:lang w:eastAsia="en-AU"/>
              </w:rPr>
              <w:t>S.O</w:t>
            </w:r>
            <w:proofErr w:type="gramEnd"/>
          </w:p>
        </w:tc>
        <w:tc>
          <w:tcPr>
            <w:tcW w:w="993" w:type="dxa"/>
            <w:tcBorders>
              <w:top w:val="nil"/>
              <w:left w:val="nil"/>
              <w:bottom w:val="nil"/>
              <w:right w:val="nil"/>
            </w:tcBorders>
            <w:shd w:val="clear" w:color="000000" w:fill="FFFFFF"/>
            <w:noWrap/>
            <w:vAlign w:val="center"/>
            <w:hideMark/>
          </w:tcPr>
          <w:p w14:paraId="412B90E2" w14:textId="77777777" w:rsidR="00CA2D91" w:rsidRPr="00503F5B" w:rsidRDefault="00CA2D91" w:rsidP="00CA2D91">
            <w:pPr>
              <w:jc w:val="right"/>
              <w:rPr>
                <w:rFonts w:eastAsia="Times New Roman" w:cs="Calibri"/>
                <w:color w:val="auto"/>
                <w:sz w:val="20"/>
                <w:szCs w:val="20"/>
                <w:lang w:eastAsia="en-AU"/>
              </w:rPr>
            </w:pPr>
            <w:r w:rsidRPr="00503F5B">
              <w:rPr>
                <w:rFonts w:eastAsia="Times New Roman" w:cs="Calibri"/>
                <w:color w:val="auto"/>
                <w:sz w:val="20"/>
                <w:szCs w:val="20"/>
                <w:lang w:eastAsia="en-AU"/>
              </w:rPr>
              <w:t>2000</w:t>
            </w:r>
          </w:p>
        </w:tc>
        <w:tc>
          <w:tcPr>
            <w:tcW w:w="955" w:type="dxa"/>
            <w:tcBorders>
              <w:top w:val="nil"/>
              <w:left w:val="nil"/>
              <w:bottom w:val="nil"/>
              <w:right w:val="nil"/>
            </w:tcBorders>
            <w:shd w:val="clear" w:color="000000" w:fill="FFFFFF"/>
            <w:noWrap/>
            <w:vAlign w:val="center"/>
            <w:hideMark/>
          </w:tcPr>
          <w:p w14:paraId="3F61F283"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center"/>
            <w:hideMark/>
          </w:tcPr>
          <w:p w14:paraId="2BA15F36" w14:textId="77777777" w:rsidR="00CA2D91" w:rsidRPr="00503F5B" w:rsidRDefault="00CA2D91" w:rsidP="00CA2D91">
            <w:pPr>
              <w:jc w:val="right"/>
              <w:rPr>
                <w:rFonts w:eastAsia="Times New Roman" w:cs="Calibri"/>
                <w:color w:val="auto"/>
                <w:sz w:val="20"/>
                <w:szCs w:val="20"/>
                <w:lang w:eastAsia="en-AU"/>
              </w:rPr>
            </w:pPr>
            <w:r w:rsidRPr="00503F5B">
              <w:rPr>
                <w:rFonts w:eastAsia="Times New Roman" w:cs="Calibri"/>
                <w:color w:val="auto"/>
                <w:sz w:val="20"/>
                <w:szCs w:val="20"/>
                <w:lang w:eastAsia="en-AU"/>
              </w:rPr>
              <w:t>$160,086</w:t>
            </w:r>
          </w:p>
        </w:tc>
      </w:tr>
      <w:tr w:rsidR="00CA2D91" w:rsidRPr="00503F5B" w14:paraId="3B3FDD63" w14:textId="77777777" w:rsidTr="009917B8">
        <w:trPr>
          <w:trHeight w:val="300"/>
          <w:jc w:val="center"/>
        </w:trPr>
        <w:tc>
          <w:tcPr>
            <w:tcW w:w="5387" w:type="dxa"/>
            <w:tcBorders>
              <w:top w:val="single" w:sz="4" w:space="0" w:color="C00000"/>
              <w:left w:val="nil"/>
              <w:bottom w:val="single" w:sz="4" w:space="0" w:color="C00000"/>
              <w:right w:val="nil"/>
            </w:tcBorders>
            <w:shd w:val="clear" w:color="000000" w:fill="FFFFFF"/>
            <w:vAlign w:val="center"/>
            <w:hideMark/>
          </w:tcPr>
          <w:p w14:paraId="51AD1151"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Subtotal annual cost</w:t>
            </w:r>
          </w:p>
        </w:tc>
        <w:tc>
          <w:tcPr>
            <w:tcW w:w="534" w:type="dxa"/>
            <w:tcBorders>
              <w:top w:val="single" w:sz="4" w:space="0" w:color="C00000"/>
              <w:left w:val="nil"/>
              <w:bottom w:val="single" w:sz="4" w:space="0" w:color="C00000"/>
              <w:right w:val="nil"/>
            </w:tcBorders>
            <w:shd w:val="clear" w:color="000000" w:fill="FFFFFF"/>
            <w:noWrap/>
            <w:vAlign w:val="center"/>
            <w:hideMark/>
          </w:tcPr>
          <w:p w14:paraId="777E25EA"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883" w:type="dxa"/>
            <w:tcBorders>
              <w:top w:val="single" w:sz="4" w:space="0" w:color="C00000"/>
              <w:left w:val="nil"/>
              <w:bottom w:val="single" w:sz="4" w:space="0" w:color="C00000"/>
              <w:right w:val="nil"/>
            </w:tcBorders>
            <w:shd w:val="clear" w:color="000000" w:fill="FFFFFF"/>
            <w:noWrap/>
            <w:vAlign w:val="center"/>
            <w:hideMark/>
          </w:tcPr>
          <w:p w14:paraId="3D818BE0"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993" w:type="dxa"/>
            <w:tcBorders>
              <w:top w:val="single" w:sz="4" w:space="0" w:color="C00000"/>
              <w:left w:val="nil"/>
              <w:bottom w:val="single" w:sz="4" w:space="0" w:color="C00000"/>
              <w:right w:val="nil"/>
            </w:tcBorders>
            <w:shd w:val="clear" w:color="000000" w:fill="FFFFFF"/>
            <w:noWrap/>
            <w:vAlign w:val="center"/>
            <w:hideMark/>
          </w:tcPr>
          <w:p w14:paraId="2DDFF29C"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 </w:t>
            </w:r>
          </w:p>
        </w:tc>
        <w:tc>
          <w:tcPr>
            <w:tcW w:w="955" w:type="dxa"/>
            <w:tcBorders>
              <w:top w:val="single" w:sz="4" w:space="0" w:color="C00000"/>
              <w:left w:val="nil"/>
              <w:bottom w:val="single" w:sz="4" w:space="0" w:color="C00000"/>
              <w:right w:val="nil"/>
            </w:tcBorders>
            <w:shd w:val="clear" w:color="000000" w:fill="FFFFFF"/>
            <w:noWrap/>
            <w:vAlign w:val="bottom"/>
            <w:hideMark/>
          </w:tcPr>
          <w:p w14:paraId="036B032C"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462" w:type="dxa"/>
            <w:tcBorders>
              <w:top w:val="single" w:sz="4" w:space="0" w:color="C00000"/>
              <w:left w:val="nil"/>
              <w:bottom w:val="single" w:sz="4" w:space="0" w:color="C00000"/>
              <w:right w:val="nil"/>
            </w:tcBorders>
            <w:shd w:val="clear" w:color="000000" w:fill="FFFFFF"/>
            <w:noWrap/>
            <w:vAlign w:val="bottom"/>
            <w:hideMark/>
          </w:tcPr>
          <w:p w14:paraId="3B6560D0"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$180,097</w:t>
            </w:r>
          </w:p>
        </w:tc>
      </w:tr>
      <w:tr w:rsidR="00CA2D91" w:rsidRPr="00503F5B" w14:paraId="40EE6107" w14:textId="77777777" w:rsidTr="009917B8">
        <w:trPr>
          <w:trHeight w:val="300"/>
          <w:jc w:val="center"/>
        </w:trPr>
        <w:tc>
          <w:tcPr>
            <w:tcW w:w="5387" w:type="dxa"/>
            <w:tcBorders>
              <w:top w:val="nil"/>
              <w:left w:val="nil"/>
              <w:bottom w:val="nil"/>
              <w:right w:val="nil"/>
            </w:tcBorders>
            <w:shd w:val="clear" w:color="auto" w:fill="auto"/>
            <w:vAlign w:val="bottom"/>
            <w:hideMark/>
          </w:tcPr>
          <w:p w14:paraId="1C1CDFEE" w14:textId="3B2620D2" w:rsidR="00CA2D91" w:rsidRPr="00503F5B" w:rsidRDefault="00CA2D91" w:rsidP="00CA2D91">
            <w:pPr>
              <w:rPr>
                <w:rFonts w:eastAsia="Times New Roman" w:cs="Calibri"/>
                <w:b/>
                <w:bCs/>
                <w:color w:val="auto"/>
                <w:sz w:val="20"/>
                <w:szCs w:val="20"/>
                <w:lang w:eastAsia="en-AU"/>
              </w:rPr>
            </w:pPr>
            <w:r w:rsidRPr="00503F5B">
              <w:rPr>
                <w:rFonts w:eastAsia="Times New Roman" w:cs="Calibri"/>
                <w:b/>
                <w:bCs/>
                <w:color w:val="auto"/>
                <w:sz w:val="20"/>
                <w:szCs w:val="20"/>
                <w:lang w:eastAsia="en-AU"/>
              </w:rPr>
              <w:lastRenderedPageBreak/>
              <w:t>Modification Section 160a Building Act 1993-MFB response to Building appeals Board (incl. Cladding related BAB applications)</w:t>
            </w:r>
          </w:p>
        </w:tc>
        <w:tc>
          <w:tcPr>
            <w:tcW w:w="534" w:type="dxa"/>
            <w:tcBorders>
              <w:top w:val="nil"/>
              <w:left w:val="nil"/>
              <w:bottom w:val="nil"/>
              <w:right w:val="nil"/>
            </w:tcBorders>
            <w:shd w:val="clear" w:color="000000" w:fill="FFFFFF"/>
            <w:noWrap/>
            <w:vAlign w:val="center"/>
            <w:hideMark/>
          </w:tcPr>
          <w:p w14:paraId="1AC77372"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883" w:type="dxa"/>
            <w:tcBorders>
              <w:top w:val="nil"/>
              <w:left w:val="nil"/>
              <w:bottom w:val="nil"/>
              <w:right w:val="nil"/>
            </w:tcBorders>
            <w:shd w:val="clear" w:color="000000" w:fill="FFFFFF"/>
            <w:noWrap/>
            <w:vAlign w:val="center"/>
            <w:hideMark/>
          </w:tcPr>
          <w:p w14:paraId="70A4A8EA"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nil"/>
              <w:right w:val="nil"/>
            </w:tcBorders>
            <w:shd w:val="clear" w:color="000000" w:fill="FFFFFF"/>
            <w:noWrap/>
            <w:vAlign w:val="bottom"/>
            <w:hideMark/>
          </w:tcPr>
          <w:p w14:paraId="77F1044D"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955" w:type="dxa"/>
            <w:tcBorders>
              <w:top w:val="nil"/>
              <w:left w:val="nil"/>
              <w:bottom w:val="nil"/>
              <w:right w:val="nil"/>
            </w:tcBorders>
            <w:shd w:val="clear" w:color="000000" w:fill="FFFFFF"/>
            <w:noWrap/>
            <w:vAlign w:val="bottom"/>
            <w:hideMark/>
          </w:tcPr>
          <w:p w14:paraId="743F025E"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462" w:type="dxa"/>
            <w:tcBorders>
              <w:top w:val="nil"/>
              <w:left w:val="nil"/>
              <w:bottom w:val="nil"/>
              <w:right w:val="nil"/>
            </w:tcBorders>
            <w:shd w:val="clear" w:color="000000" w:fill="FFFFFF"/>
            <w:noWrap/>
            <w:vAlign w:val="bottom"/>
            <w:hideMark/>
          </w:tcPr>
          <w:p w14:paraId="304ACEDA"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r>
      <w:tr w:rsidR="00CA2D91" w:rsidRPr="00503F5B" w14:paraId="25FB75FF" w14:textId="77777777" w:rsidTr="009917B8">
        <w:trPr>
          <w:trHeight w:val="300"/>
          <w:jc w:val="center"/>
        </w:trPr>
        <w:tc>
          <w:tcPr>
            <w:tcW w:w="5387" w:type="dxa"/>
            <w:tcBorders>
              <w:top w:val="nil"/>
              <w:left w:val="nil"/>
              <w:bottom w:val="nil"/>
              <w:right w:val="nil"/>
            </w:tcBorders>
            <w:shd w:val="clear" w:color="000000" w:fill="FFFFFF"/>
            <w:vAlign w:val="center"/>
            <w:hideMark/>
          </w:tcPr>
          <w:p w14:paraId="140D2F99"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xml:space="preserve">Administration – receipt of documentation and file governance </w:t>
            </w:r>
          </w:p>
        </w:tc>
        <w:tc>
          <w:tcPr>
            <w:tcW w:w="534" w:type="dxa"/>
            <w:tcBorders>
              <w:top w:val="nil"/>
              <w:left w:val="nil"/>
              <w:bottom w:val="nil"/>
              <w:right w:val="nil"/>
            </w:tcBorders>
            <w:shd w:val="clear" w:color="000000" w:fill="FFFFFF"/>
            <w:noWrap/>
            <w:vAlign w:val="center"/>
            <w:hideMark/>
          </w:tcPr>
          <w:p w14:paraId="58E7C331"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4E381AFF"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MFB 3</w:t>
            </w:r>
          </w:p>
        </w:tc>
        <w:tc>
          <w:tcPr>
            <w:tcW w:w="993" w:type="dxa"/>
            <w:tcBorders>
              <w:top w:val="nil"/>
              <w:left w:val="nil"/>
              <w:bottom w:val="nil"/>
              <w:right w:val="nil"/>
            </w:tcBorders>
            <w:shd w:val="clear" w:color="000000" w:fill="FFFFFF"/>
            <w:noWrap/>
            <w:vAlign w:val="center"/>
            <w:hideMark/>
          </w:tcPr>
          <w:p w14:paraId="59708D90"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700</w:t>
            </w:r>
          </w:p>
        </w:tc>
        <w:tc>
          <w:tcPr>
            <w:tcW w:w="955" w:type="dxa"/>
            <w:tcBorders>
              <w:top w:val="nil"/>
              <w:left w:val="nil"/>
              <w:bottom w:val="nil"/>
              <w:right w:val="nil"/>
            </w:tcBorders>
            <w:shd w:val="clear" w:color="000000" w:fill="FFFFFF"/>
            <w:noWrap/>
            <w:vAlign w:val="center"/>
            <w:hideMark/>
          </w:tcPr>
          <w:p w14:paraId="4DF3C0DA"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$47</w:t>
            </w:r>
          </w:p>
        </w:tc>
        <w:tc>
          <w:tcPr>
            <w:tcW w:w="462" w:type="dxa"/>
            <w:tcBorders>
              <w:top w:val="nil"/>
              <w:left w:val="nil"/>
              <w:bottom w:val="nil"/>
              <w:right w:val="nil"/>
            </w:tcBorders>
            <w:shd w:val="clear" w:color="000000" w:fill="FFFFFF"/>
            <w:noWrap/>
            <w:vAlign w:val="center"/>
            <w:hideMark/>
          </w:tcPr>
          <w:p w14:paraId="1B3A487C"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$32,593</w:t>
            </w:r>
          </w:p>
        </w:tc>
      </w:tr>
      <w:tr w:rsidR="00CA2D91" w:rsidRPr="00503F5B" w14:paraId="2FC211C9" w14:textId="77777777" w:rsidTr="009917B8">
        <w:trPr>
          <w:trHeight w:val="300"/>
          <w:jc w:val="center"/>
        </w:trPr>
        <w:tc>
          <w:tcPr>
            <w:tcW w:w="5387" w:type="dxa"/>
            <w:tcBorders>
              <w:top w:val="nil"/>
              <w:left w:val="nil"/>
              <w:bottom w:val="nil"/>
              <w:right w:val="nil"/>
            </w:tcBorders>
            <w:shd w:val="clear" w:color="000000" w:fill="FFFFFF"/>
            <w:vAlign w:val="center"/>
            <w:hideMark/>
          </w:tcPr>
          <w:p w14:paraId="3AEA6CE9"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Supporting documentation review</w:t>
            </w:r>
          </w:p>
        </w:tc>
        <w:tc>
          <w:tcPr>
            <w:tcW w:w="534" w:type="dxa"/>
            <w:tcBorders>
              <w:top w:val="nil"/>
              <w:left w:val="nil"/>
              <w:bottom w:val="nil"/>
              <w:right w:val="nil"/>
            </w:tcBorders>
            <w:shd w:val="clear" w:color="000000" w:fill="FFFFFF"/>
            <w:noWrap/>
            <w:vAlign w:val="center"/>
            <w:hideMark/>
          </w:tcPr>
          <w:p w14:paraId="4E61061A"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7B33FD04"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S.</w:t>
            </w: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center"/>
            <w:hideMark/>
          </w:tcPr>
          <w:p w14:paraId="147E8009"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300</w:t>
            </w:r>
          </w:p>
        </w:tc>
        <w:tc>
          <w:tcPr>
            <w:tcW w:w="955" w:type="dxa"/>
            <w:tcBorders>
              <w:top w:val="nil"/>
              <w:left w:val="nil"/>
              <w:bottom w:val="nil"/>
              <w:right w:val="nil"/>
            </w:tcBorders>
            <w:shd w:val="clear" w:color="000000" w:fill="FFFFFF"/>
            <w:noWrap/>
            <w:vAlign w:val="center"/>
            <w:hideMark/>
          </w:tcPr>
          <w:p w14:paraId="54029D3B"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$86</w:t>
            </w:r>
          </w:p>
        </w:tc>
        <w:tc>
          <w:tcPr>
            <w:tcW w:w="462" w:type="dxa"/>
            <w:tcBorders>
              <w:top w:val="nil"/>
              <w:left w:val="nil"/>
              <w:bottom w:val="nil"/>
              <w:right w:val="nil"/>
            </w:tcBorders>
            <w:shd w:val="clear" w:color="000000" w:fill="FFFFFF"/>
            <w:noWrap/>
            <w:vAlign w:val="center"/>
            <w:hideMark/>
          </w:tcPr>
          <w:p w14:paraId="0356B09C"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$25,776</w:t>
            </w:r>
          </w:p>
        </w:tc>
      </w:tr>
      <w:tr w:rsidR="00CA2D91" w:rsidRPr="00503F5B" w14:paraId="2A472E9B" w14:textId="77777777" w:rsidTr="009917B8">
        <w:trPr>
          <w:trHeight w:val="300"/>
          <w:jc w:val="center"/>
        </w:trPr>
        <w:tc>
          <w:tcPr>
            <w:tcW w:w="5387" w:type="dxa"/>
            <w:tcBorders>
              <w:top w:val="nil"/>
              <w:left w:val="nil"/>
              <w:bottom w:val="nil"/>
              <w:right w:val="nil"/>
            </w:tcBorders>
            <w:shd w:val="clear" w:color="000000" w:fill="FFFFFF"/>
            <w:vAlign w:val="center"/>
            <w:hideMark/>
          </w:tcPr>
          <w:p w14:paraId="43311FF0"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Report preparation &amp; processing</w:t>
            </w:r>
          </w:p>
        </w:tc>
        <w:tc>
          <w:tcPr>
            <w:tcW w:w="534" w:type="dxa"/>
            <w:tcBorders>
              <w:top w:val="nil"/>
              <w:left w:val="nil"/>
              <w:bottom w:val="nil"/>
              <w:right w:val="nil"/>
            </w:tcBorders>
            <w:shd w:val="clear" w:color="000000" w:fill="FFFFFF"/>
            <w:noWrap/>
            <w:vAlign w:val="center"/>
            <w:hideMark/>
          </w:tcPr>
          <w:p w14:paraId="4EA324CF"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63C8053E"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S.</w:t>
            </w: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center"/>
            <w:hideMark/>
          </w:tcPr>
          <w:p w14:paraId="0B7E18E2"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150</w:t>
            </w:r>
          </w:p>
        </w:tc>
        <w:tc>
          <w:tcPr>
            <w:tcW w:w="955" w:type="dxa"/>
            <w:tcBorders>
              <w:top w:val="nil"/>
              <w:left w:val="nil"/>
              <w:bottom w:val="nil"/>
              <w:right w:val="nil"/>
            </w:tcBorders>
            <w:shd w:val="clear" w:color="000000" w:fill="FFFFFF"/>
            <w:noWrap/>
            <w:vAlign w:val="center"/>
            <w:hideMark/>
          </w:tcPr>
          <w:p w14:paraId="7F8D4527"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$86</w:t>
            </w:r>
          </w:p>
        </w:tc>
        <w:tc>
          <w:tcPr>
            <w:tcW w:w="462" w:type="dxa"/>
            <w:tcBorders>
              <w:top w:val="nil"/>
              <w:left w:val="nil"/>
              <w:bottom w:val="nil"/>
              <w:right w:val="nil"/>
            </w:tcBorders>
            <w:shd w:val="clear" w:color="000000" w:fill="FFFFFF"/>
            <w:noWrap/>
            <w:vAlign w:val="center"/>
            <w:hideMark/>
          </w:tcPr>
          <w:p w14:paraId="69A2EC11"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$12,888</w:t>
            </w:r>
          </w:p>
        </w:tc>
      </w:tr>
      <w:tr w:rsidR="00CA2D91" w:rsidRPr="00503F5B" w14:paraId="2D8EAED1" w14:textId="77777777" w:rsidTr="009917B8">
        <w:trPr>
          <w:trHeight w:val="300"/>
          <w:jc w:val="center"/>
        </w:trPr>
        <w:tc>
          <w:tcPr>
            <w:tcW w:w="5387" w:type="dxa"/>
            <w:tcBorders>
              <w:top w:val="nil"/>
              <w:left w:val="nil"/>
              <w:bottom w:val="nil"/>
              <w:right w:val="nil"/>
            </w:tcBorders>
            <w:shd w:val="clear" w:color="000000" w:fill="FFFFFF"/>
            <w:vAlign w:val="center"/>
            <w:hideMark/>
          </w:tcPr>
          <w:p w14:paraId="07D3AF67"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Administration – receipt of determination and processing</w:t>
            </w:r>
          </w:p>
        </w:tc>
        <w:tc>
          <w:tcPr>
            <w:tcW w:w="534" w:type="dxa"/>
            <w:tcBorders>
              <w:top w:val="nil"/>
              <w:left w:val="nil"/>
              <w:bottom w:val="nil"/>
              <w:right w:val="nil"/>
            </w:tcBorders>
            <w:shd w:val="clear" w:color="000000" w:fill="FFFFFF"/>
            <w:noWrap/>
            <w:vAlign w:val="center"/>
            <w:hideMark/>
          </w:tcPr>
          <w:p w14:paraId="5EFCB3A5"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1F84A7BF"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MFB 3</w:t>
            </w:r>
          </w:p>
        </w:tc>
        <w:tc>
          <w:tcPr>
            <w:tcW w:w="993" w:type="dxa"/>
            <w:tcBorders>
              <w:top w:val="nil"/>
              <w:left w:val="nil"/>
              <w:bottom w:val="nil"/>
              <w:right w:val="nil"/>
            </w:tcBorders>
            <w:shd w:val="clear" w:color="000000" w:fill="FFFFFF"/>
            <w:noWrap/>
            <w:vAlign w:val="center"/>
            <w:hideMark/>
          </w:tcPr>
          <w:p w14:paraId="3F2405F5"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100</w:t>
            </w:r>
          </w:p>
        </w:tc>
        <w:tc>
          <w:tcPr>
            <w:tcW w:w="955" w:type="dxa"/>
            <w:tcBorders>
              <w:top w:val="nil"/>
              <w:left w:val="nil"/>
              <w:bottom w:val="nil"/>
              <w:right w:val="nil"/>
            </w:tcBorders>
            <w:shd w:val="clear" w:color="000000" w:fill="FFFFFF"/>
            <w:noWrap/>
            <w:vAlign w:val="center"/>
            <w:hideMark/>
          </w:tcPr>
          <w:p w14:paraId="64054AFD"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$47</w:t>
            </w:r>
          </w:p>
        </w:tc>
        <w:tc>
          <w:tcPr>
            <w:tcW w:w="462" w:type="dxa"/>
            <w:tcBorders>
              <w:top w:val="nil"/>
              <w:left w:val="nil"/>
              <w:bottom w:val="nil"/>
              <w:right w:val="nil"/>
            </w:tcBorders>
            <w:shd w:val="clear" w:color="000000" w:fill="FFFFFF"/>
            <w:noWrap/>
            <w:vAlign w:val="center"/>
            <w:hideMark/>
          </w:tcPr>
          <w:p w14:paraId="3A1AB496"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$4,656</w:t>
            </w:r>
          </w:p>
        </w:tc>
      </w:tr>
      <w:tr w:rsidR="00CA2D91" w:rsidRPr="00503F5B" w14:paraId="31464A89" w14:textId="77777777" w:rsidTr="009917B8">
        <w:trPr>
          <w:trHeight w:val="300"/>
          <w:jc w:val="center"/>
        </w:trPr>
        <w:tc>
          <w:tcPr>
            <w:tcW w:w="5387" w:type="dxa"/>
            <w:tcBorders>
              <w:top w:val="single" w:sz="4" w:space="0" w:color="C00000"/>
              <w:left w:val="nil"/>
              <w:bottom w:val="single" w:sz="4" w:space="0" w:color="C00000"/>
              <w:right w:val="nil"/>
            </w:tcBorders>
            <w:shd w:val="clear" w:color="000000" w:fill="FFFFFF"/>
            <w:vAlign w:val="center"/>
            <w:hideMark/>
          </w:tcPr>
          <w:p w14:paraId="55D556F9"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Subtotal annual cost</w:t>
            </w:r>
          </w:p>
        </w:tc>
        <w:tc>
          <w:tcPr>
            <w:tcW w:w="534" w:type="dxa"/>
            <w:tcBorders>
              <w:top w:val="single" w:sz="4" w:space="0" w:color="C00000"/>
              <w:left w:val="nil"/>
              <w:bottom w:val="single" w:sz="4" w:space="0" w:color="C00000"/>
              <w:right w:val="nil"/>
            </w:tcBorders>
            <w:shd w:val="clear" w:color="000000" w:fill="FFFFFF"/>
            <w:noWrap/>
            <w:vAlign w:val="center"/>
            <w:hideMark/>
          </w:tcPr>
          <w:p w14:paraId="7476807F"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883" w:type="dxa"/>
            <w:tcBorders>
              <w:top w:val="single" w:sz="4" w:space="0" w:color="C00000"/>
              <w:left w:val="nil"/>
              <w:bottom w:val="single" w:sz="4" w:space="0" w:color="C00000"/>
              <w:right w:val="nil"/>
            </w:tcBorders>
            <w:shd w:val="clear" w:color="000000" w:fill="FFFFFF"/>
            <w:noWrap/>
            <w:vAlign w:val="center"/>
            <w:hideMark/>
          </w:tcPr>
          <w:p w14:paraId="012C7383" w14:textId="77777777" w:rsidR="00CA2D91" w:rsidRPr="00503F5B" w:rsidRDefault="00CA2D91" w:rsidP="00CA2D91">
            <w:pPr>
              <w:jc w:val="center"/>
              <w:rPr>
                <w:rFonts w:eastAsia="Times New Roman" w:cs="Calibri"/>
                <w:b/>
                <w:bCs/>
                <w:sz w:val="20"/>
                <w:szCs w:val="20"/>
                <w:lang w:eastAsia="en-AU"/>
              </w:rPr>
            </w:pPr>
            <w:r w:rsidRPr="00503F5B">
              <w:rPr>
                <w:rFonts w:eastAsia="Times New Roman" w:cs="Calibri"/>
                <w:b/>
                <w:bCs/>
                <w:sz w:val="20"/>
                <w:szCs w:val="20"/>
                <w:lang w:eastAsia="en-AU"/>
              </w:rPr>
              <w:t> </w:t>
            </w:r>
          </w:p>
        </w:tc>
        <w:tc>
          <w:tcPr>
            <w:tcW w:w="993" w:type="dxa"/>
            <w:tcBorders>
              <w:top w:val="single" w:sz="4" w:space="0" w:color="C00000"/>
              <w:left w:val="nil"/>
              <w:bottom w:val="single" w:sz="4" w:space="0" w:color="C00000"/>
              <w:right w:val="nil"/>
            </w:tcBorders>
            <w:shd w:val="clear" w:color="000000" w:fill="FFFFFF"/>
            <w:noWrap/>
            <w:vAlign w:val="center"/>
            <w:hideMark/>
          </w:tcPr>
          <w:p w14:paraId="2158274F"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 </w:t>
            </w:r>
          </w:p>
        </w:tc>
        <w:tc>
          <w:tcPr>
            <w:tcW w:w="955" w:type="dxa"/>
            <w:tcBorders>
              <w:top w:val="single" w:sz="4" w:space="0" w:color="C00000"/>
              <w:left w:val="nil"/>
              <w:bottom w:val="single" w:sz="4" w:space="0" w:color="C00000"/>
              <w:right w:val="nil"/>
            </w:tcBorders>
            <w:shd w:val="clear" w:color="000000" w:fill="FFFFFF"/>
            <w:noWrap/>
            <w:vAlign w:val="bottom"/>
            <w:hideMark/>
          </w:tcPr>
          <w:p w14:paraId="4DE8B673"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462" w:type="dxa"/>
            <w:tcBorders>
              <w:top w:val="single" w:sz="4" w:space="0" w:color="C00000"/>
              <w:left w:val="nil"/>
              <w:bottom w:val="single" w:sz="4" w:space="0" w:color="C00000"/>
              <w:right w:val="nil"/>
            </w:tcBorders>
            <w:shd w:val="clear" w:color="000000" w:fill="FFFFFF"/>
            <w:noWrap/>
            <w:vAlign w:val="bottom"/>
            <w:hideMark/>
          </w:tcPr>
          <w:p w14:paraId="73AC3A52"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$75,913</w:t>
            </w:r>
          </w:p>
        </w:tc>
      </w:tr>
      <w:tr w:rsidR="00CA2D91" w:rsidRPr="00503F5B" w14:paraId="7A42C713" w14:textId="77777777" w:rsidTr="009917B8">
        <w:trPr>
          <w:trHeight w:val="70"/>
          <w:jc w:val="center"/>
        </w:trPr>
        <w:tc>
          <w:tcPr>
            <w:tcW w:w="5387" w:type="dxa"/>
            <w:tcBorders>
              <w:top w:val="nil"/>
              <w:left w:val="nil"/>
              <w:bottom w:val="single" w:sz="4" w:space="0" w:color="C00000"/>
              <w:right w:val="nil"/>
            </w:tcBorders>
            <w:shd w:val="clear" w:color="000000" w:fill="FDE9D9"/>
            <w:vAlign w:val="bottom"/>
            <w:hideMark/>
          </w:tcPr>
          <w:p w14:paraId="70A62F3A"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Dangerous Goods</w:t>
            </w:r>
          </w:p>
        </w:tc>
        <w:tc>
          <w:tcPr>
            <w:tcW w:w="534" w:type="dxa"/>
            <w:tcBorders>
              <w:top w:val="nil"/>
              <w:left w:val="nil"/>
              <w:bottom w:val="single" w:sz="4" w:space="0" w:color="C00000"/>
              <w:right w:val="nil"/>
            </w:tcBorders>
            <w:shd w:val="clear" w:color="000000" w:fill="FDE9D9"/>
            <w:noWrap/>
            <w:vAlign w:val="center"/>
            <w:hideMark/>
          </w:tcPr>
          <w:p w14:paraId="326EAC86"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883" w:type="dxa"/>
            <w:tcBorders>
              <w:top w:val="nil"/>
              <w:left w:val="nil"/>
              <w:bottom w:val="single" w:sz="4" w:space="0" w:color="C00000"/>
              <w:right w:val="nil"/>
            </w:tcBorders>
            <w:shd w:val="clear" w:color="000000" w:fill="FDE9D9"/>
            <w:noWrap/>
            <w:vAlign w:val="center"/>
            <w:hideMark/>
          </w:tcPr>
          <w:p w14:paraId="5ADD4C3F"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single" w:sz="4" w:space="0" w:color="C00000"/>
              <w:right w:val="nil"/>
            </w:tcBorders>
            <w:shd w:val="clear" w:color="000000" w:fill="FDE9D9"/>
            <w:noWrap/>
            <w:vAlign w:val="bottom"/>
            <w:hideMark/>
          </w:tcPr>
          <w:p w14:paraId="76C2F63C"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955" w:type="dxa"/>
            <w:tcBorders>
              <w:top w:val="nil"/>
              <w:left w:val="nil"/>
              <w:bottom w:val="single" w:sz="4" w:space="0" w:color="C00000"/>
              <w:right w:val="nil"/>
            </w:tcBorders>
            <w:shd w:val="clear" w:color="000000" w:fill="FDE9D9"/>
            <w:noWrap/>
            <w:vAlign w:val="bottom"/>
            <w:hideMark/>
          </w:tcPr>
          <w:p w14:paraId="306D4479"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462" w:type="dxa"/>
            <w:tcBorders>
              <w:top w:val="nil"/>
              <w:left w:val="nil"/>
              <w:bottom w:val="single" w:sz="4" w:space="0" w:color="C00000"/>
              <w:right w:val="nil"/>
            </w:tcBorders>
            <w:shd w:val="clear" w:color="000000" w:fill="FDE9D9"/>
            <w:noWrap/>
            <w:vAlign w:val="bottom"/>
            <w:hideMark/>
          </w:tcPr>
          <w:p w14:paraId="6AE8A65A"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r>
      <w:tr w:rsidR="00CA2D91" w:rsidRPr="00503F5B" w14:paraId="21EF7379" w14:textId="77777777" w:rsidTr="009917B8">
        <w:trPr>
          <w:trHeight w:val="300"/>
          <w:jc w:val="center"/>
        </w:trPr>
        <w:tc>
          <w:tcPr>
            <w:tcW w:w="5387" w:type="dxa"/>
            <w:tcBorders>
              <w:top w:val="nil"/>
              <w:left w:val="nil"/>
              <w:bottom w:val="nil"/>
              <w:right w:val="nil"/>
            </w:tcBorders>
            <w:shd w:val="clear" w:color="000000" w:fill="FFFFFF"/>
            <w:vAlign w:val="bottom"/>
            <w:hideMark/>
          </w:tcPr>
          <w:p w14:paraId="6EDC11D2"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Reports or letters of advice</w:t>
            </w:r>
          </w:p>
        </w:tc>
        <w:tc>
          <w:tcPr>
            <w:tcW w:w="534" w:type="dxa"/>
            <w:tcBorders>
              <w:top w:val="nil"/>
              <w:left w:val="nil"/>
              <w:bottom w:val="nil"/>
              <w:right w:val="nil"/>
            </w:tcBorders>
            <w:shd w:val="clear" w:color="000000" w:fill="FFFFFF"/>
            <w:noWrap/>
            <w:vAlign w:val="center"/>
            <w:hideMark/>
          </w:tcPr>
          <w:p w14:paraId="0BA4911D"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883" w:type="dxa"/>
            <w:tcBorders>
              <w:top w:val="nil"/>
              <w:left w:val="nil"/>
              <w:bottom w:val="nil"/>
              <w:right w:val="nil"/>
            </w:tcBorders>
            <w:shd w:val="clear" w:color="000000" w:fill="FFFFFF"/>
            <w:noWrap/>
            <w:vAlign w:val="center"/>
            <w:hideMark/>
          </w:tcPr>
          <w:p w14:paraId="435FC7B2"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nil"/>
              <w:right w:val="nil"/>
            </w:tcBorders>
            <w:shd w:val="clear" w:color="000000" w:fill="FFFFFF"/>
            <w:noWrap/>
            <w:vAlign w:val="bottom"/>
            <w:hideMark/>
          </w:tcPr>
          <w:p w14:paraId="4C7CE06A"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955" w:type="dxa"/>
            <w:tcBorders>
              <w:top w:val="nil"/>
              <w:left w:val="nil"/>
              <w:bottom w:val="nil"/>
              <w:right w:val="nil"/>
            </w:tcBorders>
            <w:shd w:val="clear" w:color="000000" w:fill="FFFFFF"/>
            <w:noWrap/>
            <w:vAlign w:val="bottom"/>
            <w:hideMark/>
          </w:tcPr>
          <w:p w14:paraId="6DBA19CC"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462" w:type="dxa"/>
            <w:tcBorders>
              <w:top w:val="nil"/>
              <w:left w:val="nil"/>
              <w:bottom w:val="nil"/>
              <w:right w:val="nil"/>
            </w:tcBorders>
            <w:shd w:val="clear" w:color="000000" w:fill="FFFFFF"/>
            <w:noWrap/>
            <w:vAlign w:val="bottom"/>
            <w:hideMark/>
          </w:tcPr>
          <w:p w14:paraId="177C9867"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r>
      <w:tr w:rsidR="00CA2D91" w:rsidRPr="00503F5B" w14:paraId="51D5B356" w14:textId="77777777" w:rsidTr="009917B8">
        <w:trPr>
          <w:trHeight w:val="300"/>
          <w:jc w:val="center"/>
        </w:trPr>
        <w:tc>
          <w:tcPr>
            <w:tcW w:w="5387" w:type="dxa"/>
            <w:tcBorders>
              <w:top w:val="nil"/>
              <w:left w:val="nil"/>
              <w:bottom w:val="nil"/>
              <w:right w:val="nil"/>
            </w:tcBorders>
            <w:shd w:val="clear" w:color="000000" w:fill="FFFFFF"/>
            <w:vAlign w:val="center"/>
            <w:hideMark/>
          </w:tcPr>
          <w:p w14:paraId="7A2DAA71"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Administration (telephone enquiry, application processing)</w:t>
            </w:r>
          </w:p>
        </w:tc>
        <w:tc>
          <w:tcPr>
            <w:tcW w:w="534" w:type="dxa"/>
            <w:tcBorders>
              <w:top w:val="nil"/>
              <w:left w:val="nil"/>
              <w:bottom w:val="nil"/>
              <w:right w:val="nil"/>
            </w:tcBorders>
            <w:shd w:val="clear" w:color="000000" w:fill="FFFFFF"/>
            <w:noWrap/>
            <w:vAlign w:val="center"/>
            <w:hideMark/>
          </w:tcPr>
          <w:p w14:paraId="44F0A7D0"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5F62ACA7"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bottom"/>
            <w:hideMark/>
          </w:tcPr>
          <w:p w14:paraId="6786778E"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153</w:t>
            </w:r>
          </w:p>
        </w:tc>
        <w:tc>
          <w:tcPr>
            <w:tcW w:w="955" w:type="dxa"/>
            <w:tcBorders>
              <w:top w:val="nil"/>
              <w:left w:val="nil"/>
              <w:bottom w:val="nil"/>
              <w:right w:val="nil"/>
            </w:tcBorders>
            <w:shd w:val="clear" w:color="000000" w:fill="FFFFFF"/>
            <w:noWrap/>
            <w:vAlign w:val="center"/>
            <w:hideMark/>
          </w:tcPr>
          <w:p w14:paraId="2CA56A37"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bottom"/>
            <w:hideMark/>
          </w:tcPr>
          <w:p w14:paraId="60E87B79"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$12,231</w:t>
            </w:r>
          </w:p>
        </w:tc>
      </w:tr>
      <w:tr w:rsidR="00CA2D91" w:rsidRPr="00503F5B" w14:paraId="7F27255F" w14:textId="77777777" w:rsidTr="009917B8">
        <w:trPr>
          <w:trHeight w:val="300"/>
          <w:jc w:val="center"/>
        </w:trPr>
        <w:tc>
          <w:tcPr>
            <w:tcW w:w="5387" w:type="dxa"/>
            <w:tcBorders>
              <w:top w:val="nil"/>
              <w:left w:val="nil"/>
              <w:bottom w:val="nil"/>
              <w:right w:val="nil"/>
            </w:tcBorders>
            <w:shd w:val="clear" w:color="000000" w:fill="FFFFFF"/>
            <w:vAlign w:val="center"/>
            <w:hideMark/>
          </w:tcPr>
          <w:p w14:paraId="0E4DD70B"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Supporting documentation review</w:t>
            </w:r>
          </w:p>
        </w:tc>
        <w:tc>
          <w:tcPr>
            <w:tcW w:w="534" w:type="dxa"/>
            <w:tcBorders>
              <w:top w:val="nil"/>
              <w:left w:val="nil"/>
              <w:bottom w:val="nil"/>
              <w:right w:val="nil"/>
            </w:tcBorders>
            <w:shd w:val="clear" w:color="000000" w:fill="FFFFFF"/>
            <w:noWrap/>
            <w:vAlign w:val="center"/>
            <w:hideMark/>
          </w:tcPr>
          <w:p w14:paraId="5B3F6A94"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2AE8A8B4"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bottom"/>
            <w:hideMark/>
          </w:tcPr>
          <w:p w14:paraId="3A9CBB50"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288</w:t>
            </w:r>
          </w:p>
        </w:tc>
        <w:tc>
          <w:tcPr>
            <w:tcW w:w="955" w:type="dxa"/>
            <w:tcBorders>
              <w:top w:val="nil"/>
              <w:left w:val="nil"/>
              <w:bottom w:val="nil"/>
              <w:right w:val="nil"/>
            </w:tcBorders>
            <w:shd w:val="clear" w:color="000000" w:fill="FFFFFF"/>
            <w:noWrap/>
            <w:vAlign w:val="center"/>
            <w:hideMark/>
          </w:tcPr>
          <w:p w14:paraId="29CAAF33"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bottom"/>
            <w:hideMark/>
          </w:tcPr>
          <w:p w14:paraId="5FB007C6"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$23,020</w:t>
            </w:r>
          </w:p>
        </w:tc>
      </w:tr>
      <w:tr w:rsidR="00CA2D91" w:rsidRPr="00503F5B" w14:paraId="1E54C75E" w14:textId="77777777" w:rsidTr="009917B8">
        <w:trPr>
          <w:trHeight w:val="300"/>
          <w:jc w:val="center"/>
        </w:trPr>
        <w:tc>
          <w:tcPr>
            <w:tcW w:w="5387" w:type="dxa"/>
            <w:tcBorders>
              <w:top w:val="nil"/>
              <w:left w:val="nil"/>
              <w:bottom w:val="nil"/>
              <w:right w:val="nil"/>
            </w:tcBorders>
            <w:shd w:val="clear" w:color="000000" w:fill="FFFFFF"/>
            <w:vAlign w:val="center"/>
            <w:hideMark/>
          </w:tcPr>
          <w:p w14:paraId="1BD1A3AD"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Site Inspection</w:t>
            </w:r>
          </w:p>
        </w:tc>
        <w:tc>
          <w:tcPr>
            <w:tcW w:w="534" w:type="dxa"/>
            <w:tcBorders>
              <w:top w:val="nil"/>
              <w:left w:val="nil"/>
              <w:bottom w:val="nil"/>
              <w:right w:val="nil"/>
            </w:tcBorders>
            <w:shd w:val="clear" w:color="000000" w:fill="FFFFFF"/>
            <w:noWrap/>
            <w:vAlign w:val="center"/>
            <w:hideMark/>
          </w:tcPr>
          <w:p w14:paraId="5480E88E"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2</w:t>
            </w:r>
          </w:p>
        </w:tc>
        <w:tc>
          <w:tcPr>
            <w:tcW w:w="883" w:type="dxa"/>
            <w:tcBorders>
              <w:top w:val="nil"/>
              <w:left w:val="nil"/>
              <w:bottom w:val="nil"/>
              <w:right w:val="nil"/>
            </w:tcBorders>
            <w:shd w:val="clear" w:color="000000" w:fill="FFFFFF"/>
            <w:noWrap/>
            <w:vAlign w:val="center"/>
            <w:hideMark/>
          </w:tcPr>
          <w:p w14:paraId="70667F14"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bottom"/>
            <w:hideMark/>
          </w:tcPr>
          <w:p w14:paraId="272606E5"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1344</w:t>
            </w:r>
          </w:p>
        </w:tc>
        <w:tc>
          <w:tcPr>
            <w:tcW w:w="955" w:type="dxa"/>
            <w:tcBorders>
              <w:top w:val="nil"/>
              <w:left w:val="nil"/>
              <w:bottom w:val="nil"/>
              <w:right w:val="nil"/>
            </w:tcBorders>
            <w:shd w:val="clear" w:color="000000" w:fill="FFFFFF"/>
            <w:noWrap/>
            <w:vAlign w:val="center"/>
            <w:hideMark/>
          </w:tcPr>
          <w:p w14:paraId="78E356EE"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bottom"/>
            <w:hideMark/>
          </w:tcPr>
          <w:p w14:paraId="448ADD33"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$107,546</w:t>
            </w:r>
          </w:p>
        </w:tc>
      </w:tr>
      <w:tr w:rsidR="00CA2D91" w:rsidRPr="00503F5B" w14:paraId="3D6A8A1E" w14:textId="77777777" w:rsidTr="009917B8">
        <w:trPr>
          <w:trHeight w:val="300"/>
          <w:jc w:val="center"/>
        </w:trPr>
        <w:tc>
          <w:tcPr>
            <w:tcW w:w="5387" w:type="dxa"/>
            <w:tcBorders>
              <w:top w:val="nil"/>
              <w:left w:val="nil"/>
              <w:bottom w:val="nil"/>
              <w:right w:val="nil"/>
            </w:tcBorders>
            <w:shd w:val="clear" w:color="000000" w:fill="FFFFFF"/>
            <w:vAlign w:val="center"/>
            <w:hideMark/>
          </w:tcPr>
          <w:p w14:paraId="357132D2"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Report preparation &amp; processing</w:t>
            </w:r>
          </w:p>
        </w:tc>
        <w:tc>
          <w:tcPr>
            <w:tcW w:w="534" w:type="dxa"/>
            <w:tcBorders>
              <w:top w:val="nil"/>
              <w:left w:val="nil"/>
              <w:bottom w:val="nil"/>
              <w:right w:val="nil"/>
            </w:tcBorders>
            <w:shd w:val="clear" w:color="000000" w:fill="FFFFFF"/>
            <w:noWrap/>
            <w:vAlign w:val="center"/>
            <w:hideMark/>
          </w:tcPr>
          <w:p w14:paraId="52B77BAD"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6410906F"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bottom"/>
            <w:hideMark/>
          </w:tcPr>
          <w:p w14:paraId="6A81E470"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440</w:t>
            </w:r>
          </w:p>
        </w:tc>
        <w:tc>
          <w:tcPr>
            <w:tcW w:w="955" w:type="dxa"/>
            <w:tcBorders>
              <w:top w:val="nil"/>
              <w:left w:val="nil"/>
              <w:bottom w:val="nil"/>
              <w:right w:val="nil"/>
            </w:tcBorders>
            <w:shd w:val="clear" w:color="000000" w:fill="FFFFFF"/>
            <w:noWrap/>
            <w:vAlign w:val="center"/>
            <w:hideMark/>
          </w:tcPr>
          <w:p w14:paraId="14258F08"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bottom"/>
            <w:hideMark/>
          </w:tcPr>
          <w:p w14:paraId="7FECE06C"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$35,251</w:t>
            </w:r>
          </w:p>
        </w:tc>
      </w:tr>
      <w:tr w:rsidR="00CA2D91" w:rsidRPr="00503F5B" w14:paraId="1C9B6BED" w14:textId="77777777" w:rsidTr="009917B8">
        <w:trPr>
          <w:trHeight w:val="300"/>
          <w:jc w:val="center"/>
        </w:trPr>
        <w:tc>
          <w:tcPr>
            <w:tcW w:w="5387" w:type="dxa"/>
            <w:tcBorders>
              <w:top w:val="nil"/>
              <w:left w:val="nil"/>
              <w:bottom w:val="nil"/>
              <w:right w:val="nil"/>
            </w:tcBorders>
            <w:shd w:val="clear" w:color="000000" w:fill="FFFFFF"/>
            <w:vAlign w:val="center"/>
            <w:hideMark/>
          </w:tcPr>
          <w:p w14:paraId="3B41768B"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xml:space="preserve">Report action &amp; implementation </w:t>
            </w:r>
          </w:p>
        </w:tc>
        <w:tc>
          <w:tcPr>
            <w:tcW w:w="534" w:type="dxa"/>
            <w:tcBorders>
              <w:top w:val="nil"/>
              <w:left w:val="nil"/>
              <w:bottom w:val="nil"/>
              <w:right w:val="nil"/>
            </w:tcBorders>
            <w:shd w:val="clear" w:color="000000" w:fill="FFFFFF"/>
            <w:noWrap/>
            <w:vAlign w:val="center"/>
            <w:hideMark/>
          </w:tcPr>
          <w:p w14:paraId="596D7D93"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58774A64"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bottom"/>
            <w:hideMark/>
          </w:tcPr>
          <w:p w14:paraId="736DBDEF"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209</w:t>
            </w:r>
          </w:p>
        </w:tc>
        <w:tc>
          <w:tcPr>
            <w:tcW w:w="955" w:type="dxa"/>
            <w:tcBorders>
              <w:top w:val="nil"/>
              <w:left w:val="nil"/>
              <w:bottom w:val="nil"/>
              <w:right w:val="nil"/>
            </w:tcBorders>
            <w:shd w:val="clear" w:color="000000" w:fill="FFFFFF"/>
            <w:noWrap/>
            <w:vAlign w:val="center"/>
            <w:hideMark/>
          </w:tcPr>
          <w:p w14:paraId="541C7155"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bottom"/>
            <w:hideMark/>
          </w:tcPr>
          <w:p w14:paraId="6234BF4A"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$16,761</w:t>
            </w:r>
          </w:p>
        </w:tc>
      </w:tr>
      <w:tr w:rsidR="00CA2D91" w:rsidRPr="00503F5B" w14:paraId="53CB67BF" w14:textId="77777777" w:rsidTr="009917B8">
        <w:trPr>
          <w:trHeight w:val="315"/>
          <w:jc w:val="center"/>
        </w:trPr>
        <w:tc>
          <w:tcPr>
            <w:tcW w:w="5387" w:type="dxa"/>
            <w:tcBorders>
              <w:top w:val="nil"/>
              <w:left w:val="nil"/>
              <w:bottom w:val="nil"/>
              <w:right w:val="nil"/>
            </w:tcBorders>
            <w:shd w:val="clear" w:color="000000" w:fill="FFFFFF"/>
            <w:vAlign w:val="center"/>
            <w:hideMark/>
          </w:tcPr>
          <w:p w14:paraId="1188281C"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Compliance review &amp; Acknowledgement</w:t>
            </w:r>
          </w:p>
        </w:tc>
        <w:tc>
          <w:tcPr>
            <w:tcW w:w="534" w:type="dxa"/>
            <w:tcBorders>
              <w:top w:val="nil"/>
              <w:left w:val="nil"/>
              <w:bottom w:val="nil"/>
              <w:right w:val="nil"/>
            </w:tcBorders>
            <w:shd w:val="clear" w:color="000000" w:fill="FFFFFF"/>
            <w:noWrap/>
            <w:vAlign w:val="center"/>
            <w:hideMark/>
          </w:tcPr>
          <w:p w14:paraId="2F7778D0"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156297B6"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bottom"/>
            <w:hideMark/>
          </w:tcPr>
          <w:p w14:paraId="0262D3EC"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153</w:t>
            </w:r>
          </w:p>
        </w:tc>
        <w:tc>
          <w:tcPr>
            <w:tcW w:w="955" w:type="dxa"/>
            <w:tcBorders>
              <w:top w:val="nil"/>
              <w:left w:val="nil"/>
              <w:bottom w:val="nil"/>
              <w:right w:val="nil"/>
            </w:tcBorders>
            <w:shd w:val="clear" w:color="000000" w:fill="FFFFFF"/>
            <w:noWrap/>
            <w:vAlign w:val="center"/>
            <w:hideMark/>
          </w:tcPr>
          <w:p w14:paraId="2468BE0E"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bottom"/>
            <w:hideMark/>
          </w:tcPr>
          <w:p w14:paraId="614FF734"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$12,231</w:t>
            </w:r>
          </w:p>
        </w:tc>
      </w:tr>
      <w:tr w:rsidR="00CA2D91" w:rsidRPr="00503F5B" w14:paraId="2F891377" w14:textId="77777777" w:rsidTr="009917B8">
        <w:trPr>
          <w:trHeight w:val="300"/>
          <w:jc w:val="center"/>
        </w:trPr>
        <w:tc>
          <w:tcPr>
            <w:tcW w:w="5387" w:type="dxa"/>
            <w:tcBorders>
              <w:top w:val="single" w:sz="4" w:space="0" w:color="C00000"/>
              <w:left w:val="nil"/>
              <w:bottom w:val="single" w:sz="4" w:space="0" w:color="C00000"/>
              <w:right w:val="nil"/>
            </w:tcBorders>
            <w:shd w:val="clear" w:color="000000" w:fill="FFFFFF"/>
            <w:vAlign w:val="center"/>
            <w:hideMark/>
          </w:tcPr>
          <w:p w14:paraId="3D57ECC5"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Subtotal annual cost</w:t>
            </w:r>
          </w:p>
        </w:tc>
        <w:tc>
          <w:tcPr>
            <w:tcW w:w="534" w:type="dxa"/>
            <w:tcBorders>
              <w:top w:val="single" w:sz="4" w:space="0" w:color="C00000"/>
              <w:left w:val="nil"/>
              <w:bottom w:val="single" w:sz="4" w:space="0" w:color="C00000"/>
              <w:right w:val="nil"/>
            </w:tcBorders>
            <w:shd w:val="clear" w:color="000000" w:fill="FFFFFF"/>
            <w:noWrap/>
            <w:vAlign w:val="bottom"/>
            <w:hideMark/>
          </w:tcPr>
          <w:p w14:paraId="712307FF"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883" w:type="dxa"/>
            <w:tcBorders>
              <w:top w:val="single" w:sz="4" w:space="0" w:color="C00000"/>
              <w:left w:val="nil"/>
              <w:bottom w:val="single" w:sz="4" w:space="0" w:color="C00000"/>
              <w:right w:val="nil"/>
            </w:tcBorders>
            <w:shd w:val="clear" w:color="000000" w:fill="FFFFFF"/>
            <w:noWrap/>
            <w:vAlign w:val="bottom"/>
            <w:hideMark/>
          </w:tcPr>
          <w:p w14:paraId="67F6B7F2"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993" w:type="dxa"/>
            <w:tcBorders>
              <w:top w:val="single" w:sz="4" w:space="0" w:color="C00000"/>
              <w:left w:val="nil"/>
              <w:bottom w:val="single" w:sz="4" w:space="0" w:color="C00000"/>
              <w:right w:val="nil"/>
            </w:tcBorders>
            <w:shd w:val="clear" w:color="000000" w:fill="FFFFFF"/>
            <w:noWrap/>
            <w:vAlign w:val="bottom"/>
            <w:hideMark/>
          </w:tcPr>
          <w:p w14:paraId="7EFBB7EB"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955" w:type="dxa"/>
            <w:tcBorders>
              <w:top w:val="single" w:sz="4" w:space="0" w:color="C00000"/>
              <w:left w:val="nil"/>
              <w:bottom w:val="single" w:sz="4" w:space="0" w:color="C00000"/>
              <w:right w:val="nil"/>
            </w:tcBorders>
            <w:shd w:val="clear" w:color="000000" w:fill="FFFFFF"/>
            <w:noWrap/>
            <w:vAlign w:val="bottom"/>
            <w:hideMark/>
          </w:tcPr>
          <w:p w14:paraId="19CBBFFD"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462" w:type="dxa"/>
            <w:tcBorders>
              <w:top w:val="single" w:sz="4" w:space="0" w:color="C00000"/>
              <w:left w:val="nil"/>
              <w:bottom w:val="single" w:sz="4" w:space="0" w:color="C00000"/>
              <w:right w:val="nil"/>
            </w:tcBorders>
            <w:shd w:val="clear" w:color="000000" w:fill="FFFFFF"/>
            <w:noWrap/>
            <w:vAlign w:val="bottom"/>
            <w:hideMark/>
          </w:tcPr>
          <w:p w14:paraId="38910C13"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$207,040</w:t>
            </w:r>
          </w:p>
        </w:tc>
      </w:tr>
      <w:tr w:rsidR="00CA2D91" w:rsidRPr="00503F5B" w14:paraId="51969326" w14:textId="77777777" w:rsidTr="009917B8">
        <w:trPr>
          <w:trHeight w:val="81"/>
          <w:jc w:val="center"/>
        </w:trPr>
        <w:tc>
          <w:tcPr>
            <w:tcW w:w="5387" w:type="dxa"/>
            <w:tcBorders>
              <w:top w:val="nil"/>
              <w:left w:val="nil"/>
              <w:bottom w:val="single" w:sz="4" w:space="0" w:color="C00000"/>
              <w:right w:val="nil"/>
            </w:tcBorders>
            <w:shd w:val="clear" w:color="000000" w:fill="FDE9D9"/>
            <w:vAlign w:val="bottom"/>
            <w:hideMark/>
          </w:tcPr>
          <w:p w14:paraId="38BC788C"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xml:space="preserve">Building Inspection and Compliance unit </w:t>
            </w:r>
          </w:p>
        </w:tc>
        <w:tc>
          <w:tcPr>
            <w:tcW w:w="534" w:type="dxa"/>
            <w:tcBorders>
              <w:top w:val="nil"/>
              <w:left w:val="nil"/>
              <w:bottom w:val="single" w:sz="4" w:space="0" w:color="C00000"/>
              <w:right w:val="nil"/>
            </w:tcBorders>
            <w:shd w:val="clear" w:color="000000" w:fill="FDE9D9"/>
            <w:noWrap/>
            <w:vAlign w:val="center"/>
            <w:hideMark/>
          </w:tcPr>
          <w:p w14:paraId="3169752B"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883" w:type="dxa"/>
            <w:tcBorders>
              <w:top w:val="nil"/>
              <w:left w:val="nil"/>
              <w:bottom w:val="single" w:sz="4" w:space="0" w:color="C00000"/>
              <w:right w:val="nil"/>
            </w:tcBorders>
            <w:shd w:val="clear" w:color="000000" w:fill="FDE9D9"/>
            <w:noWrap/>
            <w:vAlign w:val="center"/>
            <w:hideMark/>
          </w:tcPr>
          <w:p w14:paraId="35C0B216"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single" w:sz="4" w:space="0" w:color="C00000"/>
              <w:right w:val="nil"/>
            </w:tcBorders>
            <w:shd w:val="clear" w:color="000000" w:fill="FDE9D9"/>
            <w:noWrap/>
            <w:vAlign w:val="bottom"/>
            <w:hideMark/>
          </w:tcPr>
          <w:p w14:paraId="3C7CCA10"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955" w:type="dxa"/>
            <w:tcBorders>
              <w:top w:val="nil"/>
              <w:left w:val="nil"/>
              <w:bottom w:val="single" w:sz="4" w:space="0" w:color="C00000"/>
              <w:right w:val="nil"/>
            </w:tcBorders>
            <w:shd w:val="clear" w:color="000000" w:fill="FDE9D9"/>
            <w:noWrap/>
            <w:vAlign w:val="bottom"/>
            <w:hideMark/>
          </w:tcPr>
          <w:p w14:paraId="1A609A03"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462" w:type="dxa"/>
            <w:tcBorders>
              <w:top w:val="nil"/>
              <w:left w:val="nil"/>
              <w:bottom w:val="single" w:sz="4" w:space="0" w:color="C00000"/>
              <w:right w:val="nil"/>
            </w:tcBorders>
            <w:shd w:val="clear" w:color="000000" w:fill="FDE9D9"/>
            <w:noWrap/>
            <w:vAlign w:val="bottom"/>
            <w:hideMark/>
          </w:tcPr>
          <w:p w14:paraId="07012289"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r>
      <w:tr w:rsidR="00CA2D91" w:rsidRPr="00503F5B" w14:paraId="0421F2BB" w14:textId="77777777" w:rsidTr="009917B8">
        <w:trPr>
          <w:trHeight w:val="315"/>
          <w:jc w:val="center"/>
        </w:trPr>
        <w:tc>
          <w:tcPr>
            <w:tcW w:w="5387" w:type="dxa"/>
            <w:tcBorders>
              <w:top w:val="nil"/>
              <w:left w:val="nil"/>
              <w:bottom w:val="nil"/>
              <w:right w:val="nil"/>
            </w:tcBorders>
            <w:shd w:val="clear" w:color="000000" w:fill="FFFFFF"/>
            <w:vAlign w:val="bottom"/>
            <w:hideMark/>
          </w:tcPr>
          <w:p w14:paraId="1897E72F"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Inspections at Places of Public Entertainment (POPEs)</w:t>
            </w:r>
          </w:p>
        </w:tc>
        <w:tc>
          <w:tcPr>
            <w:tcW w:w="534" w:type="dxa"/>
            <w:tcBorders>
              <w:top w:val="nil"/>
              <w:left w:val="nil"/>
              <w:bottom w:val="nil"/>
              <w:right w:val="nil"/>
            </w:tcBorders>
            <w:shd w:val="clear" w:color="000000" w:fill="FFFFFF"/>
            <w:noWrap/>
            <w:vAlign w:val="center"/>
            <w:hideMark/>
          </w:tcPr>
          <w:p w14:paraId="168CA967"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883" w:type="dxa"/>
            <w:tcBorders>
              <w:top w:val="nil"/>
              <w:left w:val="nil"/>
              <w:bottom w:val="nil"/>
              <w:right w:val="nil"/>
            </w:tcBorders>
            <w:shd w:val="clear" w:color="000000" w:fill="FFFFFF"/>
            <w:noWrap/>
            <w:vAlign w:val="center"/>
            <w:hideMark/>
          </w:tcPr>
          <w:p w14:paraId="2D4B9828"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 </w:t>
            </w:r>
          </w:p>
        </w:tc>
        <w:tc>
          <w:tcPr>
            <w:tcW w:w="993" w:type="dxa"/>
            <w:tcBorders>
              <w:top w:val="nil"/>
              <w:left w:val="nil"/>
              <w:bottom w:val="nil"/>
              <w:right w:val="nil"/>
            </w:tcBorders>
            <w:shd w:val="clear" w:color="000000" w:fill="FFFFFF"/>
            <w:noWrap/>
            <w:vAlign w:val="bottom"/>
            <w:hideMark/>
          </w:tcPr>
          <w:p w14:paraId="4818F1CD"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955" w:type="dxa"/>
            <w:tcBorders>
              <w:top w:val="nil"/>
              <w:left w:val="nil"/>
              <w:bottom w:val="nil"/>
              <w:right w:val="nil"/>
            </w:tcBorders>
            <w:shd w:val="clear" w:color="000000" w:fill="FFFFFF"/>
            <w:noWrap/>
            <w:vAlign w:val="bottom"/>
            <w:hideMark/>
          </w:tcPr>
          <w:p w14:paraId="000112F4"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c>
          <w:tcPr>
            <w:tcW w:w="462" w:type="dxa"/>
            <w:tcBorders>
              <w:top w:val="nil"/>
              <w:left w:val="nil"/>
              <w:bottom w:val="nil"/>
              <w:right w:val="nil"/>
            </w:tcBorders>
            <w:shd w:val="clear" w:color="000000" w:fill="FFFFFF"/>
            <w:noWrap/>
            <w:vAlign w:val="bottom"/>
            <w:hideMark/>
          </w:tcPr>
          <w:p w14:paraId="4440C713"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 </w:t>
            </w:r>
          </w:p>
        </w:tc>
      </w:tr>
      <w:tr w:rsidR="00CA2D91" w:rsidRPr="00503F5B" w14:paraId="530630DF" w14:textId="77777777" w:rsidTr="009917B8">
        <w:trPr>
          <w:trHeight w:val="300"/>
          <w:jc w:val="center"/>
        </w:trPr>
        <w:tc>
          <w:tcPr>
            <w:tcW w:w="5387" w:type="dxa"/>
            <w:tcBorders>
              <w:top w:val="nil"/>
              <w:left w:val="nil"/>
              <w:bottom w:val="nil"/>
              <w:right w:val="nil"/>
            </w:tcBorders>
            <w:shd w:val="clear" w:color="000000" w:fill="FFFFFF"/>
            <w:vAlign w:val="bottom"/>
            <w:hideMark/>
          </w:tcPr>
          <w:p w14:paraId="2569B492"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Administration: Receive request, save information and create file</w:t>
            </w:r>
          </w:p>
        </w:tc>
        <w:tc>
          <w:tcPr>
            <w:tcW w:w="534" w:type="dxa"/>
            <w:tcBorders>
              <w:top w:val="nil"/>
              <w:left w:val="nil"/>
              <w:bottom w:val="nil"/>
              <w:right w:val="nil"/>
            </w:tcBorders>
            <w:shd w:val="clear" w:color="000000" w:fill="FFFFFF"/>
            <w:noWrap/>
            <w:vAlign w:val="center"/>
            <w:hideMark/>
          </w:tcPr>
          <w:p w14:paraId="63410733"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50BE1847"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center"/>
            <w:hideMark/>
          </w:tcPr>
          <w:p w14:paraId="27B63316"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2</w:t>
            </w:r>
          </w:p>
        </w:tc>
        <w:tc>
          <w:tcPr>
            <w:tcW w:w="955" w:type="dxa"/>
            <w:tcBorders>
              <w:top w:val="nil"/>
              <w:left w:val="nil"/>
              <w:bottom w:val="nil"/>
              <w:right w:val="nil"/>
            </w:tcBorders>
            <w:shd w:val="clear" w:color="000000" w:fill="FFFFFF"/>
            <w:noWrap/>
            <w:vAlign w:val="center"/>
            <w:hideMark/>
          </w:tcPr>
          <w:p w14:paraId="13D29DEC"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center"/>
            <w:hideMark/>
          </w:tcPr>
          <w:p w14:paraId="120132CA"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$120</w:t>
            </w:r>
          </w:p>
        </w:tc>
      </w:tr>
      <w:tr w:rsidR="00CA2D91" w:rsidRPr="00503F5B" w14:paraId="0CA63E14" w14:textId="77777777" w:rsidTr="009917B8">
        <w:trPr>
          <w:trHeight w:val="510"/>
          <w:jc w:val="center"/>
        </w:trPr>
        <w:tc>
          <w:tcPr>
            <w:tcW w:w="5387" w:type="dxa"/>
            <w:tcBorders>
              <w:top w:val="nil"/>
              <w:left w:val="nil"/>
              <w:bottom w:val="nil"/>
              <w:right w:val="nil"/>
            </w:tcBorders>
            <w:shd w:val="clear" w:color="000000" w:fill="FFFFFF"/>
            <w:vAlign w:val="center"/>
            <w:hideMark/>
          </w:tcPr>
          <w:p w14:paraId="2F8DAB69"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Supporting documentation review: A pre-inspection meeting, review of plans, past approvals and past MFB observational data is conducted</w:t>
            </w:r>
          </w:p>
        </w:tc>
        <w:tc>
          <w:tcPr>
            <w:tcW w:w="534" w:type="dxa"/>
            <w:tcBorders>
              <w:top w:val="nil"/>
              <w:left w:val="nil"/>
              <w:bottom w:val="nil"/>
              <w:right w:val="nil"/>
            </w:tcBorders>
            <w:shd w:val="clear" w:color="000000" w:fill="FFFFFF"/>
            <w:noWrap/>
            <w:vAlign w:val="center"/>
            <w:hideMark/>
          </w:tcPr>
          <w:p w14:paraId="68F5B129"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349A5FD1"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center"/>
            <w:hideMark/>
          </w:tcPr>
          <w:p w14:paraId="215A9A50"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6</w:t>
            </w:r>
          </w:p>
        </w:tc>
        <w:tc>
          <w:tcPr>
            <w:tcW w:w="955" w:type="dxa"/>
            <w:tcBorders>
              <w:top w:val="nil"/>
              <w:left w:val="nil"/>
              <w:bottom w:val="nil"/>
              <w:right w:val="nil"/>
            </w:tcBorders>
            <w:shd w:val="clear" w:color="000000" w:fill="FFFFFF"/>
            <w:noWrap/>
            <w:vAlign w:val="center"/>
            <w:hideMark/>
          </w:tcPr>
          <w:p w14:paraId="2BDEAA2F"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center"/>
            <w:hideMark/>
          </w:tcPr>
          <w:p w14:paraId="18338C9E"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$480</w:t>
            </w:r>
          </w:p>
        </w:tc>
      </w:tr>
      <w:tr w:rsidR="00CA2D91" w:rsidRPr="00503F5B" w14:paraId="31571AA0" w14:textId="77777777" w:rsidTr="009917B8">
        <w:trPr>
          <w:trHeight w:val="300"/>
          <w:jc w:val="center"/>
        </w:trPr>
        <w:tc>
          <w:tcPr>
            <w:tcW w:w="5387" w:type="dxa"/>
            <w:tcBorders>
              <w:top w:val="nil"/>
              <w:left w:val="nil"/>
              <w:bottom w:val="nil"/>
              <w:right w:val="nil"/>
            </w:tcBorders>
            <w:shd w:val="clear" w:color="000000" w:fill="FFFFFF"/>
            <w:vAlign w:val="bottom"/>
            <w:hideMark/>
          </w:tcPr>
          <w:p w14:paraId="60A82CFA"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Inspection: Travel time to and from major event, including time: for 6 major events</w:t>
            </w:r>
          </w:p>
        </w:tc>
        <w:tc>
          <w:tcPr>
            <w:tcW w:w="534" w:type="dxa"/>
            <w:tcBorders>
              <w:top w:val="nil"/>
              <w:left w:val="nil"/>
              <w:bottom w:val="nil"/>
              <w:right w:val="nil"/>
            </w:tcBorders>
            <w:shd w:val="clear" w:color="000000" w:fill="FFFFFF"/>
            <w:noWrap/>
            <w:vAlign w:val="center"/>
            <w:hideMark/>
          </w:tcPr>
          <w:p w14:paraId="2ED25700"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2</w:t>
            </w:r>
          </w:p>
        </w:tc>
        <w:tc>
          <w:tcPr>
            <w:tcW w:w="883" w:type="dxa"/>
            <w:tcBorders>
              <w:top w:val="nil"/>
              <w:left w:val="nil"/>
              <w:bottom w:val="nil"/>
              <w:right w:val="nil"/>
            </w:tcBorders>
            <w:shd w:val="clear" w:color="000000" w:fill="FFFFFF"/>
            <w:noWrap/>
            <w:vAlign w:val="center"/>
            <w:hideMark/>
          </w:tcPr>
          <w:p w14:paraId="56606F38"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center"/>
            <w:hideMark/>
          </w:tcPr>
          <w:p w14:paraId="4C97977A"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54</w:t>
            </w:r>
          </w:p>
        </w:tc>
        <w:tc>
          <w:tcPr>
            <w:tcW w:w="955" w:type="dxa"/>
            <w:tcBorders>
              <w:top w:val="nil"/>
              <w:left w:val="nil"/>
              <w:bottom w:val="nil"/>
              <w:right w:val="nil"/>
            </w:tcBorders>
            <w:shd w:val="clear" w:color="000000" w:fill="FFFFFF"/>
            <w:noWrap/>
            <w:vAlign w:val="center"/>
            <w:hideMark/>
          </w:tcPr>
          <w:p w14:paraId="6E9AFEE1"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center"/>
            <w:hideMark/>
          </w:tcPr>
          <w:p w14:paraId="4B30FC97"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$4,322</w:t>
            </w:r>
          </w:p>
        </w:tc>
      </w:tr>
      <w:tr w:rsidR="00CA2D91" w:rsidRPr="00503F5B" w14:paraId="210F2CED" w14:textId="77777777" w:rsidTr="009917B8">
        <w:trPr>
          <w:trHeight w:val="300"/>
          <w:jc w:val="center"/>
        </w:trPr>
        <w:tc>
          <w:tcPr>
            <w:tcW w:w="5387" w:type="dxa"/>
            <w:tcBorders>
              <w:top w:val="nil"/>
              <w:left w:val="nil"/>
              <w:bottom w:val="nil"/>
              <w:right w:val="nil"/>
            </w:tcBorders>
            <w:shd w:val="clear" w:color="000000" w:fill="FFFFFF"/>
            <w:vAlign w:val="bottom"/>
            <w:hideMark/>
          </w:tcPr>
          <w:p w14:paraId="75A549EF"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Revisits to major events, which occur approximately for 2 of the major events</w:t>
            </w:r>
          </w:p>
        </w:tc>
        <w:tc>
          <w:tcPr>
            <w:tcW w:w="534" w:type="dxa"/>
            <w:tcBorders>
              <w:top w:val="nil"/>
              <w:left w:val="nil"/>
              <w:bottom w:val="nil"/>
              <w:right w:val="nil"/>
            </w:tcBorders>
            <w:shd w:val="clear" w:color="000000" w:fill="FFFFFF"/>
            <w:noWrap/>
            <w:vAlign w:val="center"/>
            <w:hideMark/>
          </w:tcPr>
          <w:p w14:paraId="61123F8C"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2</w:t>
            </w:r>
          </w:p>
        </w:tc>
        <w:tc>
          <w:tcPr>
            <w:tcW w:w="883" w:type="dxa"/>
            <w:tcBorders>
              <w:top w:val="nil"/>
              <w:left w:val="nil"/>
              <w:bottom w:val="nil"/>
              <w:right w:val="nil"/>
            </w:tcBorders>
            <w:shd w:val="clear" w:color="000000" w:fill="FFFFFF"/>
            <w:noWrap/>
            <w:vAlign w:val="center"/>
            <w:hideMark/>
          </w:tcPr>
          <w:p w14:paraId="141CC317"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center"/>
            <w:hideMark/>
          </w:tcPr>
          <w:p w14:paraId="2E750C0B"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9</w:t>
            </w:r>
          </w:p>
        </w:tc>
        <w:tc>
          <w:tcPr>
            <w:tcW w:w="955" w:type="dxa"/>
            <w:tcBorders>
              <w:top w:val="nil"/>
              <w:left w:val="nil"/>
              <w:bottom w:val="nil"/>
              <w:right w:val="nil"/>
            </w:tcBorders>
            <w:shd w:val="clear" w:color="000000" w:fill="FFFFFF"/>
            <w:noWrap/>
            <w:vAlign w:val="center"/>
            <w:hideMark/>
          </w:tcPr>
          <w:p w14:paraId="5B5BCECC"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center"/>
            <w:hideMark/>
          </w:tcPr>
          <w:p w14:paraId="6C1948EA"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$720</w:t>
            </w:r>
          </w:p>
        </w:tc>
      </w:tr>
      <w:tr w:rsidR="00CA2D91" w:rsidRPr="00503F5B" w14:paraId="68E18199" w14:textId="77777777" w:rsidTr="009917B8">
        <w:trPr>
          <w:trHeight w:val="300"/>
          <w:jc w:val="center"/>
        </w:trPr>
        <w:tc>
          <w:tcPr>
            <w:tcW w:w="5387" w:type="dxa"/>
            <w:tcBorders>
              <w:top w:val="nil"/>
              <w:left w:val="nil"/>
              <w:bottom w:val="nil"/>
              <w:right w:val="nil"/>
            </w:tcBorders>
            <w:shd w:val="clear" w:color="000000" w:fill="FFFFFF"/>
            <w:vAlign w:val="bottom"/>
            <w:hideMark/>
          </w:tcPr>
          <w:p w14:paraId="5E3B3392"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Inspections: for non-major functions</w:t>
            </w:r>
          </w:p>
        </w:tc>
        <w:tc>
          <w:tcPr>
            <w:tcW w:w="534" w:type="dxa"/>
            <w:tcBorders>
              <w:top w:val="nil"/>
              <w:left w:val="nil"/>
              <w:bottom w:val="nil"/>
              <w:right w:val="nil"/>
            </w:tcBorders>
            <w:shd w:val="clear" w:color="000000" w:fill="FFFFFF"/>
            <w:noWrap/>
            <w:vAlign w:val="center"/>
            <w:hideMark/>
          </w:tcPr>
          <w:p w14:paraId="20366014"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6110924A"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center"/>
            <w:hideMark/>
          </w:tcPr>
          <w:p w14:paraId="53C91578"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12</w:t>
            </w:r>
          </w:p>
        </w:tc>
        <w:tc>
          <w:tcPr>
            <w:tcW w:w="955" w:type="dxa"/>
            <w:tcBorders>
              <w:top w:val="nil"/>
              <w:left w:val="nil"/>
              <w:bottom w:val="nil"/>
              <w:right w:val="nil"/>
            </w:tcBorders>
            <w:shd w:val="clear" w:color="000000" w:fill="FFFFFF"/>
            <w:noWrap/>
            <w:vAlign w:val="center"/>
            <w:hideMark/>
          </w:tcPr>
          <w:p w14:paraId="64498EB5"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center"/>
            <w:hideMark/>
          </w:tcPr>
          <w:p w14:paraId="74F4A817"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$961</w:t>
            </w:r>
          </w:p>
        </w:tc>
      </w:tr>
      <w:tr w:rsidR="00CA2D91" w:rsidRPr="00503F5B" w14:paraId="429A7AEF" w14:textId="77777777" w:rsidTr="009917B8">
        <w:trPr>
          <w:trHeight w:val="480"/>
          <w:jc w:val="center"/>
        </w:trPr>
        <w:tc>
          <w:tcPr>
            <w:tcW w:w="5387" w:type="dxa"/>
            <w:tcBorders>
              <w:top w:val="nil"/>
              <w:left w:val="nil"/>
              <w:bottom w:val="nil"/>
              <w:right w:val="nil"/>
            </w:tcBorders>
            <w:shd w:val="clear" w:color="000000" w:fill="FFFFFF"/>
            <w:vAlign w:val="bottom"/>
            <w:hideMark/>
          </w:tcPr>
          <w:p w14:paraId="2E35C58A" w14:textId="77777777" w:rsidR="00CA2D91" w:rsidRPr="00503F5B" w:rsidRDefault="00CA2D91" w:rsidP="00CA2D91">
            <w:pPr>
              <w:rPr>
                <w:rFonts w:eastAsia="Times New Roman" w:cs="Calibri"/>
                <w:sz w:val="20"/>
                <w:szCs w:val="20"/>
                <w:lang w:eastAsia="en-AU"/>
              </w:rPr>
            </w:pPr>
            <w:r w:rsidRPr="00503F5B">
              <w:rPr>
                <w:rFonts w:eastAsia="Times New Roman" w:cs="Calibri"/>
                <w:sz w:val="20"/>
                <w:szCs w:val="20"/>
                <w:lang w:eastAsia="en-AU"/>
              </w:rPr>
              <w:t>Reporting: Generation of inspection observation correspondence, fielding of telephone calls and reviewing e-mailed submissions; Further written notification and verbal advice from BICD Station Officer to responding operational fire stations (for 6 major events)</w:t>
            </w:r>
          </w:p>
        </w:tc>
        <w:tc>
          <w:tcPr>
            <w:tcW w:w="534" w:type="dxa"/>
            <w:tcBorders>
              <w:top w:val="nil"/>
              <w:left w:val="nil"/>
              <w:bottom w:val="nil"/>
              <w:right w:val="nil"/>
            </w:tcBorders>
            <w:shd w:val="clear" w:color="000000" w:fill="FFFFFF"/>
            <w:noWrap/>
            <w:vAlign w:val="center"/>
            <w:hideMark/>
          </w:tcPr>
          <w:p w14:paraId="5FE81BBE" w14:textId="77777777" w:rsidR="00CA2D91" w:rsidRPr="00503F5B" w:rsidRDefault="00CA2D91" w:rsidP="00CA2D91">
            <w:pPr>
              <w:jc w:val="center"/>
              <w:rPr>
                <w:rFonts w:eastAsia="Times New Roman" w:cs="Calibri"/>
                <w:sz w:val="20"/>
                <w:szCs w:val="20"/>
                <w:lang w:eastAsia="en-AU"/>
              </w:rPr>
            </w:pPr>
            <w:r w:rsidRPr="00503F5B">
              <w:rPr>
                <w:rFonts w:eastAsia="Times New Roman" w:cs="Calibri"/>
                <w:sz w:val="20"/>
                <w:szCs w:val="20"/>
                <w:lang w:eastAsia="en-AU"/>
              </w:rPr>
              <w:t>1</w:t>
            </w:r>
          </w:p>
        </w:tc>
        <w:tc>
          <w:tcPr>
            <w:tcW w:w="883" w:type="dxa"/>
            <w:tcBorders>
              <w:top w:val="nil"/>
              <w:left w:val="nil"/>
              <w:bottom w:val="nil"/>
              <w:right w:val="nil"/>
            </w:tcBorders>
            <w:shd w:val="clear" w:color="000000" w:fill="FFFFFF"/>
            <w:noWrap/>
            <w:vAlign w:val="center"/>
            <w:hideMark/>
          </w:tcPr>
          <w:p w14:paraId="667D3557" w14:textId="77777777" w:rsidR="00CA2D91" w:rsidRPr="00503F5B" w:rsidRDefault="00CA2D91" w:rsidP="00CA2D91">
            <w:pPr>
              <w:jc w:val="center"/>
              <w:rPr>
                <w:rFonts w:eastAsia="Times New Roman" w:cs="Calibri"/>
                <w:sz w:val="20"/>
                <w:szCs w:val="20"/>
                <w:lang w:eastAsia="en-AU"/>
              </w:rPr>
            </w:pPr>
            <w:proofErr w:type="gramStart"/>
            <w:r w:rsidRPr="00503F5B">
              <w:rPr>
                <w:rFonts w:eastAsia="Times New Roman" w:cs="Calibri"/>
                <w:sz w:val="20"/>
                <w:szCs w:val="20"/>
                <w:lang w:eastAsia="en-AU"/>
              </w:rPr>
              <w:t>S.O</w:t>
            </w:r>
            <w:proofErr w:type="gramEnd"/>
          </w:p>
        </w:tc>
        <w:tc>
          <w:tcPr>
            <w:tcW w:w="993" w:type="dxa"/>
            <w:tcBorders>
              <w:top w:val="nil"/>
              <w:left w:val="nil"/>
              <w:bottom w:val="nil"/>
              <w:right w:val="nil"/>
            </w:tcBorders>
            <w:shd w:val="clear" w:color="000000" w:fill="FFFFFF"/>
            <w:noWrap/>
            <w:vAlign w:val="center"/>
            <w:hideMark/>
          </w:tcPr>
          <w:p w14:paraId="6C744B54"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w:t>
            </w:r>
          </w:p>
        </w:tc>
        <w:tc>
          <w:tcPr>
            <w:tcW w:w="955" w:type="dxa"/>
            <w:tcBorders>
              <w:top w:val="nil"/>
              <w:left w:val="nil"/>
              <w:bottom w:val="nil"/>
              <w:right w:val="nil"/>
            </w:tcBorders>
            <w:shd w:val="clear" w:color="000000" w:fill="FFFFFF"/>
            <w:noWrap/>
            <w:vAlign w:val="center"/>
            <w:hideMark/>
          </w:tcPr>
          <w:p w14:paraId="447AD7F7"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$80</w:t>
            </w:r>
          </w:p>
        </w:tc>
        <w:tc>
          <w:tcPr>
            <w:tcW w:w="462" w:type="dxa"/>
            <w:tcBorders>
              <w:top w:val="nil"/>
              <w:left w:val="nil"/>
              <w:bottom w:val="nil"/>
              <w:right w:val="nil"/>
            </w:tcBorders>
            <w:shd w:val="clear" w:color="000000" w:fill="FFFFFF"/>
            <w:noWrap/>
            <w:vAlign w:val="center"/>
            <w:hideMark/>
          </w:tcPr>
          <w:p w14:paraId="37BC01B6" w14:textId="77777777" w:rsidR="00CA2D91" w:rsidRPr="00503F5B" w:rsidRDefault="00CA2D91" w:rsidP="00CA2D91">
            <w:pPr>
              <w:jc w:val="right"/>
              <w:rPr>
                <w:rFonts w:eastAsia="Times New Roman" w:cs="Calibri"/>
                <w:sz w:val="20"/>
                <w:szCs w:val="20"/>
                <w:lang w:eastAsia="en-AU"/>
              </w:rPr>
            </w:pPr>
            <w:r w:rsidRPr="00503F5B">
              <w:rPr>
                <w:rFonts w:eastAsia="Times New Roman" w:cs="Calibri"/>
                <w:sz w:val="20"/>
                <w:szCs w:val="20"/>
                <w:lang w:eastAsia="en-AU"/>
              </w:rPr>
              <w:t>$600</w:t>
            </w:r>
          </w:p>
        </w:tc>
      </w:tr>
      <w:tr w:rsidR="00CA2D91" w:rsidRPr="00503F5B" w14:paraId="4A04CBBB" w14:textId="77777777" w:rsidTr="009917B8">
        <w:trPr>
          <w:trHeight w:val="300"/>
          <w:jc w:val="center"/>
        </w:trPr>
        <w:tc>
          <w:tcPr>
            <w:tcW w:w="5387" w:type="dxa"/>
            <w:tcBorders>
              <w:top w:val="single" w:sz="4" w:space="0" w:color="C00000"/>
              <w:left w:val="nil"/>
              <w:bottom w:val="single" w:sz="4" w:space="0" w:color="C00000"/>
              <w:right w:val="nil"/>
            </w:tcBorders>
            <w:shd w:val="clear" w:color="000000" w:fill="FFFFFF"/>
            <w:vAlign w:val="center"/>
            <w:hideMark/>
          </w:tcPr>
          <w:p w14:paraId="3B6AF82B"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Subtotal annual cost</w:t>
            </w:r>
          </w:p>
        </w:tc>
        <w:tc>
          <w:tcPr>
            <w:tcW w:w="534" w:type="dxa"/>
            <w:tcBorders>
              <w:top w:val="single" w:sz="4" w:space="0" w:color="C00000"/>
              <w:left w:val="nil"/>
              <w:bottom w:val="single" w:sz="4" w:space="0" w:color="C00000"/>
              <w:right w:val="nil"/>
            </w:tcBorders>
            <w:shd w:val="clear" w:color="000000" w:fill="FFFFFF"/>
            <w:noWrap/>
            <w:vAlign w:val="bottom"/>
            <w:hideMark/>
          </w:tcPr>
          <w:p w14:paraId="11BF5F31"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883" w:type="dxa"/>
            <w:tcBorders>
              <w:top w:val="single" w:sz="4" w:space="0" w:color="C00000"/>
              <w:left w:val="nil"/>
              <w:bottom w:val="single" w:sz="4" w:space="0" w:color="C00000"/>
              <w:right w:val="nil"/>
            </w:tcBorders>
            <w:shd w:val="clear" w:color="000000" w:fill="FFFFFF"/>
            <w:noWrap/>
            <w:vAlign w:val="bottom"/>
            <w:hideMark/>
          </w:tcPr>
          <w:p w14:paraId="75B39EE8"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993" w:type="dxa"/>
            <w:tcBorders>
              <w:top w:val="single" w:sz="4" w:space="0" w:color="C00000"/>
              <w:left w:val="nil"/>
              <w:bottom w:val="single" w:sz="4" w:space="0" w:color="C00000"/>
              <w:right w:val="nil"/>
            </w:tcBorders>
            <w:shd w:val="clear" w:color="000000" w:fill="FFFFFF"/>
            <w:noWrap/>
            <w:vAlign w:val="bottom"/>
            <w:hideMark/>
          </w:tcPr>
          <w:p w14:paraId="06E42EC2"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955" w:type="dxa"/>
            <w:tcBorders>
              <w:top w:val="single" w:sz="4" w:space="0" w:color="C00000"/>
              <w:left w:val="nil"/>
              <w:bottom w:val="single" w:sz="4" w:space="0" w:color="C00000"/>
              <w:right w:val="nil"/>
            </w:tcBorders>
            <w:shd w:val="clear" w:color="000000" w:fill="FFFFFF"/>
            <w:noWrap/>
            <w:vAlign w:val="bottom"/>
            <w:hideMark/>
          </w:tcPr>
          <w:p w14:paraId="7AE28158" w14:textId="77777777" w:rsidR="00CA2D91" w:rsidRPr="00503F5B" w:rsidRDefault="00CA2D91" w:rsidP="00CA2D91">
            <w:pPr>
              <w:rPr>
                <w:rFonts w:eastAsia="Times New Roman" w:cs="Calibri"/>
                <w:b/>
                <w:bCs/>
                <w:sz w:val="20"/>
                <w:szCs w:val="20"/>
                <w:lang w:eastAsia="en-AU"/>
              </w:rPr>
            </w:pPr>
            <w:r w:rsidRPr="00503F5B">
              <w:rPr>
                <w:rFonts w:eastAsia="Times New Roman" w:cs="Calibri"/>
                <w:b/>
                <w:bCs/>
                <w:sz w:val="20"/>
                <w:szCs w:val="20"/>
                <w:lang w:eastAsia="en-AU"/>
              </w:rPr>
              <w:t> </w:t>
            </w:r>
          </w:p>
        </w:tc>
        <w:tc>
          <w:tcPr>
            <w:tcW w:w="462" w:type="dxa"/>
            <w:tcBorders>
              <w:top w:val="single" w:sz="4" w:space="0" w:color="C00000"/>
              <w:left w:val="nil"/>
              <w:bottom w:val="single" w:sz="4" w:space="0" w:color="C00000"/>
              <w:right w:val="nil"/>
            </w:tcBorders>
            <w:shd w:val="clear" w:color="000000" w:fill="FFFFFF"/>
            <w:noWrap/>
            <w:vAlign w:val="bottom"/>
            <w:hideMark/>
          </w:tcPr>
          <w:p w14:paraId="5E890800" w14:textId="77777777" w:rsidR="00CA2D91" w:rsidRPr="00503F5B" w:rsidRDefault="00CA2D91" w:rsidP="00CA2D91">
            <w:pPr>
              <w:jc w:val="right"/>
              <w:rPr>
                <w:rFonts w:eastAsia="Times New Roman" w:cs="Calibri"/>
                <w:b/>
                <w:bCs/>
                <w:sz w:val="20"/>
                <w:szCs w:val="20"/>
                <w:lang w:eastAsia="en-AU"/>
              </w:rPr>
            </w:pPr>
            <w:r w:rsidRPr="00503F5B">
              <w:rPr>
                <w:rFonts w:eastAsia="Times New Roman" w:cs="Calibri"/>
                <w:b/>
                <w:bCs/>
                <w:sz w:val="20"/>
                <w:szCs w:val="20"/>
                <w:lang w:eastAsia="en-AU"/>
              </w:rPr>
              <w:t>$7,204</w:t>
            </w:r>
          </w:p>
        </w:tc>
      </w:tr>
      <w:tr w:rsidR="00CA2D91" w:rsidRPr="00503F5B" w14:paraId="72BA96E4" w14:textId="77777777" w:rsidTr="009917B8">
        <w:trPr>
          <w:trHeight w:val="70"/>
          <w:jc w:val="center"/>
        </w:trPr>
        <w:tc>
          <w:tcPr>
            <w:tcW w:w="5387" w:type="dxa"/>
            <w:tcBorders>
              <w:top w:val="nil"/>
              <w:left w:val="nil"/>
              <w:bottom w:val="single" w:sz="4" w:space="0" w:color="C00000"/>
              <w:right w:val="nil"/>
            </w:tcBorders>
            <w:shd w:val="clear" w:color="000000" w:fill="000000"/>
            <w:vAlign w:val="bottom"/>
            <w:hideMark/>
          </w:tcPr>
          <w:p w14:paraId="350895B5" w14:textId="77777777" w:rsidR="00CA2D91" w:rsidRPr="00503F5B" w:rsidRDefault="00CA2D91" w:rsidP="00CA2D91">
            <w:pPr>
              <w:rPr>
                <w:rFonts w:eastAsia="Times New Roman" w:cs="Calibri"/>
                <w:b/>
                <w:bCs/>
                <w:i/>
                <w:iCs/>
                <w:color w:val="FFFFFF"/>
                <w:sz w:val="20"/>
                <w:szCs w:val="20"/>
                <w:lang w:eastAsia="en-AU"/>
              </w:rPr>
            </w:pPr>
            <w:r w:rsidRPr="00503F5B">
              <w:rPr>
                <w:rFonts w:eastAsia="Times New Roman" w:cs="Calibri"/>
                <w:b/>
                <w:bCs/>
                <w:i/>
                <w:iCs/>
                <w:color w:val="FFFFFF"/>
                <w:sz w:val="20"/>
                <w:szCs w:val="20"/>
                <w:lang w:eastAsia="en-AU"/>
              </w:rPr>
              <w:t>Total annual cost</w:t>
            </w:r>
          </w:p>
        </w:tc>
        <w:tc>
          <w:tcPr>
            <w:tcW w:w="534" w:type="dxa"/>
            <w:tcBorders>
              <w:top w:val="nil"/>
              <w:left w:val="nil"/>
              <w:bottom w:val="single" w:sz="4" w:space="0" w:color="C00000"/>
              <w:right w:val="nil"/>
            </w:tcBorders>
            <w:shd w:val="clear" w:color="000000" w:fill="000000"/>
            <w:noWrap/>
            <w:vAlign w:val="bottom"/>
            <w:hideMark/>
          </w:tcPr>
          <w:p w14:paraId="25641340" w14:textId="77777777" w:rsidR="00CA2D91" w:rsidRPr="00503F5B" w:rsidRDefault="00CA2D91" w:rsidP="00CA2D91">
            <w:pPr>
              <w:rPr>
                <w:rFonts w:eastAsia="Times New Roman" w:cs="Calibri"/>
                <w:b/>
                <w:bCs/>
                <w:i/>
                <w:iCs/>
                <w:color w:val="FFFFFF"/>
                <w:sz w:val="20"/>
                <w:szCs w:val="20"/>
                <w:lang w:eastAsia="en-AU"/>
              </w:rPr>
            </w:pPr>
            <w:r w:rsidRPr="00503F5B">
              <w:rPr>
                <w:rFonts w:eastAsia="Times New Roman" w:cs="Calibri"/>
                <w:b/>
                <w:bCs/>
                <w:i/>
                <w:iCs/>
                <w:color w:val="FFFFFF"/>
                <w:sz w:val="20"/>
                <w:szCs w:val="20"/>
                <w:lang w:eastAsia="en-AU"/>
              </w:rPr>
              <w:t> </w:t>
            </w:r>
          </w:p>
        </w:tc>
        <w:tc>
          <w:tcPr>
            <w:tcW w:w="883" w:type="dxa"/>
            <w:tcBorders>
              <w:top w:val="nil"/>
              <w:left w:val="nil"/>
              <w:bottom w:val="single" w:sz="4" w:space="0" w:color="C00000"/>
              <w:right w:val="nil"/>
            </w:tcBorders>
            <w:shd w:val="clear" w:color="000000" w:fill="000000"/>
            <w:noWrap/>
            <w:vAlign w:val="bottom"/>
            <w:hideMark/>
          </w:tcPr>
          <w:p w14:paraId="0B435791" w14:textId="77777777" w:rsidR="00CA2D91" w:rsidRPr="00503F5B" w:rsidRDefault="00CA2D91" w:rsidP="00CA2D91">
            <w:pPr>
              <w:rPr>
                <w:rFonts w:eastAsia="Times New Roman" w:cs="Calibri"/>
                <w:b/>
                <w:bCs/>
                <w:i/>
                <w:iCs/>
                <w:color w:val="FFFFFF"/>
                <w:sz w:val="20"/>
                <w:szCs w:val="20"/>
                <w:lang w:eastAsia="en-AU"/>
              </w:rPr>
            </w:pPr>
            <w:r w:rsidRPr="00503F5B">
              <w:rPr>
                <w:rFonts w:eastAsia="Times New Roman" w:cs="Calibri"/>
                <w:b/>
                <w:bCs/>
                <w:i/>
                <w:iCs/>
                <w:color w:val="FFFFFF"/>
                <w:sz w:val="20"/>
                <w:szCs w:val="20"/>
                <w:lang w:eastAsia="en-AU"/>
              </w:rPr>
              <w:t> </w:t>
            </w:r>
          </w:p>
        </w:tc>
        <w:tc>
          <w:tcPr>
            <w:tcW w:w="993" w:type="dxa"/>
            <w:tcBorders>
              <w:top w:val="nil"/>
              <w:left w:val="nil"/>
              <w:bottom w:val="single" w:sz="4" w:space="0" w:color="C00000"/>
              <w:right w:val="nil"/>
            </w:tcBorders>
            <w:shd w:val="clear" w:color="000000" w:fill="000000"/>
            <w:noWrap/>
            <w:vAlign w:val="bottom"/>
            <w:hideMark/>
          </w:tcPr>
          <w:p w14:paraId="31831CEF" w14:textId="77777777" w:rsidR="00CA2D91" w:rsidRPr="00503F5B" w:rsidRDefault="00CA2D91" w:rsidP="00CA2D91">
            <w:pPr>
              <w:rPr>
                <w:rFonts w:eastAsia="Times New Roman" w:cs="Calibri"/>
                <w:b/>
                <w:bCs/>
                <w:i/>
                <w:iCs/>
                <w:color w:val="FFFFFF"/>
                <w:sz w:val="20"/>
                <w:szCs w:val="20"/>
                <w:lang w:eastAsia="en-AU"/>
              </w:rPr>
            </w:pPr>
            <w:r w:rsidRPr="00503F5B">
              <w:rPr>
                <w:rFonts w:eastAsia="Times New Roman" w:cs="Calibri"/>
                <w:b/>
                <w:bCs/>
                <w:i/>
                <w:iCs/>
                <w:color w:val="FFFFFF"/>
                <w:sz w:val="20"/>
                <w:szCs w:val="20"/>
                <w:lang w:eastAsia="en-AU"/>
              </w:rPr>
              <w:t> </w:t>
            </w:r>
          </w:p>
        </w:tc>
        <w:tc>
          <w:tcPr>
            <w:tcW w:w="955" w:type="dxa"/>
            <w:tcBorders>
              <w:top w:val="nil"/>
              <w:left w:val="nil"/>
              <w:bottom w:val="single" w:sz="4" w:space="0" w:color="C00000"/>
              <w:right w:val="nil"/>
            </w:tcBorders>
            <w:shd w:val="clear" w:color="000000" w:fill="000000"/>
            <w:noWrap/>
            <w:vAlign w:val="bottom"/>
            <w:hideMark/>
          </w:tcPr>
          <w:p w14:paraId="0DF9CCB3" w14:textId="77777777" w:rsidR="00CA2D91" w:rsidRPr="00503F5B" w:rsidRDefault="00CA2D91" w:rsidP="00CA2D91">
            <w:pPr>
              <w:rPr>
                <w:rFonts w:eastAsia="Times New Roman" w:cs="Calibri"/>
                <w:b/>
                <w:bCs/>
                <w:i/>
                <w:iCs/>
                <w:color w:val="FFFFFF"/>
                <w:sz w:val="20"/>
                <w:szCs w:val="20"/>
                <w:lang w:eastAsia="en-AU"/>
              </w:rPr>
            </w:pPr>
            <w:r w:rsidRPr="00503F5B">
              <w:rPr>
                <w:rFonts w:eastAsia="Times New Roman" w:cs="Calibri"/>
                <w:b/>
                <w:bCs/>
                <w:i/>
                <w:iCs/>
                <w:color w:val="FFFFFF"/>
                <w:sz w:val="20"/>
                <w:szCs w:val="20"/>
                <w:lang w:eastAsia="en-AU"/>
              </w:rPr>
              <w:t> </w:t>
            </w:r>
          </w:p>
        </w:tc>
        <w:tc>
          <w:tcPr>
            <w:tcW w:w="462" w:type="dxa"/>
            <w:tcBorders>
              <w:top w:val="nil"/>
              <w:left w:val="nil"/>
              <w:bottom w:val="single" w:sz="4" w:space="0" w:color="C00000"/>
              <w:right w:val="nil"/>
            </w:tcBorders>
            <w:shd w:val="clear" w:color="000000" w:fill="000000"/>
            <w:noWrap/>
            <w:vAlign w:val="bottom"/>
            <w:hideMark/>
          </w:tcPr>
          <w:p w14:paraId="432EBAA1" w14:textId="77777777" w:rsidR="00CA2D91" w:rsidRPr="00503F5B" w:rsidRDefault="00CA2D91" w:rsidP="00CA2D91">
            <w:pPr>
              <w:jc w:val="right"/>
              <w:rPr>
                <w:rFonts w:eastAsia="Times New Roman" w:cs="Calibri"/>
                <w:b/>
                <w:bCs/>
                <w:i/>
                <w:iCs/>
                <w:color w:val="FFFFFF"/>
                <w:sz w:val="20"/>
                <w:szCs w:val="20"/>
                <w:lang w:eastAsia="en-AU"/>
              </w:rPr>
            </w:pPr>
            <w:r w:rsidRPr="00503F5B">
              <w:rPr>
                <w:rFonts w:eastAsia="Times New Roman" w:cs="Calibri"/>
                <w:b/>
                <w:bCs/>
                <w:i/>
                <w:iCs/>
                <w:color w:val="FFFFFF"/>
                <w:sz w:val="20"/>
                <w:szCs w:val="20"/>
                <w:lang w:eastAsia="en-AU"/>
              </w:rPr>
              <w:t>$1,610,917</w:t>
            </w:r>
          </w:p>
        </w:tc>
      </w:tr>
    </w:tbl>
    <w:p w14:paraId="100EB6C8" w14:textId="77777777" w:rsidR="00963DCA" w:rsidRPr="00503F5B" w:rsidRDefault="00963DCA" w:rsidP="005203C3"/>
    <w:p w14:paraId="6A574308" w14:textId="3C2B3230" w:rsidR="005203C3" w:rsidRPr="00503F5B" w:rsidRDefault="00F542F1" w:rsidP="005203C3">
      <w:pPr>
        <w:jc w:val="both"/>
        <w:rPr>
          <w:b/>
          <w:bCs/>
          <w:i/>
          <w:iCs/>
        </w:rPr>
      </w:pPr>
      <w:r w:rsidRPr="00503F5B">
        <w:br w:type="page"/>
      </w:r>
    </w:p>
    <w:p w14:paraId="4DB804FB" w14:textId="601A9D70" w:rsidR="00E04C6D" w:rsidRPr="00503F5B" w:rsidRDefault="00E04C6D" w:rsidP="0080683B">
      <w:pPr>
        <w:pStyle w:val="Heading1"/>
      </w:pPr>
      <w:bookmarkStart w:id="358" w:name="_Toc35804192"/>
      <w:bookmarkStart w:id="359" w:name="_Toc35804686"/>
      <w:bookmarkStart w:id="360" w:name="_Toc35812730"/>
      <w:r w:rsidRPr="00503F5B">
        <w:lastRenderedPageBreak/>
        <w:t>Appendix 6 – False alarm call data</w:t>
      </w:r>
      <w:bookmarkEnd w:id="357"/>
      <w:bookmarkEnd w:id="358"/>
      <w:bookmarkEnd w:id="359"/>
      <w:bookmarkEnd w:id="360"/>
    </w:p>
    <w:p w14:paraId="27A3F211" w14:textId="1B154A79" w:rsidR="00E04C6D" w:rsidRPr="00503F5B" w:rsidRDefault="00E04C6D" w:rsidP="00E04C6D">
      <w:r w:rsidRPr="00503F5B">
        <w:t xml:space="preserve">Table A6.1 shows the proportion of false alarm calls to all calls for </w:t>
      </w:r>
      <w:r w:rsidR="00595DFB" w:rsidRPr="00503F5B">
        <w:t>MFB</w:t>
      </w:r>
      <w:r w:rsidRPr="00503F5B">
        <w:t xml:space="preserve"> between 1984-85 to 2018-19 with a significant fall in this proportion over time.</w:t>
      </w:r>
    </w:p>
    <w:p w14:paraId="578A4AB2" w14:textId="77777777" w:rsidR="00E04C6D" w:rsidRPr="00503F5B" w:rsidRDefault="00E04C6D" w:rsidP="00E04C6D"/>
    <w:p w14:paraId="6F60644E" w14:textId="77777777" w:rsidR="00E04C6D" w:rsidRPr="00503F5B" w:rsidRDefault="00E04C6D" w:rsidP="00E04C6D">
      <w:pPr>
        <w:jc w:val="center"/>
        <w:rPr>
          <w:b/>
        </w:rPr>
      </w:pPr>
      <w:r w:rsidRPr="00503F5B">
        <w:rPr>
          <w:b/>
        </w:rPr>
        <w:t>Table A6.1: False alarm calls and all calls to MFB 1984-85 to 2018-19</w:t>
      </w:r>
      <w:r w:rsidRPr="00503F5B">
        <w:rPr>
          <w:rStyle w:val="FootnoteReference"/>
          <w:b/>
        </w:rPr>
        <w:footnoteReference w:id="228"/>
      </w:r>
    </w:p>
    <w:p w14:paraId="5FF4F5C7" w14:textId="77777777" w:rsidR="00E04C6D" w:rsidRPr="00503F5B" w:rsidRDefault="00E04C6D" w:rsidP="00E04C6D"/>
    <w:tbl>
      <w:tblPr>
        <w:tblW w:w="5496" w:type="dxa"/>
        <w:tblInd w:w="1809" w:type="dxa"/>
        <w:tblLook w:val="04A0" w:firstRow="1" w:lastRow="0" w:firstColumn="1" w:lastColumn="0" w:noHBand="0" w:noVBand="1"/>
      </w:tblPr>
      <w:tblGrid>
        <w:gridCol w:w="1247"/>
        <w:gridCol w:w="1431"/>
        <w:gridCol w:w="1571"/>
        <w:gridCol w:w="1247"/>
      </w:tblGrid>
      <w:tr w:rsidR="00E04C6D" w:rsidRPr="00503F5B" w14:paraId="18E2B2EF" w14:textId="77777777" w:rsidTr="00E04C6D">
        <w:trPr>
          <w:trHeight w:val="328"/>
        </w:trPr>
        <w:tc>
          <w:tcPr>
            <w:tcW w:w="1247" w:type="dxa"/>
            <w:tcBorders>
              <w:top w:val="single" w:sz="4" w:space="0" w:color="ED7C5D"/>
              <w:bottom w:val="double" w:sz="4" w:space="0" w:color="ED7C5D"/>
            </w:tcBorders>
            <w:shd w:val="clear" w:color="auto" w:fill="auto"/>
            <w:noWrap/>
            <w:vAlign w:val="bottom"/>
            <w:hideMark/>
          </w:tcPr>
          <w:p w14:paraId="5385AD6E" w14:textId="77777777" w:rsidR="00E04C6D" w:rsidRPr="00503F5B" w:rsidRDefault="00E04C6D" w:rsidP="00E04C6D">
            <w:pPr>
              <w:jc w:val="center"/>
              <w:rPr>
                <w:rFonts w:eastAsia="Times New Roman" w:cs="Calibri"/>
                <w:b/>
                <w:color w:val="BE2A18"/>
                <w:sz w:val="20"/>
                <w:szCs w:val="20"/>
              </w:rPr>
            </w:pPr>
            <w:r w:rsidRPr="00503F5B">
              <w:rPr>
                <w:rFonts w:eastAsia="Times New Roman" w:cs="Calibri"/>
                <w:b/>
                <w:color w:val="BE2A18"/>
                <w:sz w:val="20"/>
                <w:szCs w:val="20"/>
              </w:rPr>
              <w:t>Financial year</w:t>
            </w:r>
          </w:p>
        </w:tc>
        <w:tc>
          <w:tcPr>
            <w:tcW w:w="1431" w:type="dxa"/>
            <w:tcBorders>
              <w:top w:val="single" w:sz="4" w:space="0" w:color="ED7C5D"/>
              <w:bottom w:val="double" w:sz="4" w:space="0" w:color="ED7C5D"/>
            </w:tcBorders>
            <w:shd w:val="clear" w:color="auto" w:fill="auto"/>
            <w:noWrap/>
            <w:vAlign w:val="bottom"/>
            <w:hideMark/>
          </w:tcPr>
          <w:p w14:paraId="4A5B4281" w14:textId="77777777" w:rsidR="00E04C6D" w:rsidRPr="00503F5B" w:rsidRDefault="00E04C6D" w:rsidP="00E04C6D">
            <w:pPr>
              <w:jc w:val="center"/>
              <w:rPr>
                <w:rFonts w:eastAsia="Times New Roman" w:cs="Calibri"/>
                <w:b/>
                <w:color w:val="BE2A18"/>
                <w:sz w:val="20"/>
                <w:szCs w:val="20"/>
              </w:rPr>
            </w:pPr>
            <w:r w:rsidRPr="00503F5B">
              <w:rPr>
                <w:rFonts w:eastAsia="Times New Roman" w:cs="Calibri"/>
                <w:b/>
                <w:color w:val="BE2A18"/>
                <w:sz w:val="20"/>
                <w:szCs w:val="20"/>
              </w:rPr>
              <w:t>No. False alarm Calls</w:t>
            </w:r>
          </w:p>
        </w:tc>
        <w:tc>
          <w:tcPr>
            <w:tcW w:w="1571" w:type="dxa"/>
            <w:tcBorders>
              <w:top w:val="single" w:sz="4" w:space="0" w:color="ED7C5D"/>
              <w:bottom w:val="double" w:sz="4" w:space="0" w:color="ED7C5D"/>
            </w:tcBorders>
            <w:shd w:val="clear" w:color="auto" w:fill="auto"/>
            <w:noWrap/>
            <w:vAlign w:val="bottom"/>
            <w:hideMark/>
          </w:tcPr>
          <w:p w14:paraId="2A133E22" w14:textId="77777777" w:rsidR="00E04C6D" w:rsidRPr="00503F5B" w:rsidRDefault="00E04C6D" w:rsidP="00E04C6D">
            <w:pPr>
              <w:jc w:val="center"/>
              <w:rPr>
                <w:rFonts w:eastAsia="Times New Roman" w:cs="Calibri"/>
                <w:b/>
                <w:color w:val="BE2A18"/>
                <w:sz w:val="20"/>
                <w:szCs w:val="20"/>
              </w:rPr>
            </w:pPr>
            <w:r w:rsidRPr="00503F5B">
              <w:rPr>
                <w:rFonts w:eastAsia="Times New Roman" w:cs="Calibri"/>
                <w:b/>
                <w:color w:val="BE2A18"/>
                <w:sz w:val="20"/>
                <w:szCs w:val="20"/>
              </w:rPr>
              <w:t>No. Calls (All)</w:t>
            </w:r>
          </w:p>
        </w:tc>
        <w:tc>
          <w:tcPr>
            <w:tcW w:w="1247" w:type="dxa"/>
            <w:tcBorders>
              <w:top w:val="single" w:sz="4" w:space="0" w:color="ED7C5D"/>
              <w:bottom w:val="double" w:sz="4" w:space="0" w:color="ED7C5D"/>
            </w:tcBorders>
            <w:shd w:val="clear" w:color="auto" w:fill="auto"/>
            <w:noWrap/>
            <w:vAlign w:val="bottom"/>
            <w:hideMark/>
          </w:tcPr>
          <w:p w14:paraId="3F436E13" w14:textId="77777777" w:rsidR="00E04C6D" w:rsidRPr="00503F5B" w:rsidRDefault="00E04C6D" w:rsidP="00E04C6D">
            <w:pPr>
              <w:jc w:val="center"/>
              <w:rPr>
                <w:rFonts w:eastAsia="Times New Roman" w:cs="Calibri"/>
                <w:b/>
                <w:color w:val="BE2A18"/>
                <w:sz w:val="20"/>
                <w:szCs w:val="20"/>
              </w:rPr>
            </w:pPr>
            <w:r w:rsidRPr="00503F5B">
              <w:rPr>
                <w:rFonts w:eastAsia="Times New Roman" w:cs="Calibri"/>
                <w:b/>
                <w:color w:val="BE2A18"/>
                <w:sz w:val="20"/>
                <w:szCs w:val="20"/>
              </w:rPr>
              <w:t>% False alarm calls to All calls</w:t>
            </w:r>
          </w:p>
        </w:tc>
      </w:tr>
      <w:tr w:rsidR="00E04C6D" w:rsidRPr="00503F5B" w14:paraId="4095402E" w14:textId="77777777" w:rsidTr="00E04C6D">
        <w:trPr>
          <w:trHeight w:val="63"/>
        </w:trPr>
        <w:tc>
          <w:tcPr>
            <w:tcW w:w="1247" w:type="dxa"/>
            <w:tcBorders>
              <w:top w:val="double" w:sz="4" w:space="0" w:color="ED7C5D"/>
            </w:tcBorders>
            <w:shd w:val="clear" w:color="auto" w:fill="auto"/>
            <w:vAlign w:val="bottom"/>
            <w:hideMark/>
          </w:tcPr>
          <w:p w14:paraId="4BF7411B" w14:textId="60822490" w:rsidR="00E04C6D" w:rsidRPr="00503F5B" w:rsidRDefault="00E04C6D" w:rsidP="00E04C6D">
            <w:pPr>
              <w:rPr>
                <w:rFonts w:eastAsia="Times New Roman" w:cs="Calibri"/>
                <w:sz w:val="20"/>
                <w:szCs w:val="20"/>
              </w:rPr>
            </w:pPr>
            <w:r w:rsidRPr="00503F5B">
              <w:rPr>
                <w:rFonts w:eastAsia="Times New Roman" w:cs="Calibri"/>
                <w:sz w:val="20"/>
                <w:szCs w:val="20"/>
              </w:rPr>
              <w:t>1984</w:t>
            </w:r>
            <w:r w:rsidR="00295FAE" w:rsidRPr="00503F5B">
              <w:rPr>
                <w:rFonts w:eastAsia="Times New Roman" w:cs="Calibri"/>
                <w:sz w:val="20"/>
                <w:szCs w:val="20"/>
              </w:rPr>
              <w:t>-</w:t>
            </w:r>
            <w:r w:rsidRPr="00503F5B">
              <w:rPr>
                <w:rFonts w:eastAsia="Times New Roman" w:cs="Calibri"/>
                <w:sz w:val="20"/>
                <w:szCs w:val="20"/>
              </w:rPr>
              <w:t>85</w:t>
            </w:r>
          </w:p>
        </w:tc>
        <w:tc>
          <w:tcPr>
            <w:tcW w:w="1431" w:type="dxa"/>
            <w:tcBorders>
              <w:top w:val="double" w:sz="4" w:space="0" w:color="ED7C5D"/>
            </w:tcBorders>
            <w:shd w:val="clear" w:color="auto" w:fill="auto"/>
            <w:vAlign w:val="bottom"/>
            <w:hideMark/>
          </w:tcPr>
          <w:p w14:paraId="6789912E"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13378</w:t>
            </w:r>
          </w:p>
        </w:tc>
        <w:tc>
          <w:tcPr>
            <w:tcW w:w="1571" w:type="dxa"/>
            <w:tcBorders>
              <w:top w:val="double" w:sz="4" w:space="0" w:color="ED7C5D"/>
            </w:tcBorders>
            <w:shd w:val="clear" w:color="auto" w:fill="auto"/>
            <w:vAlign w:val="bottom"/>
            <w:hideMark/>
          </w:tcPr>
          <w:p w14:paraId="239392E4"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20194</w:t>
            </w:r>
          </w:p>
        </w:tc>
        <w:tc>
          <w:tcPr>
            <w:tcW w:w="1247" w:type="dxa"/>
            <w:tcBorders>
              <w:top w:val="double" w:sz="4" w:space="0" w:color="ED7C5D"/>
            </w:tcBorders>
            <w:shd w:val="clear" w:color="auto" w:fill="auto"/>
            <w:vAlign w:val="bottom"/>
            <w:hideMark/>
          </w:tcPr>
          <w:p w14:paraId="6F76EDFF"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66%</w:t>
            </w:r>
          </w:p>
        </w:tc>
      </w:tr>
      <w:tr w:rsidR="00E04C6D" w:rsidRPr="00503F5B" w14:paraId="1B1FD258" w14:textId="77777777" w:rsidTr="00E04C6D">
        <w:trPr>
          <w:trHeight w:val="63"/>
        </w:trPr>
        <w:tc>
          <w:tcPr>
            <w:tcW w:w="1247" w:type="dxa"/>
            <w:shd w:val="clear" w:color="auto" w:fill="auto"/>
            <w:vAlign w:val="bottom"/>
            <w:hideMark/>
          </w:tcPr>
          <w:p w14:paraId="38CBF7F5" w14:textId="4B2372E6" w:rsidR="00E04C6D" w:rsidRPr="00503F5B" w:rsidRDefault="00E04C6D" w:rsidP="00E04C6D">
            <w:pPr>
              <w:rPr>
                <w:rFonts w:eastAsia="Times New Roman" w:cs="Calibri"/>
                <w:sz w:val="20"/>
                <w:szCs w:val="20"/>
              </w:rPr>
            </w:pPr>
            <w:r w:rsidRPr="00503F5B">
              <w:rPr>
                <w:rFonts w:eastAsia="Times New Roman" w:cs="Calibri"/>
                <w:sz w:val="20"/>
                <w:szCs w:val="20"/>
              </w:rPr>
              <w:t>1985</w:t>
            </w:r>
            <w:r w:rsidR="00295FAE" w:rsidRPr="00503F5B">
              <w:rPr>
                <w:rFonts w:eastAsia="Times New Roman" w:cs="Calibri"/>
                <w:sz w:val="20"/>
                <w:szCs w:val="20"/>
              </w:rPr>
              <w:t>-</w:t>
            </w:r>
            <w:r w:rsidRPr="00503F5B">
              <w:rPr>
                <w:rFonts w:eastAsia="Times New Roman" w:cs="Calibri"/>
                <w:sz w:val="20"/>
                <w:szCs w:val="20"/>
              </w:rPr>
              <w:t>86</w:t>
            </w:r>
          </w:p>
        </w:tc>
        <w:tc>
          <w:tcPr>
            <w:tcW w:w="1431" w:type="dxa"/>
            <w:shd w:val="clear" w:color="auto" w:fill="auto"/>
            <w:vAlign w:val="bottom"/>
            <w:hideMark/>
          </w:tcPr>
          <w:p w14:paraId="03F44447"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25598</w:t>
            </w:r>
          </w:p>
        </w:tc>
        <w:tc>
          <w:tcPr>
            <w:tcW w:w="1571" w:type="dxa"/>
            <w:shd w:val="clear" w:color="auto" w:fill="auto"/>
            <w:vAlign w:val="bottom"/>
            <w:hideMark/>
          </w:tcPr>
          <w:p w14:paraId="4CEC1C34"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37452</w:t>
            </w:r>
          </w:p>
        </w:tc>
        <w:tc>
          <w:tcPr>
            <w:tcW w:w="1247" w:type="dxa"/>
            <w:shd w:val="clear" w:color="auto" w:fill="auto"/>
            <w:vAlign w:val="bottom"/>
            <w:hideMark/>
          </w:tcPr>
          <w:p w14:paraId="1902CA83"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68%</w:t>
            </w:r>
          </w:p>
        </w:tc>
      </w:tr>
      <w:tr w:rsidR="00E04C6D" w:rsidRPr="00503F5B" w14:paraId="741E0DAF" w14:textId="77777777" w:rsidTr="00E04C6D">
        <w:trPr>
          <w:trHeight w:val="63"/>
        </w:trPr>
        <w:tc>
          <w:tcPr>
            <w:tcW w:w="1247" w:type="dxa"/>
            <w:shd w:val="clear" w:color="auto" w:fill="auto"/>
            <w:vAlign w:val="bottom"/>
            <w:hideMark/>
          </w:tcPr>
          <w:p w14:paraId="2ED529C6" w14:textId="38D828CC" w:rsidR="00E04C6D" w:rsidRPr="00503F5B" w:rsidRDefault="00E04C6D" w:rsidP="00E04C6D">
            <w:pPr>
              <w:rPr>
                <w:rFonts w:eastAsia="Times New Roman" w:cs="Calibri"/>
                <w:sz w:val="20"/>
                <w:szCs w:val="20"/>
              </w:rPr>
            </w:pPr>
            <w:r w:rsidRPr="00503F5B">
              <w:rPr>
                <w:rFonts w:eastAsia="Times New Roman" w:cs="Calibri"/>
                <w:sz w:val="20"/>
                <w:szCs w:val="20"/>
              </w:rPr>
              <w:t>1986</w:t>
            </w:r>
            <w:r w:rsidR="00295FAE" w:rsidRPr="00503F5B">
              <w:rPr>
                <w:rFonts w:eastAsia="Times New Roman" w:cs="Calibri"/>
                <w:sz w:val="20"/>
                <w:szCs w:val="20"/>
              </w:rPr>
              <w:t>-</w:t>
            </w:r>
            <w:r w:rsidRPr="00503F5B">
              <w:rPr>
                <w:rFonts w:eastAsia="Times New Roman" w:cs="Calibri"/>
                <w:sz w:val="20"/>
                <w:szCs w:val="20"/>
              </w:rPr>
              <w:t>87</w:t>
            </w:r>
          </w:p>
        </w:tc>
        <w:tc>
          <w:tcPr>
            <w:tcW w:w="1431" w:type="dxa"/>
            <w:shd w:val="clear" w:color="auto" w:fill="auto"/>
            <w:vAlign w:val="bottom"/>
            <w:hideMark/>
          </w:tcPr>
          <w:p w14:paraId="42B0666C"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24870</w:t>
            </w:r>
          </w:p>
        </w:tc>
        <w:tc>
          <w:tcPr>
            <w:tcW w:w="1571" w:type="dxa"/>
            <w:shd w:val="clear" w:color="auto" w:fill="auto"/>
            <w:vAlign w:val="bottom"/>
            <w:hideMark/>
          </w:tcPr>
          <w:p w14:paraId="045620BE"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36992</w:t>
            </w:r>
          </w:p>
        </w:tc>
        <w:tc>
          <w:tcPr>
            <w:tcW w:w="1247" w:type="dxa"/>
            <w:shd w:val="clear" w:color="auto" w:fill="auto"/>
            <w:vAlign w:val="bottom"/>
            <w:hideMark/>
          </w:tcPr>
          <w:p w14:paraId="7732D4E3"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67%</w:t>
            </w:r>
          </w:p>
        </w:tc>
      </w:tr>
      <w:tr w:rsidR="00E04C6D" w:rsidRPr="00503F5B" w14:paraId="3E131110" w14:textId="77777777" w:rsidTr="00E04C6D">
        <w:trPr>
          <w:trHeight w:val="63"/>
        </w:trPr>
        <w:tc>
          <w:tcPr>
            <w:tcW w:w="1247" w:type="dxa"/>
            <w:shd w:val="clear" w:color="auto" w:fill="auto"/>
            <w:vAlign w:val="bottom"/>
            <w:hideMark/>
          </w:tcPr>
          <w:p w14:paraId="3FFFF147" w14:textId="7838A40E" w:rsidR="00E04C6D" w:rsidRPr="00503F5B" w:rsidRDefault="00E04C6D" w:rsidP="00E04C6D">
            <w:pPr>
              <w:rPr>
                <w:rFonts w:eastAsia="Times New Roman" w:cs="Calibri"/>
                <w:sz w:val="20"/>
                <w:szCs w:val="20"/>
              </w:rPr>
            </w:pPr>
            <w:r w:rsidRPr="00503F5B">
              <w:rPr>
                <w:rFonts w:eastAsia="Times New Roman" w:cs="Calibri"/>
                <w:sz w:val="20"/>
                <w:szCs w:val="20"/>
              </w:rPr>
              <w:t>1987</w:t>
            </w:r>
            <w:r w:rsidR="00295FAE" w:rsidRPr="00503F5B">
              <w:rPr>
                <w:rFonts w:eastAsia="Times New Roman" w:cs="Calibri"/>
                <w:sz w:val="20"/>
                <w:szCs w:val="20"/>
              </w:rPr>
              <w:t>-</w:t>
            </w:r>
            <w:r w:rsidRPr="00503F5B">
              <w:rPr>
                <w:rFonts w:eastAsia="Times New Roman" w:cs="Calibri"/>
                <w:sz w:val="20"/>
                <w:szCs w:val="20"/>
              </w:rPr>
              <w:t>88</w:t>
            </w:r>
          </w:p>
        </w:tc>
        <w:tc>
          <w:tcPr>
            <w:tcW w:w="1431" w:type="dxa"/>
            <w:shd w:val="clear" w:color="auto" w:fill="auto"/>
            <w:vAlign w:val="bottom"/>
            <w:hideMark/>
          </w:tcPr>
          <w:p w14:paraId="58D810A0"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25504</w:t>
            </w:r>
          </w:p>
        </w:tc>
        <w:tc>
          <w:tcPr>
            <w:tcW w:w="1571" w:type="dxa"/>
            <w:shd w:val="clear" w:color="auto" w:fill="auto"/>
            <w:vAlign w:val="bottom"/>
            <w:hideMark/>
          </w:tcPr>
          <w:p w14:paraId="7402B02D"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38171</w:t>
            </w:r>
          </w:p>
        </w:tc>
        <w:tc>
          <w:tcPr>
            <w:tcW w:w="1247" w:type="dxa"/>
            <w:shd w:val="clear" w:color="auto" w:fill="auto"/>
            <w:vAlign w:val="bottom"/>
            <w:hideMark/>
          </w:tcPr>
          <w:p w14:paraId="262D9753"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67%</w:t>
            </w:r>
          </w:p>
        </w:tc>
      </w:tr>
      <w:tr w:rsidR="00E04C6D" w:rsidRPr="00503F5B" w14:paraId="3AE8A115" w14:textId="77777777" w:rsidTr="00E04C6D">
        <w:trPr>
          <w:trHeight w:val="63"/>
        </w:trPr>
        <w:tc>
          <w:tcPr>
            <w:tcW w:w="1247" w:type="dxa"/>
            <w:shd w:val="clear" w:color="auto" w:fill="auto"/>
            <w:vAlign w:val="bottom"/>
            <w:hideMark/>
          </w:tcPr>
          <w:p w14:paraId="7C825858" w14:textId="3BE5A383" w:rsidR="00E04C6D" w:rsidRPr="00503F5B" w:rsidRDefault="00E04C6D" w:rsidP="00E04C6D">
            <w:pPr>
              <w:rPr>
                <w:rFonts w:eastAsia="Times New Roman" w:cs="Calibri"/>
                <w:sz w:val="20"/>
                <w:szCs w:val="20"/>
              </w:rPr>
            </w:pPr>
            <w:r w:rsidRPr="00503F5B">
              <w:rPr>
                <w:rFonts w:eastAsia="Times New Roman" w:cs="Calibri"/>
                <w:sz w:val="20"/>
                <w:szCs w:val="20"/>
              </w:rPr>
              <w:t>1988</w:t>
            </w:r>
            <w:r w:rsidR="00295FAE" w:rsidRPr="00503F5B">
              <w:rPr>
                <w:rFonts w:eastAsia="Times New Roman" w:cs="Calibri"/>
                <w:sz w:val="20"/>
                <w:szCs w:val="20"/>
              </w:rPr>
              <w:t>-</w:t>
            </w:r>
            <w:r w:rsidRPr="00503F5B">
              <w:rPr>
                <w:rFonts w:eastAsia="Times New Roman" w:cs="Calibri"/>
                <w:sz w:val="20"/>
                <w:szCs w:val="20"/>
              </w:rPr>
              <w:t>89</w:t>
            </w:r>
          </w:p>
        </w:tc>
        <w:tc>
          <w:tcPr>
            <w:tcW w:w="1431" w:type="dxa"/>
            <w:shd w:val="clear" w:color="auto" w:fill="auto"/>
            <w:vAlign w:val="bottom"/>
            <w:hideMark/>
          </w:tcPr>
          <w:p w14:paraId="2F841763"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28461</w:t>
            </w:r>
          </w:p>
        </w:tc>
        <w:tc>
          <w:tcPr>
            <w:tcW w:w="1571" w:type="dxa"/>
            <w:shd w:val="clear" w:color="auto" w:fill="auto"/>
            <w:vAlign w:val="bottom"/>
            <w:hideMark/>
          </w:tcPr>
          <w:p w14:paraId="79820EB2"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40998</w:t>
            </w:r>
          </w:p>
        </w:tc>
        <w:tc>
          <w:tcPr>
            <w:tcW w:w="1247" w:type="dxa"/>
            <w:shd w:val="clear" w:color="auto" w:fill="auto"/>
            <w:vAlign w:val="bottom"/>
            <w:hideMark/>
          </w:tcPr>
          <w:p w14:paraId="0D7ACBC9"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69%</w:t>
            </w:r>
          </w:p>
        </w:tc>
      </w:tr>
      <w:tr w:rsidR="00E04C6D" w:rsidRPr="00503F5B" w14:paraId="27EC481F" w14:textId="77777777" w:rsidTr="00E04C6D">
        <w:trPr>
          <w:trHeight w:val="63"/>
        </w:trPr>
        <w:tc>
          <w:tcPr>
            <w:tcW w:w="1247" w:type="dxa"/>
            <w:shd w:val="clear" w:color="auto" w:fill="auto"/>
            <w:vAlign w:val="bottom"/>
            <w:hideMark/>
          </w:tcPr>
          <w:p w14:paraId="09786BEA" w14:textId="779EC2CF" w:rsidR="00E04C6D" w:rsidRPr="00503F5B" w:rsidRDefault="00E04C6D" w:rsidP="00E04C6D">
            <w:pPr>
              <w:rPr>
                <w:rFonts w:eastAsia="Times New Roman" w:cs="Calibri"/>
                <w:sz w:val="20"/>
                <w:szCs w:val="20"/>
              </w:rPr>
            </w:pPr>
            <w:r w:rsidRPr="00503F5B">
              <w:rPr>
                <w:rFonts w:eastAsia="Times New Roman" w:cs="Calibri"/>
                <w:sz w:val="20"/>
                <w:szCs w:val="20"/>
              </w:rPr>
              <w:t>1989</w:t>
            </w:r>
            <w:r w:rsidR="00295FAE" w:rsidRPr="00503F5B">
              <w:rPr>
                <w:rFonts w:eastAsia="Times New Roman" w:cs="Calibri"/>
                <w:sz w:val="20"/>
                <w:szCs w:val="20"/>
              </w:rPr>
              <w:t>-</w:t>
            </w:r>
            <w:r w:rsidRPr="00503F5B">
              <w:rPr>
                <w:rFonts w:eastAsia="Times New Roman" w:cs="Calibri"/>
                <w:sz w:val="20"/>
                <w:szCs w:val="20"/>
              </w:rPr>
              <w:t>90</w:t>
            </w:r>
          </w:p>
        </w:tc>
        <w:tc>
          <w:tcPr>
            <w:tcW w:w="1431" w:type="dxa"/>
            <w:shd w:val="clear" w:color="auto" w:fill="auto"/>
            <w:vAlign w:val="bottom"/>
            <w:hideMark/>
          </w:tcPr>
          <w:p w14:paraId="6BD095D8"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28297</w:t>
            </w:r>
          </w:p>
        </w:tc>
        <w:tc>
          <w:tcPr>
            <w:tcW w:w="1571" w:type="dxa"/>
            <w:shd w:val="clear" w:color="auto" w:fill="auto"/>
            <w:vAlign w:val="bottom"/>
            <w:hideMark/>
          </w:tcPr>
          <w:p w14:paraId="3C117542"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41910</w:t>
            </w:r>
          </w:p>
        </w:tc>
        <w:tc>
          <w:tcPr>
            <w:tcW w:w="1247" w:type="dxa"/>
            <w:shd w:val="clear" w:color="auto" w:fill="auto"/>
            <w:vAlign w:val="bottom"/>
            <w:hideMark/>
          </w:tcPr>
          <w:p w14:paraId="04CC2D23"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68%</w:t>
            </w:r>
          </w:p>
        </w:tc>
      </w:tr>
      <w:tr w:rsidR="00E04C6D" w:rsidRPr="00503F5B" w14:paraId="4E42D65A" w14:textId="77777777" w:rsidTr="00E04C6D">
        <w:trPr>
          <w:trHeight w:val="63"/>
        </w:trPr>
        <w:tc>
          <w:tcPr>
            <w:tcW w:w="1247" w:type="dxa"/>
            <w:shd w:val="clear" w:color="auto" w:fill="auto"/>
            <w:vAlign w:val="bottom"/>
            <w:hideMark/>
          </w:tcPr>
          <w:p w14:paraId="2E978DC7" w14:textId="5FF7F857" w:rsidR="00E04C6D" w:rsidRPr="00503F5B" w:rsidRDefault="00E04C6D" w:rsidP="00E04C6D">
            <w:pPr>
              <w:rPr>
                <w:rFonts w:eastAsia="Times New Roman" w:cs="Calibri"/>
                <w:sz w:val="20"/>
                <w:szCs w:val="20"/>
              </w:rPr>
            </w:pPr>
            <w:r w:rsidRPr="00503F5B">
              <w:rPr>
                <w:rFonts w:eastAsia="Times New Roman" w:cs="Calibri"/>
                <w:sz w:val="20"/>
                <w:szCs w:val="20"/>
              </w:rPr>
              <w:t>1990</w:t>
            </w:r>
            <w:r w:rsidR="00295FAE" w:rsidRPr="00503F5B">
              <w:rPr>
                <w:rFonts w:eastAsia="Times New Roman" w:cs="Calibri"/>
                <w:sz w:val="20"/>
                <w:szCs w:val="20"/>
              </w:rPr>
              <w:t>-</w:t>
            </w:r>
            <w:r w:rsidRPr="00503F5B">
              <w:rPr>
                <w:rFonts w:eastAsia="Times New Roman" w:cs="Calibri"/>
                <w:sz w:val="20"/>
                <w:szCs w:val="20"/>
              </w:rPr>
              <w:t>91</w:t>
            </w:r>
          </w:p>
        </w:tc>
        <w:tc>
          <w:tcPr>
            <w:tcW w:w="1431" w:type="dxa"/>
            <w:shd w:val="clear" w:color="auto" w:fill="auto"/>
            <w:vAlign w:val="bottom"/>
            <w:hideMark/>
          </w:tcPr>
          <w:p w14:paraId="0726CDD5"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23094</w:t>
            </w:r>
          </w:p>
        </w:tc>
        <w:tc>
          <w:tcPr>
            <w:tcW w:w="1571" w:type="dxa"/>
            <w:shd w:val="clear" w:color="auto" w:fill="auto"/>
            <w:vAlign w:val="bottom"/>
            <w:hideMark/>
          </w:tcPr>
          <w:p w14:paraId="76B3233E"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36340</w:t>
            </w:r>
          </w:p>
        </w:tc>
        <w:tc>
          <w:tcPr>
            <w:tcW w:w="1247" w:type="dxa"/>
            <w:shd w:val="clear" w:color="auto" w:fill="auto"/>
            <w:vAlign w:val="bottom"/>
            <w:hideMark/>
          </w:tcPr>
          <w:p w14:paraId="515BEA92"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64%</w:t>
            </w:r>
          </w:p>
        </w:tc>
      </w:tr>
      <w:tr w:rsidR="00E04C6D" w:rsidRPr="00503F5B" w14:paraId="6BDF5362" w14:textId="77777777" w:rsidTr="00E04C6D">
        <w:trPr>
          <w:trHeight w:val="63"/>
        </w:trPr>
        <w:tc>
          <w:tcPr>
            <w:tcW w:w="1247" w:type="dxa"/>
            <w:shd w:val="clear" w:color="auto" w:fill="auto"/>
            <w:vAlign w:val="bottom"/>
            <w:hideMark/>
          </w:tcPr>
          <w:p w14:paraId="75262970" w14:textId="3E96BADF" w:rsidR="00E04C6D" w:rsidRPr="00503F5B" w:rsidRDefault="00E04C6D" w:rsidP="00E04C6D">
            <w:pPr>
              <w:rPr>
                <w:rFonts w:eastAsia="Times New Roman" w:cs="Calibri"/>
                <w:sz w:val="20"/>
                <w:szCs w:val="20"/>
              </w:rPr>
            </w:pPr>
            <w:r w:rsidRPr="00503F5B">
              <w:rPr>
                <w:rFonts w:eastAsia="Times New Roman" w:cs="Calibri"/>
                <w:sz w:val="20"/>
                <w:szCs w:val="20"/>
              </w:rPr>
              <w:t>1991</w:t>
            </w:r>
            <w:r w:rsidR="00295FAE" w:rsidRPr="00503F5B">
              <w:rPr>
                <w:rFonts w:eastAsia="Times New Roman" w:cs="Calibri"/>
                <w:sz w:val="20"/>
                <w:szCs w:val="20"/>
              </w:rPr>
              <w:t>-</w:t>
            </w:r>
            <w:r w:rsidRPr="00503F5B">
              <w:rPr>
                <w:rFonts w:eastAsia="Times New Roman" w:cs="Calibri"/>
                <w:sz w:val="20"/>
                <w:szCs w:val="20"/>
              </w:rPr>
              <w:t>92</w:t>
            </w:r>
          </w:p>
        </w:tc>
        <w:tc>
          <w:tcPr>
            <w:tcW w:w="1431" w:type="dxa"/>
            <w:shd w:val="clear" w:color="auto" w:fill="auto"/>
            <w:vAlign w:val="bottom"/>
            <w:hideMark/>
          </w:tcPr>
          <w:p w14:paraId="5410995C"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19495</w:t>
            </w:r>
          </w:p>
        </w:tc>
        <w:tc>
          <w:tcPr>
            <w:tcW w:w="1571" w:type="dxa"/>
            <w:shd w:val="clear" w:color="auto" w:fill="auto"/>
            <w:vAlign w:val="bottom"/>
            <w:hideMark/>
          </w:tcPr>
          <w:p w14:paraId="1BD83903"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31237</w:t>
            </w:r>
          </w:p>
        </w:tc>
        <w:tc>
          <w:tcPr>
            <w:tcW w:w="1247" w:type="dxa"/>
            <w:shd w:val="clear" w:color="auto" w:fill="auto"/>
            <w:vAlign w:val="bottom"/>
            <w:hideMark/>
          </w:tcPr>
          <w:p w14:paraId="510FF2B8"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62%</w:t>
            </w:r>
          </w:p>
        </w:tc>
      </w:tr>
      <w:tr w:rsidR="00E04C6D" w:rsidRPr="00503F5B" w14:paraId="1C05436F" w14:textId="77777777" w:rsidTr="00E04C6D">
        <w:trPr>
          <w:trHeight w:val="63"/>
        </w:trPr>
        <w:tc>
          <w:tcPr>
            <w:tcW w:w="1247" w:type="dxa"/>
            <w:shd w:val="clear" w:color="auto" w:fill="auto"/>
            <w:vAlign w:val="bottom"/>
            <w:hideMark/>
          </w:tcPr>
          <w:p w14:paraId="718ECEEF" w14:textId="0A879D54" w:rsidR="00E04C6D" w:rsidRPr="00503F5B" w:rsidRDefault="00E04C6D" w:rsidP="00E04C6D">
            <w:pPr>
              <w:rPr>
                <w:rFonts w:eastAsia="Times New Roman" w:cs="Calibri"/>
                <w:sz w:val="20"/>
                <w:szCs w:val="20"/>
              </w:rPr>
            </w:pPr>
            <w:r w:rsidRPr="00503F5B">
              <w:rPr>
                <w:rFonts w:eastAsia="Times New Roman" w:cs="Calibri"/>
                <w:sz w:val="20"/>
                <w:szCs w:val="20"/>
              </w:rPr>
              <w:t>1992</w:t>
            </w:r>
            <w:r w:rsidR="00295FAE" w:rsidRPr="00503F5B">
              <w:rPr>
                <w:rFonts w:eastAsia="Times New Roman" w:cs="Calibri"/>
                <w:sz w:val="20"/>
                <w:szCs w:val="20"/>
              </w:rPr>
              <w:t>-</w:t>
            </w:r>
            <w:r w:rsidRPr="00503F5B">
              <w:rPr>
                <w:rFonts w:eastAsia="Times New Roman" w:cs="Calibri"/>
                <w:sz w:val="20"/>
                <w:szCs w:val="20"/>
              </w:rPr>
              <w:t>93</w:t>
            </w:r>
          </w:p>
        </w:tc>
        <w:tc>
          <w:tcPr>
            <w:tcW w:w="1431" w:type="dxa"/>
            <w:shd w:val="clear" w:color="auto" w:fill="auto"/>
            <w:vAlign w:val="bottom"/>
            <w:hideMark/>
          </w:tcPr>
          <w:p w14:paraId="0EA59C3D"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18118</w:t>
            </w:r>
          </w:p>
        </w:tc>
        <w:tc>
          <w:tcPr>
            <w:tcW w:w="1571" w:type="dxa"/>
            <w:shd w:val="clear" w:color="auto" w:fill="auto"/>
            <w:vAlign w:val="bottom"/>
            <w:hideMark/>
          </w:tcPr>
          <w:p w14:paraId="02679BEB"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29238</w:t>
            </w:r>
          </w:p>
        </w:tc>
        <w:tc>
          <w:tcPr>
            <w:tcW w:w="1247" w:type="dxa"/>
            <w:shd w:val="clear" w:color="auto" w:fill="auto"/>
            <w:vAlign w:val="bottom"/>
            <w:hideMark/>
          </w:tcPr>
          <w:p w14:paraId="5BD52BFC"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62%</w:t>
            </w:r>
          </w:p>
        </w:tc>
      </w:tr>
      <w:tr w:rsidR="00E04C6D" w:rsidRPr="00503F5B" w14:paraId="5D466825" w14:textId="77777777" w:rsidTr="00E04C6D">
        <w:trPr>
          <w:trHeight w:val="63"/>
        </w:trPr>
        <w:tc>
          <w:tcPr>
            <w:tcW w:w="1247" w:type="dxa"/>
            <w:shd w:val="clear" w:color="auto" w:fill="auto"/>
            <w:vAlign w:val="bottom"/>
            <w:hideMark/>
          </w:tcPr>
          <w:p w14:paraId="10F8BE7C" w14:textId="3AC6CA02" w:rsidR="00E04C6D" w:rsidRPr="00503F5B" w:rsidRDefault="00E04C6D" w:rsidP="00E04C6D">
            <w:pPr>
              <w:rPr>
                <w:rFonts w:eastAsia="Times New Roman" w:cs="Calibri"/>
                <w:sz w:val="20"/>
                <w:szCs w:val="20"/>
              </w:rPr>
            </w:pPr>
            <w:r w:rsidRPr="00503F5B">
              <w:rPr>
                <w:rFonts w:eastAsia="Times New Roman" w:cs="Calibri"/>
                <w:sz w:val="20"/>
                <w:szCs w:val="20"/>
              </w:rPr>
              <w:t>1993</w:t>
            </w:r>
            <w:r w:rsidR="00295FAE" w:rsidRPr="00503F5B">
              <w:rPr>
                <w:rFonts w:eastAsia="Times New Roman" w:cs="Calibri"/>
                <w:sz w:val="20"/>
                <w:szCs w:val="20"/>
              </w:rPr>
              <w:t>-</w:t>
            </w:r>
            <w:r w:rsidRPr="00503F5B">
              <w:rPr>
                <w:rFonts w:eastAsia="Times New Roman" w:cs="Calibri"/>
                <w:sz w:val="20"/>
                <w:szCs w:val="20"/>
              </w:rPr>
              <w:t>94</w:t>
            </w:r>
          </w:p>
        </w:tc>
        <w:tc>
          <w:tcPr>
            <w:tcW w:w="1431" w:type="dxa"/>
            <w:shd w:val="clear" w:color="auto" w:fill="auto"/>
            <w:vAlign w:val="bottom"/>
            <w:hideMark/>
          </w:tcPr>
          <w:p w14:paraId="31B067A0"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16328</w:t>
            </w:r>
          </w:p>
        </w:tc>
        <w:tc>
          <w:tcPr>
            <w:tcW w:w="1571" w:type="dxa"/>
            <w:shd w:val="clear" w:color="auto" w:fill="auto"/>
            <w:vAlign w:val="bottom"/>
            <w:hideMark/>
          </w:tcPr>
          <w:p w14:paraId="57843107"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27003</w:t>
            </w:r>
          </w:p>
        </w:tc>
        <w:tc>
          <w:tcPr>
            <w:tcW w:w="1247" w:type="dxa"/>
            <w:shd w:val="clear" w:color="auto" w:fill="auto"/>
            <w:vAlign w:val="bottom"/>
            <w:hideMark/>
          </w:tcPr>
          <w:p w14:paraId="0559B376"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60%</w:t>
            </w:r>
          </w:p>
        </w:tc>
      </w:tr>
      <w:tr w:rsidR="00E04C6D" w:rsidRPr="00503F5B" w14:paraId="469D36BB" w14:textId="77777777" w:rsidTr="00E04C6D">
        <w:trPr>
          <w:trHeight w:val="63"/>
        </w:trPr>
        <w:tc>
          <w:tcPr>
            <w:tcW w:w="1247" w:type="dxa"/>
            <w:shd w:val="clear" w:color="auto" w:fill="auto"/>
            <w:vAlign w:val="bottom"/>
            <w:hideMark/>
          </w:tcPr>
          <w:p w14:paraId="711628B5" w14:textId="7E2EFD99" w:rsidR="00E04C6D" w:rsidRPr="00503F5B" w:rsidRDefault="00E04C6D" w:rsidP="00E04C6D">
            <w:pPr>
              <w:rPr>
                <w:rFonts w:eastAsia="Times New Roman" w:cs="Calibri"/>
                <w:sz w:val="20"/>
                <w:szCs w:val="20"/>
              </w:rPr>
            </w:pPr>
            <w:r w:rsidRPr="00503F5B">
              <w:rPr>
                <w:rFonts w:eastAsia="Times New Roman" w:cs="Calibri"/>
                <w:sz w:val="20"/>
                <w:szCs w:val="20"/>
              </w:rPr>
              <w:t>1994</w:t>
            </w:r>
            <w:r w:rsidR="00295FAE" w:rsidRPr="00503F5B">
              <w:rPr>
                <w:rFonts w:eastAsia="Times New Roman" w:cs="Calibri"/>
                <w:sz w:val="20"/>
                <w:szCs w:val="20"/>
              </w:rPr>
              <w:t>-</w:t>
            </w:r>
            <w:r w:rsidRPr="00503F5B">
              <w:rPr>
                <w:rFonts w:eastAsia="Times New Roman" w:cs="Calibri"/>
                <w:sz w:val="20"/>
                <w:szCs w:val="20"/>
              </w:rPr>
              <w:t>95</w:t>
            </w:r>
          </w:p>
        </w:tc>
        <w:tc>
          <w:tcPr>
            <w:tcW w:w="1431" w:type="dxa"/>
            <w:shd w:val="clear" w:color="auto" w:fill="auto"/>
            <w:vAlign w:val="bottom"/>
            <w:hideMark/>
          </w:tcPr>
          <w:p w14:paraId="7A249CB7"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16126</w:t>
            </w:r>
          </w:p>
        </w:tc>
        <w:tc>
          <w:tcPr>
            <w:tcW w:w="1571" w:type="dxa"/>
            <w:shd w:val="clear" w:color="auto" w:fill="auto"/>
            <w:vAlign w:val="bottom"/>
            <w:hideMark/>
          </w:tcPr>
          <w:p w14:paraId="699D0726"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29086</w:t>
            </w:r>
          </w:p>
        </w:tc>
        <w:tc>
          <w:tcPr>
            <w:tcW w:w="1247" w:type="dxa"/>
            <w:shd w:val="clear" w:color="auto" w:fill="auto"/>
            <w:vAlign w:val="bottom"/>
            <w:hideMark/>
          </w:tcPr>
          <w:p w14:paraId="48282195"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55%</w:t>
            </w:r>
          </w:p>
        </w:tc>
      </w:tr>
      <w:tr w:rsidR="00E04C6D" w:rsidRPr="00503F5B" w14:paraId="3BB1E4E9" w14:textId="77777777" w:rsidTr="00E04C6D">
        <w:trPr>
          <w:trHeight w:val="63"/>
        </w:trPr>
        <w:tc>
          <w:tcPr>
            <w:tcW w:w="1247" w:type="dxa"/>
            <w:shd w:val="clear" w:color="auto" w:fill="auto"/>
            <w:vAlign w:val="bottom"/>
            <w:hideMark/>
          </w:tcPr>
          <w:p w14:paraId="18498977" w14:textId="548F1DB2" w:rsidR="00E04C6D" w:rsidRPr="00503F5B" w:rsidRDefault="00E04C6D" w:rsidP="00E04C6D">
            <w:pPr>
              <w:rPr>
                <w:rFonts w:eastAsia="Times New Roman" w:cs="Calibri"/>
                <w:sz w:val="20"/>
                <w:szCs w:val="20"/>
              </w:rPr>
            </w:pPr>
            <w:r w:rsidRPr="00503F5B">
              <w:rPr>
                <w:rFonts w:eastAsia="Times New Roman" w:cs="Calibri"/>
                <w:sz w:val="20"/>
                <w:szCs w:val="20"/>
              </w:rPr>
              <w:t>1995</w:t>
            </w:r>
            <w:r w:rsidR="00295FAE" w:rsidRPr="00503F5B">
              <w:rPr>
                <w:rFonts w:eastAsia="Times New Roman" w:cs="Calibri"/>
                <w:sz w:val="20"/>
                <w:szCs w:val="20"/>
              </w:rPr>
              <w:t>-</w:t>
            </w:r>
            <w:r w:rsidRPr="00503F5B">
              <w:rPr>
                <w:rFonts w:eastAsia="Times New Roman" w:cs="Calibri"/>
                <w:sz w:val="20"/>
                <w:szCs w:val="20"/>
              </w:rPr>
              <w:t>96</w:t>
            </w:r>
          </w:p>
        </w:tc>
        <w:tc>
          <w:tcPr>
            <w:tcW w:w="1431" w:type="dxa"/>
            <w:shd w:val="clear" w:color="auto" w:fill="auto"/>
            <w:vAlign w:val="bottom"/>
            <w:hideMark/>
          </w:tcPr>
          <w:p w14:paraId="582B526D"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16358</w:t>
            </w:r>
          </w:p>
        </w:tc>
        <w:tc>
          <w:tcPr>
            <w:tcW w:w="1571" w:type="dxa"/>
            <w:shd w:val="clear" w:color="auto" w:fill="auto"/>
            <w:vAlign w:val="bottom"/>
            <w:hideMark/>
          </w:tcPr>
          <w:p w14:paraId="11060248"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28884</w:t>
            </w:r>
          </w:p>
        </w:tc>
        <w:tc>
          <w:tcPr>
            <w:tcW w:w="1247" w:type="dxa"/>
            <w:shd w:val="clear" w:color="auto" w:fill="auto"/>
            <w:vAlign w:val="bottom"/>
            <w:hideMark/>
          </w:tcPr>
          <w:p w14:paraId="2E92401A"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57%</w:t>
            </w:r>
          </w:p>
        </w:tc>
      </w:tr>
      <w:tr w:rsidR="00E04C6D" w:rsidRPr="00503F5B" w14:paraId="58A0E885" w14:textId="77777777" w:rsidTr="00E04C6D">
        <w:trPr>
          <w:trHeight w:val="63"/>
        </w:trPr>
        <w:tc>
          <w:tcPr>
            <w:tcW w:w="1247" w:type="dxa"/>
            <w:shd w:val="clear" w:color="auto" w:fill="auto"/>
            <w:vAlign w:val="bottom"/>
            <w:hideMark/>
          </w:tcPr>
          <w:p w14:paraId="32A792B7" w14:textId="061B1A0E" w:rsidR="00E04C6D" w:rsidRPr="00503F5B" w:rsidRDefault="00E04C6D" w:rsidP="00E04C6D">
            <w:pPr>
              <w:rPr>
                <w:rFonts w:eastAsia="Times New Roman" w:cs="Calibri"/>
                <w:sz w:val="20"/>
                <w:szCs w:val="20"/>
              </w:rPr>
            </w:pPr>
            <w:r w:rsidRPr="00503F5B">
              <w:rPr>
                <w:rFonts w:eastAsia="Times New Roman" w:cs="Calibri"/>
                <w:sz w:val="20"/>
                <w:szCs w:val="20"/>
              </w:rPr>
              <w:t>1996</w:t>
            </w:r>
            <w:r w:rsidR="00295FAE" w:rsidRPr="00503F5B">
              <w:rPr>
                <w:rFonts w:eastAsia="Times New Roman" w:cs="Calibri"/>
                <w:sz w:val="20"/>
                <w:szCs w:val="20"/>
              </w:rPr>
              <w:t>-</w:t>
            </w:r>
            <w:r w:rsidRPr="00503F5B">
              <w:rPr>
                <w:rFonts w:eastAsia="Times New Roman" w:cs="Calibri"/>
                <w:sz w:val="20"/>
                <w:szCs w:val="20"/>
              </w:rPr>
              <w:t>97</w:t>
            </w:r>
          </w:p>
        </w:tc>
        <w:tc>
          <w:tcPr>
            <w:tcW w:w="1431" w:type="dxa"/>
            <w:shd w:val="clear" w:color="auto" w:fill="auto"/>
            <w:vAlign w:val="bottom"/>
            <w:hideMark/>
          </w:tcPr>
          <w:p w14:paraId="61B448AD"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18066</w:t>
            </w:r>
          </w:p>
        </w:tc>
        <w:tc>
          <w:tcPr>
            <w:tcW w:w="1571" w:type="dxa"/>
            <w:shd w:val="clear" w:color="auto" w:fill="auto"/>
            <w:vAlign w:val="bottom"/>
            <w:hideMark/>
          </w:tcPr>
          <w:p w14:paraId="5C54F8A7"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33640</w:t>
            </w:r>
          </w:p>
        </w:tc>
        <w:tc>
          <w:tcPr>
            <w:tcW w:w="1247" w:type="dxa"/>
            <w:shd w:val="clear" w:color="auto" w:fill="auto"/>
            <w:vAlign w:val="bottom"/>
            <w:hideMark/>
          </w:tcPr>
          <w:p w14:paraId="42D3F669"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54%</w:t>
            </w:r>
          </w:p>
        </w:tc>
      </w:tr>
      <w:tr w:rsidR="00E04C6D" w:rsidRPr="00503F5B" w14:paraId="29B4E89E" w14:textId="77777777" w:rsidTr="00E04C6D">
        <w:trPr>
          <w:trHeight w:val="63"/>
        </w:trPr>
        <w:tc>
          <w:tcPr>
            <w:tcW w:w="1247" w:type="dxa"/>
            <w:shd w:val="clear" w:color="auto" w:fill="auto"/>
            <w:vAlign w:val="bottom"/>
            <w:hideMark/>
          </w:tcPr>
          <w:p w14:paraId="30051002" w14:textId="57AB104F" w:rsidR="00E04C6D" w:rsidRPr="00503F5B" w:rsidRDefault="00E04C6D" w:rsidP="00E04C6D">
            <w:pPr>
              <w:rPr>
                <w:rFonts w:eastAsia="Times New Roman" w:cs="Calibri"/>
                <w:sz w:val="20"/>
                <w:szCs w:val="20"/>
              </w:rPr>
            </w:pPr>
            <w:r w:rsidRPr="00503F5B">
              <w:rPr>
                <w:rFonts w:eastAsia="Times New Roman" w:cs="Calibri"/>
                <w:sz w:val="20"/>
                <w:szCs w:val="20"/>
              </w:rPr>
              <w:t>1997</w:t>
            </w:r>
            <w:r w:rsidR="00295FAE" w:rsidRPr="00503F5B">
              <w:rPr>
                <w:rFonts w:eastAsia="Times New Roman" w:cs="Calibri"/>
                <w:sz w:val="20"/>
                <w:szCs w:val="20"/>
              </w:rPr>
              <w:t>-</w:t>
            </w:r>
            <w:r w:rsidRPr="00503F5B">
              <w:rPr>
                <w:rFonts w:eastAsia="Times New Roman" w:cs="Calibri"/>
                <w:sz w:val="20"/>
                <w:szCs w:val="20"/>
              </w:rPr>
              <w:t>98</w:t>
            </w:r>
          </w:p>
        </w:tc>
        <w:tc>
          <w:tcPr>
            <w:tcW w:w="1431" w:type="dxa"/>
            <w:shd w:val="clear" w:color="auto" w:fill="auto"/>
            <w:vAlign w:val="bottom"/>
            <w:hideMark/>
          </w:tcPr>
          <w:p w14:paraId="4D43E076"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16907</w:t>
            </w:r>
          </w:p>
        </w:tc>
        <w:tc>
          <w:tcPr>
            <w:tcW w:w="1571" w:type="dxa"/>
            <w:shd w:val="clear" w:color="auto" w:fill="auto"/>
            <w:vAlign w:val="bottom"/>
            <w:hideMark/>
          </w:tcPr>
          <w:p w14:paraId="4006F080"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32116</w:t>
            </w:r>
          </w:p>
        </w:tc>
        <w:tc>
          <w:tcPr>
            <w:tcW w:w="1247" w:type="dxa"/>
            <w:shd w:val="clear" w:color="auto" w:fill="auto"/>
            <w:vAlign w:val="bottom"/>
            <w:hideMark/>
          </w:tcPr>
          <w:p w14:paraId="65452BF9"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53%</w:t>
            </w:r>
          </w:p>
        </w:tc>
      </w:tr>
      <w:tr w:rsidR="00E04C6D" w:rsidRPr="00503F5B" w14:paraId="122F5F42" w14:textId="77777777" w:rsidTr="00E04C6D">
        <w:trPr>
          <w:trHeight w:val="63"/>
        </w:trPr>
        <w:tc>
          <w:tcPr>
            <w:tcW w:w="1247" w:type="dxa"/>
            <w:shd w:val="clear" w:color="auto" w:fill="auto"/>
            <w:vAlign w:val="bottom"/>
            <w:hideMark/>
          </w:tcPr>
          <w:p w14:paraId="1C4CC43A" w14:textId="2D58FFCE" w:rsidR="00E04C6D" w:rsidRPr="00503F5B" w:rsidRDefault="00E04C6D" w:rsidP="00E04C6D">
            <w:pPr>
              <w:rPr>
                <w:rFonts w:eastAsia="Times New Roman" w:cs="Calibri"/>
                <w:sz w:val="20"/>
                <w:szCs w:val="20"/>
              </w:rPr>
            </w:pPr>
            <w:r w:rsidRPr="00503F5B">
              <w:rPr>
                <w:rFonts w:eastAsia="Times New Roman" w:cs="Calibri"/>
                <w:sz w:val="20"/>
                <w:szCs w:val="20"/>
              </w:rPr>
              <w:t>1998</w:t>
            </w:r>
            <w:r w:rsidR="00295FAE" w:rsidRPr="00503F5B">
              <w:rPr>
                <w:rFonts w:eastAsia="Times New Roman" w:cs="Calibri"/>
                <w:sz w:val="20"/>
                <w:szCs w:val="20"/>
              </w:rPr>
              <w:t>-</w:t>
            </w:r>
            <w:r w:rsidRPr="00503F5B">
              <w:rPr>
                <w:rFonts w:eastAsia="Times New Roman" w:cs="Calibri"/>
                <w:sz w:val="20"/>
                <w:szCs w:val="20"/>
              </w:rPr>
              <w:t>99</w:t>
            </w:r>
          </w:p>
        </w:tc>
        <w:tc>
          <w:tcPr>
            <w:tcW w:w="1431" w:type="dxa"/>
            <w:shd w:val="clear" w:color="auto" w:fill="auto"/>
            <w:vAlign w:val="bottom"/>
            <w:hideMark/>
          </w:tcPr>
          <w:p w14:paraId="48109BD8"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16157</w:t>
            </w:r>
          </w:p>
        </w:tc>
        <w:tc>
          <w:tcPr>
            <w:tcW w:w="1571" w:type="dxa"/>
            <w:shd w:val="clear" w:color="auto" w:fill="auto"/>
            <w:vAlign w:val="bottom"/>
            <w:hideMark/>
          </w:tcPr>
          <w:p w14:paraId="40377ED7"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31417</w:t>
            </w:r>
          </w:p>
        </w:tc>
        <w:tc>
          <w:tcPr>
            <w:tcW w:w="1247" w:type="dxa"/>
            <w:shd w:val="clear" w:color="auto" w:fill="auto"/>
            <w:vAlign w:val="bottom"/>
            <w:hideMark/>
          </w:tcPr>
          <w:p w14:paraId="2C09E1FD"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51%</w:t>
            </w:r>
          </w:p>
        </w:tc>
      </w:tr>
      <w:tr w:rsidR="00E04C6D" w:rsidRPr="00503F5B" w14:paraId="6DD73372" w14:textId="77777777" w:rsidTr="00E04C6D">
        <w:trPr>
          <w:trHeight w:val="63"/>
        </w:trPr>
        <w:tc>
          <w:tcPr>
            <w:tcW w:w="1247" w:type="dxa"/>
            <w:shd w:val="clear" w:color="auto" w:fill="auto"/>
            <w:vAlign w:val="bottom"/>
            <w:hideMark/>
          </w:tcPr>
          <w:p w14:paraId="3E66313B" w14:textId="076A8E4D" w:rsidR="00E04C6D" w:rsidRPr="00503F5B" w:rsidRDefault="00E04C6D" w:rsidP="00E04C6D">
            <w:pPr>
              <w:rPr>
                <w:rFonts w:eastAsia="Times New Roman" w:cs="Calibri"/>
                <w:sz w:val="20"/>
                <w:szCs w:val="20"/>
              </w:rPr>
            </w:pPr>
            <w:r w:rsidRPr="00503F5B">
              <w:rPr>
                <w:rFonts w:eastAsia="Times New Roman" w:cs="Calibri"/>
                <w:sz w:val="20"/>
                <w:szCs w:val="20"/>
              </w:rPr>
              <w:t>1999</w:t>
            </w:r>
            <w:r w:rsidR="00295FAE" w:rsidRPr="00503F5B">
              <w:rPr>
                <w:rFonts w:eastAsia="Times New Roman" w:cs="Calibri"/>
                <w:sz w:val="20"/>
                <w:szCs w:val="20"/>
              </w:rPr>
              <w:t>-</w:t>
            </w:r>
            <w:r w:rsidRPr="00503F5B">
              <w:rPr>
                <w:rFonts w:eastAsia="Times New Roman" w:cs="Calibri"/>
                <w:sz w:val="20"/>
                <w:szCs w:val="20"/>
              </w:rPr>
              <w:t>00</w:t>
            </w:r>
          </w:p>
        </w:tc>
        <w:tc>
          <w:tcPr>
            <w:tcW w:w="1431" w:type="dxa"/>
            <w:shd w:val="clear" w:color="auto" w:fill="auto"/>
            <w:vAlign w:val="bottom"/>
            <w:hideMark/>
          </w:tcPr>
          <w:p w14:paraId="717B7E7F"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16736</w:t>
            </w:r>
          </w:p>
        </w:tc>
        <w:tc>
          <w:tcPr>
            <w:tcW w:w="1571" w:type="dxa"/>
            <w:shd w:val="clear" w:color="auto" w:fill="auto"/>
            <w:vAlign w:val="bottom"/>
            <w:hideMark/>
          </w:tcPr>
          <w:p w14:paraId="29B0B4B7"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33957</w:t>
            </w:r>
          </w:p>
        </w:tc>
        <w:tc>
          <w:tcPr>
            <w:tcW w:w="1247" w:type="dxa"/>
            <w:shd w:val="clear" w:color="auto" w:fill="auto"/>
            <w:vAlign w:val="bottom"/>
            <w:hideMark/>
          </w:tcPr>
          <w:p w14:paraId="7B119D94"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49%</w:t>
            </w:r>
          </w:p>
        </w:tc>
      </w:tr>
      <w:tr w:rsidR="00E04C6D" w:rsidRPr="00503F5B" w14:paraId="15546A3E" w14:textId="77777777" w:rsidTr="00E04C6D">
        <w:trPr>
          <w:trHeight w:val="63"/>
        </w:trPr>
        <w:tc>
          <w:tcPr>
            <w:tcW w:w="1247" w:type="dxa"/>
            <w:shd w:val="clear" w:color="auto" w:fill="auto"/>
            <w:vAlign w:val="bottom"/>
            <w:hideMark/>
          </w:tcPr>
          <w:p w14:paraId="73DD7FD7" w14:textId="795D4CC2" w:rsidR="00E04C6D" w:rsidRPr="00503F5B" w:rsidRDefault="00E04C6D" w:rsidP="00E04C6D">
            <w:pPr>
              <w:rPr>
                <w:rFonts w:eastAsia="Times New Roman" w:cs="Calibri"/>
                <w:sz w:val="20"/>
                <w:szCs w:val="20"/>
              </w:rPr>
            </w:pPr>
            <w:r w:rsidRPr="00503F5B">
              <w:rPr>
                <w:rFonts w:eastAsia="Times New Roman" w:cs="Calibri"/>
                <w:sz w:val="20"/>
                <w:szCs w:val="20"/>
              </w:rPr>
              <w:t>2000</w:t>
            </w:r>
            <w:r w:rsidR="00295FAE" w:rsidRPr="00503F5B">
              <w:rPr>
                <w:rFonts w:eastAsia="Times New Roman" w:cs="Calibri"/>
                <w:sz w:val="20"/>
                <w:szCs w:val="20"/>
              </w:rPr>
              <w:t>-</w:t>
            </w:r>
            <w:r w:rsidRPr="00503F5B">
              <w:rPr>
                <w:rFonts w:eastAsia="Times New Roman" w:cs="Calibri"/>
                <w:sz w:val="20"/>
                <w:szCs w:val="20"/>
              </w:rPr>
              <w:t>01</w:t>
            </w:r>
          </w:p>
        </w:tc>
        <w:tc>
          <w:tcPr>
            <w:tcW w:w="1431" w:type="dxa"/>
            <w:shd w:val="clear" w:color="auto" w:fill="auto"/>
            <w:vAlign w:val="bottom"/>
            <w:hideMark/>
          </w:tcPr>
          <w:p w14:paraId="137E5CCF"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15821</w:t>
            </w:r>
          </w:p>
        </w:tc>
        <w:tc>
          <w:tcPr>
            <w:tcW w:w="1571" w:type="dxa"/>
            <w:shd w:val="clear" w:color="auto" w:fill="auto"/>
            <w:vAlign w:val="bottom"/>
            <w:hideMark/>
          </w:tcPr>
          <w:p w14:paraId="71BB34DB"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35534</w:t>
            </w:r>
          </w:p>
        </w:tc>
        <w:tc>
          <w:tcPr>
            <w:tcW w:w="1247" w:type="dxa"/>
            <w:shd w:val="clear" w:color="auto" w:fill="auto"/>
            <w:vAlign w:val="bottom"/>
            <w:hideMark/>
          </w:tcPr>
          <w:p w14:paraId="35E7B696"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45%</w:t>
            </w:r>
          </w:p>
        </w:tc>
      </w:tr>
      <w:tr w:rsidR="00E04C6D" w:rsidRPr="00503F5B" w14:paraId="6021FFCC" w14:textId="77777777" w:rsidTr="00E04C6D">
        <w:trPr>
          <w:trHeight w:val="63"/>
        </w:trPr>
        <w:tc>
          <w:tcPr>
            <w:tcW w:w="1247" w:type="dxa"/>
            <w:shd w:val="clear" w:color="auto" w:fill="auto"/>
            <w:vAlign w:val="bottom"/>
            <w:hideMark/>
          </w:tcPr>
          <w:p w14:paraId="627C8684" w14:textId="18864ECE" w:rsidR="00E04C6D" w:rsidRPr="00503F5B" w:rsidRDefault="00E04C6D" w:rsidP="00E04C6D">
            <w:pPr>
              <w:rPr>
                <w:rFonts w:eastAsia="Times New Roman" w:cs="Calibri"/>
                <w:sz w:val="20"/>
                <w:szCs w:val="20"/>
              </w:rPr>
            </w:pPr>
            <w:r w:rsidRPr="00503F5B">
              <w:rPr>
                <w:rFonts w:eastAsia="Times New Roman" w:cs="Calibri"/>
                <w:sz w:val="20"/>
                <w:szCs w:val="20"/>
              </w:rPr>
              <w:t>2001</w:t>
            </w:r>
            <w:r w:rsidR="00295FAE" w:rsidRPr="00503F5B">
              <w:rPr>
                <w:rFonts w:eastAsia="Times New Roman" w:cs="Calibri"/>
                <w:sz w:val="20"/>
                <w:szCs w:val="20"/>
              </w:rPr>
              <w:t>-</w:t>
            </w:r>
            <w:r w:rsidRPr="00503F5B">
              <w:rPr>
                <w:rFonts w:eastAsia="Times New Roman" w:cs="Calibri"/>
                <w:sz w:val="20"/>
                <w:szCs w:val="20"/>
              </w:rPr>
              <w:t>02</w:t>
            </w:r>
          </w:p>
        </w:tc>
        <w:tc>
          <w:tcPr>
            <w:tcW w:w="1431" w:type="dxa"/>
            <w:shd w:val="clear" w:color="auto" w:fill="auto"/>
            <w:vAlign w:val="bottom"/>
            <w:hideMark/>
          </w:tcPr>
          <w:p w14:paraId="5E41666B"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14307</w:t>
            </w:r>
          </w:p>
        </w:tc>
        <w:tc>
          <w:tcPr>
            <w:tcW w:w="1571" w:type="dxa"/>
            <w:shd w:val="clear" w:color="auto" w:fill="auto"/>
            <w:vAlign w:val="bottom"/>
            <w:hideMark/>
          </w:tcPr>
          <w:p w14:paraId="0E03095D"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32239</w:t>
            </w:r>
          </w:p>
        </w:tc>
        <w:tc>
          <w:tcPr>
            <w:tcW w:w="1247" w:type="dxa"/>
            <w:shd w:val="clear" w:color="auto" w:fill="auto"/>
            <w:vAlign w:val="bottom"/>
            <w:hideMark/>
          </w:tcPr>
          <w:p w14:paraId="258AFD3E"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44%</w:t>
            </w:r>
          </w:p>
        </w:tc>
      </w:tr>
      <w:tr w:rsidR="00E04C6D" w:rsidRPr="00503F5B" w14:paraId="609B5209" w14:textId="77777777" w:rsidTr="00E04C6D">
        <w:trPr>
          <w:trHeight w:val="63"/>
        </w:trPr>
        <w:tc>
          <w:tcPr>
            <w:tcW w:w="1247" w:type="dxa"/>
            <w:shd w:val="clear" w:color="auto" w:fill="auto"/>
            <w:vAlign w:val="bottom"/>
            <w:hideMark/>
          </w:tcPr>
          <w:p w14:paraId="135F31DE" w14:textId="0D0C71F4" w:rsidR="00E04C6D" w:rsidRPr="00503F5B" w:rsidRDefault="00E04C6D" w:rsidP="00E04C6D">
            <w:pPr>
              <w:rPr>
                <w:rFonts w:eastAsia="Times New Roman" w:cs="Calibri"/>
                <w:sz w:val="20"/>
                <w:szCs w:val="20"/>
              </w:rPr>
            </w:pPr>
            <w:r w:rsidRPr="00503F5B">
              <w:rPr>
                <w:rFonts w:eastAsia="Times New Roman" w:cs="Calibri"/>
                <w:sz w:val="20"/>
                <w:szCs w:val="20"/>
              </w:rPr>
              <w:t>2002</w:t>
            </w:r>
            <w:r w:rsidR="00295FAE" w:rsidRPr="00503F5B">
              <w:rPr>
                <w:rFonts w:eastAsia="Times New Roman" w:cs="Calibri"/>
                <w:sz w:val="20"/>
                <w:szCs w:val="20"/>
              </w:rPr>
              <w:t>-</w:t>
            </w:r>
            <w:r w:rsidRPr="00503F5B">
              <w:rPr>
                <w:rFonts w:eastAsia="Times New Roman" w:cs="Calibri"/>
                <w:sz w:val="20"/>
                <w:szCs w:val="20"/>
              </w:rPr>
              <w:t>03</w:t>
            </w:r>
          </w:p>
        </w:tc>
        <w:tc>
          <w:tcPr>
            <w:tcW w:w="1431" w:type="dxa"/>
            <w:shd w:val="clear" w:color="auto" w:fill="auto"/>
            <w:vAlign w:val="bottom"/>
            <w:hideMark/>
          </w:tcPr>
          <w:p w14:paraId="4608D5AF"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14102</w:t>
            </w:r>
          </w:p>
        </w:tc>
        <w:tc>
          <w:tcPr>
            <w:tcW w:w="1571" w:type="dxa"/>
            <w:shd w:val="clear" w:color="auto" w:fill="auto"/>
            <w:vAlign w:val="bottom"/>
            <w:hideMark/>
          </w:tcPr>
          <w:p w14:paraId="5BFA71B7"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33586</w:t>
            </w:r>
          </w:p>
        </w:tc>
        <w:tc>
          <w:tcPr>
            <w:tcW w:w="1247" w:type="dxa"/>
            <w:shd w:val="clear" w:color="auto" w:fill="auto"/>
            <w:vAlign w:val="bottom"/>
            <w:hideMark/>
          </w:tcPr>
          <w:p w14:paraId="31E95CD6"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42%</w:t>
            </w:r>
          </w:p>
        </w:tc>
      </w:tr>
      <w:tr w:rsidR="00E04C6D" w:rsidRPr="00503F5B" w14:paraId="50341EDE" w14:textId="77777777" w:rsidTr="00E04C6D">
        <w:trPr>
          <w:trHeight w:val="63"/>
        </w:trPr>
        <w:tc>
          <w:tcPr>
            <w:tcW w:w="1247" w:type="dxa"/>
            <w:shd w:val="clear" w:color="auto" w:fill="auto"/>
            <w:vAlign w:val="bottom"/>
            <w:hideMark/>
          </w:tcPr>
          <w:p w14:paraId="41A70A5F" w14:textId="0957BC8A" w:rsidR="00E04C6D" w:rsidRPr="00503F5B" w:rsidRDefault="00E04C6D" w:rsidP="00E04C6D">
            <w:pPr>
              <w:rPr>
                <w:rFonts w:eastAsia="Times New Roman" w:cs="Calibri"/>
                <w:sz w:val="20"/>
                <w:szCs w:val="20"/>
              </w:rPr>
            </w:pPr>
            <w:r w:rsidRPr="00503F5B">
              <w:rPr>
                <w:rFonts w:eastAsia="Times New Roman" w:cs="Calibri"/>
                <w:sz w:val="20"/>
                <w:szCs w:val="20"/>
              </w:rPr>
              <w:t>2003</w:t>
            </w:r>
            <w:r w:rsidR="00295FAE" w:rsidRPr="00503F5B">
              <w:rPr>
                <w:rFonts w:eastAsia="Times New Roman" w:cs="Calibri"/>
                <w:sz w:val="20"/>
                <w:szCs w:val="20"/>
              </w:rPr>
              <w:t>-</w:t>
            </w:r>
            <w:r w:rsidRPr="00503F5B">
              <w:rPr>
                <w:rFonts w:eastAsia="Times New Roman" w:cs="Calibri"/>
                <w:sz w:val="20"/>
                <w:szCs w:val="20"/>
              </w:rPr>
              <w:t>04</w:t>
            </w:r>
          </w:p>
        </w:tc>
        <w:tc>
          <w:tcPr>
            <w:tcW w:w="1431" w:type="dxa"/>
            <w:shd w:val="clear" w:color="auto" w:fill="auto"/>
            <w:vAlign w:val="bottom"/>
            <w:hideMark/>
          </w:tcPr>
          <w:p w14:paraId="4045B5F4"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13801</w:t>
            </w:r>
          </w:p>
        </w:tc>
        <w:tc>
          <w:tcPr>
            <w:tcW w:w="1571" w:type="dxa"/>
            <w:shd w:val="clear" w:color="auto" w:fill="auto"/>
            <w:vAlign w:val="bottom"/>
            <w:hideMark/>
          </w:tcPr>
          <w:p w14:paraId="4D622A81"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31615</w:t>
            </w:r>
          </w:p>
        </w:tc>
        <w:tc>
          <w:tcPr>
            <w:tcW w:w="1247" w:type="dxa"/>
            <w:shd w:val="clear" w:color="auto" w:fill="auto"/>
            <w:vAlign w:val="bottom"/>
            <w:hideMark/>
          </w:tcPr>
          <w:p w14:paraId="4A058109"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44%</w:t>
            </w:r>
          </w:p>
        </w:tc>
      </w:tr>
      <w:tr w:rsidR="00E04C6D" w:rsidRPr="00503F5B" w14:paraId="7BA9BF46" w14:textId="77777777" w:rsidTr="00E04C6D">
        <w:trPr>
          <w:trHeight w:val="63"/>
        </w:trPr>
        <w:tc>
          <w:tcPr>
            <w:tcW w:w="1247" w:type="dxa"/>
            <w:shd w:val="clear" w:color="auto" w:fill="auto"/>
            <w:vAlign w:val="bottom"/>
            <w:hideMark/>
          </w:tcPr>
          <w:p w14:paraId="7A911A5D" w14:textId="4B16C2CF" w:rsidR="00E04C6D" w:rsidRPr="00503F5B" w:rsidRDefault="00E04C6D" w:rsidP="00E04C6D">
            <w:pPr>
              <w:rPr>
                <w:rFonts w:eastAsia="Times New Roman" w:cs="Calibri"/>
                <w:sz w:val="20"/>
                <w:szCs w:val="20"/>
              </w:rPr>
            </w:pPr>
            <w:r w:rsidRPr="00503F5B">
              <w:rPr>
                <w:rFonts w:eastAsia="Times New Roman" w:cs="Calibri"/>
                <w:sz w:val="20"/>
                <w:szCs w:val="20"/>
              </w:rPr>
              <w:t>2004</w:t>
            </w:r>
            <w:r w:rsidR="00295FAE" w:rsidRPr="00503F5B">
              <w:rPr>
                <w:rFonts w:eastAsia="Times New Roman" w:cs="Calibri"/>
                <w:sz w:val="20"/>
                <w:szCs w:val="20"/>
              </w:rPr>
              <w:t>-</w:t>
            </w:r>
            <w:r w:rsidRPr="00503F5B">
              <w:rPr>
                <w:rFonts w:eastAsia="Times New Roman" w:cs="Calibri"/>
                <w:sz w:val="20"/>
                <w:szCs w:val="20"/>
              </w:rPr>
              <w:t>05</w:t>
            </w:r>
          </w:p>
        </w:tc>
        <w:tc>
          <w:tcPr>
            <w:tcW w:w="1431" w:type="dxa"/>
            <w:shd w:val="clear" w:color="auto" w:fill="auto"/>
            <w:vAlign w:val="bottom"/>
            <w:hideMark/>
          </w:tcPr>
          <w:p w14:paraId="2BAD5B52"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13980</w:t>
            </w:r>
          </w:p>
        </w:tc>
        <w:tc>
          <w:tcPr>
            <w:tcW w:w="1571" w:type="dxa"/>
            <w:shd w:val="clear" w:color="auto" w:fill="auto"/>
            <w:vAlign w:val="bottom"/>
            <w:hideMark/>
          </w:tcPr>
          <w:p w14:paraId="3495243E"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31170</w:t>
            </w:r>
          </w:p>
        </w:tc>
        <w:tc>
          <w:tcPr>
            <w:tcW w:w="1247" w:type="dxa"/>
            <w:shd w:val="clear" w:color="auto" w:fill="auto"/>
            <w:vAlign w:val="bottom"/>
            <w:hideMark/>
          </w:tcPr>
          <w:p w14:paraId="589C34FD"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45%</w:t>
            </w:r>
          </w:p>
        </w:tc>
      </w:tr>
      <w:tr w:rsidR="00E04C6D" w:rsidRPr="00503F5B" w14:paraId="028B5262" w14:textId="77777777" w:rsidTr="00E04C6D">
        <w:trPr>
          <w:trHeight w:val="63"/>
        </w:trPr>
        <w:tc>
          <w:tcPr>
            <w:tcW w:w="1247" w:type="dxa"/>
            <w:shd w:val="clear" w:color="auto" w:fill="auto"/>
            <w:vAlign w:val="bottom"/>
            <w:hideMark/>
          </w:tcPr>
          <w:p w14:paraId="3A1BD9D0" w14:textId="7C9B2D07" w:rsidR="00E04C6D" w:rsidRPr="00503F5B" w:rsidRDefault="00E04C6D" w:rsidP="00E04C6D">
            <w:pPr>
              <w:rPr>
                <w:rFonts w:eastAsia="Times New Roman" w:cs="Calibri"/>
                <w:sz w:val="20"/>
                <w:szCs w:val="20"/>
              </w:rPr>
            </w:pPr>
            <w:r w:rsidRPr="00503F5B">
              <w:rPr>
                <w:rFonts w:eastAsia="Times New Roman" w:cs="Calibri"/>
                <w:sz w:val="20"/>
                <w:szCs w:val="20"/>
              </w:rPr>
              <w:t>2005</w:t>
            </w:r>
            <w:r w:rsidR="00295FAE" w:rsidRPr="00503F5B">
              <w:rPr>
                <w:rFonts w:eastAsia="Times New Roman" w:cs="Calibri"/>
                <w:sz w:val="20"/>
                <w:szCs w:val="20"/>
              </w:rPr>
              <w:t>-</w:t>
            </w:r>
            <w:r w:rsidRPr="00503F5B">
              <w:rPr>
                <w:rFonts w:eastAsia="Times New Roman" w:cs="Calibri"/>
                <w:sz w:val="20"/>
                <w:szCs w:val="20"/>
              </w:rPr>
              <w:t>06</w:t>
            </w:r>
          </w:p>
        </w:tc>
        <w:tc>
          <w:tcPr>
            <w:tcW w:w="1431" w:type="dxa"/>
            <w:shd w:val="clear" w:color="auto" w:fill="auto"/>
            <w:vAlign w:val="bottom"/>
            <w:hideMark/>
          </w:tcPr>
          <w:p w14:paraId="597FE44A"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14766</w:t>
            </w:r>
          </w:p>
        </w:tc>
        <w:tc>
          <w:tcPr>
            <w:tcW w:w="1571" w:type="dxa"/>
            <w:shd w:val="clear" w:color="auto" w:fill="auto"/>
            <w:vAlign w:val="bottom"/>
            <w:hideMark/>
          </w:tcPr>
          <w:p w14:paraId="1A65E205"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33224</w:t>
            </w:r>
          </w:p>
        </w:tc>
        <w:tc>
          <w:tcPr>
            <w:tcW w:w="1247" w:type="dxa"/>
            <w:shd w:val="clear" w:color="auto" w:fill="auto"/>
            <w:vAlign w:val="bottom"/>
            <w:hideMark/>
          </w:tcPr>
          <w:p w14:paraId="519CAC50"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44%</w:t>
            </w:r>
          </w:p>
        </w:tc>
      </w:tr>
      <w:tr w:rsidR="00E04C6D" w:rsidRPr="00503F5B" w14:paraId="4CE080F3" w14:textId="77777777" w:rsidTr="00E04C6D">
        <w:trPr>
          <w:trHeight w:val="63"/>
        </w:trPr>
        <w:tc>
          <w:tcPr>
            <w:tcW w:w="1247" w:type="dxa"/>
            <w:shd w:val="clear" w:color="auto" w:fill="auto"/>
            <w:vAlign w:val="bottom"/>
            <w:hideMark/>
          </w:tcPr>
          <w:p w14:paraId="35E41A7F" w14:textId="7BA87E53" w:rsidR="00E04C6D" w:rsidRPr="00503F5B" w:rsidRDefault="00E04C6D" w:rsidP="00E04C6D">
            <w:pPr>
              <w:rPr>
                <w:rFonts w:eastAsia="Times New Roman" w:cs="Calibri"/>
                <w:sz w:val="20"/>
                <w:szCs w:val="20"/>
              </w:rPr>
            </w:pPr>
            <w:r w:rsidRPr="00503F5B">
              <w:rPr>
                <w:rFonts w:eastAsia="Times New Roman" w:cs="Calibri"/>
                <w:sz w:val="20"/>
                <w:szCs w:val="20"/>
              </w:rPr>
              <w:t>2006</w:t>
            </w:r>
            <w:r w:rsidR="00295FAE" w:rsidRPr="00503F5B">
              <w:rPr>
                <w:rFonts w:eastAsia="Times New Roman" w:cs="Calibri"/>
                <w:sz w:val="20"/>
                <w:szCs w:val="20"/>
              </w:rPr>
              <w:t>-</w:t>
            </w:r>
            <w:r w:rsidRPr="00503F5B">
              <w:rPr>
                <w:rFonts w:eastAsia="Times New Roman" w:cs="Calibri"/>
                <w:sz w:val="20"/>
                <w:szCs w:val="20"/>
              </w:rPr>
              <w:t>07</w:t>
            </w:r>
          </w:p>
        </w:tc>
        <w:tc>
          <w:tcPr>
            <w:tcW w:w="1431" w:type="dxa"/>
            <w:shd w:val="clear" w:color="auto" w:fill="auto"/>
            <w:vAlign w:val="bottom"/>
            <w:hideMark/>
          </w:tcPr>
          <w:p w14:paraId="0AD94A04"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15309</w:t>
            </w:r>
          </w:p>
        </w:tc>
        <w:tc>
          <w:tcPr>
            <w:tcW w:w="1571" w:type="dxa"/>
            <w:shd w:val="clear" w:color="auto" w:fill="auto"/>
            <w:vAlign w:val="bottom"/>
            <w:hideMark/>
          </w:tcPr>
          <w:p w14:paraId="4CF937B2"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36364</w:t>
            </w:r>
          </w:p>
        </w:tc>
        <w:tc>
          <w:tcPr>
            <w:tcW w:w="1247" w:type="dxa"/>
            <w:shd w:val="clear" w:color="auto" w:fill="auto"/>
            <w:vAlign w:val="bottom"/>
            <w:hideMark/>
          </w:tcPr>
          <w:p w14:paraId="0FDA8301"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42%</w:t>
            </w:r>
          </w:p>
        </w:tc>
      </w:tr>
      <w:tr w:rsidR="00E04C6D" w:rsidRPr="00503F5B" w14:paraId="730680EE" w14:textId="77777777" w:rsidTr="00E04C6D">
        <w:trPr>
          <w:trHeight w:val="63"/>
        </w:trPr>
        <w:tc>
          <w:tcPr>
            <w:tcW w:w="1247" w:type="dxa"/>
            <w:shd w:val="clear" w:color="auto" w:fill="auto"/>
            <w:vAlign w:val="bottom"/>
            <w:hideMark/>
          </w:tcPr>
          <w:p w14:paraId="5BBFBDF9" w14:textId="35EA8E05" w:rsidR="00E04C6D" w:rsidRPr="00503F5B" w:rsidRDefault="00E04C6D" w:rsidP="00E04C6D">
            <w:pPr>
              <w:rPr>
                <w:rFonts w:eastAsia="Times New Roman" w:cs="Calibri"/>
                <w:sz w:val="20"/>
                <w:szCs w:val="20"/>
              </w:rPr>
            </w:pPr>
            <w:r w:rsidRPr="00503F5B">
              <w:rPr>
                <w:rFonts w:eastAsia="Times New Roman" w:cs="Calibri"/>
                <w:sz w:val="20"/>
                <w:szCs w:val="20"/>
              </w:rPr>
              <w:t>2007</w:t>
            </w:r>
            <w:r w:rsidR="00295FAE" w:rsidRPr="00503F5B">
              <w:rPr>
                <w:rFonts w:eastAsia="Times New Roman" w:cs="Calibri"/>
                <w:sz w:val="20"/>
                <w:szCs w:val="20"/>
              </w:rPr>
              <w:t>-</w:t>
            </w:r>
            <w:r w:rsidRPr="00503F5B">
              <w:rPr>
                <w:rFonts w:eastAsia="Times New Roman" w:cs="Calibri"/>
                <w:sz w:val="20"/>
                <w:szCs w:val="20"/>
              </w:rPr>
              <w:t>08</w:t>
            </w:r>
          </w:p>
        </w:tc>
        <w:tc>
          <w:tcPr>
            <w:tcW w:w="1431" w:type="dxa"/>
            <w:shd w:val="clear" w:color="auto" w:fill="auto"/>
            <w:vAlign w:val="bottom"/>
            <w:hideMark/>
          </w:tcPr>
          <w:p w14:paraId="65E7CF2C"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15378</w:t>
            </w:r>
          </w:p>
        </w:tc>
        <w:tc>
          <w:tcPr>
            <w:tcW w:w="1571" w:type="dxa"/>
            <w:shd w:val="clear" w:color="auto" w:fill="auto"/>
            <w:vAlign w:val="bottom"/>
            <w:hideMark/>
          </w:tcPr>
          <w:p w14:paraId="0903C366"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35669</w:t>
            </w:r>
          </w:p>
        </w:tc>
        <w:tc>
          <w:tcPr>
            <w:tcW w:w="1247" w:type="dxa"/>
            <w:shd w:val="clear" w:color="auto" w:fill="auto"/>
            <w:vAlign w:val="bottom"/>
            <w:hideMark/>
          </w:tcPr>
          <w:p w14:paraId="706BCF8E"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43%</w:t>
            </w:r>
          </w:p>
        </w:tc>
      </w:tr>
      <w:tr w:rsidR="00E04C6D" w:rsidRPr="00503F5B" w14:paraId="16828FEA" w14:textId="77777777" w:rsidTr="00E04C6D">
        <w:trPr>
          <w:trHeight w:val="63"/>
        </w:trPr>
        <w:tc>
          <w:tcPr>
            <w:tcW w:w="1247" w:type="dxa"/>
            <w:shd w:val="clear" w:color="auto" w:fill="auto"/>
            <w:vAlign w:val="bottom"/>
            <w:hideMark/>
          </w:tcPr>
          <w:p w14:paraId="5B8D1E86" w14:textId="63CF4898" w:rsidR="00E04C6D" w:rsidRPr="00503F5B" w:rsidRDefault="00E04C6D" w:rsidP="00E04C6D">
            <w:pPr>
              <w:rPr>
                <w:rFonts w:eastAsia="Times New Roman" w:cs="Calibri"/>
                <w:sz w:val="20"/>
                <w:szCs w:val="20"/>
              </w:rPr>
            </w:pPr>
            <w:r w:rsidRPr="00503F5B">
              <w:rPr>
                <w:rFonts w:eastAsia="Times New Roman" w:cs="Calibri"/>
                <w:sz w:val="20"/>
                <w:szCs w:val="20"/>
              </w:rPr>
              <w:t>2008</w:t>
            </w:r>
            <w:r w:rsidR="00295FAE" w:rsidRPr="00503F5B">
              <w:rPr>
                <w:rFonts w:eastAsia="Times New Roman" w:cs="Calibri"/>
                <w:sz w:val="20"/>
                <w:szCs w:val="20"/>
              </w:rPr>
              <w:t>-</w:t>
            </w:r>
            <w:r w:rsidRPr="00503F5B">
              <w:rPr>
                <w:rFonts w:eastAsia="Times New Roman" w:cs="Calibri"/>
                <w:sz w:val="20"/>
                <w:szCs w:val="20"/>
              </w:rPr>
              <w:t>09</w:t>
            </w:r>
          </w:p>
        </w:tc>
        <w:tc>
          <w:tcPr>
            <w:tcW w:w="1431" w:type="dxa"/>
            <w:shd w:val="clear" w:color="auto" w:fill="auto"/>
            <w:vAlign w:val="bottom"/>
            <w:hideMark/>
          </w:tcPr>
          <w:p w14:paraId="4FD8E274"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15072</w:t>
            </w:r>
          </w:p>
        </w:tc>
        <w:tc>
          <w:tcPr>
            <w:tcW w:w="1571" w:type="dxa"/>
            <w:shd w:val="clear" w:color="auto" w:fill="auto"/>
            <w:vAlign w:val="bottom"/>
            <w:hideMark/>
          </w:tcPr>
          <w:p w14:paraId="4E746BEF"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35712</w:t>
            </w:r>
          </w:p>
        </w:tc>
        <w:tc>
          <w:tcPr>
            <w:tcW w:w="1247" w:type="dxa"/>
            <w:shd w:val="clear" w:color="auto" w:fill="auto"/>
            <w:vAlign w:val="bottom"/>
            <w:hideMark/>
          </w:tcPr>
          <w:p w14:paraId="635D89F6"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42%</w:t>
            </w:r>
          </w:p>
        </w:tc>
      </w:tr>
      <w:tr w:rsidR="00E04C6D" w:rsidRPr="00503F5B" w14:paraId="49749A9D" w14:textId="77777777" w:rsidTr="00E04C6D">
        <w:trPr>
          <w:trHeight w:val="63"/>
        </w:trPr>
        <w:tc>
          <w:tcPr>
            <w:tcW w:w="1247" w:type="dxa"/>
            <w:shd w:val="clear" w:color="auto" w:fill="auto"/>
            <w:vAlign w:val="bottom"/>
            <w:hideMark/>
          </w:tcPr>
          <w:p w14:paraId="29D7CCEA" w14:textId="5ED10CFE" w:rsidR="00E04C6D" w:rsidRPr="00503F5B" w:rsidRDefault="00E04C6D" w:rsidP="00E04C6D">
            <w:pPr>
              <w:rPr>
                <w:rFonts w:eastAsia="Times New Roman" w:cs="Calibri"/>
                <w:sz w:val="20"/>
                <w:szCs w:val="20"/>
              </w:rPr>
            </w:pPr>
            <w:r w:rsidRPr="00503F5B">
              <w:rPr>
                <w:rFonts w:eastAsia="Times New Roman" w:cs="Calibri"/>
                <w:sz w:val="20"/>
                <w:szCs w:val="20"/>
              </w:rPr>
              <w:t>2009</w:t>
            </w:r>
            <w:r w:rsidR="00295FAE" w:rsidRPr="00503F5B">
              <w:rPr>
                <w:rFonts w:eastAsia="Times New Roman" w:cs="Calibri"/>
                <w:sz w:val="20"/>
                <w:szCs w:val="20"/>
              </w:rPr>
              <w:t>-</w:t>
            </w:r>
            <w:r w:rsidRPr="00503F5B">
              <w:rPr>
                <w:rFonts w:eastAsia="Times New Roman" w:cs="Calibri"/>
                <w:sz w:val="20"/>
                <w:szCs w:val="20"/>
              </w:rPr>
              <w:t>10</w:t>
            </w:r>
          </w:p>
        </w:tc>
        <w:tc>
          <w:tcPr>
            <w:tcW w:w="1431" w:type="dxa"/>
            <w:shd w:val="clear" w:color="auto" w:fill="auto"/>
            <w:vAlign w:val="bottom"/>
            <w:hideMark/>
          </w:tcPr>
          <w:p w14:paraId="56DCFCBB"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14523</w:t>
            </w:r>
          </w:p>
        </w:tc>
        <w:tc>
          <w:tcPr>
            <w:tcW w:w="1571" w:type="dxa"/>
            <w:shd w:val="clear" w:color="auto" w:fill="auto"/>
            <w:vAlign w:val="bottom"/>
            <w:hideMark/>
          </w:tcPr>
          <w:p w14:paraId="76D875F6"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33443</w:t>
            </w:r>
          </w:p>
        </w:tc>
        <w:tc>
          <w:tcPr>
            <w:tcW w:w="1247" w:type="dxa"/>
            <w:shd w:val="clear" w:color="auto" w:fill="auto"/>
            <w:vAlign w:val="bottom"/>
            <w:hideMark/>
          </w:tcPr>
          <w:p w14:paraId="69324B03"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43%</w:t>
            </w:r>
          </w:p>
        </w:tc>
      </w:tr>
      <w:tr w:rsidR="00E04C6D" w:rsidRPr="00503F5B" w14:paraId="6D138200" w14:textId="77777777" w:rsidTr="00E04C6D">
        <w:trPr>
          <w:trHeight w:val="63"/>
        </w:trPr>
        <w:tc>
          <w:tcPr>
            <w:tcW w:w="1247" w:type="dxa"/>
            <w:shd w:val="clear" w:color="auto" w:fill="auto"/>
            <w:vAlign w:val="bottom"/>
            <w:hideMark/>
          </w:tcPr>
          <w:p w14:paraId="195C61CA" w14:textId="4AFF2D87" w:rsidR="00E04C6D" w:rsidRPr="00503F5B" w:rsidRDefault="00E04C6D" w:rsidP="00E04C6D">
            <w:pPr>
              <w:rPr>
                <w:rFonts w:eastAsia="Times New Roman" w:cs="Calibri"/>
                <w:sz w:val="20"/>
                <w:szCs w:val="20"/>
              </w:rPr>
            </w:pPr>
            <w:r w:rsidRPr="00503F5B">
              <w:rPr>
                <w:rFonts w:eastAsia="Times New Roman" w:cs="Calibri"/>
                <w:sz w:val="20"/>
                <w:szCs w:val="20"/>
              </w:rPr>
              <w:t>2010</w:t>
            </w:r>
            <w:r w:rsidR="00295FAE" w:rsidRPr="00503F5B">
              <w:rPr>
                <w:rFonts w:eastAsia="Times New Roman" w:cs="Calibri"/>
                <w:sz w:val="20"/>
                <w:szCs w:val="20"/>
              </w:rPr>
              <w:t>-</w:t>
            </w:r>
            <w:r w:rsidRPr="00503F5B">
              <w:rPr>
                <w:rFonts w:eastAsia="Times New Roman" w:cs="Calibri"/>
                <w:sz w:val="20"/>
                <w:szCs w:val="20"/>
              </w:rPr>
              <w:t>11</w:t>
            </w:r>
          </w:p>
        </w:tc>
        <w:tc>
          <w:tcPr>
            <w:tcW w:w="1431" w:type="dxa"/>
            <w:shd w:val="clear" w:color="auto" w:fill="auto"/>
            <w:vAlign w:val="bottom"/>
            <w:hideMark/>
          </w:tcPr>
          <w:p w14:paraId="08203351"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15976</w:t>
            </w:r>
          </w:p>
        </w:tc>
        <w:tc>
          <w:tcPr>
            <w:tcW w:w="1571" w:type="dxa"/>
            <w:shd w:val="clear" w:color="auto" w:fill="auto"/>
            <w:vAlign w:val="bottom"/>
            <w:hideMark/>
          </w:tcPr>
          <w:p w14:paraId="565D4EFD"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34428</w:t>
            </w:r>
          </w:p>
        </w:tc>
        <w:tc>
          <w:tcPr>
            <w:tcW w:w="1247" w:type="dxa"/>
            <w:shd w:val="clear" w:color="auto" w:fill="auto"/>
            <w:vAlign w:val="bottom"/>
            <w:hideMark/>
          </w:tcPr>
          <w:p w14:paraId="54AC3253"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46%</w:t>
            </w:r>
          </w:p>
        </w:tc>
      </w:tr>
      <w:tr w:rsidR="00E04C6D" w:rsidRPr="00503F5B" w14:paraId="5C300EDC" w14:textId="77777777" w:rsidTr="00E04C6D">
        <w:trPr>
          <w:trHeight w:val="63"/>
        </w:trPr>
        <w:tc>
          <w:tcPr>
            <w:tcW w:w="1247" w:type="dxa"/>
            <w:shd w:val="clear" w:color="auto" w:fill="auto"/>
            <w:vAlign w:val="bottom"/>
            <w:hideMark/>
          </w:tcPr>
          <w:p w14:paraId="206F30C3" w14:textId="3BD7A514" w:rsidR="00E04C6D" w:rsidRPr="00503F5B" w:rsidRDefault="00E04C6D" w:rsidP="00E04C6D">
            <w:pPr>
              <w:rPr>
                <w:rFonts w:eastAsia="Times New Roman" w:cs="Calibri"/>
                <w:sz w:val="20"/>
                <w:szCs w:val="20"/>
              </w:rPr>
            </w:pPr>
            <w:r w:rsidRPr="00503F5B">
              <w:rPr>
                <w:rFonts w:eastAsia="Times New Roman" w:cs="Calibri"/>
                <w:sz w:val="20"/>
                <w:szCs w:val="20"/>
              </w:rPr>
              <w:t>2011</w:t>
            </w:r>
            <w:r w:rsidR="00295FAE" w:rsidRPr="00503F5B">
              <w:rPr>
                <w:rFonts w:eastAsia="Times New Roman" w:cs="Calibri"/>
                <w:sz w:val="20"/>
                <w:szCs w:val="20"/>
              </w:rPr>
              <w:t>-</w:t>
            </w:r>
            <w:r w:rsidRPr="00503F5B">
              <w:rPr>
                <w:rFonts w:eastAsia="Times New Roman" w:cs="Calibri"/>
                <w:sz w:val="20"/>
                <w:szCs w:val="20"/>
              </w:rPr>
              <w:t>12</w:t>
            </w:r>
          </w:p>
        </w:tc>
        <w:tc>
          <w:tcPr>
            <w:tcW w:w="1431" w:type="dxa"/>
            <w:shd w:val="clear" w:color="auto" w:fill="auto"/>
            <w:vAlign w:val="bottom"/>
            <w:hideMark/>
          </w:tcPr>
          <w:p w14:paraId="64AE7EEE"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15506</w:t>
            </w:r>
          </w:p>
        </w:tc>
        <w:tc>
          <w:tcPr>
            <w:tcW w:w="1571" w:type="dxa"/>
            <w:shd w:val="clear" w:color="auto" w:fill="auto"/>
            <w:vAlign w:val="bottom"/>
            <w:hideMark/>
          </w:tcPr>
          <w:p w14:paraId="1548655A"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35139</w:t>
            </w:r>
          </w:p>
        </w:tc>
        <w:tc>
          <w:tcPr>
            <w:tcW w:w="1247" w:type="dxa"/>
            <w:shd w:val="clear" w:color="auto" w:fill="auto"/>
            <w:vAlign w:val="bottom"/>
            <w:hideMark/>
          </w:tcPr>
          <w:p w14:paraId="1564EEF6"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44%</w:t>
            </w:r>
          </w:p>
        </w:tc>
      </w:tr>
      <w:tr w:rsidR="00E04C6D" w:rsidRPr="00503F5B" w14:paraId="3C66E1F7" w14:textId="77777777" w:rsidTr="00E04C6D">
        <w:trPr>
          <w:trHeight w:val="63"/>
        </w:trPr>
        <w:tc>
          <w:tcPr>
            <w:tcW w:w="1247" w:type="dxa"/>
            <w:shd w:val="clear" w:color="auto" w:fill="auto"/>
            <w:vAlign w:val="bottom"/>
            <w:hideMark/>
          </w:tcPr>
          <w:p w14:paraId="3AB6F04E" w14:textId="181E68FB" w:rsidR="00E04C6D" w:rsidRPr="00503F5B" w:rsidRDefault="00E04C6D" w:rsidP="00E04C6D">
            <w:pPr>
              <w:rPr>
                <w:rFonts w:eastAsia="Times New Roman" w:cs="Calibri"/>
                <w:sz w:val="20"/>
                <w:szCs w:val="20"/>
              </w:rPr>
            </w:pPr>
            <w:r w:rsidRPr="00503F5B">
              <w:rPr>
                <w:rFonts w:eastAsia="Times New Roman" w:cs="Calibri"/>
                <w:sz w:val="20"/>
                <w:szCs w:val="20"/>
              </w:rPr>
              <w:t>2012</w:t>
            </w:r>
            <w:r w:rsidR="00295FAE" w:rsidRPr="00503F5B">
              <w:rPr>
                <w:rFonts w:eastAsia="Times New Roman" w:cs="Calibri"/>
                <w:sz w:val="20"/>
                <w:szCs w:val="20"/>
              </w:rPr>
              <w:t>-</w:t>
            </w:r>
            <w:r w:rsidRPr="00503F5B">
              <w:rPr>
                <w:rFonts w:eastAsia="Times New Roman" w:cs="Calibri"/>
                <w:sz w:val="20"/>
                <w:szCs w:val="20"/>
              </w:rPr>
              <w:t>13</w:t>
            </w:r>
          </w:p>
        </w:tc>
        <w:tc>
          <w:tcPr>
            <w:tcW w:w="1431" w:type="dxa"/>
            <w:shd w:val="clear" w:color="auto" w:fill="auto"/>
            <w:vAlign w:val="bottom"/>
            <w:hideMark/>
          </w:tcPr>
          <w:p w14:paraId="172DA6C5"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15259</w:t>
            </w:r>
          </w:p>
        </w:tc>
        <w:tc>
          <w:tcPr>
            <w:tcW w:w="1571" w:type="dxa"/>
            <w:shd w:val="clear" w:color="auto" w:fill="auto"/>
            <w:vAlign w:val="bottom"/>
            <w:hideMark/>
          </w:tcPr>
          <w:p w14:paraId="4D63A384"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36109</w:t>
            </w:r>
          </w:p>
        </w:tc>
        <w:tc>
          <w:tcPr>
            <w:tcW w:w="1247" w:type="dxa"/>
            <w:shd w:val="clear" w:color="auto" w:fill="auto"/>
            <w:vAlign w:val="bottom"/>
            <w:hideMark/>
          </w:tcPr>
          <w:p w14:paraId="0284D187"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42%</w:t>
            </w:r>
          </w:p>
        </w:tc>
      </w:tr>
      <w:tr w:rsidR="00E04C6D" w:rsidRPr="00503F5B" w14:paraId="120F8357" w14:textId="77777777" w:rsidTr="00E04C6D">
        <w:trPr>
          <w:trHeight w:val="63"/>
        </w:trPr>
        <w:tc>
          <w:tcPr>
            <w:tcW w:w="1247" w:type="dxa"/>
            <w:shd w:val="clear" w:color="auto" w:fill="auto"/>
            <w:vAlign w:val="bottom"/>
            <w:hideMark/>
          </w:tcPr>
          <w:p w14:paraId="51F783DE" w14:textId="70A9C968" w:rsidR="00E04C6D" w:rsidRPr="00503F5B" w:rsidRDefault="00E04C6D" w:rsidP="00E04C6D">
            <w:pPr>
              <w:rPr>
                <w:rFonts w:eastAsia="Times New Roman" w:cs="Calibri"/>
                <w:sz w:val="20"/>
                <w:szCs w:val="20"/>
              </w:rPr>
            </w:pPr>
            <w:r w:rsidRPr="00503F5B">
              <w:rPr>
                <w:rFonts w:eastAsia="Times New Roman" w:cs="Calibri"/>
                <w:sz w:val="20"/>
                <w:szCs w:val="20"/>
              </w:rPr>
              <w:t>2013</w:t>
            </w:r>
            <w:r w:rsidR="00295FAE" w:rsidRPr="00503F5B">
              <w:rPr>
                <w:rFonts w:eastAsia="Times New Roman" w:cs="Calibri"/>
                <w:sz w:val="20"/>
                <w:szCs w:val="20"/>
              </w:rPr>
              <w:t>-</w:t>
            </w:r>
            <w:r w:rsidRPr="00503F5B">
              <w:rPr>
                <w:rFonts w:eastAsia="Times New Roman" w:cs="Calibri"/>
                <w:sz w:val="20"/>
                <w:szCs w:val="20"/>
              </w:rPr>
              <w:t>14</w:t>
            </w:r>
          </w:p>
        </w:tc>
        <w:tc>
          <w:tcPr>
            <w:tcW w:w="1431" w:type="dxa"/>
            <w:shd w:val="clear" w:color="auto" w:fill="auto"/>
            <w:vAlign w:val="bottom"/>
            <w:hideMark/>
          </w:tcPr>
          <w:p w14:paraId="1F8AC2E7"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15437</w:t>
            </w:r>
          </w:p>
        </w:tc>
        <w:tc>
          <w:tcPr>
            <w:tcW w:w="1571" w:type="dxa"/>
            <w:shd w:val="clear" w:color="auto" w:fill="auto"/>
            <w:vAlign w:val="bottom"/>
            <w:hideMark/>
          </w:tcPr>
          <w:p w14:paraId="2963D6EF"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36747</w:t>
            </w:r>
          </w:p>
        </w:tc>
        <w:tc>
          <w:tcPr>
            <w:tcW w:w="1247" w:type="dxa"/>
            <w:shd w:val="clear" w:color="auto" w:fill="auto"/>
            <w:vAlign w:val="bottom"/>
            <w:hideMark/>
          </w:tcPr>
          <w:p w14:paraId="76395F72"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42%</w:t>
            </w:r>
          </w:p>
        </w:tc>
      </w:tr>
      <w:tr w:rsidR="00E04C6D" w:rsidRPr="00503F5B" w14:paraId="74FFB8FF" w14:textId="77777777" w:rsidTr="00E04C6D">
        <w:trPr>
          <w:trHeight w:val="63"/>
        </w:trPr>
        <w:tc>
          <w:tcPr>
            <w:tcW w:w="1247" w:type="dxa"/>
            <w:shd w:val="clear" w:color="auto" w:fill="auto"/>
            <w:vAlign w:val="bottom"/>
            <w:hideMark/>
          </w:tcPr>
          <w:p w14:paraId="782E5BDF" w14:textId="76725DCB" w:rsidR="00E04C6D" w:rsidRPr="00503F5B" w:rsidRDefault="00E04C6D" w:rsidP="00E04C6D">
            <w:pPr>
              <w:rPr>
                <w:rFonts w:eastAsia="Times New Roman" w:cs="Calibri"/>
                <w:sz w:val="20"/>
                <w:szCs w:val="20"/>
              </w:rPr>
            </w:pPr>
            <w:r w:rsidRPr="00503F5B">
              <w:rPr>
                <w:rFonts w:eastAsia="Times New Roman" w:cs="Calibri"/>
                <w:sz w:val="20"/>
                <w:szCs w:val="20"/>
              </w:rPr>
              <w:t>2014</w:t>
            </w:r>
            <w:r w:rsidR="00295FAE" w:rsidRPr="00503F5B">
              <w:rPr>
                <w:rFonts w:eastAsia="Times New Roman" w:cs="Calibri"/>
                <w:sz w:val="20"/>
                <w:szCs w:val="20"/>
              </w:rPr>
              <w:t>-</w:t>
            </w:r>
            <w:r w:rsidRPr="00503F5B">
              <w:rPr>
                <w:rFonts w:eastAsia="Times New Roman" w:cs="Calibri"/>
                <w:sz w:val="20"/>
                <w:szCs w:val="20"/>
              </w:rPr>
              <w:t>15</w:t>
            </w:r>
          </w:p>
        </w:tc>
        <w:tc>
          <w:tcPr>
            <w:tcW w:w="1431" w:type="dxa"/>
            <w:shd w:val="clear" w:color="auto" w:fill="auto"/>
            <w:vAlign w:val="bottom"/>
            <w:hideMark/>
          </w:tcPr>
          <w:p w14:paraId="25876DDA"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15685</w:t>
            </w:r>
          </w:p>
        </w:tc>
        <w:tc>
          <w:tcPr>
            <w:tcW w:w="1571" w:type="dxa"/>
            <w:shd w:val="clear" w:color="auto" w:fill="auto"/>
            <w:vAlign w:val="bottom"/>
            <w:hideMark/>
          </w:tcPr>
          <w:p w14:paraId="578E1724"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36923</w:t>
            </w:r>
          </w:p>
        </w:tc>
        <w:tc>
          <w:tcPr>
            <w:tcW w:w="1247" w:type="dxa"/>
            <w:shd w:val="clear" w:color="auto" w:fill="auto"/>
            <w:vAlign w:val="bottom"/>
            <w:hideMark/>
          </w:tcPr>
          <w:p w14:paraId="011A9CD8"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42%</w:t>
            </w:r>
          </w:p>
        </w:tc>
      </w:tr>
      <w:tr w:rsidR="00E04C6D" w:rsidRPr="00503F5B" w14:paraId="5BA38585" w14:textId="77777777" w:rsidTr="00E04C6D">
        <w:trPr>
          <w:trHeight w:val="63"/>
        </w:trPr>
        <w:tc>
          <w:tcPr>
            <w:tcW w:w="1247" w:type="dxa"/>
            <w:shd w:val="clear" w:color="auto" w:fill="auto"/>
            <w:vAlign w:val="bottom"/>
            <w:hideMark/>
          </w:tcPr>
          <w:p w14:paraId="11690720" w14:textId="3C810922" w:rsidR="00E04C6D" w:rsidRPr="00503F5B" w:rsidRDefault="00E04C6D" w:rsidP="00E04C6D">
            <w:pPr>
              <w:rPr>
                <w:rFonts w:eastAsia="Times New Roman" w:cs="Calibri"/>
                <w:sz w:val="20"/>
                <w:szCs w:val="20"/>
              </w:rPr>
            </w:pPr>
            <w:r w:rsidRPr="00503F5B">
              <w:rPr>
                <w:rFonts w:eastAsia="Times New Roman" w:cs="Calibri"/>
                <w:sz w:val="20"/>
                <w:szCs w:val="20"/>
              </w:rPr>
              <w:t>2015</w:t>
            </w:r>
            <w:r w:rsidR="00295FAE" w:rsidRPr="00503F5B">
              <w:rPr>
                <w:rFonts w:eastAsia="Times New Roman" w:cs="Calibri"/>
                <w:sz w:val="20"/>
                <w:szCs w:val="20"/>
              </w:rPr>
              <w:t>-</w:t>
            </w:r>
            <w:r w:rsidRPr="00503F5B">
              <w:rPr>
                <w:rFonts w:eastAsia="Times New Roman" w:cs="Calibri"/>
                <w:sz w:val="20"/>
                <w:szCs w:val="20"/>
              </w:rPr>
              <w:t>16</w:t>
            </w:r>
          </w:p>
        </w:tc>
        <w:tc>
          <w:tcPr>
            <w:tcW w:w="1431" w:type="dxa"/>
            <w:shd w:val="clear" w:color="auto" w:fill="auto"/>
            <w:vAlign w:val="bottom"/>
            <w:hideMark/>
          </w:tcPr>
          <w:p w14:paraId="054318A4"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16836</w:t>
            </w:r>
          </w:p>
        </w:tc>
        <w:tc>
          <w:tcPr>
            <w:tcW w:w="1571" w:type="dxa"/>
            <w:shd w:val="clear" w:color="auto" w:fill="auto"/>
            <w:vAlign w:val="bottom"/>
            <w:hideMark/>
          </w:tcPr>
          <w:p w14:paraId="7A150006" w14:textId="77777777" w:rsidR="00E04C6D" w:rsidRPr="00503F5B" w:rsidRDefault="00E04C6D" w:rsidP="00E04C6D">
            <w:pPr>
              <w:jc w:val="right"/>
              <w:rPr>
                <w:rFonts w:eastAsia="Times New Roman" w:cs="Calibri"/>
                <w:sz w:val="20"/>
                <w:szCs w:val="20"/>
              </w:rPr>
            </w:pPr>
            <w:r w:rsidRPr="00503F5B">
              <w:rPr>
                <w:rFonts w:eastAsia="Times New Roman" w:cs="Calibri"/>
                <w:sz w:val="20"/>
                <w:szCs w:val="20"/>
              </w:rPr>
              <w:t>37940</w:t>
            </w:r>
          </w:p>
        </w:tc>
        <w:tc>
          <w:tcPr>
            <w:tcW w:w="1247" w:type="dxa"/>
            <w:shd w:val="clear" w:color="auto" w:fill="auto"/>
            <w:vAlign w:val="bottom"/>
            <w:hideMark/>
          </w:tcPr>
          <w:p w14:paraId="12AEEC14" w14:textId="77777777" w:rsidR="00E04C6D" w:rsidRPr="00503F5B" w:rsidRDefault="00E04C6D" w:rsidP="00E04C6D">
            <w:pPr>
              <w:jc w:val="center"/>
              <w:rPr>
                <w:rFonts w:eastAsia="Times New Roman" w:cs="Calibri"/>
                <w:sz w:val="20"/>
                <w:szCs w:val="20"/>
              </w:rPr>
            </w:pPr>
            <w:r w:rsidRPr="00503F5B">
              <w:rPr>
                <w:rFonts w:eastAsia="Times New Roman" w:cs="Calibri"/>
                <w:sz w:val="20"/>
                <w:szCs w:val="20"/>
              </w:rPr>
              <w:t>44%</w:t>
            </w:r>
          </w:p>
        </w:tc>
      </w:tr>
      <w:tr w:rsidR="00E04C6D" w:rsidRPr="00503F5B" w14:paraId="35907676" w14:textId="77777777" w:rsidTr="00E04C6D">
        <w:trPr>
          <w:trHeight w:val="63"/>
        </w:trPr>
        <w:tc>
          <w:tcPr>
            <w:tcW w:w="1247" w:type="dxa"/>
            <w:shd w:val="clear" w:color="auto" w:fill="auto"/>
            <w:vAlign w:val="center"/>
          </w:tcPr>
          <w:p w14:paraId="2B461962" w14:textId="1443DDF4" w:rsidR="00E04C6D" w:rsidRPr="00503F5B" w:rsidRDefault="00E04C6D" w:rsidP="00E04C6D">
            <w:pPr>
              <w:rPr>
                <w:rFonts w:eastAsia="Times New Roman" w:cs="Calibri"/>
                <w:sz w:val="20"/>
                <w:szCs w:val="20"/>
              </w:rPr>
            </w:pPr>
            <w:r w:rsidRPr="00503F5B">
              <w:rPr>
                <w:rFonts w:cs="Calibri"/>
                <w:sz w:val="20"/>
                <w:szCs w:val="20"/>
              </w:rPr>
              <w:t>2016</w:t>
            </w:r>
            <w:r w:rsidR="00295FAE" w:rsidRPr="00503F5B">
              <w:rPr>
                <w:rFonts w:cs="Calibri"/>
                <w:sz w:val="20"/>
                <w:szCs w:val="20"/>
              </w:rPr>
              <w:t>-</w:t>
            </w:r>
            <w:r w:rsidRPr="00503F5B">
              <w:rPr>
                <w:rFonts w:cs="Calibri"/>
                <w:sz w:val="20"/>
                <w:szCs w:val="20"/>
              </w:rPr>
              <w:t>17</w:t>
            </w:r>
          </w:p>
        </w:tc>
        <w:tc>
          <w:tcPr>
            <w:tcW w:w="1431" w:type="dxa"/>
            <w:shd w:val="clear" w:color="auto" w:fill="auto"/>
            <w:vAlign w:val="center"/>
          </w:tcPr>
          <w:p w14:paraId="3B4884D1" w14:textId="77777777" w:rsidR="00E04C6D" w:rsidRPr="00503F5B" w:rsidRDefault="00E04C6D" w:rsidP="00E04C6D">
            <w:pPr>
              <w:jc w:val="right"/>
              <w:rPr>
                <w:rFonts w:eastAsia="Times New Roman" w:cs="Calibri"/>
                <w:sz w:val="20"/>
                <w:szCs w:val="20"/>
              </w:rPr>
            </w:pPr>
            <w:r w:rsidRPr="00503F5B">
              <w:rPr>
                <w:rFonts w:cs="Calibri"/>
                <w:sz w:val="20"/>
                <w:szCs w:val="20"/>
              </w:rPr>
              <w:t>18372</w:t>
            </w:r>
          </w:p>
        </w:tc>
        <w:tc>
          <w:tcPr>
            <w:tcW w:w="1571" w:type="dxa"/>
            <w:shd w:val="clear" w:color="auto" w:fill="auto"/>
            <w:vAlign w:val="center"/>
          </w:tcPr>
          <w:p w14:paraId="681C12F3" w14:textId="77777777" w:rsidR="00E04C6D" w:rsidRPr="00503F5B" w:rsidRDefault="00E04C6D" w:rsidP="00E04C6D">
            <w:pPr>
              <w:jc w:val="right"/>
              <w:rPr>
                <w:rFonts w:eastAsia="Times New Roman" w:cs="Calibri"/>
                <w:sz w:val="20"/>
                <w:szCs w:val="20"/>
              </w:rPr>
            </w:pPr>
            <w:r w:rsidRPr="00503F5B">
              <w:rPr>
                <w:rFonts w:cs="Calibri"/>
                <w:sz w:val="20"/>
                <w:szCs w:val="20"/>
              </w:rPr>
              <w:t>38956</w:t>
            </w:r>
          </w:p>
        </w:tc>
        <w:tc>
          <w:tcPr>
            <w:tcW w:w="1247" w:type="dxa"/>
            <w:shd w:val="clear" w:color="auto" w:fill="auto"/>
            <w:vAlign w:val="center"/>
          </w:tcPr>
          <w:p w14:paraId="180FE9FE" w14:textId="77777777" w:rsidR="00E04C6D" w:rsidRPr="00503F5B" w:rsidRDefault="00E04C6D" w:rsidP="00E04C6D">
            <w:pPr>
              <w:jc w:val="center"/>
              <w:rPr>
                <w:rFonts w:eastAsia="Times New Roman" w:cs="Calibri"/>
                <w:sz w:val="20"/>
                <w:szCs w:val="20"/>
              </w:rPr>
            </w:pPr>
            <w:r w:rsidRPr="00503F5B">
              <w:rPr>
                <w:rFonts w:cs="Calibri"/>
                <w:sz w:val="20"/>
                <w:szCs w:val="20"/>
              </w:rPr>
              <w:t>47%</w:t>
            </w:r>
          </w:p>
        </w:tc>
      </w:tr>
      <w:tr w:rsidR="00E04C6D" w:rsidRPr="00503F5B" w14:paraId="38063AEE" w14:textId="77777777" w:rsidTr="00E04C6D">
        <w:trPr>
          <w:trHeight w:val="63"/>
        </w:trPr>
        <w:tc>
          <w:tcPr>
            <w:tcW w:w="1247" w:type="dxa"/>
            <w:shd w:val="clear" w:color="auto" w:fill="auto"/>
            <w:vAlign w:val="center"/>
          </w:tcPr>
          <w:p w14:paraId="021D67C2" w14:textId="335DDF9D" w:rsidR="00E04C6D" w:rsidRPr="00503F5B" w:rsidRDefault="00E04C6D" w:rsidP="00E04C6D">
            <w:pPr>
              <w:rPr>
                <w:rFonts w:eastAsia="Times New Roman" w:cs="Calibri"/>
                <w:sz w:val="20"/>
                <w:szCs w:val="20"/>
              </w:rPr>
            </w:pPr>
            <w:r w:rsidRPr="00503F5B">
              <w:rPr>
                <w:rFonts w:cs="Calibri"/>
                <w:sz w:val="20"/>
                <w:szCs w:val="20"/>
              </w:rPr>
              <w:t>2017</w:t>
            </w:r>
            <w:r w:rsidR="00295FAE" w:rsidRPr="00503F5B">
              <w:rPr>
                <w:rFonts w:cs="Calibri"/>
                <w:sz w:val="20"/>
                <w:szCs w:val="20"/>
              </w:rPr>
              <w:t>-</w:t>
            </w:r>
            <w:r w:rsidRPr="00503F5B">
              <w:rPr>
                <w:rFonts w:cs="Calibri"/>
                <w:sz w:val="20"/>
                <w:szCs w:val="20"/>
              </w:rPr>
              <w:t>18</w:t>
            </w:r>
          </w:p>
        </w:tc>
        <w:tc>
          <w:tcPr>
            <w:tcW w:w="1431" w:type="dxa"/>
            <w:shd w:val="clear" w:color="auto" w:fill="auto"/>
            <w:vAlign w:val="center"/>
          </w:tcPr>
          <w:p w14:paraId="3D223D9E" w14:textId="77777777" w:rsidR="00E04C6D" w:rsidRPr="00503F5B" w:rsidRDefault="00E04C6D" w:rsidP="00E04C6D">
            <w:pPr>
              <w:jc w:val="right"/>
              <w:rPr>
                <w:rFonts w:eastAsia="Times New Roman" w:cs="Calibri"/>
                <w:sz w:val="20"/>
                <w:szCs w:val="20"/>
              </w:rPr>
            </w:pPr>
            <w:r w:rsidRPr="00503F5B">
              <w:rPr>
                <w:rFonts w:cs="Calibri"/>
                <w:sz w:val="20"/>
                <w:szCs w:val="20"/>
              </w:rPr>
              <w:t>17408</w:t>
            </w:r>
          </w:p>
        </w:tc>
        <w:tc>
          <w:tcPr>
            <w:tcW w:w="1571" w:type="dxa"/>
            <w:shd w:val="clear" w:color="auto" w:fill="auto"/>
            <w:vAlign w:val="center"/>
          </w:tcPr>
          <w:p w14:paraId="65A29C75" w14:textId="77777777" w:rsidR="00E04C6D" w:rsidRPr="00503F5B" w:rsidRDefault="00E04C6D" w:rsidP="00E04C6D">
            <w:pPr>
              <w:jc w:val="right"/>
              <w:rPr>
                <w:rFonts w:eastAsia="Times New Roman" w:cs="Calibri"/>
                <w:sz w:val="20"/>
                <w:szCs w:val="20"/>
              </w:rPr>
            </w:pPr>
            <w:r w:rsidRPr="00503F5B">
              <w:rPr>
                <w:rFonts w:cs="Calibri"/>
                <w:sz w:val="20"/>
                <w:szCs w:val="20"/>
              </w:rPr>
              <w:t>39436</w:t>
            </w:r>
          </w:p>
        </w:tc>
        <w:tc>
          <w:tcPr>
            <w:tcW w:w="1247" w:type="dxa"/>
            <w:shd w:val="clear" w:color="auto" w:fill="auto"/>
            <w:vAlign w:val="center"/>
          </w:tcPr>
          <w:p w14:paraId="2A591EFB" w14:textId="77777777" w:rsidR="00E04C6D" w:rsidRPr="00503F5B" w:rsidRDefault="00E04C6D" w:rsidP="00E04C6D">
            <w:pPr>
              <w:jc w:val="center"/>
              <w:rPr>
                <w:rFonts w:eastAsia="Times New Roman" w:cs="Calibri"/>
                <w:sz w:val="20"/>
                <w:szCs w:val="20"/>
              </w:rPr>
            </w:pPr>
            <w:r w:rsidRPr="00503F5B">
              <w:rPr>
                <w:rFonts w:cs="Calibri"/>
                <w:sz w:val="20"/>
                <w:szCs w:val="20"/>
              </w:rPr>
              <w:t>44%</w:t>
            </w:r>
          </w:p>
        </w:tc>
      </w:tr>
      <w:tr w:rsidR="00E04C6D" w:rsidRPr="00503F5B" w14:paraId="79E39120" w14:textId="77777777" w:rsidTr="00E04C6D">
        <w:trPr>
          <w:trHeight w:val="63"/>
        </w:trPr>
        <w:tc>
          <w:tcPr>
            <w:tcW w:w="1247" w:type="dxa"/>
            <w:tcBorders>
              <w:bottom w:val="single" w:sz="4" w:space="0" w:color="ED7C5D"/>
            </w:tcBorders>
            <w:shd w:val="clear" w:color="auto" w:fill="auto"/>
            <w:vAlign w:val="center"/>
          </w:tcPr>
          <w:p w14:paraId="620F9BB1" w14:textId="5F5B8CCC" w:rsidR="00E04C6D" w:rsidRPr="00503F5B" w:rsidRDefault="00E04C6D" w:rsidP="00E04C6D">
            <w:pPr>
              <w:rPr>
                <w:rFonts w:eastAsia="Times New Roman" w:cs="Calibri"/>
                <w:sz w:val="20"/>
                <w:szCs w:val="20"/>
              </w:rPr>
            </w:pPr>
            <w:r w:rsidRPr="00503F5B">
              <w:rPr>
                <w:rFonts w:cs="Calibri"/>
                <w:sz w:val="20"/>
                <w:szCs w:val="20"/>
              </w:rPr>
              <w:t>2018</w:t>
            </w:r>
            <w:r w:rsidR="00295FAE" w:rsidRPr="00503F5B">
              <w:rPr>
                <w:rFonts w:cs="Calibri"/>
                <w:sz w:val="20"/>
                <w:szCs w:val="20"/>
              </w:rPr>
              <w:t>-</w:t>
            </w:r>
            <w:r w:rsidRPr="00503F5B">
              <w:rPr>
                <w:rFonts w:cs="Calibri"/>
                <w:sz w:val="20"/>
                <w:szCs w:val="20"/>
              </w:rPr>
              <w:t>19</w:t>
            </w:r>
          </w:p>
        </w:tc>
        <w:tc>
          <w:tcPr>
            <w:tcW w:w="1431" w:type="dxa"/>
            <w:tcBorders>
              <w:bottom w:val="single" w:sz="4" w:space="0" w:color="ED7C5D"/>
            </w:tcBorders>
            <w:shd w:val="clear" w:color="auto" w:fill="auto"/>
            <w:vAlign w:val="center"/>
          </w:tcPr>
          <w:p w14:paraId="0BD4D056" w14:textId="77777777" w:rsidR="00E04C6D" w:rsidRPr="00503F5B" w:rsidRDefault="00E04C6D" w:rsidP="00E04C6D">
            <w:pPr>
              <w:jc w:val="right"/>
              <w:rPr>
                <w:rFonts w:eastAsia="Times New Roman" w:cs="Calibri"/>
                <w:sz w:val="20"/>
                <w:szCs w:val="20"/>
              </w:rPr>
            </w:pPr>
            <w:r w:rsidRPr="00503F5B">
              <w:rPr>
                <w:rFonts w:cs="Calibri"/>
                <w:sz w:val="20"/>
                <w:szCs w:val="20"/>
              </w:rPr>
              <w:t>16283</w:t>
            </w:r>
          </w:p>
        </w:tc>
        <w:tc>
          <w:tcPr>
            <w:tcW w:w="1571" w:type="dxa"/>
            <w:tcBorders>
              <w:bottom w:val="single" w:sz="4" w:space="0" w:color="ED7C5D"/>
            </w:tcBorders>
            <w:shd w:val="clear" w:color="auto" w:fill="auto"/>
            <w:vAlign w:val="center"/>
          </w:tcPr>
          <w:p w14:paraId="7E493075" w14:textId="77777777" w:rsidR="00E04C6D" w:rsidRPr="00503F5B" w:rsidRDefault="00E04C6D" w:rsidP="00E04C6D">
            <w:pPr>
              <w:jc w:val="right"/>
              <w:rPr>
                <w:rFonts w:eastAsia="Times New Roman" w:cs="Calibri"/>
                <w:sz w:val="20"/>
                <w:szCs w:val="20"/>
              </w:rPr>
            </w:pPr>
            <w:r w:rsidRPr="00503F5B">
              <w:rPr>
                <w:rFonts w:cs="Calibri"/>
                <w:sz w:val="20"/>
                <w:szCs w:val="20"/>
              </w:rPr>
              <w:t>37783</w:t>
            </w:r>
          </w:p>
        </w:tc>
        <w:tc>
          <w:tcPr>
            <w:tcW w:w="1247" w:type="dxa"/>
            <w:tcBorders>
              <w:bottom w:val="single" w:sz="4" w:space="0" w:color="ED7C5D"/>
            </w:tcBorders>
            <w:shd w:val="clear" w:color="auto" w:fill="auto"/>
            <w:vAlign w:val="center"/>
          </w:tcPr>
          <w:p w14:paraId="58D4E1B4" w14:textId="77777777" w:rsidR="00E04C6D" w:rsidRPr="00503F5B" w:rsidRDefault="00E04C6D" w:rsidP="00E04C6D">
            <w:pPr>
              <w:jc w:val="center"/>
              <w:rPr>
                <w:rFonts w:eastAsia="Times New Roman" w:cs="Calibri"/>
                <w:sz w:val="20"/>
                <w:szCs w:val="20"/>
              </w:rPr>
            </w:pPr>
            <w:r w:rsidRPr="00503F5B">
              <w:rPr>
                <w:rFonts w:cs="Calibri"/>
                <w:sz w:val="20"/>
                <w:szCs w:val="20"/>
              </w:rPr>
              <w:t>43%</w:t>
            </w:r>
          </w:p>
        </w:tc>
      </w:tr>
    </w:tbl>
    <w:p w14:paraId="2A43778E" w14:textId="77777777" w:rsidR="00E04C6D" w:rsidRPr="00503F5B" w:rsidRDefault="00E04C6D" w:rsidP="00E04C6D"/>
    <w:p w14:paraId="794E5108" w14:textId="65B683E9" w:rsidR="00E04C6D" w:rsidRPr="00503F5B" w:rsidRDefault="00E04C6D" w:rsidP="00E04C6D">
      <w:r w:rsidRPr="00503F5B">
        <w:t xml:space="preserve">Table A6.2 shows the proportion of false alarm calls </w:t>
      </w:r>
      <w:r w:rsidR="00F80C4C" w:rsidRPr="00503F5B">
        <w:t xml:space="preserve">at protected premises </w:t>
      </w:r>
      <w:r w:rsidRPr="00503F5B">
        <w:t>to all calls for CFA integrated stations between 2015-16 and 2018-19.</w:t>
      </w:r>
    </w:p>
    <w:p w14:paraId="4C87A6ED" w14:textId="77777777" w:rsidR="00E04C6D" w:rsidRPr="00503F5B" w:rsidRDefault="00E04C6D" w:rsidP="00E04C6D">
      <w:r w:rsidRPr="00503F5B">
        <w:br w:type="page"/>
      </w:r>
    </w:p>
    <w:p w14:paraId="0B1BB83A" w14:textId="6E42673A" w:rsidR="00E04C6D" w:rsidRPr="00503F5B" w:rsidRDefault="00E04C6D" w:rsidP="00E04C6D">
      <w:pPr>
        <w:jc w:val="center"/>
        <w:rPr>
          <w:b/>
        </w:rPr>
      </w:pPr>
      <w:r w:rsidRPr="00503F5B">
        <w:rPr>
          <w:b/>
        </w:rPr>
        <w:lastRenderedPageBreak/>
        <w:t xml:space="preserve">Table A6.2: False alarm calls </w:t>
      </w:r>
      <w:r w:rsidR="00CC0709" w:rsidRPr="00503F5B">
        <w:rPr>
          <w:b/>
        </w:rPr>
        <w:t xml:space="preserve">at protected premises </w:t>
      </w:r>
      <w:r w:rsidRPr="00503F5B">
        <w:rPr>
          <w:b/>
        </w:rPr>
        <w:t>and all calls to CFA integrated stations 2015-16 to 2018-19</w:t>
      </w:r>
      <w:r w:rsidRPr="00503F5B">
        <w:rPr>
          <w:rStyle w:val="FootnoteReference"/>
          <w:b/>
        </w:rPr>
        <w:footnoteReference w:id="229"/>
      </w:r>
    </w:p>
    <w:p w14:paraId="417752A6" w14:textId="77777777" w:rsidR="00E04C6D" w:rsidRPr="00503F5B" w:rsidRDefault="00E04C6D" w:rsidP="00E04C6D"/>
    <w:tbl>
      <w:tblPr>
        <w:tblW w:w="5496" w:type="dxa"/>
        <w:jc w:val="center"/>
        <w:tblLook w:val="04A0" w:firstRow="1" w:lastRow="0" w:firstColumn="1" w:lastColumn="0" w:noHBand="0" w:noVBand="1"/>
      </w:tblPr>
      <w:tblGrid>
        <w:gridCol w:w="1247"/>
        <w:gridCol w:w="1431"/>
        <w:gridCol w:w="1571"/>
        <w:gridCol w:w="1247"/>
      </w:tblGrid>
      <w:tr w:rsidR="00E04C6D" w:rsidRPr="00503F5B" w14:paraId="2A34EC04" w14:textId="77777777" w:rsidTr="000F0DCC">
        <w:trPr>
          <w:trHeight w:val="328"/>
          <w:jc w:val="center"/>
        </w:trPr>
        <w:tc>
          <w:tcPr>
            <w:tcW w:w="1247" w:type="dxa"/>
            <w:tcBorders>
              <w:top w:val="single" w:sz="4" w:space="0" w:color="ED7C5D"/>
              <w:bottom w:val="double" w:sz="4" w:space="0" w:color="ED7C5D"/>
            </w:tcBorders>
            <w:shd w:val="clear" w:color="auto" w:fill="auto"/>
            <w:noWrap/>
            <w:hideMark/>
          </w:tcPr>
          <w:p w14:paraId="19AA9262" w14:textId="476A1D47" w:rsidR="00E04C6D" w:rsidRPr="00503F5B" w:rsidRDefault="000F0DCC" w:rsidP="000F0DCC">
            <w:pPr>
              <w:rPr>
                <w:rFonts w:eastAsia="Times New Roman" w:cs="Calibri"/>
                <w:b/>
                <w:color w:val="BE2A18"/>
                <w:sz w:val="20"/>
                <w:szCs w:val="20"/>
              </w:rPr>
            </w:pPr>
            <w:r w:rsidRPr="00503F5B">
              <w:rPr>
                <w:rFonts w:eastAsia="Times New Roman" w:cs="Calibri"/>
                <w:b/>
                <w:color w:val="BE2A18"/>
                <w:sz w:val="20"/>
                <w:szCs w:val="20"/>
              </w:rPr>
              <w:t>Yea</w:t>
            </w:r>
            <w:r w:rsidR="00E04C6D" w:rsidRPr="00503F5B">
              <w:rPr>
                <w:rFonts w:eastAsia="Times New Roman" w:cs="Calibri"/>
                <w:b/>
                <w:color w:val="BE2A18"/>
                <w:sz w:val="20"/>
                <w:szCs w:val="20"/>
              </w:rPr>
              <w:t>r</w:t>
            </w:r>
          </w:p>
        </w:tc>
        <w:tc>
          <w:tcPr>
            <w:tcW w:w="1431" w:type="dxa"/>
            <w:tcBorders>
              <w:top w:val="single" w:sz="4" w:space="0" w:color="ED7C5D"/>
              <w:bottom w:val="double" w:sz="4" w:space="0" w:color="ED7C5D"/>
            </w:tcBorders>
            <w:shd w:val="clear" w:color="auto" w:fill="auto"/>
            <w:noWrap/>
            <w:hideMark/>
          </w:tcPr>
          <w:p w14:paraId="3FBE788B" w14:textId="77777777" w:rsidR="00E04C6D" w:rsidRPr="00503F5B" w:rsidRDefault="00E04C6D" w:rsidP="000F0DCC">
            <w:pPr>
              <w:jc w:val="right"/>
              <w:rPr>
                <w:rFonts w:eastAsia="Times New Roman" w:cs="Calibri"/>
                <w:b/>
                <w:color w:val="BE2A18"/>
                <w:sz w:val="20"/>
                <w:szCs w:val="20"/>
              </w:rPr>
            </w:pPr>
            <w:r w:rsidRPr="00503F5B">
              <w:rPr>
                <w:rFonts w:eastAsia="Times New Roman" w:cs="Calibri"/>
                <w:b/>
                <w:color w:val="BE2A18"/>
                <w:sz w:val="20"/>
                <w:szCs w:val="20"/>
              </w:rPr>
              <w:t>No. False alarm Calls</w:t>
            </w:r>
          </w:p>
        </w:tc>
        <w:tc>
          <w:tcPr>
            <w:tcW w:w="1571" w:type="dxa"/>
            <w:tcBorders>
              <w:top w:val="single" w:sz="4" w:space="0" w:color="ED7C5D"/>
              <w:bottom w:val="double" w:sz="4" w:space="0" w:color="ED7C5D"/>
            </w:tcBorders>
            <w:shd w:val="clear" w:color="auto" w:fill="auto"/>
            <w:noWrap/>
            <w:hideMark/>
          </w:tcPr>
          <w:p w14:paraId="09233627" w14:textId="77777777" w:rsidR="00E04C6D" w:rsidRPr="00503F5B" w:rsidRDefault="00E04C6D" w:rsidP="000F0DCC">
            <w:pPr>
              <w:jc w:val="right"/>
              <w:rPr>
                <w:rFonts w:eastAsia="Times New Roman" w:cs="Calibri"/>
                <w:b/>
                <w:color w:val="BE2A18"/>
                <w:sz w:val="20"/>
                <w:szCs w:val="20"/>
              </w:rPr>
            </w:pPr>
            <w:r w:rsidRPr="00503F5B">
              <w:rPr>
                <w:rFonts w:eastAsia="Times New Roman" w:cs="Calibri"/>
                <w:b/>
                <w:color w:val="BE2A18"/>
                <w:sz w:val="20"/>
                <w:szCs w:val="20"/>
              </w:rPr>
              <w:t>No. Calls (All)</w:t>
            </w:r>
          </w:p>
        </w:tc>
        <w:tc>
          <w:tcPr>
            <w:tcW w:w="1247" w:type="dxa"/>
            <w:tcBorders>
              <w:top w:val="single" w:sz="4" w:space="0" w:color="ED7C5D"/>
              <w:bottom w:val="double" w:sz="4" w:space="0" w:color="ED7C5D"/>
            </w:tcBorders>
            <w:shd w:val="clear" w:color="auto" w:fill="auto"/>
            <w:noWrap/>
            <w:hideMark/>
          </w:tcPr>
          <w:p w14:paraId="26E13EDA" w14:textId="77777777" w:rsidR="00E04C6D" w:rsidRPr="00503F5B" w:rsidRDefault="00E04C6D" w:rsidP="000F0DCC">
            <w:pPr>
              <w:jc w:val="right"/>
              <w:rPr>
                <w:rFonts w:eastAsia="Times New Roman" w:cs="Calibri"/>
                <w:b/>
                <w:color w:val="BE2A18"/>
                <w:sz w:val="20"/>
                <w:szCs w:val="20"/>
              </w:rPr>
            </w:pPr>
            <w:r w:rsidRPr="00503F5B">
              <w:rPr>
                <w:rFonts w:eastAsia="Times New Roman" w:cs="Calibri"/>
                <w:b/>
                <w:color w:val="BE2A18"/>
                <w:sz w:val="20"/>
                <w:szCs w:val="20"/>
              </w:rPr>
              <w:t>% False alarm calls to All calls</w:t>
            </w:r>
          </w:p>
        </w:tc>
      </w:tr>
      <w:tr w:rsidR="00E04C6D" w:rsidRPr="00503F5B" w14:paraId="184F9513" w14:textId="77777777" w:rsidTr="000F0DCC">
        <w:trPr>
          <w:trHeight w:val="63"/>
          <w:jc w:val="center"/>
        </w:trPr>
        <w:tc>
          <w:tcPr>
            <w:tcW w:w="1247" w:type="dxa"/>
            <w:shd w:val="clear" w:color="auto" w:fill="auto"/>
            <w:hideMark/>
          </w:tcPr>
          <w:p w14:paraId="4B4F1F7B" w14:textId="7E56AB1A" w:rsidR="00E04C6D" w:rsidRPr="00503F5B" w:rsidRDefault="00E04C6D" w:rsidP="000F0DCC">
            <w:pPr>
              <w:rPr>
                <w:rFonts w:eastAsia="Times New Roman" w:cs="Calibri"/>
                <w:sz w:val="20"/>
                <w:szCs w:val="20"/>
              </w:rPr>
            </w:pPr>
            <w:r w:rsidRPr="00503F5B">
              <w:rPr>
                <w:rFonts w:eastAsia="Times New Roman" w:cs="Calibri"/>
                <w:sz w:val="20"/>
                <w:szCs w:val="20"/>
              </w:rPr>
              <w:t>2015</w:t>
            </w:r>
            <w:r w:rsidR="000F0DCC" w:rsidRPr="00503F5B">
              <w:rPr>
                <w:rFonts w:eastAsia="Times New Roman" w:cs="Calibri"/>
                <w:sz w:val="20"/>
                <w:szCs w:val="20"/>
              </w:rPr>
              <w:t>-</w:t>
            </w:r>
            <w:r w:rsidRPr="00503F5B">
              <w:rPr>
                <w:rFonts w:eastAsia="Times New Roman" w:cs="Calibri"/>
                <w:sz w:val="20"/>
                <w:szCs w:val="20"/>
              </w:rPr>
              <w:t>16</w:t>
            </w:r>
          </w:p>
        </w:tc>
        <w:tc>
          <w:tcPr>
            <w:tcW w:w="1431" w:type="dxa"/>
            <w:shd w:val="clear" w:color="auto" w:fill="auto"/>
            <w:hideMark/>
          </w:tcPr>
          <w:p w14:paraId="35779D35" w14:textId="77777777" w:rsidR="00E04C6D" w:rsidRPr="00503F5B" w:rsidRDefault="00E04C6D" w:rsidP="000F0DCC">
            <w:pPr>
              <w:jc w:val="right"/>
              <w:rPr>
                <w:rFonts w:eastAsia="Times New Roman" w:cs="Calibri"/>
                <w:sz w:val="20"/>
                <w:szCs w:val="20"/>
              </w:rPr>
            </w:pPr>
            <w:r w:rsidRPr="00503F5B">
              <w:rPr>
                <w:rFonts w:cs="Calibri"/>
                <w:sz w:val="20"/>
                <w:szCs w:val="20"/>
              </w:rPr>
              <w:t>2113</w:t>
            </w:r>
          </w:p>
        </w:tc>
        <w:tc>
          <w:tcPr>
            <w:tcW w:w="1571" w:type="dxa"/>
            <w:shd w:val="clear" w:color="auto" w:fill="auto"/>
            <w:hideMark/>
          </w:tcPr>
          <w:p w14:paraId="48D6C6D5" w14:textId="77777777" w:rsidR="00E04C6D" w:rsidRPr="00503F5B" w:rsidRDefault="00E04C6D" w:rsidP="000F0DCC">
            <w:pPr>
              <w:jc w:val="right"/>
              <w:rPr>
                <w:rFonts w:eastAsia="Times New Roman" w:cs="Calibri"/>
                <w:sz w:val="20"/>
                <w:szCs w:val="20"/>
              </w:rPr>
            </w:pPr>
            <w:r w:rsidRPr="00503F5B">
              <w:rPr>
                <w:rFonts w:cs="Calibri"/>
                <w:sz w:val="20"/>
                <w:szCs w:val="20"/>
              </w:rPr>
              <w:t>18569</w:t>
            </w:r>
          </w:p>
        </w:tc>
        <w:tc>
          <w:tcPr>
            <w:tcW w:w="1247" w:type="dxa"/>
            <w:shd w:val="clear" w:color="auto" w:fill="auto"/>
            <w:hideMark/>
          </w:tcPr>
          <w:p w14:paraId="7296A547" w14:textId="77777777" w:rsidR="00E04C6D" w:rsidRPr="00503F5B" w:rsidRDefault="00E04C6D" w:rsidP="000F0DCC">
            <w:pPr>
              <w:jc w:val="right"/>
              <w:rPr>
                <w:rFonts w:eastAsia="Times New Roman" w:cs="Calibri"/>
                <w:sz w:val="20"/>
                <w:szCs w:val="20"/>
              </w:rPr>
            </w:pPr>
            <w:r w:rsidRPr="00503F5B">
              <w:rPr>
                <w:rFonts w:cs="Calibri"/>
                <w:sz w:val="20"/>
                <w:szCs w:val="20"/>
              </w:rPr>
              <w:t>11%</w:t>
            </w:r>
          </w:p>
        </w:tc>
      </w:tr>
      <w:tr w:rsidR="00E04C6D" w:rsidRPr="00503F5B" w14:paraId="1D2C6BFD" w14:textId="77777777" w:rsidTr="000F0DCC">
        <w:trPr>
          <w:trHeight w:val="63"/>
          <w:jc w:val="center"/>
        </w:trPr>
        <w:tc>
          <w:tcPr>
            <w:tcW w:w="1247" w:type="dxa"/>
            <w:shd w:val="clear" w:color="auto" w:fill="auto"/>
          </w:tcPr>
          <w:p w14:paraId="4016AC2E" w14:textId="36CE57D4" w:rsidR="00E04C6D" w:rsidRPr="00503F5B" w:rsidRDefault="00E04C6D" w:rsidP="000F0DCC">
            <w:pPr>
              <w:rPr>
                <w:rFonts w:eastAsia="Times New Roman" w:cs="Calibri"/>
                <w:sz w:val="20"/>
                <w:szCs w:val="20"/>
              </w:rPr>
            </w:pPr>
            <w:r w:rsidRPr="00503F5B">
              <w:rPr>
                <w:rFonts w:cs="Calibri"/>
                <w:sz w:val="20"/>
                <w:szCs w:val="20"/>
              </w:rPr>
              <w:t>2016</w:t>
            </w:r>
            <w:r w:rsidR="000F0DCC" w:rsidRPr="00503F5B">
              <w:rPr>
                <w:rFonts w:cs="Calibri"/>
                <w:sz w:val="20"/>
                <w:szCs w:val="20"/>
              </w:rPr>
              <w:t>-</w:t>
            </w:r>
            <w:r w:rsidRPr="00503F5B">
              <w:rPr>
                <w:rFonts w:cs="Calibri"/>
                <w:sz w:val="20"/>
                <w:szCs w:val="20"/>
              </w:rPr>
              <w:t>17</w:t>
            </w:r>
          </w:p>
        </w:tc>
        <w:tc>
          <w:tcPr>
            <w:tcW w:w="1431" w:type="dxa"/>
            <w:shd w:val="clear" w:color="auto" w:fill="auto"/>
          </w:tcPr>
          <w:p w14:paraId="40D835FB" w14:textId="77777777" w:rsidR="00E04C6D" w:rsidRPr="00503F5B" w:rsidRDefault="00E04C6D" w:rsidP="000F0DCC">
            <w:pPr>
              <w:jc w:val="right"/>
              <w:rPr>
                <w:rFonts w:eastAsia="Times New Roman" w:cs="Calibri"/>
                <w:sz w:val="20"/>
                <w:szCs w:val="20"/>
              </w:rPr>
            </w:pPr>
            <w:r w:rsidRPr="00503F5B">
              <w:rPr>
                <w:rFonts w:cs="Calibri"/>
                <w:sz w:val="20"/>
                <w:szCs w:val="20"/>
              </w:rPr>
              <w:t>3112</w:t>
            </w:r>
          </w:p>
        </w:tc>
        <w:tc>
          <w:tcPr>
            <w:tcW w:w="1571" w:type="dxa"/>
            <w:shd w:val="clear" w:color="auto" w:fill="auto"/>
          </w:tcPr>
          <w:p w14:paraId="419BACC9" w14:textId="77777777" w:rsidR="00E04C6D" w:rsidRPr="00503F5B" w:rsidRDefault="00E04C6D" w:rsidP="000F0DCC">
            <w:pPr>
              <w:jc w:val="right"/>
              <w:rPr>
                <w:rFonts w:eastAsia="Times New Roman" w:cs="Calibri"/>
                <w:sz w:val="20"/>
                <w:szCs w:val="20"/>
              </w:rPr>
            </w:pPr>
            <w:r w:rsidRPr="00503F5B">
              <w:rPr>
                <w:rFonts w:cs="Calibri"/>
                <w:sz w:val="20"/>
                <w:szCs w:val="20"/>
              </w:rPr>
              <w:t>19546</w:t>
            </w:r>
          </w:p>
        </w:tc>
        <w:tc>
          <w:tcPr>
            <w:tcW w:w="1247" w:type="dxa"/>
            <w:shd w:val="clear" w:color="auto" w:fill="auto"/>
          </w:tcPr>
          <w:p w14:paraId="0C406341" w14:textId="77777777" w:rsidR="00E04C6D" w:rsidRPr="00503F5B" w:rsidRDefault="00E04C6D" w:rsidP="000F0DCC">
            <w:pPr>
              <w:jc w:val="right"/>
              <w:rPr>
                <w:rFonts w:eastAsia="Times New Roman" w:cs="Calibri"/>
                <w:sz w:val="20"/>
                <w:szCs w:val="20"/>
              </w:rPr>
            </w:pPr>
            <w:r w:rsidRPr="00503F5B">
              <w:rPr>
                <w:rFonts w:cs="Calibri"/>
                <w:sz w:val="20"/>
                <w:szCs w:val="20"/>
              </w:rPr>
              <w:t>16%</w:t>
            </w:r>
          </w:p>
        </w:tc>
      </w:tr>
      <w:tr w:rsidR="00E04C6D" w:rsidRPr="00503F5B" w14:paraId="4750CD6F" w14:textId="77777777" w:rsidTr="000F0DCC">
        <w:trPr>
          <w:trHeight w:val="63"/>
          <w:jc w:val="center"/>
        </w:trPr>
        <w:tc>
          <w:tcPr>
            <w:tcW w:w="1247" w:type="dxa"/>
            <w:shd w:val="clear" w:color="auto" w:fill="auto"/>
          </w:tcPr>
          <w:p w14:paraId="4C37854D" w14:textId="5D5CE309" w:rsidR="00E04C6D" w:rsidRPr="00503F5B" w:rsidRDefault="00E04C6D" w:rsidP="000F0DCC">
            <w:pPr>
              <w:rPr>
                <w:rFonts w:eastAsia="Times New Roman" w:cs="Calibri"/>
                <w:sz w:val="20"/>
                <w:szCs w:val="20"/>
              </w:rPr>
            </w:pPr>
            <w:r w:rsidRPr="00503F5B">
              <w:rPr>
                <w:rFonts w:cs="Calibri"/>
                <w:sz w:val="20"/>
                <w:szCs w:val="20"/>
              </w:rPr>
              <w:t>2017</w:t>
            </w:r>
            <w:r w:rsidR="000F0DCC" w:rsidRPr="00503F5B">
              <w:rPr>
                <w:rFonts w:cs="Calibri"/>
                <w:sz w:val="20"/>
                <w:szCs w:val="20"/>
              </w:rPr>
              <w:t>-</w:t>
            </w:r>
            <w:r w:rsidRPr="00503F5B">
              <w:rPr>
                <w:rFonts w:cs="Calibri"/>
                <w:sz w:val="20"/>
                <w:szCs w:val="20"/>
              </w:rPr>
              <w:t>18</w:t>
            </w:r>
          </w:p>
        </w:tc>
        <w:tc>
          <w:tcPr>
            <w:tcW w:w="1431" w:type="dxa"/>
            <w:shd w:val="clear" w:color="auto" w:fill="auto"/>
          </w:tcPr>
          <w:p w14:paraId="0901C440" w14:textId="77777777" w:rsidR="00E04C6D" w:rsidRPr="00503F5B" w:rsidRDefault="00E04C6D" w:rsidP="000F0DCC">
            <w:pPr>
              <w:jc w:val="right"/>
              <w:rPr>
                <w:rFonts w:eastAsia="Times New Roman" w:cs="Calibri"/>
                <w:sz w:val="20"/>
                <w:szCs w:val="20"/>
              </w:rPr>
            </w:pPr>
            <w:r w:rsidRPr="00503F5B">
              <w:rPr>
                <w:rFonts w:cs="Calibri"/>
                <w:sz w:val="20"/>
                <w:szCs w:val="20"/>
              </w:rPr>
              <w:t>3096</w:t>
            </w:r>
          </w:p>
        </w:tc>
        <w:tc>
          <w:tcPr>
            <w:tcW w:w="1571" w:type="dxa"/>
            <w:shd w:val="clear" w:color="auto" w:fill="auto"/>
          </w:tcPr>
          <w:p w14:paraId="23D28698" w14:textId="77777777" w:rsidR="00E04C6D" w:rsidRPr="00503F5B" w:rsidRDefault="00E04C6D" w:rsidP="000F0DCC">
            <w:pPr>
              <w:jc w:val="right"/>
              <w:rPr>
                <w:rFonts w:eastAsia="Times New Roman" w:cs="Calibri"/>
                <w:sz w:val="20"/>
                <w:szCs w:val="20"/>
              </w:rPr>
            </w:pPr>
            <w:r w:rsidRPr="00503F5B">
              <w:rPr>
                <w:rFonts w:cs="Calibri"/>
                <w:sz w:val="20"/>
                <w:szCs w:val="20"/>
              </w:rPr>
              <w:t>20871</w:t>
            </w:r>
          </w:p>
        </w:tc>
        <w:tc>
          <w:tcPr>
            <w:tcW w:w="1247" w:type="dxa"/>
            <w:shd w:val="clear" w:color="auto" w:fill="auto"/>
          </w:tcPr>
          <w:p w14:paraId="5E8249A9" w14:textId="77777777" w:rsidR="00E04C6D" w:rsidRPr="00503F5B" w:rsidRDefault="00E04C6D" w:rsidP="000F0DCC">
            <w:pPr>
              <w:jc w:val="right"/>
              <w:rPr>
                <w:rFonts w:eastAsia="Times New Roman" w:cs="Calibri"/>
                <w:sz w:val="20"/>
                <w:szCs w:val="20"/>
              </w:rPr>
            </w:pPr>
            <w:r w:rsidRPr="00503F5B">
              <w:rPr>
                <w:rFonts w:cs="Calibri"/>
                <w:sz w:val="20"/>
                <w:szCs w:val="20"/>
              </w:rPr>
              <w:t>15%</w:t>
            </w:r>
          </w:p>
        </w:tc>
      </w:tr>
      <w:tr w:rsidR="00E04C6D" w:rsidRPr="00503F5B" w14:paraId="33305DE3" w14:textId="77777777" w:rsidTr="000F0DCC">
        <w:trPr>
          <w:trHeight w:val="63"/>
          <w:jc w:val="center"/>
        </w:trPr>
        <w:tc>
          <w:tcPr>
            <w:tcW w:w="1247" w:type="dxa"/>
            <w:tcBorders>
              <w:bottom w:val="single" w:sz="4" w:space="0" w:color="ED7C5D"/>
            </w:tcBorders>
            <w:shd w:val="clear" w:color="auto" w:fill="auto"/>
          </w:tcPr>
          <w:p w14:paraId="01E5EA87" w14:textId="4C72C1C3" w:rsidR="00E04C6D" w:rsidRPr="00503F5B" w:rsidRDefault="00E04C6D" w:rsidP="000F0DCC">
            <w:pPr>
              <w:rPr>
                <w:rFonts w:eastAsia="Times New Roman" w:cs="Calibri"/>
                <w:sz w:val="20"/>
                <w:szCs w:val="20"/>
              </w:rPr>
            </w:pPr>
            <w:r w:rsidRPr="00503F5B">
              <w:rPr>
                <w:rFonts w:cs="Calibri"/>
                <w:sz w:val="20"/>
                <w:szCs w:val="20"/>
              </w:rPr>
              <w:t>2018</w:t>
            </w:r>
            <w:r w:rsidR="000F0DCC" w:rsidRPr="00503F5B">
              <w:rPr>
                <w:rFonts w:cs="Calibri"/>
                <w:sz w:val="20"/>
                <w:szCs w:val="20"/>
              </w:rPr>
              <w:t>-</w:t>
            </w:r>
            <w:r w:rsidRPr="00503F5B">
              <w:rPr>
                <w:rFonts w:cs="Calibri"/>
                <w:sz w:val="20"/>
                <w:szCs w:val="20"/>
              </w:rPr>
              <w:t>19</w:t>
            </w:r>
          </w:p>
        </w:tc>
        <w:tc>
          <w:tcPr>
            <w:tcW w:w="1431" w:type="dxa"/>
            <w:tcBorders>
              <w:bottom w:val="single" w:sz="4" w:space="0" w:color="ED7C5D"/>
            </w:tcBorders>
            <w:shd w:val="clear" w:color="auto" w:fill="auto"/>
          </w:tcPr>
          <w:p w14:paraId="6C62F04B" w14:textId="77777777" w:rsidR="00E04C6D" w:rsidRPr="00503F5B" w:rsidRDefault="00E04C6D" w:rsidP="000F0DCC">
            <w:pPr>
              <w:jc w:val="right"/>
              <w:rPr>
                <w:rFonts w:eastAsia="Times New Roman" w:cs="Calibri"/>
                <w:sz w:val="20"/>
                <w:szCs w:val="20"/>
              </w:rPr>
            </w:pPr>
            <w:r w:rsidRPr="00503F5B">
              <w:rPr>
                <w:rFonts w:cs="Calibri"/>
                <w:sz w:val="20"/>
                <w:szCs w:val="20"/>
              </w:rPr>
              <w:t>3019</w:t>
            </w:r>
          </w:p>
        </w:tc>
        <w:tc>
          <w:tcPr>
            <w:tcW w:w="1571" w:type="dxa"/>
            <w:tcBorders>
              <w:bottom w:val="single" w:sz="4" w:space="0" w:color="ED7C5D"/>
            </w:tcBorders>
            <w:shd w:val="clear" w:color="auto" w:fill="auto"/>
          </w:tcPr>
          <w:p w14:paraId="2AA95061" w14:textId="77777777" w:rsidR="00E04C6D" w:rsidRPr="00503F5B" w:rsidRDefault="00E04C6D" w:rsidP="000F0DCC">
            <w:pPr>
              <w:jc w:val="right"/>
              <w:rPr>
                <w:rFonts w:eastAsia="Times New Roman" w:cs="Calibri"/>
                <w:sz w:val="20"/>
                <w:szCs w:val="20"/>
              </w:rPr>
            </w:pPr>
            <w:r w:rsidRPr="00503F5B">
              <w:rPr>
                <w:rFonts w:cs="Calibri"/>
                <w:sz w:val="20"/>
                <w:szCs w:val="20"/>
              </w:rPr>
              <w:t>22353</w:t>
            </w:r>
          </w:p>
        </w:tc>
        <w:tc>
          <w:tcPr>
            <w:tcW w:w="1247" w:type="dxa"/>
            <w:tcBorders>
              <w:bottom w:val="single" w:sz="4" w:space="0" w:color="ED7C5D"/>
            </w:tcBorders>
            <w:shd w:val="clear" w:color="auto" w:fill="auto"/>
          </w:tcPr>
          <w:p w14:paraId="3C7D6FA2" w14:textId="77777777" w:rsidR="00E04C6D" w:rsidRPr="00503F5B" w:rsidRDefault="00E04C6D" w:rsidP="000F0DCC">
            <w:pPr>
              <w:jc w:val="right"/>
              <w:rPr>
                <w:rFonts w:eastAsia="Times New Roman" w:cs="Calibri"/>
                <w:sz w:val="20"/>
                <w:szCs w:val="20"/>
              </w:rPr>
            </w:pPr>
            <w:r w:rsidRPr="00503F5B">
              <w:rPr>
                <w:rFonts w:cs="Calibri"/>
                <w:sz w:val="20"/>
                <w:szCs w:val="20"/>
              </w:rPr>
              <w:t>14%</w:t>
            </w:r>
          </w:p>
        </w:tc>
      </w:tr>
    </w:tbl>
    <w:p w14:paraId="618EA49B" w14:textId="77777777" w:rsidR="00E04C6D" w:rsidRPr="00503F5B" w:rsidRDefault="00E04C6D" w:rsidP="00E04C6D"/>
    <w:p w14:paraId="384DB1AA" w14:textId="77777777" w:rsidR="00E04C6D" w:rsidRPr="00503F5B" w:rsidRDefault="00E04C6D">
      <w:bookmarkStart w:id="361" w:name="_Toc457772579"/>
      <w:r w:rsidRPr="00503F5B">
        <w:br w:type="page"/>
      </w:r>
    </w:p>
    <w:p w14:paraId="17A59B0E" w14:textId="31238518" w:rsidR="00E04C6D" w:rsidRPr="00503F5B" w:rsidRDefault="00E04C6D" w:rsidP="0080683B">
      <w:pPr>
        <w:pStyle w:val="Heading1"/>
      </w:pPr>
      <w:bookmarkStart w:id="362" w:name="_Toc35804193"/>
      <w:bookmarkStart w:id="363" w:name="_Toc35804687"/>
      <w:bookmarkStart w:id="364" w:name="_Toc35812731"/>
      <w:r w:rsidRPr="00503F5B">
        <w:lastRenderedPageBreak/>
        <w:t>Appendix 7 – Proposed Fire Rescue Victoria (General) Regulations</w:t>
      </w:r>
      <w:bookmarkEnd w:id="361"/>
      <w:r w:rsidRPr="00503F5B">
        <w:t xml:space="preserve"> 2020</w:t>
      </w:r>
      <w:bookmarkEnd w:id="362"/>
      <w:bookmarkEnd w:id="363"/>
      <w:bookmarkEnd w:id="364"/>
    </w:p>
    <w:p w14:paraId="6E6A3C40" w14:textId="77777777" w:rsidR="004F0F77" w:rsidRPr="00503F5B" w:rsidRDefault="004F0F77"/>
    <w:sectPr w:rsidR="004F0F77" w:rsidRPr="00503F5B" w:rsidSect="000846F8">
      <w:pgSz w:w="11906" w:h="16838"/>
      <w:pgMar w:top="1656" w:right="2245" w:bottom="1440" w:left="1440"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3A22C" w14:textId="77777777" w:rsidR="001A6758" w:rsidRDefault="001A6758" w:rsidP="001D51D6">
      <w:r>
        <w:separator/>
      </w:r>
    </w:p>
  </w:endnote>
  <w:endnote w:type="continuationSeparator" w:id="0">
    <w:p w14:paraId="0955237D" w14:textId="77777777" w:rsidR="001A6758" w:rsidRDefault="001A6758" w:rsidP="001D5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MS ??">
    <w:altName w:val="Yu Gothic"/>
    <w:panose1 w:val="00000000000000000000"/>
    <w:charset w:val="80"/>
    <w:family w:val="auto"/>
    <w:notTrueType/>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auto"/>
    <w:pitch w:val="variable"/>
    <w:sig w:usb0="E00002FF" w:usb1="5000785B" w:usb2="00000000" w:usb3="00000000" w:csb0="0000019F" w:csb1="00000000"/>
  </w:font>
  <w:font w:name="P%[ˇ">
    <w:altName w:val="Calibri"/>
    <w:panose1 w:val="00000000000000000000"/>
    <w:charset w:val="4D"/>
    <w:family w:val="auto"/>
    <w:notTrueType/>
    <w:pitch w:val="default"/>
    <w:sig w:usb0="00000003" w:usb1="00000000" w:usb2="00000000" w:usb3="00000000" w:csb0="00000001" w:csb1="00000000"/>
  </w:font>
  <w:font w:name="P˘Í^ˇ">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C5C7E" w14:textId="77777777" w:rsidR="001A6758" w:rsidRDefault="001A6758" w:rsidP="00E04C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D51494" w14:textId="77777777" w:rsidR="001A6758" w:rsidRDefault="001A6758" w:rsidP="00E04C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57FEA" w14:textId="21EBE866" w:rsidR="001A6758" w:rsidRDefault="001A6758" w:rsidP="00E04C6D">
    <w:pPr>
      <w:pStyle w:val="Footer"/>
      <w:framePr w:wrap="around" w:vAnchor="text" w:hAnchor="margin" w:xAlign="right" w:y="1"/>
      <w:rPr>
        <w:rStyle w:val="PageNumber"/>
      </w:rPr>
    </w:pPr>
    <w:r>
      <w:rPr>
        <w:noProof/>
      </w:rPr>
      <mc:AlternateContent>
        <mc:Choice Requires="wps">
          <w:drawing>
            <wp:anchor distT="0" distB="0" distL="114300" distR="114300" simplePos="0" relativeHeight="251659264" behindDoc="0" locked="0" layoutInCell="0" allowOverlap="1" wp14:anchorId="723F5742" wp14:editId="0E5FD691">
              <wp:simplePos x="0" y="0"/>
              <wp:positionH relativeFrom="page">
                <wp:align>left</wp:align>
              </wp:positionH>
              <wp:positionV relativeFrom="page">
                <wp:align>bottom</wp:align>
              </wp:positionV>
              <wp:extent cx="7772400" cy="266700"/>
              <wp:effectExtent l="0" t="0" r="0" b="0"/>
              <wp:wrapNone/>
              <wp:docPr id="5" name="MSIPCMe07941aabfbadaddde3fdee0"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A062FB" w14:textId="2453B4D7" w:rsidR="001A6758" w:rsidRPr="00F12960" w:rsidRDefault="001A6758" w:rsidP="00F12960">
                          <w:pPr>
                            <w:rPr>
                              <w:rFonts w:cs="Calibri"/>
                            </w:rPr>
                          </w:pPr>
                          <w:r w:rsidRPr="00F12960">
                            <w:rPr>
                              <w:rFonts w:cs="Calibri"/>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23F5742" id="_x0000_t202" coordsize="21600,21600" o:spt="202" path="m,l,21600r21600,l21600,xe">
              <v:stroke joinstyle="miter"/>
              <v:path gradientshapeok="t" o:connecttype="rect"/>
            </v:shapetype>
            <v:shape id="MSIPCMe07941aabfbadaddde3fdee0" o:spid="_x0000_s1049" type="#_x0000_t202" alt="{&quot;HashCode&quot;:-1267603503,&quot;Height&quot;:9999999.0,&quot;Width&quot;:9999999.0,&quot;Placement&quot;:&quot;Footer&quot;,&quot;Index&quot;:&quot;Primary&quot;,&quot;Section&quot;:1,&quot;Top&quot;:0.0,&quot;Left&quot;:0.0}" style="position:absolute;margin-left:0;margin-top:0;width:612pt;height:21pt;z-index:25165926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" o:allowincell="f" filled="f" stroked="f" strokeweight=".5pt">
              <v:textbox inset="20pt,0,,0">
                <w:txbxContent>
                  <w:p w14:paraId="68A062FB" w14:textId="2453B4D7" w:rsidR="001A6758" w:rsidRPr="00F12960" w:rsidRDefault="001A6758" w:rsidP="00F12960">
                    <w:pPr>
                      <w:rPr>
                        <w:rFonts w:cs="Calibri"/>
                      </w:rPr>
                    </w:pPr>
                    <w:r w:rsidRPr="00F12960">
                      <w:rPr>
                        <w:rFonts w:cs="Calibri"/>
                      </w:rPr>
                      <w:t>OFFICIAL</w:t>
                    </w:r>
                  </w:p>
                </w:txbxContent>
              </v:textbox>
              <w10:wrap anchorx="page" anchory="page"/>
            </v:shape>
          </w:pict>
        </mc:Fallback>
      </mc:AlternateContent>
    </w: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09F9162B" w14:textId="77777777" w:rsidR="001A6758" w:rsidRDefault="001A6758" w:rsidP="00E04C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0667D" w14:textId="77777777" w:rsidR="001A6758" w:rsidRDefault="001A6758" w:rsidP="001D51D6">
      <w:r>
        <w:separator/>
      </w:r>
    </w:p>
  </w:footnote>
  <w:footnote w:type="continuationSeparator" w:id="0">
    <w:p w14:paraId="74723936" w14:textId="77777777" w:rsidR="001A6758" w:rsidRDefault="001A6758" w:rsidP="001D51D6">
      <w:r>
        <w:continuationSeparator/>
      </w:r>
    </w:p>
  </w:footnote>
  <w:footnote w:id="1">
    <w:p w14:paraId="6C6700B3" w14:textId="605031D2" w:rsidR="001A6758" w:rsidRPr="00305ED9" w:rsidRDefault="001A6758" w:rsidP="00491000">
      <w:pPr>
        <w:pStyle w:val="FootnoteText"/>
        <w:rPr>
          <w:sz w:val="18"/>
          <w:szCs w:val="18"/>
        </w:rPr>
      </w:pPr>
      <w:r w:rsidRPr="00446880">
        <w:rPr>
          <w:rStyle w:val="FootnoteReference"/>
          <w:sz w:val="18"/>
          <w:szCs w:val="18"/>
        </w:rPr>
        <w:footnoteRef/>
      </w:r>
      <w:r w:rsidRPr="00446880">
        <w:rPr>
          <w:sz w:val="18"/>
          <w:szCs w:val="18"/>
        </w:rPr>
        <w:t xml:space="preserve"> Depending on</w:t>
      </w:r>
      <w:r>
        <w:rPr>
          <w:sz w:val="18"/>
          <w:szCs w:val="18"/>
        </w:rPr>
        <w:t xml:space="preserve"> the size of business and the risk-taking profile of owners who may wish to circumvent their Alarm Signalling Equipment to avoid a high fee.</w:t>
      </w:r>
    </w:p>
  </w:footnote>
  <w:footnote w:id="2">
    <w:p w14:paraId="4692B5EF" w14:textId="77777777" w:rsidR="001A6758" w:rsidRPr="00305ED9" w:rsidRDefault="001A6758" w:rsidP="00491000">
      <w:pPr>
        <w:pStyle w:val="FootnoteText"/>
        <w:rPr>
          <w:sz w:val="18"/>
          <w:szCs w:val="18"/>
        </w:rPr>
      </w:pPr>
      <w:r w:rsidRPr="00305ED9">
        <w:rPr>
          <w:rStyle w:val="FootnoteReference"/>
          <w:sz w:val="18"/>
          <w:szCs w:val="18"/>
        </w:rPr>
        <w:footnoteRef/>
      </w:r>
      <w:r w:rsidRPr="00305ED9">
        <w:rPr>
          <w:sz w:val="18"/>
          <w:szCs w:val="18"/>
        </w:rPr>
        <w:t xml:space="preserve"> </w:t>
      </w:r>
      <w:r w:rsidRPr="00F33E06">
        <w:rPr>
          <w:sz w:val="18"/>
          <w:szCs w:val="18"/>
        </w:rPr>
        <w:t>Government of Victoria, January 2013, Cost Recovery Guidelines, Department of Treasury and Finance, Melbourne</w:t>
      </w:r>
    </w:p>
  </w:footnote>
  <w:footnote w:id="3">
    <w:p w14:paraId="3C2A9EFF" w14:textId="131FE576" w:rsidR="001A6758" w:rsidRPr="00D939C6" w:rsidRDefault="001A6758" w:rsidP="00C618EF">
      <w:pPr>
        <w:pStyle w:val="FootnoteText"/>
        <w:rPr>
          <w:sz w:val="18"/>
          <w:szCs w:val="18"/>
          <w:lang w:val="en-GB"/>
        </w:rPr>
      </w:pPr>
      <w:r w:rsidRPr="00D939C6">
        <w:rPr>
          <w:rStyle w:val="FootnoteReference"/>
          <w:sz w:val="18"/>
          <w:szCs w:val="18"/>
        </w:rPr>
        <w:footnoteRef/>
      </w:r>
      <w:r w:rsidRPr="00D939C6">
        <w:rPr>
          <w:sz w:val="18"/>
          <w:szCs w:val="18"/>
        </w:rPr>
        <w:t xml:space="preserve"> </w:t>
      </w:r>
      <w:r w:rsidRPr="00D939C6">
        <w:rPr>
          <w:sz w:val="18"/>
          <w:szCs w:val="18"/>
          <w:lang w:val="en-GB"/>
        </w:rPr>
        <w:t>Estimate based on revenue for 2018-19</w:t>
      </w:r>
      <w:r>
        <w:rPr>
          <w:sz w:val="18"/>
          <w:szCs w:val="18"/>
          <w:lang w:val="en-GB"/>
        </w:rPr>
        <w:t xml:space="preserve"> for MFB.  </w:t>
      </w:r>
    </w:p>
  </w:footnote>
  <w:footnote w:id="4">
    <w:p w14:paraId="3C9F081D" w14:textId="77777777" w:rsidR="001A6758" w:rsidRPr="006A0242" w:rsidRDefault="001A6758" w:rsidP="00DC4B2C">
      <w:pPr>
        <w:pStyle w:val="FootnoteText"/>
        <w:rPr>
          <w:sz w:val="18"/>
          <w:szCs w:val="18"/>
        </w:rPr>
      </w:pPr>
      <w:r w:rsidRPr="006A0242">
        <w:rPr>
          <w:rStyle w:val="FootnoteReference"/>
          <w:sz w:val="18"/>
          <w:szCs w:val="18"/>
        </w:rPr>
        <w:footnoteRef/>
      </w:r>
      <w:r w:rsidRPr="006A0242">
        <w:rPr>
          <w:sz w:val="18"/>
          <w:szCs w:val="18"/>
        </w:rPr>
        <w:t xml:space="preserve"> http://www.mfb.vic.gov.au/Industry/Managing-False-Alarms/Direct-Automatic-Alarms/How-a-Typical-System-Works-.html</w:t>
      </w:r>
      <w:r>
        <w:rPr>
          <w:sz w:val="18"/>
          <w:szCs w:val="18"/>
        </w:rPr>
        <w:t xml:space="preserve"> (Accessed 16 July 2016)</w:t>
      </w:r>
    </w:p>
  </w:footnote>
  <w:footnote w:id="5">
    <w:p w14:paraId="3C071F18" w14:textId="77777777" w:rsidR="001A6758" w:rsidRPr="00C35213" w:rsidRDefault="001A6758" w:rsidP="00DC4B2C">
      <w:pPr>
        <w:pStyle w:val="FootnoteText"/>
        <w:rPr>
          <w:sz w:val="18"/>
          <w:szCs w:val="18"/>
          <w:lang w:val="en-GB"/>
        </w:rPr>
      </w:pPr>
      <w:r w:rsidRPr="00C35213">
        <w:rPr>
          <w:rStyle w:val="FootnoteReference"/>
          <w:sz w:val="18"/>
          <w:szCs w:val="18"/>
        </w:rPr>
        <w:footnoteRef/>
      </w:r>
      <w:r w:rsidRPr="00C35213">
        <w:rPr>
          <w:sz w:val="18"/>
          <w:szCs w:val="18"/>
        </w:rPr>
        <w:t xml:space="preserve"> Http://www.vic.gov.au/fire-services-reform (accessed 4 March 2020)</w:t>
      </w:r>
    </w:p>
  </w:footnote>
  <w:footnote w:id="6">
    <w:p w14:paraId="7840BE65" w14:textId="77777777" w:rsidR="001A6758" w:rsidRPr="007A7788" w:rsidRDefault="001A6758" w:rsidP="00DC4B2C">
      <w:pPr>
        <w:pStyle w:val="FootnoteText"/>
        <w:rPr>
          <w:sz w:val="18"/>
          <w:szCs w:val="18"/>
        </w:rPr>
      </w:pPr>
      <w:r w:rsidRPr="007A7788">
        <w:rPr>
          <w:rStyle w:val="FootnoteReference"/>
          <w:sz w:val="18"/>
          <w:szCs w:val="18"/>
        </w:rPr>
        <w:footnoteRef/>
      </w:r>
      <w:r w:rsidRPr="007A7788">
        <w:rPr>
          <w:sz w:val="18"/>
          <w:szCs w:val="18"/>
        </w:rPr>
        <w:t xml:space="preserve"> http://www.mfb.vic.gov.au/Industry/Managing-False-Alarms/Maintenance-of-false-alarm-systems.html</w:t>
      </w:r>
    </w:p>
  </w:footnote>
  <w:footnote w:id="7">
    <w:p w14:paraId="3CE0FF9B" w14:textId="17048D44" w:rsidR="001A6758" w:rsidRPr="009917B8" w:rsidRDefault="001A6758">
      <w:pPr>
        <w:pStyle w:val="FootnoteText"/>
        <w:rPr>
          <w:sz w:val="18"/>
          <w:szCs w:val="18"/>
        </w:rPr>
      </w:pPr>
      <w:r w:rsidRPr="009917B8">
        <w:rPr>
          <w:rStyle w:val="FootnoteReference"/>
          <w:sz w:val="18"/>
          <w:szCs w:val="18"/>
        </w:rPr>
        <w:footnoteRef/>
      </w:r>
      <w:r w:rsidRPr="009917B8">
        <w:rPr>
          <w:sz w:val="18"/>
          <w:szCs w:val="18"/>
        </w:rPr>
        <w:t xml:space="preserve"> https://www.vic.gov.au/fire-services-reform</w:t>
      </w:r>
    </w:p>
  </w:footnote>
  <w:footnote w:id="8">
    <w:p w14:paraId="57283ECC" w14:textId="069AAE2F" w:rsidR="001A6758" w:rsidRPr="001148D9" w:rsidRDefault="001A6758">
      <w:pPr>
        <w:pStyle w:val="FootnoteText"/>
        <w:rPr>
          <w:sz w:val="18"/>
          <w:szCs w:val="18"/>
        </w:rPr>
      </w:pPr>
      <w:r w:rsidRPr="001148D9">
        <w:rPr>
          <w:rStyle w:val="FootnoteReference"/>
          <w:sz w:val="18"/>
          <w:szCs w:val="18"/>
        </w:rPr>
        <w:footnoteRef/>
      </w:r>
      <w:r w:rsidRPr="001148D9">
        <w:rPr>
          <w:sz w:val="18"/>
          <w:szCs w:val="18"/>
        </w:rPr>
        <w:t xml:space="preserve"> MFB Annual Report 2018-19</w:t>
      </w:r>
    </w:p>
  </w:footnote>
  <w:footnote w:id="9">
    <w:p w14:paraId="354783BA" w14:textId="1DF9F5FD" w:rsidR="001A6758" w:rsidRPr="00380787" w:rsidRDefault="001A6758">
      <w:pPr>
        <w:pStyle w:val="FootnoteText"/>
        <w:rPr>
          <w:sz w:val="18"/>
          <w:szCs w:val="18"/>
          <w:lang w:val="en-GB"/>
        </w:rPr>
      </w:pPr>
      <w:r w:rsidRPr="00380787">
        <w:rPr>
          <w:rStyle w:val="FootnoteReference"/>
          <w:sz w:val="18"/>
          <w:szCs w:val="18"/>
        </w:rPr>
        <w:footnoteRef/>
      </w:r>
      <w:r w:rsidRPr="00380787">
        <w:rPr>
          <w:sz w:val="18"/>
          <w:szCs w:val="18"/>
        </w:rPr>
        <w:t xml:space="preserve"> </w:t>
      </w:r>
      <w:r w:rsidRPr="00380787">
        <w:rPr>
          <w:sz w:val="18"/>
          <w:szCs w:val="18"/>
          <w:lang w:val="en-GB"/>
        </w:rPr>
        <w:t>Http://www.vic.gov.au/fire-services-reform (accessed 4 March 2020)</w:t>
      </w:r>
    </w:p>
  </w:footnote>
  <w:footnote w:id="10">
    <w:p w14:paraId="1142FABD" w14:textId="36B05250" w:rsidR="001A6758" w:rsidRPr="00EC6BDE" w:rsidRDefault="001A6758" w:rsidP="008029C2">
      <w:pPr>
        <w:pStyle w:val="FootnoteText"/>
        <w:rPr>
          <w:sz w:val="18"/>
          <w:szCs w:val="18"/>
        </w:rPr>
      </w:pPr>
      <w:r w:rsidRPr="00EC6BDE">
        <w:rPr>
          <w:rStyle w:val="FootnoteReference"/>
          <w:sz w:val="18"/>
          <w:szCs w:val="18"/>
        </w:rPr>
        <w:footnoteRef/>
      </w:r>
      <w:r w:rsidRPr="00EC6BDE">
        <w:rPr>
          <w:sz w:val="18"/>
          <w:szCs w:val="18"/>
        </w:rPr>
        <w:t xml:space="preserve"> http://www.mfb.vic.gov.au/Industry/Managing-False-Alarms.html</w:t>
      </w:r>
      <w:r>
        <w:rPr>
          <w:sz w:val="18"/>
          <w:szCs w:val="18"/>
        </w:rPr>
        <w:t xml:space="preserve"> (accessed 4 March 2020)</w:t>
      </w:r>
    </w:p>
  </w:footnote>
  <w:footnote w:id="11">
    <w:p w14:paraId="66142779" w14:textId="462B07B7" w:rsidR="001A6758" w:rsidRPr="0037229D" w:rsidRDefault="001A6758">
      <w:pPr>
        <w:pStyle w:val="FootnoteText"/>
        <w:rPr>
          <w:sz w:val="18"/>
          <w:szCs w:val="18"/>
        </w:rPr>
      </w:pPr>
      <w:r w:rsidRPr="0037229D">
        <w:rPr>
          <w:rStyle w:val="FootnoteReference"/>
          <w:sz w:val="18"/>
          <w:szCs w:val="18"/>
        </w:rPr>
        <w:footnoteRef/>
      </w:r>
      <w:r w:rsidRPr="0037229D">
        <w:rPr>
          <w:sz w:val="18"/>
          <w:szCs w:val="18"/>
        </w:rPr>
        <w:t xml:space="preserve"> </w:t>
      </w:r>
      <w:r>
        <w:rPr>
          <w:sz w:val="18"/>
          <w:szCs w:val="18"/>
        </w:rPr>
        <w:t>Data breakdown provided by MFB and CFA, consistent with 2018-19 CFA and MFB Annual Reports.</w:t>
      </w:r>
    </w:p>
  </w:footnote>
  <w:footnote w:id="12">
    <w:p w14:paraId="2390C6DD" w14:textId="3E1D6931" w:rsidR="001A6758" w:rsidRPr="000240E7" w:rsidRDefault="001A6758">
      <w:pPr>
        <w:pStyle w:val="FootnoteText"/>
        <w:rPr>
          <w:sz w:val="18"/>
          <w:szCs w:val="18"/>
          <w:lang w:val="en-GB"/>
        </w:rPr>
      </w:pPr>
      <w:r w:rsidRPr="000240E7">
        <w:rPr>
          <w:rStyle w:val="FootnoteReference"/>
          <w:sz w:val="18"/>
          <w:szCs w:val="18"/>
        </w:rPr>
        <w:footnoteRef/>
      </w:r>
      <w:r w:rsidRPr="000240E7">
        <w:rPr>
          <w:sz w:val="18"/>
          <w:szCs w:val="18"/>
        </w:rPr>
        <w:t xml:space="preserve"> </w:t>
      </w:r>
      <w:r w:rsidRPr="000240E7">
        <w:rPr>
          <w:rFonts w:cs="P%[ˇ"/>
          <w:sz w:val="18"/>
          <w:szCs w:val="18"/>
        </w:rPr>
        <w:t>This relates only to findings and not cases lodged and then withdrawn etc.</w:t>
      </w:r>
      <w:r w:rsidRPr="000240E7">
        <w:rPr>
          <w:rFonts w:cs="P%[ˇ"/>
          <w:sz w:val="18"/>
          <w:szCs w:val="18"/>
        </w:rPr>
        <w:tab/>
      </w:r>
      <w:r w:rsidRPr="000240E7">
        <w:rPr>
          <w:rFonts w:cs="P%[ˇ"/>
          <w:sz w:val="18"/>
          <w:szCs w:val="18"/>
        </w:rPr>
        <w:tab/>
      </w:r>
    </w:p>
  </w:footnote>
  <w:footnote w:id="13">
    <w:p w14:paraId="7A8451F9" w14:textId="02BE2255" w:rsidR="001A6758" w:rsidRPr="001A3678" w:rsidRDefault="001A6758">
      <w:pPr>
        <w:pStyle w:val="FootnoteText"/>
        <w:rPr>
          <w:sz w:val="18"/>
          <w:szCs w:val="18"/>
          <w:lang w:val="en-GB"/>
        </w:rPr>
      </w:pPr>
      <w:r w:rsidRPr="001A3678">
        <w:rPr>
          <w:rStyle w:val="FootnoteReference"/>
          <w:sz w:val="18"/>
          <w:szCs w:val="18"/>
        </w:rPr>
        <w:footnoteRef/>
      </w:r>
      <w:r w:rsidRPr="001A3678">
        <w:rPr>
          <w:sz w:val="18"/>
          <w:szCs w:val="18"/>
        </w:rPr>
        <w:t xml:space="preserve"> </w:t>
      </w:r>
      <w:r w:rsidRPr="001A3678">
        <w:rPr>
          <w:sz w:val="18"/>
          <w:szCs w:val="18"/>
          <w:lang w:val="en-GB"/>
        </w:rPr>
        <w:t>Data provided by MFB and CFA.</w:t>
      </w:r>
    </w:p>
  </w:footnote>
  <w:footnote w:id="14">
    <w:p w14:paraId="3361C2C2" w14:textId="1AD6D69B" w:rsidR="001A6758" w:rsidRPr="001A3678" w:rsidRDefault="001A6758">
      <w:pPr>
        <w:pStyle w:val="FootnoteText"/>
        <w:rPr>
          <w:sz w:val="18"/>
          <w:szCs w:val="18"/>
          <w:lang w:val="en-GB"/>
        </w:rPr>
      </w:pPr>
      <w:r w:rsidRPr="001A3678">
        <w:rPr>
          <w:rStyle w:val="FootnoteReference"/>
          <w:sz w:val="18"/>
          <w:szCs w:val="18"/>
        </w:rPr>
        <w:footnoteRef/>
      </w:r>
      <w:r w:rsidRPr="001A3678">
        <w:rPr>
          <w:sz w:val="18"/>
          <w:szCs w:val="18"/>
        </w:rPr>
        <w:t xml:space="preserve"> Includes </w:t>
      </w:r>
      <w:r w:rsidRPr="001A3678">
        <w:rPr>
          <w:rFonts w:asciiTheme="majorHAnsi" w:hAnsiTheme="majorHAnsi" w:cs="P˘Í^ˇ"/>
          <w:sz w:val="18"/>
          <w:szCs w:val="18"/>
        </w:rPr>
        <w:t>calls responded to in CFA area.</w:t>
      </w:r>
    </w:p>
  </w:footnote>
  <w:footnote w:id="15">
    <w:p w14:paraId="43FA9AC0" w14:textId="40F72D6C" w:rsidR="001A6758" w:rsidRPr="0022379C" w:rsidRDefault="001A6758">
      <w:pPr>
        <w:pStyle w:val="FootnoteText"/>
        <w:rPr>
          <w:sz w:val="18"/>
          <w:szCs w:val="18"/>
          <w:lang w:val="en-GB"/>
        </w:rPr>
      </w:pPr>
      <w:r w:rsidRPr="001A3678">
        <w:rPr>
          <w:rStyle w:val="FootnoteReference"/>
          <w:sz w:val="18"/>
          <w:szCs w:val="18"/>
        </w:rPr>
        <w:footnoteRef/>
      </w:r>
      <w:r w:rsidRPr="001A3678">
        <w:rPr>
          <w:sz w:val="18"/>
          <w:szCs w:val="18"/>
        </w:rPr>
        <w:t xml:space="preserve"> For example, assisting Ambulance Victoria by providing cardiopulmonary resuscitation (CPR) and defibrillation (where first on the scene)</w:t>
      </w:r>
      <w:r w:rsidRPr="0022379C">
        <w:rPr>
          <w:sz w:val="18"/>
          <w:szCs w:val="18"/>
        </w:rPr>
        <w:t>.</w:t>
      </w:r>
    </w:p>
  </w:footnote>
  <w:footnote w:id="16">
    <w:p w14:paraId="4EE23173" w14:textId="6884AEE2" w:rsidR="001A6758" w:rsidRPr="001A3678" w:rsidRDefault="001A6758">
      <w:pPr>
        <w:pStyle w:val="FootnoteText"/>
        <w:rPr>
          <w:sz w:val="18"/>
          <w:szCs w:val="18"/>
          <w:lang w:val="en-GB"/>
        </w:rPr>
      </w:pPr>
      <w:r w:rsidRPr="001A3678">
        <w:rPr>
          <w:rStyle w:val="FootnoteReference"/>
          <w:sz w:val="18"/>
          <w:szCs w:val="18"/>
        </w:rPr>
        <w:footnoteRef/>
      </w:r>
      <w:r w:rsidRPr="001A3678">
        <w:rPr>
          <w:sz w:val="18"/>
          <w:szCs w:val="18"/>
        </w:rPr>
        <w:t xml:space="preserve"> </w:t>
      </w:r>
      <w:r w:rsidRPr="001A3678">
        <w:rPr>
          <w:sz w:val="18"/>
          <w:szCs w:val="18"/>
          <w:lang w:val="en-GB"/>
        </w:rPr>
        <w:t>Data provided by MFB.</w:t>
      </w:r>
    </w:p>
  </w:footnote>
  <w:footnote w:id="17">
    <w:p w14:paraId="2233D041" w14:textId="3AA7C20A" w:rsidR="001A6758" w:rsidRPr="00144690" w:rsidRDefault="001A6758" w:rsidP="003A0356">
      <w:pPr>
        <w:pStyle w:val="FootnoteText"/>
        <w:rPr>
          <w:sz w:val="18"/>
          <w:szCs w:val="18"/>
        </w:rPr>
      </w:pPr>
      <w:r w:rsidRPr="001A3678">
        <w:rPr>
          <w:rStyle w:val="FootnoteReference"/>
          <w:sz w:val="18"/>
          <w:szCs w:val="18"/>
        </w:rPr>
        <w:footnoteRef/>
      </w:r>
      <w:r w:rsidRPr="001A3678">
        <w:rPr>
          <w:sz w:val="18"/>
          <w:szCs w:val="18"/>
        </w:rPr>
        <w:t xml:space="preserve"> Other than EMRs.</w:t>
      </w:r>
    </w:p>
  </w:footnote>
  <w:footnote w:id="18">
    <w:p w14:paraId="3BF84F68" w14:textId="77777777" w:rsidR="001A6758" w:rsidRPr="001A3678" w:rsidRDefault="001A6758" w:rsidP="009917B8">
      <w:pPr>
        <w:widowControl w:val="0"/>
        <w:autoSpaceDE w:val="0"/>
        <w:autoSpaceDN w:val="0"/>
        <w:adjustRightInd w:val="0"/>
        <w:contextualSpacing/>
        <w:rPr>
          <w:rFonts w:ascii="P˘Í^ˇ" w:hAnsi="P˘Í^ˇ" w:cs="P˘Í^ˇ"/>
          <w:color w:val="010202"/>
          <w:sz w:val="18"/>
          <w:szCs w:val="18"/>
        </w:rPr>
      </w:pPr>
      <w:r w:rsidRPr="001A3678">
        <w:rPr>
          <w:rStyle w:val="FootnoteReference"/>
          <w:sz w:val="18"/>
          <w:szCs w:val="18"/>
        </w:rPr>
        <w:footnoteRef/>
      </w:r>
      <w:r w:rsidRPr="001A3678">
        <w:rPr>
          <w:sz w:val="18"/>
          <w:szCs w:val="18"/>
        </w:rPr>
        <w:t xml:space="preserve"> </w:t>
      </w:r>
      <w:r w:rsidRPr="001A3678">
        <w:rPr>
          <w:rFonts w:ascii="P˘Í^ˇ" w:hAnsi="P˘Í^ˇ" w:cs="P˘Í^ˇ"/>
          <w:color w:val="010202"/>
          <w:sz w:val="18"/>
          <w:szCs w:val="18"/>
        </w:rPr>
        <w:t>Any firefighting or emergency response vehicle that is used by operational staff members.</w:t>
      </w:r>
    </w:p>
  </w:footnote>
  <w:footnote w:id="19">
    <w:p w14:paraId="3CE5F9F0" w14:textId="7355749F" w:rsidR="001A6758" w:rsidRPr="001A3678" w:rsidRDefault="001A6758" w:rsidP="009917B8">
      <w:pPr>
        <w:pStyle w:val="FootnoteText"/>
        <w:contextualSpacing/>
        <w:rPr>
          <w:sz w:val="18"/>
          <w:szCs w:val="18"/>
          <w:lang w:val="en-GB"/>
        </w:rPr>
      </w:pPr>
      <w:r w:rsidRPr="001A3678">
        <w:rPr>
          <w:rStyle w:val="FootnoteReference"/>
          <w:sz w:val="18"/>
          <w:szCs w:val="18"/>
        </w:rPr>
        <w:footnoteRef/>
      </w:r>
      <w:r w:rsidRPr="001A3678">
        <w:rPr>
          <w:sz w:val="18"/>
          <w:szCs w:val="18"/>
        </w:rPr>
        <w:t xml:space="preserve"> </w:t>
      </w:r>
      <w:r w:rsidRPr="001A3678">
        <w:rPr>
          <w:sz w:val="18"/>
          <w:szCs w:val="18"/>
          <w:lang w:val="en-GB"/>
        </w:rPr>
        <w:t>Data provided by MFB.</w:t>
      </w:r>
    </w:p>
  </w:footnote>
  <w:footnote w:id="20">
    <w:p w14:paraId="52B06F16" w14:textId="77777777" w:rsidR="001A6758" w:rsidRPr="001A3678" w:rsidRDefault="001A6758" w:rsidP="009917B8">
      <w:pPr>
        <w:pStyle w:val="FootnoteText"/>
        <w:contextualSpacing/>
        <w:rPr>
          <w:sz w:val="18"/>
          <w:szCs w:val="18"/>
        </w:rPr>
      </w:pPr>
      <w:r w:rsidRPr="001A3678">
        <w:rPr>
          <w:rStyle w:val="FootnoteReference"/>
          <w:sz w:val="18"/>
          <w:szCs w:val="18"/>
        </w:rPr>
        <w:footnoteRef/>
      </w:r>
      <w:r w:rsidRPr="001A3678">
        <w:rPr>
          <w:sz w:val="18"/>
          <w:szCs w:val="18"/>
        </w:rPr>
        <w:t xml:space="preserve"> Other than EMRs.</w:t>
      </w:r>
    </w:p>
  </w:footnote>
  <w:footnote w:id="21">
    <w:p w14:paraId="736AE4A7" w14:textId="7EC9947E" w:rsidR="001A6758" w:rsidRPr="001A3678" w:rsidRDefault="001A6758" w:rsidP="009917B8">
      <w:pPr>
        <w:pStyle w:val="FootnoteText"/>
        <w:contextualSpacing/>
        <w:rPr>
          <w:sz w:val="18"/>
          <w:szCs w:val="18"/>
        </w:rPr>
      </w:pPr>
      <w:r w:rsidRPr="001A3678">
        <w:rPr>
          <w:rStyle w:val="FootnoteReference"/>
          <w:sz w:val="18"/>
          <w:szCs w:val="18"/>
        </w:rPr>
        <w:footnoteRef/>
      </w:r>
      <w:r w:rsidRPr="001A3678">
        <w:rPr>
          <w:sz w:val="18"/>
          <w:szCs w:val="18"/>
        </w:rPr>
        <w:t xml:space="preserve"> Fire drill training as opposed to professional development training.</w:t>
      </w:r>
    </w:p>
  </w:footnote>
  <w:footnote w:id="22">
    <w:p w14:paraId="0A24E954" w14:textId="082BE85A" w:rsidR="001A6758" w:rsidRPr="0022379C" w:rsidRDefault="001A6758" w:rsidP="00595DFB">
      <w:pPr>
        <w:pStyle w:val="FootnoteText"/>
        <w:rPr>
          <w:sz w:val="18"/>
          <w:szCs w:val="18"/>
          <w:lang w:val="en-GB"/>
        </w:rPr>
      </w:pPr>
      <w:r w:rsidRPr="001A3678">
        <w:rPr>
          <w:rStyle w:val="FootnoteReference"/>
          <w:sz w:val="18"/>
          <w:szCs w:val="18"/>
        </w:rPr>
        <w:footnoteRef/>
      </w:r>
      <w:r w:rsidRPr="001A3678">
        <w:rPr>
          <w:sz w:val="18"/>
          <w:szCs w:val="18"/>
        </w:rPr>
        <w:t xml:space="preserve"> </w:t>
      </w:r>
      <w:r w:rsidRPr="001A3678">
        <w:rPr>
          <w:sz w:val="18"/>
          <w:szCs w:val="18"/>
          <w:lang w:val="en-GB"/>
        </w:rPr>
        <w:t>Data provided by MFB</w:t>
      </w:r>
      <w:r w:rsidRPr="0022379C">
        <w:rPr>
          <w:sz w:val="18"/>
          <w:szCs w:val="18"/>
          <w:lang w:val="en-GB"/>
        </w:rPr>
        <w:t>.</w:t>
      </w:r>
    </w:p>
  </w:footnote>
  <w:footnote w:id="23">
    <w:p w14:paraId="6D72E0FA" w14:textId="77777777" w:rsidR="001A6758" w:rsidRPr="00144690" w:rsidRDefault="001A6758" w:rsidP="009917B8">
      <w:pPr>
        <w:pStyle w:val="FootnoteText"/>
        <w:contextualSpacing/>
        <w:rPr>
          <w:sz w:val="18"/>
          <w:szCs w:val="18"/>
        </w:rPr>
      </w:pPr>
      <w:r w:rsidRPr="001A3678">
        <w:rPr>
          <w:rStyle w:val="FootnoteReference"/>
          <w:sz w:val="18"/>
          <w:szCs w:val="18"/>
        </w:rPr>
        <w:footnoteRef/>
      </w:r>
      <w:r w:rsidRPr="001A3678">
        <w:rPr>
          <w:sz w:val="18"/>
          <w:szCs w:val="18"/>
        </w:rPr>
        <w:t xml:space="preserve"> Other than EMRs.</w:t>
      </w:r>
    </w:p>
  </w:footnote>
  <w:footnote w:id="24">
    <w:p w14:paraId="6147B585" w14:textId="4BD99F14" w:rsidR="001A6758" w:rsidRPr="00A75329" w:rsidRDefault="001A6758">
      <w:pPr>
        <w:pStyle w:val="FootnoteText"/>
        <w:rPr>
          <w:sz w:val="18"/>
          <w:szCs w:val="18"/>
          <w:lang w:val="en-GB"/>
        </w:rPr>
      </w:pPr>
      <w:r w:rsidRPr="00A75329">
        <w:rPr>
          <w:rStyle w:val="FootnoteReference"/>
          <w:sz w:val="18"/>
          <w:szCs w:val="18"/>
        </w:rPr>
        <w:footnoteRef/>
      </w:r>
      <w:r w:rsidRPr="00A75329">
        <w:rPr>
          <w:sz w:val="18"/>
          <w:szCs w:val="18"/>
        </w:rPr>
        <w:t xml:space="preserve"> </w:t>
      </w:r>
      <w:r w:rsidRPr="00A75329">
        <w:rPr>
          <w:sz w:val="18"/>
          <w:szCs w:val="18"/>
          <w:lang w:val="en-GB"/>
        </w:rPr>
        <w:t>Data provided by CFA.</w:t>
      </w:r>
    </w:p>
  </w:footnote>
  <w:footnote w:id="25">
    <w:p w14:paraId="6BE02E09" w14:textId="5636AEED" w:rsidR="001A6758" w:rsidRPr="009917B8" w:rsidRDefault="001A6758">
      <w:pPr>
        <w:pStyle w:val="FootnoteText"/>
        <w:rPr>
          <w:sz w:val="18"/>
          <w:szCs w:val="18"/>
          <w:lang w:val="en-GB"/>
        </w:rPr>
      </w:pPr>
      <w:r w:rsidRPr="009917B8">
        <w:rPr>
          <w:rStyle w:val="FootnoteReference"/>
          <w:sz w:val="18"/>
          <w:szCs w:val="18"/>
        </w:rPr>
        <w:footnoteRef/>
      </w:r>
      <w:r w:rsidRPr="009917B8">
        <w:rPr>
          <w:sz w:val="18"/>
          <w:szCs w:val="18"/>
        </w:rPr>
        <w:t xml:space="preserve"> </w:t>
      </w:r>
      <w:bookmarkStart w:id="52" w:name="_Hlk36577264"/>
      <w:r w:rsidRPr="009917B8">
        <w:rPr>
          <w:sz w:val="18"/>
          <w:szCs w:val="18"/>
        </w:rPr>
        <w:t>https://www.cfa.vic.gov.au/about/what-we-do</w:t>
      </w:r>
      <w:bookmarkEnd w:id="52"/>
    </w:p>
  </w:footnote>
  <w:footnote w:id="26">
    <w:p w14:paraId="013F9EA8" w14:textId="77777777" w:rsidR="001A6758" w:rsidRDefault="001A6758" w:rsidP="00DF55E7">
      <w:pPr>
        <w:pStyle w:val="FootnoteText"/>
        <w:rPr>
          <w:sz w:val="18"/>
          <w:szCs w:val="18"/>
        </w:rPr>
      </w:pPr>
      <w:r>
        <w:rPr>
          <w:rStyle w:val="FootnoteReference"/>
          <w:sz w:val="18"/>
          <w:szCs w:val="18"/>
        </w:rPr>
        <w:footnoteRef/>
      </w:r>
      <w:r>
        <w:rPr>
          <w:sz w:val="18"/>
          <w:szCs w:val="18"/>
        </w:rPr>
        <w:t xml:space="preserve"> A brigade or other fire or emergency service unit established under the Act.</w:t>
      </w:r>
    </w:p>
  </w:footnote>
  <w:footnote w:id="27">
    <w:p w14:paraId="00B634D4" w14:textId="77777777" w:rsidR="001A6758" w:rsidRDefault="001A6758" w:rsidP="00DF55E7">
      <w:pPr>
        <w:pStyle w:val="FootnoteText"/>
        <w:rPr>
          <w:sz w:val="18"/>
          <w:szCs w:val="18"/>
        </w:rPr>
      </w:pPr>
      <w:r w:rsidRPr="00AC4EC0">
        <w:rPr>
          <w:rStyle w:val="FootnoteReference"/>
          <w:sz w:val="18"/>
          <w:szCs w:val="18"/>
        </w:rPr>
        <w:footnoteRef/>
      </w:r>
      <w:r w:rsidRPr="00AC4EC0">
        <w:rPr>
          <w:sz w:val="18"/>
          <w:szCs w:val="18"/>
        </w:rPr>
        <w:t xml:space="preserve"> </w:t>
      </w:r>
      <w:bookmarkStart w:id="57" w:name="_Hlk36577279"/>
      <w:r w:rsidRPr="00AC4EC0">
        <w:rPr>
          <w:sz w:val="18"/>
          <w:szCs w:val="18"/>
        </w:rPr>
        <w:t>http://www.vba.vic.gov.au/practitioners/legislation#the_building_act_____ (accessed, 7 July 2016).</w:t>
      </w:r>
      <w:bookmarkEnd w:id="57"/>
    </w:p>
  </w:footnote>
  <w:footnote w:id="28">
    <w:p w14:paraId="7314503E" w14:textId="77777777" w:rsidR="001A6758" w:rsidRDefault="001A6758" w:rsidP="00DF55E7">
      <w:pPr>
        <w:pStyle w:val="FootnoteText"/>
        <w:rPr>
          <w:sz w:val="18"/>
          <w:szCs w:val="18"/>
        </w:rPr>
      </w:pPr>
      <w:r>
        <w:rPr>
          <w:rStyle w:val="FootnoteReference"/>
          <w:sz w:val="18"/>
          <w:szCs w:val="18"/>
        </w:rPr>
        <w:footnoteRef/>
      </w:r>
      <w:r>
        <w:rPr>
          <w:sz w:val="18"/>
          <w:szCs w:val="18"/>
        </w:rPr>
        <w:t xml:space="preserve"> For the purposes of section 75A(d) of the Act.</w:t>
      </w:r>
    </w:p>
  </w:footnote>
  <w:footnote w:id="29">
    <w:p w14:paraId="6D576178" w14:textId="77777777" w:rsidR="001A6758" w:rsidRDefault="001A6758" w:rsidP="00DF55E7">
      <w:pPr>
        <w:pStyle w:val="FootnoteText"/>
        <w:rPr>
          <w:sz w:val="18"/>
          <w:szCs w:val="18"/>
        </w:rPr>
      </w:pPr>
      <w:r>
        <w:rPr>
          <w:rStyle w:val="FootnoteReference"/>
          <w:sz w:val="18"/>
          <w:szCs w:val="18"/>
        </w:rPr>
        <w:footnoteRef/>
      </w:r>
      <w:r>
        <w:rPr>
          <w:sz w:val="18"/>
          <w:szCs w:val="18"/>
        </w:rPr>
        <w:t xml:space="preserve"> Made under section </w:t>
      </w:r>
      <w:r>
        <w:rPr>
          <w:rFonts w:ascii="P˘Í^ˇ" w:hAnsi="P˘Í^ˇ" w:cs="P˘Í^ˇ"/>
          <w:color w:val="010202"/>
          <w:sz w:val="18"/>
          <w:szCs w:val="18"/>
        </w:rPr>
        <w:t>80(1) of the Act.</w:t>
      </w:r>
    </w:p>
  </w:footnote>
  <w:footnote w:id="30">
    <w:p w14:paraId="44F03505" w14:textId="77777777" w:rsidR="001A6758" w:rsidRDefault="001A6758" w:rsidP="00DF55E7">
      <w:pPr>
        <w:pStyle w:val="FootnoteText"/>
        <w:rPr>
          <w:sz w:val="18"/>
          <w:szCs w:val="18"/>
        </w:rPr>
      </w:pPr>
      <w:r>
        <w:rPr>
          <w:rStyle w:val="FootnoteReference"/>
          <w:sz w:val="18"/>
          <w:szCs w:val="18"/>
        </w:rPr>
        <w:footnoteRef/>
      </w:r>
      <w:r>
        <w:rPr>
          <w:sz w:val="18"/>
          <w:szCs w:val="18"/>
        </w:rPr>
        <w:t xml:space="preserve"> As defined in section 79</w:t>
      </w:r>
      <w:proofErr w:type="gramStart"/>
      <w:r>
        <w:rPr>
          <w:sz w:val="18"/>
          <w:szCs w:val="18"/>
        </w:rPr>
        <w:t>P(</w:t>
      </w:r>
      <w:proofErr w:type="gramEnd"/>
      <w:r>
        <w:rPr>
          <w:sz w:val="18"/>
          <w:szCs w:val="18"/>
        </w:rPr>
        <w:t>3) of the Act.</w:t>
      </w:r>
    </w:p>
  </w:footnote>
  <w:footnote w:id="31">
    <w:p w14:paraId="4E2ECD3E" w14:textId="77777777" w:rsidR="001A6758" w:rsidRDefault="001A6758" w:rsidP="00DF55E7">
      <w:pPr>
        <w:pStyle w:val="FootnoteText"/>
        <w:rPr>
          <w:sz w:val="18"/>
          <w:szCs w:val="18"/>
        </w:rPr>
      </w:pPr>
      <w:r>
        <w:rPr>
          <w:rStyle w:val="FootnoteReference"/>
          <w:sz w:val="18"/>
          <w:szCs w:val="18"/>
        </w:rPr>
        <w:footnoteRef/>
      </w:r>
      <w:r>
        <w:rPr>
          <w:sz w:val="18"/>
          <w:szCs w:val="18"/>
        </w:rPr>
        <w:t xml:space="preserve"> An appellant must give notice of an appeal under section 79H of the Act.</w:t>
      </w:r>
    </w:p>
  </w:footnote>
  <w:footnote w:id="32">
    <w:p w14:paraId="46A04CD8" w14:textId="77777777" w:rsidR="001A6758" w:rsidRDefault="001A6758" w:rsidP="00950B64">
      <w:pPr>
        <w:pStyle w:val="FootnoteText"/>
        <w:rPr>
          <w:sz w:val="18"/>
          <w:szCs w:val="18"/>
        </w:rPr>
      </w:pPr>
      <w:r>
        <w:rPr>
          <w:rStyle w:val="FootnoteReference"/>
          <w:sz w:val="18"/>
          <w:szCs w:val="18"/>
        </w:rPr>
        <w:footnoteRef/>
      </w:r>
      <w:r>
        <w:rPr>
          <w:sz w:val="18"/>
          <w:szCs w:val="18"/>
        </w:rPr>
        <w:t xml:space="preserve"> Made under </w:t>
      </w:r>
      <w:r>
        <w:rPr>
          <w:color w:val="auto"/>
          <w:sz w:val="18"/>
          <w:szCs w:val="18"/>
        </w:rPr>
        <w:t xml:space="preserve">section 32(D) </w:t>
      </w:r>
      <w:r>
        <w:rPr>
          <w:sz w:val="18"/>
          <w:szCs w:val="18"/>
        </w:rPr>
        <w:t>of the Act.</w:t>
      </w:r>
    </w:p>
  </w:footnote>
  <w:footnote w:id="33">
    <w:p w14:paraId="2028385B" w14:textId="77777777" w:rsidR="001A6758" w:rsidRDefault="001A6758" w:rsidP="00DF55E7">
      <w:pPr>
        <w:pStyle w:val="FootnoteText"/>
        <w:rPr>
          <w:sz w:val="18"/>
          <w:szCs w:val="18"/>
        </w:rPr>
      </w:pPr>
      <w:r>
        <w:rPr>
          <w:rStyle w:val="FootnoteReference"/>
          <w:sz w:val="18"/>
          <w:szCs w:val="18"/>
        </w:rPr>
        <w:footnoteRef/>
      </w:r>
      <w:r>
        <w:rPr>
          <w:sz w:val="18"/>
          <w:szCs w:val="18"/>
        </w:rPr>
        <w:t xml:space="preserve"> Subject to any direction of the Minister under section 8 of the Act, the charges set by the Board from time to time under section 55C of the Act may be such charges as the Board thinks fit.</w:t>
      </w:r>
    </w:p>
  </w:footnote>
  <w:footnote w:id="34">
    <w:p w14:paraId="4206ACBC" w14:textId="2BC2DDDA" w:rsidR="001A6758" w:rsidRDefault="001A6758" w:rsidP="00DF55E7">
      <w:pPr>
        <w:pStyle w:val="FootnoteText"/>
        <w:rPr>
          <w:sz w:val="18"/>
          <w:szCs w:val="18"/>
        </w:rPr>
      </w:pPr>
      <w:r>
        <w:rPr>
          <w:rStyle w:val="FootnoteReference"/>
          <w:sz w:val="18"/>
          <w:szCs w:val="18"/>
        </w:rPr>
        <w:footnoteRef/>
      </w:r>
      <w:r>
        <w:rPr>
          <w:sz w:val="18"/>
          <w:szCs w:val="18"/>
        </w:rPr>
        <w:t xml:space="preserve"> Board can charge fee for rescue services provided to people entitled to compensation </w:t>
      </w:r>
      <w:proofErr w:type="gramStart"/>
      <w:r>
        <w:rPr>
          <w:sz w:val="18"/>
          <w:szCs w:val="18"/>
        </w:rPr>
        <w:t>under:</w:t>
      </w:r>
      <w:proofErr w:type="gramEnd"/>
      <w:r>
        <w:rPr>
          <w:sz w:val="18"/>
          <w:szCs w:val="18"/>
        </w:rPr>
        <w:t xml:space="preserve"> section 60(2)(a) of the Transport Accident Act 1986; section 99(1)(a) of the Accident Compensation Act 1985; or section 224(1)(a) of the Workplace Injury Rehabilitation and Compensation Act 2013.</w:t>
      </w:r>
    </w:p>
  </w:footnote>
  <w:footnote w:id="35">
    <w:p w14:paraId="151D928C" w14:textId="77777777" w:rsidR="001A6758" w:rsidRDefault="001A6758" w:rsidP="00DF55E7">
      <w:pPr>
        <w:pStyle w:val="FootnoteText"/>
        <w:rPr>
          <w:sz w:val="18"/>
          <w:szCs w:val="18"/>
        </w:rPr>
      </w:pPr>
      <w:r>
        <w:rPr>
          <w:rStyle w:val="FootnoteReference"/>
          <w:sz w:val="18"/>
          <w:szCs w:val="18"/>
        </w:rPr>
        <w:footnoteRef/>
      </w:r>
      <w:r>
        <w:rPr>
          <w:sz w:val="18"/>
          <w:szCs w:val="18"/>
        </w:rPr>
        <w:t xml:space="preserve"> For the purpose of sections 87(3) and 88(3)(b) of the Act.</w:t>
      </w:r>
    </w:p>
  </w:footnote>
  <w:footnote w:id="36">
    <w:p w14:paraId="2A8BCE11" w14:textId="77777777" w:rsidR="001A6758" w:rsidRDefault="001A6758" w:rsidP="00DF55E7">
      <w:pPr>
        <w:pStyle w:val="FootnoteText"/>
        <w:rPr>
          <w:sz w:val="18"/>
          <w:szCs w:val="18"/>
        </w:rPr>
      </w:pPr>
      <w:r w:rsidRPr="00AC4EC0">
        <w:rPr>
          <w:rStyle w:val="FootnoteReference"/>
          <w:sz w:val="18"/>
          <w:szCs w:val="18"/>
        </w:rPr>
        <w:footnoteRef/>
      </w:r>
      <w:r w:rsidRPr="00AC4EC0">
        <w:rPr>
          <w:sz w:val="18"/>
          <w:szCs w:val="18"/>
        </w:rPr>
        <w:t xml:space="preserve"> http://www.vba.vic.gov.au/practitioners/legislation#building_regulations (accessed 7 July 2016).</w:t>
      </w:r>
    </w:p>
  </w:footnote>
  <w:footnote w:id="37">
    <w:p w14:paraId="506D2769" w14:textId="77777777" w:rsidR="001A6758" w:rsidRDefault="001A6758" w:rsidP="00DF55E7">
      <w:pPr>
        <w:pStyle w:val="FootnoteText"/>
        <w:rPr>
          <w:sz w:val="18"/>
          <w:szCs w:val="18"/>
        </w:rPr>
      </w:pPr>
      <w:r>
        <w:rPr>
          <w:rStyle w:val="FootnoteReference"/>
          <w:sz w:val="18"/>
          <w:szCs w:val="18"/>
        </w:rPr>
        <w:footnoteRef/>
      </w:r>
      <w:r>
        <w:rPr>
          <w:sz w:val="18"/>
          <w:szCs w:val="18"/>
        </w:rPr>
        <w:t xml:space="preserve"> Made under section 18 of the Building Act 1993.</w:t>
      </w:r>
    </w:p>
  </w:footnote>
  <w:footnote w:id="38">
    <w:p w14:paraId="4F01D805" w14:textId="77777777" w:rsidR="001A6758" w:rsidRPr="009917B8" w:rsidRDefault="001A6758" w:rsidP="00837943">
      <w:pPr>
        <w:pStyle w:val="FootnoteText"/>
        <w:rPr>
          <w:sz w:val="18"/>
          <w:szCs w:val="18"/>
          <w:lang w:val="en-GB"/>
        </w:rPr>
      </w:pPr>
      <w:r w:rsidRPr="009917B8">
        <w:rPr>
          <w:rStyle w:val="FootnoteReference"/>
          <w:sz w:val="18"/>
          <w:szCs w:val="18"/>
        </w:rPr>
        <w:footnoteRef/>
      </w:r>
      <w:r w:rsidRPr="009917B8">
        <w:rPr>
          <w:sz w:val="18"/>
          <w:szCs w:val="18"/>
        </w:rPr>
        <w:t xml:space="preserve"> </w:t>
      </w:r>
      <w:r w:rsidRPr="009917B8">
        <w:rPr>
          <w:sz w:val="18"/>
          <w:szCs w:val="18"/>
          <w:lang w:val="en-GB"/>
        </w:rPr>
        <w:t>Currently 39.06 fee units or $578.48.</w:t>
      </w:r>
    </w:p>
  </w:footnote>
  <w:footnote w:id="39">
    <w:p w14:paraId="61626A91" w14:textId="77777777" w:rsidR="001A6758" w:rsidRPr="00EA0AA8" w:rsidRDefault="001A6758" w:rsidP="004D5552">
      <w:pPr>
        <w:pStyle w:val="FootnoteText"/>
        <w:rPr>
          <w:sz w:val="18"/>
          <w:szCs w:val="18"/>
        </w:rPr>
      </w:pPr>
      <w:r w:rsidRPr="00EA0AA8">
        <w:rPr>
          <w:rStyle w:val="FootnoteReference"/>
          <w:sz w:val="18"/>
          <w:szCs w:val="18"/>
        </w:rPr>
        <w:footnoteRef/>
      </w:r>
      <w:r w:rsidRPr="00EA0AA8">
        <w:rPr>
          <w:sz w:val="18"/>
          <w:szCs w:val="18"/>
        </w:rPr>
        <w:t xml:space="preserve"> See Table A</w:t>
      </w:r>
      <w:r>
        <w:rPr>
          <w:sz w:val="18"/>
          <w:szCs w:val="18"/>
        </w:rPr>
        <w:t>3</w:t>
      </w:r>
      <w:r w:rsidRPr="00EA0AA8">
        <w:rPr>
          <w:sz w:val="18"/>
          <w:szCs w:val="18"/>
        </w:rPr>
        <w:t>.</w:t>
      </w:r>
      <w:r>
        <w:rPr>
          <w:sz w:val="18"/>
          <w:szCs w:val="18"/>
        </w:rPr>
        <w:t>1 in Appendix 3 for source of estimate.</w:t>
      </w:r>
    </w:p>
  </w:footnote>
  <w:footnote w:id="40">
    <w:p w14:paraId="1B3C4E68" w14:textId="799BF4E4" w:rsidR="001A6758" w:rsidRPr="00936FB1" w:rsidRDefault="001A6758">
      <w:pPr>
        <w:pStyle w:val="FootnoteText"/>
        <w:rPr>
          <w:sz w:val="18"/>
          <w:szCs w:val="18"/>
          <w:lang w:val="en-GB"/>
        </w:rPr>
      </w:pPr>
      <w:r w:rsidRPr="00936FB1">
        <w:rPr>
          <w:rStyle w:val="FootnoteReference"/>
          <w:sz w:val="18"/>
          <w:szCs w:val="18"/>
        </w:rPr>
        <w:footnoteRef/>
      </w:r>
      <w:r w:rsidRPr="00936FB1">
        <w:rPr>
          <w:sz w:val="18"/>
          <w:szCs w:val="18"/>
        </w:rPr>
        <w:t xml:space="preserve"> </w:t>
      </w:r>
      <w:r w:rsidRPr="00936FB1">
        <w:rPr>
          <w:sz w:val="18"/>
          <w:szCs w:val="18"/>
          <w:lang w:val="en-GB"/>
        </w:rPr>
        <w:t>See Table A3.1 in Appendix 3 for source of estimate.</w:t>
      </w:r>
    </w:p>
  </w:footnote>
  <w:footnote w:id="41">
    <w:p w14:paraId="664919F8" w14:textId="6F0ECF41" w:rsidR="001A6758" w:rsidRPr="00A02D43" w:rsidRDefault="001A6758">
      <w:pPr>
        <w:pStyle w:val="FootnoteText"/>
        <w:rPr>
          <w:lang w:val="en-GB"/>
        </w:rPr>
      </w:pPr>
      <w:r w:rsidRPr="00936FB1">
        <w:rPr>
          <w:rStyle w:val="FootnoteReference"/>
          <w:sz w:val="18"/>
          <w:szCs w:val="18"/>
        </w:rPr>
        <w:footnoteRef/>
      </w:r>
      <w:r w:rsidRPr="00936FB1">
        <w:rPr>
          <w:sz w:val="18"/>
          <w:szCs w:val="18"/>
        </w:rPr>
        <w:t xml:space="preserve"> </w:t>
      </w:r>
      <w:r w:rsidRPr="00936FB1">
        <w:rPr>
          <w:sz w:val="18"/>
          <w:szCs w:val="18"/>
          <w:lang w:val="en-GB"/>
        </w:rPr>
        <w:t>See Table A3.3 in Appendix 3 for source of estimate.</w:t>
      </w:r>
    </w:p>
  </w:footnote>
  <w:footnote w:id="42">
    <w:p w14:paraId="7931D341" w14:textId="56D4854C" w:rsidR="001A6758" w:rsidRPr="0007756B" w:rsidRDefault="001A6758" w:rsidP="00453CB4">
      <w:pPr>
        <w:pStyle w:val="FootnoteText"/>
        <w:rPr>
          <w:sz w:val="18"/>
          <w:szCs w:val="18"/>
        </w:rPr>
      </w:pPr>
      <w:r w:rsidRPr="0007756B">
        <w:rPr>
          <w:rStyle w:val="FootnoteReference"/>
          <w:sz w:val="18"/>
          <w:szCs w:val="18"/>
        </w:rPr>
        <w:footnoteRef/>
      </w:r>
      <w:r w:rsidRPr="0007756B">
        <w:rPr>
          <w:sz w:val="18"/>
          <w:szCs w:val="18"/>
        </w:rPr>
        <w:t xml:space="preserve"> In respect of an attendance of a unit in response to a hazardous materials incident or toxic fire incident</w:t>
      </w:r>
      <w:r>
        <w:rPr>
          <w:sz w:val="18"/>
          <w:szCs w:val="18"/>
        </w:rPr>
        <w:t>.</w:t>
      </w:r>
    </w:p>
  </w:footnote>
  <w:footnote w:id="43">
    <w:p w14:paraId="5ED9B0C0" w14:textId="0A56486F" w:rsidR="001A6758" w:rsidRPr="00A7735A" w:rsidRDefault="001A6758">
      <w:pPr>
        <w:pStyle w:val="FootnoteText"/>
        <w:rPr>
          <w:sz w:val="18"/>
          <w:szCs w:val="18"/>
          <w:lang w:val="en-GB"/>
        </w:rPr>
      </w:pPr>
      <w:r w:rsidRPr="00A7735A">
        <w:rPr>
          <w:rStyle w:val="FootnoteReference"/>
          <w:sz w:val="18"/>
          <w:szCs w:val="18"/>
        </w:rPr>
        <w:footnoteRef/>
      </w:r>
      <w:r w:rsidRPr="00A7735A">
        <w:rPr>
          <w:sz w:val="18"/>
          <w:szCs w:val="18"/>
        </w:rPr>
        <w:t xml:space="preserve"> </w:t>
      </w:r>
      <w:r w:rsidRPr="00A7735A">
        <w:rPr>
          <w:sz w:val="18"/>
          <w:szCs w:val="18"/>
          <w:lang w:val="en-GB"/>
        </w:rPr>
        <w:t>Data provided by CFA.</w:t>
      </w:r>
    </w:p>
  </w:footnote>
  <w:footnote w:id="44">
    <w:p w14:paraId="5DAD4FEE" w14:textId="041C0DCF" w:rsidR="001A6758" w:rsidRPr="009917B8" w:rsidRDefault="001A6758">
      <w:pPr>
        <w:pStyle w:val="FootnoteText"/>
        <w:rPr>
          <w:sz w:val="18"/>
          <w:szCs w:val="18"/>
          <w:lang w:val="en-GB"/>
        </w:rPr>
      </w:pPr>
      <w:r w:rsidRPr="009917B8">
        <w:rPr>
          <w:rStyle w:val="FootnoteReference"/>
          <w:sz w:val="18"/>
          <w:szCs w:val="18"/>
        </w:rPr>
        <w:footnoteRef/>
      </w:r>
      <w:r w:rsidRPr="009917B8">
        <w:rPr>
          <w:sz w:val="18"/>
          <w:szCs w:val="18"/>
        </w:rPr>
        <w:t xml:space="preserve"> </w:t>
      </w:r>
      <w:r w:rsidRPr="009917B8">
        <w:rPr>
          <w:sz w:val="18"/>
          <w:szCs w:val="18"/>
          <w:lang w:val="en-GB"/>
        </w:rPr>
        <w:t xml:space="preserve">With regards to regulation 21 costs have increased </w:t>
      </w:r>
      <w:r>
        <w:rPr>
          <w:sz w:val="18"/>
          <w:szCs w:val="18"/>
          <w:lang w:val="en-GB"/>
        </w:rPr>
        <w:t>since</w:t>
      </w:r>
      <w:r w:rsidRPr="009917B8">
        <w:rPr>
          <w:sz w:val="18"/>
          <w:szCs w:val="18"/>
          <w:lang w:val="en-GB"/>
        </w:rPr>
        <w:t xml:space="preserve"> 2016-17</w:t>
      </w:r>
      <w:r>
        <w:rPr>
          <w:sz w:val="18"/>
          <w:szCs w:val="18"/>
          <w:lang w:val="en-GB"/>
        </w:rPr>
        <w:t xml:space="preserve"> by about $1.1 million.</w:t>
      </w:r>
    </w:p>
  </w:footnote>
  <w:footnote w:id="45">
    <w:p w14:paraId="4EA5FBF6" w14:textId="53B5B39B" w:rsidR="001A6758" w:rsidRPr="00A7735A" w:rsidRDefault="001A6758">
      <w:pPr>
        <w:pStyle w:val="FootnoteText"/>
        <w:rPr>
          <w:sz w:val="18"/>
          <w:szCs w:val="18"/>
          <w:lang w:val="en-GB"/>
        </w:rPr>
      </w:pPr>
      <w:r w:rsidRPr="00A7735A">
        <w:rPr>
          <w:rStyle w:val="FootnoteReference"/>
          <w:sz w:val="18"/>
          <w:szCs w:val="18"/>
        </w:rPr>
        <w:footnoteRef/>
      </w:r>
      <w:r w:rsidRPr="00A7735A">
        <w:rPr>
          <w:sz w:val="18"/>
          <w:szCs w:val="18"/>
        </w:rPr>
        <w:t xml:space="preserve"> </w:t>
      </w:r>
      <w:r w:rsidRPr="00A7735A">
        <w:rPr>
          <w:sz w:val="18"/>
          <w:szCs w:val="18"/>
          <w:lang w:val="en-GB"/>
        </w:rPr>
        <w:t>Data provided by CFA.</w:t>
      </w:r>
    </w:p>
  </w:footnote>
  <w:footnote w:id="46">
    <w:p w14:paraId="6AB72EA8" w14:textId="5279CC6B" w:rsidR="001A6758" w:rsidRPr="00A7735A" w:rsidRDefault="001A6758">
      <w:pPr>
        <w:pStyle w:val="FootnoteText"/>
        <w:rPr>
          <w:sz w:val="18"/>
          <w:szCs w:val="18"/>
          <w:lang w:val="en-GB"/>
        </w:rPr>
      </w:pPr>
      <w:r w:rsidRPr="00A7735A">
        <w:rPr>
          <w:rStyle w:val="FootnoteReference"/>
          <w:sz w:val="18"/>
          <w:szCs w:val="18"/>
        </w:rPr>
        <w:footnoteRef/>
      </w:r>
      <w:r w:rsidRPr="00A7735A">
        <w:rPr>
          <w:sz w:val="18"/>
          <w:szCs w:val="18"/>
        </w:rPr>
        <w:t xml:space="preserve"> </w:t>
      </w:r>
      <w:r w:rsidRPr="00A7735A">
        <w:rPr>
          <w:sz w:val="18"/>
          <w:szCs w:val="18"/>
          <w:lang w:val="en-GB"/>
        </w:rPr>
        <w:t>Data provided by CFA.</w:t>
      </w:r>
    </w:p>
  </w:footnote>
  <w:footnote w:id="47">
    <w:p w14:paraId="07825BF1" w14:textId="77777777" w:rsidR="001A6758" w:rsidRPr="00750F00" w:rsidRDefault="001A6758" w:rsidP="00453CB4">
      <w:pPr>
        <w:pStyle w:val="FootnoteText"/>
        <w:rPr>
          <w:sz w:val="18"/>
          <w:szCs w:val="18"/>
        </w:rPr>
      </w:pPr>
      <w:r w:rsidRPr="00750F00">
        <w:rPr>
          <w:rStyle w:val="FootnoteReference"/>
          <w:sz w:val="18"/>
          <w:szCs w:val="18"/>
        </w:rPr>
        <w:footnoteRef/>
      </w:r>
      <w:r w:rsidRPr="00750F00">
        <w:rPr>
          <w:sz w:val="18"/>
          <w:szCs w:val="18"/>
        </w:rPr>
        <w:t xml:space="preserve"> Where compensation </w:t>
      </w:r>
      <w:r>
        <w:rPr>
          <w:sz w:val="18"/>
          <w:szCs w:val="18"/>
        </w:rPr>
        <w:t xml:space="preserve">of persons involved in incident </w:t>
      </w:r>
      <w:r w:rsidRPr="00750F00">
        <w:rPr>
          <w:sz w:val="18"/>
          <w:szCs w:val="18"/>
        </w:rPr>
        <w:t>comes under section 60(2)(a) of the Transport Accident Act 1986</w:t>
      </w:r>
    </w:p>
  </w:footnote>
  <w:footnote w:id="48">
    <w:p w14:paraId="2F0DD709" w14:textId="77777777" w:rsidR="001A6758" w:rsidRPr="00750F00" w:rsidRDefault="001A6758" w:rsidP="00453CB4">
      <w:pPr>
        <w:pStyle w:val="FootnoteText"/>
        <w:rPr>
          <w:sz w:val="18"/>
          <w:szCs w:val="18"/>
        </w:rPr>
      </w:pPr>
      <w:r w:rsidRPr="00750F00">
        <w:rPr>
          <w:rStyle w:val="FootnoteReference"/>
          <w:sz w:val="18"/>
          <w:szCs w:val="18"/>
        </w:rPr>
        <w:footnoteRef/>
      </w:r>
      <w:r w:rsidRPr="00750F00">
        <w:rPr>
          <w:sz w:val="18"/>
          <w:szCs w:val="18"/>
        </w:rPr>
        <w:t xml:space="preserve"> </w:t>
      </w:r>
      <w:r>
        <w:rPr>
          <w:sz w:val="18"/>
          <w:szCs w:val="18"/>
        </w:rPr>
        <w:t>W</w:t>
      </w:r>
      <w:r w:rsidRPr="00750F00">
        <w:rPr>
          <w:sz w:val="18"/>
          <w:szCs w:val="18"/>
        </w:rPr>
        <w:t xml:space="preserve">here compensation </w:t>
      </w:r>
      <w:r>
        <w:rPr>
          <w:sz w:val="18"/>
          <w:szCs w:val="18"/>
        </w:rPr>
        <w:t xml:space="preserve">of persons involved in incident </w:t>
      </w:r>
      <w:r w:rsidRPr="00750F00">
        <w:rPr>
          <w:sz w:val="18"/>
          <w:szCs w:val="18"/>
        </w:rPr>
        <w:t>comes under section 99(1)(a) of the Accident Compensation Act 1985 or section 224(1)(a) of the Workplace Injury Rehabilitation and Compensation Act 2013</w:t>
      </w:r>
    </w:p>
  </w:footnote>
  <w:footnote w:id="49">
    <w:p w14:paraId="438F8C6C" w14:textId="655C33D8" w:rsidR="001A6758" w:rsidRPr="00B855FA" w:rsidRDefault="001A6758">
      <w:pPr>
        <w:pStyle w:val="FootnoteText"/>
        <w:rPr>
          <w:sz w:val="18"/>
          <w:szCs w:val="18"/>
          <w:lang w:val="en-GB"/>
        </w:rPr>
      </w:pPr>
      <w:r w:rsidRPr="00B855FA">
        <w:rPr>
          <w:rStyle w:val="FootnoteReference"/>
          <w:sz w:val="18"/>
          <w:szCs w:val="18"/>
        </w:rPr>
        <w:footnoteRef/>
      </w:r>
      <w:r w:rsidRPr="00B855FA">
        <w:rPr>
          <w:sz w:val="18"/>
          <w:szCs w:val="18"/>
        </w:rPr>
        <w:t xml:space="preserve"> Under Reg.129, Building Regulations 2018</w:t>
      </w:r>
      <w:r>
        <w:rPr>
          <w:sz w:val="18"/>
          <w:szCs w:val="18"/>
        </w:rPr>
        <w:t xml:space="preserve"> and includes reports to building surveyors.</w:t>
      </w:r>
    </w:p>
  </w:footnote>
  <w:footnote w:id="50">
    <w:p w14:paraId="3278CFC3" w14:textId="1D2EA955" w:rsidR="001A6758" w:rsidRPr="00B855FA" w:rsidRDefault="001A6758">
      <w:pPr>
        <w:pStyle w:val="FootnoteText"/>
        <w:rPr>
          <w:lang w:val="en-GB"/>
        </w:rPr>
      </w:pPr>
      <w:r w:rsidRPr="00B855FA">
        <w:rPr>
          <w:rStyle w:val="FootnoteReference"/>
          <w:sz w:val="18"/>
          <w:szCs w:val="18"/>
        </w:rPr>
        <w:footnoteRef/>
      </w:r>
      <w:r w:rsidRPr="00B855FA">
        <w:rPr>
          <w:sz w:val="18"/>
          <w:szCs w:val="18"/>
        </w:rPr>
        <w:t xml:space="preserve"> Under Reg.187(1), Building Regulations 2018</w:t>
      </w:r>
      <w:r>
        <w:rPr>
          <w:sz w:val="18"/>
          <w:szCs w:val="18"/>
        </w:rPr>
        <w:t xml:space="preserve"> and includes reports to building surveyors.</w:t>
      </w:r>
    </w:p>
  </w:footnote>
  <w:footnote w:id="51">
    <w:p w14:paraId="7773FD26" w14:textId="3EF3B932" w:rsidR="001A6758" w:rsidRPr="009A3C8B" w:rsidRDefault="001A6758" w:rsidP="004B330F">
      <w:pPr>
        <w:pStyle w:val="FootnoteText"/>
        <w:rPr>
          <w:sz w:val="18"/>
          <w:szCs w:val="18"/>
        </w:rPr>
      </w:pPr>
      <w:r w:rsidRPr="009A3C8B">
        <w:rPr>
          <w:rStyle w:val="FootnoteReference"/>
          <w:sz w:val="18"/>
          <w:szCs w:val="18"/>
        </w:rPr>
        <w:footnoteRef/>
      </w:r>
      <w:r w:rsidRPr="009A3C8B">
        <w:rPr>
          <w:sz w:val="18"/>
          <w:szCs w:val="18"/>
        </w:rPr>
        <w:t xml:space="preserve"> This does not include services provided by </w:t>
      </w:r>
      <w:r>
        <w:rPr>
          <w:sz w:val="18"/>
          <w:szCs w:val="18"/>
        </w:rPr>
        <w:t>CFA</w:t>
      </w:r>
      <w:r w:rsidRPr="009A3C8B">
        <w:rPr>
          <w:sz w:val="18"/>
          <w:szCs w:val="18"/>
        </w:rPr>
        <w:t xml:space="preserve"> around ‘fire readiness’ which a number of commercial operators also provide in a competitive market</w:t>
      </w:r>
      <w:r>
        <w:rPr>
          <w:sz w:val="18"/>
          <w:szCs w:val="18"/>
        </w:rPr>
        <w:t xml:space="preserve"> and</w:t>
      </w:r>
      <w:r w:rsidRPr="009A3C8B">
        <w:rPr>
          <w:sz w:val="18"/>
          <w:szCs w:val="18"/>
        </w:rPr>
        <w:t xml:space="preserve"> at a common market rate of around $250</w:t>
      </w:r>
      <w:r>
        <w:rPr>
          <w:sz w:val="18"/>
          <w:szCs w:val="18"/>
        </w:rPr>
        <w:t xml:space="preserve"> per hour</w:t>
      </w:r>
      <w:r w:rsidRPr="009A3C8B">
        <w:rPr>
          <w:sz w:val="18"/>
          <w:szCs w:val="18"/>
        </w:rPr>
        <w:t>.</w:t>
      </w:r>
    </w:p>
  </w:footnote>
  <w:footnote w:id="52">
    <w:p w14:paraId="708FF44B" w14:textId="1607829E" w:rsidR="001A6758" w:rsidRPr="008F1269" w:rsidRDefault="001A6758">
      <w:pPr>
        <w:pStyle w:val="FootnoteText"/>
        <w:rPr>
          <w:sz w:val="18"/>
          <w:szCs w:val="18"/>
          <w:lang w:val="en-GB"/>
        </w:rPr>
      </w:pPr>
      <w:r w:rsidRPr="008F1269">
        <w:rPr>
          <w:rStyle w:val="FootnoteReference"/>
          <w:sz w:val="18"/>
          <w:szCs w:val="18"/>
        </w:rPr>
        <w:footnoteRef/>
      </w:r>
      <w:r w:rsidRPr="008F1269">
        <w:rPr>
          <w:sz w:val="18"/>
          <w:szCs w:val="18"/>
        </w:rPr>
        <w:t xml:space="preserve"> </w:t>
      </w:r>
      <w:r>
        <w:rPr>
          <w:sz w:val="18"/>
          <w:szCs w:val="18"/>
          <w:lang w:val="en-GB"/>
        </w:rPr>
        <w:t>U</w:t>
      </w:r>
      <w:r w:rsidRPr="008F1269">
        <w:rPr>
          <w:sz w:val="18"/>
          <w:szCs w:val="18"/>
          <w:lang w:val="en-GB"/>
        </w:rPr>
        <w:t>nder Reg 49, Dangerous Goods (Storage &amp; Handling Regulations) 2012</w:t>
      </w:r>
    </w:p>
  </w:footnote>
  <w:footnote w:id="53">
    <w:p w14:paraId="5865F7F4" w14:textId="3A450F21" w:rsidR="001A6758" w:rsidRPr="008F1269" w:rsidRDefault="001A6758">
      <w:pPr>
        <w:pStyle w:val="FootnoteText"/>
        <w:rPr>
          <w:sz w:val="18"/>
          <w:szCs w:val="18"/>
          <w:lang w:val="en-GB"/>
        </w:rPr>
      </w:pPr>
      <w:r w:rsidRPr="008F1269">
        <w:rPr>
          <w:rStyle w:val="FootnoteReference"/>
          <w:sz w:val="18"/>
          <w:szCs w:val="18"/>
        </w:rPr>
        <w:footnoteRef/>
      </w:r>
      <w:r w:rsidRPr="008F1269">
        <w:rPr>
          <w:sz w:val="18"/>
          <w:szCs w:val="18"/>
        </w:rPr>
        <w:t xml:space="preserve"> </w:t>
      </w:r>
      <w:r>
        <w:rPr>
          <w:sz w:val="18"/>
          <w:szCs w:val="18"/>
          <w:lang w:val="en-GB"/>
        </w:rPr>
        <w:t>U</w:t>
      </w:r>
      <w:r w:rsidRPr="008F1269">
        <w:rPr>
          <w:sz w:val="18"/>
          <w:szCs w:val="18"/>
          <w:lang w:val="en-GB"/>
        </w:rPr>
        <w:t>nder Dangerous Goods (Explosives) Regulations 2011</w:t>
      </w:r>
    </w:p>
  </w:footnote>
  <w:footnote w:id="54">
    <w:p w14:paraId="59B36AAD" w14:textId="2F49FC63" w:rsidR="001A6758" w:rsidRPr="008F1269" w:rsidRDefault="001A6758">
      <w:pPr>
        <w:pStyle w:val="FootnoteText"/>
        <w:rPr>
          <w:sz w:val="18"/>
          <w:szCs w:val="18"/>
          <w:lang w:val="en-GB"/>
        </w:rPr>
      </w:pPr>
      <w:r w:rsidRPr="008F1269">
        <w:rPr>
          <w:rStyle w:val="FootnoteReference"/>
          <w:sz w:val="18"/>
          <w:szCs w:val="18"/>
        </w:rPr>
        <w:footnoteRef/>
      </w:r>
      <w:r w:rsidRPr="008F1269">
        <w:rPr>
          <w:sz w:val="18"/>
          <w:szCs w:val="18"/>
        </w:rPr>
        <w:t xml:space="preserve"> </w:t>
      </w:r>
      <w:r>
        <w:rPr>
          <w:sz w:val="18"/>
          <w:szCs w:val="18"/>
          <w:lang w:val="en-GB"/>
        </w:rPr>
        <w:t>U</w:t>
      </w:r>
      <w:r w:rsidRPr="008F1269">
        <w:rPr>
          <w:sz w:val="18"/>
          <w:szCs w:val="18"/>
          <w:lang w:val="en-GB"/>
        </w:rPr>
        <w:t xml:space="preserve">nder </w:t>
      </w:r>
      <w:r w:rsidRPr="008F1269">
        <w:rPr>
          <w:sz w:val="18"/>
          <w:szCs w:val="18"/>
        </w:rPr>
        <w:t>Occupational Health and Safety Regulations 2017</w:t>
      </w:r>
    </w:p>
  </w:footnote>
  <w:footnote w:id="55">
    <w:p w14:paraId="7D567FF6" w14:textId="493D1755" w:rsidR="001A6758" w:rsidRPr="00D13CE1" w:rsidRDefault="001A6758">
      <w:pPr>
        <w:pStyle w:val="FootnoteText"/>
        <w:rPr>
          <w:sz w:val="18"/>
          <w:szCs w:val="18"/>
          <w:lang w:val="en-GB"/>
        </w:rPr>
      </w:pPr>
      <w:r w:rsidRPr="00D13CE1">
        <w:rPr>
          <w:rStyle w:val="FootnoteReference"/>
          <w:sz w:val="18"/>
          <w:szCs w:val="18"/>
        </w:rPr>
        <w:footnoteRef/>
      </w:r>
      <w:r w:rsidRPr="00D13CE1">
        <w:rPr>
          <w:sz w:val="18"/>
          <w:szCs w:val="18"/>
        </w:rPr>
        <w:t xml:space="preserve"> </w:t>
      </w:r>
      <w:r w:rsidRPr="00D13CE1">
        <w:rPr>
          <w:sz w:val="18"/>
          <w:szCs w:val="18"/>
          <w:lang w:val="en-GB"/>
        </w:rPr>
        <w:t xml:space="preserve">Ancillary function of </w:t>
      </w:r>
      <w:r w:rsidRPr="00D13CE1">
        <w:rPr>
          <w:sz w:val="18"/>
          <w:szCs w:val="18"/>
        </w:rPr>
        <w:t>Reg.129, Building Regulations 2018</w:t>
      </w:r>
    </w:p>
  </w:footnote>
  <w:footnote w:id="56">
    <w:p w14:paraId="5C4C1CCC" w14:textId="0901C417" w:rsidR="001A6758" w:rsidRPr="00472954" w:rsidRDefault="001A6758">
      <w:pPr>
        <w:pStyle w:val="FootnoteText"/>
        <w:rPr>
          <w:sz w:val="18"/>
          <w:szCs w:val="18"/>
          <w:lang w:val="en-GB"/>
        </w:rPr>
      </w:pPr>
      <w:r w:rsidRPr="00472954">
        <w:rPr>
          <w:rStyle w:val="FootnoteReference"/>
          <w:sz w:val="18"/>
          <w:szCs w:val="18"/>
        </w:rPr>
        <w:footnoteRef/>
      </w:r>
      <w:r w:rsidRPr="00472954">
        <w:rPr>
          <w:sz w:val="18"/>
          <w:szCs w:val="18"/>
        </w:rPr>
        <w:t xml:space="preserve"> </w:t>
      </w:r>
      <w:r w:rsidRPr="00472954">
        <w:rPr>
          <w:sz w:val="18"/>
          <w:szCs w:val="18"/>
          <w:lang w:val="en-GB"/>
        </w:rPr>
        <w:t>Data provided by MFB</w:t>
      </w:r>
      <w:r>
        <w:rPr>
          <w:sz w:val="18"/>
          <w:szCs w:val="18"/>
          <w:lang w:val="en-GB"/>
        </w:rPr>
        <w:t xml:space="preserve"> on behalf of MFB and CFA</w:t>
      </w:r>
      <w:r w:rsidRPr="00472954">
        <w:rPr>
          <w:sz w:val="18"/>
          <w:szCs w:val="18"/>
          <w:lang w:val="en-GB"/>
        </w:rPr>
        <w:t>.</w:t>
      </w:r>
    </w:p>
  </w:footnote>
  <w:footnote w:id="57">
    <w:p w14:paraId="319AE915" w14:textId="33C68E60" w:rsidR="001A6758" w:rsidRPr="00576FF0" w:rsidRDefault="001A6758" w:rsidP="00FA1EC4">
      <w:pPr>
        <w:pStyle w:val="FootnoteText"/>
        <w:rPr>
          <w:sz w:val="18"/>
          <w:szCs w:val="18"/>
          <w:lang w:val="en-GB"/>
        </w:rPr>
      </w:pPr>
      <w:r w:rsidRPr="00576FF0">
        <w:rPr>
          <w:rStyle w:val="FootnoteReference"/>
          <w:sz w:val="18"/>
          <w:szCs w:val="18"/>
        </w:rPr>
        <w:footnoteRef/>
      </w:r>
      <w:r w:rsidRPr="00576FF0">
        <w:rPr>
          <w:sz w:val="18"/>
          <w:szCs w:val="18"/>
        </w:rPr>
        <w:t xml:space="preserve"> </w:t>
      </w:r>
      <w:r>
        <w:rPr>
          <w:sz w:val="18"/>
          <w:szCs w:val="18"/>
        </w:rPr>
        <w:t>Based on average revenue of $285.94, $303.24, and $301.15 per transaction in 2018-19, 2017-18 and 2016-17, respectively, divided by $121 per hour (Data provide by MFB).</w:t>
      </w:r>
    </w:p>
  </w:footnote>
  <w:footnote w:id="58">
    <w:p w14:paraId="6C6ACA69" w14:textId="2AF35338" w:rsidR="001A6758" w:rsidRPr="00576FF0" w:rsidRDefault="001A6758" w:rsidP="00FA1EC4">
      <w:pPr>
        <w:pStyle w:val="FootnoteText"/>
        <w:rPr>
          <w:sz w:val="18"/>
          <w:szCs w:val="18"/>
          <w:lang w:val="en-GB"/>
        </w:rPr>
      </w:pPr>
      <w:r w:rsidRPr="00576FF0">
        <w:rPr>
          <w:rStyle w:val="FootnoteReference"/>
          <w:sz w:val="18"/>
          <w:szCs w:val="18"/>
        </w:rPr>
        <w:footnoteRef/>
      </w:r>
      <w:r w:rsidRPr="00576FF0">
        <w:rPr>
          <w:sz w:val="18"/>
          <w:szCs w:val="18"/>
        </w:rPr>
        <w:t xml:space="preserve"> </w:t>
      </w:r>
      <w:r>
        <w:rPr>
          <w:sz w:val="18"/>
          <w:szCs w:val="18"/>
        </w:rPr>
        <w:t>Based on average revenue of $285.94, $303.24, and $301.15 per transaction in 2018-19, 2017-18 and 2016-17, respectively, divided by $121 per hour (Data provide by MFB).</w:t>
      </w:r>
    </w:p>
  </w:footnote>
  <w:footnote w:id="59">
    <w:p w14:paraId="11D90B80" w14:textId="3747ACB5" w:rsidR="001A6758" w:rsidRPr="00873EB1" w:rsidRDefault="001A6758">
      <w:pPr>
        <w:pStyle w:val="FootnoteText"/>
        <w:rPr>
          <w:sz w:val="18"/>
          <w:szCs w:val="18"/>
          <w:lang w:val="en-GB"/>
        </w:rPr>
      </w:pPr>
      <w:r w:rsidRPr="00873EB1">
        <w:rPr>
          <w:rStyle w:val="FootnoteReference"/>
          <w:sz w:val="18"/>
          <w:szCs w:val="18"/>
        </w:rPr>
        <w:footnoteRef/>
      </w:r>
      <w:r w:rsidRPr="00873EB1">
        <w:rPr>
          <w:sz w:val="18"/>
          <w:szCs w:val="18"/>
        </w:rPr>
        <w:t xml:space="preserve"> Calculated using a 4% real discount rate.</w:t>
      </w:r>
    </w:p>
  </w:footnote>
  <w:footnote w:id="60">
    <w:p w14:paraId="181FF971" w14:textId="24B1B302" w:rsidR="001A6758" w:rsidRPr="00A61C4D" w:rsidRDefault="001A6758">
      <w:pPr>
        <w:pStyle w:val="FootnoteText"/>
        <w:rPr>
          <w:sz w:val="18"/>
          <w:szCs w:val="18"/>
          <w:lang w:val="en-GB"/>
        </w:rPr>
      </w:pPr>
      <w:r w:rsidRPr="00A61C4D">
        <w:rPr>
          <w:rStyle w:val="FootnoteReference"/>
          <w:sz w:val="18"/>
          <w:szCs w:val="18"/>
        </w:rPr>
        <w:footnoteRef/>
      </w:r>
      <w:r w:rsidRPr="00A61C4D">
        <w:rPr>
          <w:sz w:val="18"/>
          <w:szCs w:val="18"/>
        </w:rPr>
        <w:t xml:space="preserve"> </w:t>
      </w:r>
      <w:bookmarkStart w:id="79" w:name="_Hlk36577334"/>
      <w:r w:rsidRPr="00A61C4D">
        <w:rPr>
          <w:sz w:val="18"/>
          <w:szCs w:val="18"/>
        </w:rPr>
        <w:t xml:space="preserve">Guidance note 230 </w:t>
      </w:r>
      <w:r w:rsidRPr="00A61C4D">
        <w:rPr>
          <w:i/>
          <w:sz w:val="18"/>
          <w:szCs w:val="18"/>
        </w:rPr>
        <w:t>Subordinate Legislation Act 1994</w:t>
      </w:r>
      <w:r w:rsidRPr="00A61C4D">
        <w:rPr>
          <w:sz w:val="18"/>
          <w:szCs w:val="18"/>
        </w:rPr>
        <w:t xml:space="preserve"> Guidelines 2016.</w:t>
      </w:r>
      <w:bookmarkEnd w:id="79"/>
    </w:p>
  </w:footnote>
  <w:footnote w:id="61">
    <w:p w14:paraId="6D1C5669" w14:textId="5D3F04D3" w:rsidR="001A6758" w:rsidRPr="00873EB1" w:rsidRDefault="001A6758">
      <w:pPr>
        <w:pStyle w:val="FootnoteText"/>
        <w:rPr>
          <w:sz w:val="18"/>
          <w:szCs w:val="18"/>
          <w:lang w:val="en-GB"/>
        </w:rPr>
      </w:pPr>
      <w:r w:rsidRPr="00873EB1">
        <w:rPr>
          <w:rStyle w:val="FootnoteReference"/>
          <w:sz w:val="18"/>
          <w:szCs w:val="18"/>
        </w:rPr>
        <w:footnoteRef/>
      </w:r>
      <w:r w:rsidRPr="00873EB1">
        <w:rPr>
          <w:sz w:val="18"/>
          <w:szCs w:val="18"/>
        </w:rPr>
        <w:t xml:space="preserve"> </w:t>
      </w:r>
      <w:bookmarkStart w:id="80" w:name="_Hlk36577347"/>
      <w:r w:rsidRPr="00873EB1">
        <w:rPr>
          <w:sz w:val="18"/>
          <w:szCs w:val="18"/>
        </w:rPr>
        <w:t xml:space="preserve">Government of Victoria, 2014, Victorian Guide to Regulation, Department of Treasury and Finance, </w:t>
      </w:r>
      <w:bookmarkEnd w:id="80"/>
      <w:r w:rsidRPr="00873EB1">
        <w:rPr>
          <w:sz w:val="18"/>
          <w:szCs w:val="18"/>
        </w:rPr>
        <w:t>Melbourne, page 4.</w:t>
      </w:r>
    </w:p>
  </w:footnote>
  <w:footnote w:id="62">
    <w:p w14:paraId="2C286CDF" w14:textId="5DF26E77" w:rsidR="001A6758" w:rsidRPr="00873EB1" w:rsidRDefault="001A6758">
      <w:pPr>
        <w:pStyle w:val="FootnoteText"/>
        <w:rPr>
          <w:sz w:val="18"/>
          <w:szCs w:val="18"/>
          <w:lang w:val="en-GB"/>
        </w:rPr>
      </w:pPr>
      <w:r w:rsidRPr="00873EB1">
        <w:rPr>
          <w:rStyle w:val="FootnoteReference"/>
          <w:sz w:val="18"/>
          <w:szCs w:val="18"/>
        </w:rPr>
        <w:footnoteRef/>
      </w:r>
      <w:r w:rsidRPr="00873EB1">
        <w:rPr>
          <w:sz w:val="18"/>
          <w:szCs w:val="18"/>
        </w:rPr>
        <w:t xml:space="preserve"> Guidance note 230 </w:t>
      </w:r>
      <w:r w:rsidRPr="00873EB1">
        <w:rPr>
          <w:i/>
          <w:sz w:val="18"/>
          <w:szCs w:val="18"/>
        </w:rPr>
        <w:t>Subordinate Legislation Act 1994</w:t>
      </w:r>
      <w:r w:rsidRPr="00873EB1">
        <w:rPr>
          <w:sz w:val="18"/>
          <w:szCs w:val="18"/>
        </w:rPr>
        <w:t xml:space="preserve"> Guidelines 2016</w:t>
      </w:r>
      <w:r>
        <w:rPr>
          <w:sz w:val="18"/>
          <w:szCs w:val="18"/>
        </w:rPr>
        <w:t>.</w:t>
      </w:r>
    </w:p>
  </w:footnote>
  <w:footnote w:id="63">
    <w:p w14:paraId="52D2CC6D" w14:textId="77777777" w:rsidR="001A6758" w:rsidRPr="00925EC1" w:rsidRDefault="001A6758" w:rsidP="00CC0AA0">
      <w:pPr>
        <w:pStyle w:val="FootnoteText"/>
        <w:rPr>
          <w:sz w:val="18"/>
          <w:szCs w:val="18"/>
        </w:rPr>
      </w:pPr>
      <w:r w:rsidRPr="00925EC1">
        <w:rPr>
          <w:rStyle w:val="FootnoteReference"/>
          <w:sz w:val="18"/>
          <w:szCs w:val="18"/>
        </w:rPr>
        <w:footnoteRef/>
      </w:r>
      <w:r w:rsidRPr="00925EC1">
        <w:rPr>
          <w:sz w:val="18"/>
          <w:szCs w:val="18"/>
        </w:rPr>
        <w:t xml:space="preserve"> </w:t>
      </w:r>
      <w:bookmarkStart w:id="84" w:name="_Hlk36577357"/>
      <w:r w:rsidRPr="00925EC1">
        <w:rPr>
          <w:sz w:val="18"/>
          <w:szCs w:val="18"/>
        </w:rPr>
        <w:t xml:space="preserve">Government of Victoria, 2016, </w:t>
      </w:r>
      <w:r w:rsidRPr="00925EC1">
        <w:rPr>
          <w:i/>
          <w:sz w:val="18"/>
          <w:szCs w:val="18"/>
        </w:rPr>
        <w:t>Victorian Guide to Regulation</w:t>
      </w:r>
      <w:r w:rsidRPr="00925EC1">
        <w:rPr>
          <w:sz w:val="18"/>
          <w:szCs w:val="18"/>
        </w:rPr>
        <w:t xml:space="preserve">: A handbook for </w:t>
      </w:r>
      <w:proofErr w:type="gramStart"/>
      <w:r w:rsidRPr="00925EC1">
        <w:rPr>
          <w:sz w:val="18"/>
          <w:szCs w:val="18"/>
        </w:rPr>
        <w:t>policy-makers</w:t>
      </w:r>
      <w:proofErr w:type="gramEnd"/>
      <w:r w:rsidRPr="00925EC1">
        <w:rPr>
          <w:sz w:val="18"/>
          <w:szCs w:val="18"/>
        </w:rPr>
        <w:t xml:space="preserve"> in Victoria, Department of Treasury and Finance, Melbourne</w:t>
      </w:r>
      <w:r>
        <w:rPr>
          <w:sz w:val="18"/>
          <w:szCs w:val="18"/>
        </w:rPr>
        <w:t>.</w:t>
      </w:r>
      <w:bookmarkEnd w:id="84"/>
    </w:p>
  </w:footnote>
  <w:footnote w:id="64">
    <w:p w14:paraId="48E0F7AB" w14:textId="5C191689" w:rsidR="001A6758" w:rsidRPr="001812D0" w:rsidRDefault="001A6758">
      <w:pPr>
        <w:pStyle w:val="FootnoteText"/>
        <w:rPr>
          <w:sz w:val="18"/>
          <w:szCs w:val="18"/>
        </w:rPr>
      </w:pPr>
      <w:r w:rsidRPr="001812D0">
        <w:rPr>
          <w:rStyle w:val="FootnoteReference"/>
          <w:sz w:val="18"/>
          <w:szCs w:val="18"/>
        </w:rPr>
        <w:footnoteRef/>
      </w:r>
      <w:r w:rsidRPr="001812D0">
        <w:rPr>
          <w:sz w:val="18"/>
          <w:szCs w:val="18"/>
        </w:rPr>
        <w:t xml:space="preserve"> For both MFB and CFA</w:t>
      </w:r>
      <w:r>
        <w:rPr>
          <w:sz w:val="18"/>
          <w:szCs w:val="18"/>
        </w:rPr>
        <w:t>.</w:t>
      </w:r>
    </w:p>
  </w:footnote>
  <w:footnote w:id="65">
    <w:p w14:paraId="2E904B23" w14:textId="77777777" w:rsidR="001A6758" w:rsidRPr="0012732C" w:rsidRDefault="001A6758" w:rsidP="00C45218">
      <w:pPr>
        <w:pStyle w:val="FootnoteText"/>
        <w:rPr>
          <w:sz w:val="18"/>
          <w:szCs w:val="18"/>
        </w:rPr>
      </w:pPr>
      <w:r w:rsidRPr="0012732C">
        <w:rPr>
          <w:rStyle w:val="FootnoteReference"/>
          <w:sz w:val="18"/>
          <w:szCs w:val="18"/>
        </w:rPr>
        <w:footnoteRef/>
      </w:r>
      <w:r>
        <w:rPr>
          <w:sz w:val="18"/>
          <w:szCs w:val="18"/>
        </w:rPr>
        <w:t xml:space="preserve"> See s</w:t>
      </w:r>
      <w:r w:rsidRPr="0012732C">
        <w:rPr>
          <w:sz w:val="18"/>
          <w:szCs w:val="18"/>
        </w:rPr>
        <w:t>ection</w:t>
      </w:r>
      <w:r>
        <w:rPr>
          <w:sz w:val="18"/>
          <w:szCs w:val="18"/>
        </w:rPr>
        <w:t>s</w:t>
      </w:r>
      <w:r w:rsidRPr="0012732C">
        <w:rPr>
          <w:sz w:val="18"/>
          <w:szCs w:val="18"/>
        </w:rPr>
        <w:t xml:space="preserve"> 32B (1) and (2) of the Act</w:t>
      </w:r>
    </w:p>
  </w:footnote>
  <w:footnote w:id="66">
    <w:p w14:paraId="323A993E" w14:textId="77777777" w:rsidR="001A6758" w:rsidRPr="00274F54" w:rsidRDefault="001A6758" w:rsidP="008638F5">
      <w:pPr>
        <w:pStyle w:val="FootnoteText"/>
        <w:rPr>
          <w:sz w:val="18"/>
          <w:szCs w:val="18"/>
        </w:rPr>
      </w:pPr>
      <w:r w:rsidRPr="00274F54">
        <w:rPr>
          <w:rStyle w:val="FootnoteReference"/>
          <w:sz w:val="18"/>
          <w:szCs w:val="18"/>
        </w:rPr>
        <w:footnoteRef/>
      </w:r>
      <w:r w:rsidRPr="00274F54">
        <w:rPr>
          <w:sz w:val="18"/>
          <w:szCs w:val="18"/>
        </w:rPr>
        <w:t xml:space="preserve"> SCRGSP (Steering Committee for the Review of Government Service Provision) 2015, Report on Government Services 2015, vol. D, Emergency management, Productivity Commission, Canberra.</w:t>
      </w:r>
    </w:p>
  </w:footnote>
  <w:footnote w:id="67">
    <w:p w14:paraId="0D15A596" w14:textId="77777777" w:rsidR="001A6758" w:rsidRPr="00E4733D" w:rsidRDefault="001A6758" w:rsidP="008638F5">
      <w:pPr>
        <w:pStyle w:val="FootnoteText"/>
        <w:rPr>
          <w:sz w:val="18"/>
          <w:szCs w:val="18"/>
        </w:rPr>
      </w:pPr>
      <w:r w:rsidRPr="00E4733D">
        <w:rPr>
          <w:rStyle w:val="FootnoteReference"/>
          <w:sz w:val="18"/>
          <w:szCs w:val="18"/>
        </w:rPr>
        <w:footnoteRef/>
      </w:r>
      <w:r w:rsidRPr="00E4733D">
        <w:rPr>
          <w:sz w:val="18"/>
          <w:szCs w:val="18"/>
        </w:rPr>
        <w:t xml:space="preserve"> An alarm system may be partly monitored (only some of the systems on site are connected to the fire services - e.g. The sprinkler system is connected but the smoke detection system is not)</w:t>
      </w:r>
      <w:r>
        <w:rPr>
          <w:sz w:val="18"/>
          <w:szCs w:val="18"/>
        </w:rPr>
        <w:t xml:space="preserve"> (See </w:t>
      </w:r>
      <w:r w:rsidRPr="00B43177">
        <w:rPr>
          <w:sz w:val="18"/>
          <w:szCs w:val="18"/>
        </w:rPr>
        <w:t>Monitored Automatic Alarms: A Guide for Building Owners &amp; Managers 3</w:t>
      </w:r>
      <w:r w:rsidRPr="00B43177">
        <w:rPr>
          <w:sz w:val="18"/>
          <w:szCs w:val="18"/>
          <w:vertAlign w:val="superscript"/>
        </w:rPr>
        <w:t>rd</w:t>
      </w:r>
      <w:r w:rsidRPr="00B43177">
        <w:rPr>
          <w:sz w:val="18"/>
          <w:szCs w:val="18"/>
        </w:rPr>
        <w:t xml:space="preserve"> </w:t>
      </w:r>
      <w:r>
        <w:rPr>
          <w:sz w:val="18"/>
          <w:szCs w:val="18"/>
        </w:rPr>
        <w:t>edition).</w:t>
      </w:r>
    </w:p>
  </w:footnote>
  <w:footnote w:id="68">
    <w:p w14:paraId="5F97289E" w14:textId="4A1B7542" w:rsidR="001A6758" w:rsidRPr="00311E08" w:rsidRDefault="001A6758">
      <w:pPr>
        <w:pStyle w:val="FootnoteText"/>
        <w:rPr>
          <w:sz w:val="18"/>
          <w:szCs w:val="18"/>
          <w:lang w:val="en-GB"/>
        </w:rPr>
      </w:pPr>
      <w:r w:rsidRPr="00311E08">
        <w:rPr>
          <w:rStyle w:val="FootnoteReference"/>
          <w:sz w:val="18"/>
          <w:szCs w:val="18"/>
        </w:rPr>
        <w:footnoteRef/>
      </w:r>
      <w:r w:rsidRPr="00311E08">
        <w:rPr>
          <w:sz w:val="18"/>
          <w:szCs w:val="18"/>
        </w:rPr>
        <w:t xml:space="preserve"> </w:t>
      </w:r>
      <w:r w:rsidRPr="00311E08">
        <w:rPr>
          <w:sz w:val="18"/>
          <w:szCs w:val="18"/>
          <w:lang w:val="en-GB"/>
        </w:rPr>
        <w:t>Based on data provided by MFB across 3 monitoring companies.</w:t>
      </w:r>
    </w:p>
  </w:footnote>
  <w:footnote w:id="69">
    <w:p w14:paraId="0C3BC8E9" w14:textId="77777777" w:rsidR="001A6758" w:rsidRPr="0012732C" w:rsidRDefault="001A6758" w:rsidP="008638F5">
      <w:pPr>
        <w:pStyle w:val="FootnoteText"/>
        <w:rPr>
          <w:sz w:val="18"/>
          <w:szCs w:val="18"/>
        </w:rPr>
      </w:pPr>
      <w:r w:rsidRPr="0012732C">
        <w:rPr>
          <w:rStyle w:val="FootnoteReference"/>
          <w:sz w:val="18"/>
          <w:szCs w:val="18"/>
        </w:rPr>
        <w:footnoteRef/>
      </w:r>
      <w:r>
        <w:rPr>
          <w:sz w:val="18"/>
          <w:szCs w:val="18"/>
        </w:rPr>
        <w:t xml:space="preserve"> See s</w:t>
      </w:r>
      <w:r w:rsidRPr="0012732C">
        <w:rPr>
          <w:sz w:val="18"/>
          <w:szCs w:val="18"/>
        </w:rPr>
        <w:t>ection</w:t>
      </w:r>
      <w:r>
        <w:rPr>
          <w:sz w:val="18"/>
          <w:szCs w:val="18"/>
        </w:rPr>
        <w:t>s</w:t>
      </w:r>
      <w:r w:rsidRPr="0012732C">
        <w:rPr>
          <w:sz w:val="18"/>
          <w:szCs w:val="18"/>
        </w:rPr>
        <w:t xml:space="preserve"> 32B (1) and (2) of the Act</w:t>
      </w:r>
    </w:p>
  </w:footnote>
  <w:footnote w:id="70">
    <w:p w14:paraId="11C14AF0" w14:textId="0E53C2DA" w:rsidR="001A6758" w:rsidRPr="00D13833" w:rsidRDefault="001A6758">
      <w:pPr>
        <w:pStyle w:val="FootnoteText"/>
        <w:rPr>
          <w:sz w:val="18"/>
          <w:szCs w:val="18"/>
          <w:lang w:val="en-GB"/>
        </w:rPr>
      </w:pPr>
      <w:r w:rsidRPr="00D13833">
        <w:rPr>
          <w:rStyle w:val="FootnoteReference"/>
          <w:sz w:val="18"/>
          <w:szCs w:val="18"/>
        </w:rPr>
        <w:footnoteRef/>
      </w:r>
      <w:r w:rsidRPr="00D13833">
        <w:rPr>
          <w:sz w:val="18"/>
          <w:szCs w:val="18"/>
        </w:rPr>
        <w:t xml:space="preserve"> Estimates are presented as whole numbers for ease of presentation only.</w:t>
      </w:r>
    </w:p>
  </w:footnote>
  <w:footnote w:id="71">
    <w:p w14:paraId="3812E16D" w14:textId="593BE81E" w:rsidR="001A6758" w:rsidRPr="001F22AB" w:rsidRDefault="001A6758">
      <w:pPr>
        <w:pStyle w:val="FootnoteText"/>
        <w:rPr>
          <w:sz w:val="18"/>
          <w:szCs w:val="18"/>
          <w:lang w:val="en-GB"/>
        </w:rPr>
      </w:pPr>
      <w:r w:rsidRPr="001F22AB">
        <w:rPr>
          <w:rStyle w:val="FootnoteReference"/>
          <w:sz w:val="18"/>
          <w:szCs w:val="18"/>
        </w:rPr>
        <w:footnoteRef/>
      </w:r>
      <w:r w:rsidRPr="001F22AB">
        <w:rPr>
          <w:sz w:val="18"/>
          <w:szCs w:val="18"/>
        </w:rPr>
        <w:t xml:space="preserve"> </w:t>
      </w:r>
      <w:r w:rsidRPr="001F22AB">
        <w:rPr>
          <w:sz w:val="18"/>
          <w:szCs w:val="18"/>
          <w:lang w:val="en-GB"/>
        </w:rPr>
        <w:t>See Table A3.5 of Appendix 3 for source of estimate.</w:t>
      </w:r>
    </w:p>
  </w:footnote>
  <w:footnote w:id="72">
    <w:p w14:paraId="2E856506" w14:textId="77777777" w:rsidR="001A6758" w:rsidRPr="006D3EEC" w:rsidRDefault="001A6758" w:rsidP="00C45218">
      <w:pPr>
        <w:pStyle w:val="FootnoteText"/>
        <w:rPr>
          <w:sz w:val="18"/>
          <w:szCs w:val="18"/>
          <w:lang w:val="en-GB"/>
        </w:rPr>
      </w:pPr>
      <w:r w:rsidRPr="006D3EEC">
        <w:rPr>
          <w:rStyle w:val="FootnoteReference"/>
          <w:sz w:val="18"/>
          <w:szCs w:val="18"/>
        </w:rPr>
        <w:footnoteRef/>
      </w:r>
      <w:r w:rsidRPr="006D3EEC">
        <w:rPr>
          <w:sz w:val="18"/>
          <w:szCs w:val="18"/>
        </w:rPr>
        <w:t xml:space="preserve"> </w:t>
      </w:r>
      <w:r w:rsidRPr="006D3EEC">
        <w:rPr>
          <w:sz w:val="18"/>
          <w:szCs w:val="18"/>
          <w:lang w:val="en-GB"/>
        </w:rPr>
        <w:t>See Table 11 of this RIS.</w:t>
      </w:r>
    </w:p>
  </w:footnote>
  <w:footnote w:id="73">
    <w:p w14:paraId="31620E5C" w14:textId="2714988B" w:rsidR="001A6758" w:rsidRPr="00E4733D" w:rsidRDefault="001A6758" w:rsidP="00A31B1C">
      <w:pPr>
        <w:pStyle w:val="FootnoteText"/>
        <w:rPr>
          <w:sz w:val="18"/>
          <w:szCs w:val="18"/>
        </w:rPr>
      </w:pPr>
      <w:r w:rsidRPr="00E4733D">
        <w:rPr>
          <w:rStyle w:val="FootnoteReference"/>
          <w:sz w:val="18"/>
          <w:szCs w:val="18"/>
        </w:rPr>
        <w:footnoteRef/>
      </w:r>
      <w:r w:rsidRPr="00E4733D">
        <w:rPr>
          <w:sz w:val="18"/>
          <w:szCs w:val="18"/>
        </w:rPr>
        <w:t xml:space="preserve"> </w:t>
      </w:r>
      <w:r w:rsidRPr="00E5375B">
        <w:rPr>
          <w:sz w:val="18"/>
          <w:szCs w:val="18"/>
        </w:rPr>
        <w:t>Calculated as 1,</w:t>
      </w:r>
      <w:r>
        <w:rPr>
          <w:sz w:val="18"/>
          <w:szCs w:val="18"/>
        </w:rPr>
        <w:t>662</w:t>
      </w:r>
      <w:r w:rsidRPr="00E5375B">
        <w:rPr>
          <w:sz w:val="18"/>
          <w:szCs w:val="18"/>
        </w:rPr>
        <w:t xml:space="preserve"> transactions</w:t>
      </w:r>
      <w:r>
        <w:rPr>
          <w:sz w:val="18"/>
          <w:szCs w:val="18"/>
        </w:rPr>
        <w:t xml:space="preserve"> </w:t>
      </w:r>
      <w:r w:rsidRPr="00E5375B">
        <w:rPr>
          <w:sz w:val="18"/>
          <w:szCs w:val="18"/>
        </w:rPr>
        <w:t xml:space="preserve">x </w:t>
      </w:r>
      <w:r>
        <w:rPr>
          <w:sz w:val="18"/>
          <w:szCs w:val="18"/>
        </w:rPr>
        <w:t>2.5</w:t>
      </w:r>
      <w:r w:rsidRPr="00E5375B">
        <w:rPr>
          <w:sz w:val="18"/>
          <w:szCs w:val="18"/>
        </w:rPr>
        <w:t xml:space="preserve"> average hrs per transaction x $121.00 = $5</w:t>
      </w:r>
      <w:r>
        <w:rPr>
          <w:sz w:val="18"/>
          <w:szCs w:val="18"/>
        </w:rPr>
        <w:t>02</w:t>
      </w:r>
      <w:r w:rsidRPr="00E5375B">
        <w:rPr>
          <w:sz w:val="18"/>
          <w:szCs w:val="18"/>
        </w:rPr>
        <w:t>,</w:t>
      </w:r>
      <w:r>
        <w:rPr>
          <w:sz w:val="18"/>
          <w:szCs w:val="18"/>
        </w:rPr>
        <w:t>755</w:t>
      </w:r>
    </w:p>
  </w:footnote>
  <w:footnote w:id="74">
    <w:p w14:paraId="108D13AF" w14:textId="709F82FC" w:rsidR="001A6758" w:rsidRPr="009917B8" w:rsidRDefault="001A6758">
      <w:pPr>
        <w:pStyle w:val="FootnoteText"/>
        <w:rPr>
          <w:sz w:val="18"/>
          <w:szCs w:val="18"/>
          <w:lang w:val="en-GB"/>
        </w:rPr>
      </w:pPr>
      <w:r w:rsidRPr="009917B8">
        <w:rPr>
          <w:rStyle w:val="FootnoteReference"/>
          <w:sz w:val="18"/>
          <w:szCs w:val="18"/>
        </w:rPr>
        <w:footnoteRef/>
      </w:r>
      <w:r w:rsidRPr="009917B8">
        <w:rPr>
          <w:sz w:val="18"/>
          <w:szCs w:val="18"/>
        </w:rPr>
        <w:t xml:space="preserve"> </w:t>
      </w:r>
      <w:r w:rsidRPr="009917B8">
        <w:rPr>
          <w:sz w:val="18"/>
          <w:szCs w:val="18"/>
          <w:lang w:val="en-GB"/>
        </w:rPr>
        <w:t>See Table A5.2 of Appendix 5 for source of estimate (i.e. sum of BCA activities excluding Modification Section 160a Building Act 1993-MFB response to Building appeals Board (incl.</w:t>
      </w:r>
      <w:r>
        <w:rPr>
          <w:sz w:val="18"/>
          <w:szCs w:val="18"/>
          <w:lang w:val="en-GB"/>
        </w:rPr>
        <w:t xml:space="preserve"> </w:t>
      </w:r>
      <w:r w:rsidRPr="009917B8">
        <w:rPr>
          <w:sz w:val="18"/>
          <w:szCs w:val="18"/>
          <w:lang w:val="en-GB"/>
        </w:rPr>
        <w:t>Cladding related BAB applications)</w:t>
      </w:r>
      <w:r>
        <w:rPr>
          <w:sz w:val="18"/>
          <w:szCs w:val="18"/>
          <w:lang w:val="en-GB"/>
        </w:rPr>
        <w:t>).</w:t>
      </w:r>
    </w:p>
  </w:footnote>
  <w:footnote w:id="75">
    <w:p w14:paraId="4FD7A651" w14:textId="70190D2D" w:rsidR="001A6758" w:rsidRPr="00B93B59" w:rsidRDefault="001A6758">
      <w:pPr>
        <w:pStyle w:val="FootnoteText"/>
        <w:rPr>
          <w:sz w:val="18"/>
          <w:szCs w:val="18"/>
          <w:lang w:val="en-GB"/>
        </w:rPr>
      </w:pPr>
      <w:r w:rsidRPr="00B93B59">
        <w:rPr>
          <w:rStyle w:val="FootnoteReference"/>
          <w:sz w:val="18"/>
          <w:szCs w:val="18"/>
        </w:rPr>
        <w:footnoteRef/>
      </w:r>
      <w:r w:rsidRPr="00B93B59">
        <w:rPr>
          <w:sz w:val="18"/>
          <w:szCs w:val="18"/>
        </w:rPr>
        <w:t xml:space="preserve"> </w:t>
      </w:r>
      <w:r w:rsidRPr="00B93B59">
        <w:rPr>
          <w:sz w:val="18"/>
          <w:szCs w:val="18"/>
          <w:lang w:val="en-GB"/>
        </w:rPr>
        <w:t>Data provided by MFB.</w:t>
      </w:r>
    </w:p>
  </w:footnote>
  <w:footnote w:id="76">
    <w:p w14:paraId="5D70CD6A" w14:textId="77777777" w:rsidR="001A6758" w:rsidRPr="0012732C" w:rsidRDefault="001A6758" w:rsidP="003E489B">
      <w:pPr>
        <w:pStyle w:val="FootnoteText"/>
        <w:rPr>
          <w:sz w:val="18"/>
          <w:szCs w:val="18"/>
        </w:rPr>
      </w:pPr>
      <w:r w:rsidRPr="0012732C">
        <w:rPr>
          <w:rStyle w:val="FootnoteReference"/>
          <w:sz w:val="18"/>
          <w:szCs w:val="18"/>
        </w:rPr>
        <w:footnoteRef/>
      </w:r>
      <w:r>
        <w:rPr>
          <w:sz w:val="18"/>
          <w:szCs w:val="18"/>
        </w:rPr>
        <w:t xml:space="preserve"> See s</w:t>
      </w:r>
      <w:r w:rsidRPr="0012732C">
        <w:rPr>
          <w:sz w:val="18"/>
          <w:szCs w:val="18"/>
        </w:rPr>
        <w:t>ection</w:t>
      </w:r>
      <w:r>
        <w:rPr>
          <w:sz w:val="18"/>
          <w:szCs w:val="18"/>
        </w:rPr>
        <w:t>s</w:t>
      </w:r>
      <w:r w:rsidRPr="0012732C">
        <w:rPr>
          <w:sz w:val="18"/>
          <w:szCs w:val="18"/>
        </w:rPr>
        <w:t xml:space="preserve"> 32B (1) and (2) of the Act</w:t>
      </w:r>
    </w:p>
  </w:footnote>
  <w:footnote w:id="77">
    <w:p w14:paraId="634362F3" w14:textId="77777777" w:rsidR="001A6758" w:rsidRPr="000524F6" w:rsidRDefault="001A6758" w:rsidP="00C6534A">
      <w:pPr>
        <w:pStyle w:val="FootnoteText"/>
        <w:rPr>
          <w:sz w:val="18"/>
          <w:szCs w:val="18"/>
        </w:rPr>
      </w:pPr>
      <w:r w:rsidRPr="000524F6">
        <w:rPr>
          <w:rStyle w:val="FootnoteReference"/>
          <w:sz w:val="18"/>
          <w:szCs w:val="18"/>
        </w:rPr>
        <w:footnoteRef/>
      </w:r>
      <w:r w:rsidRPr="000524F6">
        <w:rPr>
          <w:sz w:val="18"/>
          <w:szCs w:val="18"/>
        </w:rPr>
        <w:t xml:space="preserve"> </w:t>
      </w:r>
      <w:bookmarkStart w:id="122" w:name="_Hlk36577396"/>
      <w:r w:rsidRPr="000524F6">
        <w:rPr>
          <w:sz w:val="18"/>
          <w:szCs w:val="18"/>
        </w:rPr>
        <w:t>SCRGSP (Steering Committee for the Review of Government Service Provision) 2015, Report on Government Services 2015, vol. D, Emergency management, Productivity Commission, Canberra.</w:t>
      </w:r>
      <w:bookmarkEnd w:id="122"/>
    </w:p>
  </w:footnote>
  <w:footnote w:id="78">
    <w:p w14:paraId="0FA6A24A" w14:textId="3E73B987" w:rsidR="001A6758" w:rsidRPr="00CE76D0" w:rsidRDefault="001A6758">
      <w:pPr>
        <w:pStyle w:val="FootnoteText"/>
        <w:rPr>
          <w:sz w:val="18"/>
          <w:szCs w:val="18"/>
          <w:lang w:val="en-GB"/>
        </w:rPr>
      </w:pPr>
      <w:r w:rsidRPr="00CE76D0">
        <w:rPr>
          <w:rStyle w:val="FootnoteReference"/>
          <w:sz w:val="18"/>
          <w:szCs w:val="18"/>
        </w:rPr>
        <w:footnoteRef/>
      </w:r>
      <w:r w:rsidRPr="00CE76D0">
        <w:rPr>
          <w:sz w:val="18"/>
          <w:szCs w:val="18"/>
        </w:rPr>
        <w:t xml:space="preserve"> See Table A2.5 of Appendix 2 for source of estimate.</w:t>
      </w:r>
    </w:p>
  </w:footnote>
  <w:footnote w:id="79">
    <w:p w14:paraId="2B37F7BE" w14:textId="77777777" w:rsidR="001A6758" w:rsidRPr="00564528" w:rsidRDefault="001A6758" w:rsidP="00C6534A">
      <w:pPr>
        <w:pStyle w:val="FootnoteText"/>
        <w:rPr>
          <w:sz w:val="18"/>
          <w:szCs w:val="18"/>
        </w:rPr>
      </w:pPr>
      <w:r w:rsidRPr="00564528">
        <w:rPr>
          <w:rStyle w:val="FootnoteReference"/>
          <w:sz w:val="18"/>
          <w:szCs w:val="18"/>
        </w:rPr>
        <w:footnoteRef/>
      </w:r>
      <w:r w:rsidRPr="00564528">
        <w:rPr>
          <w:sz w:val="18"/>
          <w:szCs w:val="18"/>
        </w:rPr>
        <w:t xml:space="preserve"> </w:t>
      </w:r>
      <w:r>
        <w:rPr>
          <w:sz w:val="18"/>
          <w:szCs w:val="18"/>
        </w:rPr>
        <w:t xml:space="preserve">Data provided by MFB for </w:t>
      </w:r>
      <w:r w:rsidRPr="00564528">
        <w:rPr>
          <w:sz w:val="18"/>
          <w:szCs w:val="18"/>
        </w:rPr>
        <w:t>28,</w:t>
      </w:r>
      <w:r>
        <w:rPr>
          <w:sz w:val="18"/>
          <w:szCs w:val="18"/>
        </w:rPr>
        <w:t>461</w:t>
      </w:r>
      <w:r w:rsidRPr="00564528">
        <w:rPr>
          <w:sz w:val="18"/>
          <w:szCs w:val="18"/>
        </w:rPr>
        <w:t xml:space="preserve"> calls for false alarms</w:t>
      </w:r>
      <w:r>
        <w:rPr>
          <w:sz w:val="18"/>
          <w:szCs w:val="18"/>
        </w:rPr>
        <w:t xml:space="preserve"> for an estimated 7,150 ASEs</w:t>
      </w:r>
      <w:r w:rsidRPr="00564528">
        <w:rPr>
          <w:sz w:val="18"/>
          <w:szCs w:val="18"/>
        </w:rPr>
        <w:t xml:space="preserve">. </w:t>
      </w:r>
    </w:p>
  </w:footnote>
  <w:footnote w:id="80">
    <w:p w14:paraId="1D280A58" w14:textId="77777777" w:rsidR="001A6758" w:rsidRPr="00E4733D" w:rsidRDefault="001A6758" w:rsidP="00C6534A">
      <w:pPr>
        <w:pStyle w:val="FootnoteText"/>
        <w:rPr>
          <w:sz w:val="18"/>
          <w:szCs w:val="18"/>
        </w:rPr>
      </w:pPr>
      <w:r w:rsidRPr="00E4733D">
        <w:rPr>
          <w:rStyle w:val="FootnoteReference"/>
          <w:sz w:val="18"/>
          <w:szCs w:val="18"/>
        </w:rPr>
        <w:footnoteRef/>
      </w:r>
      <w:r w:rsidRPr="00E4733D">
        <w:rPr>
          <w:sz w:val="18"/>
          <w:szCs w:val="18"/>
        </w:rPr>
        <w:t xml:space="preserve"> See Glossary for description of management and maintenance</w:t>
      </w:r>
    </w:p>
  </w:footnote>
  <w:footnote w:id="81">
    <w:p w14:paraId="52B9851F" w14:textId="77777777" w:rsidR="001A6758" w:rsidRPr="00052203" w:rsidRDefault="001A6758" w:rsidP="009307B3">
      <w:pPr>
        <w:pStyle w:val="FootnoteText"/>
        <w:rPr>
          <w:sz w:val="18"/>
          <w:szCs w:val="18"/>
        </w:rPr>
      </w:pPr>
      <w:r w:rsidRPr="00052203">
        <w:rPr>
          <w:rStyle w:val="FootnoteReference"/>
          <w:sz w:val="18"/>
          <w:szCs w:val="18"/>
        </w:rPr>
        <w:footnoteRef/>
      </w:r>
      <w:r w:rsidRPr="00052203">
        <w:rPr>
          <w:sz w:val="18"/>
          <w:szCs w:val="18"/>
        </w:rPr>
        <w:t xml:space="preserve"> Table updated by MFB 2019.</w:t>
      </w:r>
    </w:p>
  </w:footnote>
  <w:footnote w:id="82">
    <w:p w14:paraId="3234C72F" w14:textId="77777777" w:rsidR="001A6758" w:rsidRPr="00AB0520" w:rsidRDefault="001A6758" w:rsidP="009307B3">
      <w:pPr>
        <w:pStyle w:val="FootnoteText"/>
        <w:rPr>
          <w:sz w:val="18"/>
          <w:szCs w:val="18"/>
        </w:rPr>
      </w:pPr>
      <w:r w:rsidRPr="00AB0520">
        <w:rPr>
          <w:rStyle w:val="FootnoteReference"/>
          <w:sz w:val="18"/>
          <w:szCs w:val="18"/>
        </w:rPr>
        <w:footnoteRef/>
      </w:r>
      <w:r w:rsidRPr="00AB0520">
        <w:rPr>
          <w:sz w:val="18"/>
          <w:szCs w:val="18"/>
        </w:rPr>
        <w:t xml:space="preserve"> Fees do not include GST</w:t>
      </w:r>
    </w:p>
  </w:footnote>
  <w:footnote w:id="83">
    <w:p w14:paraId="755C5952" w14:textId="5C2CDD1E" w:rsidR="001A6758" w:rsidRPr="00AB0520" w:rsidRDefault="001A6758" w:rsidP="00E6069B">
      <w:pPr>
        <w:pStyle w:val="FootnoteText"/>
      </w:pPr>
      <w:r w:rsidRPr="00AB0520">
        <w:rPr>
          <w:rStyle w:val="FootnoteReference"/>
          <w:sz w:val="18"/>
          <w:szCs w:val="18"/>
        </w:rPr>
        <w:footnoteRef/>
      </w:r>
      <w:r w:rsidRPr="00AB0520">
        <w:rPr>
          <w:sz w:val="18"/>
          <w:szCs w:val="18"/>
        </w:rPr>
        <w:t xml:space="preserve"> This is estimated using the projected number of quarterly hour transactions for 201</w:t>
      </w:r>
      <w:r>
        <w:rPr>
          <w:sz w:val="18"/>
          <w:szCs w:val="18"/>
        </w:rPr>
        <w:t>9</w:t>
      </w:r>
      <w:r w:rsidRPr="00AB0520">
        <w:rPr>
          <w:sz w:val="18"/>
          <w:szCs w:val="18"/>
        </w:rPr>
        <w:t>-</w:t>
      </w:r>
      <w:r>
        <w:rPr>
          <w:sz w:val="18"/>
          <w:szCs w:val="18"/>
        </w:rPr>
        <w:t>20</w:t>
      </w:r>
      <w:r w:rsidRPr="00AB0520">
        <w:rPr>
          <w:sz w:val="18"/>
          <w:szCs w:val="18"/>
        </w:rPr>
        <w:t xml:space="preserve"> (i.e. 18,</w:t>
      </w:r>
      <w:r>
        <w:rPr>
          <w:sz w:val="18"/>
          <w:szCs w:val="18"/>
        </w:rPr>
        <w:t>686</w:t>
      </w:r>
      <w:r w:rsidRPr="00AB0520">
        <w:rPr>
          <w:sz w:val="18"/>
          <w:szCs w:val="18"/>
        </w:rPr>
        <w:t xml:space="preserve"> (see Table A3.</w:t>
      </w:r>
      <w:r>
        <w:rPr>
          <w:sz w:val="18"/>
          <w:szCs w:val="18"/>
        </w:rPr>
        <w:t>4 of Appendix 3</w:t>
      </w:r>
      <w:r w:rsidRPr="00AB0520">
        <w:rPr>
          <w:sz w:val="18"/>
          <w:szCs w:val="18"/>
        </w:rPr>
        <w:t xml:space="preserve"> for source of estimate)) and the current </w:t>
      </w:r>
      <w:r>
        <w:rPr>
          <w:sz w:val="18"/>
          <w:szCs w:val="18"/>
        </w:rPr>
        <w:t xml:space="preserve">quarterly hour </w:t>
      </w:r>
      <w:r w:rsidRPr="00AB0520">
        <w:rPr>
          <w:sz w:val="18"/>
          <w:szCs w:val="18"/>
        </w:rPr>
        <w:t>fee of $5</w:t>
      </w:r>
      <w:r>
        <w:rPr>
          <w:sz w:val="18"/>
          <w:szCs w:val="18"/>
        </w:rPr>
        <w:t>78</w:t>
      </w:r>
      <w:r w:rsidRPr="00AB0520">
        <w:rPr>
          <w:sz w:val="18"/>
          <w:szCs w:val="18"/>
        </w:rPr>
        <w:t>.</w:t>
      </w:r>
      <w:r>
        <w:rPr>
          <w:sz w:val="18"/>
          <w:szCs w:val="18"/>
        </w:rPr>
        <w:t>48 for MFB + 3,766 (see Table A3.4 of Appendix 3 for source of estimate) and the current quarterly hour fee of $584.25.</w:t>
      </w:r>
    </w:p>
  </w:footnote>
  <w:footnote w:id="84">
    <w:p w14:paraId="72DBA86E" w14:textId="402BB2D2" w:rsidR="001A6758" w:rsidRPr="009A3C8B" w:rsidRDefault="001A6758" w:rsidP="00E6069B">
      <w:pPr>
        <w:pStyle w:val="FootnoteText"/>
        <w:rPr>
          <w:sz w:val="18"/>
          <w:szCs w:val="18"/>
        </w:rPr>
      </w:pPr>
      <w:r w:rsidRPr="009A3C8B">
        <w:rPr>
          <w:rStyle w:val="FootnoteReference"/>
          <w:sz w:val="18"/>
          <w:szCs w:val="18"/>
        </w:rPr>
        <w:footnoteRef/>
      </w:r>
      <w:r w:rsidRPr="009A3C8B">
        <w:rPr>
          <w:sz w:val="18"/>
          <w:szCs w:val="18"/>
        </w:rPr>
        <w:t xml:space="preserve"> </w:t>
      </w:r>
      <w:r w:rsidRPr="00EC680B">
        <w:rPr>
          <w:sz w:val="18"/>
          <w:szCs w:val="18"/>
        </w:rPr>
        <w:t>E</w:t>
      </w:r>
      <w:r w:rsidRPr="009A3C8B">
        <w:rPr>
          <w:sz w:val="18"/>
          <w:szCs w:val="18"/>
        </w:rPr>
        <w:t xml:space="preserve">stimated as the proportion of revenue raised </w:t>
      </w:r>
      <w:r>
        <w:rPr>
          <w:sz w:val="18"/>
          <w:szCs w:val="18"/>
        </w:rPr>
        <w:t xml:space="preserve">in 2018-19 by MFB and CFA (integrated stations only) </w:t>
      </w:r>
      <w:r w:rsidRPr="009A3C8B">
        <w:rPr>
          <w:sz w:val="18"/>
          <w:szCs w:val="18"/>
        </w:rPr>
        <w:t>to total estimated annual cost of false alarm attendances</w:t>
      </w:r>
      <w:r>
        <w:rPr>
          <w:sz w:val="18"/>
          <w:szCs w:val="18"/>
        </w:rPr>
        <w:t xml:space="preserve"> for MFB and CFA integrated stations combined:</w:t>
      </w:r>
      <w:r w:rsidRPr="009A3C8B">
        <w:rPr>
          <w:sz w:val="18"/>
          <w:szCs w:val="18"/>
        </w:rPr>
        <w:t xml:space="preserve"> (</w:t>
      </w:r>
      <w:r w:rsidRPr="00D77630">
        <w:rPr>
          <w:sz w:val="18"/>
          <w:szCs w:val="18"/>
        </w:rPr>
        <w:t xml:space="preserve">$10,137,000 </w:t>
      </w:r>
      <w:r>
        <w:rPr>
          <w:sz w:val="18"/>
          <w:szCs w:val="18"/>
        </w:rPr>
        <w:t xml:space="preserve">(MFB) + </w:t>
      </w:r>
      <w:r w:rsidRPr="00D77630">
        <w:rPr>
          <w:sz w:val="18"/>
          <w:szCs w:val="18"/>
        </w:rPr>
        <w:t xml:space="preserve">$2,463,590 </w:t>
      </w:r>
      <w:r>
        <w:rPr>
          <w:sz w:val="18"/>
          <w:szCs w:val="18"/>
        </w:rPr>
        <w:t>(CFA integrated stations) divide by (</w:t>
      </w:r>
      <w:r w:rsidRPr="00DE2E6C">
        <w:rPr>
          <w:sz w:val="18"/>
          <w:szCs w:val="18"/>
        </w:rPr>
        <w:t>$98,128,758</w:t>
      </w:r>
      <w:r>
        <w:rPr>
          <w:sz w:val="18"/>
          <w:szCs w:val="18"/>
        </w:rPr>
        <w:t xml:space="preserve"> (MFB) + </w:t>
      </w:r>
      <w:r w:rsidRPr="00DE2E6C">
        <w:rPr>
          <w:sz w:val="18"/>
          <w:szCs w:val="18"/>
        </w:rPr>
        <w:t>$25,563,816</w:t>
      </w:r>
      <w:r>
        <w:rPr>
          <w:sz w:val="18"/>
          <w:szCs w:val="18"/>
        </w:rPr>
        <w:t xml:space="preserve"> (CFA integrated stations</w:t>
      </w:r>
      <w:r w:rsidRPr="00DE2E6C">
        <w:rPr>
          <w:sz w:val="18"/>
          <w:szCs w:val="18"/>
        </w:rPr>
        <w:t xml:space="preserve"> </w:t>
      </w:r>
      <w:r>
        <w:rPr>
          <w:sz w:val="18"/>
          <w:szCs w:val="18"/>
        </w:rPr>
        <w:t>= 13.12%</w:t>
      </w:r>
      <w:r w:rsidRPr="009A3C8B">
        <w:rPr>
          <w:sz w:val="18"/>
          <w:szCs w:val="18"/>
        </w:rPr>
        <w:t xml:space="preserve">)  </w:t>
      </w:r>
    </w:p>
  </w:footnote>
  <w:footnote w:id="85">
    <w:p w14:paraId="53EAF3F1" w14:textId="77777777" w:rsidR="001A6758" w:rsidRDefault="001A6758" w:rsidP="002E4764">
      <w:pPr>
        <w:pStyle w:val="FootnoteText"/>
      </w:pPr>
      <w:r w:rsidRPr="00243D5C">
        <w:rPr>
          <w:rStyle w:val="FootnoteReference"/>
          <w:sz w:val="18"/>
          <w:szCs w:val="18"/>
        </w:rPr>
        <w:footnoteRef/>
      </w:r>
      <w:r w:rsidRPr="00243D5C">
        <w:rPr>
          <w:sz w:val="18"/>
          <w:szCs w:val="18"/>
        </w:rPr>
        <w:t xml:space="preserve"> </w:t>
      </w:r>
      <w:bookmarkStart w:id="128" w:name="_Hlk36577416"/>
      <w:r w:rsidRPr="00243D5C">
        <w:rPr>
          <w:sz w:val="18"/>
          <w:szCs w:val="18"/>
        </w:rPr>
        <w:t xml:space="preserve">Government of Victoria, January 2013, </w:t>
      </w:r>
      <w:r w:rsidRPr="00243D5C">
        <w:rPr>
          <w:i/>
          <w:sz w:val="18"/>
          <w:szCs w:val="18"/>
        </w:rPr>
        <w:t>Cost Recovery Guidelines</w:t>
      </w:r>
      <w:r w:rsidRPr="00243D5C">
        <w:rPr>
          <w:sz w:val="18"/>
          <w:szCs w:val="18"/>
        </w:rPr>
        <w:t xml:space="preserve">, Department of </w:t>
      </w:r>
      <w:r>
        <w:rPr>
          <w:sz w:val="18"/>
          <w:szCs w:val="18"/>
        </w:rPr>
        <w:t>Treasury and Finance, Melbourne</w:t>
      </w:r>
      <w:bookmarkEnd w:id="128"/>
    </w:p>
  </w:footnote>
  <w:footnote w:id="86">
    <w:p w14:paraId="779D4714" w14:textId="77777777" w:rsidR="001A6758" w:rsidRDefault="001A6758" w:rsidP="002E4764">
      <w:pPr>
        <w:pStyle w:val="FootnoteText"/>
      </w:pPr>
      <w:r w:rsidRPr="00922446">
        <w:rPr>
          <w:rStyle w:val="FootnoteReference"/>
          <w:sz w:val="18"/>
          <w:szCs w:val="18"/>
        </w:rPr>
        <w:footnoteRef/>
      </w:r>
      <w:r w:rsidRPr="00922446">
        <w:rPr>
          <w:sz w:val="18"/>
          <w:szCs w:val="18"/>
        </w:rPr>
        <w:t xml:space="preserve"> </w:t>
      </w:r>
      <w:r w:rsidRPr="00464828">
        <w:rPr>
          <w:sz w:val="18"/>
          <w:szCs w:val="18"/>
        </w:rPr>
        <w:t xml:space="preserve">Government of Victoria, </w:t>
      </w:r>
      <w:r>
        <w:rPr>
          <w:sz w:val="18"/>
          <w:szCs w:val="18"/>
        </w:rPr>
        <w:t>January 2013</w:t>
      </w:r>
      <w:r w:rsidRPr="00464828">
        <w:rPr>
          <w:sz w:val="18"/>
          <w:szCs w:val="18"/>
        </w:rPr>
        <w:t xml:space="preserve">, </w:t>
      </w:r>
      <w:r>
        <w:rPr>
          <w:i/>
          <w:sz w:val="18"/>
          <w:szCs w:val="18"/>
        </w:rPr>
        <w:t>Cost Recovery Guidelines</w:t>
      </w:r>
      <w:r w:rsidRPr="00464828">
        <w:rPr>
          <w:sz w:val="18"/>
          <w:szCs w:val="18"/>
        </w:rPr>
        <w:t xml:space="preserve">, Department of </w:t>
      </w:r>
      <w:r>
        <w:rPr>
          <w:sz w:val="18"/>
          <w:szCs w:val="18"/>
        </w:rPr>
        <w:t>Treasury and Finance, Melbourne</w:t>
      </w:r>
    </w:p>
  </w:footnote>
  <w:footnote w:id="87">
    <w:p w14:paraId="72CCEA92" w14:textId="77777777" w:rsidR="001A6758" w:rsidRDefault="001A6758" w:rsidP="004765B6">
      <w:pPr>
        <w:pStyle w:val="FootnoteText"/>
      </w:pPr>
      <w:r w:rsidRPr="004D03C2">
        <w:rPr>
          <w:rStyle w:val="FootnoteReference"/>
          <w:sz w:val="18"/>
          <w:szCs w:val="18"/>
        </w:rPr>
        <w:footnoteRef/>
      </w:r>
      <w:r w:rsidRPr="004D03C2">
        <w:rPr>
          <w:sz w:val="18"/>
          <w:szCs w:val="18"/>
        </w:rPr>
        <w:t xml:space="preserve"> Government of Victoria, January 2013, </w:t>
      </w:r>
      <w:r w:rsidRPr="004D03C2">
        <w:rPr>
          <w:i/>
          <w:sz w:val="18"/>
          <w:szCs w:val="18"/>
        </w:rPr>
        <w:t>Cost Recovery Guidelines</w:t>
      </w:r>
      <w:r w:rsidRPr="004D03C2">
        <w:rPr>
          <w:sz w:val="18"/>
          <w:szCs w:val="18"/>
        </w:rPr>
        <w:t>, Department of Treasury and Finance, Melbourne</w:t>
      </w:r>
    </w:p>
  </w:footnote>
  <w:footnote w:id="88">
    <w:p w14:paraId="44163896" w14:textId="7CB067A4" w:rsidR="001A6758" w:rsidRPr="009917B8" w:rsidRDefault="001A6758">
      <w:pPr>
        <w:pStyle w:val="FootnoteText"/>
        <w:rPr>
          <w:sz w:val="18"/>
          <w:szCs w:val="18"/>
          <w:lang w:val="en-GB"/>
        </w:rPr>
      </w:pPr>
      <w:r w:rsidRPr="009917B8">
        <w:rPr>
          <w:rStyle w:val="FootnoteReference"/>
          <w:sz w:val="18"/>
          <w:szCs w:val="18"/>
        </w:rPr>
        <w:footnoteRef/>
      </w:r>
      <w:r w:rsidRPr="009917B8">
        <w:rPr>
          <w:sz w:val="18"/>
          <w:szCs w:val="18"/>
        </w:rPr>
        <w:t xml:space="preserve"> </w:t>
      </w:r>
      <w:r w:rsidRPr="00113B38">
        <w:rPr>
          <w:sz w:val="18"/>
          <w:szCs w:val="18"/>
        </w:rPr>
        <w:t xml:space="preserve">Reasonable excuse exemptions </w:t>
      </w:r>
      <w:r>
        <w:rPr>
          <w:sz w:val="18"/>
          <w:szCs w:val="18"/>
        </w:rPr>
        <w:t>may take</w:t>
      </w:r>
      <w:r w:rsidRPr="00113B38">
        <w:rPr>
          <w:sz w:val="18"/>
          <w:szCs w:val="18"/>
        </w:rPr>
        <w:t xml:space="preserve"> consideration of various factors </w:t>
      </w:r>
      <w:r w:rsidRPr="00113B38">
        <w:rPr>
          <w:i/>
          <w:iCs/>
          <w:sz w:val="18"/>
          <w:szCs w:val="18"/>
        </w:rPr>
        <w:t xml:space="preserve">such as </w:t>
      </w:r>
      <w:r>
        <w:rPr>
          <w:sz w:val="18"/>
          <w:szCs w:val="18"/>
        </w:rPr>
        <w:t xml:space="preserve">the overall management and </w:t>
      </w:r>
      <w:r w:rsidRPr="00113B38">
        <w:rPr>
          <w:sz w:val="18"/>
          <w:szCs w:val="18"/>
        </w:rPr>
        <w:t>maintenance of alarm systems, frequency of false alarms, as well as, other relevant matters</w:t>
      </w:r>
      <w:r>
        <w:rPr>
          <w:sz w:val="18"/>
          <w:szCs w:val="18"/>
        </w:rPr>
        <w:t xml:space="preserve">.  In the general sense, consideration may be made as to </w:t>
      </w:r>
      <w:proofErr w:type="gramStart"/>
      <w:r>
        <w:rPr>
          <w:sz w:val="18"/>
          <w:szCs w:val="18"/>
        </w:rPr>
        <w:t>whether or not</w:t>
      </w:r>
      <w:proofErr w:type="gramEnd"/>
      <w:r w:rsidRPr="007E4584">
        <w:t xml:space="preserve"> </w:t>
      </w:r>
      <w:r w:rsidRPr="007E4584">
        <w:rPr>
          <w:sz w:val="18"/>
          <w:szCs w:val="18"/>
        </w:rPr>
        <w:t>the cause</w:t>
      </w:r>
      <w:r>
        <w:rPr>
          <w:sz w:val="18"/>
          <w:szCs w:val="18"/>
        </w:rPr>
        <w:t xml:space="preserve"> of the false alarm was </w:t>
      </w:r>
      <w:r w:rsidRPr="007E4584">
        <w:rPr>
          <w:sz w:val="18"/>
          <w:szCs w:val="18"/>
        </w:rPr>
        <w:t>beyond the control of the owner</w:t>
      </w:r>
      <w:r>
        <w:rPr>
          <w:sz w:val="18"/>
          <w:szCs w:val="18"/>
        </w:rPr>
        <w:t xml:space="preserve"> of the ASE (Alarm Signalling Equipment).</w:t>
      </w:r>
    </w:p>
  </w:footnote>
  <w:footnote w:id="89">
    <w:p w14:paraId="3A4FD5FB" w14:textId="77777777" w:rsidR="001A6758" w:rsidRPr="0095115A" w:rsidRDefault="001A6758" w:rsidP="004765B6">
      <w:pPr>
        <w:pStyle w:val="FootnoteText"/>
        <w:rPr>
          <w:sz w:val="18"/>
          <w:szCs w:val="18"/>
        </w:rPr>
      </w:pPr>
      <w:r w:rsidRPr="0095115A">
        <w:rPr>
          <w:rStyle w:val="FootnoteReference"/>
          <w:sz w:val="18"/>
          <w:szCs w:val="18"/>
        </w:rPr>
        <w:footnoteRef/>
      </w:r>
      <w:r w:rsidRPr="0095115A">
        <w:rPr>
          <w:sz w:val="18"/>
          <w:szCs w:val="18"/>
        </w:rPr>
        <w:t xml:space="preserve"> </w:t>
      </w:r>
      <w:r>
        <w:rPr>
          <w:sz w:val="18"/>
          <w:szCs w:val="18"/>
        </w:rPr>
        <w:t xml:space="preserve">Blackstone, E.A., Buck, A.J., and Hakim, S., November 2007, </w:t>
      </w:r>
      <w:r w:rsidRPr="0095115A">
        <w:rPr>
          <w:sz w:val="18"/>
          <w:szCs w:val="18"/>
        </w:rPr>
        <w:t>The Economics of Emergency Response, p.3.</w:t>
      </w:r>
    </w:p>
  </w:footnote>
  <w:footnote w:id="90">
    <w:p w14:paraId="23D0CA3D" w14:textId="77777777" w:rsidR="001A6758" w:rsidRPr="0095115A" w:rsidRDefault="001A6758" w:rsidP="004765B6">
      <w:pPr>
        <w:pStyle w:val="FootnoteText"/>
      </w:pPr>
      <w:r w:rsidRPr="0095115A">
        <w:rPr>
          <w:rStyle w:val="FootnoteReference"/>
          <w:sz w:val="18"/>
          <w:szCs w:val="18"/>
        </w:rPr>
        <w:footnoteRef/>
      </w:r>
      <w:r w:rsidRPr="0095115A">
        <w:rPr>
          <w:sz w:val="18"/>
          <w:szCs w:val="18"/>
        </w:rPr>
        <w:t xml:space="preserve"> </w:t>
      </w:r>
      <w:r>
        <w:rPr>
          <w:sz w:val="18"/>
          <w:szCs w:val="18"/>
        </w:rPr>
        <w:t xml:space="preserve">Buck, A.J., Blackstone, E.A., and Hakim, S., </w:t>
      </w:r>
      <w:r w:rsidRPr="00F77736">
        <w:rPr>
          <w:bCs/>
          <w:sz w:val="18"/>
          <w:szCs w:val="18"/>
        </w:rPr>
        <w:t>January 7, 2004</w:t>
      </w:r>
      <w:r>
        <w:rPr>
          <w:bCs/>
          <w:sz w:val="18"/>
          <w:szCs w:val="18"/>
        </w:rPr>
        <w:t xml:space="preserve">, </w:t>
      </w:r>
      <w:r w:rsidRPr="00F77736">
        <w:rPr>
          <w:bCs/>
          <w:sz w:val="18"/>
          <w:szCs w:val="18"/>
        </w:rPr>
        <w:t>Evaluation of Alternative Policies to Combat False Emergency Calls, p.6.</w:t>
      </w:r>
    </w:p>
  </w:footnote>
  <w:footnote w:id="91">
    <w:p w14:paraId="7DF2AF6C" w14:textId="6815BEB3" w:rsidR="001A6758" w:rsidRPr="009917B8" w:rsidRDefault="001A6758">
      <w:pPr>
        <w:pStyle w:val="FootnoteText"/>
        <w:rPr>
          <w:sz w:val="18"/>
          <w:szCs w:val="18"/>
          <w:lang w:val="en-GB"/>
        </w:rPr>
      </w:pPr>
      <w:r w:rsidRPr="009917B8">
        <w:rPr>
          <w:rStyle w:val="FootnoteReference"/>
          <w:sz w:val="18"/>
          <w:szCs w:val="18"/>
        </w:rPr>
        <w:footnoteRef/>
      </w:r>
      <w:r w:rsidRPr="009917B8">
        <w:rPr>
          <w:sz w:val="18"/>
          <w:szCs w:val="18"/>
        </w:rPr>
        <w:t xml:space="preserve"> </w:t>
      </w:r>
      <w:r w:rsidRPr="009917B8">
        <w:rPr>
          <w:sz w:val="18"/>
          <w:szCs w:val="18"/>
          <w:lang w:val="en-GB"/>
        </w:rPr>
        <w:t xml:space="preserve">This is notwithstanding that </w:t>
      </w:r>
      <w:r>
        <w:rPr>
          <w:sz w:val="18"/>
          <w:szCs w:val="18"/>
          <w:lang w:val="en-GB"/>
        </w:rPr>
        <w:t xml:space="preserve">some </w:t>
      </w:r>
      <w:r w:rsidRPr="009917B8">
        <w:rPr>
          <w:sz w:val="18"/>
          <w:szCs w:val="18"/>
          <w:lang w:val="en-GB"/>
        </w:rPr>
        <w:t xml:space="preserve">building owners/managers </w:t>
      </w:r>
      <w:r>
        <w:rPr>
          <w:sz w:val="18"/>
          <w:szCs w:val="18"/>
          <w:lang w:val="en-GB"/>
        </w:rPr>
        <w:t>may</w:t>
      </w:r>
      <w:r w:rsidRPr="009917B8">
        <w:rPr>
          <w:sz w:val="18"/>
          <w:szCs w:val="18"/>
          <w:lang w:val="en-GB"/>
        </w:rPr>
        <w:t xml:space="preserve"> pass on charges for false alarms onto occupiers of the premises where the false alarm occurred</w:t>
      </w:r>
      <w:r w:rsidRPr="00C62545">
        <w:rPr>
          <w:sz w:val="18"/>
          <w:szCs w:val="18"/>
          <w:lang w:val="en-GB"/>
        </w:rPr>
        <w:t xml:space="preserve"> however statistics on the extent of this behaviour (i.e. how many of the ASEs are </w:t>
      </w:r>
      <w:r w:rsidRPr="009917B8">
        <w:rPr>
          <w:sz w:val="18"/>
          <w:szCs w:val="18"/>
          <w:lang w:val="en-GB"/>
        </w:rPr>
        <w:t>affected</w:t>
      </w:r>
      <w:r w:rsidRPr="00C62545">
        <w:rPr>
          <w:sz w:val="18"/>
          <w:szCs w:val="18"/>
          <w:lang w:val="en-GB"/>
        </w:rPr>
        <w:t>) is unavailable.</w:t>
      </w:r>
    </w:p>
  </w:footnote>
  <w:footnote w:id="92">
    <w:p w14:paraId="41E26B34" w14:textId="77777777" w:rsidR="001A6758" w:rsidRDefault="001A6758" w:rsidP="00FB6135">
      <w:pPr>
        <w:pStyle w:val="FootnoteText"/>
      </w:pPr>
      <w:r w:rsidRPr="00243D5C">
        <w:rPr>
          <w:rStyle w:val="FootnoteReference"/>
          <w:sz w:val="18"/>
          <w:szCs w:val="18"/>
        </w:rPr>
        <w:footnoteRef/>
      </w:r>
      <w:r w:rsidRPr="00243D5C">
        <w:rPr>
          <w:sz w:val="18"/>
          <w:szCs w:val="18"/>
        </w:rPr>
        <w:t xml:space="preserve"> Government of Victoria, January 2013, </w:t>
      </w:r>
      <w:r w:rsidRPr="00243D5C">
        <w:rPr>
          <w:i/>
          <w:sz w:val="18"/>
          <w:szCs w:val="18"/>
        </w:rPr>
        <w:t>Cost Recovery Guidelines</w:t>
      </w:r>
      <w:r w:rsidRPr="00243D5C">
        <w:rPr>
          <w:sz w:val="18"/>
          <w:szCs w:val="18"/>
        </w:rPr>
        <w:t xml:space="preserve">, Department of </w:t>
      </w:r>
      <w:r>
        <w:rPr>
          <w:sz w:val="18"/>
          <w:szCs w:val="18"/>
        </w:rPr>
        <w:t>Treasury and Finance, Melbourne</w:t>
      </w:r>
    </w:p>
  </w:footnote>
  <w:footnote w:id="93">
    <w:p w14:paraId="26378A1A" w14:textId="77777777" w:rsidR="001A6758" w:rsidRDefault="001A6758" w:rsidP="00FB6135">
      <w:pPr>
        <w:pStyle w:val="FootnoteText"/>
      </w:pPr>
      <w:r w:rsidRPr="00F77736">
        <w:rPr>
          <w:rStyle w:val="FootnoteReference"/>
          <w:sz w:val="18"/>
          <w:szCs w:val="18"/>
        </w:rPr>
        <w:footnoteRef/>
      </w:r>
      <w:r w:rsidRPr="00F77736">
        <w:rPr>
          <w:sz w:val="18"/>
          <w:szCs w:val="18"/>
        </w:rPr>
        <w:t xml:space="preserve"> </w:t>
      </w:r>
      <w:r>
        <w:rPr>
          <w:sz w:val="18"/>
          <w:szCs w:val="18"/>
        </w:rPr>
        <w:t xml:space="preserve">Blackstone, E.A., Buck, A.J., and Hakim, S., November 2007, </w:t>
      </w:r>
      <w:r w:rsidRPr="00B43177">
        <w:rPr>
          <w:sz w:val="18"/>
          <w:szCs w:val="18"/>
        </w:rPr>
        <w:t xml:space="preserve">The </w:t>
      </w:r>
      <w:r>
        <w:rPr>
          <w:sz w:val="18"/>
          <w:szCs w:val="18"/>
        </w:rPr>
        <w:t>Economics of Emergency Response</w:t>
      </w:r>
      <w:r w:rsidRPr="00F77736">
        <w:rPr>
          <w:sz w:val="18"/>
          <w:szCs w:val="18"/>
        </w:rPr>
        <w:t>, p.8.</w:t>
      </w:r>
    </w:p>
  </w:footnote>
  <w:footnote w:id="94">
    <w:p w14:paraId="3EA0BC87" w14:textId="77777777" w:rsidR="001A6758" w:rsidRPr="0095115A" w:rsidRDefault="001A6758" w:rsidP="00C62439">
      <w:pPr>
        <w:pStyle w:val="FootnoteText"/>
      </w:pPr>
      <w:r w:rsidRPr="0095115A">
        <w:rPr>
          <w:rStyle w:val="FootnoteReference"/>
          <w:sz w:val="18"/>
          <w:szCs w:val="18"/>
        </w:rPr>
        <w:footnoteRef/>
      </w:r>
      <w:r w:rsidRPr="0095115A">
        <w:rPr>
          <w:sz w:val="18"/>
          <w:szCs w:val="18"/>
        </w:rPr>
        <w:t xml:space="preserve"> </w:t>
      </w:r>
      <w:bookmarkStart w:id="140" w:name="_Hlk36577434"/>
      <w:r w:rsidRPr="0095115A">
        <w:rPr>
          <w:sz w:val="18"/>
          <w:szCs w:val="18"/>
        </w:rPr>
        <w:t>Monitored Automatic Alarms: A Guide for Building Owners &amp; Managers 3</w:t>
      </w:r>
      <w:r w:rsidRPr="0095115A">
        <w:rPr>
          <w:sz w:val="18"/>
          <w:szCs w:val="18"/>
          <w:vertAlign w:val="superscript"/>
        </w:rPr>
        <w:t>rd</w:t>
      </w:r>
      <w:r w:rsidRPr="0095115A">
        <w:rPr>
          <w:sz w:val="18"/>
          <w:szCs w:val="18"/>
        </w:rPr>
        <w:t xml:space="preserve"> edition.</w:t>
      </w:r>
      <w:bookmarkEnd w:id="140"/>
    </w:p>
  </w:footnote>
  <w:footnote w:id="95">
    <w:p w14:paraId="376D4D67" w14:textId="77777777" w:rsidR="001A6758" w:rsidRPr="00B43177" w:rsidRDefault="001A6758" w:rsidP="00C62439">
      <w:pPr>
        <w:pStyle w:val="FootnoteText"/>
        <w:rPr>
          <w:sz w:val="18"/>
          <w:szCs w:val="18"/>
        </w:rPr>
      </w:pPr>
      <w:r w:rsidRPr="00B43177">
        <w:rPr>
          <w:rStyle w:val="FootnoteReference"/>
          <w:sz w:val="18"/>
          <w:szCs w:val="18"/>
        </w:rPr>
        <w:footnoteRef/>
      </w:r>
      <w:r w:rsidRPr="00B43177">
        <w:rPr>
          <w:sz w:val="18"/>
          <w:szCs w:val="18"/>
        </w:rPr>
        <w:t xml:space="preserve"> Monitored Automatic Alarms: A Guide for Building Owners &amp; Managers 3</w:t>
      </w:r>
      <w:r w:rsidRPr="00B43177">
        <w:rPr>
          <w:sz w:val="18"/>
          <w:szCs w:val="18"/>
          <w:vertAlign w:val="superscript"/>
        </w:rPr>
        <w:t>rd</w:t>
      </w:r>
      <w:r w:rsidRPr="00B43177">
        <w:rPr>
          <w:sz w:val="18"/>
          <w:szCs w:val="18"/>
        </w:rPr>
        <w:t xml:space="preserve"> edition.</w:t>
      </w:r>
    </w:p>
  </w:footnote>
  <w:footnote w:id="96">
    <w:p w14:paraId="7366C057" w14:textId="6FD32FB2" w:rsidR="001A6758" w:rsidRPr="00DF00E3" w:rsidRDefault="001A6758">
      <w:pPr>
        <w:pStyle w:val="FootnoteText"/>
        <w:rPr>
          <w:sz w:val="18"/>
          <w:szCs w:val="18"/>
        </w:rPr>
      </w:pPr>
      <w:r w:rsidRPr="00DF00E3">
        <w:rPr>
          <w:rStyle w:val="FootnoteReference"/>
          <w:sz w:val="18"/>
          <w:szCs w:val="18"/>
        </w:rPr>
        <w:footnoteRef/>
      </w:r>
      <w:r w:rsidRPr="00DF00E3">
        <w:rPr>
          <w:sz w:val="18"/>
          <w:szCs w:val="18"/>
        </w:rPr>
        <w:t xml:space="preserve"> </w:t>
      </w:r>
      <w:r>
        <w:rPr>
          <w:sz w:val="18"/>
          <w:szCs w:val="18"/>
        </w:rPr>
        <w:t>Anecdotal evidence provided by MFB.</w:t>
      </w:r>
    </w:p>
  </w:footnote>
  <w:footnote w:id="97">
    <w:p w14:paraId="5B092AB7" w14:textId="7F542409" w:rsidR="001A6758" w:rsidRPr="00085315" w:rsidRDefault="001A6758">
      <w:pPr>
        <w:pStyle w:val="FootnoteText"/>
        <w:rPr>
          <w:sz w:val="20"/>
          <w:szCs w:val="20"/>
          <w:lang w:val="en-GB"/>
        </w:rPr>
      </w:pPr>
      <w:r w:rsidRPr="00085315">
        <w:rPr>
          <w:rStyle w:val="FootnoteReference"/>
          <w:sz w:val="20"/>
          <w:szCs w:val="20"/>
        </w:rPr>
        <w:footnoteRef/>
      </w:r>
      <w:r w:rsidRPr="00085315">
        <w:rPr>
          <w:sz w:val="20"/>
          <w:szCs w:val="20"/>
        </w:rPr>
        <w:t xml:space="preserve"> </w:t>
      </w:r>
      <w:r w:rsidRPr="00085315">
        <w:rPr>
          <w:sz w:val="20"/>
          <w:szCs w:val="20"/>
          <w:lang w:val="en-GB"/>
        </w:rPr>
        <w:t>Data provided by MFB.</w:t>
      </w:r>
    </w:p>
  </w:footnote>
  <w:footnote w:id="98">
    <w:p w14:paraId="773F3165" w14:textId="435AF2DC" w:rsidR="001A6758" w:rsidRPr="0095115A" w:rsidRDefault="001A6758" w:rsidP="00C62439">
      <w:pPr>
        <w:pStyle w:val="FootnoteText"/>
        <w:rPr>
          <w:sz w:val="18"/>
          <w:szCs w:val="18"/>
        </w:rPr>
      </w:pPr>
      <w:r w:rsidRPr="0095115A">
        <w:rPr>
          <w:rStyle w:val="FootnoteReference"/>
          <w:sz w:val="18"/>
          <w:szCs w:val="18"/>
        </w:rPr>
        <w:footnoteRef/>
      </w:r>
      <w:r w:rsidRPr="0095115A">
        <w:rPr>
          <w:sz w:val="18"/>
          <w:szCs w:val="18"/>
        </w:rPr>
        <w:t xml:space="preserve"> </w:t>
      </w:r>
      <w:r>
        <w:rPr>
          <w:sz w:val="18"/>
          <w:szCs w:val="18"/>
        </w:rPr>
        <w:t xml:space="preserve">Equal to </w:t>
      </w:r>
      <w:r w:rsidRPr="0095115A">
        <w:rPr>
          <w:sz w:val="18"/>
          <w:szCs w:val="18"/>
        </w:rPr>
        <w:t>$9,</w:t>
      </w:r>
      <w:r>
        <w:rPr>
          <w:sz w:val="18"/>
          <w:szCs w:val="18"/>
        </w:rPr>
        <w:t>913.20</w:t>
      </w:r>
      <w:r w:rsidRPr="0095115A">
        <w:rPr>
          <w:sz w:val="18"/>
          <w:szCs w:val="18"/>
        </w:rPr>
        <w:t xml:space="preserve"> based on the value of a penalty unit of </w:t>
      </w:r>
      <w:r w:rsidRPr="00AF78A7">
        <w:rPr>
          <w:sz w:val="18"/>
          <w:szCs w:val="18"/>
        </w:rPr>
        <w:t>$165.22</w:t>
      </w:r>
      <w:r>
        <w:rPr>
          <w:sz w:val="18"/>
          <w:szCs w:val="18"/>
        </w:rPr>
        <w:t>.</w:t>
      </w:r>
    </w:p>
  </w:footnote>
  <w:footnote w:id="99">
    <w:p w14:paraId="4E56ECBF" w14:textId="77777777" w:rsidR="001A6758" w:rsidRPr="00A320D7" w:rsidRDefault="001A6758" w:rsidP="00C62439">
      <w:pPr>
        <w:pStyle w:val="FootnoteText"/>
        <w:rPr>
          <w:sz w:val="18"/>
          <w:szCs w:val="18"/>
        </w:rPr>
      </w:pPr>
      <w:r w:rsidRPr="00A320D7">
        <w:rPr>
          <w:rStyle w:val="FootnoteReference"/>
          <w:sz w:val="18"/>
          <w:szCs w:val="18"/>
        </w:rPr>
        <w:footnoteRef/>
      </w:r>
      <w:r w:rsidRPr="00A320D7">
        <w:rPr>
          <w:sz w:val="18"/>
          <w:szCs w:val="18"/>
        </w:rPr>
        <w:t xml:space="preserve"> Monitored Automatic Alarms: A Guide for Building Owners &amp; Managers 3</w:t>
      </w:r>
      <w:r w:rsidRPr="00A320D7">
        <w:rPr>
          <w:sz w:val="18"/>
          <w:szCs w:val="18"/>
          <w:vertAlign w:val="superscript"/>
        </w:rPr>
        <w:t>rd</w:t>
      </w:r>
      <w:r w:rsidRPr="00A320D7">
        <w:rPr>
          <w:sz w:val="18"/>
          <w:szCs w:val="18"/>
        </w:rPr>
        <w:t xml:space="preserve"> edition.</w:t>
      </w:r>
    </w:p>
  </w:footnote>
  <w:footnote w:id="100">
    <w:p w14:paraId="7FF6FF7E" w14:textId="03778E73" w:rsidR="001A6758" w:rsidRPr="00B1774D" w:rsidRDefault="001A6758" w:rsidP="00D65003">
      <w:pPr>
        <w:pStyle w:val="FootnoteText"/>
        <w:rPr>
          <w:sz w:val="18"/>
          <w:szCs w:val="18"/>
        </w:rPr>
      </w:pPr>
      <w:r w:rsidRPr="00B1774D">
        <w:rPr>
          <w:rStyle w:val="FootnoteReference"/>
          <w:sz w:val="18"/>
          <w:szCs w:val="18"/>
        </w:rPr>
        <w:footnoteRef/>
      </w:r>
      <w:r w:rsidRPr="00B1774D">
        <w:rPr>
          <w:sz w:val="18"/>
          <w:szCs w:val="18"/>
        </w:rPr>
        <w:t xml:space="preserve"> $3.5 million in 2007 indexed using CPI of 87.7 for June 2007 and 1</w:t>
      </w:r>
      <w:r>
        <w:rPr>
          <w:sz w:val="18"/>
          <w:szCs w:val="18"/>
        </w:rPr>
        <w:t>16</w:t>
      </w:r>
      <w:r w:rsidRPr="00B1774D">
        <w:rPr>
          <w:sz w:val="18"/>
          <w:szCs w:val="18"/>
        </w:rPr>
        <w:t>.</w:t>
      </w:r>
      <w:r>
        <w:rPr>
          <w:sz w:val="18"/>
          <w:szCs w:val="18"/>
        </w:rPr>
        <w:t>9</w:t>
      </w:r>
      <w:r w:rsidRPr="00B1774D">
        <w:rPr>
          <w:sz w:val="18"/>
          <w:szCs w:val="18"/>
        </w:rPr>
        <w:t xml:space="preserve"> for </w:t>
      </w:r>
      <w:r>
        <w:rPr>
          <w:sz w:val="18"/>
          <w:szCs w:val="18"/>
        </w:rPr>
        <w:t>Dec</w:t>
      </w:r>
      <w:r w:rsidRPr="00B1774D">
        <w:rPr>
          <w:sz w:val="18"/>
          <w:szCs w:val="18"/>
        </w:rPr>
        <w:t xml:space="preserve"> 201</w:t>
      </w:r>
      <w:r>
        <w:rPr>
          <w:sz w:val="18"/>
          <w:szCs w:val="18"/>
        </w:rPr>
        <w:t>9</w:t>
      </w:r>
      <w:r w:rsidRPr="00B1774D">
        <w:rPr>
          <w:sz w:val="18"/>
          <w:szCs w:val="18"/>
        </w:rPr>
        <w:t xml:space="preserve"> (see </w:t>
      </w:r>
      <w:bookmarkStart w:id="141" w:name="_Hlk36577470"/>
      <w:r w:rsidRPr="00B1774D">
        <w:rPr>
          <w:sz w:val="18"/>
          <w:szCs w:val="18"/>
        </w:rPr>
        <w:t>Australian Bureau of Statistics, Consumer Price Index, cat. no 6401.0 and OBPR, Best Practice Regulation Guidance Note Value of statistical life December 2014</w:t>
      </w:r>
      <w:bookmarkEnd w:id="141"/>
      <w:r w:rsidRPr="00B1774D">
        <w:rPr>
          <w:sz w:val="18"/>
          <w:szCs w:val="18"/>
        </w:rPr>
        <w:t>)</w:t>
      </w:r>
    </w:p>
  </w:footnote>
  <w:footnote w:id="101">
    <w:p w14:paraId="581C5E89" w14:textId="130831EB" w:rsidR="001A6758" w:rsidRPr="00FA5734" w:rsidRDefault="001A6758" w:rsidP="00D65003">
      <w:pPr>
        <w:pStyle w:val="FootnoteText"/>
        <w:rPr>
          <w:sz w:val="18"/>
          <w:szCs w:val="18"/>
        </w:rPr>
      </w:pPr>
      <w:r w:rsidRPr="00FA5734">
        <w:rPr>
          <w:rStyle w:val="FootnoteReference"/>
          <w:sz w:val="18"/>
          <w:szCs w:val="18"/>
        </w:rPr>
        <w:footnoteRef/>
      </w:r>
      <w:r w:rsidRPr="00FA5734">
        <w:rPr>
          <w:sz w:val="18"/>
          <w:szCs w:val="18"/>
        </w:rPr>
        <w:t xml:space="preserve"> </w:t>
      </w:r>
      <w:r>
        <w:rPr>
          <w:sz w:val="18"/>
          <w:szCs w:val="18"/>
        </w:rPr>
        <w:t xml:space="preserve">Based on estimate of </w:t>
      </w:r>
      <w:r w:rsidRPr="008C144A">
        <w:rPr>
          <w:sz w:val="18"/>
          <w:szCs w:val="18"/>
        </w:rPr>
        <w:t xml:space="preserve">$71,056 </w:t>
      </w:r>
      <w:r>
        <w:rPr>
          <w:sz w:val="18"/>
          <w:szCs w:val="18"/>
        </w:rPr>
        <w:t xml:space="preserve">in November 2012 (see </w:t>
      </w:r>
      <w:proofErr w:type="spellStart"/>
      <w:r w:rsidRPr="00FA5734">
        <w:rPr>
          <w:sz w:val="18"/>
          <w:szCs w:val="18"/>
        </w:rPr>
        <w:t>Ahn</w:t>
      </w:r>
      <w:proofErr w:type="spellEnd"/>
      <w:r w:rsidRPr="00FA5734">
        <w:rPr>
          <w:sz w:val="18"/>
          <w:szCs w:val="18"/>
        </w:rPr>
        <w:t xml:space="preserve">, C.S., and </w:t>
      </w:r>
      <w:proofErr w:type="spellStart"/>
      <w:r w:rsidRPr="00FA5734">
        <w:rPr>
          <w:sz w:val="18"/>
          <w:szCs w:val="18"/>
        </w:rPr>
        <w:t>Maitz</w:t>
      </w:r>
      <w:proofErr w:type="spellEnd"/>
      <w:r w:rsidRPr="00FA5734">
        <w:rPr>
          <w:sz w:val="18"/>
          <w:szCs w:val="18"/>
        </w:rPr>
        <w:t xml:space="preserve">, P.K.M, (November 2012), “The True Cost of Burn”, </w:t>
      </w:r>
      <w:r w:rsidRPr="00FA5734">
        <w:rPr>
          <w:i/>
          <w:sz w:val="18"/>
          <w:szCs w:val="18"/>
        </w:rPr>
        <w:t>Burns</w:t>
      </w:r>
      <w:r w:rsidRPr="00FA5734">
        <w:rPr>
          <w:sz w:val="18"/>
          <w:szCs w:val="18"/>
        </w:rPr>
        <w:t>, Volume 38, Issue 7, Pages 967–974</w:t>
      </w:r>
      <w:r>
        <w:rPr>
          <w:sz w:val="18"/>
          <w:szCs w:val="18"/>
        </w:rPr>
        <w:t>) and indexed using CPI of 102.0 for December 2012 and 116.9 for Dec 2019)</w:t>
      </w:r>
      <w:r w:rsidRPr="008C144A">
        <w:rPr>
          <w:sz w:val="18"/>
          <w:szCs w:val="18"/>
        </w:rPr>
        <w:t xml:space="preserve"> </w:t>
      </w:r>
      <w:r w:rsidRPr="00701799">
        <w:rPr>
          <w:sz w:val="18"/>
          <w:szCs w:val="18"/>
        </w:rPr>
        <w:t>(see Australian Bureau of Statistics, Consumer Price Index, cat. no 6401.0</w:t>
      </w:r>
      <w:r>
        <w:rPr>
          <w:sz w:val="18"/>
          <w:szCs w:val="18"/>
        </w:rPr>
        <w:t>)</w:t>
      </w:r>
    </w:p>
  </w:footnote>
  <w:footnote w:id="102">
    <w:p w14:paraId="7AA5FB47" w14:textId="4ECCB5AB" w:rsidR="001A6758" w:rsidRPr="003E44DA" w:rsidRDefault="001A6758">
      <w:pPr>
        <w:pStyle w:val="FootnoteText"/>
        <w:rPr>
          <w:sz w:val="18"/>
          <w:szCs w:val="18"/>
        </w:rPr>
      </w:pPr>
      <w:r w:rsidRPr="003E44DA">
        <w:rPr>
          <w:rStyle w:val="FootnoteReference"/>
          <w:sz w:val="18"/>
          <w:szCs w:val="18"/>
        </w:rPr>
        <w:footnoteRef/>
      </w:r>
      <w:r w:rsidRPr="003E44DA">
        <w:rPr>
          <w:sz w:val="18"/>
          <w:szCs w:val="18"/>
        </w:rPr>
        <w:t xml:space="preserve"> </w:t>
      </w:r>
      <w:r>
        <w:rPr>
          <w:sz w:val="18"/>
          <w:szCs w:val="18"/>
        </w:rPr>
        <w:t>Based on data provided by MFB.</w:t>
      </w:r>
    </w:p>
  </w:footnote>
  <w:footnote w:id="103">
    <w:p w14:paraId="29D02763" w14:textId="41B7E66F" w:rsidR="001A6758" w:rsidRPr="0095115A" w:rsidRDefault="001A6758" w:rsidP="00F66D4E">
      <w:pPr>
        <w:rPr>
          <w:rFonts w:eastAsia="Times New Roman" w:cs="Arial"/>
          <w:sz w:val="18"/>
          <w:szCs w:val="18"/>
        </w:rPr>
      </w:pPr>
      <w:r w:rsidRPr="003E44DA">
        <w:rPr>
          <w:rStyle w:val="FootnoteReference"/>
          <w:sz w:val="18"/>
          <w:szCs w:val="18"/>
        </w:rPr>
        <w:footnoteRef/>
      </w:r>
      <w:r w:rsidRPr="003E44DA">
        <w:rPr>
          <w:sz w:val="18"/>
          <w:szCs w:val="18"/>
        </w:rPr>
        <w:t xml:space="preserve"> Based on a salary of $144,299</w:t>
      </w:r>
      <w:r w:rsidRPr="003E44DA">
        <w:rPr>
          <w:rFonts w:eastAsia="Times New Roman" w:cs="Arial"/>
          <w:sz w:val="18"/>
          <w:szCs w:val="18"/>
        </w:rPr>
        <w:t xml:space="preserve"> including on costs (see Table A1.1 in Appendix 1 for source of estimate).</w:t>
      </w:r>
    </w:p>
  </w:footnote>
  <w:footnote w:id="104">
    <w:p w14:paraId="3183D782" w14:textId="0A2B7FAC" w:rsidR="001A6758" w:rsidRPr="0095115A" w:rsidRDefault="001A6758" w:rsidP="00F66D4E">
      <w:pPr>
        <w:pStyle w:val="FootnoteText"/>
        <w:rPr>
          <w:sz w:val="18"/>
          <w:szCs w:val="18"/>
        </w:rPr>
      </w:pPr>
      <w:r w:rsidRPr="0095115A">
        <w:rPr>
          <w:rStyle w:val="FootnoteReference"/>
          <w:sz w:val="18"/>
          <w:szCs w:val="18"/>
        </w:rPr>
        <w:footnoteRef/>
      </w:r>
      <w:r w:rsidRPr="0095115A">
        <w:rPr>
          <w:sz w:val="18"/>
          <w:szCs w:val="18"/>
        </w:rPr>
        <w:t xml:space="preserve"> </w:t>
      </w:r>
      <w:r>
        <w:rPr>
          <w:sz w:val="18"/>
          <w:szCs w:val="18"/>
        </w:rPr>
        <w:t xml:space="preserve">Estimated as 5% of 8,567 ASEs x </w:t>
      </w:r>
      <w:r w:rsidRPr="004A2484">
        <w:rPr>
          <w:sz w:val="18"/>
          <w:szCs w:val="18"/>
        </w:rPr>
        <w:t>$</w:t>
      </w:r>
      <w:r>
        <w:rPr>
          <w:sz w:val="18"/>
          <w:szCs w:val="18"/>
        </w:rPr>
        <w:t>3,387.49.</w:t>
      </w:r>
    </w:p>
  </w:footnote>
  <w:footnote w:id="105">
    <w:p w14:paraId="0D9D3829" w14:textId="07F58253" w:rsidR="001A6758" w:rsidRPr="00EA0AA8" w:rsidRDefault="001A6758" w:rsidP="007B24DE">
      <w:pPr>
        <w:pStyle w:val="FootnoteText"/>
        <w:rPr>
          <w:sz w:val="18"/>
          <w:szCs w:val="18"/>
        </w:rPr>
      </w:pPr>
      <w:r w:rsidRPr="00EA0AA8">
        <w:rPr>
          <w:rStyle w:val="FootnoteReference"/>
          <w:sz w:val="18"/>
          <w:szCs w:val="18"/>
        </w:rPr>
        <w:footnoteRef/>
      </w:r>
      <w:r w:rsidRPr="00EA0AA8">
        <w:rPr>
          <w:sz w:val="18"/>
          <w:szCs w:val="18"/>
        </w:rPr>
        <w:t xml:space="preserve"> See Table A</w:t>
      </w:r>
      <w:r>
        <w:rPr>
          <w:sz w:val="18"/>
          <w:szCs w:val="18"/>
        </w:rPr>
        <w:t>3</w:t>
      </w:r>
      <w:r w:rsidRPr="00EA0AA8">
        <w:rPr>
          <w:sz w:val="18"/>
          <w:szCs w:val="18"/>
        </w:rPr>
        <w:t>.</w:t>
      </w:r>
      <w:r>
        <w:rPr>
          <w:sz w:val="18"/>
          <w:szCs w:val="18"/>
        </w:rPr>
        <w:t>6</w:t>
      </w:r>
      <w:r w:rsidRPr="00EA0AA8">
        <w:rPr>
          <w:sz w:val="18"/>
          <w:szCs w:val="18"/>
        </w:rPr>
        <w:t xml:space="preserve"> for source of estimate in Appendix </w:t>
      </w:r>
      <w:r>
        <w:rPr>
          <w:sz w:val="18"/>
          <w:szCs w:val="18"/>
        </w:rPr>
        <w:t>3.</w:t>
      </w:r>
    </w:p>
  </w:footnote>
  <w:footnote w:id="106">
    <w:p w14:paraId="18B879AA" w14:textId="77777777" w:rsidR="001A6758" w:rsidRPr="00AB0520" w:rsidRDefault="001A6758" w:rsidP="000B4B7A">
      <w:pPr>
        <w:pStyle w:val="FootnoteText"/>
        <w:rPr>
          <w:sz w:val="18"/>
          <w:szCs w:val="18"/>
        </w:rPr>
      </w:pPr>
      <w:r w:rsidRPr="00AB0520">
        <w:rPr>
          <w:rStyle w:val="FootnoteReference"/>
          <w:sz w:val="18"/>
          <w:szCs w:val="18"/>
        </w:rPr>
        <w:footnoteRef/>
      </w:r>
      <w:r w:rsidRPr="00AB0520">
        <w:rPr>
          <w:sz w:val="18"/>
          <w:szCs w:val="18"/>
        </w:rPr>
        <w:t xml:space="preserve"> Calculated as </w:t>
      </w:r>
      <w:r w:rsidRPr="007C60FB">
        <w:rPr>
          <w:rFonts w:cs="Arial"/>
          <w:sz w:val="18"/>
          <w:szCs w:val="18"/>
        </w:rPr>
        <w:t>$56,358,829</w:t>
      </w:r>
      <w:r w:rsidRPr="00AB0520">
        <w:rPr>
          <w:rFonts w:cs="Arial"/>
          <w:sz w:val="18"/>
          <w:szCs w:val="18"/>
        </w:rPr>
        <w:t xml:space="preserve"> less </w:t>
      </w:r>
      <w:r w:rsidRPr="00AF1100">
        <w:rPr>
          <w:rFonts w:cs="Arial"/>
          <w:sz w:val="18"/>
          <w:szCs w:val="18"/>
        </w:rPr>
        <w:t>$13,009,227</w:t>
      </w:r>
      <w:r>
        <w:rPr>
          <w:rFonts w:cs="Arial"/>
          <w:sz w:val="18"/>
          <w:szCs w:val="18"/>
        </w:rPr>
        <w:t xml:space="preserve"> = </w:t>
      </w:r>
      <w:r w:rsidRPr="007C60FB">
        <w:rPr>
          <w:rFonts w:cs="Arial"/>
          <w:sz w:val="18"/>
          <w:szCs w:val="18"/>
        </w:rPr>
        <w:t>$43,349,602</w:t>
      </w:r>
    </w:p>
  </w:footnote>
  <w:footnote w:id="107">
    <w:p w14:paraId="782029F3" w14:textId="3D0632B9" w:rsidR="001A6758" w:rsidRPr="00A97C38" w:rsidRDefault="001A6758" w:rsidP="000B4B7A">
      <w:pPr>
        <w:pStyle w:val="FootnoteText"/>
      </w:pPr>
      <w:r w:rsidRPr="00A97C38">
        <w:rPr>
          <w:rStyle w:val="FootnoteReference"/>
          <w:sz w:val="18"/>
          <w:szCs w:val="18"/>
        </w:rPr>
        <w:footnoteRef/>
      </w:r>
      <w:r w:rsidRPr="00A97C38">
        <w:rPr>
          <w:sz w:val="18"/>
          <w:szCs w:val="18"/>
        </w:rPr>
        <w:t xml:space="preserve"> </w:t>
      </w:r>
      <w:r w:rsidRPr="00AB0520">
        <w:rPr>
          <w:sz w:val="18"/>
          <w:szCs w:val="18"/>
        </w:rPr>
        <w:t>This is estimated using the projected number of quarterly hour transactions for 201</w:t>
      </w:r>
      <w:r>
        <w:rPr>
          <w:sz w:val="18"/>
          <w:szCs w:val="18"/>
        </w:rPr>
        <w:t>9</w:t>
      </w:r>
      <w:r w:rsidRPr="00AB0520">
        <w:rPr>
          <w:sz w:val="18"/>
          <w:szCs w:val="18"/>
        </w:rPr>
        <w:t>-</w:t>
      </w:r>
      <w:r>
        <w:rPr>
          <w:sz w:val="18"/>
          <w:szCs w:val="18"/>
        </w:rPr>
        <w:t>20</w:t>
      </w:r>
      <w:r w:rsidRPr="00AB0520">
        <w:rPr>
          <w:sz w:val="18"/>
          <w:szCs w:val="18"/>
        </w:rPr>
        <w:t xml:space="preserve"> (i.e. 18,</w:t>
      </w:r>
      <w:r>
        <w:rPr>
          <w:sz w:val="18"/>
          <w:szCs w:val="18"/>
        </w:rPr>
        <w:t>686</w:t>
      </w:r>
      <w:r w:rsidRPr="00AB0520">
        <w:rPr>
          <w:sz w:val="18"/>
          <w:szCs w:val="18"/>
        </w:rPr>
        <w:t xml:space="preserve"> (see Table A3.</w:t>
      </w:r>
      <w:r>
        <w:rPr>
          <w:sz w:val="18"/>
          <w:szCs w:val="18"/>
        </w:rPr>
        <w:t>4 of Appendix 3</w:t>
      </w:r>
      <w:r w:rsidRPr="00AB0520">
        <w:rPr>
          <w:sz w:val="18"/>
          <w:szCs w:val="18"/>
        </w:rPr>
        <w:t xml:space="preserve"> for source of estimate)) and the current </w:t>
      </w:r>
      <w:r>
        <w:rPr>
          <w:sz w:val="18"/>
          <w:szCs w:val="18"/>
        </w:rPr>
        <w:t xml:space="preserve">quarterly hour </w:t>
      </w:r>
      <w:r w:rsidRPr="00AB0520">
        <w:rPr>
          <w:sz w:val="18"/>
          <w:szCs w:val="18"/>
        </w:rPr>
        <w:t>fee of $5</w:t>
      </w:r>
      <w:r>
        <w:rPr>
          <w:sz w:val="18"/>
          <w:szCs w:val="18"/>
        </w:rPr>
        <w:t>78</w:t>
      </w:r>
      <w:r w:rsidRPr="00AB0520">
        <w:rPr>
          <w:sz w:val="18"/>
          <w:szCs w:val="18"/>
        </w:rPr>
        <w:t>.</w:t>
      </w:r>
      <w:r>
        <w:rPr>
          <w:sz w:val="18"/>
          <w:szCs w:val="18"/>
        </w:rPr>
        <w:t>48 for MFB + 3,766 (see Table A3.4 of Appendix 3 for source of estimate) and the current quarterly hour fee of $584.25.</w:t>
      </w:r>
    </w:p>
  </w:footnote>
  <w:footnote w:id="108">
    <w:p w14:paraId="31A2F311" w14:textId="7E0B2AD5" w:rsidR="001A6758" w:rsidRPr="001E43B8" w:rsidRDefault="001A6758" w:rsidP="00323FFF">
      <w:pPr>
        <w:pStyle w:val="FootnoteText"/>
        <w:rPr>
          <w:sz w:val="18"/>
          <w:szCs w:val="18"/>
        </w:rPr>
      </w:pPr>
      <w:r w:rsidRPr="001E43B8">
        <w:rPr>
          <w:rStyle w:val="FootnoteReference"/>
          <w:sz w:val="18"/>
          <w:szCs w:val="18"/>
        </w:rPr>
        <w:footnoteRef/>
      </w:r>
      <w:r w:rsidRPr="001E43B8">
        <w:rPr>
          <w:sz w:val="18"/>
          <w:szCs w:val="18"/>
        </w:rPr>
        <w:t xml:space="preserve"> </w:t>
      </w:r>
      <w:r>
        <w:rPr>
          <w:rFonts w:cs="Helvetica"/>
          <w:sz w:val="18"/>
          <w:szCs w:val="18"/>
        </w:rPr>
        <w:t>T</w:t>
      </w:r>
      <w:r w:rsidRPr="001E43B8">
        <w:rPr>
          <w:rFonts w:cs="Helvetica"/>
          <w:sz w:val="18"/>
          <w:szCs w:val="18"/>
        </w:rPr>
        <w:t>his comprises the Fire Services Property Levy and funding from general revenue (see Table 1 in this RIS)</w:t>
      </w:r>
    </w:p>
  </w:footnote>
  <w:footnote w:id="109">
    <w:p w14:paraId="77A56E05" w14:textId="1D3B151F" w:rsidR="001A6758" w:rsidRPr="009917B8" w:rsidRDefault="001A6758">
      <w:pPr>
        <w:pStyle w:val="FootnoteText"/>
        <w:rPr>
          <w:sz w:val="18"/>
          <w:szCs w:val="18"/>
        </w:rPr>
      </w:pPr>
      <w:r w:rsidRPr="009917B8">
        <w:rPr>
          <w:rStyle w:val="FootnoteReference"/>
          <w:sz w:val="18"/>
          <w:szCs w:val="18"/>
        </w:rPr>
        <w:footnoteRef/>
      </w:r>
      <w:r w:rsidRPr="009917B8">
        <w:rPr>
          <w:sz w:val="18"/>
          <w:szCs w:val="18"/>
        </w:rPr>
        <w:t xml:space="preserve"> </w:t>
      </w:r>
      <w:r>
        <w:rPr>
          <w:sz w:val="18"/>
          <w:szCs w:val="18"/>
        </w:rPr>
        <w:t>According to DJCS,</w:t>
      </w:r>
      <w:r w:rsidRPr="009917B8">
        <w:rPr>
          <w:sz w:val="18"/>
          <w:szCs w:val="18"/>
        </w:rPr>
        <w:t xml:space="preserve"> cross-subsidisation is a fundamental principle of emergency response capability which enables an effective response to high risk events and surge capacity for out of scale events and a strength of Victoria’s Emergency Management model.</w:t>
      </w:r>
    </w:p>
  </w:footnote>
  <w:footnote w:id="110">
    <w:p w14:paraId="05A0A4B5" w14:textId="503EE06C" w:rsidR="001A6758" w:rsidRPr="00AB0520" w:rsidRDefault="001A6758" w:rsidP="001D51D6">
      <w:pPr>
        <w:pStyle w:val="FootnoteText"/>
        <w:rPr>
          <w:sz w:val="18"/>
          <w:szCs w:val="18"/>
        </w:rPr>
      </w:pPr>
      <w:r w:rsidRPr="00AB0520">
        <w:rPr>
          <w:rStyle w:val="FootnoteReference"/>
          <w:sz w:val="18"/>
          <w:szCs w:val="18"/>
        </w:rPr>
        <w:footnoteRef/>
      </w:r>
      <w:r>
        <w:rPr>
          <w:sz w:val="18"/>
          <w:szCs w:val="18"/>
        </w:rPr>
        <w:t xml:space="preserve"> 46.09% of total cost of false alarm attendances</w:t>
      </w:r>
      <w:r w:rsidRPr="00AB0520">
        <w:rPr>
          <w:sz w:val="18"/>
          <w:szCs w:val="18"/>
        </w:rPr>
        <w:t xml:space="preserve"> </w:t>
      </w:r>
      <w:r w:rsidRPr="00D36267">
        <w:rPr>
          <w:sz w:val="18"/>
          <w:szCs w:val="18"/>
        </w:rPr>
        <w:t>$123,762,646</w:t>
      </w:r>
      <w:r>
        <w:rPr>
          <w:sz w:val="18"/>
          <w:szCs w:val="18"/>
        </w:rPr>
        <w:t xml:space="preserve"> for 2018-19 (see Section A3.2.1 of Appendix 3 for source of estimate for 2018-19)</w:t>
      </w:r>
    </w:p>
  </w:footnote>
  <w:footnote w:id="111">
    <w:p w14:paraId="08D1C2EB" w14:textId="77777777" w:rsidR="001A6758" w:rsidRPr="009A3C8B" w:rsidRDefault="001A6758" w:rsidP="002F3150">
      <w:pPr>
        <w:pStyle w:val="FootnoteText"/>
        <w:rPr>
          <w:sz w:val="18"/>
          <w:szCs w:val="18"/>
        </w:rPr>
      </w:pPr>
      <w:r w:rsidRPr="009A3C8B">
        <w:rPr>
          <w:rStyle w:val="FootnoteReference"/>
          <w:sz w:val="18"/>
          <w:szCs w:val="18"/>
        </w:rPr>
        <w:footnoteRef/>
      </w:r>
      <w:r w:rsidRPr="009A3C8B">
        <w:rPr>
          <w:sz w:val="18"/>
          <w:szCs w:val="18"/>
        </w:rPr>
        <w:t xml:space="preserve"> </w:t>
      </w:r>
      <w:r>
        <w:rPr>
          <w:sz w:val="18"/>
          <w:szCs w:val="18"/>
        </w:rPr>
        <w:t>See Section A3.1.2 of Appendix 3</w:t>
      </w:r>
      <w:r w:rsidRPr="009A3C8B">
        <w:rPr>
          <w:sz w:val="18"/>
          <w:szCs w:val="18"/>
        </w:rPr>
        <w:t xml:space="preserve"> for a detailed discussion on the calculation of quarterly hourly costs</w:t>
      </w:r>
    </w:p>
  </w:footnote>
  <w:footnote w:id="112">
    <w:p w14:paraId="53354BBD" w14:textId="2385E1C8" w:rsidR="001A6758" w:rsidRPr="00F05C84" w:rsidRDefault="001A6758">
      <w:pPr>
        <w:pStyle w:val="FootnoteText"/>
        <w:rPr>
          <w:sz w:val="18"/>
          <w:szCs w:val="18"/>
          <w:lang w:val="en-GB"/>
        </w:rPr>
      </w:pPr>
      <w:r w:rsidRPr="00F05C84">
        <w:rPr>
          <w:rStyle w:val="FootnoteReference"/>
          <w:sz w:val="18"/>
          <w:szCs w:val="18"/>
        </w:rPr>
        <w:footnoteRef/>
      </w:r>
      <w:r>
        <w:rPr>
          <w:sz w:val="18"/>
          <w:szCs w:val="18"/>
        </w:rPr>
        <w:t xml:space="preserve"> Calculated as </w:t>
      </w:r>
      <w:r w:rsidRPr="00F05C84">
        <w:rPr>
          <w:sz w:val="18"/>
          <w:szCs w:val="18"/>
        </w:rPr>
        <w:t>$57,037,000 as a proportion of total cost of false alarm attendances $123,762,646 for 2018-19 (see Section A3.2.1 of Appendix 3 for source of estimate for 2018-19)</w:t>
      </w:r>
    </w:p>
  </w:footnote>
  <w:footnote w:id="113">
    <w:p w14:paraId="469C9A4F" w14:textId="29AEDAF4" w:rsidR="001A6758" w:rsidRPr="009A3C8B" w:rsidRDefault="001A6758" w:rsidP="00BB4FE1">
      <w:pPr>
        <w:pStyle w:val="FootnoteText"/>
        <w:rPr>
          <w:sz w:val="18"/>
          <w:szCs w:val="18"/>
        </w:rPr>
      </w:pPr>
      <w:r w:rsidRPr="009A3C8B">
        <w:rPr>
          <w:rStyle w:val="FootnoteReference"/>
          <w:sz w:val="18"/>
          <w:szCs w:val="18"/>
        </w:rPr>
        <w:footnoteRef/>
      </w:r>
      <w:r w:rsidRPr="009A3C8B">
        <w:rPr>
          <w:sz w:val="18"/>
          <w:szCs w:val="18"/>
        </w:rPr>
        <w:t xml:space="preserve"> See </w:t>
      </w:r>
      <w:r>
        <w:rPr>
          <w:sz w:val="18"/>
          <w:szCs w:val="18"/>
        </w:rPr>
        <w:t>S</w:t>
      </w:r>
      <w:r w:rsidRPr="00C811A4">
        <w:rPr>
          <w:sz w:val="18"/>
          <w:szCs w:val="18"/>
        </w:rPr>
        <w:t>ection A3.2.1 of Appendix 3</w:t>
      </w:r>
      <w:r>
        <w:rPr>
          <w:sz w:val="18"/>
          <w:szCs w:val="18"/>
        </w:rPr>
        <w:t xml:space="preserve"> for a </w:t>
      </w:r>
      <w:r w:rsidRPr="009A3C8B">
        <w:rPr>
          <w:sz w:val="18"/>
          <w:szCs w:val="18"/>
        </w:rPr>
        <w:t>detailed discussion of the estimation of annual costs of false alarm attendances.</w:t>
      </w:r>
    </w:p>
  </w:footnote>
  <w:footnote w:id="114">
    <w:p w14:paraId="00D89F78" w14:textId="5B4237CA" w:rsidR="001A6758" w:rsidRPr="009A3C8B" w:rsidRDefault="001A6758" w:rsidP="00BB4FE1">
      <w:pPr>
        <w:pStyle w:val="FootnoteText"/>
        <w:rPr>
          <w:sz w:val="18"/>
          <w:szCs w:val="18"/>
        </w:rPr>
      </w:pPr>
      <w:r w:rsidRPr="009A3C8B">
        <w:rPr>
          <w:rStyle w:val="FootnoteReference"/>
          <w:sz w:val="18"/>
          <w:szCs w:val="18"/>
        </w:rPr>
        <w:footnoteRef/>
      </w:r>
      <w:r w:rsidRPr="009A3C8B">
        <w:rPr>
          <w:sz w:val="18"/>
          <w:szCs w:val="18"/>
        </w:rPr>
        <w:t xml:space="preserve"> See </w:t>
      </w:r>
      <w:r>
        <w:rPr>
          <w:sz w:val="18"/>
          <w:szCs w:val="18"/>
        </w:rPr>
        <w:t xml:space="preserve">Table A3.6 of Appendix 3 </w:t>
      </w:r>
      <w:r w:rsidRPr="009A3C8B">
        <w:rPr>
          <w:sz w:val="18"/>
          <w:szCs w:val="18"/>
        </w:rPr>
        <w:t>for source of estimate for 20</w:t>
      </w:r>
      <w:r>
        <w:rPr>
          <w:sz w:val="18"/>
          <w:szCs w:val="18"/>
        </w:rPr>
        <w:t>20</w:t>
      </w:r>
      <w:r w:rsidRPr="009A3C8B">
        <w:rPr>
          <w:sz w:val="18"/>
          <w:szCs w:val="18"/>
        </w:rPr>
        <w:t>-</w:t>
      </w:r>
      <w:r>
        <w:rPr>
          <w:sz w:val="18"/>
          <w:szCs w:val="18"/>
        </w:rPr>
        <w:t>21</w:t>
      </w:r>
    </w:p>
  </w:footnote>
  <w:footnote w:id="115">
    <w:p w14:paraId="116A7F1C" w14:textId="6B8EE7C8" w:rsidR="001A6758" w:rsidRPr="009A3C8B" w:rsidRDefault="001A6758" w:rsidP="00BB4FE1">
      <w:pPr>
        <w:pStyle w:val="FootnoteText"/>
        <w:rPr>
          <w:sz w:val="18"/>
          <w:szCs w:val="18"/>
        </w:rPr>
      </w:pPr>
      <w:r w:rsidRPr="009A3C8B">
        <w:rPr>
          <w:rStyle w:val="FootnoteReference"/>
          <w:sz w:val="18"/>
          <w:szCs w:val="18"/>
        </w:rPr>
        <w:footnoteRef/>
      </w:r>
      <w:r w:rsidRPr="009A3C8B">
        <w:rPr>
          <w:sz w:val="18"/>
          <w:szCs w:val="18"/>
        </w:rPr>
        <w:t xml:space="preserve"> </w:t>
      </w:r>
      <w:r>
        <w:rPr>
          <w:sz w:val="18"/>
          <w:szCs w:val="18"/>
        </w:rPr>
        <w:t xml:space="preserve">See Section </w:t>
      </w:r>
      <w:r w:rsidRPr="00E7441E">
        <w:rPr>
          <w:sz w:val="18"/>
          <w:szCs w:val="18"/>
        </w:rPr>
        <w:t>A3.1.2</w:t>
      </w:r>
      <w:r>
        <w:rPr>
          <w:sz w:val="18"/>
          <w:szCs w:val="18"/>
        </w:rPr>
        <w:t xml:space="preserve"> of Appendix 3</w:t>
      </w:r>
      <w:r w:rsidRPr="00CF772D">
        <w:rPr>
          <w:sz w:val="18"/>
          <w:szCs w:val="18"/>
        </w:rPr>
        <w:t xml:space="preserve"> </w:t>
      </w:r>
      <w:r>
        <w:rPr>
          <w:sz w:val="18"/>
          <w:szCs w:val="18"/>
        </w:rPr>
        <w:t>source of fee.</w:t>
      </w:r>
    </w:p>
  </w:footnote>
  <w:footnote w:id="116">
    <w:p w14:paraId="3D9B17B6" w14:textId="0B18A39E" w:rsidR="001A6758" w:rsidRPr="009A3C8B" w:rsidRDefault="001A6758" w:rsidP="00BB4FE1">
      <w:pPr>
        <w:pStyle w:val="FootnoteText"/>
        <w:rPr>
          <w:sz w:val="18"/>
          <w:szCs w:val="18"/>
        </w:rPr>
      </w:pPr>
      <w:r w:rsidRPr="009A3C8B">
        <w:rPr>
          <w:rStyle w:val="FootnoteReference"/>
          <w:sz w:val="18"/>
          <w:szCs w:val="18"/>
        </w:rPr>
        <w:footnoteRef/>
      </w:r>
      <w:r w:rsidRPr="009A3C8B">
        <w:rPr>
          <w:sz w:val="18"/>
          <w:szCs w:val="18"/>
        </w:rPr>
        <w:t xml:space="preserve"> See </w:t>
      </w:r>
      <w:r>
        <w:rPr>
          <w:sz w:val="18"/>
          <w:szCs w:val="18"/>
        </w:rPr>
        <w:t>Table A3.6 of</w:t>
      </w:r>
      <w:r w:rsidRPr="009A3C8B">
        <w:rPr>
          <w:sz w:val="18"/>
          <w:szCs w:val="18"/>
        </w:rPr>
        <w:t xml:space="preserve"> Appendix 3 for source of estimate for 20</w:t>
      </w:r>
      <w:r>
        <w:rPr>
          <w:sz w:val="18"/>
          <w:szCs w:val="18"/>
        </w:rPr>
        <w:t>20</w:t>
      </w:r>
      <w:r w:rsidRPr="009A3C8B">
        <w:rPr>
          <w:sz w:val="18"/>
          <w:szCs w:val="18"/>
        </w:rPr>
        <w:t>-</w:t>
      </w:r>
      <w:r>
        <w:rPr>
          <w:sz w:val="18"/>
          <w:szCs w:val="18"/>
        </w:rPr>
        <w:t>21</w:t>
      </w:r>
    </w:p>
  </w:footnote>
  <w:footnote w:id="117">
    <w:p w14:paraId="6A8B5314" w14:textId="7EA61B01" w:rsidR="001A6758" w:rsidRPr="00A97C38" w:rsidRDefault="001A6758" w:rsidP="00254E7D">
      <w:pPr>
        <w:pStyle w:val="FootnoteText"/>
        <w:rPr>
          <w:sz w:val="18"/>
          <w:szCs w:val="18"/>
        </w:rPr>
      </w:pPr>
      <w:r w:rsidRPr="00A97C38">
        <w:rPr>
          <w:rStyle w:val="FootnoteReference"/>
          <w:sz w:val="18"/>
          <w:szCs w:val="18"/>
        </w:rPr>
        <w:footnoteRef/>
      </w:r>
      <w:r w:rsidRPr="00A97C38">
        <w:rPr>
          <w:sz w:val="18"/>
          <w:szCs w:val="18"/>
        </w:rPr>
        <w:t xml:space="preserve"> </w:t>
      </w:r>
      <w:r>
        <w:rPr>
          <w:sz w:val="18"/>
          <w:szCs w:val="18"/>
        </w:rPr>
        <w:t xml:space="preserve">Calculated as </w:t>
      </w:r>
      <w:r w:rsidRPr="00C37F54">
        <w:rPr>
          <w:sz w:val="18"/>
          <w:szCs w:val="18"/>
        </w:rPr>
        <w:t>$13,292,300</w:t>
      </w:r>
      <w:r>
        <w:rPr>
          <w:sz w:val="18"/>
          <w:szCs w:val="18"/>
        </w:rPr>
        <w:t xml:space="preserve"> </w:t>
      </w:r>
      <w:r w:rsidRPr="00A97C38">
        <w:rPr>
          <w:sz w:val="18"/>
          <w:szCs w:val="18"/>
        </w:rPr>
        <w:t xml:space="preserve">as a proportion of </w:t>
      </w:r>
      <w:r w:rsidRPr="00C37569">
        <w:rPr>
          <w:sz w:val="18"/>
          <w:szCs w:val="18"/>
        </w:rPr>
        <w:t>$123,762,646</w:t>
      </w:r>
      <w:r>
        <w:rPr>
          <w:sz w:val="18"/>
          <w:szCs w:val="18"/>
        </w:rPr>
        <w:t>.</w:t>
      </w:r>
    </w:p>
  </w:footnote>
  <w:footnote w:id="118">
    <w:p w14:paraId="7DFF1BE6" w14:textId="4566DFE9" w:rsidR="001A6758" w:rsidRPr="009A3C8B" w:rsidRDefault="001A6758" w:rsidP="00254E7D">
      <w:pPr>
        <w:pStyle w:val="FootnoteText"/>
        <w:rPr>
          <w:sz w:val="18"/>
          <w:szCs w:val="18"/>
        </w:rPr>
      </w:pPr>
      <w:r w:rsidRPr="009A3C8B">
        <w:rPr>
          <w:rStyle w:val="FootnoteReference"/>
          <w:sz w:val="18"/>
          <w:szCs w:val="18"/>
        </w:rPr>
        <w:footnoteRef/>
      </w:r>
      <w:r w:rsidRPr="009A3C8B">
        <w:rPr>
          <w:sz w:val="18"/>
          <w:szCs w:val="18"/>
        </w:rPr>
        <w:t xml:space="preserve"> </w:t>
      </w:r>
      <w:r>
        <w:rPr>
          <w:sz w:val="18"/>
          <w:szCs w:val="18"/>
        </w:rPr>
        <w:t>C</w:t>
      </w:r>
      <w:r w:rsidRPr="009A3C8B">
        <w:rPr>
          <w:sz w:val="18"/>
          <w:szCs w:val="18"/>
        </w:rPr>
        <w:t>alculated as</w:t>
      </w:r>
      <w:r w:rsidRPr="00C37569">
        <w:t xml:space="preserve"> </w:t>
      </w:r>
      <w:r w:rsidRPr="00C37569">
        <w:rPr>
          <w:sz w:val="18"/>
          <w:szCs w:val="18"/>
        </w:rPr>
        <w:t xml:space="preserve">$123,762,646 </w:t>
      </w:r>
      <w:r>
        <w:rPr>
          <w:sz w:val="18"/>
          <w:szCs w:val="18"/>
        </w:rPr>
        <w:t>(total cost)</w:t>
      </w:r>
      <w:r w:rsidRPr="009A3C8B">
        <w:rPr>
          <w:sz w:val="18"/>
          <w:szCs w:val="18"/>
        </w:rPr>
        <w:t xml:space="preserve"> less </w:t>
      </w:r>
      <w:r w:rsidRPr="00C37F54">
        <w:rPr>
          <w:sz w:val="18"/>
          <w:szCs w:val="18"/>
        </w:rPr>
        <w:t>$13,292,300</w:t>
      </w:r>
      <w:r w:rsidRPr="009A3C8B">
        <w:rPr>
          <w:sz w:val="18"/>
          <w:szCs w:val="18"/>
        </w:rPr>
        <w:t xml:space="preserve"> (the amount recovered under Option 2</w:t>
      </w:r>
      <w:r>
        <w:rPr>
          <w:sz w:val="18"/>
          <w:szCs w:val="18"/>
        </w:rPr>
        <w:t>) (see Table 19)</w:t>
      </w:r>
    </w:p>
  </w:footnote>
  <w:footnote w:id="119">
    <w:p w14:paraId="09912CEC" w14:textId="77777777" w:rsidR="001A6758" w:rsidRPr="009A3C8B" w:rsidRDefault="001A6758" w:rsidP="00254E7D">
      <w:pPr>
        <w:pStyle w:val="FootnoteText"/>
        <w:rPr>
          <w:sz w:val="18"/>
          <w:szCs w:val="18"/>
        </w:rPr>
      </w:pPr>
      <w:r w:rsidRPr="009A3C8B">
        <w:rPr>
          <w:rStyle w:val="FootnoteReference"/>
          <w:sz w:val="18"/>
          <w:szCs w:val="18"/>
        </w:rPr>
        <w:footnoteRef/>
      </w:r>
      <w:r w:rsidRPr="009A3C8B">
        <w:rPr>
          <w:sz w:val="18"/>
          <w:szCs w:val="18"/>
        </w:rPr>
        <w:t xml:space="preserve"> See </w:t>
      </w:r>
      <w:r>
        <w:rPr>
          <w:sz w:val="18"/>
          <w:szCs w:val="18"/>
        </w:rPr>
        <w:t>S</w:t>
      </w:r>
      <w:r w:rsidRPr="00C811A4">
        <w:rPr>
          <w:sz w:val="18"/>
          <w:szCs w:val="18"/>
        </w:rPr>
        <w:t>ection A3.2.1 of Appendix 3</w:t>
      </w:r>
      <w:r>
        <w:rPr>
          <w:sz w:val="18"/>
          <w:szCs w:val="18"/>
        </w:rPr>
        <w:t xml:space="preserve"> for a </w:t>
      </w:r>
      <w:r w:rsidRPr="009A3C8B">
        <w:rPr>
          <w:sz w:val="18"/>
          <w:szCs w:val="18"/>
        </w:rPr>
        <w:t>detailed discussion of the estimation of annual costs of false alarm attendances.</w:t>
      </w:r>
    </w:p>
  </w:footnote>
  <w:footnote w:id="120">
    <w:p w14:paraId="217503C5" w14:textId="3A8E1A3D" w:rsidR="001A6758" w:rsidRPr="009A3C8B" w:rsidRDefault="001A6758" w:rsidP="00254E7D">
      <w:pPr>
        <w:pStyle w:val="FootnoteText"/>
        <w:rPr>
          <w:sz w:val="18"/>
          <w:szCs w:val="18"/>
        </w:rPr>
      </w:pPr>
      <w:r w:rsidRPr="009A3C8B">
        <w:rPr>
          <w:rStyle w:val="FootnoteReference"/>
          <w:sz w:val="18"/>
          <w:szCs w:val="18"/>
        </w:rPr>
        <w:footnoteRef/>
      </w:r>
      <w:r w:rsidRPr="009A3C8B">
        <w:rPr>
          <w:sz w:val="18"/>
          <w:szCs w:val="18"/>
        </w:rPr>
        <w:t xml:space="preserve"> See </w:t>
      </w:r>
      <w:r>
        <w:rPr>
          <w:sz w:val="18"/>
          <w:szCs w:val="18"/>
        </w:rPr>
        <w:t xml:space="preserve">Table A3.7 of Appendix 3 </w:t>
      </w:r>
      <w:r w:rsidRPr="009A3C8B">
        <w:rPr>
          <w:sz w:val="18"/>
          <w:szCs w:val="18"/>
        </w:rPr>
        <w:t>for source of estimate for 20</w:t>
      </w:r>
      <w:r>
        <w:rPr>
          <w:sz w:val="18"/>
          <w:szCs w:val="18"/>
        </w:rPr>
        <w:t>20</w:t>
      </w:r>
      <w:r w:rsidRPr="009A3C8B">
        <w:rPr>
          <w:sz w:val="18"/>
          <w:szCs w:val="18"/>
        </w:rPr>
        <w:t>-</w:t>
      </w:r>
      <w:r>
        <w:rPr>
          <w:sz w:val="18"/>
          <w:szCs w:val="18"/>
        </w:rPr>
        <w:t>21</w:t>
      </w:r>
    </w:p>
  </w:footnote>
  <w:footnote w:id="121">
    <w:p w14:paraId="211E7296" w14:textId="4BED3F32" w:rsidR="001A6758" w:rsidRPr="009A3C8B" w:rsidRDefault="001A6758" w:rsidP="00254E7D">
      <w:pPr>
        <w:pStyle w:val="FootnoteText"/>
        <w:rPr>
          <w:sz w:val="18"/>
          <w:szCs w:val="18"/>
        </w:rPr>
      </w:pPr>
      <w:r w:rsidRPr="009A3C8B">
        <w:rPr>
          <w:rStyle w:val="FootnoteReference"/>
          <w:sz w:val="18"/>
          <w:szCs w:val="18"/>
        </w:rPr>
        <w:footnoteRef/>
      </w:r>
      <w:r w:rsidRPr="009A3C8B">
        <w:rPr>
          <w:sz w:val="18"/>
          <w:szCs w:val="18"/>
        </w:rPr>
        <w:t xml:space="preserve"> </w:t>
      </w:r>
      <w:r>
        <w:rPr>
          <w:sz w:val="18"/>
          <w:szCs w:val="18"/>
        </w:rPr>
        <w:t xml:space="preserve">Based on current fee amounts of $578.48 for MFB </w:t>
      </w:r>
      <w:r w:rsidRPr="00AC75A2">
        <w:rPr>
          <w:sz w:val="18"/>
          <w:szCs w:val="18"/>
        </w:rPr>
        <w:t>$584.25</w:t>
      </w:r>
      <w:r>
        <w:rPr>
          <w:sz w:val="18"/>
          <w:szCs w:val="18"/>
        </w:rPr>
        <w:t xml:space="preserve"> for CFA integrated stations and rounded to the nearest $100.</w:t>
      </w:r>
    </w:p>
  </w:footnote>
  <w:footnote w:id="122">
    <w:p w14:paraId="281EAC0D" w14:textId="7B9FC2E8" w:rsidR="001A6758" w:rsidRPr="009A3C8B" w:rsidRDefault="001A6758" w:rsidP="00254E7D">
      <w:pPr>
        <w:pStyle w:val="FootnoteText"/>
        <w:rPr>
          <w:sz w:val="18"/>
          <w:szCs w:val="18"/>
        </w:rPr>
      </w:pPr>
      <w:r w:rsidRPr="009A3C8B">
        <w:rPr>
          <w:rStyle w:val="FootnoteReference"/>
          <w:sz w:val="18"/>
          <w:szCs w:val="18"/>
        </w:rPr>
        <w:footnoteRef/>
      </w:r>
      <w:r w:rsidRPr="009A3C8B">
        <w:rPr>
          <w:sz w:val="18"/>
          <w:szCs w:val="18"/>
        </w:rPr>
        <w:t xml:space="preserve"> See </w:t>
      </w:r>
      <w:r>
        <w:rPr>
          <w:sz w:val="18"/>
          <w:szCs w:val="18"/>
        </w:rPr>
        <w:t>Table A3.7 of</w:t>
      </w:r>
      <w:r w:rsidRPr="009A3C8B">
        <w:rPr>
          <w:sz w:val="18"/>
          <w:szCs w:val="18"/>
        </w:rPr>
        <w:t xml:space="preserve"> Appendix 3 for source of estimate for 20</w:t>
      </w:r>
      <w:r>
        <w:rPr>
          <w:sz w:val="18"/>
          <w:szCs w:val="18"/>
        </w:rPr>
        <w:t>20</w:t>
      </w:r>
      <w:r w:rsidRPr="009A3C8B">
        <w:rPr>
          <w:sz w:val="18"/>
          <w:szCs w:val="18"/>
        </w:rPr>
        <w:t>-</w:t>
      </w:r>
      <w:r>
        <w:rPr>
          <w:sz w:val="18"/>
          <w:szCs w:val="18"/>
        </w:rPr>
        <w:t>21</w:t>
      </w:r>
    </w:p>
  </w:footnote>
  <w:footnote w:id="123">
    <w:p w14:paraId="736C134D" w14:textId="02386258" w:rsidR="001A6758" w:rsidRPr="00A97C38" w:rsidRDefault="001A6758" w:rsidP="00BF7D9C">
      <w:pPr>
        <w:pStyle w:val="FootnoteText"/>
        <w:rPr>
          <w:sz w:val="18"/>
          <w:szCs w:val="18"/>
        </w:rPr>
      </w:pPr>
      <w:r w:rsidRPr="00A97C38">
        <w:rPr>
          <w:rStyle w:val="FootnoteReference"/>
          <w:sz w:val="18"/>
          <w:szCs w:val="18"/>
        </w:rPr>
        <w:footnoteRef/>
      </w:r>
      <w:r w:rsidRPr="00A97C38">
        <w:rPr>
          <w:sz w:val="18"/>
          <w:szCs w:val="18"/>
        </w:rPr>
        <w:t xml:space="preserve"> </w:t>
      </w:r>
      <w:r w:rsidRPr="00F545EF">
        <w:rPr>
          <w:sz w:val="18"/>
          <w:szCs w:val="18"/>
        </w:rPr>
        <w:t>$6,973,337</w:t>
      </w:r>
      <w:r>
        <w:rPr>
          <w:sz w:val="18"/>
          <w:szCs w:val="18"/>
        </w:rPr>
        <w:t xml:space="preserve"> </w:t>
      </w:r>
      <w:r w:rsidRPr="00A97C38">
        <w:rPr>
          <w:sz w:val="18"/>
          <w:szCs w:val="18"/>
        </w:rPr>
        <w:t xml:space="preserve">as a proportion of </w:t>
      </w:r>
      <w:r w:rsidRPr="00C37569">
        <w:rPr>
          <w:sz w:val="18"/>
          <w:szCs w:val="18"/>
        </w:rPr>
        <w:t>$123,762,646</w:t>
      </w:r>
      <w:r>
        <w:rPr>
          <w:sz w:val="18"/>
          <w:szCs w:val="18"/>
        </w:rPr>
        <w:t>.</w:t>
      </w:r>
    </w:p>
  </w:footnote>
  <w:footnote w:id="124">
    <w:p w14:paraId="142D6963" w14:textId="48217A86" w:rsidR="001A6758" w:rsidRPr="009A3C8B" w:rsidRDefault="001A6758" w:rsidP="00BF7D9C">
      <w:pPr>
        <w:pStyle w:val="FootnoteText"/>
        <w:rPr>
          <w:sz w:val="18"/>
          <w:szCs w:val="18"/>
        </w:rPr>
      </w:pPr>
      <w:r w:rsidRPr="009A3C8B">
        <w:rPr>
          <w:rStyle w:val="FootnoteReference"/>
          <w:sz w:val="18"/>
          <w:szCs w:val="18"/>
        </w:rPr>
        <w:footnoteRef/>
      </w:r>
      <w:r w:rsidRPr="00970456">
        <w:rPr>
          <w:sz w:val="18"/>
          <w:szCs w:val="18"/>
        </w:rPr>
        <w:t xml:space="preserve"> Calculated as $123,762,646 (total cost) less </w:t>
      </w:r>
      <w:r w:rsidRPr="00F545EF">
        <w:rPr>
          <w:sz w:val="18"/>
          <w:szCs w:val="18"/>
        </w:rPr>
        <w:t>$6,973,337</w:t>
      </w:r>
      <w:r>
        <w:rPr>
          <w:sz w:val="18"/>
          <w:szCs w:val="18"/>
        </w:rPr>
        <w:t xml:space="preserve"> </w:t>
      </w:r>
      <w:r w:rsidRPr="00970456">
        <w:rPr>
          <w:sz w:val="18"/>
          <w:szCs w:val="18"/>
        </w:rPr>
        <w:t>(the amount recovered under Option 3) (see Table 20)</w:t>
      </w:r>
    </w:p>
  </w:footnote>
  <w:footnote w:id="125">
    <w:p w14:paraId="7E12884B" w14:textId="77777777" w:rsidR="001A6758" w:rsidRPr="009A3C8B" w:rsidRDefault="001A6758" w:rsidP="00F545EF">
      <w:pPr>
        <w:pStyle w:val="FootnoteText"/>
        <w:rPr>
          <w:sz w:val="18"/>
          <w:szCs w:val="18"/>
        </w:rPr>
      </w:pPr>
      <w:r w:rsidRPr="009A3C8B">
        <w:rPr>
          <w:rStyle w:val="FootnoteReference"/>
          <w:sz w:val="18"/>
          <w:szCs w:val="18"/>
        </w:rPr>
        <w:footnoteRef/>
      </w:r>
      <w:r w:rsidRPr="009A3C8B">
        <w:rPr>
          <w:sz w:val="18"/>
          <w:szCs w:val="18"/>
        </w:rPr>
        <w:t xml:space="preserve"> See </w:t>
      </w:r>
      <w:r>
        <w:rPr>
          <w:sz w:val="18"/>
          <w:szCs w:val="18"/>
        </w:rPr>
        <w:t>S</w:t>
      </w:r>
      <w:r w:rsidRPr="00C811A4">
        <w:rPr>
          <w:sz w:val="18"/>
          <w:szCs w:val="18"/>
        </w:rPr>
        <w:t>ection A3.2.1 of Appendix 3</w:t>
      </w:r>
      <w:r>
        <w:rPr>
          <w:sz w:val="18"/>
          <w:szCs w:val="18"/>
        </w:rPr>
        <w:t xml:space="preserve"> for a </w:t>
      </w:r>
      <w:r w:rsidRPr="009A3C8B">
        <w:rPr>
          <w:sz w:val="18"/>
          <w:szCs w:val="18"/>
        </w:rPr>
        <w:t>detailed discussion of the estimation of annual costs of false alarm attendances.</w:t>
      </w:r>
    </w:p>
  </w:footnote>
  <w:footnote w:id="126">
    <w:p w14:paraId="2803B0D7" w14:textId="2D7E4EDE" w:rsidR="001A6758" w:rsidRPr="009A3C8B" w:rsidRDefault="001A6758" w:rsidP="00F545EF">
      <w:pPr>
        <w:pStyle w:val="FootnoteText"/>
        <w:rPr>
          <w:sz w:val="18"/>
          <w:szCs w:val="18"/>
        </w:rPr>
      </w:pPr>
      <w:r w:rsidRPr="009A3C8B">
        <w:rPr>
          <w:rStyle w:val="FootnoteReference"/>
          <w:sz w:val="18"/>
          <w:szCs w:val="18"/>
        </w:rPr>
        <w:footnoteRef/>
      </w:r>
      <w:r w:rsidRPr="009A3C8B">
        <w:rPr>
          <w:sz w:val="18"/>
          <w:szCs w:val="18"/>
        </w:rPr>
        <w:t xml:space="preserve"> See </w:t>
      </w:r>
      <w:r>
        <w:rPr>
          <w:sz w:val="18"/>
          <w:szCs w:val="18"/>
        </w:rPr>
        <w:t xml:space="preserve">Table A3.9 of Appendix 3 </w:t>
      </w:r>
      <w:r w:rsidRPr="009A3C8B">
        <w:rPr>
          <w:sz w:val="18"/>
          <w:szCs w:val="18"/>
        </w:rPr>
        <w:t>for source of estimate for 20</w:t>
      </w:r>
      <w:r>
        <w:rPr>
          <w:sz w:val="18"/>
          <w:szCs w:val="18"/>
        </w:rPr>
        <w:t>20</w:t>
      </w:r>
      <w:r w:rsidRPr="009A3C8B">
        <w:rPr>
          <w:sz w:val="18"/>
          <w:szCs w:val="18"/>
        </w:rPr>
        <w:t>-</w:t>
      </w:r>
      <w:r>
        <w:rPr>
          <w:sz w:val="18"/>
          <w:szCs w:val="18"/>
        </w:rPr>
        <w:t>21</w:t>
      </w:r>
    </w:p>
  </w:footnote>
  <w:footnote w:id="127">
    <w:p w14:paraId="30A3EADE" w14:textId="77777777" w:rsidR="001A6758" w:rsidRPr="009A3C8B" w:rsidRDefault="001A6758" w:rsidP="00F545EF">
      <w:pPr>
        <w:pStyle w:val="FootnoteText"/>
        <w:rPr>
          <w:sz w:val="18"/>
          <w:szCs w:val="18"/>
        </w:rPr>
      </w:pPr>
      <w:r w:rsidRPr="009A3C8B">
        <w:rPr>
          <w:rStyle w:val="FootnoteReference"/>
          <w:sz w:val="18"/>
          <w:szCs w:val="18"/>
        </w:rPr>
        <w:footnoteRef/>
      </w:r>
      <w:r w:rsidRPr="009A3C8B">
        <w:rPr>
          <w:sz w:val="18"/>
          <w:szCs w:val="18"/>
        </w:rPr>
        <w:t xml:space="preserve"> </w:t>
      </w:r>
      <w:r>
        <w:rPr>
          <w:sz w:val="18"/>
          <w:szCs w:val="18"/>
        </w:rPr>
        <w:t xml:space="preserve">Based on attendance fee of $1,600 for NSW = $1,600 (see </w:t>
      </w:r>
      <w:r w:rsidRPr="00F8688E">
        <w:rPr>
          <w:sz w:val="18"/>
          <w:szCs w:val="18"/>
        </w:rPr>
        <w:t>A3.4.1</w:t>
      </w:r>
      <w:r>
        <w:rPr>
          <w:sz w:val="18"/>
          <w:szCs w:val="18"/>
        </w:rPr>
        <w:t xml:space="preserve"> for detailed discussion on estimation of fee).</w:t>
      </w:r>
    </w:p>
  </w:footnote>
  <w:footnote w:id="128">
    <w:p w14:paraId="1B761A6C" w14:textId="4B3400C4" w:rsidR="001A6758" w:rsidRPr="009A3C8B" w:rsidRDefault="001A6758" w:rsidP="00F545EF">
      <w:pPr>
        <w:pStyle w:val="FootnoteText"/>
        <w:rPr>
          <w:sz w:val="18"/>
          <w:szCs w:val="18"/>
        </w:rPr>
      </w:pPr>
      <w:r w:rsidRPr="009A3C8B">
        <w:rPr>
          <w:rStyle w:val="FootnoteReference"/>
          <w:sz w:val="18"/>
          <w:szCs w:val="18"/>
        </w:rPr>
        <w:footnoteRef/>
      </w:r>
      <w:r w:rsidRPr="009A3C8B">
        <w:rPr>
          <w:sz w:val="18"/>
          <w:szCs w:val="18"/>
        </w:rPr>
        <w:t xml:space="preserve"> See </w:t>
      </w:r>
      <w:r>
        <w:rPr>
          <w:sz w:val="18"/>
          <w:szCs w:val="18"/>
        </w:rPr>
        <w:t>Table A3.10 of</w:t>
      </w:r>
      <w:r w:rsidRPr="009A3C8B">
        <w:rPr>
          <w:sz w:val="18"/>
          <w:szCs w:val="18"/>
        </w:rPr>
        <w:t xml:space="preserve"> Appendix 3 for source of estimate for 20</w:t>
      </w:r>
      <w:r>
        <w:rPr>
          <w:sz w:val="18"/>
          <w:szCs w:val="18"/>
        </w:rPr>
        <w:t>20</w:t>
      </w:r>
      <w:r w:rsidRPr="009A3C8B">
        <w:rPr>
          <w:sz w:val="18"/>
          <w:szCs w:val="18"/>
        </w:rPr>
        <w:t>-</w:t>
      </w:r>
      <w:r>
        <w:rPr>
          <w:sz w:val="18"/>
          <w:szCs w:val="18"/>
        </w:rPr>
        <w:t>21</w:t>
      </w:r>
    </w:p>
  </w:footnote>
  <w:footnote w:id="129">
    <w:p w14:paraId="01166019" w14:textId="4CC00D71" w:rsidR="001A6758" w:rsidRPr="00A97C38" w:rsidRDefault="001A6758" w:rsidP="00C64358">
      <w:pPr>
        <w:pStyle w:val="FootnoteText"/>
        <w:rPr>
          <w:sz w:val="18"/>
          <w:szCs w:val="18"/>
        </w:rPr>
      </w:pPr>
      <w:r w:rsidRPr="00A97C38">
        <w:rPr>
          <w:rStyle w:val="FootnoteReference"/>
          <w:sz w:val="18"/>
          <w:szCs w:val="18"/>
        </w:rPr>
        <w:footnoteRef/>
      </w:r>
      <w:r w:rsidRPr="00A97C38">
        <w:rPr>
          <w:sz w:val="18"/>
          <w:szCs w:val="18"/>
        </w:rPr>
        <w:t xml:space="preserve"> </w:t>
      </w:r>
      <w:r w:rsidRPr="004303D3">
        <w:rPr>
          <w:sz w:val="18"/>
          <w:szCs w:val="18"/>
        </w:rPr>
        <w:t>$7,146,165</w:t>
      </w:r>
      <w:r>
        <w:rPr>
          <w:sz w:val="18"/>
          <w:szCs w:val="18"/>
        </w:rPr>
        <w:t xml:space="preserve"> </w:t>
      </w:r>
      <w:r w:rsidRPr="00A97C38">
        <w:rPr>
          <w:sz w:val="18"/>
          <w:szCs w:val="18"/>
        </w:rPr>
        <w:t xml:space="preserve">as a proportion of </w:t>
      </w:r>
      <w:r w:rsidRPr="00C37569">
        <w:rPr>
          <w:sz w:val="18"/>
          <w:szCs w:val="18"/>
        </w:rPr>
        <w:t>$123,762,646</w:t>
      </w:r>
      <w:r>
        <w:rPr>
          <w:sz w:val="18"/>
          <w:szCs w:val="18"/>
        </w:rPr>
        <w:t>.</w:t>
      </w:r>
    </w:p>
  </w:footnote>
  <w:footnote w:id="130">
    <w:p w14:paraId="527147C4" w14:textId="62F60FDF" w:rsidR="001A6758" w:rsidRPr="00A97C38" w:rsidRDefault="001A6758" w:rsidP="00C64358">
      <w:pPr>
        <w:pStyle w:val="FootnoteText"/>
        <w:rPr>
          <w:sz w:val="18"/>
          <w:szCs w:val="18"/>
        </w:rPr>
      </w:pPr>
      <w:r w:rsidRPr="00A97C38">
        <w:rPr>
          <w:rStyle w:val="FootnoteReference"/>
          <w:sz w:val="18"/>
          <w:szCs w:val="18"/>
        </w:rPr>
        <w:footnoteRef/>
      </w:r>
      <w:r w:rsidRPr="00A97C38">
        <w:rPr>
          <w:sz w:val="18"/>
          <w:szCs w:val="18"/>
        </w:rPr>
        <w:t xml:space="preserve"> </w:t>
      </w:r>
      <w:r w:rsidRPr="00970456">
        <w:rPr>
          <w:sz w:val="18"/>
          <w:szCs w:val="18"/>
        </w:rPr>
        <w:t xml:space="preserve">Calculated as $123,762,646 (total cost) less $7,146,165 (the amount recovered under Option </w:t>
      </w:r>
      <w:r>
        <w:rPr>
          <w:sz w:val="18"/>
          <w:szCs w:val="18"/>
        </w:rPr>
        <w:t>4</w:t>
      </w:r>
      <w:r w:rsidRPr="00970456">
        <w:rPr>
          <w:sz w:val="18"/>
          <w:szCs w:val="18"/>
        </w:rPr>
        <w:t>) (see Table 2</w:t>
      </w:r>
      <w:r>
        <w:rPr>
          <w:sz w:val="18"/>
          <w:szCs w:val="18"/>
        </w:rPr>
        <w:t>1</w:t>
      </w:r>
      <w:r w:rsidRPr="00970456">
        <w:rPr>
          <w:sz w:val="18"/>
          <w:szCs w:val="18"/>
        </w:rPr>
        <w:t>)</w:t>
      </w:r>
    </w:p>
  </w:footnote>
  <w:footnote w:id="131">
    <w:p w14:paraId="3C9A9E99" w14:textId="42D01C2B" w:rsidR="001A6758" w:rsidRPr="009A3C8B" w:rsidRDefault="001A6758" w:rsidP="00F8688E">
      <w:pPr>
        <w:pStyle w:val="FootnoteText"/>
        <w:rPr>
          <w:sz w:val="18"/>
          <w:szCs w:val="18"/>
        </w:rPr>
      </w:pPr>
      <w:r w:rsidRPr="009A3C8B">
        <w:rPr>
          <w:rStyle w:val="FootnoteReference"/>
          <w:sz w:val="18"/>
          <w:szCs w:val="18"/>
        </w:rPr>
        <w:footnoteRef/>
      </w:r>
      <w:r w:rsidRPr="009A3C8B">
        <w:rPr>
          <w:sz w:val="18"/>
          <w:szCs w:val="18"/>
        </w:rPr>
        <w:t xml:space="preserve"> See </w:t>
      </w:r>
      <w:r>
        <w:rPr>
          <w:sz w:val="18"/>
          <w:szCs w:val="18"/>
        </w:rPr>
        <w:t>S</w:t>
      </w:r>
      <w:r w:rsidRPr="00C811A4">
        <w:rPr>
          <w:sz w:val="18"/>
          <w:szCs w:val="18"/>
        </w:rPr>
        <w:t>ection A3.2.1 of Appendix 3</w:t>
      </w:r>
      <w:r>
        <w:rPr>
          <w:sz w:val="18"/>
          <w:szCs w:val="18"/>
        </w:rPr>
        <w:t xml:space="preserve"> for a </w:t>
      </w:r>
      <w:r w:rsidRPr="009A3C8B">
        <w:rPr>
          <w:sz w:val="18"/>
          <w:szCs w:val="18"/>
        </w:rPr>
        <w:t>detailed discussion of the estimation of annual costs of false alarm attendances.</w:t>
      </w:r>
    </w:p>
  </w:footnote>
  <w:footnote w:id="132">
    <w:p w14:paraId="630365AB" w14:textId="47663522" w:rsidR="001A6758" w:rsidRPr="00A97C38" w:rsidRDefault="001A6758" w:rsidP="00CE61F2">
      <w:pPr>
        <w:pStyle w:val="FootnoteText"/>
        <w:rPr>
          <w:sz w:val="18"/>
          <w:szCs w:val="18"/>
        </w:rPr>
      </w:pPr>
      <w:r w:rsidRPr="00A97C38">
        <w:rPr>
          <w:rStyle w:val="FootnoteReference"/>
          <w:sz w:val="18"/>
          <w:szCs w:val="18"/>
        </w:rPr>
        <w:footnoteRef/>
      </w:r>
      <w:r w:rsidRPr="00A97C38">
        <w:rPr>
          <w:sz w:val="18"/>
          <w:szCs w:val="18"/>
        </w:rPr>
        <w:t xml:space="preserve"> </w:t>
      </w:r>
      <w:r w:rsidRPr="009A3C8B">
        <w:rPr>
          <w:sz w:val="18"/>
          <w:szCs w:val="18"/>
        </w:rPr>
        <w:t xml:space="preserve">See </w:t>
      </w:r>
      <w:r>
        <w:rPr>
          <w:sz w:val="18"/>
          <w:szCs w:val="18"/>
        </w:rPr>
        <w:t xml:space="preserve">Table A3.11 of Appendix 3 </w:t>
      </w:r>
      <w:r w:rsidRPr="009A3C8B">
        <w:rPr>
          <w:sz w:val="18"/>
          <w:szCs w:val="18"/>
        </w:rPr>
        <w:t>for source of estimate for 20</w:t>
      </w:r>
      <w:r>
        <w:rPr>
          <w:sz w:val="18"/>
          <w:szCs w:val="18"/>
        </w:rPr>
        <w:t>20</w:t>
      </w:r>
      <w:r w:rsidRPr="009A3C8B">
        <w:rPr>
          <w:sz w:val="18"/>
          <w:szCs w:val="18"/>
        </w:rPr>
        <w:t>-</w:t>
      </w:r>
      <w:r>
        <w:rPr>
          <w:sz w:val="18"/>
          <w:szCs w:val="18"/>
        </w:rPr>
        <w:t>21</w:t>
      </w:r>
    </w:p>
  </w:footnote>
  <w:footnote w:id="133">
    <w:p w14:paraId="64DD77F7" w14:textId="6F6B5008" w:rsidR="001A6758" w:rsidRPr="009A3C8B" w:rsidRDefault="001A6758" w:rsidP="00F8688E">
      <w:pPr>
        <w:pStyle w:val="FootnoteText"/>
        <w:rPr>
          <w:sz w:val="18"/>
          <w:szCs w:val="18"/>
        </w:rPr>
      </w:pPr>
      <w:r w:rsidRPr="009A3C8B">
        <w:rPr>
          <w:rStyle w:val="FootnoteReference"/>
          <w:sz w:val="18"/>
          <w:szCs w:val="18"/>
        </w:rPr>
        <w:footnoteRef/>
      </w:r>
      <w:r w:rsidRPr="009A3C8B">
        <w:rPr>
          <w:sz w:val="18"/>
          <w:szCs w:val="18"/>
        </w:rPr>
        <w:t xml:space="preserve"> </w:t>
      </w:r>
      <w:r>
        <w:rPr>
          <w:sz w:val="18"/>
          <w:szCs w:val="18"/>
        </w:rPr>
        <w:t>Based on attendance fee of $1,600 for NSW = $1,600.</w:t>
      </w:r>
    </w:p>
  </w:footnote>
  <w:footnote w:id="134">
    <w:p w14:paraId="1F502708" w14:textId="37112AA6" w:rsidR="001A6758" w:rsidRPr="009A3C8B" w:rsidRDefault="001A6758" w:rsidP="00F8688E">
      <w:pPr>
        <w:pStyle w:val="FootnoteText"/>
        <w:rPr>
          <w:sz w:val="18"/>
          <w:szCs w:val="18"/>
        </w:rPr>
      </w:pPr>
      <w:r w:rsidRPr="009A3C8B">
        <w:rPr>
          <w:rStyle w:val="FootnoteReference"/>
          <w:sz w:val="18"/>
          <w:szCs w:val="18"/>
        </w:rPr>
        <w:footnoteRef/>
      </w:r>
      <w:r w:rsidRPr="009A3C8B">
        <w:rPr>
          <w:sz w:val="18"/>
          <w:szCs w:val="18"/>
        </w:rPr>
        <w:t xml:space="preserve"> See </w:t>
      </w:r>
      <w:r>
        <w:rPr>
          <w:sz w:val="18"/>
          <w:szCs w:val="18"/>
        </w:rPr>
        <w:t>Table A3.11 of</w:t>
      </w:r>
      <w:r w:rsidRPr="009A3C8B">
        <w:rPr>
          <w:sz w:val="18"/>
          <w:szCs w:val="18"/>
        </w:rPr>
        <w:t xml:space="preserve"> Appendix 3 for source of estimate for 20</w:t>
      </w:r>
      <w:r>
        <w:rPr>
          <w:sz w:val="18"/>
          <w:szCs w:val="18"/>
        </w:rPr>
        <w:t>20</w:t>
      </w:r>
      <w:r w:rsidRPr="009A3C8B">
        <w:rPr>
          <w:sz w:val="18"/>
          <w:szCs w:val="18"/>
        </w:rPr>
        <w:t>-</w:t>
      </w:r>
      <w:r>
        <w:rPr>
          <w:sz w:val="18"/>
          <w:szCs w:val="18"/>
        </w:rPr>
        <w:t>21</w:t>
      </w:r>
    </w:p>
  </w:footnote>
  <w:footnote w:id="135">
    <w:p w14:paraId="5EDB1C3E" w14:textId="58E8CEDB" w:rsidR="001A6758" w:rsidRPr="009A3C8B" w:rsidRDefault="001A6758" w:rsidP="00C64358">
      <w:pPr>
        <w:pStyle w:val="FootnoteText"/>
        <w:rPr>
          <w:sz w:val="18"/>
          <w:szCs w:val="18"/>
        </w:rPr>
      </w:pPr>
      <w:r w:rsidRPr="009A3C8B">
        <w:rPr>
          <w:rStyle w:val="FootnoteReference"/>
          <w:sz w:val="18"/>
          <w:szCs w:val="18"/>
        </w:rPr>
        <w:footnoteRef/>
      </w:r>
      <w:r w:rsidRPr="009A3C8B">
        <w:rPr>
          <w:sz w:val="18"/>
          <w:szCs w:val="18"/>
        </w:rPr>
        <w:t xml:space="preserve"> See </w:t>
      </w:r>
      <w:r>
        <w:rPr>
          <w:sz w:val="18"/>
          <w:szCs w:val="18"/>
        </w:rPr>
        <w:t xml:space="preserve">A3.5 of Appendix 3 </w:t>
      </w:r>
      <w:r w:rsidRPr="009A3C8B">
        <w:rPr>
          <w:sz w:val="18"/>
          <w:szCs w:val="18"/>
        </w:rPr>
        <w:t xml:space="preserve">for </w:t>
      </w:r>
      <w:r>
        <w:rPr>
          <w:sz w:val="18"/>
          <w:szCs w:val="18"/>
        </w:rPr>
        <w:t>estimate of full attendance cost of appliances per</w:t>
      </w:r>
      <w:r w:rsidRPr="009A3C8B">
        <w:rPr>
          <w:sz w:val="18"/>
          <w:szCs w:val="18"/>
        </w:rPr>
        <w:t xml:space="preserve"> attendance.</w:t>
      </w:r>
    </w:p>
  </w:footnote>
  <w:footnote w:id="136">
    <w:p w14:paraId="710DEDA1" w14:textId="1D13ECF7" w:rsidR="001A6758" w:rsidRPr="00AB0520" w:rsidRDefault="001A6758" w:rsidP="005F587F">
      <w:pPr>
        <w:pStyle w:val="FootnoteText"/>
        <w:rPr>
          <w:sz w:val="18"/>
          <w:szCs w:val="18"/>
        </w:rPr>
      </w:pPr>
      <w:r w:rsidRPr="00AB0520">
        <w:rPr>
          <w:rStyle w:val="FootnoteReference"/>
          <w:sz w:val="18"/>
          <w:szCs w:val="18"/>
        </w:rPr>
        <w:footnoteRef/>
      </w:r>
      <w:r w:rsidRPr="00AB0520">
        <w:rPr>
          <w:sz w:val="18"/>
          <w:szCs w:val="18"/>
        </w:rPr>
        <w:t xml:space="preserve"> </w:t>
      </w:r>
      <w:r w:rsidRPr="00C20815">
        <w:rPr>
          <w:sz w:val="18"/>
          <w:szCs w:val="18"/>
        </w:rPr>
        <w:t xml:space="preserve">A discount factor of </w:t>
      </w:r>
      <w:r>
        <w:rPr>
          <w:sz w:val="18"/>
          <w:szCs w:val="18"/>
        </w:rPr>
        <w:t>4</w:t>
      </w:r>
      <w:r w:rsidRPr="00C20815">
        <w:rPr>
          <w:sz w:val="18"/>
          <w:szCs w:val="18"/>
        </w:rPr>
        <w:t xml:space="preserve">% is used for present value calculations in this </w:t>
      </w:r>
      <w:r>
        <w:rPr>
          <w:sz w:val="18"/>
          <w:szCs w:val="18"/>
        </w:rPr>
        <w:t>RIS</w:t>
      </w:r>
      <w:r w:rsidRPr="00C20815">
        <w:rPr>
          <w:sz w:val="18"/>
          <w:szCs w:val="18"/>
        </w:rPr>
        <w:t xml:space="preserve">, as recommended by </w:t>
      </w:r>
      <w:r>
        <w:rPr>
          <w:sz w:val="18"/>
          <w:szCs w:val="18"/>
        </w:rPr>
        <w:t>BRV</w:t>
      </w:r>
      <w:r w:rsidRPr="00C20815">
        <w:rPr>
          <w:sz w:val="18"/>
          <w:szCs w:val="18"/>
        </w:rPr>
        <w:t>.</w:t>
      </w:r>
    </w:p>
  </w:footnote>
  <w:footnote w:id="137">
    <w:p w14:paraId="3E623B7D" w14:textId="5054C3CF" w:rsidR="001A6758" w:rsidRPr="00AB0520" w:rsidRDefault="001A6758" w:rsidP="005F587F">
      <w:pPr>
        <w:pStyle w:val="FootnoteText"/>
        <w:rPr>
          <w:sz w:val="18"/>
          <w:szCs w:val="18"/>
        </w:rPr>
      </w:pPr>
      <w:r w:rsidRPr="00AB0520">
        <w:rPr>
          <w:rStyle w:val="FootnoteReference"/>
          <w:sz w:val="18"/>
          <w:szCs w:val="18"/>
        </w:rPr>
        <w:footnoteRef/>
      </w:r>
      <w:r w:rsidRPr="00AB0520">
        <w:rPr>
          <w:sz w:val="18"/>
          <w:szCs w:val="18"/>
        </w:rPr>
        <w:t xml:space="preserve"> See Tables A3.</w:t>
      </w:r>
      <w:r>
        <w:rPr>
          <w:sz w:val="18"/>
          <w:szCs w:val="18"/>
        </w:rPr>
        <w:t>6</w:t>
      </w:r>
      <w:r w:rsidRPr="00AB0520">
        <w:rPr>
          <w:sz w:val="18"/>
          <w:szCs w:val="18"/>
        </w:rPr>
        <w:t>, A3.</w:t>
      </w:r>
      <w:r>
        <w:rPr>
          <w:sz w:val="18"/>
          <w:szCs w:val="18"/>
        </w:rPr>
        <w:t>7, A3.8</w:t>
      </w:r>
      <w:r w:rsidRPr="00AB0520">
        <w:rPr>
          <w:sz w:val="18"/>
          <w:szCs w:val="18"/>
        </w:rPr>
        <w:t xml:space="preserve"> a</w:t>
      </w:r>
      <w:r w:rsidRPr="00270921">
        <w:rPr>
          <w:sz w:val="18"/>
          <w:szCs w:val="18"/>
        </w:rPr>
        <w:t>nd A3.</w:t>
      </w:r>
      <w:r>
        <w:rPr>
          <w:sz w:val="18"/>
          <w:szCs w:val="18"/>
        </w:rPr>
        <w:t>9</w:t>
      </w:r>
      <w:r w:rsidRPr="00270921">
        <w:rPr>
          <w:sz w:val="18"/>
          <w:szCs w:val="18"/>
        </w:rPr>
        <w:t xml:space="preserve"> for source of estimates for revenues.  Estimate for </w:t>
      </w:r>
      <w:r>
        <w:rPr>
          <w:sz w:val="18"/>
          <w:szCs w:val="18"/>
        </w:rPr>
        <w:t xml:space="preserve">10-year </w:t>
      </w:r>
      <w:r w:rsidRPr="00270921">
        <w:rPr>
          <w:sz w:val="18"/>
          <w:szCs w:val="18"/>
        </w:rPr>
        <w:t xml:space="preserve">revenue for current fee is based on projected </w:t>
      </w:r>
      <w:r>
        <w:rPr>
          <w:sz w:val="18"/>
          <w:szCs w:val="18"/>
        </w:rPr>
        <w:t>quarterly</w:t>
      </w:r>
      <w:r w:rsidRPr="00270921">
        <w:rPr>
          <w:sz w:val="18"/>
          <w:szCs w:val="18"/>
        </w:rPr>
        <w:t xml:space="preserve"> </w:t>
      </w:r>
      <w:r>
        <w:rPr>
          <w:sz w:val="18"/>
          <w:szCs w:val="18"/>
        </w:rPr>
        <w:t>hour transactions for MFB and CFA in Table A3.4 over 10 years (i.e. between 2020-21 and 2029-30) and respective fees of $578.48 for MFB and $584.25 for CFA.</w:t>
      </w:r>
    </w:p>
  </w:footnote>
  <w:footnote w:id="138">
    <w:p w14:paraId="1D521549" w14:textId="38074F91" w:rsidR="001A6758" w:rsidRDefault="001A6758" w:rsidP="00C853EE">
      <w:pPr>
        <w:pStyle w:val="FootnoteText"/>
      </w:pPr>
      <w:r w:rsidRPr="00C20815">
        <w:rPr>
          <w:rStyle w:val="FootnoteReference"/>
          <w:sz w:val="18"/>
          <w:szCs w:val="18"/>
        </w:rPr>
        <w:footnoteRef/>
      </w:r>
      <w:r w:rsidRPr="00C20815">
        <w:rPr>
          <w:sz w:val="18"/>
          <w:szCs w:val="18"/>
        </w:rPr>
        <w:t xml:space="preserve"> A discount factor of </w:t>
      </w:r>
      <w:r>
        <w:rPr>
          <w:sz w:val="18"/>
          <w:szCs w:val="18"/>
        </w:rPr>
        <w:t>4</w:t>
      </w:r>
      <w:r w:rsidRPr="00C20815">
        <w:rPr>
          <w:sz w:val="18"/>
          <w:szCs w:val="18"/>
        </w:rPr>
        <w:t xml:space="preserve">% is used for present value calculations in this </w:t>
      </w:r>
      <w:r>
        <w:rPr>
          <w:sz w:val="18"/>
          <w:szCs w:val="18"/>
        </w:rPr>
        <w:t>RIS</w:t>
      </w:r>
      <w:r w:rsidRPr="00C20815">
        <w:rPr>
          <w:sz w:val="18"/>
          <w:szCs w:val="18"/>
        </w:rPr>
        <w:t>, as recommended by</w:t>
      </w:r>
      <w:r>
        <w:rPr>
          <w:sz w:val="18"/>
          <w:szCs w:val="18"/>
        </w:rPr>
        <w:t xml:space="preserve"> BRV</w:t>
      </w:r>
      <w:r w:rsidRPr="00C20815">
        <w:rPr>
          <w:sz w:val="18"/>
          <w:szCs w:val="18"/>
        </w:rPr>
        <w:t xml:space="preserve">. </w:t>
      </w:r>
    </w:p>
  </w:footnote>
  <w:footnote w:id="139">
    <w:p w14:paraId="797463D9" w14:textId="16A8D2E0" w:rsidR="001A6758" w:rsidRPr="009917B8" w:rsidRDefault="001A6758">
      <w:pPr>
        <w:pStyle w:val="FootnoteText"/>
        <w:rPr>
          <w:sz w:val="18"/>
          <w:szCs w:val="18"/>
          <w:lang w:val="en-GB"/>
        </w:rPr>
      </w:pPr>
      <w:r w:rsidRPr="009917B8">
        <w:rPr>
          <w:rStyle w:val="FootnoteReference"/>
          <w:sz w:val="18"/>
          <w:szCs w:val="18"/>
        </w:rPr>
        <w:footnoteRef/>
      </w:r>
      <w:r w:rsidRPr="009917B8">
        <w:rPr>
          <w:sz w:val="18"/>
          <w:szCs w:val="18"/>
        </w:rPr>
        <w:t xml:space="preserve"> </w:t>
      </w:r>
      <w:r w:rsidRPr="009917B8">
        <w:rPr>
          <w:sz w:val="18"/>
          <w:szCs w:val="18"/>
          <w:lang w:val="en-GB"/>
        </w:rPr>
        <w:t>23.</w:t>
      </w:r>
      <w:r>
        <w:rPr>
          <w:sz w:val="18"/>
          <w:szCs w:val="18"/>
          <w:lang w:val="en-GB"/>
        </w:rPr>
        <w:t>04</w:t>
      </w:r>
      <w:r w:rsidRPr="009917B8">
        <w:rPr>
          <w:sz w:val="18"/>
          <w:szCs w:val="18"/>
          <w:lang w:val="en-GB"/>
        </w:rPr>
        <w:t xml:space="preserve">% of </w:t>
      </w:r>
      <w:r>
        <w:rPr>
          <w:sz w:val="18"/>
          <w:szCs w:val="18"/>
          <w:lang w:val="en-GB"/>
        </w:rPr>
        <w:t>(</w:t>
      </w:r>
      <w:r w:rsidRPr="009917B8">
        <w:rPr>
          <w:sz w:val="18"/>
          <w:szCs w:val="18"/>
          <w:lang w:val="en-GB"/>
        </w:rPr>
        <w:t>+5</w:t>
      </w:r>
      <w:r>
        <w:rPr>
          <w:sz w:val="18"/>
          <w:szCs w:val="18"/>
          <w:lang w:val="en-GB"/>
        </w:rPr>
        <w:t>) = (+1.2)</w:t>
      </w:r>
    </w:p>
  </w:footnote>
  <w:footnote w:id="140">
    <w:p w14:paraId="5F97A95C" w14:textId="77777777" w:rsidR="001A6758" w:rsidRPr="00CB0DD9" w:rsidRDefault="001A6758" w:rsidP="001234BF">
      <w:pPr>
        <w:pStyle w:val="FootnoteText"/>
        <w:rPr>
          <w:sz w:val="18"/>
          <w:szCs w:val="18"/>
          <w:lang w:val="en-GB"/>
        </w:rPr>
      </w:pPr>
      <w:r w:rsidRPr="00CB0DD9">
        <w:rPr>
          <w:rStyle w:val="FootnoteReference"/>
          <w:sz w:val="18"/>
          <w:szCs w:val="18"/>
        </w:rPr>
        <w:footnoteRef/>
      </w:r>
      <w:r w:rsidRPr="00CB0DD9">
        <w:rPr>
          <w:sz w:val="18"/>
          <w:szCs w:val="18"/>
        </w:rPr>
        <w:t xml:space="preserve"> </w:t>
      </w:r>
      <w:r>
        <w:rPr>
          <w:sz w:val="18"/>
          <w:szCs w:val="18"/>
          <w:lang w:val="en-GB"/>
        </w:rPr>
        <w:t>349</w:t>
      </w:r>
      <w:r w:rsidRPr="00CB0DD9">
        <w:rPr>
          <w:sz w:val="18"/>
          <w:szCs w:val="18"/>
          <w:lang w:val="en-GB"/>
        </w:rPr>
        <w:t xml:space="preserve"> out of the 4,460 invoiced</w:t>
      </w:r>
    </w:p>
  </w:footnote>
  <w:footnote w:id="141">
    <w:p w14:paraId="58050CA5" w14:textId="0D3DA9D1" w:rsidR="001A6758" w:rsidRPr="00004C4D" w:rsidRDefault="001A6758" w:rsidP="001234BF">
      <w:pPr>
        <w:pStyle w:val="FootnoteText"/>
        <w:rPr>
          <w:sz w:val="18"/>
          <w:szCs w:val="18"/>
          <w:lang w:val="en-GB"/>
        </w:rPr>
      </w:pPr>
      <w:r w:rsidRPr="00004C4D">
        <w:rPr>
          <w:rStyle w:val="FootnoteReference"/>
          <w:sz w:val="18"/>
          <w:szCs w:val="18"/>
        </w:rPr>
        <w:footnoteRef/>
      </w:r>
      <w:r w:rsidRPr="00004C4D">
        <w:rPr>
          <w:sz w:val="18"/>
          <w:szCs w:val="18"/>
        </w:rPr>
        <w:t xml:space="preserve"> </w:t>
      </w:r>
      <w:r w:rsidRPr="00004C4D">
        <w:rPr>
          <w:sz w:val="18"/>
          <w:szCs w:val="18"/>
          <w:lang w:val="en-GB"/>
        </w:rPr>
        <w:t xml:space="preserve">12.39% </w:t>
      </w:r>
      <w:r>
        <w:rPr>
          <w:sz w:val="18"/>
          <w:szCs w:val="18"/>
          <w:lang w:val="en-GB"/>
        </w:rPr>
        <w:t>x (</w:t>
      </w:r>
      <w:r w:rsidRPr="00004C4D">
        <w:rPr>
          <w:sz w:val="18"/>
          <w:szCs w:val="18"/>
          <w:lang w:val="en-GB"/>
        </w:rPr>
        <w:t>+5</w:t>
      </w:r>
      <w:r>
        <w:rPr>
          <w:sz w:val="18"/>
          <w:szCs w:val="18"/>
          <w:lang w:val="en-GB"/>
        </w:rPr>
        <w:t>) less 7.83% = (+0.57)</w:t>
      </w:r>
    </w:p>
  </w:footnote>
  <w:footnote w:id="142">
    <w:p w14:paraId="192138D5" w14:textId="27FB1D47" w:rsidR="001A6758" w:rsidRPr="009917B8" w:rsidRDefault="001A6758">
      <w:pPr>
        <w:pStyle w:val="FootnoteText"/>
        <w:rPr>
          <w:sz w:val="18"/>
          <w:szCs w:val="18"/>
          <w:lang w:val="en-GB"/>
        </w:rPr>
      </w:pPr>
      <w:r w:rsidRPr="009917B8">
        <w:rPr>
          <w:rStyle w:val="FootnoteReference"/>
          <w:sz w:val="18"/>
          <w:szCs w:val="18"/>
        </w:rPr>
        <w:footnoteRef/>
      </w:r>
      <w:r w:rsidRPr="009917B8">
        <w:rPr>
          <w:sz w:val="18"/>
          <w:szCs w:val="18"/>
        </w:rPr>
        <w:t xml:space="preserve"> </w:t>
      </w:r>
      <w:r w:rsidRPr="00004C4D">
        <w:rPr>
          <w:sz w:val="18"/>
          <w:szCs w:val="18"/>
          <w:lang w:val="en-GB"/>
        </w:rPr>
        <w:t xml:space="preserve">12.39% </w:t>
      </w:r>
      <w:r>
        <w:rPr>
          <w:sz w:val="18"/>
          <w:szCs w:val="18"/>
          <w:lang w:val="en-GB"/>
        </w:rPr>
        <w:t>x (</w:t>
      </w:r>
      <w:r w:rsidRPr="00004C4D">
        <w:rPr>
          <w:sz w:val="18"/>
          <w:szCs w:val="18"/>
          <w:lang w:val="en-GB"/>
        </w:rPr>
        <w:t>+5</w:t>
      </w:r>
      <w:r>
        <w:rPr>
          <w:sz w:val="18"/>
          <w:szCs w:val="18"/>
          <w:lang w:val="en-GB"/>
        </w:rPr>
        <w:t>) less 95.96% = (+0.03)</w:t>
      </w:r>
    </w:p>
  </w:footnote>
  <w:footnote w:id="143">
    <w:p w14:paraId="10F00A3C" w14:textId="15DBC093" w:rsidR="001A6758" w:rsidRPr="00AB0520" w:rsidRDefault="001A6758" w:rsidP="006835A8">
      <w:pPr>
        <w:pStyle w:val="FootnoteText"/>
      </w:pPr>
      <w:r w:rsidRPr="00AB0520">
        <w:rPr>
          <w:rStyle w:val="FootnoteReference"/>
          <w:sz w:val="18"/>
          <w:szCs w:val="18"/>
        </w:rPr>
        <w:footnoteRef/>
      </w:r>
      <w:r w:rsidRPr="00AB0520">
        <w:rPr>
          <w:sz w:val="18"/>
          <w:szCs w:val="18"/>
        </w:rPr>
        <w:t xml:space="preserve"> See </w:t>
      </w:r>
      <w:r>
        <w:rPr>
          <w:sz w:val="18"/>
          <w:szCs w:val="18"/>
        </w:rPr>
        <w:t>ABS cat.</w:t>
      </w:r>
      <w:r w:rsidRPr="00450822">
        <w:rPr>
          <w:sz w:val="18"/>
          <w:szCs w:val="18"/>
        </w:rPr>
        <w:t>3218.0 - Regional Population Growth, Australia, 2017-18</w:t>
      </w:r>
    </w:p>
  </w:footnote>
  <w:footnote w:id="144">
    <w:p w14:paraId="41104AE1" w14:textId="679EF3E6" w:rsidR="001A6758" w:rsidRPr="00A26521" w:rsidRDefault="001A6758" w:rsidP="003C1423">
      <w:pPr>
        <w:pStyle w:val="FootnoteText"/>
        <w:rPr>
          <w:sz w:val="18"/>
          <w:szCs w:val="18"/>
          <w:lang w:val="en-GB"/>
        </w:rPr>
      </w:pPr>
      <w:r w:rsidRPr="00A26521">
        <w:rPr>
          <w:rStyle w:val="FootnoteReference"/>
          <w:sz w:val="18"/>
          <w:szCs w:val="18"/>
        </w:rPr>
        <w:footnoteRef/>
      </w:r>
      <w:r w:rsidRPr="00A26521">
        <w:rPr>
          <w:sz w:val="18"/>
          <w:szCs w:val="18"/>
        </w:rPr>
        <w:t xml:space="preserve"> </w:t>
      </w:r>
      <w:r w:rsidRPr="007876E9">
        <w:rPr>
          <w:sz w:val="18"/>
          <w:szCs w:val="18"/>
          <w:lang w:val="en-GB"/>
        </w:rPr>
        <w:t>23.</w:t>
      </w:r>
      <w:r>
        <w:rPr>
          <w:sz w:val="18"/>
          <w:szCs w:val="18"/>
          <w:lang w:val="en-GB"/>
        </w:rPr>
        <w:t>04</w:t>
      </w:r>
      <w:r w:rsidRPr="007876E9">
        <w:rPr>
          <w:sz w:val="18"/>
          <w:szCs w:val="18"/>
          <w:lang w:val="en-GB"/>
        </w:rPr>
        <w:t xml:space="preserve">% of </w:t>
      </w:r>
      <w:r>
        <w:rPr>
          <w:sz w:val="18"/>
          <w:szCs w:val="18"/>
          <w:lang w:val="en-GB"/>
        </w:rPr>
        <w:t>(</w:t>
      </w:r>
      <w:r w:rsidRPr="007876E9">
        <w:rPr>
          <w:sz w:val="18"/>
          <w:szCs w:val="18"/>
          <w:lang w:val="en-GB"/>
        </w:rPr>
        <w:t>+5</w:t>
      </w:r>
      <w:r>
        <w:rPr>
          <w:sz w:val="18"/>
          <w:szCs w:val="18"/>
          <w:lang w:val="en-GB"/>
        </w:rPr>
        <w:t>) = (+1.15)</w:t>
      </w:r>
    </w:p>
  </w:footnote>
  <w:footnote w:id="145">
    <w:p w14:paraId="3F6BB13D" w14:textId="3FC19CE5" w:rsidR="001A6758" w:rsidRPr="00A26521" w:rsidRDefault="001A6758" w:rsidP="00FC6712">
      <w:pPr>
        <w:pStyle w:val="FootnoteText"/>
        <w:rPr>
          <w:sz w:val="18"/>
          <w:szCs w:val="18"/>
          <w:lang w:val="en-GB"/>
        </w:rPr>
      </w:pPr>
      <w:r w:rsidRPr="00A26521">
        <w:rPr>
          <w:rStyle w:val="FootnoteReference"/>
          <w:sz w:val="18"/>
          <w:szCs w:val="18"/>
        </w:rPr>
        <w:footnoteRef/>
      </w:r>
      <w:r w:rsidRPr="00A26521">
        <w:rPr>
          <w:sz w:val="18"/>
          <w:szCs w:val="18"/>
        </w:rPr>
        <w:t xml:space="preserve"> </w:t>
      </w:r>
      <w:r>
        <w:rPr>
          <w:sz w:val="18"/>
          <w:szCs w:val="18"/>
          <w:lang w:val="en-GB"/>
        </w:rPr>
        <w:t>349</w:t>
      </w:r>
      <w:r w:rsidRPr="00A26521">
        <w:rPr>
          <w:sz w:val="18"/>
          <w:szCs w:val="18"/>
          <w:lang w:val="en-GB"/>
        </w:rPr>
        <w:t xml:space="preserve"> out of the 4,460 invoiced</w:t>
      </w:r>
    </w:p>
  </w:footnote>
  <w:footnote w:id="146">
    <w:p w14:paraId="691A9BCC" w14:textId="1AE568B9" w:rsidR="001A6758" w:rsidRPr="00004C4D" w:rsidRDefault="001A6758" w:rsidP="001B1D87">
      <w:pPr>
        <w:pStyle w:val="FootnoteText"/>
        <w:rPr>
          <w:sz w:val="18"/>
          <w:szCs w:val="18"/>
          <w:lang w:val="en-GB"/>
        </w:rPr>
      </w:pPr>
      <w:r w:rsidRPr="00004C4D">
        <w:rPr>
          <w:rStyle w:val="FootnoteReference"/>
          <w:sz w:val="18"/>
          <w:szCs w:val="18"/>
        </w:rPr>
        <w:footnoteRef/>
      </w:r>
      <w:r w:rsidRPr="00004C4D">
        <w:rPr>
          <w:sz w:val="18"/>
          <w:szCs w:val="18"/>
        </w:rPr>
        <w:t xml:space="preserve"> </w:t>
      </w:r>
      <w:r w:rsidRPr="00004C4D">
        <w:rPr>
          <w:sz w:val="18"/>
          <w:szCs w:val="18"/>
          <w:lang w:val="en-GB"/>
        </w:rPr>
        <w:t xml:space="preserve">12.39% </w:t>
      </w:r>
      <w:r>
        <w:rPr>
          <w:sz w:val="18"/>
          <w:szCs w:val="18"/>
          <w:lang w:val="en-GB"/>
        </w:rPr>
        <w:t>x (</w:t>
      </w:r>
      <w:r w:rsidRPr="00004C4D">
        <w:rPr>
          <w:sz w:val="18"/>
          <w:szCs w:val="18"/>
          <w:lang w:val="en-GB"/>
        </w:rPr>
        <w:t>+5</w:t>
      </w:r>
      <w:r>
        <w:rPr>
          <w:sz w:val="18"/>
          <w:szCs w:val="18"/>
          <w:lang w:val="en-GB"/>
        </w:rPr>
        <w:t>) less 7.83% = (+0.57)</w:t>
      </w:r>
    </w:p>
  </w:footnote>
  <w:footnote w:id="147">
    <w:p w14:paraId="06964BA2" w14:textId="70769A12" w:rsidR="001A6758" w:rsidRPr="007876E9" w:rsidRDefault="001A6758" w:rsidP="006E1AB5">
      <w:pPr>
        <w:pStyle w:val="FootnoteText"/>
        <w:rPr>
          <w:sz w:val="18"/>
          <w:szCs w:val="18"/>
          <w:lang w:val="en-GB"/>
        </w:rPr>
      </w:pPr>
      <w:r w:rsidRPr="007876E9">
        <w:rPr>
          <w:rStyle w:val="FootnoteReference"/>
          <w:sz w:val="18"/>
          <w:szCs w:val="18"/>
        </w:rPr>
        <w:footnoteRef/>
      </w:r>
      <w:r w:rsidRPr="007876E9">
        <w:rPr>
          <w:sz w:val="18"/>
          <w:szCs w:val="18"/>
        </w:rPr>
        <w:t xml:space="preserve"> </w:t>
      </w:r>
      <w:r w:rsidRPr="00004C4D">
        <w:rPr>
          <w:sz w:val="18"/>
          <w:szCs w:val="18"/>
          <w:lang w:val="en-GB"/>
        </w:rPr>
        <w:t xml:space="preserve">12.39% </w:t>
      </w:r>
      <w:r>
        <w:rPr>
          <w:sz w:val="18"/>
          <w:szCs w:val="18"/>
          <w:lang w:val="en-GB"/>
        </w:rPr>
        <w:t>x (</w:t>
      </w:r>
      <w:r w:rsidRPr="00004C4D">
        <w:rPr>
          <w:sz w:val="18"/>
          <w:szCs w:val="18"/>
          <w:lang w:val="en-GB"/>
        </w:rPr>
        <w:t>+5</w:t>
      </w:r>
      <w:r>
        <w:rPr>
          <w:sz w:val="18"/>
          <w:szCs w:val="18"/>
          <w:lang w:val="en-GB"/>
        </w:rPr>
        <w:t>) less 87.74% = (+0.08)</w:t>
      </w:r>
    </w:p>
  </w:footnote>
  <w:footnote w:id="148">
    <w:p w14:paraId="02A76452" w14:textId="110194B6" w:rsidR="001A6758" w:rsidRPr="009917B8" w:rsidRDefault="001A6758">
      <w:pPr>
        <w:pStyle w:val="FootnoteText"/>
        <w:rPr>
          <w:sz w:val="18"/>
          <w:szCs w:val="18"/>
          <w:lang w:val="en-GB"/>
        </w:rPr>
      </w:pPr>
      <w:r w:rsidRPr="009917B8">
        <w:rPr>
          <w:rStyle w:val="FootnoteReference"/>
          <w:sz w:val="18"/>
          <w:szCs w:val="18"/>
        </w:rPr>
        <w:footnoteRef/>
      </w:r>
      <w:r w:rsidRPr="009917B8">
        <w:rPr>
          <w:sz w:val="18"/>
          <w:szCs w:val="18"/>
        </w:rPr>
        <w:t xml:space="preserve"> </w:t>
      </w:r>
      <w:r w:rsidRPr="009917B8">
        <w:rPr>
          <w:sz w:val="18"/>
          <w:szCs w:val="18"/>
          <w:lang w:val="en-GB"/>
        </w:rPr>
        <w:t xml:space="preserve">Taken to be </w:t>
      </w:r>
      <w:r>
        <w:rPr>
          <w:sz w:val="18"/>
          <w:szCs w:val="18"/>
          <w:lang w:val="en-GB"/>
        </w:rPr>
        <w:t>10</w:t>
      </w:r>
      <w:r w:rsidRPr="009917B8">
        <w:rPr>
          <w:sz w:val="18"/>
          <w:szCs w:val="18"/>
          <w:lang w:val="en-GB"/>
        </w:rPr>
        <w:t xml:space="preserve">% of ASEs rewired by </w:t>
      </w:r>
      <w:r>
        <w:rPr>
          <w:sz w:val="18"/>
          <w:szCs w:val="18"/>
          <w:lang w:val="en-GB"/>
        </w:rPr>
        <w:t>-</w:t>
      </w:r>
      <w:r w:rsidRPr="009917B8">
        <w:rPr>
          <w:sz w:val="18"/>
          <w:szCs w:val="18"/>
          <w:lang w:val="en-GB"/>
        </w:rPr>
        <w:t>5</w:t>
      </w:r>
      <w:r>
        <w:rPr>
          <w:sz w:val="18"/>
          <w:szCs w:val="18"/>
          <w:lang w:val="en-GB"/>
        </w:rPr>
        <w:t xml:space="preserve"> = (-0.5)</w:t>
      </w:r>
      <w:r w:rsidRPr="009917B8">
        <w:rPr>
          <w:sz w:val="18"/>
          <w:szCs w:val="18"/>
          <w:lang w:val="en-GB"/>
        </w:rPr>
        <w:t>.</w:t>
      </w:r>
    </w:p>
  </w:footnote>
  <w:footnote w:id="149">
    <w:p w14:paraId="7C85CE11" w14:textId="0925EA4C" w:rsidR="001A6758" w:rsidRPr="009917B8" w:rsidRDefault="001A6758">
      <w:pPr>
        <w:pStyle w:val="FootnoteText"/>
        <w:rPr>
          <w:sz w:val="18"/>
          <w:szCs w:val="18"/>
          <w:lang w:val="en-GB"/>
        </w:rPr>
      </w:pPr>
      <w:r w:rsidRPr="009917B8">
        <w:rPr>
          <w:rStyle w:val="FootnoteReference"/>
          <w:sz w:val="18"/>
          <w:szCs w:val="18"/>
        </w:rPr>
        <w:footnoteRef/>
      </w:r>
      <w:r w:rsidRPr="009917B8">
        <w:rPr>
          <w:sz w:val="18"/>
          <w:szCs w:val="18"/>
        </w:rPr>
        <w:t xml:space="preserve"> </w:t>
      </w:r>
      <w:r w:rsidRPr="006B1966">
        <w:rPr>
          <w:sz w:val="18"/>
          <w:szCs w:val="18"/>
          <w:lang w:val="en-GB"/>
        </w:rPr>
        <w:t xml:space="preserve">Taken to be </w:t>
      </w:r>
      <w:r>
        <w:rPr>
          <w:sz w:val="18"/>
          <w:szCs w:val="18"/>
          <w:lang w:val="en-GB"/>
        </w:rPr>
        <w:t>10</w:t>
      </w:r>
      <w:r w:rsidRPr="006B1966">
        <w:rPr>
          <w:sz w:val="18"/>
          <w:szCs w:val="18"/>
          <w:lang w:val="en-GB"/>
        </w:rPr>
        <w:t xml:space="preserve">% of ASEs rewired </w:t>
      </w:r>
      <w:r>
        <w:rPr>
          <w:sz w:val="18"/>
          <w:szCs w:val="18"/>
          <w:lang w:val="en-GB"/>
        </w:rPr>
        <w:t xml:space="preserve">by </w:t>
      </w:r>
      <w:r w:rsidRPr="006B1966">
        <w:rPr>
          <w:sz w:val="18"/>
          <w:szCs w:val="18"/>
          <w:lang w:val="en-GB"/>
        </w:rPr>
        <w:t xml:space="preserve">-5 x (0.5) </w:t>
      </w:r>
      <w:r>
        <w:rPr>
          <w:sz w:val="18"/>
          <w:szCs w:val="18"/>
          <w:lang w:val="en-GB"/>
        </w:rPr>
        <w:t>less</w:t>
      </w:r>
      <w:r w:rsidRPr="006B1966">
        <w:rPr>
          <w:sz w:val="18"/>
          <w:szCs w:val="18"/>
          <w:lang w:val="en-GB"/>
        </w:rPr>
        <w:t xml:space="preserve"> 7</w:t>
      </w:r>
      <w:r w:rsidRPr="009917B8">
        <w:rPr>
          <w:sz w:val="18"/>
          <w:szCs w:val="18"/>
          <w:lang w:val="en-GB"/>
        </w:rPr>
        <w:t>.</w:t>
      </w:r>
      <w:r w:rsidRPr="006B1966">
        <w:rPr>
          <w:sz w:val="18"/>
          <w:szCs w:val="18"/>
          <w:lang w:val="en-GB"/>
        </w:rPr>
        <w:t>83</w:t>
      </w:r>
      <w:r w:rsidRPr="009917B8">
        <w:rPr>
          <w:sz w:val="18"/>
          <w:szCs w:val="18"/>
          <w:lang w:val="en-GB"/>
        </w:rPr>
        <w:t>%</w:t>
      </w:r>
      <w:r w:rsidRPr="006B1966">
        <w:rPr>
          <w:sz w:val="18"/>
          <w:szCs w:val="18"/>
          <w:lang w:val="en-GB"/>
        </w:rPr>
        <w:t xml:space="preserve"> = (-0.</w:t>
      </w:r>
      <w:r>
        <w:rPr>
          <w:sz w:val="18"/>
          <w:szCs w:val="18"/>
          <w:lang w:val="en-GB"/>
        </w:rPr>
        <w:t>23</w:t>
      </w:r>
      <w:r w:rsidRPr="006B1966">
        <w:rPr>
          <w:sz w:val="18"/>
          <w:szCs w:val="18"/>
          <w:lang w:val="en-GB"/>
        </w:rPr>
        <w:t>)</w:t>
      </w:r>
    </w:p>
  </w:footnote>
  <w:footnote w:id="150">
    <w:p w14:paraId="54F1AA54" w14:textId="1390EC5F" w:rsidR="001A6758" w:rsidRPr="009917B8" w:rsidRDefault="001A6758">
      <w:pPr>
        <w:pStyle w:val="FootnoteText"/>
        <w:rPr>
          <w:lang w:val="en-GB"/>
        </w:rPr>
      </w:pPr>
      <w:r w:rsidRPr="009917B8">
        <w:rPr>
          <w:rStyle w:val="FootnoteReference"/>
          <w:sz w:val="18"/>
          <w:szCs w:val="18"/>
        </w:rPr>
        <w:footnoteRef/>
      </w:r>
      <w:r w:rsidRPr="009917B8">
        <w:rPr>
          <w:sz w:val="18"/>
          <w:szCs w:val="18"/>
        </w:rPr>
        <w:t xml:space="preserve"> </w:t>
      </w:r>
      <w:r w:rsidRPr="006B1966">
        <w:rPr>
          <w:sz w:val="18"/>
          <w:szCs w:val="18"/>
          <w:lang w:val="en-GB"/>
        </w:rPr>
        <w:t xml:space="preserve">Taken to be </w:t>
      </w:r>
      <w:r>
        <w:rPr>
          <w:sz w:val="18"/>
          <w:szCs w:val="18"/>
          <w:lang w:val="en-GB"/>
        </w:rPr>
        <w:t>10</w:t>
      </w:r>
      <w:r w:rsidRPr="006B1966">
        <w:rPr>
          <w:sz w:val="18"/>
          <w:szCs w:val="18"/>
          <w:lang w:val="en-GB"/>
        </w:rPr>
        <w:t xml:space="preserve">% of ASEs rewired </w:t>
      </w:r>
      <w:r>
        <w:rPr>
          <w:sz w:val="18"/>
          <w:szCs w:val="18"/>
          <w:lang w:val="en-GB"/>
        </w:rPr>
        <w:t>by</w:t>
      </w:r>
      <w:r w:rsidRPr="006B1966">
        <w:rPr>
          <w:sz w:val="18"/>
          <w:szCs w:val="18"/>
          <w:lang w:val="en-GB"/>
        </w:rPr>
        <w:t xml:space="preserve"> -5 x (0.5) </w:t>
      </w:r>
      <w:r>
        <w:rPr>
          <w:sz w:val="18"/>
          <w:szCs w:val="18"/>
          <w:lang w:val="en-GB"/>
        </w:rPr>
        <w:t>+ 10</w:t>
      </w:r>
      <w:r w:rsidRPr="006B1966">
        <w:rPr>
          <w:sz w:val="18"/>
          <w:szCs w:val="18"/>
          <w:lang w:val="en-GB"/>
        </w:rPr>
        <w:t xml:space="preserve">% of ASEs rewired </w:t>
      </w:r>
      <w:r>
        <w:rPr>
          <w:sz w:val="18"/>
          <w:szCs w:val="18"/>
          <w:lang w:val="en-GB"/>
        </w:rPr>
        <w:t>by</w:t>
      </w:r>
      <w:r w:rsidRPr="006B1966">
        <w:rPr>
          <w:sz w:val="18"/>
          <w:szCs w:val="18"/>
          <w:lang w:val="en-GB"/>
        </w:rPr>
        <w:t xml:space="preserve"> -5 x (0.5)</w:t>
      </w:r>
      <w:r>
        <w:rPr>
          <w:sz w:val="18"/>
          <w:szCs w:val="18"/>
          <w:lang w:val="en-GB"/>
        </w:rPr>
        <w:t xml:space="preserve"> x 87.74% less</w:t>
      </w:r>
      <w:r w:rsidRPr="006B1966">
        <w:rPr>
          <w:sz w:val="18"/>
          <w:szCs w:val="18"/>
          <w:lang w:val="en-GB"/>
        </w:rPr>
        <w:t xml:space="preserve"> 7.83%</w:t>
      </w:r>
      <w:r>
        <w:rPr>
          <w:sz w:val="18"/>
          <w:szCs w:val="18"/>
          <w:lang w:val="en-GB"/>
        </w:rPr>
        <w:t xml:space="preserve"> = </w:t>
      </w:r>
      <w:r w:rsidRPr="006B1966">
        <w:rPr>
          <w:sz w:val="18"/>
          <w:szCs w:val="18"/>
          <w:lang w:val="en-GB"/>
        </w:rPr>
        <w:t>(-0</w:t>
      </w:r>
      <w:r>
        <w:rPr>
          <w:sz w:val="18"/>
          <w:szCs w:val="18"/>
          <w:lang w:val="en-GB"/>
        </w:rPr>
        <w:t>.45</w:t>
      </w:r>
      <w:r w:rsidRPr="006B1966">
        <w:rPr>
          <w:sz w:val="18"/>
          <w:szCs w:val="18"/>
          <w:lang w:val="en-GB"/>
        </w:rPr>
        <w:t>)</w:t>
      </w:r>
    </w:p>
  </w:footnote>
  <w:footnote w:id="151">
    <w:p w14:paraId="090BF6D5" w14:textId="39C8AAA4" w:rsidR="001A6758" w:rsidRPr="0014622E" w:rsidRDefault="001A6758" w:rsidP="006E1AB5">
      <w:pPr>
        <w:pStyle w:val="FootnoteText"/>
        <w:rPr>
          <w:sz w:val="18"/>
          <w:szCs w:val="18"/>
          <w:lang w:val="en-GB"/>
        </w:rPr>
      </w:pPr>
      <w:r w:rsidRPr="0014622E">
        <w:rPr>
          <w:rStyle w:val="FootnoteReference"/>
          <w:sz w:val="18"/>
          <w:szCs w:val="18"/>
        </w:rPr>
        <w:footnoteRef/>
      </w:r>
      <w:r w:rsidRPr="0014622E">
        <w:rPr>
          <w:sz w:val="18"/>
          <w:szCs w:val="18"/>
        </w:rPr>
        <w:t xml:space="preserve"> </w:t>
      </w:r>
      <w:r w:rsidRPr="0014622E">
        <w:rPr>
          <w:sz w:val="18"/>
          <w:szCs w:val="18"/>
          <w:lang w:val="en-GB"/>
        </w:rPr>
        <w:t xml:space="preserve">4 x </w:t>
      </w:r>
      <w:r>
        <w:rPr>
          <w:sz w:val="18"/>
          <w:szCs w:val="18"/>
          <w:lang w:val="en-GB"/>
        </w:rPr>
        <w:t>the</w:t>
      </w:r>
      <w:r w:rsidRPr="00856B57">
        <w:rPr>
          <w:sz w:val="18"/>
          <w:szCs w:val="18"/>
          <w:lang w:val="en-GB"/>
        </w:rPr>
        <w:t xml:space="preserve"> score of </w:t>
      </w:r>
      <w:r>
        <w:rPr>
          <w:sz w:val="18"/>
          <w:szCs w:val="18"/>
          <w:lang w:val="en-GB"/>
        </w:rPr>
        <w:t>+</w:t>
      </w:r>
      <w:r w:rsidRPr="0014622E">
        <w:rPr>
          <w:sz w:val="18"/>
          <w:szCs w:val="18"/>
          <w:lang w:val="en-GB"/>
        </w:rPr>
        <w:t>0.</w:t>
      </w:r>
      <w:r>
        <w:rPr>
          <w:sz w:val="18"/>
          <w:szCs w:val="18"/>
          <w:lang w:val="en-GB"/>
        </w:rPr>
        <w:t>685</w:t>
      </w:r>
      <w:r w:rsidRPr="0014622E">
        <w:rPr>
          <w:sz w:val="18"/>
          <w:szCs w:val="18"/>
          <w:lang w:val="en-GB"/>
        </w:rPr>
        <w:t xml:space="preserve"> under Option 2</w:t>
      </w:r>
      <w:r>
        <w:rPr>
          <w:sz w:val="18"/>
          <w:szCs w:val="18"/>
          <w:lang w:val="en-GB"/>
        </w:rPr>
        <w:t xml:space="preserve"> = (-2.74)</w:t>
      </w:r>
    </w:p>
  </w:footnote>
  <w:footnote w:id="152">
    <w:p w14:paraId="449FC6E7" w14:textId="76F2989C" w:rsidR="001A6758" w:rsidRPr="009917B8" w:rsidRDefault="001A6758">
      <w:pPr>
        <w:pStyle w:val="FootnoteText"/>
        <w:rPr>
          <w:sz w:val="18"/>
          <w:szCs w:val="18"/>
        </w:rPr>
      </w:pPr>
      <w:r w:rsidRPr="009917B8">
        <w:rPr>
          <w:rStyle w:val="FootnoteReference"/>
          <w:sz w:val="18"/>
          <w:szCs w:val="18"/>
        </w:rPr>
        <w:footnoteRef/>
      </w:r>
      <w:r w:rsidRPr="009917B8">
        <w:rPr>
          <w:sz w:val="18"/>
          <w:szCs w:val="18"/>
        </w:rPr>
        <w:t xml:space="preserve"> Straight line relationship between two variables</w:t>
      </w:r>
      <w:r>
        <w:rPr>
          <w:sz w:val="18"/>
          <w:szCs w:val="18"/>
        </w:rPr>
        <w:t xml:space="preserve"> (i.e. a straight-line relationship between false alarm charges and the rate of circumvention).</w:t>
      </w:r>
    </w:p>
  </w:footnote>
  <w:footnote w:id="153">
    <w:p w14:paraId="42875D95" w14:textId="77777777" w:rsidR="001A6758" w:rsidRPr="00AB0520" w:rsidRDefault="001A6758" w:rsidP="00290F56">
      <w:pPr>
        <w:pStyle w:val="FootnoteText"/>
      </w:pPr>
      <w:r w:rsidRPr="00AB0520">
        <w:rPr>
          <w:rStyle w:val="FootnoteReference"/>
          <w:sz w:val="18"/>
          <w:szCs w:val="18"/>
        </w:rPr>
        <w:footnoteRef/>
      </w:r>
      <w:r w:rsidRPr="00AB0520">
        <w:rPr>
          <w:sz w:val="18"/>
          <w:szCs w:val="18"/>
        </w:rPr>
        <w:t xml:space="preserve"> </w:t>
      </w:r>
      <w:r w:rsidRPr="00270921">
        <w:rPr>
          <w:sz w:val="18"/>
          <w:szCs w:val="18"/>
        </w:rPr>
        <w:t>T</w:t>
      </w:r>
      <w:r w:rsidRPr="00AB0520">
        <w:rPr>
          <w:sz w:val="18"/>
          <w:szCs w:val="18"/>
        </w:rPr>
        <w:t xml:space="preserve">o false alarms </w:t>
      </w:r>
      <w:r>
        <w:rPr>
          <w:sz w:val="18"/>
          <w:szCs w:val="18"/>
        </w:rPr>
        <w:t xml:space="preserve">without a </w:t>
      </w:r>
      <w:r w:rsidRPr="00AB0520">
        <w:rPr>
          <w:sz w:val="18"/>
          <w:szCs w:val="18"/>
        </w:rPr>
        <w:t>reasonable excuse</w:t>
      </w:r>
    </w:p>
  </w:footnote>
  <w:footnote w:id="154">
    <w:p w14:paraId="5E1E00EF" w14:textId="77777777" w:rsidR="001A6758" w:rsidRPr="00AB0520" w:rsidRDefault="001A6758" w:rsidP="00290F56">
      <w:pPr>
        <w:pStyle w:val="FootnoteText"/>
        <w:rPr>
          <w:sz w:val="18"/>
          <w:szCs w:val="18"/>
        </w:rPr>
      </w:pPr>
      <w:r w:rsidRPr="00AB0520">
        <w:rPr>
          <w:rStyle w:val="FootnoteReference"/>
          <w:sz w:val="18"/>
          <w:szCs w:val="18"/>
        </w:rPr>
        <w:footnoteRef/>
      </w:r>
      <w:r w:rsidRPr="00AB0520">
        <w:rPr>
          <w:sz w:val="18"/>
          <w:szCs w:val="18"/>
        </w:rPr>
        <w:t xml:space="preserve"> </w:t>
      </w:r>
      <w:r w:rsidRPr="00270921">
        <w:rPr>
          <w:sz w:val="18"/>
          <w:szCs w:val="18"/>
        </w:rPr>
        <w:t>T</w:t>
      </w:r>
      <w:r w:rsidRPr="00D9055B">
        <w:rPr>
          <w:sz w:val="18"/>
          <w:szCs w:val="18"/>
        </w:rPr>
        <w:t xml:space="preserve">o false alarms </w:t>
      </w:r>
      <w:r>
        <w:rPr>
          <w:sz w:val="18"/>
          <w:szCs w:val="18"/>
        </w:rPr>
        <w:t xml:space="preserve">without a </w:t>
      </w:r>
      <w:r w:rsidRPr="00A922CF">
        <w:rPr>
          <w:sz w:val="18"/>
          <w:szCs w:val="18"/>
        </w:rPr>
        <w:t>reasonable excuse</w:t>
      </w:r>
    </w:p>
  </w:footnote>
  <w:footnote w:id="155">
    <w:p w14:paraId="4016A891" w14:textId="0C215AD6" w:rsidR="001A6758" w:rsidRPr="00E4733D" w:rsidRDefault="001A6758" w:rsidP="00290F56">
      <w:pPr>
        <w:pStyle w:val="FootnoteText"/>
        <w:rPr>
          <w:sz w:val="18"/>
          <w:szCs w:val="18"/>
        </w:rPr>
      </w:pPr>
      <w:r w:rsidRPr="00E4733D">
        <w:rPr>
          <w:rStyle w:val="FootnoteReference"/>
          <w:sz w:val="18"/>
          <w:szCs w:val="18"/>
        </w:rPr>
        <w:footnoteRef/>
      </w:r>
      <w:r w:rsidRPr="00E4733D">
        <w:rPr>
          <w:sz w:val="18"/>
          <w:szCs w:val="18"/>
        </w:rPr>
        <w:t xml:space="preserve"> </w:t>
      </w:r>
      <w:r>
        <w:rPr>
          <w:sz w:val="18"/>
          <w:szCs w:val="18"/>
        </w:rPr>
        <w:t>$578.48</w:t>
      </w:r>
      <w:r w:rsidRPr="00E4733D">
        <w:rPr>
          <w:sz w:val="18"/>
          <w:szCs w:val="18"/>
        </w:rPr>
        <w:t xml:space="preserve"> per appliance (</w:t>
      </w:r>
      <w:r>
        <w:rPr>
          <w:sz w:val="18"/>
          <w:szCs w:val="18"/>
        </w:rPr>
        <w:t>39.06</w:t>
      </w:r>
      <w:r w:rsidRPr="00E4733D">
        <w:rPr>
          <w:sz w:val="18"/>
          <w:szCs w:val="18"/>
        </w:rPr>
        <w:t xml:space="preserve"> fee units), per 15 minutes or part thereof</w:t>
      </w:r>
      <w:r>
        <w:rPr>
          <w:sz w:val="18"/>
          <w:szCs w:val="18"/>
        </w:rPr>
        <w:t xml:space="preserve"> with a maximum attendance fee of $1,600.</w:t>
      </w:r>
    </w:p>
  </w:footnote>
  <w:footnote w:id="156">
    <w:p w14:paraId="1FFA0421" w14:textId="77777777" w:rsidR="001A6758" w:rsidRPr="00C20815" w:rsidRDefault="001A6758" w:rsidP="00D366E8">
      <w:pPr>
        <w:jc w:val="both"/>
        <w:rPr>
          <w:sz w:val="18"/>
          <w:szCs w:val="18"/>
        </w:rPr>
      </w:pPr>
      <w:r w:rsidRPr="00C20815">
        <w:rPr>
          <w:rStyle w:val="FootnoteReference"/>
          <w:sz w:val="18"/>
          <w:szCs w:val="18"/>
        </w:rPr>
        <w:footnoteRef/>
      </w:r>
      <w:r w:rsidRPr="00C20815">
        <w:rPr>
          <w:sz w:val="18"/>
          <w:szCs w:val="18"/>
        </w:rPr>
        <w:t xml:space="preserve"> </w:t>
      </w:r>
      <w:r>
        <w:rPr>
          <w:sz w:val="18"/>
          <w:szCs w:val="18"/>
        </w:rPr>
        <w:t>A</w:t>
      </w:r>
      <w:r w:rsidRPr="009E5585">
        <w:rPr>
          <w:sz w:val="18"/>
          <w:szCs w:val="18"/>
        </w:rPr>
        <w:t xml:space="preserve"> small business is defined</w:t>
      </w:r>
      <w:r>
        <w:rPr>
          <w:sz w:val="18"/>
          <w:szCs w:val="18"/>
        </w:rPr>
        <w:t xml:space="preserve"> by the ABS</w:t>
      </w:r>
      <w:r w:rsidRPr="009E5585">
        <w:rPr>
          <w:sz w:val="18"/>
          <w:szCs w:val="18"/>
        </w:rPr>
        <w:t xml:space="preserve"> as </w:t>
      </w:r>
      <w:r>
        <w:rPr>
          <w:sz w:val="18"/>
          <w:szCs w:val="18"/>
        </w:rPr>
        <w:t>“</w:t>
      </w:r>
      <w:r w:rsidRPr="009E5585">
        <w:rPr>
          <w:sz w:val="18"/>
          <w:szCs w:val="18"/>
        </w:rPr>
        <w:t>a business employing less than 20 people</w:t>
      </w:r>
      <w:r>
        <w:rPr>
          <w:sz w:val="18"/>
          <w:szCs w:val="18"/>
        </w:rPr>
        <w:t>” (see ABS, Small Business in Australia, Catalogue 1321.0) and likely to comprise of s</w:t>
      </w:r>
      <w:r w:rsidRPr="002040D3">
        <w:rPr>
          <w:sz w:val="18"/>
          <w:szCs w:val="18"/>
        </w:rPr>
        <w:t>mall neighbourhood shops (e.g. family dry cleaning business, bakery or café)</w:t>
      </w:r>
    </w:p>
  </w:footnote>
  <w:footnote w:id="157">
    <w:p w14:paraId="557D3C01" w14:textId="76A67AE3" w:rsidR="001A6758" w:rsidRPr="006C79F4" w:rsidRDefault="001A6758" w:rsidP="00D366E8">
      <w:pPr>
        <w:pStyle w:val="FootnoteText"/>
        <w:rPr>
          <w:sz w:val="18"/>
          <w:szCs w:val="18"/>
        </w:rPr>
      </w:pPr>
      <w:r w:rsidRPr="006C79F4">
        <w:rPr>
          <w:rStyle w:val="FootnoteReference"/>
          <w:sz w:val="18"/>
          <w:szCs w:val="18"/>
        </w:rPr>
        <w:footnoteRef/>
      </w:r>
      <w:r w:rsidRPr="006C79F4">
        <w:rPr>
          <w:sz w:val="18"/>
          <w:szCs w:val="18"/>
        </w:rPr>
        <w:t xml:space="preserve"> Large retail centres,</w:t>
      </w:r>
      <w:r>
        <w:rPr>
          <w:sz w:val="18"/>
          <w:szCs w:val="18"/>
        </w:rPr>
        <w:t xml:space="preserve"> universities, hospitals,</w:t>
      </w:r>
      <w:r w:rsidRPr="006C79F4">
        <w:rPr>
          <w:sz w:val="18"/>
          <w:szCs w:val="18"/>
        </w:rPr>
        <w:t xml:space="preserve"> warehouses, carparks and high-rise buildings</w:t>
      </w:r>
      <w:r>
        <w:rPr>
          <w:sz w:val="18"/>
          <w:szCs w:val="18"/>
        </w:rPr>
        <w:t>.</w:t>
      </w:r>
    </w:p>
  </w:footnote>
  <w:footnote w:id="158">
    <w:p w14:paraId="4073E049" w14:textId="4C09EC0E" w:rsidR="001A6758" w:rsidRPr="00AB0520" w:rsidRDefault="001A6758" w:rsidP="00D366E8">
      <w:pPr>
        <w:pStyle w:val="FootnoteText"/>
        <w:rPr>
          <w:sz w:val="18"/>
          <w:szCs w:val="18"/>
        </w:rPr>
      </w:pPr>
      <w:r w:rsidRPr="00AB0520">
        <w:rPr>
          <w:rStyle w:val="FootnoteReference"/>
          <w:sz w:val="18"/>
          <w:szCs w:val="18"/>
        </w:rPr>
        <w:footnoteRef/>
      </w:r>
      <w:r w:rsidRPr="00AB0520">
        <w:rPr>
          <w:sz w:val="18"/>
          <w:szCs w:val="18"/>
        </w:rPr>
        <w:t xml:space="preserve"> There are approximately </w:t>
      </w:r>
      <w:r>
        <w:rPr>
          <w:sz w:val="18"/>
          <w:szCs w:val="18"/>
        </w:rPr>
        <w:t>8</w:t>
      </w:r>
      <w:r w:rsidRPr="00AB0520">
        <w:rPr>
          <w:sz w:val="18"/>
          <w:szCs w:val="18"/>
        </w:rPr>
        <w:t>,</w:t>
      </w:r>
      <w:r>
        <w:rPr>
          <w:sz w:val="18"/>
          <w:szCs w:val="18"/>
        </w:rPr>
        <w:t>567</w:t>
      </w:r>
      <w:r w:rsidRPr="00AB0520">
        <w:rPr>
          <w:sz w:val="18"/>
          <w:szCs w:val="18"/>
        </w:rPr>
        <w:t xml:space="preserve"> ASEs in Victoria</w:t>
      </w:r>
      <w:r>
        <w:rPr>
          <w:sz w:val="18"/>
          <w:szCs w:val="18"/>
        </w:rPr>
        <w:t xml:space="preserve"> as at February 2020.</w:t>
      </w:r>
    </w:p>
  </w:footnote>
  <w:footnote w:id="159">
    <w:p w14:paraId="4B57DEE7" w14:textId="3AFDBF8A" w:rsidR="001A6758" w:rsidRPr="00C74012" w:rsidRDefault="001A6758">
      <w:pPr>
        <w:pStyle w:val="FootnoteText"/>
        <w:rPr>
          <w:sz w:val="18"/>
          <w:szCs w:val="18"/>
          <w:lang w:val="en-GB"/>
        </w:rPr>
      </w:pPr>
      <w:r w:rsidRPr="00C74012">
        <w:rPr>
          <w:rStyle w:val="FootnoteReference"/>
          <w:sz w:val="18"/>
          <w:szCs w:val="18"/>
        </w:rPr>
        <w:footnoteRef/>
      </w:r>
      <w:r w:rsidRPr="00C74012">
        <w:rPr>
          <w:sz w:val="18"/>
          <w:szCs w:val="18"/>
        </w:rPr>
        <w:t xml:space="preserve"> </w:t>
      </w:r>
      <w:r w:rsidRPr="00C74012">
        <w:rPr>
          <w:sz w:val="18"/>
          <w:szCs w:val="18"/>
          <w:lang w:val="en-GB"/>
        </w:rPr>
        <w:t>This figure has been rounded for presentation purposes only.</w:t>
      </w:r>
    </w:p>
  </w:footnote>
  <w:footnote w:id="160">
    <w:p w14:paraId="387015E7" w14:textId="7EC701FD" w:rsidR="001A6758" w:rsidRPr="00AB0520" w:rsidRDefault="001A6758" w:rsidP="00D366E8">
      <w:pPr>
        <w:pStyle w:val="FootnoteText"/>
        <w:rPr>
          <w:sz w:val="18"/>
          <w:szCs w:val="18"/>
        </w:rPr>
      </w:pPr>
      <w:r w:rsidRPr="00AB0520">
        <w:rPr>
          <w:rStyle w:val="FootnoteReference"/>
          <w:sz w:val="18"/>
          <w:szCs w:val="18"/>
        </w:rPr>
        <w:footnoteRef/>
      </w:r>
      <w:r w:rsidRPr="00AB0520">
        <w:rPr>
          <w:sz w:val="18"/>
          <w:szCs w:val="18"/>
        </w:rPr>
        <w:t xml:space="preserve"> For example</w:t>
      </w:r>
      <w:r>
        <w:rPr>
          <w:sz w:val="18"/>
          <w:szCs w:val="18"/>
        </w:rPr>
        <w:t>,</w:t>
      </w:r>
      <w:r w:rsidRPr="00AB0520">
        <w:rPr>
          <w:sz w:val="18"/>
          <w:szCs w:val="18"/>
        </w:rPr>
        <w:t xml:space="preserve"> a bakery will make $8,000 to $12,000 per week, a dry </w:t>
      </w:r>
      <w:r w:rsidRPr="0003601A">
        <w:rPr>
          <w:sz w:val="18"/>
          <w:szCs w:val="18"/>
        </w:rPr>
        <w:t>cleaner</w:t>
      </w:r>
      <w:r w:rsidRPr="00AB0520">
        <w:rPr>
          <w:sz w:val="18"/>
          <w:szCs w:val="18"/>
        </w:rPr>
        <w:t xml:space="preserve"> will make $6,000 to $8,000 per week and a café will m</w:t>
      </w:r>
      <w:r>
        <w:rPr>
          <w:sz w:val="18"/>
          <w:szCs w:val="18"/>
        </w:rPr>
        <w:t>ake $10,000 to $15,000 per week (based on advice from commercial realtor).</w:t>
      </w:r>
    </w:p>
  </w:footnote>
  <w:footnote w:id="161">
    <w:p w14:paraId="3F052066" w14:textId="5EE8CC71" w:rsidR="001A6758" w:rsidRPr="00AB0520" w:rsidRDefault="001A6758" w:rsidP="00D366E8">
      <w:pPr>
        <w:pStyle w:val="FootnoteText"/>
        <w:rPr>
          <w:sz w:val="18"/>
          <w:szCs w:val="18"/>
        </w:rPr>
      </w:pPr>
      <w:r w:rsidRPr="00AB0520">
        <w:rPr>
          <w:rStyle w:val="FootnoteReference"/>
          <w:sz w:val="18"/>
          <w:szCs w:val="18"/>
        </w:rPr>
        <w:footnoteRef/>
      </w:r>
      <w:r w:rsidRPr="00AB0520">
        <w:rPr>
          <w:sz w:val="18"/>
          <w:szCs w:val="18"/>
        </w:rPr>
        <w:t xml:space="preserve"> A higher level of hours with respect to fire protection services </w:t>
      </w:r>
      <w:r>
        <w:rPr>
          <w:sz w:val="18"/>
          <w:szCs w:val="18"/>
        </w:rPr>
        <w:t xml:space="preserve">currently </w:t>
      </w:r>
      <w:r w:rsidRPr="00AB0520">
        <w:rPr>
          <w:sz w:val="18"/>
          <w:szCs w:val="18"/>
        </w:rPr>
        <w:t xml:space="preserve">supplied by </w:t>
      </w:r>
      <w:r>
        <w:rPr>
          <w:sz w:val="18"/>
          <w:szCs w:val="18"/>
        </w:rPr>
        <w:t>MFB.</w:t>
      </w:r>
    </w:p>
  </w:footnote>
  <w:footnote w:id="162">
    <w:p w14:paraId="4C4985B2" w14:textId="77777777" w:rsidR="001A6758" w:rsidRPr="00C20815" w:rsidRDefault="001A6758" w:rsidP="00421320">
      <w:pPr>
        <w:pStyle w:val="FootnoteText"/>
        <w:rPr>
          <w:sz w:val="18"/>
          <w:szCs w:val="18"/>
        </w:rPr>
      </w:pPr>
      <w:r w:rsidRPr="00C20815">
        <w:rPr>
          <w:rStyle w:val="FootnoteReference"/>
          <w:sz w:val="18"/>
          <w:szCs w:val="18"/>
        </w:rPr>
        <w:footnoteRef/>
      </w:r>
      <w:r>
        <w:rPr>
          <w:sz w:val="18"/>
          <w:szCs w:val="18"/>
        </w:rPr>
        <w:t xml:space="preserve"> Government of Victoria, 2016</w:t>
      </w:r>
      <w:r w:rsidRPr="00C20815">
        <w:rPr>
          <w:sz w:val="18"/>
          <w:szCs w:val="18"/>
        </w:rPr>
        <w:t xml:space="preserve">, </w:t>
      </w:r>
      <w:r w:rsidRPr="00C20815">
        <w:rPr>
          <w:i/>
          <w:sz w:val="18"/>
          <w:szCs w:val="18"/>
        </w:rPr>
        <w:t>Victorian Guide to Regulation</w:t>
      </w:r>
      <w:r>
        <w:rPr>
          <w:sz w:val="18"/>
          <w:szCs w:val="18"/>
        </w:rPr>
        <w:t xml:space="preserve">: A handbook for </w:t>
      </w:r>
      <w:proofErr w:type="gramStart"/>
      <w:r>
        <w:rPr>
          <w:sz w:val="18"/>
          <w:szCs w:val="18"/>
        </w:rPr>
        <w:t>policy-makers</w:t>
      </w:r>
      <w:proofErr w:type="gramEnd"/>
      <w:r>
        <w:rPr>
          <w:sz w:val="18"/>
          <w:szCs w:val="18"/>
        </w:rPr>
        <w:t xml:space="preserve"> </w:t>
      </w:r>
      <w:r w:rsidRPr="00443A39">
        <w:rPr>
          <w:sz w:val="18"/>
          <w:szCs w:val="18"/>
        </w:rPr>
        <w:t>in Victoria</w:t>
      </w:r>
      <w:r>
        <w:rPr>
          <w:sz w:val="18"/>
          <w:szCs w:val="18"/>
        </w:rPr>
        <w:t>,</w:t>
      </w:r>
      <w:r w:rsidRPr="00C20815">
        <w:rPr>
          <w:sz w:val="18"/>
          <w:szCs w:val="18"/>
        </w:rPr>
        <w:t xml:space="preserve"> Department of Treasury and Finance, Melbourne</w:t>
      </w:r>
    </w:p>
  </w:footnote>
  <w:footnote w:id="163">
    <w:p w14:paraId="7714889E" w14:textId="6BC54AAD" w:rsidR="001A6758" w:rsidRPr="004B70EB" w:rsidRDefault="001A6758">
      <w:pPr>
        <w:pStyle w:val="FootnoteText"/>
        <w:rPr>
          <w:sz w:val="18"/>
          <w:szCs w:val="18"/>
          <w:lang w:val="en-GB"/>
        </w:rPr>
      </w:pPr>
      <w:r w:rsidRPr="004B70EB">
        <w:rPr>
          <w:rStyle w:val="FootnoteReference"/>
          <w:sz w:val="18"/>
          <w:szCs w:val="18"/>
        </w:rPr>
        <w:footnoteRef/>
      </w:r>
      <w:r w:rsidRPr="004B70EB">
        <w:rPr>
          <w:sz w:val="18"/>
          <w:szCs w:val="18"/>
        </w:rPr>
        <w:t xml:space="preserve"> </w:t>
      </w:r>
      <w:r w:rsidRPr="004B70EB">
        <w:rPr>
          <w:sz w:val="18"/>
          <w:szCs w:val="18"/>
          <w:lang w:val="en-GB"/>
        </w:rPr>
        <w:t>See Table A3.</w:t>
      </w:r>
      <w:r>
        <w:rPr>
          <w:sz w:val="18"/>
          <w:szCs w:val="18"/>
          <w:lang w:val="en-GB"/>
        </w:rPr>
        <w:t>7</w:t>
      </w:r>
      <w:r w:rsidRPr="004B70EB">
        <w:rPr>
          <w:sz w:val="18"/>
          <w:szCs w:val="18"/>
          <w:lang w:val="en-GB"/>
        </w:rPr>
        <w:t xml:space="preserve"> of Appendix 3 for source of estimate.</w:t>
      </w:r>
    </w:p>
  </w:footnote>
  <w:footnote w:id="164">
    <w:p w14:paraId="472CFBF7" w14:textId="5ABD8C51" w:rsidR="001A6758" w:rsidRPr="009A3C8B" w:rsidRDefault="001A6758" w:rsidP="001914F9">
      <w:pPr>
        <w:pStyle w:val="FootnoteText"/>
        <w:rPr>
          <w:sz w:val="18"/>
          <w:szCs w:val="18"/>
        </w:rPr>
      </w:pPr>
      <w:r w:rsidRPr="009A3C8B">
        <w:rPr>
          <w:rStyle w:val="FootnoteReference"/>
          <w:sz w:val="18"/>
          <w:szCs w:val="18"/>
        </w:rPr>
        <w:footnoteRef/>
      </w:r>
      <w:r w:rsidRPr="009A3C8B">
        <w:rPr>
          <w:sz w:val="18"/>
          <w:szCs w:val="18"/>
        </w:rPr>
        <w:t xml:space="preserve"> This does not include services provided by </w:t>
      </w:r>
      <w:r>
        <w:rPr>
          <w:sz w:val="18"/>
          <w:szCs w:val="18"/>
        </w:rPr>
        <w:t>CFA</w:t>
      </w:r>
      <w:r w:rsidRPr="009A3C8B">
        <w:rPr>
          <w:sz w:val="18"/>
          <w:szCs w:val="18"/>
        </w:rPr>
        <w:t xml:space="preserve"> around ‘fire readiness’ which a number of commercial operators also provide in a competitive market</w:t>
      </w:r>
      <w:r>
        <w:rPr>
          <w:sz w:val="18"/>
          <w:szCs w:val="18"/>
        </w:rPr>
        <w:t xml:space="preserve"> and</w:t>
      </w:r>
      <w:r w:rsidRPr="009A3C8B">
        <w:rPr>
          <w:sz w:val="18"/>
          <w:szCs w:val="18"/>
        </w:rPr>
        <w:t xml:space="preserve"> at a common market rate of around $250</w:t>
      </w:r>
      <w:r>
        <w:rPr>
          <w:sz w:val="18"/>
          <w:szCs w:val="18"/>
        </w:rPr>
        <w:t xml:space="preserve"> per hour</w:t>
      </w:r>
      <w:r w:rsidRPr="009A3C8B">
        <w:rPr>
          <w:sz w:val="18"/>
          <w:szCs w:val="18"/>
        </w:rPr>
        <w:t>.</w:t>
      </w:r>
    </w:p>
  </w:footnote>
  <w:footnote w:id="165">
    <w:p w14:paraId="23CAFBB6" w14:textId="77777777" w:rsidR="001A6758" w:rsidRPr="00754C75" w:rsidRDefault="001A6758" w:rsidP="001914F9">
      <w:pPr>
        <w:pStyle w:val="FootnoteText"/>
        <w:rPr>
          <w:sz w:val="18"/>
          <w:szCs w:val="18"/>
          <w:lang w:val="en-GB"/>
        </w:rPr>
      </w:pPr>
      <w:r w:rsidRPr="00754C75">
        <w:rPr>
          <w:rStyle w:val="FootnoteReference"/>
          <w:sz w:val="18"/>
          <w:szCs w:val="18"/>
        </w:rPr>
        <w:footnoteRef/>
      </w:r>
      <w:r w:rsidRPr="00754C75">
        <w:rPr>
          <w:sz w:val="18"/>
          <w:szCs w:val="18"/>
        </w:rPr>
        <w:t xml:space="preserve"> The fee was set by Gazettal on the 7th of May in 2007.</w:t>
      </w:r>
    </w:p>
  </w:footnote>
  <w:footnote w:id="166">
    <w:p w14:paraId="6EC4CB72" w14:textId="78A48A08" w:rsidR="001A6758" w:rsidRPr="00AB0520" w:rsidRDefault="001A6758" w:rsidP="008C7584">
      <w:pPr>
        <w:pStyle w:val="FootnoteText"/>
        <w:rPr>
          <w:sz w:val="18"/>
          <w:szCs w:val="18"/>
        </w:rPr>
      </w:pPr>
      <w:r w:rsidRPr="00AB0520">
        <w:rPr>
          <w:rStyle w:val="FootnoteReference"/>
          <w:sz w:val="18"/>
          <w:szCs w:val="18"/>
        </w:rPr>
        <w:footnoteRef/>
      </w:r>
      <w:r w:rsidRPr="00AB0520">
        <w:rPr>
          <w:sz w:val="18"/>
          <w:szCs w:val="18"/>
        </w:rPr>
        <w:t xml:space="preserve"> </w:t>
      </w:r>
      <w:r>
        <w:rPr>
          <w:sz w:val="18"/>
          <w:szCs w:val="18"/>
        </w:rPr>
        <w:t xml:space="preserve">Calculated as projected revenue of $1.1 million </w:t>
      </w:r>
      <w:r w:rsidRPr="00734A44">
        <w:rPr>
          <w:sz w:val="18"/>
          <w:szCs w:val="18"/>
        </w:rPr>
        <w:t>x 10 years discounted by a 4% real discount rate.</w:t>
      </w:r>
    </w:p>
  </w:footnote>
  <w:footnote w:id="167">
    <w:p w14:paraId="0EBDC928" w14:textId="322B7835" w:rsidR="001A6758" w:rsidRPr="00AB0520" w:rsidRDefault="001A6758" w:rsidP="008C7584">
      <w:pPr>
        <w:pStyle w:val="FootnoteText"/>
      </w:pPr>
      <w:r w:rsidRPr="00AB0520">
        <w:rPr>
          <w:rStyle w:val="FootnoteReference"/>
          <w:sz w:val="18"/>
          <w:szCs w:val="18"/>
        </w:rPr>
        <w:footnoteRef/>
      </w:r>
      <w:r w:rsidRPr="00AB0520">
        <w:rPr>
          <w:sz w:val="18"/>
          <w:szCs w:val="18"/>
        </w:rPr>
        <w:t xml:space="preserve"> </w:t>
      </w:r>
      <w:r w:rsidRPr="00734A44">
        <w:rPr>
          <w:sz w:val="18"/>
          <w:szCs w:val="18"/>
        </w:rPr>
        <w:t>Calculated as</w:t>
      </w:r>
      <w:r>
        <w:rPr>
          <w:sz w:val="18"/>
          <w:szCs w:val="18"/>
        </w:rPr>
        <w:t xml:space="preserve"> $0.50 million (1,662 transactions x 2.5hrs x $121) </w:t>
      </w:r>
      <w:r w:rsidRPr="00734A44">
        <w:rPr>
          <w:sz w:val="18"/>
          <w:szCs w:val="18"/>
        </w:rPr>
        <w:t>x 10 years discounted by a 4% real discount rate</w:t>
      </w:r>
    </w:p>
  </w:footnote>
  <w:footnote w:id="168">
    <w:p w14:paraId="473A28D3" w14:textId="77777777" w:rsidR="001A6758" w:rsidRPr="00D26BED" w:rsidRDefault="001A6758" w:rsidP="00E04C6D">
      <w:pPr>
        <w:pStyle w:val="FootnoteText"/>
        <w:rPr>
          <w:sz w:val="18"/>
          <w:szCs w:val="18"/>
        </w:rPr>
      </w:pPr>
      <w:r w:rsidRPr="00D26BED">
        <w:rPr>
          <w:rStyle w:val="FootnoteReference"/>
          <w:sz w:val="18"/>
          <w:szCs w:val="18"/>
        </w:rPr>
        <w:footnoteRef/>
      </w:r>
      <w:r w:rsidRPr="00D26BED">
        <w:rPr>
          <w:sz w:val="18"/>
          <w:szCs w:val="18"/>
        </w:rPr>
        <w:t xml:space="preserve"> Namely fire drills</w:t>
      </w:r>
    </w:p>
  </w:footnote>
  <w:footnote w:id="169">
    <w:p w14:paraId="1D3CFE19" w14:textId="77777777" w:rsidR="001A6758" w:rsidRPr="008D072B" w:rsidRDefault="001A6758" w:rsidP="00E04C6D">
      <w:pPr>
        <w:pStyle w:val="FootnoteText"/>
        <w:rPr>
          <w:sz w:val="18"/>
          <w:szCs w:val="18"/>
        </w:rPr>
      </w:pPr>
      <w:r w:rsidRPr="008D072B">
        <w:rPr>
          <w:rStyle w:val="FootnoteReference"/>
          <w:sz w:val="18"/>
          <w:szCs w:val="18"/>
        </w:rPr>
        <w:footnoteRef/>
      </w:r>
      <w:r w:rsidRPr="008D072B">
        <w:rPr>
          <w:sz w:val="18"/>
          <w:szCs w:val="18"/>
        </w:rPr>
        <w:t xml:space="preserve"> Based on an on-cost </w:t>
      </w:r>
      <w:r>
        <w:rPr>
          <w:sz w:val="18"/>
          <w:szCs w:val="18"/>
        </w:rPr>
        <w:t>of 0</w:t>
      </w:r>
      <w:r w:rsidRPr="008D072B">
        <w:rPr>
          <w:sz w:val="18"/>
          <w:szCs w:val="18"/>
        </w:rPr>
        <w:t>.2</w:t>
      </w:r>
      <w:r>
        <w:rPr>
          <w:sz w:val="18"/>
          <w:szCs w:val="18"/>
        </w:rPr>
        <w:t>706 of salaries.</w:t>
      </w:r>
    </w:p>
  </w:footnote>
  <w:footnote w:id="170">
    <w:p w14:paraId="47ECB795" w14:textId="77777777" w:rsidR="001A6758" w:rsidRPr="00557F64" w:rsidRDefault="001A6758" w:rsidP="00E04C6D">
      <w:pPr>
        <w:pStyle w:val="FootnoteText"/>
        <w:rPr>
          <w:sz w:val="18"/>
          <w:szCs w:val="18"/>
        </w:rPr>
      </w:pPr>
      <w:r w:rsidRPr="00557F64">
        <w:rPr>
          <w:rStyle w:val="FootnoteReference"/>
          <w:sz w:val="18"/>
          <w:szCs w:val="18"/>
        </w:rPr>
        <w:footnoteRef/>
      </w:r>
      <w:r w:rsidRPr="00557F64">
        <w:rPr>
          <w:sz w:val="18"/>
          <w:szCs w:val="18"/>
        </w:rPr>
        <w:t xml:space="preserve"> </w:t>
      </w:r>
      <w:r>
        <w:rPr>
          <w:sz w:val="18"/>
          <w:szCs w:val="18"/>
        </w:rPr>
        <w:t>$2.92 per hour for 42</w:t>
      </w:r>
      <w:r w:rsidRPr="00557F64">
        <w:rPr>
          <w:sz w:val="18"/>
          <w:szCs w:val="18"/>
        </w:rPr>
        <w:t xml:space="preserve"> hours per week </w:t>
      </w:r>
      <w:r>
        <w:rPr>
          <w:sz w:val="18"/>
          <w:szCs w:val="18"/>
        </w:rPr>
        <w:t>and 41</w:t>
      </w:r>
      <w:r w:rsidRPr="00557F64">
        <w:rPr>
          <w:sz w:val="18"/>
          <w:szCs w:val="18"/>
        </w:rPr>
        <w:t xml:space="preserve"> weeks per annum</w:t>
      </w:r>
      <w:r>
        <w:rPr>
          <w:sz w:val="18"/>
          <w:szCs w:val="18"/>
        </w:rPr>
        <w:t>.</w:t>
      </w:r>
    </w:p>
  </w:footnote>
  <w:footnote w:id="171">
    <w:p w14:paraId="5F4BB94D" w14:textId="77777777" w:rsidR="001A6758" w:rsidRPr="001B2A95" w:rsidRDefault="001A6758" w:rsidP="00E04C6D">
      <w:pPr>
        <w:pStyle w:val="FootnoteText"/>
        <w:rPr>
          <w:sz w:val="18"/>
          <w:szCs w:val="18"/>
        </w:rPr>
      </w:pPr>
      <w:r w:rsidRPr="001B2A95">
        <w:rPr>
          <w:rStyle w:val="FootnoteReference"/>
          <w:sz w:val="18"/>
          <w:szCs w:val="18"/>
        </w:rPr>
        <w:footnoteRef/>
      </w:r>
      <w:r w:rsidRPr="001B2A95">
        <w:rPr>
          <w:sz w:val="18"/>
          <w:szCs w:val="18"/>
        </w:rPr>
        <w:t xml:space="preserve"> All dollar values are presented as whole numbers for simplicity o</w:t>
      </w:r>
      <w:r>
        <w:rPr>
          <w:sz w:val="18"/>
          <w:szCs w:val="18"/>
        </w:rPr>
        <w:t>f presentation however all calculations are based on non-rounded estimates.</w:t>
      </w:r>
    </w:p>
  </w:footnote>
  <w:footnote w:id="172">
    <w:p w14:paraId="7710A792" w14:textId="7EA80F72" w:rsidR="001A6758" w:rsidRPr="00671DF6" w:rsidRDefault="001A6758" w:rsidP="00E04C6D">
      <w:pPr>
        <w:pStyle w:val="FootnoteText"/>
        <w:rPr>
          <w:sz w:val="18"/>
          <w:szCs w:val="18"/>
        </w:rPr>
      </w:pPr>
      <w:r w:rsidRPr="00671DF6">
        <w:rPr>
          <w:rStyle w:val="FootnoteReference"/>
          <w:sz w:val="18"/>
          <w:szCs w:val="18"/>
        </w:rPr>
        <w:footnoteRef/>
      </w:r>
      <w:r w:rsidRPr="00671DF6">
        <w:rPr>
          <w:sz w:val="18"/>
          <w:szCs w:val="18"/>
        </w:rPr>
        <w:t xml:space="preserve"> </w:t>
      </w:r>
      <w:r>
        <w:rPr>
          <w:sz w:val="18"/>
          <w:szCs w:val="18"/>
        </w:rPr>
        <w:t xml:space="preserve">Crewing factor represents </w:t>
      </w:r>
      <w:r w:rsidRPr="00671DF6">
        <w:rPr>
          <w:sz w:val="18"/>
          <w:szCs w:val="18"/>
        </w:rPr>
        <w:t xml:space="preserve">actual FTE required for each operational staff member </w:t>
      </w:r>
      <w:r>
        <w:rPr>
          <w:sz w:val="18"/>
          <w:szCs w:val="18"/>
        </w:rPr>
        <w:t>and considers the need to have staff members ‘effectively’ available for emergencies</w:t>
      </w:r>
      <w:r w:rsidRPr="00671DF6">
        <w:rPr>
          <w:sz w:val="18"/>
          <w:szCs w:val="18"/>
        </w:rPr>
        <w:t xml:space="preserve"> 24 hours a day, 7 days a week and 52 weeks a year.</w:t>
      </w:r>
      <w:r>
        <w:rPr>
          <w:sz w:val="18"/>
          <w:szCs w:val="18"/>
        </w:rPr>
        <w:t xml:space="preserve"> </w:t>
      </w:r>
    </w:p>
  </w:footnote>
  <w:footnote w:id="173">
    <w:p w14:paraId="54F97BC2" w14:textId="0AD588C4" w:rsidR="001A6758" w:rsidRPr="001B2A95" w:rsidRDefault="001A6758" w:rsidP="00E04C6D">
      <w:pPr>
        <w:pStyle w:val="FootnoteText"/>
        <w:rPr>
          <w:sz w:val="18"/>
          <w:szCs w:val="18"/>
        </w:rPr>
      </w:pPr>
      <w:r w:rsidRPr="001B2A95">
        <w:rPr>
          <w:rStyle w:val="FootnoteReference"/>
          <w:sz w:val="18"/>
          <w:szCs w:val="18"/>
        </w:rPr>
        <w:footnoteRef/>
      </w:r>
      <w:r w:rsidRPr="001B2A95">
        <w:rPr>
          <w:sz w:val="18"/>
          <w:szCs w:val="18"/>
        </w:rPr>
        <w:t xml:space="preserve"> Data provided by </w:t>
      </w:r>
      <w:r>
        <w:rPr>
          <w:sz w:val="18"/>
          <w:szCs w:val="18"/>
        </w:rPr>
        <w:t>MFB.</w:t>
      </w:r>
    </w:p>
  </w:footnote>
  <w:footnote w:id="174">
    <w:p w14:paraId="020D94BA" w14:textId="3CEC7EF3" w:rsidR="001A6758" w:rsidRPr="006557BD" w:rsidRDefault="001A6758" w:rsidP="00E04C6D">
      <w:pPr>
        <w:pStyle w:val="FootnoteText"/>
      </w:pPr>
      <w:r w:rsidRPr="006557BD">
        <w:rPr>
          <w:rStyle w:val="FootnoteReference"/>
          <w:sz w:val="18"/>
          <w:szCs w:val="18"/>
        </w:rPr>
        <w:footnoteRef/>
      </w:r>
      <w:r w:rsidRPr="006557BD">
        <w:rPr>
          <w:sz w:val="18"/>
          <w:szCs w:val="18"/>
        </w:rPr>
        <w:t xml:space="preserve"> Data provided by </w:t>
      </w:r>
      <w:r>
        <w:rPr>
          <w:sz w:val="18"/>
          <w:szCs w:val="18"/>
        </w:rPr>
        <w:t>MFB</w:t>
      </w:r>
      <w:r w:rsidRPr="006557BD">
        <w:rPr>
          <w:sz w:val="18"/>
          <w:szCs w:val="18"/>
        </w:rPr>
        <w:t>.</w:t>
      </w:r>
    </w:p>
  </w:footnote>
  <w:footnote w:id="175">
    <w:p w14:paraId="5E0F4F7A" w14:textId="77777777" w:rsidR="001A6758" w:rsidRPr="00671DF6" w:rsidRDefault="001A6758" w:rsidP="00E04C6D">
      <w:pPr>
        <w:pStyle w:val="FootnoteText"/>
        <w:rPr>
          <w:sz w:val="18"/>
          <w:szCs w:val="18"/>
        </w:rPr>
      </w:pPr>
      <w:r w:rsidRPr="00671DF6">
        <w:rPr>
          <w:rStyle w:val="FootnoteReference"/>
          <w:sz w:val="18"/>
          <w:szCs w:val="18"/>
        </w:rPr>
        <w:footnoteRef/>
      </w:r>
      <w:r w:rsidRPr="00671DF6">
        <w:rPr>
          <w:sz w:val="18"/>
          <w:szCs w:val="18"/>
        </w:rPr>
        <w:t xml:space="preserve"> This refers to professional</w:t>
      </w:r>
      <w:r>
        <w:rPr>
          <w:sz w:val="18"/>
          <w:szCs w:val="18"/>
        </w:rPr>
        <w:t xml:space="preserve"> development training by external</w:t>
      </w:r>
      <w:r w:rsidRPr="00671DF6">
        <w:rPr>
          <w:sz w:val="18"/>
          <w:szCs w:val="18"/>
        </w:rPr>
        <w:t xml:space="preserve"> organisations.</w:t>
      </w:r>
    </w:p>
  </w:footnote>
  <w:footnote w:id="176">
    <w:p w14:paraId="0C68E619" w14:textId="77777777" w:rsidR="001A6758" w:rsidRPr="00900598" w:rsidRDefault="001A6758" w:rsidP="00E04C6D">
      <w:pPr>
        <w:pStyle w:val="FootnoteText"/>
        <w:rPr>
          <w:sz w:val="18"/>
          <w:szCs w:val="18"/>
        </w:rPr>
      </w:pPr>
      <w:r w:rsidRPr="00900598">
        <w:rPr>
          <w:rStyle w:val="FootnoteReference"/>
          <w:sz w:val="18"/>
          <w:szCs w:val="18"/>
        </w:rPr>
        <w:footnoteRef/>
      </w:r>
      <w:r w:rsidRPr="00900598">
        <w:rPr>
          <w:sz w:val="18"/>
          <w:szCs w:val="18"/>
        </w:rPr>
        <w:t xml:space="preserve"> Based on an overhead of 1</w:t>
      </w:r>
      <w:r>
        <w:rPr>
          <w:sz w:val="18"/>
          <w:szCs w:val="18"/>
        </w:rPr>
        <w:t>7</w:t>
      </w:r>
      <w:r w:rsidRPr="00900598">
        <w:rPr>
          <w:sz w:val="18"/>
          <w:szCs w:val="18"/>
        </w:rPr>
        <w:t>.</w:t>
      </w:r>
      <w:r>
        <w:rPr>
          <w:sz w:val="18"/>
          <w:szCs w:val="18"/>
        </w:rPr>
        <w:t>9</w:t>
      </w:r>
      <w:r w:rsidRPr="00900598">
        <w:rPr>
          <w:sz w:val="18"/>
          <w:szCs w:val="18"/>
        </w:rPr>
        <w:t xml:space="preserve">% of </w:t>
      </w:r>
      <w:r w:rsidRPr="00900598">
        <w:rPr>
          <w:rFonts w:cs="Calibri"/>
          <w:color w:val="auto"/>
          <w:sz w:val="18"/>
          <w:szCs w:val="18"/>
        </w:rPr>
        <w:t xml:space="preserve">annual appliance staffing cost of </w:t>
      </w:r>
      <w:r w:rsidRPr="004D43C7">
        <w:rPr>
          <w:rFonts w:cs="Calibri"/>
          <w:color w:val="auto"/>
          <w:sz w:val="18"/>
          <w:szCs w:val="18"/>
        </w:rPr>
        <w:t>$271,580,455</w:t>
      </w:r>
      <w:r w:rsidRPr="00900598">
        <w:rPr>
          <w:rFonts w:cs="Calibri"/>
          <w:color w:val="auto"/>
          <w:sz w:val="18"/>
          <w:szCs w:val="18"/>
        </w:rPr>
        <w:t>.  1</w:t>
      </w:r>
      <w:r>
        <w:rPr>
          <w:rFonts w:cs="Calibri"/>
          <w:color w:val="auto"/>
          <w:sz w:val="18"/>
          <w:szCs w:val="18"/>
        </w:rPr>
        <w:t>7</w:t>
      </w:r>
      <w:r w:rsidRPr="00900598">
        <w:rPr>
          <w:rFonts w:cs="Calibri"/>
          <w:color w:val="auto"/>
          <w:sz w:val="18"/>
          <w:szCs w:val="18"/>
        </w:rPr>
        <w:t>.</w:t>
      </w:r>
      <w:r>
        <w:rPr>
          <w:rFonts w:cs="Calibri"/>
          <w:color w:val="auto"/>
          <w:sz w:val="18"/>
          <w:szCs w:val="18"/>
        </w:rPr>
        <w:t>9</w:t>
      </w:r>
      <w:r w:rsidRPr="00900598">
        <w:rPr>
          <w:rFonts w:cs="Calibri"/>
          <w:color w:val="auto"/>
          <w:sz w:val="18"/>
          <w:szCs w:val="18"/>
        </w:rPr>
        <w:t>% is taken as the proportion of non-operational to operational staff (3</w:t>
      </w:r>
      <w:r>
        <w:rPr>
          <w:rFonts w:cs="Calibri"/>
          <w:color w:val="auto"/>
          <w:sz w:val="18"/>
          <w:szCs w:val="18"/>
        </w:rPr>
        <w:t>55</w:t>
      </w:r>
      <w:r w:rsidRPr="00900598">
        <w:rPr>
          <w:rFonts w:cs="Calibri"/>
          <w:color w:val="auto"/>
          <w:sz w:val="18"/>
          <w:szCs w:val="18"/>
        </w:rPr>
        <w:t>/1,</w:t>
      </w:r>
      <w:r>
        <w:rPr>
          <w:rFonts w:cs="Calibri"/>
          <w:color w:val="auto"/>
          <w:sz w:val="18"/>
          <w:szCs w:val="18"/>
        </w:rPr>
        <w:t>983</w:t>
      </w:r>
      <w:r w:rsidRPr="00900598">
        <w:rPr>
          <w:rFonts w:cs="Calibri"/>
          <w:color w:val="auto"/>
          <w:sz w:val="18"/>
          <w:szCs w:val="18"/>
        </w:rPr>
        <w:t>).</w:t>
      </w:r>
    </w:p>
  </w:footnote>
  <w:footnote w:id="177">
    <w:p w14:paraId="2F501158" w14:textId="27040E89" w:rsidR="001A6758" w:rsidRPr="007C2317" w:rsidRDefault="001A6758" w:rsidP="00E04C6D">
      <w:pPr>
        <w:pStyle w:val="FootnoteText"/>
      </w:pPr>
      <w:r w:rsidRPr="007C2317">
        <w:rPr>
          <w:rStyle w:val="FootnoteReference"/>
          <w:sz w:val="18"/>
          <w:szCs w:val="18"/>
        </w:rPr>
        <w:footnoteRef/>
      </w:r>
      <w:r w:rsidRPr="007C2317">
        <w:rPr>
          <w:sz w:val="18"/>
          <w:szCs w:val="18"/>
        </w:rPr>
        <w:t xml:space="preserve"> See Table </w:t>
      </w:r>
      <w:r>
        <w:rPr>
          <w:sz w:val="18"/>
          <w:szCs w:val="18"/>
        </w:rPr>
        <w:t>6</w:t>
      </w:r>
      <w:r w:rsidRPr="007C2317">
        <w:rPr>
          <w:sz w:val="18"/>
          <w:szCs w:val="18"/>
        </w:rPr>
        <w:t xml:space="preserve"> in this RIS.</w:t>
      </w:r>
    </w:p>
  </w:footnote>
  <w:footnote w:id="178">
    <w:p w14:paraId="2DB622A7" w14:textId="77777777" w:rsidR="001A6758" w:rsidRPr="00CA21D4" w:rsidRDefault="001A6758" w:rsidP="00E04C6D">
      <w:pPr>
        <w:pStyle w:val="FootnoteText"/>
        <w:rPr>
          <w:sz w:val="18"/>
          <w:szCs w:val="18"/>
        </w:rPr>
      </w:pPr>
      <w:r w:rsidRPr="00CA21D4">
        <w:rPr>
          <w:rStyle w:val="FootnoteReference"/>
          <w:sz w:val="18"/>
          <w:szCs w:val="18"/>
        </w:rPr>
        <w:footnoteRef/>
      </w:r>
      <w:r w:rsidRPr="00CA21D4">
        <w:rPr>
          <w:sz w:val="18"/>
          <w:szCs w:val="18"/>
        </w:rPr>
        <w:t xml:space="preserve"> Calculated by apportioning </w:t>
      </w:r>
      <w:r w:rsidRPr="003173D7">
        <w:rPr>
          <w:sz w:val="18"/>
          <w:szCs w:val="18"/>
        </w:rPr>
        <w:t xml:space="preserve">$10,314.27 </w:t>
      </w:r>
      <w:r w:rsidRPr="00CA21D4">
        <w:rPr>
          <w:sz w:val="18"/>
          <w:szCs w:val="18"/>
        </w:rPr>
        <w:t>by the % total annual cost in Table A1.2 of Appendix 1</w:t>
      </w:r>
    </w:p>
  </w:footnote>
  <w:footnote w:id="179">
    <w:p w14:paraId="3F5C37A9" w14:textId="77777777" w:rsidR="001A6758" w:rsidRPr="00CA21D4" w:rsidRDefault="001A6758" w:rsidP="00E04C6D">
      <w:pPr>
        <w:pStyle w:val="FootnoteText"/>
        <w:rPr>
          <w:sz w:val="18"/>
          <w:szCs w:val="18"/>
        </w:rPr>
      </w:pPr>
      <w:r w:rsidRPr="00CA21D4">
        <w:rPr>
          <w:rStyle w:val="FootnoteReference"/>
          <w:sz w:val="18"/>
          <w:szCs w:val="18"/>
        </w:rPr>
        <w:footnoteRef/>
      </w:r>
      <w:r w:rsidRPr="00CA21D4">
        <w:rPr>
          <w:sz w:val="18"/>
          <w:szCs w:val="18"/>
        </w:rPr>
        <w:t xml:space="preserve"> Calculated by apportioning </w:t>
      </w:r>
      <w:r w:rsidRPr="003173D7">
        <w:rPr>
          <w:sz w:val="18"/>
          <w:szCs w:val="18"/>
        </w:rPr>
        <w:t xml:space="preserve">$10,314.27 </w:t>
      </w:r>
      <w:r w:rsidRPr="00CA21D4">
        <w:rPr>
          <w:sz w:val="18"/>
          <w:szCs w:val="18"/>
        </w:rPr>
        <w:t>by the % total annual cost in Table A1.2 of Appendix 1</w:t>
      </w:r>
    </w:p>
  </w:footnote>
  <w:footnote w:id="180">
    <w:p w14:paraId="7EFABF18" w14:textId="6C6A9C4B" w:rsidR="001A6758" w:rsidRPr="00CA21D4" w:rsidRDefault="001A6758" w:rsidP="00E04C6D">
      <w:pPr>
        <w:pStyle w:val="FootnoteText"/>
        <w:rPr>
          <w:sz w:val="18"/>
          <w:szCs w:val="18"/>
        </w:rPr>
      </w:pPr>
      <w:r w:rsidRPr="00CA21D4">
        <w:rPr>
          <w:rStyle w:val="FootnoteReference"/>
          <w:sz w:val="18"/>
          <w:szCs w:val="18"/>
        </w:rPr>
        <w:footnoteRef/>
      </w:r>
      <w:r w:rsidRPr="00CA21D4">
        <w:rPr>
          <w:sz w:val="18"/>
          <w:szCs w:val="18"/>
        </w:rPr>
        <w:t xml:space="preserve"> Calculated by apportioning </w:t>
      </w:r>
      <w:r w:rsidRPr="009B7DE1">
        <w:rPr>
          <w:sz w:val="18"/>
          <w:szCs w:val="18"/>
        </w:rPr>
        <w:t>$13,238.77</w:t>
      </w:r>
      <w:r>
        <w:rPr>
          <w:sz w:val="18"/>
          <w:szCs w:val="18"/>
        </w:rPr>
        <w:t xml:space="preserve"> </w:t>
      </w:r>
      <w:r w:rsidRPr="00CA21D4">
        <w:rPr>
          <w:sz w:val="18"/>
          <w:szCs w:val="18"/>
        </w:rPr>
        <w:t>by the % total annual cost in Table A1.2 of Appendix 1</w:t>
      </w:r>
      <w:r>
        <w:rPr>
          <w:sz w:val="18"/>
          <w:szCs w:val="18"/>
        </w:rPr>
        <w:t>.</w:t>
      </w:r>
    </w:p>
  </w:footnote>
  <w:footnote w:id="181">
    <w:p w14:paraId="7482086E" w14:textId="18A69A3D" w:rsidR="001A6758" w:rsidRPr="00140F25" w:rsidRDefault="001A6758" w:rsidP="00E04C6D">
      <w:pPr>
        <w:pStyle w:val="FootnoteText"/>
        <w:rPr>
          <w:sz w:val="18"/>
          <w:szCs w:val="18"/>
        </w:rPr>
      </w:pPr>
      <w:r w:rsidRPr="00140F25">
        <w:rPr>
          <w:rStyle w:val="FootnoteReference"/>
          <w:sz w:val="18"/>
          <w:szCs w:val="18"/>
        </w:rPr>
        <w:footnoteRef/>
      </w:r>
      <w:r w:rsidRPr="00140F25">
        <w:rPr>
          <w:sz w:val="18"/>
          <w:szCs w:val="18"/>
        </w:rPr>
        <w:t xml:space="preserve"> This does not include one</w:t>
      </w:r>
      <w:r>
        <w:rPr>
          <w:sz w:val="18"/>
          <w:szCs w:val="18"/>
        </w:rPr>
        <w:t xml:space="preserve"> CFA</w:t>
      </w:r>
      <w:r w:rsidRPr="00140F25">
        <w:rPr>
          <w:sz w:val="18"/>
          <w:szCs w:val="18"/>
        </w:rPr>
        <w:t xml:space="preserve"> vessel dispatched to Lake </w:t>
      </w:r>
      <w:r w:rsidRPr="00152512">
        <w:rPr>
          <w:sz w:val="18"/>
          <w:szCs w:val="18"/>
        </w:rPr>
        <w:t>Eildon</w:t>
      </w:r>
      <w:r w:rsidRPr="00140F25">
        <w:rPr>
          <w:sz w:val="18"/>
          <w:szCs w:val="18"/>
        </w:rPr>
        <w:t xml:space="preserve"> which </w:t>
      </w:r>
      <w:r>
        <w:rPr>
          <w:sz w:val="18"/>
          <w:szCs w:val="18"/>
        </w:rPr>
        <w:t>is not part of CFA integrated stations.</w:t>
      </w:r>
    </w:p>
  </w:footnote>
  <w:footnote w:id="182">
    <w:p w14:paraId="3B8A68F6" w14:textId="77777777" w:rsidR="001A6758" w:rsidRPr="00310281" w:rsidRDefault="001A6758" w:rsidP="00E04C6D">
      <w:pPr>
        <w:pStyle w:val="FootnoteText"/>
      </w:pPr>
      <w:r w:rsidRPr="00310281">
        <w:rPr>
          <w:rStyle w:val="FootnoteReference"/>
          <w:sz w:val="18"/>
          <w:szCs w:val="18"/>
        </w:rPr>
        <w:footnoteRef/>
      </w:r>
      <w:r w:rsidRPr="00310281">
        <w:rPr>
          <w:sz w:val="18"/>
          <w:szCs w:val="18"/>
        </w:rPr>
        <w:t xml:space="preserve"> Data provided by CFA 06 February 2020</w:t>
      </w:r>
      <w:r>
        <w:rPr>
          <w:sz w:val="18"/>
          <w:szCs w:val="18"/>
        </w:rPr>
        <w:t>.</w:t>
      </w:r>
    </w:p>
  </w:footnote>
  <w:footnote w:id="183">
    <w:p w14:paraId="47E968BA" w14:textId="77777777" w:rsidR="001A6758" w:rsidRPr="00310281" w:rsidRDefault="001A6758" w:rsidP="00E04C6D">
      <w:pPr>
        <w:pStyle w:val="FootnoteText"/>
      </w:pPr>
      <w:r w:rsidRPr="00310281">
        <w:rPr>
          <w:rStyle w:val="FootnoteReference"/>
          <w:sz w:val="18"/>
          <w:szCs w:val="18"/>
        </w:rPr>
        <w:footnoteRef/>
      </w:r>
      <w:r w:rsidRPr="00310281">
        <w:rPr>
          <w:sz w:val="18"/>
          <w:szCs w:val="18"/>
        </w:rPr>
        <w:t xml:space="preserve"> Data provided by CFA 06 February 2020</w:t>
      </w:r>
      <w:r>
        <w:rPr>
          <w:sz w:val="18"/>
          <w:szCs w:val="18"/>
        </w:rPr>
        <w:t>.</w:t>
      </w:r>
    </w:p>
  </w:footnote>
  <w:footnote w:id="184">
    <w:p w14:paraId="60638CB9" w14:textId="77777777" w:rsidR="001A6758" w:rsidRPr="00310281" w:rsidRDefault="001A6758" w:rsidP="00E04C6D">
      <w:pPr>
        <w:pStyle w:val="FootnoteText"/>
      </w:pPr>
      <w:r w:rsidRPr="00310281">
        <w:rPr>
          <w:rStyle w:val="FootnoteReference"/>
          <w:sz w:val="18"/>
          <w:szCs w:val="18"/>
        </w:rPr>
        <w:footnoteRef/>
      </w:r>
      <w:r w:rsidRPr="00310281">
        <w:rPr>
          <w:sz w:val="18"/>
          <w:szCs w:val="18"/>
        </w:rPr>
        <w:t xml:space="preserve"> Data provided by CFA 06 February 2020</w:t>
      </w:r>
      <w:r>
        <w:rPr>
          <w:sz w:val="18"/>
          <w:szCs w:val="18"/>
        </w:rPr>
        <w:t>.</w:t>
      </w:r>
    </w:p>
  </w:footnote>
  <w:footnote w:id="185">
    <w:p w14:paraId="661A7749" w14:textId="77777777" w:rsidR="001A6758" w:rsidRPr="00234E8E" w:rsidRDefault="001A6758" w:rsidP="00E04C6D">
      <w:pPr>
        <w:pStyle w:val="FootnoteText"/>
      </w:pPr>
      <w:r w:rsidRPr="00234E8E">
        <w:rPr>
          <w:rStyle w:val="FootnoteReference"/>
          <w:sz w:val="18"/>
          <w:szCs w:val="18"/>
        </w:rPr>
        <w:footnoteRef/>
      </w:r>
      <w:r w:rsidRPr="00234E8E">
        <w:rPr>
          <w:sz w:val="18"/>
          <w:szCs w:val="18"/>
        </w:rPr>
        <w:t xml:space="preserve"> As shown in Table A1.2 the sub-total of indirect costs for MFB in 2018-19 is estimated as $93,052,980. Dividing total indirect costs for MFB in Table A1.2 by the sum of direct labour costs of $271,580,455 and direct ‘other’ appliance costs of $7,317,208 provides an overhead loading of 33</w:t>
      </w:r>
      <w:r>
        <w:rPr>
          <w:sz w:val="18"/>
          <w:szCs w:val="18"/>
        </w:rPr>
        <w:t>.36</w:t>
      </w:r>
      <w:r w:rsidRPr="00234E8E">
        <w:rPr>
          <w:sz w:val="18"/>
          <w:szCs w:val="18"/>
        </w:rPr>
        <w:t>%</w:t>
      </w:r>
      <w:r>
        <w:rPr>
          <w:sz w:val="18"/>
          <w:szCs w:val="18"/>
        </w:rPr>
        <w:t>.</w:t>
      </w:r>
    </w:p>
  </w:footnote>
  <w:footnote w:id="186">
    <w:p w14:paraId="205F22CF" w14:textId="77777777" w:rsidR="001A6758" w:rsidRPr="00D86B72" w:rsidRDefault="001A6758" w:rsidP="00E04C6D">
      <w:pPr>
        <w:pStyle w:val="FootnoteText"/>
        <w:rPr>
          <w:sz w:val="18"/>
          <w:szCs w:val="18"/>
        </w:rPr>
      </w:pPr>
      <w:r w:rsidRPr="00D86B72">
        <w:rPr>
          <w:rStyle w:val="FootnoteReference"/>
          <w:sz w:val="18"/>
          <w:szCs w:val="18"/>
        </w:rPr>
        <w:footnoteRef/>
      </w:r>
      <w:r w:rsidRPr="00D86B72">
        <w:rPr>
          <w:sz w:val="18"/>
          <w:szCs w:val="18"/>
        </w:rPr>
        <w:t xml:space="preserve"> Data provided by CFA 06 February 2020.</w:t>
      </w:r>
    </w:p>
  </w:footnote>
  <w:footnote w:id="187">
    <w:p w14:paraId="7CC71944" w14:textId="77777777" w:rsidR="001A6758" w:rsidRPr="00706F1A" w:rsidRDefault="001A6758" w:rsidP="00E04C6D">
      <w:pPr>
        <w:pStyle w:val="FootnoteText"/>
        <w:rPr>
          <w:sz w:val="18"/>
          <w:szCs w:val="18"/>
        </w:rPr>
      </w:pPr>
      <w:r w:rsidRPr="00706F1A">
        <w:rPr>
          <w:rStyle w:val="FootnoteReference"/>
          <w:sz w:val="18"/>
          <w:szCs w:val="18"/>
        </w:rPr>
        <w:footnoteRef/>
      </w:r>
      <w:r w:rsidRPr="00706F1A">
        <w:rPr>
          <w:sz w:val="18"/>
          <w:szCs w:val="18"/>
        </w:rPr>
        <w:t xml:space="preserve"> At protected premises</w:t>
      </w:r>
      <w:r>
        <w:rPr>
          <w:sz w:val="18"/>
          <w:szCs w:val="18"/>
        </w:rPr>
        <w:t>.</w:t>
      </w:r>
    </w:p>
  </w:footnote>
  <w:footnote w:id="188">
    <w:p w14:paraId="7D213D23" w14:textId="77777777" w:rsidR="001A6758" w:rsidRPr="00310281" w:rsidRDefault="001A6758" w:rsidP="00E04C6D">
      <w:pPr>
        <w:pStyle w:val="FootnoteText"/>
      </w:pPr>
      <w:r w:rsidRPr="00310281">
        <w:rPr>
          <w:rStyle w:val="FootnoteReference"/>
          <w:sz w:val="18"/>
          <w:szCs w:val="18"/>
        </w:rPr>
        <w:footnoteRef/>
      </w:r>
      <w:r w:rsidRPr="00310281">
        <w:rPr>
          <w:sz w:val="18"/>
          <w:szCs w:val="18"/>
        </w:rPr>
        <w:t xml:space="preserve"> Data provided by CFA 06 February 2020</w:t>
      </w:r>
      <w:r>
        <w:rPr>
          <w:sz w:val="18"/>
          <w:szCs w:val="18"/>
        </w:rPr>
        <w:t>.</w:t>
      </w:r>
    </w:p>
  </w:footnote>
  <w:footnote w:id="189">
    <w:p w14:paraId="7F33563B" w14:textId="7E4FB592" w:rsidR="001A6758" w:rsidRPr="009A3C8B" w:rsidRDefault="001A6758" w:rsidP="00E04C6D">
      <w:pPr>
        <w:pStyle w:val="FootnoteText"/>
        <w:rPr>
          <w:sz w:val="18"/>
          <w:szCs w:val="18"/>
        </w:rPr>
      </w:pPr>
      <w:r w:rsidRPr="003F215B">
        <w:rPr>
          <w:rStyle w:val="FootnoteReference"/>
          <w:sz w:val="18"/>
          <w:szCs w:val="18"/>
        </w:rPr>
        <w:footnoteRef/>
      </w:r>
      <w:r w:rsidRPr="003F215B">
        <w:rPr>
          <w:sz w:val="18"/>
          <w:szCs w:val="18"/>
        </w:rPr>
        <w:t xml:space="preserve"> Estimated as the 3,751 average annual hours spent by appliances on false alarm attendances at protected premises (see Table 7 of this RIS) as a proportion of</w:t>
      </w:r>
      <w:r w:rsidRPr="003F215B">
        <w:t xml:space="preserve"> </w:t>
      </w:r>
      <w:r w:rsidRPr="003F215B">
        <w:rPr>
          <w:sz w:val="18"/>
          <w:szCs w:val="18"/>
        </w:rPr>
        <w:t>2,825 call outs for false alarms at protected premises (see Table 7 of this RIS) – between 2015-16 and 2018-19.</w:t>
      </w:r>
    </w:p>
  </w:footnote>
  <w:footnote w:id="190">
    <w:p w14:paraId="6F8012A3" w14:textId="77777777" w:rsidR="001A6758" w:rsidRPr="00006349" w:rsidRDefault="001A6758" w:rsidP="00E04C6D">
      <w:pPr>
        <w:pStyle w:val="FootnoteText"/>
      </w:pPr>
      <w:r w:rsidRPr="00006349">
        <w:rPr>
          <w:rStyle w:val="FootnoteReference"/>
          <w:sz w:val="18"/>
          <w:szCs w:val="18"/>
        </w:rPr>
        <w:footnoteRef/>
      </w:r>
      <w:r w:rsidRPr="00006349">
        <w:rPr>
          <w:sz w:val="18"/>
          <w:szCs w:val="18"/>
        </w:rPr>
        <w:t xml:space="preserve"> See Table A1.5 for source of estimate.</w:t>
      </w:r>
    </w:p>
  </w:footnote>
  <w:footnote w:id="191">
    <w:p w14:paraId="1F57E523" w14:textId="77777777" w:rsidR="001A6758" w:rsidRPr="00006349" w:rsidRDefault="001A6758" w:rsidP="00E04C6D">
      <w:pPr>
        <w:pStyle w:val="FootnoteText"/>
      </w:pPr>
      <w:r w:rsidRPr="00006349">
        <w:rPr>
          <w:rStyle w:val="FootnoteReference"/>
          <w:sz w:val="18"/>
          <w:szCs w:val="18"/>
        </w:rPr>
        <w:footnoteRef/>
      </w:r>
      <w:r w:rsidRPr="00006349">
        <w:rPr>
          <w:sz w:val="18"/>
          <w:szCs w:val="18"/>
        </w:rPr>
        <w:t xml:space="preserve"> See Table A2.7 for source of estimate.</w:t>
      </w:r>
    </w:p>
  </w:footnote>
  <w:footnote w:id="192">
    <w:p w14:paraId="09FE352D" w14:textId="77777777" w:rsidR="001A6758" w:rsidRPr="00953129" w:rsidRDefault="001A6758" w:rsidP="00E04C6D">
      <w:pPr>
        <w:pStyle w:val="FootnoteText"/>
      </w:pPr>
      <w:r w:rsidRPr="00953129">
        <w:rPr>
          <w:rStyle w:val="FootnoteReference"/>
          <w:sz w:val="18"/>
          <w:szCs w:val="18"/>
        </w:rPr>
        <w:footnoteRef/>
      </w:r>
      <w:r w:rsidRPr="00953129">
        <w:rPr>
          <w:sz w:val="18"/>
          <w:szCs w:val="18"/>
        </w:rPr>
        <w:t xml:space="preserve"> Adjustment made to $4,550,000 annual report figure by MFB to account for non-invoiced false alarm charges due to protected action</w:t>
      </w:r>
      <w:r>
        <w:rPr>
          <w:sz w:val="18"/>
          <w:szCs w:val="18"/>
        </w:rPr>
        <w:t>.</w:t>
      </w:r>
    </w:p>
  </w:footnote>
  <w:footnote w:id="193">
    <w:p w14:paraId="784AC16E" w14:textId="77777777" w:rsidR="001A6758" w:rsidRPr="00953129" w:rsidRDefault="001A6758" w:rsidP="00E04C6D">
      <w:pPr>
        <w:pStyle w:val="FootnoteText"/>
      </w:pPr>
      <w:r w:rsidRPr="00953129">
        <w:rPr>
          <w:rStyle w:val="FootnoteReference"/>
          <w:sz w:val="18"/>
          <w:szCs w:val="18"/>
        </w:rPr>
        <w:footnoteRef/>
      </w:r>
      <w:r w:rsidRPr="00953129">
        <w:rPr>
          <w:sz w:val="18"/>
          <w:szCs w:val="18"/>
        </w:rPr>
        <w:t xml:space="preserve"> Estimate only to account for non-invoiced false alarm charges due to protected action</w:t>
      </w:r>
      <w:r>
        <w:rPr>
          <w:sz w:val="18"/>
          <w:szCs w:val="18"/>
        </w:rPr>
        <w:t xml:space="preserve"> and based on an average 4.52% growth rate</w:t>
      </w:r>
      <w:r w:rsidRPr="00953129">
        <w:rPr>
          <w:sz w:val="18"/>
          <w:szCs w:val="18"/>
        </w:rPr>
        <w:t xml:space="preserve"> </w:t>
      </w:r>
      <w:r>
        <w:rPr>
          <w:sz w:val="18"/>
          <w:szCs w:val="18"/>
        </w:rPr>
        <w:t>between 2005-06- and 2015-16 of quarterly hour transactions (see last column in Table A3.1)</w:t>
      </w:r>
      <w:r w:rsidRPr="00953129">
        <w:rPr>
          <w:sz w:val="18"/>
          <w:szCs w:val="18"/>
        </w:rPr>
        <w:t>.</w:t>
      </w:r>
    </w:p>
  </w:footnote>
  <w:footnote w:id="194">
    <w:p w14:paraId="66EBA11B" w14:textId="77777777" w:rsidR="001A6758" w:rsidRPr="00225CCF" w:rsidRDefault="001A6758" w:rsidP="00E04C6D">
      <w:pPr>
        <w:pStyle w:val="FootnoteText"/>
        <w:rPr>
          <w:sz w:val="18"/>
          <w:szCs w:val="18"/>
        </w:rPr>
      </w:pPr>
      <w:r w:rsidRPr="00225CCF">
        <w:rPr>
          <w:rStyle w:val="FootnoteReference"/>
          <w:sz w:val="18"/>
          <w:szCs w:val="18"/>
        </w:rPr>
        <w:footnoteRef/>
      </w:r>
      <w:r w:rsidRPr="00225CCF">
        <w:rPr>
          <w:sz w:val="18"/>
          <w:szCs w:val="18"/>
        </w:rPr>
        <w:t xml:space="preserve"> Data provided by CFA 06 February 2020.</w:t>
      </w:r>
    </w:p>
  </w:footnote>
  <w:footnote w:id="195">
    <w:p w14:paraId="7890644B" w14:textId="77777777" w:rsidR="001A6758" w:rsidRPr="006D7731" w:rsidRDefault="001A6758" w:rsidP="00E04C6D">
      <w:pPr>
        <w:pStyle w:val="FootnoteText"/>
        <w:rPr>
          <w:sz w:val="18"/>
          <w:szCs w:val="18"/>
        </w:rPr>
      </w:pPr>
      <w:r w:rsidRPr="006D7731">
        <w:rPr>
          <w:rStyle w:val="FootnoteReference"/>
          <w:sz w:val="18"/>
          <w:szCs w:val="18"/>
        </w:rPr>
        <w:footnoteRef/>
      </w:r>
      <w:r w:rsidRPr="006D7731">
        <w:rPr>
          <w:sz w:val="18"/>
          <w:szCs w:val="18"/>
        </w:rPr>
        <w:t xml:space="preserve"> See column (x) of Table A3.2 for source of data.</w:t>
      </w:r>
    </w:p>
  </w:footnote>
  <w:footnote w:id="196">
    <w:p w14:paraId="56648921" w14:textId="3D92E942" w:rsidR="001A6758" w:rsidRPr="002D1C0A" w:rsidRDefault="001A6758" w:rsidP="00E04C6D">
      <w:pPr>
        <w:pStyle w:val="FootnoteText"/>
        <w:rPr>
          <w:sz w:val="18"/>
          <w:szCs w:val="18"/>
        </w:rPr>
      </w:pPr>
      <w:r w:rsidRPr="002D1C0A">
        <w:rPr>
          <w:rStyle w:val="FootnoteReference"/>
          <w:sz w:val="18"/>
          <w:szCs w:val="18"/>
        </w:rPr>
        <w:footnoteRef/>
      </w:r>
      <w:r w:rsidRPr="002D1C0A">
        <w:rPr>
          <w:sz w:val="18"/>
          <w:szCs w:val="18"/>
        </w:rPr>
        <w:t xml:space="preserve"> One-off increase was an anomaly on advice from </w:t>
      </w:r>
      <w:r>
        <w:rPr>
          <w:sz w:val="18"/>
          <w:szCs w:val="18"/>
        </w:rPr>
        <w:t>CFA</w:t>
      </w:r>
      <w:r w:rsidRPr="002D1C0A">
        <w:rPr>
          <w:sz w:val="18"/>
          <w:szCs w:val="18"/>
        </w:rPr>
        <w:t xml:space="preserve"> and therefore not included in annual growth rate</w:t>
      </w:r>
      <w:r>
        <w:rPr>
          <w:sz w:val="18"/>
          <w:szCs w:val="18"/>
        </w:rPr>
        <w:t>.</w:t>
      </w:r>
    </w:p>
  </w:footnote>
  <w:footnote w:id="197">
    <w:p w14:paraId="69EDA8CD" w14:textId="77777777" w:rsidR="001A6758" w:rsidRPr="00006349" w:rsidRDefault="001A6758" w:rsidP="00E04C6D">
      <w:pPr>
        <w:pStyle w:val="FootnoteText"/>
      </w:pPr>
      <w:r w:rsidRPr="00006349">
        <w:rPr>
          <w:rStyle w:val="FootnoteReference"/>
          <w:sz w:val="18"/>
          <w:szCs w:val="18"/>
        </w:rPr>
        <w:footnoteRef/>
      </w:r>
      <w:r w:rsidRPr="00006349">
        <w:rPr>
          <w:sz w:val="18"/>
          <w:szCs w:val="18"/>
        </w:rPr>
        <w:t xml:space="preserve"> See Table A1.5 for source of estimate.</w:t>
      </w:r>
    </w:p>
  </w:footnote>
  <w:footnote w:id="198">
    <w:p w14:paraId="5D71BD4D" w14:textId="77777777" w:rsidR="001A6758" w:rsidRPr="00006349" w:rsidRDefault="001A6758" w:rsidP="00E04C6D">
      <w:pPr>
        <w:pStyle w:val="FootnoteText"/>
      </w:pPr>
      <w:r w:rsidRPr="00006349">
        <w:rPr>
          <w:rStyle w:val="FootnoteReference"/>
          <w:sz w:val="18"/>
          <w:szCs w:val="18"/>
        </w:rPr>
        <w:footnoteRef/>
      </w:r>
      <w:r w:rsidRPr="00006349">
        <w:rPr>
          <w:sz w:val="18"/>
          <w:szCs w:val="18"/>
        </w:rPr>
        <w:t xml:space="preserve"> See Table A2.7 for source of estimate.</w:t>
      </w:r>
    </w:p>
  </w:footnote>
  <w:footnote w:id="199">
    <w:p w14:paraId="6F782456" w14:textId="78855E4C" w:rsidR="001A6758" w:rsidRPr="002E46A5" w:rsidRDefault="001A6758" w:rsidP="00E04C6D">
      <w:pPr>
        <w:pStyle w:val="FootnoteText"/>
        <w:rPr>
          <w:sz w:val="18"/>
          <w:szCs w:val="18"/>
        </w:rPr>
      </w:pPr>
      <w:r w:rsidRPr="002E46A5">
        <w:rPr>
          <w:rStyle w:val="FootnoteReference"/>
          <w:sz w:val="18"/>
          <w:szCs w:val="18"/>
        </w:rPr>
        <w:footnoteRef/>
      </w:r>
      <w:r>
        <w:rPr>
          <w:sz w:val="18"/>
          <w:szCs w:val="18"/>
        </w:rPr>
        <w:t xml:space="preserve"> See Section A1.4 of Appendix 1 for source of estimate.</w:t>
      </w:r>
    </w:p>
  </w:footnote>
  <w:footnote w:id="200">
    <w:p w14:paraId="6F16F0A0" w14:textId="61A0BD96" w:rsidR="001A6758" w:rsidRPr="00303273" w:rsidRDefault="001A6758" w:rsidP="00E04C6D">
      <w:pPr>
        <w:pStyle w:val="FootnoteText"/>
        <w:rPr>
          <w:sz w:val="18"/>
          <w:szCs w:val="18"/>
        </w:rPr>
      </w:pPr>
      <w:r w:rsidRPr="00303273">
        <w:rPr>
          <w:rStyle w:val="FootnoteReference"/>
          <w:sz w:val="18"/>
          <w:szCs w:val="18"/>
        </w:rPr>
        <w:footnoteRef/>
      </w:r>
      <w:r w:rsidRPr="00303273">
        <w:rPr>
          <w:sz w:val="18"/>
          <w:szCs w:val="18"/>
        </w:rPr>
        <w:t xml:space="preserve"> </w:t>
      </w:r>
      <w:r>
        <w:rPr>
          <w:sz w:val="18"/>
          <w:szCs w:val="18"/>
        </w:rPr>
        <w:t>See Section A2.5 of Appendix 2 for source of estimate.</w:t>
      </w:r>
    </w:p>
  </w:footnote>
  <w:footnote w:id="201">
    <w:p w14:paraId="5E1A0DDA" w14:textId="77777777" w:rsidR="001A6758" w:rsidRPr="00B92F76" w:rsidRDefault="001A6758" w:rsidP="00E04C6D">
      <w:pPr>
        <w:pStyle w:val="FootnoteText"/>
        <w:rPr>
          <w:sz w:val="18"/>
          <w:szCs w:val="18"/>
        </w:rPr>
      </w:pPr>
      <w:r w:rsidRPr="00B92F76">
        <w:rPr>
          <w:rStyle w:val="FootnoteReference"/>
          <w:sz w:val="18"/>
          <w:szCs w:val="18"/>
        </w:rPr>
        <w:footnoteRef/>
      </w:r>
      <w:r w:rsidRPr="00B92F76">
        <w:rPr>
          <w:sz w:val="18"/>
          <w:szCs w:val="18"/>
        </w:rPr>
        <w:t xml:space="preserve"> Based on previous advice from MFB.</w:t>
      </w:r>
    </w:p>
  </w:footnote>
  <w:footnote w:id="202">
    <w:p w14:paraId="28925B68" w14:textId="77777777" w:rsidR="001A6758" w:rsidRPr="009A3C8B" w:rsidRDefault="001A6758" w:rsidP="00E04C6D">
      <w:pPr>
        <w:pStyle w:val="FootnoteText"/>
        <w:rPr>
          <w:sz w:val="20"/>
          <w:szCs w:val="20"/>
        </w:rPr>
      </w:pPr>
      <w:r w:rsidRPr="004C7D7D">
        <w:rPr>
          <w:rStyle w:val="FootnoteReference"/>
          <w:sz w:val="18"/>
          <w:szCs w:val="18"/>
        </w:rPr>
        <w:footnoteRef/>
      </w:r>
      <w:r w:rsidRPr="004C7D7D">
        <w:rPr>
          <w:sz w:val="18"/>
          <w:szCs w:val="18"/>
        </w:rPr>
        <w:t xml:space="preserve"> Calculated using a 4% real discount rate.</w:t>
      </w:r>
    </w:p>
  </w:footnote>
  <w:footnote w:id="203">
    <w:p w14:paraId="11C97E40" w14:textId="04049E4D" w:rsidR="001A6758" w:rsidRPr="009A3C8B" w:rsidRDefault="001A6758" w:rsidP="00E04C6D">
      <w:pPr>
        <w:pStyle w:val="FootnoteText"/>
        <w:rPr>
          <w:sz w:val="18"/>
          <w:szCs w:val="18"/>
        </w:rPr>
      </w:pPr>
      <w:r w:rsidRPr="009A3C8B">
        <w:rPr>
          <w:rStyle w:val="FootnoteReference"/>
          <w:sz w:val="18"/>
          <w:szCs w:val="18"/>
        </w:rPr>
        <w:footnoteRef/>
      </w:r>
      <w:r w:rsidRPr="009A3C8B">
        <w:rPr>
          <w:sz w:val="18"/>
          <w:szCs w:val="18"/>
        </w:rPr>
        <w:t xml:space="preserve"> </w:t>
      </w:r>
      <w:r w:rsidRPr="004C7D7D">
        <w:rPr>
          <w:sz w:val="18"/>
          <w:szCs w:val="18"/>
        </w:rPr>
        <w:t>$57,037,000</w:t>
      </w:r>
      <w:r>
        <w:rPr>
          <w:sz w:val="18"/>
          <w:szCs w:val="18"/>
        </w:rPr>
        <w:t xml:space="preserve"> in 2020-21 (see Table A3.6) </w:t>
      </w:r>
      <w:r w:rsidRPr="009A3C8B">
        <w:rPr>
          <w:sz w:val="18"/>
          <w:szCs w:val="18"/>
        </w:rPr>
        <w:t xml:space="preserve">as a proportion of </w:t>
      </w:r>
      <w:r w:rsidRPr="004C7D7D">
        <w:rPr>
          <w:sz w:val="18"/>
          <w:szCs w:val="18"/>
        </w:rPr>
        <w:t>$123,762,646</w:t>
      </w:r>
      <w:r>
        <w:rPr>
          <w:sz w:val="18"/>
          <w:szCs w:val="18"/>
        </w:rPr>
        <w:t xml:space="preserve"> in 2018-19 (see Section A3.2.1 of Appendix 3 for source of estimate).</w:t>
      </w:r>
    </w:p>
  </w:footnote>
  <w:footnote w:id="204">
    <w:p w14:paraId="629CFE17" w14:textId="480B6C8E" w:rsidR="001A6758" w:rsidRPr="00457730" w:rsidRDefault="001A6758" w:rsidP="009B61CC">
      <w:pPr>
        <w:pStyle w:val="FootnoteText"/>
        <w:rPr>
          <w:sz w:val="18"/>
          <w:szCs w:val="18"/>
        </w:rPr>
      </w:pPr>
      <w:r w:rsidRPr="00457730">
        <w:rPr>
          <w:rStyle w:val="FootnoteReference"/>
          <w:sz w:val="18"/>
          <w:szCs w:val="18"/>
        </w:rPr>
        <w:footnoteRef/>
      </w:r>
      <w:r>
        <w:rPr>
          <w:sz w:val="18"/>
          <w:szCs w:val="18"/>
        </w:rPr>
        <w:t xml:space="preserve"> Estimated as weighted appliance hours per false alarm attendance (1.28 appliance hours for MFB x 92.15% of total quarterly hour transactions + 1.32 appliance hours for CFA integrated stations x 7.85% of total quarterly hour transactions.</w:t>
      </w:r>
    </w:p>
  </w:footnote>
  <w:footnote w:id="205">
    <w:p w14:paraId="3BCCA454" w14:textId="0ACEC490" w:rsidR="001A6758" w:rsidRPr="00457730" w:rsidRDefault="001A6758" w:rsidP="009B61CC">
      <w:pPr>
        <w:pStyle w:val="FootnoteText"/>
        <w:rPr>
          <w:sz w:val="18"/>
          <w:szCs w:val="18"/>
        </w:rPr>
      </w:pPr>
      <w:r w:rsidRPr="00457730">
        <w:rPr>
          <w:rStyle w:val="FootnoteReference"/>
          <w:sz w:val="18"/>
          <w:szCs w:val="18"/>
        </w:rPr>
        <w:footnoteRef/>
      </w:r>
      <w:r>
        <w:rPr>
          <w:sz w:val="18"/>
          <w:szCs w:val="18"/>
        </w:rPr>
        <w:t xml:space="preserve"> </w:t>
      </w:r>
      <w:r w:rsidRPr="002A31D2">
        <w:rPr>
          <w:sz w:val="18"/>
          <w:szCs w:val="18"/>
        </w:rPr>
        <w:t>$13,292,300</w:t>
      </w:r>
      <w:r>
        <w:rPr>
          <w:sz w:val="18"/>
          <w:szCs w:val="18"/>
        </w:rPr>
        <w:t xml:space="preserve"> in 2020-21 (see Table A3.7) </w:t>
      </w:r>
      <w:r w:rsidRPr="00457730">
        <w:rPr>
          <w:sz w:val="18"/>
          <w:szCs w:val="18"/>
        </w:rPr>
        <w:t xml:space="preserve">as a proportion of </w:t>
      </w:r>
      <w:r w:rsidRPr="004C7D7D">
        <w:rPr>
          <w:sz w:val="18"/>
          <w:szCs w:val="18"/>
        </w:rPr>
        <w:t>$123,762,646</w:t>
      </w:r>
      <w:r>
        <w:rPr>
          <w:sz w:val="18"/>
          <w:szCs w:val="18"/>
        </w:rPr>
        <w:t xml:space="preserve"> in 2018-19 (see Section A3.2.1 of Appendix 3 for source of estimate).</w:t>
      </w:r>
    </w:p>
  </w:footnote>
  <w:footnote w:id="206">
    <w:p w14:paraId="34C8FA8A" w14:textId="77777777" w:rsidR="001A6758" w:rsidRPr="009A3C8B" w:rsidRDefault="001A6758" w:rsidP="009B61CC">
      <w:pPr>
        <w:pStyle w:val="FootnoteText"/>
        <w:rPr>
          <w:sz w:val="20"/>
          <w:szCs w:val="20"/>
        </w:rPr>
      </w:pPr>
      <w:r w:rsidRPr="004C7D7D">
        <w:rPr>
          <w:rStyle w:val="FootnoteReference"/>
          <w:sz w:val="18"/>
          <w:szCs w:val="18"/>
        </w:rPr>
        <w:footnoteRef/>
      </w:r>
      <w:r w:rsidRPr="004C7D7D">
        <w:rPr>
          <w:sz w:val="18"/>
          <w:szCs w:val="18"/>
        </w:rPr>
        <w:t xml:space="preserve"> Calculated using a 4% real discount rate.</w:t>
      </w:r>
    </w:p>
  </w:footnote>
  <w:footnote w:id="207">
    <w:p w14:paraId="5F7B7BD5" w14:textId="79506CC8" w:rsidR="001A6758" w:rsidRPr="00457730" w:rsidRDefault="001A6758" w:rsidP="0080697C">
      <w:pPr>
        <w:pStyle w:val="FootnoteText"/>
        <w:rPr>
          <w:sz w:val="18"/>
          <w:szCs w:val="18"/>
        </w:rPr>
      </w:pPr>
      <w:r w:rsidRPr="00457730">
        <w:rPr>
          <w:rStyle w:val="FootnoteReference"/>
          <w:sz w:val="18"/>
          <w:szCs w:val="18"/>
        </w:rPr>
        <w:footnoteRef/>
      </w:r>
      <w:r>
        <w:rPr>
          <w:sz w:val="18"/>
          <w:szCs w:val="18"/>
        </w:rPr>
        <w:t xml:space="preserve"> Estimated as weighted appliance hours per false alarm attendance (1.28 appliance hours per attendance for MFB x 92.15% of total quarterly hour transactions + 1.32 appliance hours per attendance for CFA integrated stations x 7.85% of total quarterly hour transactions (see Table A3.4).</w:t>
      </w:r>
    </w:p>
  </w:footnote>
  <w:footnote w:id="208">
    <w:p w14:paraId="268B2C8A" w14:textId="0E9D2C1F" w:rsidR="001A6758" w:rsidRPr="001543A3" w:rsidRDefault="001A6758" w:rsidP="00645946">
      <w:pPr>
        <w:pStyle w:val="FootnoteText"/>
        <w:rPr>
          <w:sz w:val="18"/>
          <w:szCs w:val="18"/>
        </w:rPr>
      </w:pPr>
      <w:r w:rsidRPr="00C03A8F">
        <w:rPr>
          <w:rStyle w:val="FootnoteReference"/>
          <w:sz w:val="18"/>
          <w:szCs w:val="18"/>
        </w:rPr>
        <w:footnoteRef/>
      </w:r>
      <w:r w:rsidRPr="00C03A8F">
        <w:rPr>
          <w:sz w:val="18"/>
          <w:szCs w:val="18"/>
        </w:rPr>
        <w:t xml:space="preserve"> </w:t>
      </w:r>
      <w:r>
        <w:rPr>
          <w:sz w:val="18"/>
          <w:szCs w:val="18"/>
        </w:rPr>
        <w:t>It is noted the increasing the quarterly hour rate from the current fee of $578.48 to the full cost recovery level of $2,510.29 under Option 1 (an increase of 318.38%) results in a 10% reduction in the growth rate of transactions based on advice from MFB.  Reducing the quarterly hour rate from the current fee of $578.48 under Option 2 to the partial cost recovery level of $310.88 under Option 3 (a drop by 48.19%) is estimated to increase the growth rate of transactions by around 0.7% (i.e. 318.38%</w:t>
      </w:r>
      <w:proofErr w:type="gramStart"/>
      <w:r>
        <w:rPr>
          <w:sz w:val="18"/>
          <w:szCs w:val="18"/>
        </w:rPr>
        <w:t>/(</w:t>
      </w:r>
      <w:proofErr w:type="gramEnd"/>
      <w:r>
        <w:rPr>
          <w:sz w:val="18"/>
          <w:szCs w:val="18"/>
        </w:rPr>
        <w:t>48.19% x 10%) = 0.66%).</w:t>
      </w:r>
    </w:p>
  </w:footnote>
  <w:footnote w:id="209">
    <w:p w14:paraId="320C13ED" w14:textId="65817790" w:rsidR="001A6758" w:rsidRPr="009917B8" w:rsidRDefault="001A6758">
      <w:pPr>
        <w:pStyle w:val="FootnoteText"/>
        <w:rPr>
          <w:sz w:val="18"/>
          <w:szCs w:val="18"/>
          <w:lang w:val="en-GB"/>
        </w:rPr>
      </w:pPr>
      <w:r w:rsidRPr="009917B8">
        <w:rPr>
          <w:rStyle w:val="FootnoteReference"/>
          <w:sz w:val="18"/>
          <w:szCs w:val="18"/>
        </w:rPr>
        <w:footnoteRef/>
      </w:r>
      <w:r w:rsidRPr="009917B8">
        <w:rPr>
          <w:sz w:val="18"/>
          <w:szCs w:val="18"/>
        </w:rPr>
        <w:t xml:space="preserve"> </w:t>
      </w:r>
      <w:r w:rsidRPr="009917B8">
        <w:rPr>
          <w:sz w:val="18"/>
          <w:szCs w:val="18"/>
          <w:lang w:val="en-GB"/>
        </w:rPr>
        <w:t>Data supplied by MFB</w:t>
      </w:r>
    </w:p>
  </w:footnote>
  <w:footnote w:id="210">
    <w:p w14:paraId="268E12E4" w14:textId="5C5D1F93" w:rsidR="001A6758" w:rsidRPr="009917B8" w:rsidRDefault="001A6758">
      <w:pPr>
        <w:pStyle w:val="FootnoteText"/>
        <w:rPr>
          <w:lang w:val="en-GB"/>
        </w:rPr>
      </w:pPr>
      <w:r w:rsidRPr="009917B8">
        <w:rPr>
          <w:rStyle w:val="FootnoteReference"/>
          <w:sz w:val="18"/>
          <w:szCs w:val="18"/>
        </w:rPr>
        <w:footnoteRef/>
      </w:r>
      <w:r w:rsidRPr="009917B8">
        <w:rPr>
          <w:sz w:val="18"/>
          <w:szCs w:val="18"/>
        </w:rPr>
        <w:t xml:space="preserve"> Data supplied by MFB</w:t>
      </w:r>
    </w:p>
  </w:footnote>
  <w:footnote w:id="211">
    <w:p w14:paraId="7BC54942" w14:textId="3EB2502B" w:rsidR="001A6758" w:rsidRPr="00457730" w:rsidRDefault="001A6758" w:rsidP="00E04C6D">
      <w:pPr>
        <w:pStyle w:val="FootnoteText"/>
        <w:rPr>
          <w:sz w:val="18"/>
          <w:szCs w:val="18"/>
        </w:rPr>
      </w:pPr>
      <w:r w:rsidRPr="00457730">
        <w:rPr>
          <w:rStyle w:val="FootnoteReference"/>
          <w:sz w:val="18"/>
          <w:szCs w:val="18"/>
        </w:rPr>
        <w:footnoteRef/>
      </w:r>
      <w:r>
        <w:rPr>
          <w:sz w:val="18"/>
          <w:szCs w:val="18"/>
        </w:rPr>
        <w:t xml:space="preserve"> </w:t>
      </w:r>
      <w:r w:rsidRPr="00E56FD2">
        <w:rPr>
          <w:sz w:val="18"/>
          <w:szCs w:val="18"/>
        </w:rPr>
        <w:t>$7,14</w:t>
      </w:r>
      <w:r>
        <w:rPr>
          <w:sz w:val="18"/>
          <w:szCs w:val="18"/>
        </w:rPr>
        <w:t xml:space="preserve">6,165 in 2020-21 (see Table A3.10) </w:t>
      </w:r>
      <w:r w:rsidRPr="00457730">
        <w:rPr>
          <w:sz w:val="18"/>
          <w:szCs w:val="18"/>
        </w:rPr>
        <w:t xml:space="preserve">as a proportion of </w:t>
      </w:r>
      <w:r w:rsidRPr="004C7D7D">
        <w:rPr>
          <w:sz w:val="18"/>
          <w:szCs w:val="18"/>
        </w:rPr>
        <w:t>$123,762,646</w:t>
      </w:r>
      <w:r>
        <w:rPr>
          <w:sz w:val="18"/>
          <w:szCs w:val="18"/>
        </w:rPr>
        <w:t xml:space="preserve"> in 2018-19 (see Section A3.2.1 of Appendix 3 for source of estimate).</w:t>
      </w:r>
    </w:p>
  </w:footnote>
  <w:footnote w:id="212">
    <w:p w14:paraId="5A985BB1" w14:textId="77777777" w:rsidR="001A6758" w:rsidRPr="009A3C8B" w:rsidRDefault="001A6758" w:rsidP="002533EE">
      <w:pPr>
        <w:pStyle w:val="FootnoteText"/>
        <w:rPr>
          <w:sz w:val="20"/>
          <w:szCs w:val="20"/>
        </w:rPr>
      </w:pPr>
      <w:r w:rsidRPr="004C7D7D">
        <w:rPr>
          <w:rStyle w:val="FootnoteReference"/>
          <w:sz w:val="18"/>
          <w:szCs w:val="18"/>
        </w:rPr>
        <w:footnoteRef/>
      </w:r>
      <w:r w:rsidRPr="004C7D7D">
        <w:rPr>
          <w:sz w:val="18"/>
          <w:szCs w:val="18"/>
        </w:rPr>
        <w:t xml:space="preserve"> Calculated using a 4% real discount rate.</w:t>
      </w:r>
    </w:p>
  </w:footnote>
  <w:footnote w:id="213">
    <w:p w14:paraId="220272BD" w14:textId="77777777" w:rsidR="001A6758" w:rsidRPr="009A3C8B" w:rsidRDefault="001A6758" w:rsidP="00E04C6D">
      <w:pPr>
        <w:pStyle w:val="FootnoteText"/>
        <w:rPr>
          <w:sz w:val="18"/>
          <w:szCs w:val="18"/>
        </w:rPr>
      </w:pPr>
      <w:r w:rsidRPr="009A3C8B">
        <w:rPr>
          <w:rStyle w:val="FootnoteReference"/>
          <w:sz w:val="18"/>
          <w:szCs w:val="18"/>
        </w:rPr>
        <w:footnoteRef/>
      </w:r>
      <w:r w:rsidRPr="009A3C8B">
        <w:rPr>
          <w:sz w:val="18"/>
          <w:szCs w:val="18"/>
        </w:rPr>
        <w:t xml:space="preserve"> See Table A</w:t>
      </w:r>
      <w:r>
        <w:rPr>
          <w:sz w:val="18"/>
          <w:szCs w:val="18"/>
        </w:rPr>
        <w:t>3</w:t>
      </w:r>
      <w:r w:rsidRPr="009A3C8B">
        <w:rPr>
          <w:sz w:val="18"/>
          <w:szCs w:val="18"/>
        </w:rPr>
        <w:t xml:space="preserve">.5 of Appendix </w:t>
      </w:r>
      <w:r>
        <w:rPr>
          <w:sz w:val="18"/>
          <w:szCs w:val="18"/>
        </w:rPr>
        <w:t>3</w:t>
      </w:r>
      <w:r w:rsidRPr="009A3C8B">
        <w:rPr>
          <w:sz w:val="18"/>
          <w:szCs w:val="18"/>
        </w:rPr>
        <w:t xml:space="preserve"> for source of estimate.</w:t>
      </w:r>
    </w:p>
  </w:footnote>
  <w:footnote w:id="214">
    <w:p w14:paraId="27C0EED8" w14:textId="1DF3CFE3" w:rsidR="001A6758" w:rsidRPr="00421664" w:rsidRDefault="001A6758">
      <w:pPr>
        <w:pStyle w:val="FootnoteText"/>
        <w:rPr>
          <w:sz w:val="18"/>
          <w:szCs w:val="18"/>
          <w:lang w:val="en-GB"/>
        </w:rPr>
      </w:pPr>
      <w:r w:rsidRPr="00421664">
        <w:rPr>
          <w:rStyle w:val="FootnoteReference"/>
          <w:sz w:val="18"/>
          <w:szCs w:val="18"/>
        </w:rPr>
        <w:footnoteRef/>
      </w:r>
      <w:r w:rsidRPr="00421664">
        <w:rPr>
          <w:sz w:val="18"/>
          <w:szCs w:val="18"/>
        </w:rPr>
        <w:t xml:space="preserve"> See Table A3.8 (column 4) for source of estimates.</w:t>
      </w:r>
    </w:p>
  </w:footnote>
  <w:footnote w:id="215">
    <w:p w14:paraId="52F8838B" w14:textId="59BA5038" w:rsidR="001A6758" w:rsidRPr="00457730" w:rsidRDefault="001A6758" w:rsidP="00E04C6D">
      <w:pPr>
        <w:pStyle w:val="FootnoteText"/>
        <w:rPr>
          <w:sz w:val="18"/>
          <w:szCs w:val="18"/>
        </w:rPr>
      </w:pPr>
      <w:r w:rsidRPr="00457730">
        <w:rPr>
          <w:rStyle w:val="FootnoteReference"/>
          <w:sz w:val="18"/>
          <w:szCs w:val="18"/>
        </w:rPr>
        <w:footnoteRef/>
      </w:r>
      <w:r>
        <w:rPr>
          <w:sz w:val="18"/>
          <w:szCs w:val="18"/>
        </w:rPr>
        <w:t xml:space="preserve"> Estimated as weighted appliance hours per false alarm attendance (1.28 appliance hours for MFB x 92.15% of total quarterly hour transactions + 1.32 appliance hours for CFA integrated stations x 7.85% of total quarterly hour transactions).</w:t>
      </w:r>
    </w:p>
  </w:footnote>
  <w:footnote w:id="216">
    <w:p w14:paraId="22DB3EE5" w14:textId="283BAA5A" w:rsidR="001A6758" w:rsidRPr="00457730" w:rsidRDefault="001A6758" w:rsidP="00E04C6D">
      <w:pPr>
        <w:pStyle w:val="FootnoteText"/>
        <w:rPr>
          <w:sz w:val="18"/>
          <w:szCs w:val="18"/>
        </w:rPr>
      </w:pPr>
      <w:r w:rsidRPr="00457730">
        <w:rPr>
          <w:rStyle w:val="FootnoteReference"/>
          <w:sz w:val="18"/>
          <w:szCs w:val="18"/>
        </w:rPr>
        <w:footnoteRef/>
      </w:r>
      <w:r>
        <w:rPr>
          <w:sz w:val="18"/>
          <w:szCs w:val="18"/>
        </w:rPr>
        <w:t xml:space="preserve"> </w:t>
      </w:r>
      <w:r w:rsidRPr="00E56FD2">
        <w:rPr>
          <w:sz w:val="18"/>
          <w:szCs w:val="18"/>
        </w:rPr>
        <w:t>$7,14</w:t>
      </w:r>
      <w:r>
        <w:rPr>
          <w:sz w:val="18"/>
          <w:szCs w:val="18"/>
        </w:rPr>
        <w:t xml:space="preserve">6,165 in 2020-21 (see Table A3.9) </w:t>
      </w:r>
      <w:r w:rsidRPr="00457730">
        <w:rPr>
          <w:sz w:val="18"/>
          <w:szCs w:val="18"/>
        </w:rPr>
        <w:t xml:space="preserve">as a proportion of </w:t>
      </w:r>
      <w:r w:rsidRPr="004C7D7D">
        <w:rPr>
          <w:sz w:val="18"/>
          <w:szCs w:val="18"/>
        </w:rPr>
        <w:t>$123,762,646</w:t>
      </w:r>
      <w:r>
        <w:rPr>
          <w:sz w:val="18"/>
          <w:szCs w:val="18"/>
        </w:rPr>
        <w:t xml:space="preserve"> in 2018-19 (see Section A3.2.1 of Appendix 3 for source of estimate).</w:t>
      </w:r>
    </w:p>
  </w:footnote>
  <w:footnote w:id="217">
    <w:p w14:paraId="13326C32" w14:textId="31A2C06B" w:rsidR="001A6758" w:rsidRPr="00CE06DA" w:rsidRDefault="001A6758">
      <w:pPr>
        <w:pStyle w:val="FootnoteText"/>
        <w:rPr>
          <w:sz w:val="18"/>
          <w:szCs w:val="18"/>
          <w:lang w:val="en-GB"/>
        </w:rPr>
      </w:pPr>
      <w:r w:rsidRPr="00CE06DA">
        <w:rPr>
          <w:rStyle w:val="FootnoteReference"/>
          <w:sz w:val="18"/>
          <w:szCs w:val="18"/>
        </w:rPr>
        <w:footnoteRef/>
      </w:r>
      <w:r w:rsidRPr="00CE06DA">
        <w:rPr>
          <w:sz w:val="18"/>
          <w:szCs w:val="18"/>
        </w:rPr>
        <w:t xml:space="preserve"> </w:t>
      </w:r>
      <w:r>
        <w:rPr>
          <w:sz w:val="18"/>
          <w:szCs w:val="18"/>
        </w:rPr>
        <w:t>S</w:t>
      </w:r>
      <w:r w:rsidRPr="00CE06DA">
        <w:rPr>
          <w:sz w:val="18"/>
          <w:szCs w:val="18"/>
        </w:rPr>
        <w:t>ee Table A3.8 (column 4)</w:t>
      </w:r>
      <w:r>
        <w:rPr>
          <w:sz w:val="18"/>
          <w:szCs w:val="18"/>
        </w:rPr>
        <w:t xml:space="preserve"> for source of estimates.</w:t>
      </w:r>
    </w:p>
  </w:footnote>
  <w:footnote w:id="218">
    <w:p w14:paraId="50089109" w14:textId="77777777" w:rsidR="001A6758" w:rsidRPr="009A3C8B" w:rsidRDefault="001A6758" w:rsidP="00E04C6D">
      <w:pPr>
        <w:pStyle w:val="FootnoteText"/>
        <w:rPr>
          <w:sz w:val="20"/>
          <w:szCs w:val="20"/>
        </w:rPr>
      </w:pPr>
      <w:r w:rsidRPr="004C7D7D">
        <w:rPr>
          <w:rStyle w:val="FootnoteReference"/>
          <w:sz w:val="18"/>
          <w:szCs w:val="18"/>
        </w:rPr>
        <w:footnoteRef/>
      </w:r>
      <w:r w:rsidRPr="004C7D7D">
        <w:rPr>
          <w:sz w:val="18"/>
          <w:szCs w:val="18"/>
        </w:rPr>
        <w:t xml:space="preserve"> Calculated using a 4% real discount rate.</w:t>
      </w:r>
    </w:p>
  </w:footnote>
  <w:footnote w:id="219">
    <w:p w14:paraId="73B0E8CC" w14:textId="77777777" w:rsidR="001A6758" w:rsidRPr="007347F8" w:rsidRDefault="001A6758" w:rsidP="00E04C6D">
      <w:pPr>
        <w:jc w:val="both"/>
        <w:rPr>
          <w:sz w:val="18"/>
          <w:szCs w:val="18"/>
        </w:rPr>
      </w:pPr>
      <w:r w:rsidRPr="007347F8">
        <w:rPr>
          <w:rStyle w:val="FootnoteReference"/>
          <w:sz w:val="18"/>
          <w:szCs w:val="18"/>
        </w:rPr>
        <w:footnoteRef/>
      </w:r>
      <w:r w:rsidRPr="007347F8">
        <w:rPr>
          <w:sz w:val="18"/>
          <w:szCs w:val="18"/>
        </w:rPr>
        <w:t xml:space="preserve"> </w:t>
      </w:r>
      <w:r w:rsidRPr="002C0A51">
        <w:rPr>
          <w:b/>
          <w:sz w:val="18"/>
          <w:szCs w:val="18"/>
        </w:rPr>
        <w:t>$</w:t>
      </w:r>
      <w:r>
        <w:rPr>
          <w:b/>
          <w:sz w:val="18"/>
          <w:szCs w:val="18"/>
        </w:rPr>
        <w:t>225</w:t>
      </w:r>
      <w:r w:rsidRPr="007347F8">
        <w:rPr>
          <w:sz w:val="18"/>
          <w:szCs w:val="18"/>
        </w:rPr>
        <w:t xml:space="preserve"> for a consultation with a medical officer</w:t>
      </w:r>
      <w:r>
        <w:rPr>
          <w:sz w:val="18"/>
          <w:szCs w:val="18"/>
        </w:rPr>
        <w:t xml:space="preserve"> </w:t>
      </w:r>
      <w:r w:rsidRPr="002C0A51">
        <w:rPr>
          <w:b/>
          <w:sz w:val="18"/>
          <w:szCs w:val="18"/>
        </w:rPr>
        <w:t>plus $</w:t>
      </w:r>
      <w:r>
        <w:rPr>
          <w:b/>
          <w:sz w:val="18"/>
          <w:szCs w:val="18"/>
        </w:rPr>
        <w:t>6</w:t>
      </w:r>
      <w:r w:rsidRPr="002C0A51">
        <w:rPr>
          <w:b/>
          <w:sz w:val="18"/>
          <w:szCs w:val="18"/>
        </w:rPr>
        <w:t>8</w:t>
      </w:r>
      <w:r>
        <w:rPr>
          <w:sz w:val="18"/>
          <w:szCs w:val="18"/>
        </w:rPr>
        <w:t xml:space="preserve"> for drug screening x </w:t>
      </w:r>
      <w:r w:rsidRPr="008B035E">
        <w:rPr>
          <w:b/>
          <w:bCs/>
          <w:sz w:val="18"/>
          <w:szCs w:val="18"/>
        </w:rPr>
        <w:t>232</w:t>
      </w:r>
      <w:r>
        <w:rPr>
          <w:sz w:val="18"/>
          <w:szCs w:val="18"/>
        </w:rPr>
        <w:t xml:space="preserve"> applicants per annum (Current MFB (151) and estimate for CFA integrated stations (81))</w:t>
      </w:r>
      <w:r w:rsidRPr="007347F8">
        <w:rPr>
          <w:sz w:val="18"/>
          <w:szCs w:val="18"/>
        </w:rPr>
        <w:t xml:space="preserve"> </w:t>
      </w:r>
      <w:r w:rsidRPr="002C0A51">
        <w:rPr>
          <w:b/>
          <w:sz w:val="18"/>
          <w:szCs w:val="18"/>
        </w:rPr>
        <w:t>plus $</w:t>
      </w:r>
      <w:r>
        <w:rPr>
          <w:b/>
          <w:sz w:val="18"/>
          <w:szCs w:val="18"/>
        </w:rPr>
        <w:t>66.50</w:t>
      </w:r>
      <w:r w:rsidRPr="007347F8">
        <w:rPr>
          <w:sz w:val="18"/>
          <w:szCs w:val="18"/>
        </w:rPr>
        <w:t xml:space="preserve"> for a criminal record search</w:t>
      </w:r>
      <w:r>
        <w:rPr>
          <w:sz w:val="18"/>
          <w:szCs w:val="18"/>
        </w:rPr>
        <w:t xml:space="preserve"> </w:t>
      </w:r>
      <w:r w:rsidRPr="002C0A51">
        <w:rPr>
          <w:b/>
          <w:sz w:val="18"/>
          <w:szCs w:val="18"/>
        </w:rPr>
        <w:t xml:space="preserve">x </w:t>
      </w:r>
      <w:r>
        <w:rPr>
          <w:b/>
          <w:sz w:val="18"/>
          <w:szCs w:val="18"/>
        </w:rPr>
        <w:t>190</w:t>
      </w:r>
      <w:r w:rsidRPr="002C0A51">
        <w:rPr>
          <w:b/>
          <w:sz w:val="18"/>
          <w:szCs w:val="18"/>
        </w:rPr>
        <w:t xml:space="preserve"> </w:t>
      </w:r>
      <w:r w:rsidRPr="00FE5B13">
        <w:rPr>
          <w:sz w:val="18"/>
          <w:szCs w:val="18"/>
        </w:rPr>
        <w:t xml:space="preserve">applicants per annum </w:t>
      </w:r>
      <w:r>
        <w:rPr>
          <w:sz w:val="18"/>
          <w:szCs w:val="18"/>
        </w:rPr>
        <w:t xml:space="preserve">(current MFB (124) and estimate for CFA integrated stations (66)) </w:t>
      </w:r>
      <w:r w:rsidRPr="00FE5B13">
        <w:rPr>
          <w:sz w:val="18"/>
          <w:szCs w:val="18"/>
        </w:rPr>
        <w:t>(201</w:t>
      </w:r>
      <w:r>
        <w:rPr>
          <w:sz w:val="18"/>
          <w:szCs w:val="18"/>
        </w:rPr>
        <w:t>8</w:t>
      </w:r>
      <w:r w:rsidRPr="00FE5B13">
        <w:rPr>
          <w:sz w:val="18"/>
          <w:szCs w:val="18"/>
        </w:rPr>
        <w:t>-1</w:t>
      </w:r>
      <w:r>
        <w:rPr>
          <w:sz w:val="18"/>
          <w:szCs w:val="18"/>
        </w:rPr>
        <w:t>9</w:t>
      </w:r>
      <w:r w:rsidRPr="00FE5B13">
        <w:rPr>
          <w:sz w:val="18"/>
          <w:szCs w:val="18"/>
        </w:rPr>
        <w:t>)</w:t>
      </w:r>
      <w:r>
        <w:rPr>
          <w:sz w:val="18"/>
          <w:szCs w:val="18"/>
        </w:rPr>
        <w:t xml:space="preserve"> </w:t>
      </w:r>
      <w:r w:rsidRPr="002C0A51">
        <w:rPr>
          <w:b/>
          <w:sz w:val="18"/>
          <w:szCs w:val="18"/>
        </w:rPr>
        <w:t>= $</w:t>
      </w:r>
      <w:r>
        <w:rPr>
          <w:b/>
          <w:sz w:val="18"/>
          <w:szCs w:val="18"/>
        </w:rPr>
        <w:t>80</w:t>
      </w:r>
      <w:r w:rsidRPr="002C0A51">
        <w:rPr>
          <w:b/>
          <w:sz w:val="18"/>
          <w:szCs w:val="18"/>
        </w:rPr>
        <w:t>,</w:t>
      </w:r>
      <w:r>
        <w:rPr>
          <w:b/>
          <w:sz w:val="18"/>
          <w:szCs w:val="18"/>
        </w:rPr>
        <w:t>509</w:t>
      </w:r>
      <w:r w:rsidRPr="002C0A51">
        <w:rPr>
          <w:b/>
          <w:sz w:val="18"/>
          <w:szCs w:val="18"/>
        </w:rPr>
        <w:t xml:space="preserve"> per annum.</w:t>
      </w:r>
    </w:p>
  </w:footnote>
  <w:footnote w:id="220">
    <w:p w14:paraId="64DFD4D7" w14:textId="77777777" w:rsidR="001A6758" w:rsidRPr="002C0A51" w:rsidRDefault="001A6758" w:rsidP="00E04C6D">
      <w:pPr>
        <w:pStyle w:val="FootnoteText"/>
        <w:rPr>
          <w:sz w:val="18"/>
          <w:szCs w:val="18"/>
        </w:rPr>
      </w:pPr>
      <w:r w:rsidRPr="002C0A51">
        <w:rPr>
          <w:rStyle w:val="FootnoteReference"/>
          <w:sz w:val="18"/>
          <w:szCs w:val="18"/>
        </w:rPr>
        <w:footnoteRef/>
      </w:r>
      <w:r w:rsidRPr="002C0A51">
        <w:rPr>
          <w:sz w:val="18"/>
          <w:szCs w:val="18"/>
        </w:rPr>
        <w:t xml:space="preserve"> </w:t>
      </w:r>
      <w:r>
        <w:rPr>
          <w:sz w:val="18"/>
          <w:szCs w:val="18"/>
        </w:rPr>
        <w:t>O</w:t>
      </w:r>
      <w:r w:rsidRPr="002C0A51">
        <w:rPr>
          <w:sz w:val="18"/>
          <w:szCs w:val="18"/>
        </w:rPr>
        <w:t>ne hour for applicants own time based on an hourly</w:t>
      </w:r>
      <w:r>
        <w:rPr>
          <w:sz w:val="18"/>
          <w:szCs w:val="18"/>
        </w:rPr>
        <w:t xml:space="preserve"> charge out rate of </w:t>
      </w:r>
      <w:r w:rsidRPr="002C0A51">
        <w:rPr>
          <w:b/>
          <w:sz w:val="18"/>
          <w:szCs w:val="18"/>
        </w:rPr>
        <w:t>$</w:t>
      </w:r>
      <w:r>
        <w:rPr>
          <w:b/>
          <w:sz w:val="18"/>
          <w:szCs w:val="18"/>
        </w:rPr>
        <w:t>87</w:t>
      </w:r>
      <w:r w:rsidRPr="002C0A51">
        <w:rPr>
          <w:b/>
          <w:sz w:val="18"/>
          <w:szCs w:val="18"/>
        </w:rPr>
        <w:t>.</w:t>
      </w:r>
      <w:r>
        <w:rPr>
          <w:b/>
          <w:sz w:val="18"/>
          <w:szCs w:val="18"/>
        </w:rPr>
        <w:t>39</w:t>
      </w:r>
      <w:r w:rsidRPr="002C0A51">
        <w:rPr>
          <w:b/>
          <w:sz w:val="18"/>
          <w:szCs w:val="18"/>
        </w:rPr>
        <w:t xml:space="preserve"> x </w:t>
      </w:r>
      <w:r>
        <w:rPr>
          <w:sz w:val="18"/>
          <w:szCs w:val="18"/>
        </w:rPr>
        <w:t xml:space="preserve">232 applicants per annum (Current MFB (151) and CFA integrated stations (81) = </w:t>
      </w:r>
      <w:r w:rsidRPr="00762E10">
        <w:rPr>
          <w:b/>
          <w:sz w:val="18"/>
          <w:szCs w:val="18"/>
        </w:rPr>
        <w:t>$20,240.26</w:t>
      </w:r>
      <w:r w:rsidRPr="002C0A51">
        <w:rPr>
          <w:b/>
          <w:sz w:val="18"/>
          <w:szCs w:val="18"/>
        </w:rPr>
        <w:t xml:space="preserve"> per annum.</w:t>
      </w:r>
      <w:r>
        <w:rPr>
          <w:sz w:val="18"/>
          <w:szCs w:val="18"/>
        </w:rPr>
        <w:t xml:space="preserve">  </w:t>
      </w:r>
      <w:r w:rsidRPr="002C0A51">
        <w:rPr>
          <w:b/>
          <w:sz w:val="18"/>
          <w:szCs w:val="18"/>
        </w:rPr>
        <w:t>$</w:t>
      </w:r>
      <w:r>
        <w:rPr>
          <w:b/>
          <w:sz w:val="18"/>
          <w:szCs w:val="18"/>
        </w:rPr>
        <w:t>87</w:t>
      </w:r>
      <w:r w:rsidRPr="002C0A51">
        <w:rPr>
          <w:b/>
          <w:sz w:val="18"/>
          <w:szCs w:val="18"/>
        </w:rPr>
        <w:t>.</w:t>
      </w:r>
      <w:r>
        <w:rPr>
          <w:b/>
          <w:sz w:val="18"/>
          <w:szCs w:val="18"/>
        </w:rPr>
        <w:t>39</w:t>
      </w:r>
      <w:r>
        <w:rPr>
          <w:sz w:val="18"/>
          <w:szCs w:val="18"/>
        </w:rPr>
        <w:t xml:space="preserve"> = </w:t>
      </w:r>
      <w:r w:rsidRPr="00762E10">
        <w:rPr>
          <w:sz w:val="18"/>
          <w:szCs w:val="18"/>
        </w:rPr>
        <w:t xml:space="preserve">$83,616 </w:t>
      </w:r>
      <w:r>
        <w:rPr>
          <w:sz w:val="18"/>
          <w:szCs w:val="18"/>
        </w:rPr>
        <w:t xml:space="preserve">/(38*44) x 1.165 x </w:t>
      </w:r>
      <w:r w:rsidRPr="002C0A51">
        <w:rPr>
          <w:sz w:val="18"/>
          <w:szCs w:val="18"/>
        </w:rPr>
        <w:t xml:space="preserve">1.5 </w:t>
      </w:r>
      <w:r>
        <w:rPr>
          <w:sz w:val="18"/>
          <w:szCs w:val="18"/>
        </w:rPr>
        <w:t xml:space="preserve"> where: </w:t>
      </w:r>
      <w:r w:rsidRPr="00762E10">
        <w:rPr>
          <w:sz w:val="18"/>
          <w:szCs w:val="18"/>
        </w:rPr>
        <w:t xml:space="preserve">$83,616 </w:t>
      </w:r>
      <w:r w:rsidRPr="000F2765">
        <w:rPr>
          <w:sz w:val="18"/>
          <w:szCs w:val="18"/>
        </w:rPr>
        <w:t xml:space="preserve"> </w:t>
      </w:r>
      <w:r>
        <w:rPr>
          <w:sz w:val="18"/>
          <w:szCs w:val="18"/>
        </w:rPr>
        <w:t xml:space="preserve">= average </w:t>
      </w:r>
      <w:r w:rsidRPr="002C0A51">
        <w:rPr>
          <w:sz w:val="18"/>
          <w:szCs w:val="18"/>
        </w:rPr>
        <w:t xml:space="preserve">Victorian earnings of </w:t>
      </w:r>
      <w:r>
        <w:rPr>
          <w:sz w:val="18"/>
          <w:szCs w:val="18"/>
        </w:rPr>
        <w:t xml:space="preserve">(ABS </w:t>
      </w:r>
      <w:r w:rsidRPr="002C0A51">
        <w:rPr>
          <w:sz w:val="18"/>
          <w:szCs w:val="18"/>
        </w:rPr>
        <w:t xml:space="preserve">Catalogue </w:t>
      </w:r>
      <w:r>
        <w:rPr>
          <w:sz w:val="18"/>
          <w:szCs w:val="18"/>
        </w:rPr>
        <w:t>6302</w:t>
      </w:r>
      <w:r w:rsidRPr="002C0A51">
        <w:rPr>
          <w:sz w:val="18"/>
          <w:szCs w:val="18"/>
        </w:rPr>
        <w:t xml:space="preserve">.0 - Average Weekly Earnings, Australia, </w:t>
      </w:r>
      <w:r>
        <w:rPr>
          <w:sz w:val="18"/>
          <w:szCs w:val="18"/>
        </w:rPr>
        <w:t>May</w:t>
      </w:r>
      <w:r w:rsidRPr="002C0A51">
        <w:rPr>
          <w:sz w:val="18"/>
          <w:szCs w:val="18"/>
        </w:rPr>
        <w:t xml:space="preserve"> 201</w:t>
      </w:r>
      <w:r>
        <w:rPr>
          <w:sz w:val="18"/>
          <w:szCs w:val="18"/>
        </w:rPr>
        <w:t>9</w:t>
      </w:r>
      <w:r w:rsidRPr="002C0A51">
        <w:rPr>
          <w:sz w:val="18"/>
          <w:szCs w:val="18"/>
        </w:rPr>
        <w:t>)</w:t>
      </w:r>
      <w:r>
        <w:rPr>
          <w:sz w:val="18"/>
          <w:szCs w:val="18"/>
        </w:rPr>
        <w:t>;</w:t>
      </w:r>
      <w:r w:rsidRPr="002C0A51">
        <w:rPr>
          <w:sz w:val="18"/>
          <w:szCs w:val="18"/>
        </w:rPr>
        <w:t>1.165</w:t>
      </w:r>
      <w:r w:rsidRPr="000F2765">
        <w:rPr>
          <w:sz w:val="18"/>
          <w:szCs w:val="18"/>
        </w:rPr>
        <w:t xml:space="preserve"> </w:t>
      </w:r>
      <w:r>
        <w:rPr>
          <w:sz w:val="18"/>
          <w:szCs w:val="18"/>
        </w:rPr>
        <w:t xml:space="preserve">= </w:t>
      </w:r>
      <w:r w:rsidRPr="002C0A51">
        <w:rPr>
          <w:sz w:val="18"/>
          <w:szCs w:val="18"/>
        </w:rPr>
        <w:t>on cost multiplier; 1.5</w:t>
      </w:r>
      <w:r>
        <w:rPr>
          <w:sz w:val="18"/>
          <w:szCs w:val="18"/>
        </w:rPr>
        <w:t xml:space="preserve"> =</w:t>
      </w:r>
      <w:r w:rsidRPr="000F2765">
        <w:rPr>
          <w:sz w:val="18"/>
          <w:szCs w:val="18"/>
        </w:rPr>
        <w:t xml:space="preserve"> </w:t>
      </w:r>
      <w:r w:rsidRPr="002C0A51">
        <w:rPr>
          <w:sz w:val="18"/>
          <w:szCs w:val="18"/>
        </w:rPr>
        <w:t xml:space="preserve">overhead cost multiplier; 38 </w:t>
      </w:r>
      <w:r>
        <w:rPr>
          <w:sz w:val="18"/>
          <w:szCs w:val="18"/>
        </w:rPr>
        <w:t xml:space="preserve">= </w:t>
      </w:r>
      <w:r w:rsidRPr="002C0A51">
        <w:rPr>
          <w:sz w:val="18"/>
          <w:szCs w:val="18"/>
        </w:rPr>
        <w:t xml:space="preserve">hrs worked </w:t>
      </w:r>
      <w:r>
        <w:rPr>
          <w:sz w:val="18"/>
          <w:szCs w:val="18"/>
        </w:rPr>
        <w:t xml:space="preserve">per week; and </w:t>
      </w:r>
      <w:r w:rsidRPr="002C0A51">
        <w:rPr>
          <w:sz w:val="18"/>
          <w:szCs w:val="18"/>
        </w:rPr>
        <w:t xml:space="preserve">44 </w:t>
      </w:r>
      <w:r>
        <w:rPr>
          <w:sz w:val="18"/>
          <w:szCs w:val="18"/>
        </w:rPr>
        <w:t xml:space="preserve">= </w:t>
      </w:r>
      <w:r w:rsidRPr="002C0A51">
        <w:rPr>
          <w:sz w:val="18"/>
          <w:szCs w:val="18"/>
        </w:rPr>
        <w:t xml:space="preserve">weeks per annum </w:t>
      </w:r>
      <w:r w:rsidRPr="00EA524F">
        <w:rPr>
          <w:rFonts w:asciiTheme="minorHAnsi" w:hAnsiTheme="minorHAnsi" w:cstheme="minorHAnsi"/>
          <w:sz w:val="18"/>
          <w:szCs w:val="18"/>
        </w:rPr>
        <w:t xml:space="preserve">(see Victorian Competition and Efficiency Commission 2006, </w:t>
      </w:r>
      <w:r w:rsidRPr="00EA524F">
        <w:rPr>
          <w:rFonts w:asciiTheme="minorHAnsi" w:hAnsiTheme="minorHAnsi" w:cstheme="minorHAnsi"/>
          <w:i/>
          <w:sz w:val="18"/>
          <w:szCs w:val="18"/>
        </w:rPr>
        <w:t>Guidance Note on Suggested Default Methodology and Values for Staff Time in BIA/RIS Analysis</w:t>
      </w:r>
      <w:r w:rsidRPr="00EA524F">
        <w:rPr>
          <w:rFonts w:asciiTheme="minorHAnsi" w:hAnsiTheme="minorHAnsi" w:cstheme="minorHAnsi"/>
          <w:sz w:val="18"/>
          <w:szCs w:val="18"/>
        </w:rPr>
        <w:t>, Melbourne, p.3.)</w:t>
      </w:r>
    </w:p>
  </w:footnote>
  <w:footnote w:id="221">
    <w:p w14:paraId="79F52A52" w14:textId="77777777" w:rsidR="001A6758" w:rsidRPr="000F2765" w:rsidRDefault="001A6758" w:rsidP="00E04C6D">
      <w:pPr>
        <w:pStyle w:val="FootnoteText"/>
        <w:rPr>
          <w:sz w:val="18"/>
          <w:szCs w:val="18"/>
        </w:rPr>
      </w:pPr>
      <w:r w:rsidRPr="000F2765">
        <w:rPr>
          <w:rStyle w:val="FootnoteReference"/>
          <w:sz w:val="18"/>
          <w:szCs w:val="18"/>
        </w:rPr>
        <w:footnoteRef/>
      </w:r>
      <w:r w:rsidRPr="000F2765">
        <w:rPr>
          <w:sz w:val="18"/>
          <w:szCs w:val="18"/>
        </w:rPr>
        <w:t xml:space="preserve"> </w:t>
      </w:r>
      <w:r w:rsidRPr="00FE5B13">
        <w:rPr>
          <w:b/>
          <w:sz w:val="18"/>
          <w:szCs w:val="18"/>
        </w:rPr>
        <w:t>$2</w:t>
      </w:r>
      <w:r>
        <w:rPr>
          <w:b/>
          <w:sz w:val="18"/>
          <w:szCs w:val="18"/>
        </w:rPr>
        <w:t>52 x 75</w:t>
      </w:r>
      <w:r w:rsidRPr="00FE5B13">
        <w:rPr>
          <w:b/>
          <w:sz w:val="18"/>
          <w:szCs w:val="18"/>
        </w:rPr>
        <w:t xml:space="preserve"> </w:t>
      </w:r>
      <w:r w:rsidRPr="00FE5B13">
        <w:rPr>
          <w:sz w:val="18"/>
          <w:szCs w:val="18"/>
        </w:rPr>
        <w:t>fitness for duty examinations per annum</w:t>
      </w:r>
      <w:r>
        <w:rPr>
          <w:sz w:val="18"/>
          <w:szCs w:val="18"/>
        </w:rPr>
        <w:t xml:space="preserve"> (current MFB (49) and estimate for CFA integrated stations (26)) </w:t>
      </w:r>
      <w:r w:rsidRPr="00FE5B13">
        <w:rPr>
          <w:sz w:val="18"/>
          <w:szCs w:val="18"/>
        </w:rPr>
        <w:t>(in 201</w:t>
      </w:r>
      <w:r>
        <w:rPr>
          <w:sz w:val="18"/>
          <w:szCs w:val="18"/>
        </w:rPr>
        <w:t>8</w:t>
      </w:r>
      <w:r w:rsidRPr="00FE5B13">
        <w:rPr>
          <w:sz w:val="18"/>
          <w:szCs w:val="18"/>
        </w:rPr>
        <w:t>-1</w:t>
      </w:r>
      <w:r>
        <w:rPr>
          <w:sz w:val="18"/>
          <w:szCs w:val="18"/>
        </w:rPr>
        <w:t>9</w:t>
      </w:r>
      <w:r w:rsidRPr="00FE5B13">
        <w:rPr>
          <w:sz w:val="18"/>
          <w:szCs w:val="18"/>
        </w:rPr>
        <w:t>)</w:t>
      </w:r>
      <w:r w:rsidRPr="00FE5B13">
        <w:rPr>
          <w:b/>
          <w:sz w:val="18"/>
          <w:szCs w:val="18"/>
        </w:rPr>
        <w:t xml:space="preserve"> = </w:t>
      </w:r>
      <w:r w:rsidRPr="008A0990">
        <w:rPr>
          <w:b/>
          <w:sz w:val="18"/>
          <w:szCs w:val="18"/>
        </w:rPr>
        <w:t>$18,939.37</w:t>
      </w:r>
      <w:r>
        <w:rPr>
          <w:b/>
          <w:sz w:val="18"/>
          <w:szCs w:val="18"/>
        </w:rPr>
        <w:t xml:space="preserve"> per annum</w:t>
      </w:r>
    </w:p>
  </w:footnote>
  <w:footnote w:id="222">
    <w:p w14:paraId="4D659369" w14:textId="77777777" w:rsidR="001A6758" w:rsidRPr="008728E6" w:rsidRDefault="001A6758" w:rsidP="00E04C6D">
      <w:pPr>
        <w:pStyle w:val="FootnoteText"/>
        <w:rPr>
          <w:sz w:val="18"/>
          <w:szCs w:val="18"/>
        </w:rPr>
      </w:pPr>
      <w:r w:rsidRPr="008728E6">
        <w:rPr>
          <w:rStyle w:val="FootnoteReference"/>
          <w:sz w:val="18"/>
          <w:szCs w:val="18"/>
        </w:rPr>
        <w:footnoteRef/>
      </w:r>
      <w:r w:rsidRPr="008728E6">
        <w:rPr>
          <w:sz w:val="18"/>
          <w:szCs w:val="18"/>
        </w:rPr>
        <w:t xml:space="preserve"> </w:t>
      </w:r>
      <w:r w:rsidRPr="00681CC8">
        <w:rPr>
          <w:b/>
          <w:bCs/>
          <w:sz w:val="18"/>
          <w:szCs w:val="18"/>
        </w:rPr>
        <w:t>$103.44</w:t>
      </w:r>
      <w:r w:rsidRPr="00FE5B13">
        <w:rPr>
          <w:b/>
          <w:sz w:val="18"/>
          <w:szCs w:val="18"/>
        </w:rPr>
        <w:t xml:space="preserve"> </w:t>
      </w:r>
      <w:proofErr w:type="spellStart"/>
      <w:r w:rsidRPr="00FE5B13">
        <w:rPr>
          <w:sz w:val="18"/>
          <w:szCs w:val="18"/>
        </w:rPr>
        <w:t>hrly</w:t>
      </w:r>
      <w:proofErr w:type="spellEnd"/>
      <w:r w:rsidRPr="00FE5B13">
        <w:rPr>
          <w:sz w:val="18"/>
          <w:szCs w:val="18"/>
        </w:rPr>
        <w:t xml:space="preserve"> charge out rate (uses lead firefighter salary of </w:t>
      </w:r>
      <w:r>
        <w:rPr>
          <w:sz w:val="18"/>
          <w:szCs w:val="18"/>
        </w:rPr>
        <w:t>$98,969</w:t>
      </w:r>
      <w:r w:rsidRPr="00FE5B13">
        <w:rPr>
          <w:sz w:val="18"/>
          <w:szCs w:val="18"/>
        </w:rPr>
        <w:t>)</w:t>
      </w:r>
      <w:r>
        <w:rPr>
          <w:sz w:val="18"/>
          <w:szCs w:val="18"/>
        </w:rPr>
        <w:t xml:space="preserve"> </w:t>
      </w:r>
      <w:r w:rsidRPr="00FE5B13">
        <w:rPr>
          <w:b/>
          <w:sz w:val="18"/>
          <w:szCs w:val="18"/>
        </w:rPr>
        <w:t>x</w:t>
      </w:r>
      <w:r>
        <w:rPr>
          <w:b/>
          <w:sz w:val="18"/>
          <w:szCs w:val="18"/>
        </w:rPr>
        <w:t xml:space="preserve"> 1 </w:t>
      </w:r>
      <w:r w:rsidRPr="00681CC8">
        <w:rPr>
          <w:bCs/>
          <w:sz w:val="18"/>
          <w:szCs w:val="18"/>
        </w:rPr>
        <w:t>hour required</w:t>
      </w:r>
      <w:r>
        <w:rPr>
          <w:b/>
          <w:sz w:val="18"/>
          <w:szCs w:val="18"/>
        </w:rPr>
        <w:t xml:space="preserve"> x 75</w:t>
      </w:r>
      <w:r w:rsidRPr="00FE5B13">
        <w:rPr>
          <w:b/>
          <w:sz w:val="18"/>
          <w:szCs w:val="18"/>
        </w:rPr>
        <w:t xml:space="preserve"> </w:t>
      </w:r>
      <w:r w:rsidRPr="00FE5B13">
        <w:rPr>
          <w:sz w:val="18"/>
          <w:szCs w:val="18"/>
        </w:rPr>
        <w:t>fitness for duty examinations per annum</w:t>
      </w:r>
      <w:r w:rsidRPr="00FE5B13">
        <w:rPr>
          <w:b/>
          <w:sz w:val="18"/>
          <w:szCs w:val="18"/>
        </w:rPr>
        <w:t xml:space="preserve"> = </w:t>
      </w:r>
      <w:r w:rsidRPr="008A0990">
        <w:rPr>
          <w:b/>
          <w:sz w:val="18"/>
          <w:szCs w:val="18"/>
        </w:rPr>
        <w:t>$7,774.01</w:t>
      </w:r>
      <w:r>
        <w:rPr>
          <w:b/>
          <w:sz w:val="18"/>
          <w:szCs w:val="18"/>
        </w:rPr>
        <w:t xml:space="preserve"> per annum</w:t>
      </w:r>
    </w:p>
  </w:footnote>
  <w:footnote w:id="223">
    <w:p w14:paraId="4CD4F44B" w14:textId="77777777" w:rsidR="001A6758" w:rsidRPr="00FE5B13" w:rsidRDefault="001A6758" w:rsidP="00E04C6D">
      <w:pPr>
        <w:pStyle w:val="FootnoteText"/>
        <w:rPr>
          <w:sz w:val="18"/>
          <w:szCs w:val="18"/>
        </w:rPr>
      </w:pPr>
      <w:r w:rsidRPr="00FE5B13">
        <w:rPr>
          <w:rStyle w:val="FootnoteReference"/>
          <w:sz w:val="18"/>
          <w:szCs w:val="18"/>
        </w:rPr>
        <w:footnoteRef/>
      </w:r>
      <w:r w:rsidRPr="00FE5B13">
        <w:rPr>
          <w:sz w:val="18"/>
          <w:szCs w:val="18"/>
        </w:rPr>
        <w:t xml:space="preserve"> Procedural requirement costs for promotion of </w:t>
      </w:r>
      <w:r w:rsidRPr="00FE5B13">
        <w:rPr>
          <w:b/>
          <w:sz w:val="18"/>
          <w:szCs w:val="18"/>
        </w:rPr>
        <w:t>$2</w:t>
      </w:r>
      <w:r>
        <w:rPr>
          <w:b/>
          <w:sz w:val="18"/>
          <w:szCs w:val="18"/>
        </w:rPr>
        <w:t xml:space="preserve">19.94 </w:t>
      </w:r>
      <w:r w:rsidRPr="00681CC8">
        <w:rPr>
          <w:bCs/>
          <w:sz w:val="18"/>
          <w:szCs w:val="18"/>
        </w:rPr>
        <w:t>(Based on $200 2013-14 cost</w:t>
      </w:r>
      <w:r>
        <w:rPr>
          <w:bCs/>
          <w:sz w:val="18"/>
          <w:szCs w:val="18"/>
        </w:rPr>
        <w:t xml:space="preserve"> and adjusted using</w:t>
      </w:r>
      <w:r w:rsidRPr="00681CC8">
        <w:rPr>
          <w:bCs/>
          <w:sz w:val="18"/>
          <w:szCs w:val="18"/>
        </w:rPr>
        <w:t xml:space="preserve"> CPI index </w:t>
      </w:r>
      <w:r>
        <w:rPr>
          <w:bCs/>
          <w:sz w:val="18"/>
          <w:szCs w:val="18"/>
        </w:rPr>
        <w:t xml:space="preserve">of </w:t>
      </w:r>
      <w:r w:rsidRPr="00681CC8">
        <w:rPr>
          <w:bCs/>
          <w:sz w:val="18"/>
          <w:szCs w:val="18"/>
        </w:rPr>
        <w:t>106.3 for Dec 2014 and 116.9 for Dec 2019</w:t>
      </w:r>
      <w:r>
        <w:rPr>
          <w:bCs/>
          <w:sz w:val="18"/>
          <w:szCs w:val="18"/>
        </w:rPr>
        <w:t>)</w:t>
      </w:r>
      <w:r w:rsidRPr="00FE5B13">
        <w:rPr>
          <w:b/>
          <w:sz w:val="18"/>
          <w:szCs w:val="18"/>
        </w:rPr>
        <w:t xml:space="preserve"> x </w:t>
      </w:r>
      <w:r>
        <w:rPr>
          <w:b/>
          <w:sz w:val="18"/>
          <w:szCs w:val="18"/>
        </w:rPr>
        <w:t>84</w:t>
      </w:r>
      <w:r w:rsidRPr="00FE5B13">
        <w:rPr>
          <w:sz w:val="18"/>
          <w:szCs w:val="18"/>
        </w:rPr>
        <w:t xml:space="preserve"> promotions</w:t>
      </w:r>
      <w:r>
        <w:rPr>
          <w:sz w:val="18"/>
          <w:szCs w:val="18"/>
        </w:rPr>
        <w:t xml:space="preserve"> (current MFB (55) and estimate for CFA integrated stations (29))</w:t>
      </w:r>
      <w:r w:rsidRPr="00FE5B13">
        <w:rPr>
          <w:sz w:val="18"/>
          <w:szCs w:val="18"/>
        </w:rPr>
        <w:t xml:space="preserve"> (in 201</w:t>
      </w:r>
      <w:r>
        <w:rPr>
          <w:sz w:val="18"/>
          <w:szCs w:val="18"/>
        </w:rPr>
        <w:t>8</w:t>
      </w:r>
      <w:r w:rsidRPr="00FE5B13">
        <w:rPr>
          <w:sz w:val="18"/>
          <w:szCs w:val="18"/>
        </w:rPr>
        <w:t>-1</w:t>
      </w:r>
      <w:r>
        <w:rPr>
          <w:sz w:val="18"/>
          <w:szCs w:val="18"/>
        </w:rPr>
        <w:t>9</w:t>
      </w:r>
      <w:r w:rsidRPr="00FE5B13">
        <w:rPr>
          <w:sz w:val="18"/>
          <w:szCs w:val="18"/>
        </w:rPr>
        <w:t xml:space="preserve">) = </w:t>
      </w:r>
      <w:r w:rsidRPr="00681CC8">
        <w:rPr>
          <w:b/>
          <w:sz w:val="18"/>
          <w:szCs w:val="18"/>
        </w:rPr>
        <w:t>$18,554.23</w:t>
      </w:r>
      <w:r>
        <w:rPr>
          <w:b/>
          <w:sz w:val="18"/>
          <w:szCs w:val="18"/>
        </w:rPr>
        <w:t xml:space="preserve"> per annum</w:t>
      </w:r>
    </w:p>
  </w:footnote>
  <w:footnote w:id="224">
    <w:p w14:paraId="20ACB039" w14:textId="77777777" w:rsidR="001A6758" w:rsidRPr="00AB0520" w:rsidRDefault="001A6758" w:rsidP="00E04C6D">
      <w:pPr>
        <w:pStyle w:val="FootnoteText"/>
        <w:rPr>
          <w:sz w:val="18"/>
          <w:szCs w:val="18"/>
        </w:rPr>
      </w:pPr>
      <w:r w:rsidRPr="00AB0520">
        <w:rPr>
          <w:rStyle w:val="FootnoteReference"/>
          <w:sz w:val="18"/>
          <w:szCs w:val="18"/>
        </w:rPr>
        <w:footnoteRef/>
      </w:r>
      <w:r w:rsidRPr="00AB0520">
        <w:rPr>
          <w:sz w:val="18"/>
          <w:szCs w:val="18"/>
        </w:rPr>
        <w:t xml:space="preserve"> </w:t>
      </w:r>
      <w:r w:rsidRPr="00681CC8">
        <w:rPr>
          <w:b/>
          <w:bCs/>
          <w:sz w:val="18"/>
          <w:szCs w:val="18"/>
        </w:rPr>
        <w:t>$103.44</w:t>
      </w:r>
      <w:r w:rsidRPr="00FE5B13">
        <w:rPr>
          <w:b/>
          <w:sz w:val="18"/>
          <w:szCs w:val="18"/>
        </w:rPr>
        <w:t xml:space="preserve"> </w:t>
      </w:r>
      <w:proofErr w:type="spellStart"/>
      <w:r w:rsidRPr="00FE5B13">
        <w:rPr>
          <w:sz w:val="18"/>
          <w:szCs w:val="18"/>
        </w:rPr>
        <w:t>hrly</w:t>
      </w:r>
      <w:proofErr w:type="spellEnd"/>
      <w:r w:rsidRPr="00FE5B13">
        <w:rPr>
          <w:sz w:val="18"/>
          <w:szCs w:val="18"/>
        </w:rPr>
        <w:t xml:space="preserve"> charge out rate (uses lead firefighter salary of </w:t>
      </w:r>
      <w:r>
        <w:rPr>
          <w:sz w:val="18"/>
          <w:szCs w:val="18"/>
        </w:rPr>
        <w:t>$98,969</w:t>
      </w:r>
      <w:r w:rsidRPr="00FE5B13">
        <w:rPr>
          <w:sz w:val="18"/>
          <w:szCs w:val="18"/>
        </w:rPr>
        <w:t>)</w:t>
      </w:r>
      <w:r w:rsidRPr="00D9055B">
        <w:rPr>
          <w:sz w:val="18"/>
          <w:szCs w:val="18"/>
        </w:rPr>
        <w:t xml:space="preserve"> </w:t>
      </w:r>
      <w:r w:rsidRPr="00D9055B">
        <w:rPr>
          <w:b/>
          <w:sz w:val="18"/>
          <w:szCs w:val="18"/>
        </w:rPr>
        <w:t xml:space="preserve">x </w:t>
      </w:r>
      <w:r>
        <w:rPr>
          <w:b/>
          <w:sz w:val="18"/>
          <w:szCs w:val="18"/>
        </w:rPr>
        <w:t>84</w:t>
      </w:r>
      <w:r w:rsidRPr="00A922CF">
        <w:rPr>
          <w:sz w:val="18"/>
          <w:szCs w:val="18"/>
        </w:rPr>
        <w:t xml:space="preserve"> promotions</w:t>
      </w:r>
      <w:r>
        <w:rPr>
          <w:sz w:val="18"/>
          <w:szCs w:val="18"/>
        </w:rPr>
        <w:t xml:space="preserve"> (current MFB (55) and estimate for CFA integrated stations (29))</w:t>
      </w:r>
      <w:r w:rsidRPr="00A922CF">
        <w:rPr>
          <w:sz w:val="18"/>
          <w:szCs w:val="18"/>
        </w:rPr>
        <w:t xml:space="preserve"> (in 201</w:t>
      </w:r>
      <w:r>
        <w:rPr>
          <w:sz w:val="18"/>
          <w:szCs w:val="18"/>
        </w:rPr>
        <w:t>8</w:t>
      </w:r>
      <w:r w:rsidRPr="00A922CF">
        <w:rPr>
          <w:sz w:val="18"/>
          <w:szCs w:val="18"/>
        </w:rPr>
        <w:t>-1</w:t>
      </w:r>
      <w:r>
        <w:rPr>
          <w:sz w:val="18"/>
          <w:szCs w:val="18"/>
        </w:rPr>
        <w:t>9</w:t>
      </w:r>
      <w:r w:rsidRPr="00A922CF">
        <w:rPr>
          <w:sz w:val="18"/>
          <w:szCs w:val="18"/>
        </w:rPr>
        <w:t xml:space="preserve">) = </w:t>
      </w:r>
      <w:r w:rsidRPr="00681CC8">
        <w:rPr>
          <w:b/>
          <w:sz w:val="18"/>
          <w:szCs w:val="18"/>
        </w:rPr>
        <w:t>$8,725.93</w:t>
      </w:r>
      <w:r w:rsidRPr="00AB20D1">
        <w:rPr>
          <w:b/>
          <w:sz w:val="18"/>
          <w:szCs w:val="18"/>
        </w:rPr>
        <w:t xml:space="preserve"> per annum</w:t>
      </w:r>
    </w:p>
  </w:footnote>
  <w:footnote w:id="225">
    <w:p w14:paraId="1BF13F6B" w14:textId="77777777" w:rsidR="001A6758" w:rsidRPr="00602563" w:rsidRDefault="001A6758" w:rsidP="00E04C6D">
      <w:pPr>
        <w:pStyle w:val="FootnoteText"/>
        <w:rPr>
          <w:sz w:val="18"/>
          <w:szCs w:val="18"/>
        </w:rPr>
      </w:pPr>
      <w:r w:rsidRPr="00602563">
        <w:rPr>
          <w:rStyle w:val="FootnoteReference"/>
          <w:sz w:val="18"/>
          <w:szCs w:val="18"/>
        </w:rPr>
        <w:footnoteRef/>
      </w:r>
      <w:r w:rsidRPr="00602563">
        <w:rPr>
          <w:sz w:val="18"/>
          <w:szCs w:val="18"/>
        </w:rPr>
        <w:t xml:space="preserve"> Calculated using a 4% real discount rate.</w:t>
      </w:r>
    </w:p>
  </w:footnote>
  <w:footnote w:id="226">
    <w:p w14:paraId="037F0EE6" w14:textId="6F7FA6E5" w:rsidR="001A6758" w:rsidRPr="009917B8" w:rsidRDefault="001A6758">
      <w:pPr>
        <w:pStyle w:val="FootnoteText"/>
        <w:rPr>
          <w:sz w:val="18"/>
          <w:szCs w:val="18"/>
          <w:lang w:val="en-GB"/>
        </w:rPr>
      </w:pPr>
      <w:r w:rsidRPr="009917B8">
        <w:rPr>
          <w:rStyle w:val="FootnoteReference"/>
          <w:sz w:val="18"/>
          <w:szCs w:val="18"/>
        </w:rPr>
        <w:footnoteRef/>
      </w:r>
      <w:r w:rsidRPr="009917B8">
        <w:rPr>
          <w:sz w:val="18"/>
          <w:szCs w:val="18"/>
        </w:rPr>
        <w:t xml:space="preserve"> </w:t>
      </w:r>
      <w:r w:rsidRPr="009917B8">
        <w:rPr>
          <w:sz w:val="18"/>
          <w:szCs w:val="18"/>
          <w:lang w:val="en-GB"/>
        </w:rPr>
        <w:t>Calculated using the product of the hourly salary rate and an on-cost overhead cost multiplier of 1.4</w:t>
      </w:r>
      <w:r>
        <w:rPr>
          <w:sz w:val="18"/>
          <w:szCs w:val="18"/>
          <w:lang w:val="en-GB"/>
        </w:rPr>
        <w:t xml:space="preserve">.  The on-cost multiplier is provided by MFB and reflects the sum of the total salary on costs (i.e. </w:t>
      </w:r>
      <w:r w:rsidRPr="00E60817">
        <w:rPr>
          <w:sz w:val="18"/>
          <w:szCs w:val="18"/>
          <w:lang w:val="en-GB"/>
        </w:rPr>
        <w:t>$669,099</w:t>
      </w:r>
      <w:r>
        <w:rPr>
          <w:sz w:val="18"/>
          <w:szCs w:val="18"/>
          <w:lang w:val="en-GB"/>
        </w:rPr>
        <w:t>) and overhead costs (i.e.</w:t>
      </w:r>
      <w:r w:rsidRPr="00E60817">
        <w:t xml:space="preserve"> </w:t>
      </w:r>
      <w:r w:rsidRPr="00E60817">
        <w:rPr>
          <w:sz w:val="18"/>
          <w:szCs w:val="18"/>
          <w:lang w:val="en-GB"/>
        </w:rPr>
        <w:t>$94,216</w:t>
      </w:r>
      <w:r>
        <w:rPr>
          <w:sz w:val="18"/>
          <w:szCs w:val="18"/>
          <w:lang w:val="en-GB"/>
        </w:rPr>
        <w:t>) has a proportion of total salary costs (i.e. $</w:t>
      </w:r>
      <w:r w:rsidRPr="00E60817">
        <w:rPr>
          <w:sz w:val="18"/>
          <w:szCs w:val="18"/>
          <w:lang w:val="en-GB"/>
        </w:rPr>
        <w:t>1</w:t>
      </w:r>
      <w:r>
        <w:rPr>
          <w:sz w:val="18"/>
          <w:szCs w:val="18"/>
          <w:lang w:val="en-GB"/>
        </w:rPr>
        <w:t>,</w:t>
      </w:r>
      <w:r w:rsidRPr="00E60817">
        <w:rPr>
          <w:sz w:val="18"/>
          <w:szCs w:val="18"/>
          <w:lang w:val="en-GB"/>
        </w:rPr>
        <w:t>803</w:t>
      </w:r>
      <w:r>
        <w:rPr>
          <w:sz w:val="18"/>
          <w:szCs w:val="18"/>
          <w:lang w:val="en-GB"/>
        </w:rPr>
        <w:t>,</w:t>
      </w:r>
      <w:r w:rsidRPr="00E60817">
        <w:rPr>
          <w:sz w:val="18"/>
          <w:szCs w:val="18"/>
          <w:lang w:val="en-GB"/>
        </w:rPr>
        <w:t>551</w:t>
      </w:r>
      <w:r>
        <w:rPr>
          <w:sz w:val="18"/>
          <w:szCs w:val="18"/>
          <w:lang w:val="en-GB"/>
        </w:rPr>
        <w:t>).</w:t>
      </w:r>
    </w:p>
  </w:footnote>
  <w:footnote w:id="227">
    <w:p w14:paraId="5B0F2304" w14:textId="14181FC7" w:rsidR="001A6758" w:rsidRPr="009917B8" w:rsidRDefault="001A6758">
      <w:pPr>
        <w:pStyle w:val="FootnoteText"/>
        <w:rPr>
          <w:sz w:val="18"/>
          <w:szCs w:val="18"/>
          <w:lang w:val="en-GB"/>
        </w:rPr>
      </w:pPr>
      <w:r w:rsidRPr="009917B8">
        <w:rPr>
          <w:rStyle w:val="FootnoteReference"/>
          <w:sz w:val="18"/>
          <w:szCs w:val="18"/>
        </w:rPr>
        <w:footnoteRef/>
      </w:r>
      <w:r w:rsidRPr="009917B8">
        <w:rPr>
          <w:sz w:val="18"/>
          <w:szCs w:val="18"/>
        </w:rPr>
        <w:t xml:space="preserve"> </w:t>
      </w:r>
      <w:r w:rsidRPr="009917B8">
        <w:rPr>
          <w:sz w:val="18"/>
          <w:szCs w:val="18"/>
          <w:lang w:val="en-GB"/>
        </w:rPr>
        <w:t>Estimates have been rounded to the nearest dollar for ease of presentation only and therefore subject to calculation error if using these figures presented.</w:t>
      </w:r>
    </w:p>
  </w:footnote>
  <w:footnote w:id="228">
    <w:p w14:paraId="0944E928" w14:textId="77777777" w:rsidR="001A6758" w:rsidRPr="002A489B" w:rsidRDefault="001A6758" w:rsidP="00E04C6D">
      <w:pPr>
        <w:pStyle w:val="FootnoteText"/>
        <w:rPr>
          <w:sz w:val="18"/>
          <w:szCs w:val="18"/>
        </w:rPr>
      </w:pPr>
      <w:r w:rsidRPr="002A489B">
        <w:rPr>
          <w:rStyle w:val="FootnoteReference"/>
          <w:sz w:val="18"/>
          <w:szCs w:val="18"/>
        </w:rPr>
        <w:footnoteRef/>
      </w:r>
      <w:r w:rsidRPr="002A489B">
        <w:rPr>
          <w:sz w:val="18"/>
          <w:szCs w:val="18"/>
        </w:rPr>
        <w:t xml:space="preserve"> Data provided by MFB.</w:t>
      </w:r>
    </w:p>
  </w:footnote>
  <w:footnote w:id="229">
    <w:p w14:paraId="33B16AF0" w14:textId="77777777" w:rsidR="001A6758" w:rsidRPr="002A489B" w:rsidRDefault="001A6758" w:rsidP="00E04C6D">
      <w:pPr>
        <w:pStyle w:val="FootnoteText"/>
      </w:pPr>
      <w:r w:rsidRPr="002A489B">
        <w:rPr>
          <w:rStyle w:val="FootnoteReference"/>
          <w:sz w:val="18"/>
          <w:szCs w:val="18"/>
        </w:rPr>
        <w:footnoteRef/>
      </w:r>
      <w:r w:rsidRPr="002A489B">
        <w:rPr>
          <w:sz w:val="18"/>
          <w:szCs w:val="18"/>
        </w:rPr>
        <w:t xml:space="preserve"> Data provided by CFA</w:t>
      </w:r>
      <w:r>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30A9F"/>
    <w:multiLevelType w:val="hybridMultilevel"/>
    <w:tmpl w:val="3EE40872"/>
    <w:lvl w:ilvl="0" w:tplc="0C090001">
      <w:start w:val="1"/>
      <w:numFmt w:val="bullet"/>
      <w:lvlText w:val=""/>
      <w:lvlJc w:val="left"/>
      <w:pPr>
        <w:ind w:left="466" w:hanging="360"/>
      </w:pPr>
      <w:rPr>
        <w:rFonts w:ascii="Symbol" w:hAnsi="Symbol" w:hint="default"/>
      </w:rPr>
    </w:lvl>
    <w:lvl w:ilvl="1" w:tplc="0C090003">
      <w:start w:val="1"/>
      <w:numFmt w:val="bullet"/>
      <w:lvlText w:val="o"/>
      <w:lvlJc w:val="left"/>
      <w:pPr>
        <w:ind w:left="1186" w:hanging="360"/>
      </w:pPr>
      <w:rPr>
        <w:rFonts w:ascii="Courier New" w:hAnsi="Courier New" w:hint="default"/>
      </w:rPr>
    </w:lvl>
    <w:lvl w:ilvl="2" w:tplc="0C090005" w:tentative="1">
      <w:start w:val="1"/>
      <w:numFmt w:val="bullet"/>
      <w:lvlText w:val=""/>
      <w:lvlJc w:val="left"/>
      <w:pPr>
        <w:ind w:left="1906" w:hanging="360"/>
      </w:pPr>
      <w:rPr>
        <w:rFonts w:ascii="Wingdings" w:hAnsi="Wingdings" w:hint="default"/>
      </w:rPr>
    </w:lvl>
    <w:lvl w:ilvl="3" w:tplc="0C090001" w:tentative="1">
      <w:start w:val="1"/>
      <w:numFmt w:val="bullet"/>
      <w:lvlText w:val=""/>
      <w:lvlJc w:val="left"/>
      <w:pPr>
        <w:ind w:left="2626" w:hanging="360"/>
      </w:pPr>
      <w:rPr>
        <w:rFonts w:ascii="Symbol" w:hAnsi="Symbol" w:hint="default"/>
      </w:rPr>
    </w:lvl>
    <w:lvl w:ilvl="4" w:tplc="0C090003" w:tentative="1">
      <w:start w:val="1"/>
      <w:numFmt w:val="bullet"/>
      <w:lvlText w:val="o"/>
      <w:lvlJc w:val="left"/>
      <w:pPr>
        <w:ind w:left="3346" w:hanging="360"/>
      </w:pPr>
      <w:rPr>
        <w:rFonts w:ascii="Courier New" w:hAnsi="Courier New" w:hint="default"/>
      </w:rPr>
    </w:lvl>
    <w:lvl w:ilvl="5" w:tplc="0C090005" w:tentative="1">
      <w:start w:val="1"/>
      <w:numFmt w:val="bullet"/>
      <w:lvlText w:val=""/>
      <w:lvlJc w:val="left"/>
      <w:pPr>
        <w:ind w:left="4066" w:hanging="360"/>
      </w:pPr>
      <w:rPr>
        <w:rFonts w:ascii="Wingdings" w:hAnsi="Wingdings" w:hint="default"/>
      </w:rPr>
    </w:lvl>
    <w:lvl w:ilvl="6" w:tplc="0C090001" w:tentative="1">
      <w:start w:val="1"/>
      <w:numFmt w:val="bullet"/>
      <w:lvlText w:val=""/>
      <w:lvlJc w:val="left"/>
      <w:pPr>
        <w:ind w:left="4786" w:hanging="360"/>
      </w:pPr>
      <w:rPr>
        <w:rFonts w:ascii="Symbol" w:hAnsi="Symbol" w:hint="default"/>
      </w:rPr>
    </w:lvl>
    <w:lvl w:ilvl="7" w:tplc="0C090003" w:tentative="1">
      <w:start w:val="1"/>
      <w:numFmt w:val="bullet"/>
      <w:lvlText w:val="o"/>
      <w:lvlJc w:val="left"/>
      <w:pPr>
        <w:ind w:left="5506" w:hanging="360"/>
      </w:pPr>
      <w:rPr>
        <w:rFonts w:ascii="Courier New" w:hAnsi="Courier New" w:hint="default"/>
      </w:rPr>
    </w:lvl>
    <w:lvl w:ilvl="8" w:tplc="0C090005" w:tentative="1">
      <w:start w:val="1"/>
      <w:numFmt w:val="bullet"/>
      <w:lvlText w:val=""/>
      <w:lvlJc w:val="left"/>
      <w:pPr>
        <w:ind w:left="6226" w:hanging="360"/>
      </w:pPr>
      <w:rPr>
        <w:rFonts w:ascii="Wingdings" w:hAnsi="Wingdings" w:hint="default"/>
      </w:rPr>
    </w:lvl>
  </w:abstractNum>
  <w:abstractNum w:abstractNumId="1" w15:restartNumberingAfterBreak="0">
    <w:nsid w:val="081E25DF"/>
    <w:multiLevelType w:val="hybridMultilevel"/>
    <w:tmpl w:val="388A7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53EEB"/>
    <w:multiLevelType w:val="hybridMultilevel"/>
    <w:tmpl w:val="02BC2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093CEF"/>
    <w:multiLevelType w:val="hybridMultilevel"/>
    <w:tmpl w:val="AEC8C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F12C8"/>
    <w:multiLevelType w:val="hybridMultilevel"/>
    <w:tmpl w:val="66321A2A"/>
    <w:lvl w:ilvl="0" w:tplc="AC7A343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310D88"/>
    <w:multiLevelType w:val="hybridMultilevel"/>
    <w:tmpl w:val="7A1E2E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37C375E"/>
    <w:multiLevelType w:val="hybridMultilevel"/>
    <w:tmpl w:val="82465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DB13C2"/>
    <w:multiLevelType w:val="hybridMultilevel"/>
    <w:tmpl w:val="BAACE8DE"/>
    <w:lvl w:ilvl="0" w:tplc="DB96AB80">
      <w:numFmt w:val="bullet"/>
      <w:lvlText w:val="-"/>
      <w:lvlJc w:val="left"/>
      <w:pPr>
        <w:ind w:left="360" w:hanging="360"/>
      </w:pPr>
      <w:rPr>
        <w:rFonts w:ascii="Cambria" w:eastAsia="MS Mincho"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CC315CC"/>
    <w:multiLevelType w:val="hybridMultilevel"/>
    <w:tmpl w:val="7B841AF8"/>
    <w:lvl w:ilvl="0" w:tplc="E1C8374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3620B"/>
    <w:multiLevelType w:val="hybridMultilevel"/>
    <w:tmpl w:val="0A0A6E24"/>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start w:val="1"/>
      <w:numFmt w:val="bullet"/>
      <w:lvlText w:val=""/>
      <w:lvlJc w:val="left"/>
      <w:pPr>
        <w:ind w:left="3731" w:hanging="360"/>
      </w:pPr>
      <w:rPr>
        <w:rFonts w:ascii="Symbol" w:hAnsi="Symbol" w:hint="default"/>
      </w:rPr>
    </w:lvl>
    <w:lvl w:ilvl="4" w:tplc="0C090003">
      <w:start w:val="1"/>
      <w:numFmt w:val="bullet"/>
      <w:lvlText w:val="o"/>
      <w:lvlJc w:val="left"/>
      <w:pPr>
        <w:ind w:left="4451" w:hanging="360"/>
      </w:pPr>
      <w:rPr>
        <w:rFonts w:ascii="Courier New" w:hAnsi="Courier New" w:cs="Courier New" w:hint="default"/>
      </w:rPr>
    </w:lvl>
    <w:lvl w:ilvl="5" w:tplc="0C090005">
      <w:start w:val="1"/>
      <w:numFmt w:val="bullet"/>
      <w:lvlText w:val=""/>
      <w:lvlJc w:val="left"/>
      <w:pPr>
        <w:ind w:left="5171" w:hanging="360"/>
      </w:pPr>
      <w:rPr>
        <w:rFonts w:ascii="Wingdings" w:hAnsi="Wingdings" w:hint="default"/>
      </w:rPr>
    </w:lvl>
    <w:lvl w:ilvl="6" w:tplc="0C090001">
      <w:start w:val="1"/>
      <w:numFmt w:val="bullet"/>
      <w:lvlText w:val=""/>
      <w:lvlJc w:val="left"/>
      <w:pPr>
        <w:ind w:left="5891" w:hanging="360"/>
      </w:pPr>
      <w:rPr>
        <w:rFonts w:ascii="Symbol" w:hAnsi="Symbol" w:hint="default"/>
      </w:rPr>
    </w:lvl>
    <w:lvl w:ilvl="7" w:tplc="0C090003">
      <w:start w:val="1"/>
      <w:numFmt w:val="bullet"/>
      <w:lvlText w:val="o"/>
      <w:lvlJc w:val="left"/>
      <w:pPr>
        <w:ind w:left="6611" w:hanging="360"/>
      </w:pPr>
      <w:rPr>
        <w:rFonts w:ascii="Courier New" w:hAnsi="Courier New" w:cs="Courier New" w:hint="default"/>
      </w:rPr>
    </w:lvl>
    <w:lvl w:ilvl="8" w:tplc="0C090005">
      <w:start w:val="1"/>
      <w:numFmt w:val="bullet"/>
      <w:lvlText w:val=""/>
      <w:lvlJc w:val="left"/>
      <w:pPr>
        <w:ind w:left="7331" w:hanging="360"/>
      </w:pPr>
      <w:rPr>
        <w:rFonts w:ascii="Wingdings" w:hAnsi="Wingdings" w:hint="default"/>
      </w:rPr>
    </w:lvl>
  </w:abstractNum>
  <w:abstractNum w:abstractNumId="10" w15:restartNumberingAfterBreak="0">
    <w:nsid w:val="1F1C32CC"/>
    <w:multiLevelType w:val="hybridMultilevel"/>
    <w:tmpl w:val="C4AC7EF8"/>
    <w:lvl w:ilvl="0" w:tplc="9F3412E2">
      <w:start w:val="1"/>
      <w:numFmt w:val="lowerRoman"/>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24E46EC8"/>
    <w:multiLevelType w:val="hybridMultilevel"/>
    <w:tmpl w:val="8D4E8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596C4C"/>
    <w:multiLevelType w:val="hybridMultilevel"/>
    <w:tmpl w:val="ED96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429E3"/>
    <w:multiLevelType w:val="hybridMultilevel"/>
    <w:tmpl w:val="284673CC"/>
    <w:lvl w:ilvl="0" w:tplc="9F3412E2">
      <w:start w:val="1"/>
      <w:numFmt w:val="lowerRoman"/>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2A62396A"/>
    <w:multiLevelType w:val="hybridMultilevel"/>
    <w:tmpl w:val="05ACF5E6"/>
    <w:lvl w:ilvl="0" w:tplc="1C0AF62A">
      <w:start w:val="1"/>
      <w:numFmt w:val="lowerLetter"/>
      <w:lvlText w:val="%1)"/>
      <w:lvlJc w:val="left"/>
      <w:pPr>
        <w:ind w:left="720" w:hanging="360"/>
      </w:pPr>
      <w:rPr>
        <w:rFonts w:hint="default"/>
        <w:b/>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6C2A13"/>
    <w:multiLevelType w:val="hybridMultilevel"/>
    <w:tmpl w:val="A9C6B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E118E1"/>
    <w:multiLevelType w:val="hybridMultilevel"/>
    <w:tmpl w:val="389AC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C24C28"/>
    <w:multiLevelType w:val="hybridMultilevel"/>
    <w:tmpl w:val="8B7C7992"/>
    <w:lvl w:ilvl="0" w:tplc="5948ACAE">
      <w:start w:val="7"/>
      <w:numFmt w:val="bullet"/>
      <w:lvlText w:val="-"/>
      <w:lvlJc w:val="left"/>
      <w:pPr>
        <w:ind w:left="720" w:hanging="360"/>
      </w:pPr>
      <w:rPr>
        <w:rFonts w:ascii="Calibri" w:eastAsiaTheme="minorEastAsia" w:hAnsi="Calibri" w:cs="Lucida Grand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6A81BD0"/>
    <w:multiLevelType w:val="hybridMultilevel"/>
    <w:tmpl w:val="64E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754D97"/>
    <w:multiLevelType w:val="hybridMultilevel"/>
    <w:tmpl w:val="AAA880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CE96462"/>
    <w:multiLevelType w:val="hybridMultilevel"/>
    <w:tmpl w:val="3A423F2C"/>
    <w:lvl w:ilvl="0" w:tplc="3DA8AB8A">
      <w:start w:val="1"/>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8B27B3"/>
    <w:multiLevelType w:val="hybridMultilevel"/>
    <w:tmpl w:val="78F03450"/>
    <w:lvl w:ilvl="0" w:tplc="0C090001">
      <w:start w:val="1"/>
      <w:numFmt w:val="bullet"/>
      <w:lvlText w:val=""/>
      <w:lvlJc w:val="left"/>
      <w:pPr>
        <w:ind w:left="720" w:hanging="360"/>
      </w:pPr>
      <w:rPr>
        <w:rFonts w:ascii="Symbol" w:hAnsi="Symbol" w:hint="default"/>
      </w:rPr>
    </w:lvl>
    <w:lvl w:ilvl="1" w:tplc="69BCCB5C">
      <w:start w:val="2"/>
      <w:numFmt w:val="bullet"/>
      <w:lvlText w:val="•"/>
      <w:lvlJc w:val="left"/>
      <w:pPr>
        <w:ind w:left="1800" w:hanging="72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9648F7"/>
    <w:multiLevelType w:val="hybridMultilevel"/>
    <w:tmpl w:val="D9729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584E3E"/>
    <w:multiLevelType w:val="hybridMultilevel"/>
    <w:tmpl w:val="BA000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8B7362"/>
    <w:multiLevelType w:val="hybridMultilevel"/>
    <w:tmpl w:val="AA04C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6D3A6A"/>
    <w:multiLevelType w:val="multilevel"/>
    <w:tmpl w:val="A214506C"/>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pStyle w:val="Bullet2"/>
      <w:lvlText w:val="–"/>
      <w:lvlJc w:val="left"/>
      <w:pPr>
        <w:tabs>
          <w:tab w:val="num" w:pos="1361"/>
        </w:tabs>
        <w:ind w:left="1361" w:hanging="284"/>
      </w:pPr>
      <w:rPr>
        <w:rFonts w:ascii="Calibri" w:hAnsi="Calibri" w:hint="default"/>
        <w:b w:val="0"/>
        <w:i w:val="0"/>
        <w:vanish w:val="0"/>
        <w:color w:val="auto"/>
        <w:sz w:val="22"/>
      </w:rPr>
    </w:lvl>
    <w:lvl w:ilvl="2">
      <w:start w:val="1"/>
      <w:numFmt w:val="bullet"/>
      <w:pStyle w:val="Bullet3"/>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6" w15:restartNumberingAfterBreak="0">
    <w:nsid w:val="47DB5478"/>
    <w:multiLevelType w:val="hybridMultilevel"/>
    <w:tmpl w:val="B236763C"/>
    <w:lvl w:ilvl="0" w:tplc="0C090001">
      <w:start w:val="1"/>
      <w:numFmt w:val="bullet"/>
      <w:lvlText w:val=""/>
      <w:lvlJc w:val="left"/>
      <w:pPr>
        <w:tabs>
          <w:tab w:val="num" w:pos="1154"/>
        </w:tabs>
        <w:ind w:left="1154" w:hanging="360"/>
      </w:pPr>
      <w:rPr>
        <w:rFonts w:ascii="Symbol" w:hAnsi="Symbol" w:hint="default"/>
      </w:rPr>
    </w:lvl>
    <w:lvl w:ilvl="1" w:tplc="0C090003" w:tentative="1">
      <w:start w:val="1"/>
      <w:numFmt w:val="bullet"/>
      <w:lvlText w:val="o"/>
      <w:lvlJc w:val="left"/>
      <w:pPr>
        <w:tabs>
          <w:tab w:val="num" w:pos="1874"/>
        </w:tabs>
        <w:ind w:left="1874" w:hanging="360"/>
      </w:pPr>
      <w:rPr>
        <w:rFonts w:ascii="Courier New" w:hAnsi="Courier New" w:hint="default"/>
      </w:rPr>
    </w:lvl>
    <w:lvl w:ilvl="2" w:tplc="0C090005" w:tentative="1">
      <w:start w:val="1"/>
      <w:numFmt w:val="bullet"/>
      <w:lvlText w:val=""/>
      <w:lvlJc w:val="left"/>
      <w:pPr>
        <w:tabs>
          <w:tab w:val="num" w:pos="2594"/>
        </w:tabs>
        <w:ind w:left="2594" w:hanging="360"/>
      </w:pPr>
      <w:rPr>
        <w:rFonts w:ascii="Wingdings" w:hAnsi="Wingdings" w:hint="default"/>
      </w:rPr>
    </w:lvl>
    <w:lvl w:ilvl="3" w:tplc="0C090001" w:tentative="1">
      <w:start w:val="1"/>
      <w:numFmt w:val="bullet"/>
      <w:lvlText w:val=""/>
      <w:lvlJc w:val="left"/>
      <w:pPr>
        <w:tabs>
          <w:tab w:val="num" w:pos="3314"/>
        </w:tabs>
        <w:ind w:left="3314" w:hanging="360"/>
      </w:pPr>
      <w:rPr>
        <w:rFonts w:ascii="Symbol" w:hAnsi="Symbol" w:hint="default"/>
      </w:rPr>
    </w:lvl>
    <w:lvl w:ilvl="4" w:tplc="0C090003" w:tentative="1">
      <w:start w:val="1"/>
      <w:numFmt w:val="bullet"/>
      <w:lvlText w:val="o"/>
      <w:lvlJc w:val="left"/>
      <w:pPr>
        <w:tabs>
          <w:tab w:val="num" w:pos="4034"/>
        </w:tabs>
        <w:ind w:left="4034" w:hanging="360"/>
      </w:pPr>
      <w:rPr>
        <w:rFonts w:ascii="Courier New" w:hAnsi="Courier New" w:hint="default"/>
      </w:rPr>
    </w:lvl>
    <w:lvl w:ilvl="5" w:tplc="0C090005" w:tentative="1">
      <w:start w:val="1"/>
      <w:numFmt w:val="bullet"/>
      <w:lvlText w:val=""/>
      <w:lvlJc w:val="left"/>
      <w:pPr>
        <w:tabs>
          <w:tab w:val="num" w:pos="4754"/>
        </w:tabs>
        <w:ind w:left="4754" w:hanging="360"/>
      </w:pPr>
      <w:rPr>
        <w:rFonts w:ascii="Wingdings" w:hAnsi="Wingdings" w:hint="default"/>
      </w:rPr>
    </w:lvl>
    <w:lvl w:ilvl="6" w:tplc="0C090001" w:tentative="1">
      <w:start w:val="1"/>
      <w:numFmt w:val="bullet"/>
      <w:lvlText w:val=""/>
      <w:lvlJc w:val="left"/>
      <w:pPr>
        <w:tabs>
          <w:tab w:val="num" w:pos="5474"/>
        </w:tabs>
        <w:ind w:left="5474" w:hanging="360"/>
      </w:pPr>
      <w:rPr>
        <w:rFonts w:ascii="Symbol" w:hAnsi="Symbol" w:hint="default"/>
      </w:rPr>
    </w:lvl>
    <w:lvl w:ilvl="7" w:tplc="0C090003" w:tentative="1">
      <w:start w:val="1"/>
      <w:numFmt w:val="bullet"/>
      <w:lvlText w:val="o"/>
      <w:lvlJc w:val="left"/>
      <w:pPr>
        <w:tabs>
          <w:tab w:val="num" w:pos="6194"/>
        </w:tabs>
        <w:ind w:left="6194" w:hanging="360"/>
      </w:pPr>
      <w:rPr>
        <w:rFonts w:ascii="Courier New" w:hAnsi="Courier New" w:hint="default"/>
      </w:rPr>
    </w:lvl>
    <w:lvl w:ilvl="8" w:tplc="0C090005" w:tentative="1">
      <w:start w:val="1"/>
      <w:numFmt w:val="bullet"/>
      <w:lvlText w:val=""/>
      <w:lvlJc w:val="left"/>
      <w:pPr>
        <w:tabs>
          <w:tab w:val="num" w:pos="6914"/>
        </w:tabs>
        <w:ind w:left="6914" w:hanging="360"/>
      </w:pPr>
      <w:rPr>
        <w:rFonts w:ascii="Wingdings" w:hAnsi="Wingdings" w:hint="default"/>
      </w:rPr>
    </w:lvl>
  </w:abstractNum>
  <w:abstractNum w:abstractNumId="27" w15:restartNumberingAfterBreak="0">
    <w:nsid w:val="487E4A1B"/>
    <w:multiLevelType w:val="hybridMultilevel"/>
    <w:tmpl w:val="71E4D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C01CFA"/>
    <w:multiLevelType w:val="hybridMultilevel"/>
    <w:tmpl w:val="93B06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CF50763"/>
    <w:multiLevelType w:val="hybridMultilevel"/>
    <w:tmpl w:val="D2F6DB08"/>
    <w:lvl w:ilvl="0" w:tplc="0DC809DC">
      <w:start w:val="1"/>
      <w:numFmt w:val="decimal"/>
      <w:pStyle w:val="Bulletlist"/>
      <w:lvlText w:val="%1."/>
      <w:lvlJc w:val="left"/>
      <w:pPr>
        <w:tabs>
          <w:tab w:val="num" w:pos="567"/>
        </w:tabs>
        <w:ind w:left="567" w:hanging="567"/>
      </w:pPr>
      <w:rPr>
        <w:rFonts w:cs="Times New Roman" w:hint="default"/>
      </w:rPr>
    </w:lvl>
    <w:lvl w:ilvl="1" w:tplc="ABD822C8">
      <w:start w:val="1"/>
      <w:numFmt w:val="bullet"/>
      <w:pStyle w:val="Bulletlis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0D0A23"/>
    <w:multiLevelType w:val="hybridMultilevel"/>
    <w:tmpl w:val="2AB26E8E"/>
    <w:lvl w:ilvl="0" w:tplc="0C090011">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1" w15:restartNumberingAfterBreak="0">
    <w:nsid w:val="531B7911"/>
    <w:multiLevelType w:val="hybridMultilevel"/>
    <w:tmpl w:val="46023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3B15C4"/>
    <w:multiLevelType w:val="hybridMultilevel"/>
    <w:tmpl w:val="65C6C2CA"/>
    <w:lvl w:ilvl="0" w:tplc="82FECC3A">
      <w:start w:val="3"/>
      <w:numFmt w:val="bullet"/>
      <w:lvlText w:val="-"/>
      <w:lvlJc w:val="left"/>
      <w:pPr>
        <w:ind w:left="720" w:hanging="360"/>
      </w:pPr>
      <w:rPr>
        <w:rFonts w:ascii="Calibri" w:eastAsiaTheme="minorEastAsia" w:hAnsi="Calibri" w:cs="Lucida Grande" w:hint="default"/>
      </w:rPr>
    </w:lvl>
    <w:lvl w:ilvl="1" w:tplc="04090001">
      <w:start w:val="1"/>
      <w:numFmt w:val="bullet"/>
      <w:lvlText w:val=""/>
      <w:lvlJc w:val="left"/>
      <w:pPr>
        <w:ind w:left="72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1C9203C"/>
    <w:multiLevelType w:val="hybridMultilevel"/>
    <w:tmpl w:val="B4A6D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4661DF"/>
    <w:multiLevelType w:val="hybridMultilevel"/>
    <w:tmpl w:val="E8F2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901AA9"/>
    <w:multiLevelType w:val="hybridMultilevel"/>
    <w:tmpl w:val="D81403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230B9C"/>
    <w:multiLevelType w:val="hybridMultilevel"/>
    <w:tmpl w:val="0CC4159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7" w15:restartNumberingAfterBreak="0">
    <w:nsid w:val="6A394F9F"/>
    <w:multiLevelType w:val="hybridMultilevel"/>
    <w:tmpl w:val="8A78BC2C"/>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8" w15:restartNumberingAfterBreak="0">
    <w:nsid w:val="6D576F65"/>
    <w:multiLevelType w:val="hybridMultilevel"/>
    <w:tmpl w:val="11A09E6A"/>
    <w:lvl w:ilvl="0" w:tplc="60B6AC00">
      <w:start w:val="2"/>
      <w:numFmt w:val="bullet"/>
      <w:lvlText w:val="•"/>
      <w:lvlJc w:val="left"/>
      <w:pPr>
        <w:ind w:left="720" w:hanging="360"/>
      </w:pPr>
      <w:rPr>
        <w:rFonts w:ascii="Calibri" w:eastAsiaTheme="minorEastAsia" w:hAnsi="Calibri" w:cs="Lucida Gran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3B26E6"/>
    <w:multiLevelType w:val="hybridMultilevel"/>
    <w:tmpl w:val="E2A67F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E8E0683"/>
    <w:multiLevelType w:val="hybridMultilevel"/>
    <w:tmpl w:val="D946E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A01235"/>
    <w:multiLevelType w:val="hybridMultilevel"/>
    <w:tmpl w:val="78D284D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FC56A1"/>
    <w:multiLevelType w:val="hybridMultilevel"/>
    <w:tmpl w:val="438E0C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9BD11BB"/>
    <w:multiLevelType w:val="hybridMultilevel"/>
    <w:tmpl w:val="90CEA9A4"/>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F8F52B5"/>
    <w:multiLevelType w:val="hybridMultilevel"/>
    <w:tmpl w:val="67BC3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43"/>
  </w:num>
  <w:num w:numId="3">
    <w:abstractNumId w:val="2"/>
  </w:num>
  <w:num w:numId="4">
    <w:abstractNumId w:val="6"/>
  </w:num>
  <w:num w:numId="5">
    <w:abstractNumId w:val="8"/>
  </w:num>
  <w:num w:numId="6">
    <w:abstractNumId w:val="25"/>
  </w:num>
  <w:num w:numId="7">
    <w:abstractNumId w:val="18"/>
  </w:num>
  <w:num w:numId="8">
    <w:abstractNumId w:val="11"/>
  </w:num>
  <w:num w:numId="9">
    <w:abstractNumId w:val="33"/>
  </w:num>
  <w:num w:numId="10">
    <w:abstractNumId w:val="29"/>
  </w:num>
  <w:num w:numId="11">
    <w:abstractNumId w:val="35"/>
  </w:num>
  <w:num w:numId="12">
    <w:abstractNumId w:val="22"/>
  </w:num>
  <w:num w:numId="13">
    <w:abstractNumId w:val="9"/>
  </w:num>
  <w:num w:numId="14">
    <w:abstractNumId w:val="39"/>
  </w:num>
  <w:num w:numId="15">
    <w:abstractNumId w:val="5"/>
  </w:num>
  <w:num w:numId="16">
    <w:abstractNumId w:val="28"/>
  </w:num>
  <w:num w:numId="17">
    <w:abstractNumId w:val="17"/>
  </w:num>
  <w:num w:numId="18">
    <w:abstractNumId w:val="32"/>
  </w:num>
  <w:num w:numId="19">
    <w:abstractNumId w:val="10"/>
  </w:num>
  <w:num w:numId="20">
    <w:abstractNumId w:val="13"/>
  </w:num>
  <w:num w:numId="21">
    <w:abstractNumId w:val="23"/>
  </w:num>
  <w:num w:numId="22">
    <w:abstractNumId w:val="31"/>
  </w:num>
  <w:num w:numId="23">
    <w:abstractNumId w:val="21"/>
  </w:num>
  <w:num w:numId="24">
    <w:abstractNumId w:val="30"/>
  </w:num>
  <w:num w:numId="25">
    <w:abstractNumId w:val="3"/>
  </w:num>
  <w:num w:numId="26">
    <w:abstractNumId w:val="14"/>
  </w:num>
  <w:num w:numId="27">
    <w:abstractNumId w:val="38"/>
  </w:num>
  <w:num w:numId="28">
    <w:abstractNumId w:val="12"/>
  </w:num>
  <w:num w:numId="29">
    <w:abstractNumId w:val="7"/>
  </w:num>
  <w:num w:numId="30">
    <w:abstractNumId w:val="44"/>
  </w:num>
  <w:num w:numId="31">
    <w:abstractNumId w:val="27"/>
  </w:num>
  <w:num w:numId="32">
    <w:abstractNumId w:val="4"/>
  </w:num>
  <w:num w:numId="33">
    <w:abstractNumId w:val="20"/>
  </w:num>
  <w:num w:numId="34">
    <w:abstractNumId w:val="40"/>
  </w:num>
  <w:num w:numId="35">
    <w:abstractNumId w:val="16"/>
  </w:num>
  <w:num w:numId="36">
    <w:abstractNumId w:val="0"/>
  </w:num>
  <w:num w:numId="37">
    <w:abstractNumId w:val="26"/>
  </w:num>
  <w:num w:numId="38">
    <w:abstractNumId w:val="41"/>
  </w:num>
  <w:num w:numId="39">
    <w:abstractNumId w:val="15"/>
  </w:num>
  <w:num w:numId="40">
    <w:abstractNumId w:val="37"/>
  </w:num>
  <w:num w:numId="41">
    <w:abstractNumId w:val="24"/>
  </w:num>
  <w:num w:numId="42">
    <w:abstractNumId w:val="42"/>
  </w:num>
  <w:num w:numId="43">
    <w:abstractNumId w:val="1"/>
  </w:num>
  <w:num w:numId="44">
    <w:abstractNumId w:val="19"/>
  </w:num>
  <w:num w:numId="45">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E16"/>
    <w:rsid w:val="00001E4A"/>
    <w:rsid w:val="00003D1A"/>
    <w:rsid w:val="00007669"/>
    <w:rsid w:val="00007F32"/>
    <w:rsid w:val="0001047A"/>
    <w:rsid w:val="00012022"/>
    <w:rsid w:val="00012B4A"/>
    <w:rsid w:val="00013351"/>
    <w:rsid w:val="00014738"/>
    <w:rsid w:val="0001639D"/>
    <w:rsid w:val="00016595"/>
    <w:rsid w:val="00016AE6"/>
    <w:rsid w:val="00022E60"/>
    <w:rsid w:val="000240E7"/>
    <w:rsid w:val="00024776"/>
    <w:rsid w:val="00026110"/>
    <w:rsid w:val="00027D27"/>
    <w:rsid w:val="00027F0F"/>
    <w:rsid w:val="00032075"/>
    <w:rsid w:val="000325BC"/>
    <w:rsid w:val="000327EE"/>
    <w:rsid w:val="00034342"/>
    <w:rsid w:val="0003567C"/>
    <w:rsid w:val="00035880"/>
    <w:rsid w:val="000368AE"/>
    <w:rsid w:val="00037448"/>
    <w:rsid w:val="000401CF"/>
    <w:rsid w:val="00042C50"/>
    <w:rsid w:val="0004554B"/>
    <w:rsid w:val="0005387E"/>
    <w:rsid w:val="00054DDB"/>
    <w:rsid w:val="00057236"/>
    <w:rsid w:val="00062CF5"/>
    <w:rsid w:val="00063F87"/>
    <w:rsid w:val="00064F2C"/>
    <w:rsid w:val="000706BA"/>
    <w:rsid w:val="00073432"/>
    <w:rsid w:val="000846F8"/>
    <w:rsid w:val="00085315"/>
    <w:rsid w:val="00086A6B"/>
    <w:rsid w:val="00090FBA"/>
    <w:rsid w:val="00091F5A"/>
    <w:rsid w:val="00093336"/>
    <w:rsid w:val="00095404"/>
    <w:rsid w:val="000A0DFE"/>
    <w:rsid w:val="000A475F"/>
    <w:rsid w:val="000A7FC7"/>
    <w:rsid w:val="000B12F4"/>
    <w:rsid w:val="000B4B7A"/>
    <w:rsid w:val="000B748E"/>
    <w:rsid w:val="000C18EC"/>
    <w:rsid w:val="000C23D5"/>
    <w:rsid w:val="000D5B5D"/>
    <w:rsid w:val="000D747A"/>
    <w:rsid w:val="000E0408"/>
    <w:rsid w:val="000E1020"/>
    <w:rsid w:val="000E1D94"/>
    <w:rsid w:val="000E7FA4"/>
    <w:rsid w:val="000F080F"/>
    <w:rsid w:val="000F0DCC"/>
    <w:rsid w:val="000F5672"/>
    <w:rsid w:val="000F598A"/>
    <w:rsid w:val="00101EC8"/>
    <w:rsid w:val="00104C69"/>
    <w:rsid w:val="00104D17"/>
    <w:rsid w:val="001062FA"/>
    <w:rsid w:val="00107A68"/>
    <w:rsid w:val="00110195"/>
    <w:rsid w:val="0011184E"/>
    <w:rsid w:val="0011434A"/>
    <w:rsid w:val="001148D9"/>
    <w:rsid w:val="00114D0A"/>
    <w:rsid w:val="00116471"/>
    <w:rsid w:val="00121934"/>
    <w:rsid w:val="00121FCC"/>
    <w:rsid w:val="001234BF"/>
    <w:rsid w:val="00124313"/>
    <w:rsid w:val="00127996"/>
    <w:rsid w:val="00135C36"/>
    <w:rsid w:val="001443EE"/>
    <w:rsid w:val="00145BAE"/>
    <w:rsid w:val="00151772"/>
    <w:rsid w:val="00151B84"/>
    <w:rsid w:val="00152512"/>
    <w:rsid w:val="001543A3"/>
    <w:rsid w:val="00155C88"/>
    <w:rsid w:val="001578D3"/>
    <w:rsid w:val="001601C0"/>
    <w:rsid w:val="00160E52"/>
    <w:rsid w:val="001638C3"/>
    <w:rsid w:val="001656BA"/>
    <w:rsid w:val="00167954"/>
    <w:rsid w:val="00176814"/>
    <w:rsid w:val="00180AFA"/>
    <w:rsid w:val="001812D0"/>
    <w:rsid w:val="00184BCC"/>
    <w:rsid w:val="00185B2F"/>
    <w:rsid w:val="00187A9D"/>
    <w:rsid w:val="001914F9"/>
    <w:rsid w:val="001956BD"/>
    <w:rsid w:val="00196BE5"/>
    <w:rsid w:val="001A0601"/>
    <w:rsid w:val="001A125B"/>
    <w:rsid w:val="001A1337"/>
    <w:rsid w:val="001A1F71"/>
    <w:rsid w:val="001A3678"/>
    <w:rsid w:val="001A6758"/>
    <w:rsid w:val="001B042C"/>
    <w:rsid w:val="001B1D87"/>
    <w:rsid w:val="001B7F55"/>
    <w:rsid w:val="001C19B6"/>
    <w:rsid w:val="001C2B49"/>
    <w:rsid w:val="001C4DE5"/>
    <w:rsid w:val="001C5C4D"/>
    <w:rsid w:val="001D1BF9"/>
    <w:rsid w:val="001D2885"/>
    <w:rsid w:val="001D51D6"/>
    <w:rsid w:val="001D51FC"/>
    <w:rsid w:val="001E0B93"/>
    <w:rsid w:val="001F0E28"/>
    <w:rsid w:val="001F22AB"/>
    <w:rsid w:val="001F4E5C"/>
    <w:rsid w:val="0020042F"/>
    <w:rsid w:val="00202676"/>
    <w:rsid w:val="00202A56"/>
    <w:rsid w:val="00202FF9"/>
    <w:rsid w:val="00203BDA"/>
    <w:rsid w:val="002067BA"/>
    <w:rsid w:val="002106AD"/>
    <w:rsid w:val="00211FED"/>
    <w:rsid w:val="00213D60"/>
    <w:rsid w:val="002145FD"/>
    <w:rsid w:val="00215664"/>
    <w:rsid w:val="00216D82"/>
    <w:rsid w:val="0022016D"/>
    <w:rsid w:val="002216BE"/>
    <w:rsid w:val="0022235D"/>
    <w:rsid w:val="002225C8"/>
    <w:rsid w:val="0022379C"/>
    <w:rsid w:val="002300D8"/>
    <w:rsid w:val="00230102"/>
    <w:rsid w:val="00230231"/>
    <w:rsid w:val="0023350D"/>
    <w:rsid w:val="002359E4"/>
    <w:rsid w:val="002400D4"/>
    <w:rsid w:val="00241C2E"/>
    <w:rsid w:val="00243717"/>
    <w:rsid w:val="0024455A"/>
    <w:rsid w:val="00244B6C"/>
    <w:rsid w:val="0024626E"/>
    <w:rsid w:val="002462FB"/>
    <w:rsid w:val="00247011"/>
    <w:rsid w:val="002533EE"/>
    <w:rsid w:val="00254312"/>
    <w:rsid w:val="00254E7D"/>
    <w:rsid w:val="0025645D"/>
    <w:rsid w:val="0026033F"/>
    <w:rsid w:val="00260751"/>
    <w:rsid w:val="002631CD"/>
    <w:rsid w:val="00264670"/>
    <w:rsid w:val="002660F3"/>
    <w:rsid w:val="00266297"/>
    <w:rsid w:val="0027073D"/>
    <w:rsid w:val="00282DD8"/>
    <w:rsid w:val="00290F56"/>
    <w:rsid w:val="002931F6"/>
    <w:rsid w:val="00293923"/>
    <w:rsid w:val="00294D6C"/>
    <w:rsid w:val="00295FAE"/>
    <w:rsid w:val="002A31D2"/>
    <w:rsid w:val="002A5343"/>
    <w:rsid w:val="002A6467"/>
    <w:rsid w:val="002B05B8"/>
    <w:rsid w:val="002B4EF7"/>
    <w:rsid w:val="002B6300"/>
    <w:rsid w:val="002B7953"/>
    <w:rsid w:val="002C3C01"/>
    <w:rsid w:val="002C42EE"/>
    <w:rsid w:val="002C5025"/>
    <w:rsid w:val="002C7E56"/>
    <w:rsid w:val="002D1570"/>
    <w:rsid w:val="002D4FCF"/>
    <w:rsid w:val="002D5392"/>
    <w:rsid w:val="002D55B4"/>
    <w:rsid w:val="002D635E"/>
    <w:rsid w:val="002D6C78"/>
    <w:rsid w:val="002E14A7"/>
    <w:rsid w:val="002E1634"/>
    <w:rsid w:val="002E1CD3"/>
    <w:rsid w:val="002E353F"/>
    <w:rsid w:val="002E4764"/>
    <w:rsid w:val="002E693C"/>
    <w:rsid w:val="002F215E"/>
    <w:rsid w:val="002F221D"/>
    <w:rsid w:val="002F3150"/>
    <w:rsid w:val="002F5749"/>
    <w:rsid w:val="002F6421"/>
    <w:rsid w:val="002F6B9D"/>
    <w:rsid w:val="00304C60"/>
    <w:rsid w:val="0030563A"/>
    <w:rsid w:val="003070A6"/>
    <w:rsid w:val="00311E08"/>
    <w:rsid w:val="003131F0"/>
    <w:rsid w:val="00313DD7"/>
    <w:rsid w:val="003141FE"/>
    <w:rsid w:val="00322E53"/>
    <w:rsid w:val="00323FFF"/>
    <w:rsid w:val="00327F4C"/>
    <w:rsid w:val="00331C06"/>
    <w:rsid w:val="0033203E"/>
    <w:rsid w:val="00333BC5"/>
    <w:rsid w:val="0033661C"/>
    <w:rsid w:val="0034102C"/>
    <w:rsid w:val="00341B9B"/>
    <w:rsid w:val="00346B89"/>
    <w:rsid w:val="00346F60"/>
    <w:rsid w:val="00347495"/>
    <w:rsid w:val="00350951"/>
    <w:rsid w:val="00353790"/>
    <w:rsid w:val="003629E3"/>
    <w:rsid w:val="00363173"/>
    <w:rsid w:val="00363174"/>
    <w:rsid w:val="003653D2"/>
    <w:rsid w:val="00370AB8"/>
    <w:rsid w:val="003721C9"/>
    <w:rsid w:val="0037229D"/>
    <w:rsid w:val="003729F7"/>
    <w:rsid w:val="00372A07"/>
    <w:rsid w:val="00374121"/>
    <w:rsid w:val="003763A2"/>
    <w:rsid w:val="00376426"/>
    <w:rsid w:val="00380787"/>
    <w:rsid w:val="00381744"/>
    <w:rsid w:val="00384F25"/>
    <w:rsid w:val="003867C8"/>
    <w:rsid w:val="00387C01"/>
    <w:rsid w:val="00391405"/>
    <w:rsid w:val="00391FFF"/>
    <w:rsid w:val="00392A11"/>
    <w:rsid w:val="00394327"/>
    <w:rsid w:val="00394A0E"/>
    <w:rsid w:val="003959AB"/>
    <w:rsid w:val="003973DB"/>
    <w:rsid w:val="003A0356"/>
    <w:rsid w:val="003A273C"/>
    <w:rsid w:val="003A3BD0"/>
    <w:rsid w:val="003A5706"/>
    <w:rsid w:val="003B29C6"/>
    <w:rsid w:val="003B7B52"/>
    <w:rsid w:val="003C1423"/>
    <w:rsid w:val="003C1EEA"/>
    <w:rsid w:val="003C3937"/>
    <w:rsid w:val="003C5C2D"/>
    <w:rsid w:val="003D2461"/>
    <w:rsid w:val="003D2D28"/>
    <w:rsid w:val="003D50C2"/>
    <w:rsid w:val="003D5132"/>
    <w:rsid w:val="003D64ED"/>
    <w:rsid w:val="003D6E49"/>
    <w:rsid w:val="003E44DA"/>
    <w:rsid w:val="003E489B"/>
    <w:rsid w:val="003E783C"/>
    <w:rsid w:val="003F1B2D"/>
    <w:rsid w:val="003F215B"/>
    <w:rsid w:val="003F5158"/>
    <w:rsid w:val="00401869"/>
    <w:rsid w:val="004025FC"/>
    <w:rsid w:val="0041092D"/>
    <w:rsid w:val="004150D2"/>
    <w:rsid w:val="0041660B"/>
    <w:rsid w:val="00421320"/>
    <w:rsid w:val="00421664"/>
    <w:rsid w:val="00423602"/>
    <w:rsid w:val="00424932"/>
    <w:rsid w:val="00427196"/>
    <w:rsid w:val="004303D3"/>
    <w:rsid w:val="0043282F"/>
    <w:rsid w:val="00435388"/>
    <w:rsid w:val="0044165D"/>
    <w:rsid w:val="004459B3"/>
    <w:rsid w:val="00446D72"/>
    <w:rsid w:val="00450822"/>
    <w:rsid w:val="00451C92"/>
    <w:rsid w:val="00453CB4"/>
    <w:rsid w:val="0045623A"/>
    <w:rsid w:val="0046220F"/>
    <w:rsid w:val="0046365D"/>
    <w:rsid w:val="00467F48"/>
    <w:rsid w:val="00472954"/>
    <w:rsid w:val="0047484C"/>
    <w:rsid w:val="0047615B"/>
    <w:rsid w:val="004761CB"/>
    <w:rsid w:val="004765B6"/>
    <w:rsid w:val="00480EA1"/>
    <w:rsid w:val="00481147"/>
    <w:rsid w:val="00481EC1"/>
    <w:rsid w:val="004902B1"/>
    <w:rsid w:val="00490F17"/>
    <w:rsid w:val="00491000"/>
    <w:rsid w:val="00494865"/>
    <w:rsid w:val="004952E6"/>
    <w:rsid w:val="004956B1"/>
    <w:rsid w:val="004A2484"/>
    <w:rsid w:val="004A65B1"/>
    <w:rsid w:val="004B330F"/>
    <w:rsid w:val="004B45D5"/>
    <w:rsid w:val="004B537E"/>
    <w:rsid w:val="004B6D3C"/>
    <w:rsid w:val="004B70EB"/>
    <w:rsid w:val="004C0C06"/>
    <w:rsid w:val="004C21A3"/>
    <w:rsid w:val="004C2DAA"/>
    <w:rsid w:val="004C3A73"/>
    <w:rsid w:val="004C4B5A"/>
    <w:rsid w:val="004C7F79"/>
    <w:rsid w:val="004D0F10"/>
    <w:rsid w:val="004D1A84"/>
    <w:rsid w:val="004D490C"/>
    <w:rsid w:val="004D5552"/>
    <w:rsid w:val="004D5753"/>
    <w:rsid w:val="004D6CAD"/>
    <w:rsid w:val="004E00B0"/>
    <w:rsid w:val="004E1CF3"/>
    <w:rsid w:val="004E1FE9"/>
    <w:rsid w:val="004E2A5F"/>
    <w:rsid w:val="004E39B5"/>
    <w:rsid w:val="004E4135"/>
    <w:rsid w:val="004E51A5"/>
    <w:rsid w:val="004E64CA"/>
    <w:rsid w:val="004E79E5"/>
    <w:rsid w:val="004F0F77"/>
    <w:rsid w:val="004F4353"/>
    <w:rsid w:val="004F574D"/>
    <w:rsid w:val="00501A99"/>
    <w:rsid w:val="005036D8"/>
    <w:rsid w:val="00503F5B"/>
    <w:rsid w:val="00505B69"/>
    <w:rsid w:val="00510505"/>
    <w:rsid w:val="00510CE3"/>
    <w:rsid w:val="00510EDD"/>
    <w:rsid w:val="00514E45"/>
    <w:rsid w:val="00515656"/>
    <w:rsid w:val="00515E11"/>
    <w:rsid w:val="00517C6D"/>
    <w:rsid w:val="005203C3"/>
    <w:rsid w:val="005205BA"/>
    <w:rsid w:val="00520C1B"/>
    <w:rsid w:val="00523E0F"/>
    <w:rsid w:val="00527283"/>
    <w:rsid w:val="0053251D"/>
    <w:rsid w:val="005346B8"/>
    <w:rsid w:val="00535EE3"/>
    <w:rsid w:val="005374C5"/>
    <w:rsid w:val="00537923"/>
    <w:rsid w:val="00537FD0"/>
    <w:rsid w:val="00541F8C"/>
    <w:rsid w:val="005424B0"/>
    <w:rsid w:val="00543CAF"/>
    <w:rsid w:val="0054411B"/>
    <w:rsid w:val="00551975"/>
    <w:rsid w:val="00552D30"/>
    <w:rsid w:val="00555001"/>
    <w:rsid w:val="00562AE6"/>
    <w:rsid w:val="00566286"/>
    <w:rsid w:val="00572199"/>
    <w:rsid w:val="00572CF7"/>
    <w:rsid w:val="00575A95"/>
    <w:rsid w:val="00576FF0"/>
    <w:rsid w:val="00591D09"/>
    <w:rsid w:val="00595AE9"/>
    <w:rsid w:val="00595DFB"/>
    <w:rsid w:val="005A1BE8"/>
    <w:rsid w:val="005A3CA5"/>
    <w:rsid w:val="005B6783"/>
    <w:rsid w:val="005B7605"/>
    <w:rsid w:val="005B7CC8"/>
    <w:rsid w:val="005C6894"/>
    <w:rsid w:val="005C7E8B"/>
    <w:rsid w:val="005D1772"/>
    <w:rsid w:val="005D368F"/>
    <w:rsid w:val="005D4118"/>
    <w:rsid w:val="005D4D54"/>
    <w:rsid w:val="005D5B21"/>
    <w:rsid w:val="005E0FC5"/>
    <w:rsid w:val="005E4858"/>
    <w:rsid w:val="005E5BE3"/>
    <w:rsid w:val="005E7160"/>
    <w:rsid w:val="005F1899"/>
    <w:rsid w:val="005F2188"/>
    <w:rsid w:val="005F42B6"/>
    <w:rsid w:val="005F587F"/>
    <w:rsid w:val="005F7DB6"/>
    <w:rsid w:val="006008DA"/>
    <w:rsid w:val="00607A91"/>
    <w:rsid w:val="00611186"/>
    <w:rsid w:val="00612480"/>
    <w:rsid w:val="00616AD8"/>
    <w:rsid w:val="00617D3A"/>
    <w:rsid w:val="006250D0"/>
    <w:rsid w:val="00636FC8"/>
    <w:rsid w:val="00643E35"/>
    <w:rsid w:val="00645946"/>
    <w:rsid w:val="00647D19"/>
    <w:rsid w:val="006500A6"/>
    <w:rsid w:val="006609EB"/>
    <w:rsid w:val="006614F8"/>
    <w:rsid w:val="006638E6"/>
    <w:rsid w:val="00664FF6"/>
    <w:rsid w:val="00670687"/>
    <w:rsid w:val="00672028"/>
    <w:rsid w:val="00672CF0"/>
    <w:rsid w:val="00675892"/>
    <w:rsid w:val="006771F8"/>
    <w:rsid w:val="00677F3F"/>
    <w:rsid w:val="00681C4E"/>
    <w:rsid w:val="006834D0"/>
    <w:rsid w:val="006835A8"/>
    <w:rsid w:val="0068471A"/>
    <w:rsid w:val="00686731"/>
    <w:rsid w:val="0069194C"/>
    <w:rsid w:val="0069269B"/>
    <w:rsid w:val="006A2F8A"/>
    <w:rsid w:val="006A444F"/>
    <w:rsid w:val="006A4787"/>
    <w:rsid w:val="006B1966"/>
    <w:rsid w:val="006B24C3"/>
    <w:rsid w:val="006B3FE5"/>
    <w:rsid w:val="006C0A91"/>
    <w:rsid w:val="006C1947"/>
    <w:rsid w:val="006D4144"/>
    <w:rsid w:val="006D41F6"/>
    <w:rsid w:val="006D5B93"/>
    <w:rsid w:val="006D5E0D"/>
    <w:rsid w:val="006D6BC7"/>
    <w:rsid w:val="006D79BB"/>
    <w:rsid w:val="006E1AB5"/>
    <w:rsid w:val="006E7749"/>
    <w:rsid w:val="006F345D"/>
    <w:rsid w:val="006F419B"/>
    <w:rsid w:val="006F7473"/>
    <w:rsid w:val="00706695"/>
    <w:rsid w:val="00714A80"/>
    <w:rsid w:val="007178DE"/>
    <w:rsid w:val="007206E5"/>
    <w:rsid w:val="007225B7"/>
    <w:rsid w:val="007245FE"/>
    <w:rsid w:val="00724CD6"/>
    <w:rsid w:val="007268FB"/>
    <w:rsid w:val="00726A19"/>
    <w:rsid w:val="00726FBB"/>
    <w:rsid w:val="00731603"/>
    <w:rsid w:val="00732CF2"/>
    <w:rsid w:val="007340E3"/>
    <w:rsid w:val="00736021"/>
    <w:rsid w:val="00740ACC"/>
    <w:rsid w:val="00744A22"/>
    <w:rsid w:val="00744FBF"/>
    <w:rsid w:val="007468F3"/>
    <w:rsid w:val="007512B1"/>
    <w:rsid w:val="00754C75"/>
    <w:rsid w:val="00755736"/>
    <w:rsid w:val="00757F4E"/>
    <w:rsid w:val="007604D9"/>
    <w:rsid w:val="00761F43"/>
    <w:rsid w:val="00765089"/>
    <w:rsid w:val="00767EF1"/>
    <w:rsid w:val="00772024"/>
    <w:rsid w:val="00773B6E"/>
    <w:rsid w:val="00785C3F"/>
    <w:rsid w:val="00790DB6"/>
    <w:rsid w:val="00790EBC"/>
    <w:rsid w:val="00795493"/>
    <w:rsid w:val="00796521"/>
    <w:rsid w:val="007A1180"/>
    <w:rsid w:val="007A22E4"/>
    <w:rsid w:val="007A4411"/>
    <w:rsid w:val="007A446B"/>
    <w:rsid w:val="007B0DB7"/>
    <w:rsid w:val="007B1C84"/>
    <w:rsid w:val="007B24DE"/>
    <w:rsid w:val="007B2C30"/>
    <w:rsid w:val="007C1AD3"/>
    <w:rsid w:val="007C26A8"/>
    <w:rsid w:val="007C32FC"/>
    <w:rsid w:val="007C4D7B"/>
    <w:rsid w:val="007C60FB"/>
    <w:rsid w:val="007C6A18"/>
    <w:rsid w:val="007D2A45"/>
    <w:rsid w:val="007D3CDC"/>
    <w:rsid w:val="007D4884"/>
    <w:rsid w:val="007D4CD3"/>
    <w:rsid w:val="007D599C"/>
    <w:rsid w:val="007D5ED3"/>
    <w:rsid w:val="007D7612"/>
    <w:rsid w:val="007E1391"/>
    <w:rsid w:val="007E4584"/>
    <w:rsid w:val="007E6BE1"/>
    <w:rsid w:val="007E6BE5"/>
    <w:rsid w:val="007E6D5A"/>
    <w:rsid w:val="007F0356"/>
    <w:rsid w:val="007F13D1"/>
    <w:rsid w:val="007F147E"/>
    <w:rsid w:val="007F3509"/>
    <w:rsid w:val="007F3E62"/>
    <w:rsid w:val="007F669C"/>
    <w:rsid w:val="00800876"/>
    <w:rsid w:val="00802543"/>
    <w:rsid w:val="008029C2"/>
    <w:rsid w:val="008048FD"/>
    <w:rsid w:val="0080683B"/>
    <w:rsid w:val="0080697C"/>
    <w:rsid w:val="00814789"/>
    <w:rsid w:val="00820369"/>
    <w:rsid w:val="008214E3"/>
    <w:rsid w:val="0082188B"/>
    <w:rsid w:val="00822610"/>
    <w:rsid w:val="00831B17"/>
    <w:rsid w:val="008338C1"/>
    <w:rsid w:val="00835285"/>
    <w:rsid w:val="008360E5"/>
    <w:rsid w:val="00836DD0"/>
    <w:rsid w:val="008372BE"/>
    <w:rsid w:val="00837943"/>
    <w:rsid w:val="008434BC"/>
    <w:rsid w:val="00846389"/>
    <w:rsid w:val="00856B57"/>
    <w:rsid w:val="00861CF7"/>
    <w:rsid w:val="008638F5"/>
    <w:rsid w:val="00865C03"/>
    <w:rsid w:val="00867E9E"/>
    <w:rsid w:val="00870A16"/>
    <w:rsid w:val="00872971"/>
    <w:rsid w:val="00873EB1"/>
    <w:rsid w:val="00875550"/>
    <w:rsid w:val="0087645B"/>
    <w:rsid w:val="00877396"/>
    <w:rsid w:val="008808C5"/>
    <w:rsid w:val="008814E0"/>
    <w:rsid w:val="00886331"/>
    <w:rsid w:val="00892154"/>
    <w:rsid w:val="00892523"/>
    <w:rsid w:val="00894798"/>
    <w:rsid w:val="00894AB5"/>
    <w:rsid w:val="00894B41"/>
    <w:rsid w:val="00895995"/>
    <w:rsid w:val="008975DE"/>
    <w:rsid w:val="008A1F1F"/>
    <w:rsid w:val="008A2E99"/>
    <w:rsid w:val="008A4708"/>
    <w:rsid w:val="008A47B0"/>
    <w:rsid w:val="008A6BA8"/>
    <w:rsid w:val="008B1398"/>
    <w:rsid w:val="008B48A4"/>
    <w:rsid w:val="008B5E94"/>
    <w:rsid w:val="008C3D8E"/>
    <w:rsid w:val="008C53D8"/>
    <w:rsid w:val="008C7584"/>
    <w:rsid w:val="008C7CCC"/>
    <w:rsid w:val="008C7E6D"/>
    <w:rsid w:val="008D17F8"/>
    <w:rsid w:val="008D1DD7"/>
    <w:rsid w:val="008D52D6"/>
    <w:rsid w:val="008D5EF1"/>
    <w:rsid w:val="008E1F0B"/>
    <w:rsid w:val="008F1269"/>
    <w:rsid w:val="008F4086"/>
    <w:rsid w:val="008F5D80"/>
    <w:rsid w:val="008F6D52"/>
    <w:rsid w:val="008F7FF3"/>
    <w:rsid w:val="00905CC9"/>
    <w:rsid w:val="00912BC2"/>
    <w:rsid w:val="00915832"/>
    <w:rsid w:val="00916169"/>
    <w:rsid w:val="00924243"/>
    <w:rsid w:val="00925EC1"/>
    <w:rsid w:val="009307B3"/>
    <w:rsid w:val="009320DE"/>
    <w:rsid w:val="009321A0"/>
    <w:rsid w:val="0093326F"/>
    <w:rsid w:val="0093582D"/>
    <w:rsid w:val="00936FB1"/>
    <w:rsid w:val="00937461"/>
    <w:rsid w:val="009374D5"/>
    <w:rsid w:val="00937B75"/>
    <w:rsid w:val="0094007C"/>
    <w:rsid w:val="00941575"/>
    <w:rsid w:val="00942868"/>
    <w:rsid w:val="00945841"/>
    <w:rsid w:val="00950A42"/>
    <w:rsid w:val="00950B64"/>
    <w:rsid w:val="00955953"/>
    <w:rsid w:val="00955BC8"/>
    <w:rsid w:val="009567E2"/>
    <w:rsid w:val="00956E8A"/>
    <w:rsid w:val="00963DCA"/>
    <w:rsid w:val="00970456"/>
    <w:rsid w:val="00970CBA"/>
    <w:rsid w:val="00971B36"/>
    <w:rsid w:val="00972085"/>
    <w:rsid w:val="00972D4F"/>
    <w:rsid w:val="00972E1F"/>
    <w:rsid w:val="009733F0"/>
    <w:rsid w:val="00980D83"/>
    <w:rsid w:val="0098161B"/>
    <w:rsid w:val="00981641"/>
    <w:rsid w:val="00982C63"/>
    <w:rsid w:val="00985F75"/>
    <w:rsid w:val="0098616D"/>
    <w:rsid w:val="0098700E"/>
    <w:rsid w:val="009917B8"/>
    <w:rsid w:val="009A0C64"/>
    <w:rsid w:val="009A62E8"/>
    <w:rsid w:val="009B0181"/>
    <w:rsid w:val="009B0FF8"/>
    <w:rsid w:val="009B295B"/>
    <w:rsid w:val="009B61CC"/>
    <w:rsid w:val="009B7720"/>
    <w:rsid w:val="009B7874"/>
    <w:rsid w:val="009B7DE1"/>
    <w:rsid w:val="009C5D4D"/>
    <w:rsid w:val="009D0A6B"/>
    <w:rsid w:val="009D1620"/>
    <w:rsid w:val="009D31D4"/>
    <w:rsid w:val="009D41BF"/>
    <w:rsid w:val="009D7A57"/>
    <w:rsid w:val="009E0057"/>
    <w:rsid w:val="009E4118"/>
    <w:rsid w:val="00A02D43"/>
    <w:rsid w:val="00A14388"/>
    <w:rsid w:val="00A1620B"/>
    <w:rsid w:val="00A25D9E"/>
    <w:rsid w:val="00A25E2C"/>
    <w:rsid w:val="00A308E6"/>
    <w:rsid w:val="00A31B1C"/>
    <w:rsid w:val="00A34914"/>
    <w:rsid w:val="00A35DA6"/>
    <w:rsid w:val="00A4133E"/>
    <w:rsid w:val="00A422C1"/>
    <w:rsid w:val="00A426A6"/>
    <w:rsid w:val="00A43A5C"/>
    <w:rsid w:val="00A54530"/>
    <w:rsid w:val="00A54863"/>
    <w:rsid w:val="00A55A0C"/>
    <w:rsid w:val="00A60D60"/>
    <w:rsid w:val="00A61C4D"/>
    <w:rsid w:val="00A647CA"/>
    <w:rsid w:val="00A64B4B"/>
    <w:rsid w:val="00A657B2"/>
    <w:rsid w:val="00A66FB8"/>
    <w:rsid w:val="00A67990"/>
    <w:rsid w:val="00A7124C"/>
    <w:rsid w:val="00A71D41"/>
    <w:rsid w:val="00A74D3D"/>
    <w:rsid w:val="00A75329"/>
    <w:rsid w:val="00A75680"/>
    <w:rsid w:val="00A7735A"/>
    <w:rsid w:val="00A817C0"/>
    <w:rsid w:val="00A85906"/>
    <w:rsid w:val="00A8633E"/>
    <w:rsid w:val="00A90E77"/>
    <w:rsid w:val="00A9282A"/>
    <w:rsid w:val="00A9414A"/>
    <w:rsid w:val="00A94E48"/>
    <w:rsid w:val="00A96809"/>
    <w:rsid w:val="00AA0F0E"/>
    <w:rsid w:val="00AA3588"/>
    <w:rsid w:val="00AA5835"/>
    <w:rsid w:val="00AC1BFF"/>
    <w:rsid w:val="00AC2D2C"/>
    <w:rsid w:val="00AC30BF"/>
    <w:rsid w:val="00AC4EC0"/>
    <w:rsid w:val="00AC65B8"/>
    <w:rsid w:val="00AC75A2"/>
    <w:rsid w:val="00AC7E35"/>
    <w:rsid w:val="00AC7E86"/>
    <w:rsid w:val="00AD08C0"/>
    <w:rsid w:val="00AD50D5"/>
    <w:rsid w:val="00AE0DD4"/>
    <w:rsid w:val="00AE29B7"/>
    <w:rsid w:val="00AF1100"/>
    <w:rsid w:val="00AF2049"/>
    <w:rsid w:val="00AF78A7"/>
    <w:rsid w:val="00B014AB"/>
    <w:rsid w:val="00B04F9A"/>
    <w:rsid w:val="00B0595C"/>
    <w:rsid w:val="00B103B9"/>
    <w:rsid w:val="00B126F7"/>
    <w:rsid w:val="00B1381E"/>
    <w:rsid w:val="00B17EE2"/>
    <w:rsid w:val="00B26953"/>
    <w:rsid w:val="00B327FB"/>
    <w:rsid w:val="00B36EEE"/>
    <w:rsid w:val="00B40DA4"/>
    <w:rsid w:val="00B41035"/>
    <w:rsid w:val="00B473B8"/>
    <w:rsid w:val="00B50799"/>
    <w:rsid w:val="00B53160"/>
    <w:rsid w:val="00B54D12"/>
    <w:rsid w:val="00B628A8"/>
    <w:rsid w:val="00B64023"/>
    <w:rsid w:val="00B6555C"/>
    <w:rsid w:val="00B67BC7"/>
    <w:rsid w:val="00B72407"/>
    <w:rsid w:val="00B80484"/>
    <w:rsid w:val="00B833C0"/>
    <w:rsid w:val="00B84282"/>
    <w:rsid w:val="00B855FA"/>
    <w:rsid w:val="00B93B59"/>
    <w:rsid w:val="00B9494F"/>
    <w:rsid w:val="00B97ACA"/>
    <w:rsid w:val="00BA104C"/>
    <w:rsid w:val="00BA33BE"/>
    <w:rsid w:val="00BA50C0"/>
    <w:rsid w:val="00BA70F8"/>
    <w:rsid w:val="00BB0A19"/>
    <w:rsid w:val="00BB1B7F"/>
    <w:rsid w:val="00BB2796"/>
    <w:rsid w:val="00BB4FE1"/>
    <w:rsid w:val="00BB6E48"/>
    <w:rsid w:val="00BC0AF5"/>
    <w:rsid w:val="00BC1669"/>
    <w:rsid w:val="00BC18A4"/>
    <w:rsid w:val="00BD0D60"/>
    <w:rsid w:val="00BD1616"/>
    <w:rsid w:val="00BD540F"/>
    <w:rsid w:val="00BE0BAA"/>
    <w:rsid w:val="00BE21FE"/>
    <w:rsid w:val="00BE3117"/>
    <w:rsid w:val="00BE3850"/>
    <w:rsid w:val="00BF045A"/>
    <w:rsid w:val="00BF4D62"/>
    <w:rsid w:val="00BF4FF4"/>
    <w:rsid w:val="00BF54CD"/>
    <w:rsid w:val="00BF6728"/>
    <w:rsid w:val="00BF6FF3"/>
    <w:rsid w:val="00BF77EA"/>
    <w:rsid w:val="00BF7D9C"/>
    <w:rsid w:val="00C01AFD"/>
    <w:rsid w:val="00C0237B"/>
    <w:rsid w:val="00C03A8F"/>
    <w:rsid w:val="00C13970"/>
    <w:rsid w:val="00C152DA"/>
    <w:rsid w:val="00C2223B"/>
    <w:rsid w:val="00C23B8D"/>
    <w:rsid w:val="00C23E82"/>
    <w:rsid w:val="00C240BF"/>
    <w:rsid w:val="00C246FF"/>
    <w:rsid w:val="00C25D17"/>
    <w:rsid w:val="00C31196"/>
    <w:rsid w:val="00C33FF8"/>
    <w:rsid w:val="00C34107"/>
    <w:rsid w:val="00C34129"/>
    <w:rsid w:val="00C3474D"/>
    <w:rsid w:val="00C34CB8"/>
    <w:rsid w:val="00C35213"/>
    <w:rsid w:val="00C37569"/>
    <w:rsid w:val="00C37F54"/>
    <w:rsid w:val="00C418BF"/>
    <w:rsid w:val="00C41DC8"/>
    <w:rsid w:val="00C45218"/>
    <w:rsid w:val="00C51100"/>
    <w:rsid w:val="00C559F3"/>
    <w:rsid w:val="00C5653B"/>
    <w:rsid w:val="00C6126C"/>
    <w:rsid w:val="00C6137D"/>
    <w:rsid w:val="00C618EF"/>
    <w:rsid w:val="00C62439"/>
    <w:rsid w:val="00C62545"/>
    <w:rsid w:val="00C64358"/>
    <w:rsid w:val="00C6534A"/>
    <w:rsid w:val="00C663FF"/>
    <w:rsid w:val="00C673B3"/>
    <w:rsid w:val="00C732A2"/>
    <w:rsid w:val="00C74012"/>
    <w:rsid w:val="00C74244"/>
    <w:rsid w:val="00C75273"/>
    <w:rsid w:val="00C75A5F"/>
    <w:rsid w:val="00C80234"/>
    <w:rsid w:val="00C811A4"/>
    <w:rsid w:val="00C853EE"/>
    <w:rsid w:val="00C92813"/>
    <w:rsid w:val="00C93A13"/>
    <w:rsid w:val="00C96744"/>
    <w:rsid w:val="00C96FD4"/>
    <w:rsid w:val="00C9708E"/>
    <w:rsid w:val="00CA20A3"/>
    <w:rsid w:val="00CA2D91"/>
    <w:rsid w:val="00CA5BA1"/>
    <w:rsid w:val="00CA6EEB"/>
    <w:rsid w:val="00CA6FAE"/>
    <w:rsid w:val="00CA7E61"/>
    <w:rsid w:val="00CB05B3"/>
    <w:rsid w:val="00CB5534"/>
    <w:rsid w:val="00CB7309"/>
    <w:rsid w:val="00CB7AAE"/>
    <w:rsid w:val="00CC0709"/>
    <w:rsid w:val="00CC0AA0"/>
    <w:rsid w:val="00CC4805"/>
    <w:rsid w:val="00CC52BD"/>
    <w:rsid w:val="00CC69A2"/>
    <w:rsid w:val="00CC7F19"/>
    <w:rsid w:val="00CD1E16"/>
    <w:rsid w:val="00CD249A"/>
    <w:rsid w:val="00CD39EA"/>
    <w:rsid w:val="00CD4623"/>
    <w:rsid w:val="00CD4C66"/>
    <w:rsid w:val="00CE03B9"/>
    <w:rsid w:val="00CE06DA"/>
    <w:rsid w:val="00CE1602"/>
    <w:rsid w:val="00CE2E9F"/>
    <w:rsid w:val="00CE61F2"/>
    <w:rsid w:val="00CE76D0"/>
    <w:rsid w:val="00CF0BB3"/>
    <w:rsid w:val="00CF2B6D"/>
    <w:rsid w:val="00CF2D4D"/>
    <w:rsid w:val="00CF7A16"/>
    <w:rsid w:val="00D102FA"/>
    <w:rsid w:val="00D1073D"/>
    <w:rsid w:val="00D11614"/>
    <w:rsid w:val="00D13833"/>
    <w:rsid w:val="00D13CE1"/>
    <w:rsid w:val="00D16378"/>
    <w:rsid w:val="00D16F2E"/>
    <w:rsid w:val="00D20A24"/>
    <w:rsid w:val="00D23B9E"/>
    <w:rsid w:val="00D260CB"/>
    <w:rsid w:val="00D26DDD"/>
    <w:rsid w:val="00D33218"/>
    <w:rsid w:val="00D355BF"/>
    <w:rsid w:val="00D35C72"/>
    <w:rsid w:val="00D36267"/>
    <w:rsid w:val="00D366E8"/>
    <w:rsid w:val="00D43EC5"/>
    <w:rsid w:val="00D45A31"/>
    <w:rsid w:val="00D548A2"/>
    <w:rsid w:val="00D5623F"/>
    <w:rsid w:val="00D57788"/>
    <w:rsid w:val="00D60891"/>
    <w:rsid w:val="00D60FCB"/>
    <w:rsid w:val="00D63EB4"/>
    <w:rsid w:val="00D64E8A"/>
    <w:rsid w:val="00D65003"/>
    <w:rsid w:val="00D67CE6"/>
    <w:rsid w:val="00D73A9F"/>
    <w:rsid w:val="00D75CD4"/>
    <w:rsid w:val="00D760EC"/>
    <w:rsid w:val="00D76B0E"/>
    <w:rsid w:val="00D77630"/>
    <w:rsid w:val="00D777D0"/>
    <w:rsid w:val="00D77CCB"/>
    <w:rsid w:val="00D80567"/>
    <w:rsid w:val="00D84581"/>
    <w:rsid w:val="00D85DB6"/>
    <w:rsid w:val="00D86BC8"/>
    <w:rsid w:val="00D86E69"/>
    <w:rsid w:val="00D86F63"/>
    <w:rsid w:val="00D91FB4"/>
    <w:rsid w:val="00D955FF"/>
    <w:rsid w:val="00D97EAB"/>
    <w:rsid w:val="00DA1085"/>
    <w:rsid w:val="00DA69CE"/>
    <w:rsid w:val="00DA6ADF"/>
    <w:rsid w:val="00DB47CE"/>
    <w:rsid w:val="00DC0C84"/>
    <w:rsid w:val="00DC0D5C"/>
    <w:rsid w:val="00DC189E"/>
    <w:rsid w:val="00DC2B2D"/>
    <w:rsid w:val="00DC43A7"/>
    <w:rsid w:val="00DC4B2C"/>
    <w:rsid w:val="00DC515C"/>
    <w:rsid w:val="00DD6F5D"/>
    <w:rsid w:val="00DE03FC"/>
    <w:rsid w:val="00DE20CC"/>
    <w:rsid w:val="00DE2804"/>
    <w:rsid w:val="00DE2E6C"/>
    <w:rsid w:val="00DE39B1"/>
    <w:rsid w:val="00DF00E3"/>
    <w:rsid w:val="00DF08AC"/>
    <w:rsid w:val="00DF4FB1"/>
    <w:rsid w:val="00DF55E7"/>
    <w:rsid w:val="00DF5C38"/>
    <w:rsid w:val="00DF6901"/>
    <w:rsid w:val="00DF78DD"/>
    <w:rsid w:val="00E015D7"/>
    <w:rsid w:val="00E03A18"/>
    <w:rsid w:val="00E04C6D"/>
    <w:rsid w:val="00E07CB8"/>
    <w:rsid w:val="00E1323B"/>
    <w:rsid w:val="00E14425"/>
    <w:rsid w:val="00E169A0"/>
    <w:rsid w:val="00E2570A"/>
    <w:rsid w:val="00E275DA"/>
    <w:rsid w:val="00E311A1"/>
    <w:rsid w:val="00E316FF"/>
    <w:rsid w:val="00E363EC"/>
    <w:rsid w:val="00E40F57"/>
    <w:rsid w:val="00E4427C"/>
    <w:rsid w:val="00E46312"/>
    <w:rsid w:val="00E46BF2"/>
    <w:rsid w:val="00E50B5A"/>
    <w:rsid w:val="00E526E6"/>
    <w:rsid w:val="00E532F7"/>
    <w:rsid w:val="00E55305"/>
    <w:rsid w:val="00E556F3"/>
    <w:rsid w:val="00E55F18"/>
    <w:rsid w:val="00E56FD2"/>
    <w:rsid w:val="00E6069B"/>
    <w:rsid w:val="00E60817"/>
    <w:rsid w:val="00E6625C"/>
    <w:rsid w:val="00E73698"/>
    <w:rsid w:val="00E7441E"/>
    <w:rsid w:val="00E76166"/>
    <w:rsid w:val="00E76BEA"/>
    <w:rsid w:val="00E80CFA"/>
    <w:rsid w:val="00E85AA6"/>
    <w:rsid w:val="00E86066"/>
    <w:rsid w:val="00E91CDD"/>
    <w:rsid w:val="00E93FF4"/>
    <w:rsid w:val="00E97AA3"/>
    <w:rsid w:val="00EA0189"/>
    <w:rsid w:val="00EA0236"/>
    <w:rsid w:val="00EA10E4"/>
    <w:rsid w:val="00EA2123"/>
    <w:rsid w:val="00EA2804"/>
    <w:rsid w:val="00EA293C"/>
    <w:rsid w:val="00EA38F8"/>
    <w:rsid w:val="00EA4B91"/>
    <w:rsid w:val="00EA524F"/>
    <w:rsid w:val="00EA746E"/>
    <w:rsid w:val="00EB0ADD"/>
    <w:rsid w:val="00EB4B8E"/>
    <w:rsid w:val="00EB6F5C"/>
    <w:rsid w:val="00EB752F"/>
    <w:rsid w:val="00EC1723"/>
    <w:rsid w:val="00EC481E"/>
    <w:rsid w:val="00EC4EB3"/>
    <w:rsid w:val="00EC6389"/>
    <w:rsid w:val="00EC67FA"/>
    <w:rsid w:val="00EC7E0C"/>
    <w:rsid w:val="00ED0134"/>
    <w:rsid w:val="00ED030F"/>
    <w:rsid w:val="00ED0AD1"/>
    <w:rsid w:val="00ED0D8A"/>
    <w:rsid w:val="00ED180D"/>
    <w:rsid w:val="00ED3257"/>
    <w:rsid w:val="00ED3877"/>
    <w:rsid w:val="00ED46BB"/>
    <w:rsid w:val="00ED71A3"/>
    <w:rsid w:val="00EE13B5"/>
    <w:rsid w:val="00EE196E"/>
    <w:rsid w:val="00EE3472"/>
    <w:rsid w:val="00EE37EF"/>
    <w:rsid w:val="00EE70CE"/>
    <w:rsid w:val="00EF2AAB"/>
    <w:rsid w:val="00EF4247"/>
    <w:rsid w:val="00EF4BE1"/>
    <w:rsid w:val="00EF6900"/>
    <w:rsid w:val="00EF6D57"/>
    <w:rsid w:val="00F0416F"/>
    <w:rsid w:val="00F05C84"/>
    <w:rsid w:val="00F10320"/>
    <w:rsid w:val="00F10ED4"/>
    <w:rsid w:val="00F12960"/>
    <w:rsid w:val="00F1394D"/>
    <w:rsid w:val="00F154EE"/>
    <w:rsid w:val="00F155AA"/>
    <w:rsid w:val="00F17A70"/>
    <w:rsid w:val="00F270FD"/>
    <w:rsid w:val="00F30280"/>
    <w:rsid w:val="00F34422"/>
    <w:rsid w:val="00F37A62"/>
    <w:rsid w:val="00F37EEB"/>
    <w:rsid w:val="00F542F1"/>
    <w:rsid w:val="00F545EF"/>
    <w:rsid w:val="00F60716"/>
    <w:rsid w:val="00F6572A"/>
    <w:rsid w:val="00F66D4E"/>
    <w:rsid w:val="00F67770"/>
    <w:rsid w:val="00F74120"/>
    <w:rsid w:val="00F77971"/>
    <w:rsid w:val="00F80AB9"/>
    <w:rsid w:val="00F80C4C"/>
    <w:rsid w:val="00F85072"/>
    <w:rsid w:val="00F85B9C"/>
    <w:rsid w:val="00F8688E"/>
    <w:rsid w:val="00F92196"/>
    <w:rsid w:val="00F94B17"/>
    <w:rsid w:val="00F967CF"/>
    <w:rsid w:val="00F974B2"/>
    <w:rsid w:val="00FA1EC4"/>
    <w:rsid w:val="00FA2B98"/>
    <w:rsid w:val="00FA5A37"/>
    <w:rsid w:val="00FA5BCB"/>
    <w:rsid w:val="00FA61E5"/>
    <w:rsid w:val="00FA7CCA"/>
    <w:rsid w:val="00FB0EAF"/>
    <w:rsid w:val="00FB0F54"/>
    <w:rsid w:val="00FB338A"/>
    <w:rsid w:val="00FB3528"/>
    <w:rsid w:val="00FB6135"/>
    <w:rsid w:val="00FB70DE"/>
    <w:rsid w:val="00FC05BD"/>
    <w:rsid w:val="00FC2CA0"/>
    <w:rsid w:val="00FC3565"/>
    <w:rsid w:val="00FC52DE"/>
    <w:rsid w:val="00FC5E87"/>
    <w:rsid w:val="00FC631D"/>
    <w:rsid w:val="00FC6712"/>
    <w:rsid w:val="00FC7E51"/>
    <w:rsid w:val="00FD1063"/>
    <w:rsid w:val="00FE02C9"/>
    <w:rsid w:val="00FE137D"/>
    <w:rsid w:val="00FE472A"/>
    <w:rsid w:val="00FF0BCD"/>
    <w:rsid w:val="00FF0FE3"/>
    <w:rsid w:val="00FF34B3"/>
    <w:rsid w:val="00FF5BF9"/>
    <w:rsid w:val="00FF7239"/>
    <w:rsid w:val="00FF7386"/>
  </w:rsids>
  <m:mathPr>
    <m:mathFont m:val="Cambria Math"/>
    <m:brkBin m:val="before"/>
    <m:brkBinSub m:val="--"/>
    <m:smallFrac m:val="0"/>
    <m:dispDef/>
    <m:lMargin m:val="0"/>
    <m:rMargin m:val="0"/>
    <m:defJc m:val="centerGroup"/>
    <m:wrapIndent m:val="1440"/>
    <m:intLim m:val="subSup"/>
    <m:naryLim m:val="undOvr"/>
  </m:mathPr>
  <w:themeFontLang w:val="en-GB"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973C11"/>
  <w15:chartTrackingRefBased/>
  <w15:docId w15:val="{BA04D73F-54DD-4E70-B2CC-D150F829E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86066"/>
    <w:pPr>
      <w:spacing w:after="0" w:line="240" w:lineRule="auto"/>
    </w:pPr>
    <w:rPr>
      <w:rFonts w:ascii="Calibri" w:eastAsiaTheme="minorEastAsia" w:hAnsi="Calibri" w:cs="Lucida Grande"/>
      <w:color w:val="000000"/>
      <w:lang w:eastAsia="en-US"/>
    </w:rPr>
  </w:style>
  <w:style w:type="paragraph" w:styleId="Heading1">
    <w:name w:val="heading 1"/>
    <w:basedOn w:val="Normal"/>
    <w:next w:val="Normal"/>
    <w:link w:val="Heading1Char"/>
    <w:uiPriority w:val="9"/>
    <w:qFormat/>
    <w:rsid w:val="0080683B"/>
    <w:pPr>
      <w:keepNext/>
      <w:keepLines/>
      <w:spacing w:before="360" w:after="360"/>
      <w:outlineLvl w:val="0"/>
    </w:pPr>
    <w:rPr>
      <w:rFonts w:asciiTheme="minorHAnsi" w:eastAsiaTheme="majorEastAsia" w:hAnsiTheme="minorHAnsi" w:cstheme="minorHAnsi"/>
      <w:b/>
      <w:bCs/>
      <w:color w:val="BE2A18"/>
      <w:sz w:val="32"/>
      <w:szCs w:val="32"/>
    </w:rPr>
  </w:style>
  <w:style w:type="paragraph" w:styleId="Heading2">
    <w:name w:val="heading 2"/>
    <w:basedOn w:val="Normal"/>
    <w:link w:val="Heading2Char"/>
    <w:uiPriority w:val="9"/>
    <w:qFormat/>
    <w:rsid w:val="001D51D6"/>
    <w:pPr>
      <w:spacing w:before="240" w:after="240"/>
      <w:outlineLvl w:val="1"/>
    </w:pPr>
    <w:rPr>
      <w:rFonts w:eastAsia="Times New Roman" w:cs="Arial"/>
      <w:color w:val="BE2A18"/>
      <w:sz w:val="32"/>
      <w:szCs w:val="32"/>
    </w:rPr>
  </w:style>
  <w:style w:type="paragraph" w:styleId="Heading3">
    <w:name w:val="heading 3"/>
    <w:basedOn w:val="Normal"/>
    <w:next w:val="Normal"/>
    <w:link w:val="Heading3Char"/>
    <w:uiPriority w:val="9"/>
    <w:unhideWhenUsed/>
    <w:qFormat/>
    <w:rsid w:val="00F94B17"/>
    <w:pPr>
      <w:keepNext/>
      <w:keepLines/>
      <w:spacing w:before="40"/>
      <w:outlineLvl w:val="2"/>
    </w:pPr>
    <w:rPr>
      <w:rFonts w:eastAsiaTheme="majorEastAsia" w:cstheme="majorBidi"/>
      <w:color w:val="ED7C5D"/>
      <w:sz w:val="28"/>
      <w:szCs w:val="24"/>
    </w:rPr>
  </w:style>
  <w:style w:type="paragraph" w:styleId="Heading4">
    <w:name w:val="heading 4"/>
    <w:basedOn w:val="Normal"/>
    <w:next w:val="Normal"/>
    <w:link w:val="Heading4Char"/>
    <w:uiPriority w:val="9"/>
    <w:unhideWhenUsed/>
    <w:qFormat/>
    <w:rsid w:val="00AC4EC0"/>
    <w:pPr>
      <w:keepNext/>
      <w:keepLines/>
      <w:spacing w:before="40"/>
      <w:outlineLvl w:val="3"/>
    </w:pPr>
    <w:rPr>
      <w:rFonts w:asciiTheme="majorHAnsi" w:eastAsiaTheme="majorEastAsia" w:hAnsiTheme="majorHAnsi" w:cstheme="majorBidi"/>
      <w:b/>
      <w:color w:val="ED7C5D"/>
    </w:rPr>
  </w:style>
  <w:style w:type="paragraph" w:styleId="Heading5">
    <w:name w:val="heading 5"/>
    <w:basedOn w:val="Normal"/>
    <w:next w:val="Normal"/>
    <w:link w:val="Heading5Char"/>
    <w:uiPriority w:val="9"/>
    <w:unhideWhenUsed/>
    <w:qFormat/>
    <w:rsid w:val="00AC4EC0"/>
    <w:pPr>
      <w:keepNext/>
      <w:keepLines/>
      <w:spacing w:before="40"/>
      <w:outlineLvl w:val="4"/>
    </w:pPr>
    <w:rPr>
      <w:rFonts w:eastAsiaTheme="majorEastAsia" w:cstheme="majorBidi"/>
      <w:b/>
      <w:i/>
      <w:iCs/>
      <w:color w:val="ED7C5D"/>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83B"/>
    <w:rPr>
      <w:rFonts w:eastAsiaTheme="majorEastAsia" w:hAnsiTheme="minorHAnsi" w:cstheme="minorHAnsi"/>
      <w:b/>
      <w:bCs/>
      <w:color w:val="BE2A18"/>
      <w:sz w:val="32"/>
      <w:szCs w:val="32"/>
      <w:lang w:eastAsia="en-US"/>
    </w:rPr>
  </w:style>
  <w:style w:type="character" w:customStyle="1" w:styleId="Heading2Char">
    <w:name w:val="Heading 2 Char"/>
    <w:basedOn w:val="DefaultParagraphFont"/>
    <w:link w:val="Heading2"/>
    <w:uiPriority w:val="9"/>
    <w:rsid w:val="001D51D6"/>
    <w:rPr>
      <w:rFonts w:ascii="Calibri" w:hAnsi="Calibri" w:cs="Arial"/>
      <w:color w:val="BE2A18"/>
      <w:sz w:val="32"/>
      <w:szCs w:val="32"/>
      <w:lang w:eastAsia="en-US"/>
    </w:rPr>
  </w:style>
  <w:style w:type="character" w:customStyle="1" w:styleId="Heading3Char">
    <w:name w:val="Heading 3 Char"/>
    <w:basedOn w:val="DefaultParagraphFont"/>
    <w:link w:val="Heading3"/>
    <w:uiPriority w:val="9"/>
    <w:rsid w:val="00F94B17"/>
    <w:rPr>
      <w:rFonts w:ascii="Calibri" w:eastAsiaTheme="majorEastAsia" w:hAnsi="Calibri" w:cstheme="majorBidi"/>
      <w:color w:val="ED7C5D"/>
      <w:sz w:val="28"/>
      <w:szCs w:val="24"/>
      <w:lang w:val="en-US" w:eastAsia="en-US"/>
    </w:rPr>
  </w:style>
  <w:style w:type="character" w:customStyle="1" w:styleId="Heading4Char">
    <w:name w:val="Heading 4 Char"/>
    <w:basedOn w:val="DefaultParagraphFont"/>
    <w:link w:val="Heading4"/>
    <w:uiPriority w:val="9"/>
    <w:rsid w:val="00AC4EC0"/>
    <w:rPr>
      <w:rFonts w:asciiTheme="majorHAnsi" w:eastAsiaTheme="majorEastAsia" w:hAnsiTheme="majorHAnsi" w:cstheme="majorBidi"/>
      <w:b/>
      <w:color w:val="ED7C5D"/>
      <w:lang w:val="en-US" w:eastAsia="en-US"/>
    </w:rPr>
  </w:style>
  <w:style w:type="table" w:styleId="TableGrid">
    <w:name w:val="Table Grid"/>
    <w:basedOn w:val="TableNormal"/>
    <w:uiPriority w:val="59"/>
    <w:rsid w:val="001D51D6"/>
    <w:pPr>
      <w:spacing w:after="0" w:line="240" w:lineRule="auto"/>
    </w:pPr>
    <w:rPr>
      <w:rFonts w:ascii="Calibri" w:eastAsiaTheme="minorEastAsia" w:hAnsi="Calibri" w:cs="Lucida Grande"/>
      <w:color w:val="00000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 Char,Footnote Text Char Char Char Char Char Char,Footnote Text1,Footnote Text Char Char Char Char Char Char1,Footnote Text1 Char Char Char,Footnote Text Char Char Char Char Char Char Char Char Char"/>
    <w:basedOn w:val="Normal"/>
    <w:link w:val="FootnoteTextChar"/>
    <w:uiPriority w:val="99"/>
    <w:unhideWhenUsed/>
    <w:rsid w:val="001D51D6"/>
    <w:rPr>
      <w:sz w:val="24"/>
      <w:szCs w:val="24"/>
    </w:rPr>
  </w:style>
  <w:style w:type="character" w:customStyle="1" w:styleId="FootnoteTextChar">
    <w:name w:val="Footnote Text Char"/>
    <w:aliases w:val="Footnote Text Char Char Char Char Char,Footnote Text Char Char Char Char Char Char Char,Footnote Text1 Char,Footnote Text Char Char Char Char Char Char1 Char,Footnote Text1 Char Char Char Char"/>
    <w:basedOn w:val="DefaultParagraphFont"/>
    <w:link w:val="FootnoteText"/>
    <w:uiPriority w:val="99"/>
    <w:rsid w:val="001D51D6"/>
    <w:rPr>
      <w:rFonts w:ascii="Calibri" w:eastAsiaTheme="minorEastAsia" w:hAnsi="Calibri" w:cs="Lucida Grande"/>
      <w:color w:val="000000"/>
      <w:sz w:val="24"/>
      <w:szCs w:val="24"/>
      <w:lang w:val="en-US" w:eastAsia="en-US"/>
    </w:rPr>
  </w:style>
  <w:style w:type="character" w:styleId="FootnoteReference">
    <w:name w:val="footnote reference"/>
    <w:basedOn w:val="DefaultParagraphFont"/>
    <w:unhideWhenUsed/>
    <w:rsid w:val="001D51D6"/>
    <w:rPr>
      <w:vertAlign w:val="superscript"/>
    </w:rPr>
  </w:style>
  <w:style w:type="paragraph" w:styleId="Footer">
    <w:name w:val="footer"/>
    <w:basedOn w:val="Normal"/>
    <w:link w:val="FooterChar"/>
    <w:uiPriority w:val="99"/>
    <w:unhideWhenUsed/>
    <w:rsid w:val="001D51D6"/>
    <w:pPr>
      <w:tabs>
        <w:tab w:val="center" w:pos="4320"/>
        <w:tab w:val="right" w:pos="8640"/>
      </w:tabs>
    </w:pPr>
  </w:style>
  <w:style w:type="character" w:customStyle="1" w:styleId="FooterChar">
    <w:name w:val="Footer Char"/>
    <w:basedOn w:val="DefaultParagraphFont"/>
    <w:link w:val="Footer"/>
    <w:uiPriority w:val="99"/>
    <w:rsid w:val="001D51D6"/>
    <w:rPr>
      <w:rFonts w:ascii="Calibri" w:eastAsiaTheme="minorEastAsia" w:hAnsi="Calibri" w:cs="Lucida Grande"/>
      <w:color w:val="000000"/>
      <w:lang w:val="en-US" w:eastAsia="en-US"/>
    </w:rPr>
  </w:style>
  <w:style w:type="character" w:styleId="PageNumber">
    <w:name w:val="page number"/>
    <w:basedOn w:val="DefaultParagraphFont"/>
    <w:uiPriority w:val="99"/>
    <w:semiHidden/>
    <w:unhideWhenUsed/>
    <w:rsid w:val="001D51D6"/>
  </w:style>
  <w:style w:type="paragraph" w:styleId="ListParagraph">
    <w:name w:val="List Paragraph"/>
    <w:basedOn w:val="Normal"/>
    <w:uiPriority w:val="34"/>
    <w:qFormat/>
    <w:rsid w:val="001D51D6"/>
    <w:pPr>
      <w:ind w:left="720"/>
      <w:contextualSpacing/>
    </w:pPr>
  </w:style>
  <w:style w:type="paragraph" w:styleId="BodyText2">
    <w:name w:val="Body Text 2"/>
    <w:aliases w:val="Body Text 2 Char Char Char Char,Body Text 2 Char Char Char Char C Char Char Char Char,Body Text 21,Body Text 2 Char Char Char Char1,Body Text 2 Char Char Char Char Char Char2 Char Char"/>
    <w:basedOn w:val="Normal"/>
    <w:link w:val="BodyText2Char"/>
    <w:uiPriority w:val="99"/>
    <w:rsid w:val="001D51D6"/>
    <w:pPr>
      <w:widowControl w:val="0"/>
      <w:overflowPunct w:val="0"/>
      <w:autoSpaceDE w:val="0"/>
      <w:autoSpaceDN w:val="0"/>
      <w:adjustRightInd w:val="0"/>
      <w:jc w:val="both"/>
      <w:textAlignment w:val="baseline"/>
    </w:pPr>
    <w:rPr>
      <w:rFonts w:ascii="Times New Roman" w:eastAsia="SimSun" w:hAnsi="Times New Roman" w:cs="Times New Roman"/>
      <w:color w:val="auto"/>
      <w:sz w:val="24"/>
      <w:szCs w:val="20"/>
    </w:rPr>
  </w:style>
  <w:style w:type="character" w:customStyle="1" w:styleId="BodyText2Char">
    <w:name w:val="Body Text 2 Char"/>
    <w:aliases w:val="Body Text 2 Char Char Char Char Char,Body Text 2 Char Char Char Char C Char Char Char Char Char,Body Text 21 Char,Body Text 2 Char Char Char Char1 Char,Body Text 2 Char Char Char Char Char Char2 Char Char Char"/>
    <w:basedOn w:val="DefaultParagraphFont"/>
    <w:link w:val="BodyText2"/>
    <w:uiPriority w:val="99"/>
    <w:rsid w:val="001D51D6"/>
    <w:rPr>
      <w:rFonts w:ascii="Times New Roman" w:eastAsia="SimSun"/>
      <w:sz w:val="24"/>
      <w:szCs w:val="20"/>
      <w:lang w:eastAsia="en-US"/>
    </w:rPr>
  </w:style>
  <w:style w:type="paragraph" w:customStyle="1" w:styleId="BodyText12">
    <w:name w:val="Body Text12"/>
    <w:basedOn w:val="Normal"/>
    <w:rsid w:val="001D51D6"/>
    <w:pPr>
      <w:spacing w:before="120" w:after="60"/>
      <w:jc w:val="both"/>
    </w:pPr>
    <w:rPr>
      <w:rFonts w:ascii="Times New Roman" w:eastAsia="SimSun" w:hAnsi="Times New Roman" w:cs="Times New Roman"/>
      <w:color w:val="auto"/>
      <w:sz w:val="24"/>
      <w:szCs w:val="20"/>
    </w:rPr>
  </w:style>
  <w:style w:type="table" w:customStyle="1" w:styleId="TableGridLight1">
    <w:name w:val="Table Grid Light1"/>
    <w:basedOn w:val="TableNormal"/>
    <w:uiPriority w:val="40"/>
    <w:rsid w:val="001D51D6"/>
    <w:pPr>
      <w:spacing w:after="0" w:line="240" w:lineRule="auto"/>
    </w:pPr>
    <w:rPr>
      <w:rFonts w:ascii="Calibri" w:eastAsiaTheme="minorEastAsia" w:hAnsi="Calibri" w:cs="Lucida Grande"/>
      <w:color w:val="000000"/>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1">
    <w:name w:val="Body Text11"/>
    <w:basedOn w:val="Normal"/>
    <w:uiPriority w:val="99"/>
    <w:rsid w:val="001D51D6"/>
    <w:pPr>
      <w:spacing w:before="120" w:after="60"/>
      <w:jc w:val="both"/>
    </w:pPr>
    <w:rPr>
      <w:rFonts w:ascii="Times New Roman" w:eastAsia="SimSun" w:hAnsi="Times New Roman" w:cs="Times New Roman"/>
      <w:color w:val="auto"/>
      <w:sz w:val="24"/>
      <w:szCs w:val="20"/>
    </w:rPr>
  </w:style>
  <w:style w:type="paragraph" w:styleId="BalloonText">
    <w:name w:val="Balloon Text"/>
    <w:basedOn w:val="Normal"/>
    <w:link w:val="BalloonTextChar"/>
    <w:uiPriority w:val="99"/>
    <w:semiHidden/>
    <w:unhideWhenUsed/>
    <w:rsid w:val="007F3E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E62"/>
    <w:rPr>
      <w:rFonts w:ascii="Segoe UI" w:eastAsiaTheme="minorEastAsia" w:hAnsi="Segoe UI" w:cs="Segoe UI"/>
      <w:color w:val="000000"/>
      <w:sz w:val="18"/>
      <w:szCs w:val="18"/>
      <w:lang w:val="en-US" w:eastAsia="en-US"/>
    </w:rPr>
  </w:style>
  <w:style w:type="character" w:styleId="Strong">
    <w:name w:val="Strong"/>
    <w:basedOn w:val="DefaultParagraphFont"/>
    <w:uiPriority w:val="22"/>
    <w:qFormat/>
    <w:rsid w:val="00E04C6D"/>
    <w:rPr>
      <w:b/>
      <w:bCs/>
    </w:rPr>
  </w:style>
  <w:style w:type="character" w:styleId="Hyperlink">
    <w:name w:val="Hyperlink"/>
    <w:basedOn w:val="DefaultParagraphFont"/>
    <w:uiPriority w:val="99"/>
    <w:unhideWhenUsed/>
    <w:rsid w:val="00E04C6D"/>
    <w:rPr>
      <w:color w:val="0563C1" w:themeColor="hyperlink"/>
      <w:u w:val="single"/>
    </w:rPr>
  </w:style>
  <w:style w:type="paragraph" w:styleId="NormalWeb">
    <w:name w:val="Normal (Web)"/>
    <w:basedOn w:val="Normal"/>
    <w:uiPriority w:val="99"/>
    <w:unhideWhenUsed/>
    <w:rsid w:val="00E04C6D"/>
    <w:pPr>
      <w:spacing w:before="100" w:beforeAutospacing="1" w:after="100" w:afterAutospacing="1"/>
    </w:pPr>
    <w:rPr>
      <w:rFonts w:ascii="Times" w:hAnsi="Times" w:cs="Times New Roman"/>
      <w:color w:val="auto"/>
      <w:sz w:val="20"/>
      <w:szCs w:val="20"/>
    </w:rPr>
  </w:style>
  <w:style w:type="character" w:customStyle="1" w:styleId="apple-converted-space">
    <w:name w:val="apple-converted-space"/>
    <w:basedOn w:val="DefaultParagraphFont"/>
    <w:rsid w:val="00E04C6D"/>
  </w:style>
  <w:style w:type="character" w:styleId="Emphasis">
    <w:name w:val="Emphasis"/>
    <w:basedOn w:val="DefaultParagraphFont"/>
    <w:uiPriority w:val="20"/>
    <w:qFormat/>
    <w:rsid w:val="00E04C6D"/>
    <w:rPr>
      <w:i/>
      <w:iCs/>
    </w:rPr>
  </w:style>
  <w:style w:type="character" w:styleId="HTMLDefinition">
    <w:name w:val="HTML Definition"/>
    <w:basedOn w:val="DefaultParagraphFont"/>
    <w:uiPriority w:val="99"/>
    <w:semiHidden/>
    <w:unhideWhenUsed/>
    <w:rsid w:val="00E04C6D"/>
    <w:rPr>
      <w:i/>
      <w:iCs/>
    </w:rPr>
  </w:style>
  <w:style w:type="character" w:styleId="FollowedHyperlink">
    <w:name w:val="FollowedHyperlink"/>
    <w:basedOn w:val="DefaultParagraphFont"/>
    <w:uiPriority w:val="99"/>
    <w:semiHidden/>
    <w:unhideWhenUsed/>
    <w:rsid w:val="00E04C6D"/>
    <w:rPr>
      <w:color w:val="954F72" w:themeColor="followedHyperlink"/>
      <w:u w:val="single"/>
    </w:rPr>
  </w:style>
  <w:style w:type="paragraph" w:customStyle="1" w:styleId="Default">
    <w:name w:val="Default"/>
    <w:rsid w:val="00E04C6D"/>
    <w:pPr>
      <w:widowControl w:val="0"/>
      <w:autoSpaceDE w:val="0"/>
      <w:autoSpaceDN w:val="0"/>
      <w:adjustRightInd w:val="0"/>
      <w:spacing w:after="0" w:line="240" w:lineRule="auto"/>
    </w:pPr>
    <w:rPr>
      <w:rFonts w:ascii="Calibri" w:eastAsiaTheme="minorEastAsia" w:hAnsi="Calibri" w:cs="Calibri"/>
      <w:color w:val="000000"/>
      <w:sz w:val="24"/>
      <w:szCs w:val="24"/>
      <w:lang w:val="en-US" w:eastAsia="en-US"/>
    </w:rPr>
  </w:style>
  <w:style w:type="paragraph" w:customStyle="1" w:styleId="NoteNormal">
    <w:name w:val="Note Normal"/>
    <w:basedOn w:val="Normal"/>
    <w:uiPriority w:val="49"/>
    <w:rsid w:val="00E04C6D"/>
    <w:pPr>
      <w:keepNext/>
      <w:keepLines/>
      <w:spacing w:before="80" w:after="100"/>
      <w:ind w:left="794"/>
    </w:pPr>
    <w:rPr>
      <w:rFonts w:eastAsia="Times New Roman" w:cs="Calibri"/>
      <w:sz w:val="18"/>
    </w:rPr>
  </w:style>
  <w:style w:type="paragraph" w:customStyle="1" w:styleId="Heading4NoNum">
    <w:name w:val="Heading 4 NoNum"/>
    <w:basedOn w:val="Heading4"/>
    <w:uiPriority w:val="4"/>
    <w:qFormat/>
    <w:rsid w:val="00E04C6D"/>
    <w:pPr>
      <w:widowControl w:val="0"/>
      <w:spacing w:before="160" w:after="120" w:line="228" w:lineRule="auto"/>
      <w:ind w:left="794"/>
    </w:pPr>
    <w:rPr>
      <w:rFonts w:ascii="Calibri" w:eastAsia="Times New Roman" w:hAnsi="Calibri" w:cs="Calibri"/>
      <w:b w:val="0"/>
      <w:i/>
      <w:iCs/>
      <w:color w:val="4D4D4D"/>
      <w:sz w:val="24"/>
    </w:rPr>
  </w:style>
  <w:style w:type="character" w:styleId="CommentReference">
    <w:name w:val="annotation reference"/>
    <w:basedOn w:val="DefaultParagraphFont"/>
    <w:uiPriority w:val="99"/>
    <w:semiHidden/>
    <w:unhideWhenUsed/>
    <w:rsid w:val="00E04C6D"/>
    <w:rPr>
      <w:sz w:val="18"/>
      <w:szCs w:val="18"/>
    </w:rPr>
  </w:style>
  <w:style w:type="paragraph" w:styleId="CommentText">
    <w:name w:val="annotation text"/>
    <w:basedOn w:val="Normal"/>
    <w:link w:val="CommentTextChar"/>
    <w:uiPriority w:val="99"/>
    <w:unhideWhenUsed/>
    <w:rsid w:val="00E04C6D"/>
    <w:rPr>
      <w:sz w:val="24"/>
      <w:szCs w:val="24"/>
    </w:rPr>
  </w:style>
  <w:style w:type="character" w:customStyle="1" w:styleId="CommentTextChar">
    <w:name w:val="Comment Text Char"/>
    <w:basedOn w:val="DefaultParagraphFont"/>
    <w:link w:val="CommentText"/>
    <w:uiPriority w:val="99"/>
    <w:rsid w:val="00E04C6D"/>
    <w:rPr>
      <w:rFonts w:ascii="Calibri" w:eastAsiaTheme="minorEastAsia" w:hAnsi="Calibri" w:cs="Lucida Grande"/>
      <w:color w:val="000000"/>
      <w:sz w:val="24"/>
      <w:szCs w:val="24"/>
      <w:lang w:val="en-US" w:eastAsia="en-US"/>
    </w:rPr>
  </w:style>
  <w:style w:type="paragraph" w:styleId="CommentSubject">
    <w:name w:val="annotation subject"/>
    <w:basedOn w:val="CommentText"/>
    <w:next w:val="CommentText"/>
    <w:link w:val="CommentSubjectChar"/>
    <w:uiPriority w:val="99"/>
    <w:semiHidden/>
    <w:unhideWhenUsed/>
    <w:rsid w:val="00E04C6D"/>
    <w:rPr>
      <w:b/>
      <w:bCs/>
      <w:sz w:val="20"/>
      <w:szCs w:val="20"/>
    </w:rPr>
  </w:style>
  <w:style w:type="character" w:customStyle="1" w:styleId="CommentSubjectChar">
    <w:name w:val="Comment Subject Char"/>
    <w:basedOn w:val="CommentTextChar"/>
    <w:link w:val="CommentSubject"/>
    <w:uiPriority w:val="99"/>
    <w:semiHidden/>
    <w:rsid w:val="00E04C6D"/>
    <w:rPr>
      <w:rFonts w:ascii="Calibri" w:eastAsiaTheme="minorEastAsia" w:hAnsi="Calibri" w:cs="Lucida Grande"/>
      <w:b/>
      <w:bCs/>
      <w:color w:val="000000"/>
      <w:sz w:val="20"/>
      <w:szCs w:val="20"/>
      <w:lang w:val="en-US" w:eastAsia="en-US"/>
    </w:rPr>
  </w:style>
  <w:style w:type="paragraph" w:customStyle="1" w:styleId="TableText">
    <w:name w:val="Table Text"/>
    <w:basedOn w:val="Normal"/>
    <w:uiPriority w:val="15"/>
    <w:qFormat/>
    <w:rsid w:val="00E04C6D"/>
    <w:pPr>
      <w:spacing w:before="20" w:after="20"/>
    </w:pPr>
    <w:rPr>
      <w:rFonts w:eastAsia="Times New Roman" w:cs="Calibri"/>
      <w:color w:val="auto"/>
      <w:sz w:val="20"/>
      <w:lang w:eastAsia="en-AU"/>
    </w:rPr>
  </w:style>
  <w:style w:type="paragraph" w:customStyle="1" w:styleId="Char">
    <w:name w:val="Char"/>
    <w:basedOn w:val="Normal"/>
    <w:rsid w:val="00E04C6D"/>
    <w:rPr>
      <w:rFonts w:ascii="Arial" w:eastAsia="Times New Roman" w:hAnsi="Arial" w:cs="Arial"/>
      <w:color w:val="auto"/>
    </w:rPr>
  </w:style>
  <w:style w:type="paragraph" w:customStyle="1" w:styleId="Bullet1">
    <w:name w:val="Bullet 1"/>
    <w:basedOn w:val="Normal"/>
    <w:uiPriority w:val="99"/>
    <w:qFormat/>
    <w:rsid w:val="00E04C6D"/>
    <w:pPr>
      <w:numPr>
        <w:numId w:val="6"/>
      </w:numPr>
      <w:spacing w:before="80" w:after="80"/>
    </w:pPr>
    <w:rPr>
      <w:rFonts w:eastAsia="Times New Roman" w:cs="Calibri"/>
      <w:color w:val="auto"/>
      <w:lang w:eastAsia="en-AU"/>
    </w:rPr>
  </w:style>
  <w:style w:type="paragraph" w:customStyle="1" w:styleId="Bullet2">
    <w:name w:val="Bullet 2"/>
    <w:basedOn w:val="Bullet1"/>
    <w:uiPriority w:val="99"/>
    <w:rsid w:val="00E04C6D"/>
    <w:pPr>
      <w:numPr>
        <w:ilvl w:val="1"/>
      </w:numPr>
    </w:pPr>
  </w:style>
  <w:style w:type="paragraph" w:customStyle="1" w:styleId="Bullet3">
    <w:name w:val="Bullet 3"/>
    <w:basedOn w:val="Bullet2"/>
    <w:uiPriority w:val="99"/>
    <w:rsid w:val="00E04C6D"/>
    <w:pPr>
      <w:numPr>
        <w:ilvl w:val="2"/>
      </w:numPr>
    </w:pPr>
  </w:style>
  <w:style w:type="paragraph" w:customStyle="1" w:styleId="BodyText1">
    <w:name w:val="Body Text1"/>
    <w:basedOn w:val="Normal"/>
    <w:rsid w:val="00E04C6D"/>
    <w:pPr>
      <w:spacing w:before="120" w:after="60"/>
      <w:jc w:val="both"/>
    </w:pPr>
    <w:rPr>
      <w:rFonts w:ascii="Times New Roman" w:eastAsia="Times New Roman" w:hAnsi="Times New Roman" w:cs="Times New Roman"/>
      <w:color w:val="auto"/>
      <w:sz w:val="24"/>
      <w:szCs w:val="20"/>
    </w:rPr>
  </w:style>
  <w:style w:type="paragraph" w:styleId="Header">
    <w:name w:val="header"/>
    <w:basedOn w:val="Normal"/>
    <w:link w:val="HeaderChar"/>
    <w:uiPriority w:val="99"/>
    <w:unhideWhenUsed/>
    <w:rsid w:val="00E04C6D"/>
    <w:pPr>
      <w:tabs>
        <w:tab w:val="center" w:pos="4320"/>
        <w:tab w:val="right" w:pos="8640"/>
      </w:tabs>
    </w:pPr>
  </w:style>
  <w:style w:type="character" w:customStyle="1" w:styleId="HeaderChar">
    <w:name w:val="Header Char"/>
    <w:basedOn w:val="DefaultParagraphFont"/>
    <w:link w:val="Header"/>
    <w:uiPriority w:val="99"/>
    <w:rsid w:val="00E04C6D"/>
    <w:rPr>
      <w:rFonts w:ascii="Calibri" w:eastAsiaTheme="minorEastAsia" w:hAnsi="Calibri" w:cs="Lucida Grande"/>
      <w:color w:val="000000"/>
      <w:lang w:val="en-US" w:eastAsia="en-US"/>
    </w:rPr>
  </w:style>
  <w:style w:type="paragraph" w:styleId="Index1">
    <w:name w:val="index 1"/>
    <w:basedOn w:val="Normal"/>
    <w:next w:val="Normal"/>
    <w:autoRedefine/>
    <w:uiPriority w:val="99"/>
    <w:unhideWhenUsed/>
    <w:rsid w:val="00E04C6D"/>
    <w:pPr>
      <w:ind w:left="220" w:hanging="220"/>
    </w:pPr>
    <w:rPr>
      <w:rFonts w:asciiTheme="minorHAnsi" w:hAnsiTheme="minorHAnsi"/>
      <w:sz w:val="20"/>
      <w:szCs w:val="20"/>
    </w:rPr>
  </w:style>
  <w:style w:type="paragraph" w:styleId="Index2">
    <w:name w:val="index 2"/>
    <w:basedOn w:val="Normal"/>
    <w:next w:val="Normal"/>
    <w:autoRedefine/>
    <w:uiPriority w:val="99"/>
    <w:unhideWhenUsed/>
    <w:rsid w:val="00E04C6D"/>
    <w:pPr>
      <w:ind w:left="440" w:hanging="220"/>
    </w:pPr>
    <w:rPr>
      <w:rFonts w:asciiTheme="minorHAnsi" w:hAnsiTheme="minorHAnsi"/>
      <w:sz w:val="20"/>
      <w:szCs w:val="20"/>
    </w:rPr>
  </w:style>
  <w:style w:type="paragraph" w:styleId="Index3">
    <w:name w:val="index 3"/>
    <w:basedOn w:val="Normal"/>
    <w:next w:val="Normal"/>
    <w:autoRedefine/>
    <w:uiPriority w:val="99"/>
    <w:unhideWhenUsed/>
    <w:rsid w:val="00E04C6D"/>
    <w:pPr>
      <w:ind w:left="660" w:hanging="220"/>
    </w:pPr>
    <w:rPr>
      <w:rFonts w:asciiTheme="minorHAnsi" w:hAnsiTheme="minorHAnsi"/>
      <w:sz w:val="20"/>
      <w:szCs w:val="20"/>
    </w:rPr>
  </w:style>
  <w:style w:type="paragraph" w:styleId="Index4">
    <w:name w:val="index 4"/>
    <w:basedOn w:val="Normal"/>
    <w:next w:val="Normal"/>
    <w:autoRedefine/>
    <w:uiPriority w:val="99"/>
    <w:unhideWhenUsed/>
    <w:rsid w:val="00E04C6D"/>
    <w:pPr>
      <w:ind w:left="880" w:hanging="220"/>
    </w:pPr>
    <w:rPr>
      <w:rFonts w:asciiTheme="minorHAnsi" w:hAnsiTheme="minorHAnsi"/>
      <w:sz w:val="20"/>
      <w:szCs w:val="20"/>
    </w:rPr>
  </w:style>
  <w:style w:type="paragraph" w:styleId="Index5">
    <w:name w:val="index 5"/>
    <w:basedOn w:val="Normal"/>
    <w:next w:val="Normal"/>
    <w:autoRedefine/>
    <w:uiPriority w:val="99"/>
    <w:unhideWhenUsed/>
    <w:rsid w:val="00E04C6D"/>
    <w:pPr>
      <w:ind w:left="1100" w:hanging="220"/>
    </w:pPr>
    <w:rPr>
      <w:rFonts w:asciiTheme="minorHAnsi" w:hAnsiTheme="minorHAnsi"/>
      <w:sz w:val="20"/>
      <w:szCs w:val="20"/>
    </w:rPr>
  </w:style>
  <w:style w:type="paragraph" w:styleId="Index6">
    <w:name w:val="index 6"/>
    <w:basedOn w:val="Normal"/>
    <w:next w:val="Normal"/>
    <w:autoRedefine/>
    <w:uiPriority w:val="99"/>
    <w:unhideWhenUsed/>
    <w:rsid w:val="00E04C6D"/>
    <w:pPr>
      <w:ind w:left="1320" w:hanging="220"/>
    </w:pPr>
    <w:rPr>
      <w:rFonts w:asciiTheme="minorHAnsi" w:hAnsiTheme="minorHAnsi"/>
      <w:sz w:val="20"/>
      <w:szCs w:val="20"/>
    </w:rPr>
  </w:style>
  <w:style w:type="paragraph" w:styleId="Index7">
    <w:name w:val="index 7"/>
    <w:basedOn w:val="Normal"/>
    <w:next w:val="Normal"/>
    <w:autoRedefine/>
    <w:uiPriority w:val="99"/>
    <w:unhideWhenUsed/>
    <w:rsid w:val="00E04C6D"/>
    <w:pPr>
      <w:ind w:left="1540" w:hanging="220"/>
    </w:pPr>
    <w:rPr>
      <w:rFonts w:asciiTheme="minorHAnsi" w:hAnsiTheme="minorHAnsi"/>
      <w:sz w:val="20"/>
      <w:szCs w:val="20"/>
    </w:rPr>
  </w:style>
  <w:style w:type="paragraph" w:styleId="Index8">
    <w:name w:val="index 8"/>
    <w:basedOn w:val="Normal"/>
    <w:next w:val="Normal"/>
    <w:autoRedefine/>
    <w:uiPriority w:val="99"/>
    <w:unhideWhenUsed/>
    <w:rsid w:val="00E04C6D"/>
    <w:pPr>
      <w:ind w:left="1760" w:hanging="220"/>
    </w:pPr>
    <w:rPr>
      <w:rFonts w:asciiTheme="minorHAnsi" w:hAnsiTheme="minorHAnsi"/>
      <w:sz w:val="20"/>
      <w:szCs w:val="20"/>
    </w:rPr>
  </w:style>
  <w:style w:type="paragraph" w:styleId="Index9">
    <w:name w:val="index 9"/>
    <w:basedOn w:val="Normal"/>
    <w:next w:val="Normal"/>
    <w:autoRedefine/>
    <w:uiPriority w:val="99"/>
    <w:unhideWhenUsed/>
    <w:rsid w:val="00E04C6D"/>
    <w:pPr>
      <w:ind w:left="1980" w:hanging="220"/>
    </w:pPr>
    <w:rPr>
      <w:rFonts w:asciiTheme="minorHAnsi" w:hAnsiTheme="minorHAnsi"/>
      <w:sz w:val="20"/>
      <w:szCs w:val="20"/>
    </w:rPr>
  </w:style>
  <w:style w:type="paragraph" w:styleId="IndexHeading">
    <w:name w:val="index heading"/>
    <w:basedOn w:val="Normal"/>
    <w:next w:val="Index1"/>
    <w:uiPriority w:val="99"/>
    <w:unhideWhenUsed/>
    <w:rsid w:val="00E04C6D"/>
    <w:pPr>
      <w:spacing w:before="120" w:after="120"/>
    </w:pPr>
    <w:rPr>
      <w:rFonts w:asciiTheme="minorHAnsi" w:hAnsiTheme="minorHAnsi"/>
      <w:i/>
      <w:iCs/>
      <w:sz w:val="20"/>
      <w:szCs w:val="20"/>
    </w:rPr>
  </w:style>
  <w:style w:type="paragraph" w:styleId="TOC1">
    <w:name w:val="toc 1"/>
    <w:basedOn w:val="Normal"/>
    <w:next w:val="Normal"/>
    <w:autoRedefine/>
    <w:uiPriority w:val="39"/>
    <w:unhideWhenUsed/>
    <w:rsid w:val="00E04C6D"/>
    <w:pPr>
      <w:tabs>
        <w:tab w:val="right" w:leader="dot" w:pos="8212"/>
      </w:tabs>
      <w:spacing w:before="120"/>
    </w:pPr>
    <w:rPr>
      <w:rFonts w:asciiTheme="majorHAnsi" w:hAnsiTheme="majorHAnsi"/>
      <w:b/>
      <w:bCs/>
      <w:noProof/>
      <w:color w:val="BE2A18"/>
      <w:sz w:val="24"/>
      <w:szCs w:val="24"/>
    </w:rPr>
  </w:style>
  <w:style w:type="paragraph" w:styleId="TOC2">
    <w:name w:val="toc 2"/>
    <w:basedOn w:val="Normal"/>
    <w:next w:val="Normal"/>
    <w:autoRedefine/>
    <w:uiPriority w:val="39"/>
    <w:unhideWhenUsed/>
    <w:rsid w:val="00E04C6D"/>
    <w:rPr>
      <w:rFonts w:asciiTheme="minorHAnsi" w:hAnsiTheme="minorHAnsi"/>
    </w:rPr>
  </w:style>
  <w:style w:type="paragraph" w:styleId="TOC3">
    <w:name w:val="toc 3"/>
    <w:basedOn w:val="Normal"/>
    <w:next w:val="Normal"/>
    <w:autoRedefine/>
    <w:uiPriority w:val="39"/>
    <w:unhideWhenUsed/>
    <w:rsid w:val="00EE37EF"/>
    <w:pPr>
      <w:tabs>
        <w:tab w:val="right" w:leader="dot" w:pos="8212"/>
      </w:tabs>
      <w:ind w:left="220" w:hanging="220"/>
    </w:pPr>
    <w:rPr>
      <w:rFonts w:asciiTheme="minorHAnsi" w:hAnsiTheme="minorHAnsi"/>
      <w:i/>
      <w:iCs/>
    </w:rPr>
  </w:style>
  <w:style w:type="paragraph" w:styleId="TOC4">
    <w:name w:val="toc 4"/>
    <w:basedOn w:val="Normal"/>
    <w:next w:val="Normal"/>
    <w:autoRedefine/>
    <w:uiPriority w:val="39"/>
    <w:unhideWhenUsed/>
    <w:rsid w:val="00E04C6D"/>
    <w:pPr>
      <w:pBdr>
        <w:between w:val="double" w:sz="6" w:space="0" w:color="auto"/>
      </w:pBdr>
      <w:ind w:left="440"/>
    </w:pPr>
    <w:rPr>
      <w:rFonts w:asciiTheme="minorHAnsi" w:hAnsiTheme="minorHAnsi"/>
      <w:sz w:val="20"/>
      <w:szCs w:val="20"/>
    </w:rPr>
  </w:style>
  <w:style w:type="paragraph" w:styleId="TOC5">
    <w:name w:val="toc 5"/>
    <w:basedOn w:val="Normal"/>
    <w:next w:val="Normal"/>
    <w:autoRedefine/>
    <w:uiPriority w:val="39"/>
    <w:unhideWhenUsed/>
    <w:rsid w:val="00E04C6D"/>
    <w:pPr>
      <w:pBdr>
        <w:between w:val="double" w:sz="6" w:space="0" w:color="auto"/>
      </w:pBdr>
      <w:ind w:left="660"/>
    </w:pPr>
    <w:rPr>
      <w:rFonts w:asciiTheme="minorHAnsi" w:hAnsiTheme="minorHAnsi"/>
      <w:sz w:val="20"/>
      <w:szCs w:val="20"/>
    </w:rPr>
  </w:style>
  <w:style w:type="paragraph" w:styleId="TOC6">
    <w:name w:val="toc 6"/>
    <w:basedOn w:val="Normal"/>
    <w:next w:val="Normal"/>
    <w:autoRedefine/>
    <w:uiPriority w:val="39"/>
    <w:unhideWhenUsed/>
    <w:rsid w:val="00E04C6D"/>
    <w:pPr>
      <w:pBdr>
        <w:between w:val="double" w:sz="6" w:space="0" w:color="auto"/>
      </w:pBdr>
      <w:ind w:left="880"/>
    </w:pPr>
    <w:rPr>
      <w:rFonts w:asciiTheme="minorHAnsi" w:hAnsiTheme="minorHAnsi"/>
      <w:sz w:val="20"/>
      <w:szCs w:val="20"/>
    </w:rPr>
  </w:style>
  <w:style w:type="paragraph" w:styleId="TOC7">
    <w:name w:val="toc 7"/>
    <w:basedOn w:val="Normal"/>
    <w:next w:val="Normal"/>
    <w:autoRedefine/>
    <w:uiPriority w:val="39"/>
    <w:unhideWhenUsed/>
    <w:rsid w:val="00E04C6D"/>
    <w:pPr>
      <w:pBdr>
        <w:between w:val="double" w:sz="6" w:space="0" w:color="auto"/>
      </w:pBdr>
      <w:ind w:left="1100"/>
    </w:pPr>
    <w:rPr>
      <w:rFonts w:asciiTheme="minorHAnsi" w:hAnsiTheme="minorHAnsi"/>
      <w:sz w:val="20"/>
      <w:szCs w:val="20"/>
    </w:rPr>
  </w:style>
  <w:style w:type="paragraph" w:styleId="TOC8">
    <w:name w:val="toc 8"/>
    <w:basedOn w:val="Normal"/>
    <w:next w:val="Normal"/>
    <w:autoRedefine/>
    <w:uiPriority w:val="39"/>
    <w:unhideWhenUsed/>
    <w:rsid w:val="00E04C6D"/>
    <w:pPr>
      <w:pBdr>
        <w:between w:val="double" w:sz="6" w:space="0" w:color="auto"/>
      </w:pBdr>
      <w:ind w:left="1320"/>
    </w:pPr>
    <w:rPr>
      <w:rFonts w:asciiTheme="minorHAnsi" w:hAnsiTheme="minorHAnsi"/>
      <w:sz w:val="20"/>
      <w:szCs w:val="20"/>
    </w:rPr>
  </w:style>
  <w:style w:type="paragraph" w:styleId="TOC9">
    <w:name w:val="toc 9"/>
    <w:basedOn w:val="Normal"/>
    <w:next w:val="Normal"/>
    <w:autoRedefine/>
    <w:uiPriority w:val="39"/>
    <w:unhideWhenUsed/>
    <w:rsid w:val="00E04C6D"/>
    <w:pPr>
      <w:pBdr>
        <w:between w:val="double" w:sz="6" w:space="0" w:color="auto"/>
      </w:pBdr>
      <w:ind w:left="1540"/>
    </w:pPr>
    <w:rPr>
      <w:rFonts w:asciiTheme="minorHAnsi" w:hAnsiTheme="minorHAnsi"/>
      <w:sz w:val="20"/>
      <w:szCs w:val="20"/>
    </w:rPr>
  </w:style>
  <w:style w:type="paragraph" w:styleId="NoSpacing">
    <w:name w:val="No Spacing"/>
    <w:uiPriority w:val="1"/>
    <w:qFormat/>
    <w:rsid w:val="00E04C6D"/>
    <w:pPr>
      <w:spacing w:after="0" w:line="240" w:lineRule="auto"/>
    </w:pPr>
    <w:rPr>
      <w:rFonts w:eastAsiaTheme="minorHAnsi" w:hAnsiTheme="minorHAnsi" w:cstheme="minorBidi"/>
    </w:rPr>
  </w:style>
  <w:style w:type="paragraph" w:styleId="BodyText">
    <w:name w:val="Body Text"/>
    <w:basedOn w:val="Normal"/>
    <w:link w:val="BodyTextChar"/>
    <w:uiPriority w:val="99"/>
    <w:rsid w:val="00E04C6D"/>
    <w:pPr>
      <w:spacing w:after="120"/>
    </w:pPr>
    <w:rPr>
      <w:rFonts w:eastAsia="MS ??"/>
    </w:rPr>
  </w:style>
  <w:style w:type="character" w:customStyle="1" w:styleId="BodyTextChar">
    <w:name w:val="Body Text Char"/>
    <w:basedOn w:val="DefaultParagraphFont"/>
    <w:link w:val="BodyText"/>
    <w:uiPriority w:val="99"/>
    <w:rsid w:val="00E04C6D"/>
    <w:rPr>
      <w:rFonts w:ascii="Calibri" w:eastAsia="MS ??" w:hAnsi="Calibri" w:cs="Lucida Grande"/>
      <w:color w:val="000000"/>
      <w:lang w:val="en-US" w:eastAsia="en-US"/>
    </w:rPr>
  </w:style>
  <w:style w:type="paragraph" w:customStyle="1" w:styleId="Recommendationnumber">
    <w:name w:val="Recommendation number"/>
    <w:uiPriority w:val="99"/>
    <w:rsid w:val="00E04C6D"/>
    <w:pPr>
      <w:tabs>
        <w:tab w:val="num" w:pos="567"/>
      </w:tabs>
      <w:spacing w:before="80" w:after="0" w:line="240" w:lineRule="auto"/>
      <w:ind w:left="567" w:hanging="567"/>
    </w:pPr>
    <w:rPr>
      <w:rFonts w:ascii="Arial" w:eastAsia="MS ??" w:hAnsi="Arial"/>
      <w:sz w:val="24"/>
      <w:szCs w:val="20"/>
      <w:lang w:eastAsia="en-US"/>
    </w:rPr>
  </w:style>
  <w:style w:type="paragraph" w:customStyle="1" w:styleId="Bulletlist">
    <w:name w:val="Bullet list"/>
    <w:uiPriority w:val="99"/>
    <w:rsid w:val="00E04C6D"/>
    <w:pPr>
      <w:numPr>
        <w:ilvl w:val="1"/>
        <w:numId w:val="10"/>
      </w:numPr>
      <w:tabs>
        <w:tab w:val="clear" w:pos="1440"/>
        <w:tab w:val="num" w:pos="927"/>
      </w:tabs>
      <w:spacing w:after="0" w:line="240" w:lineRule="auto"/>
      <w:ind w:left="927"/>
    </w:pPr>
    <w:rPr>
      <w:rFonts w:ascii="Arial" w:eastAsia="MS ??" w:hAnsi="Arial"/>
      <w:sz w:val="24"/>
      <w:szCs w:val="20"/>
      <w:lang w:eastAsia="en-US"/>
    </w:rPr>
  </w:style>
  <w:style w:type="paragraph" w:customStyle="1" w:styleId="TableHeader">
    <w:name w:val="Table Header"/>
    <w:basedOn w:val="TableText"/>
    <w:uiPriority w:val="15"/>
    <w:qFormat/>
    <w:rsid w:val="00E04C6D"/>
    <w:pPr>
      <w:keepNext/>
      <w:spacing w:before="40" w:after="40"/>
    </w:pPr>
    <w:rPr>
      <w:color w:val="333333"/>
      <w:sz w:val="24"/>
    </w:rPr>
  </w:style>
  <w:style w:type="paragraph" w:customStyle="1" w:styleId="Small">
    <w:name w:val="Small"/>
    <w:basedOn w:val="Normal"/>
    <w:rsid w:val="00E04C6D"/>
    <w:pPr>
      <w:jc w:val="both"/>
    </w:pPr>
    <w:rPr>
      <w:rFonts w:ascii="Arial Narrow" w:eastAsia="Times New Roman" w:hAnsi="Arial Narrow" w:cs="Times New Roman"/>
      <w:color w:val="auto"/>
      <w:sz w:val="2"/>
      <w:szCs w:val="20"/>
    </w:rPr>
  </w:style>
  <w:style w:type="table" w:customStyle="1" w:styleId="TableGrid1">
    <w:name w:val="Table Grid1"/>
    <w:basedOn w:val="TableNormal"/>
    <w:next w:val="TableGrid"/>
    <w:uiPriority w:val="59"/>
    <w:rsid w:val="00E04C6D"/>
    <w:pPr>
      <w:spacing w:after="0" w:line="240" w:lineRule="auto"/>
    </w:pPr>
    <w:rPr>
      <w:rFonts w:ascii="Calibri" w:eastAsiaTheme="minorEastAsia" w:hAnsi="Calibri" w:cs="Lucida Grande"/>
      <w:color w:val="00000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JCSbodyChar">
    <w:name w:val="DJCS body Char"/>
    <w:basedOn w:val="DefaultParagraphFont"/>
    <w:link w:val="DJCSbody"/>
    <w:locked/>
    <w:rsid w:val="00D86F63"/>
    <w:rPr>
      <w:rFonts w:ascii="Arial" w:eastAsia="Times" w:hAnsi="Arial"/>
      <w:szCs w:val="20"/>
    </w:rPr>
  </w:style>
  <w:style w:type="paragraph" w:customStyle="1" w:styleId="DJCSbody">
    <w:name w:val="DJCS body"/>
    <w:link w:val="DJCSbodyChar"/>
    <w:qFormat/>
    <w:rsid w:val="00D86F63"/>
    <w:pPr>
      <w:spacing w:after="120" w:line="250" w:lineRule="atLeast"/>
      <w:ind w:left="851"/>
    </w:pPr>
    <w:rPr>
      <w:rFonts w:ascii="Arial" w:eastAsia="Times" w:hAnsi="Arial"/>
      <w:szCs w:val="20"/>
    </w:rPr>
  </w:style>
  <w:style w:type="character" w:styleId="UnresolvedMention">
    <w:name w:val="Unresolved Mention"/>
    <w:basedOn w:val="DefaultParagraphFont"/>
    <w:uiPriority w:val="99"/>
    <w:semiHidden/>
    <w:unhideWhenUsed/>
    <w:rsid w:val="00380787"/>
    <w:rPr>
      <w:color w:val="605E5C"/>
      <w:shd w:val="clear" w:color="auto" w:fill="E1DFDD"/>
    </w:rPr>
  </w:style>
  <w:style w:type="character" w:customStyle="1" w:styleId="Heading5Char">
    <w:name w:val="Heading 5 Char"/>
    <w:basedOn w:val="DefaultParagraphFont"/>
    <w:link w:val="Heading5"/>
    <w:uiPriority w:val="9"/>
    <w:rsid w:val="00AC4EC0"/>
    <w:rPr>
      <w:rFonts w:ascii="Calibri" w:eastAsiaTheme="majorEastAsia" w:hAnsi="Calibri" w:cstheme="majorBidi"/>
      <w:b/>
      <w:i/>
      <w:iCs/>
      <w:color w:val="ED7C5D"/>
      <w:u w:val="single"/>
      <w:lang w:val="en-US" w:eastAsia="en-US"/>
    </w:rPr>
  </w:style>
  <w:style w:type="paragraph" w:customStyle="1" w:styleId="DraftHeading3">
    <w:name w:val="Draft Heading 3"/>
    <w:basedOn w:val="Normal"/>
    <w:next w:val="Normal"/>
    <w:rsid w:val="00D366E8"/>
    <w:pPr>
      <w:overflowPunct w:val="0"/>
      <w:autoSpaceDE w:val="0"/>
      <w:autoSpaceDN w:val="0"/>
      <w:adjustRightInd w:val="0"/>
      <w:spacing w:before="120"/>
    </w:pPr>
    <w:rPr>
      <w:rFonts w:ascii="Times New Roman" w:eastAsia="Times New Roman" w:hAnsi="Times New Roman" w:cs="Times New Roman"/>
      <w:color w:val="auto"/>
      <w:sz w:val="24"/>
      <w:szCs w:val="20"/>
    </w:rPr>
  </w:style>
  <w:style w:type="paragraph" w:styleId="TOCHeading">
    <w:name w:val="TOC Heading"/>
    <w:basedOn w:val="Heading1"/>
    <w:next w:val="Normal"/>
    <w:uiPriority w:val="39"/>
    <w:unhideWhenUsed/>
    <w:qFormat/>
    <w:rsid w:val="00CB5534"/>
    <w:pPr>
      <w:spacing w:before="240" w:after="0" w:line="259" w:lineRule="auto"/>
      <w:outlineLvl w:val="9"/>
    </w:pPr>
    <w:rPr>
      <w:rFonts w:asciiTheme="majorHAnsi" w:hAnsiTheme="majorHAnsi" w:cstheme="majorBidi"/>
      <w:b w:val="0"/>
      <w:bCs w:val="0"/>
      <w:color w:val="2F5496" w:themeColor="accent1" w:themeShade="BF"/>
      <w:lang w:val="en-US"/>
    </w:rPr>
  </w:style>
  <w:style w:type="paragraph" w:styleId="Revision">
    <w:name w:val="Revision"/>
    <w:hidden/>
    <w:uiPriority w:val="99"/>
    <w:semiHidden/>
    <w:rsid w:val="00C23B8D"/>
    <w:pPr>
      <w:spacing w:after="0" w:line="240" w:lineRule="auto"/>
    </w:pPr>
    <w:rPr>
      <w:rFonts w:ascii="Calibri" w:eastAsiaTheme="minorEastAsia" w:hAnsi="Calibri" w:cs="Lucida Grande"/>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73540">
      <w:bodyDiv w:val="1"/>
      <w:marLeft w:val="0"/>
      <w:marRight w:val="0"/>
      <w:marTop w:val="0"/>
      <w:marBottom w:val="0"/>
      <w:divBdr>
        <w:top w:val="none" w:sz="0" w:space="0" w:color="auto"/>
        <w:left w:val="none" w:sz="0" w:space="0" w:color="auto"/>
        <w:bottom w:val="none" w:sz="0" w:space="0" w:color="auto"/>
        <w:right w:val="none" w:sz="0" w:space="0" w:color="auto"/>
      </w:divBdr>
    </w:div>
    <w:div w:id="91052208">
      <w:bodyDiv w:val="1"/>
      <w:marLeft w:val="0"/>
      <w:marRight w:val="0"/>
      <w:marTop w:val="0"/>
      <w:marBottom w:val="0"/>
      <w:divBdr>
        <w:top w:val="none" w:sz="0" w:space="0" w:color="auto"/>
        <w:left w:val="none" w:sz="0" w:space="0" w:color="auto"/>
        <w:bottom w:val="none" w:sz="0" w:space="0" w:color="auto"/>
        <w:right w:val="none" w:sz="0" w:space="0" w:color="auto"/>
      </w:divBdr>
    </w:div>
    <w:div w:id="104234672">
      <w:bodyDiv w:val="1"/>
      <w:marLeft w:val="0"/>
      <w:marRight w:val="0"/>
      <w:marTop w:val="0"/>
      <w:marBottom w:val="0"/>
      <w:divBdr>
        <w:top w:val="none" w:sz="0" w:space="0" w:color="auto"/>
        <w:left w:val="none" w:sz="0" w:space="0" w:color="auto"/>
        <w:bottom w:val="none" w:sz="0" w:space="0" w:color="auto"/>
        <w:right w:val="none" w:sz="0" w:space="0" w:color="auto"/>
      </w:divBdr>
    </w:div>
    <w:div w:id="175508966">
      <w:bodyDiv w:val="1"/>
      <w:marLeft w:val="0"/>
      <w:marRight w:val="0"/>
      <w:marTop w:val="0"/>
      <w:marBottom w:val="0"/>
      <w:divBdr>
        <w:top w:val="none" w:sz="0" w:space="0" w:color="auto"/>
        <w:left w:val="none" w:sz="0" w:space="0" w:color="auto"/>
        <w:bottom w:val="none" w:sz="0" w:space="0" w:color="auto"/>
        <w:right w:val="none" w:sz="0" w:space="0" w:color="auto"/>
      </w:divBdr>
    </w:div>
    <w:div w:id="206383048">
      <w:bodyDiv w:val="1"/>
      <w:marLeft w:val="0"/>
      <w:marRight w:val="0"/>
      <w:marTop w:val="0"/>
      <w:marBottom w:val="0"/>
      <w:divBdr>
        <w:top w:val="none" w:sz="0" w:space="0" w:color="auto"/>
        <w:left w:val="none" w:sz="0" w:space="0" w:color="auto"/>
        <w:bottom w:val="none" w:sz="0" w:space="0" w:color="auto"/>
        <w:right w:val="none" w:sz="0" w:space="0" w:color="auto"/>
      </w:divBdr>
    </w:div>
    <w:div w:id="243026592">
      <w:bodyDiv w:val="1"/>
      <w:marLeft w:val="0"/>
      <w:marRight w:val="0"/>
      <w:marTop w:val="0"/>
      <w:marBottom w:val="0"/>
      <w:divBdr>
        <w:top w:val="none" w:sz="0" w:space="0" w:color="auto"/>
        <w:left w:val="none" w:sz="0" w:space="0" w:color="auto"/>
        <w:bottom w:val="none" w:sz="0" w:space="0" w:color="auto"/>
        <w:right w:val="none" w:sz="0" w:space="0" w:color="auto"/>
      </w:divBdr>
    </w:div>
    <w:div w:id="286591329">
      <w:bodyDiv w:val="1"/>
      <w:marLeft w:val="0"/>
      <w:marRight w:val="0"/>
      <w:marTop w:val="0"/>
      <w:marBottom w:val="0"/>
      <w:divBdr>
        <w:top w:val="none" w:sz="0" w:space="0" w:color="auto"/>
        <w:left w:val="none" w:sz="0" w:space="0" w:color="auto"/>
        <w:bottom w:val="none" w:sz="0" w:space="0" w:color="auto"/>
        <w:right w:val="none" w:sz="0" w:space="0" w:color="auto"/>
      </w:divBdr>
    </w:div>
    <w:div w:id="350764180">
      <w:bodyDiv w:val="1"/>
      <w:marLeft w:val="0"/>
      <w:marRight w:val="0"/>
      <w:marTop w:val="0"/>
      <w:marBottom w:val="0"/>
      <w:divBdr>
        <w:top w:val="none" w:sz="0" w:space="0" w:color="auto"/>
        <w:left w:val="none" w:sz="0" w:space="0" w:color="auto"/>
        <w:bottom w:val="none" w:sz="0" w:space="0" w:color="auto"/>
        <w:right w:val="none" w:sz="0" w:space="0" w:color="auto"/>
      </w:divBdr>
    </w:div>
    <w:div w:id="369959134">
      <w:bodyDiv w:val="1"/>
      <w:marLeft w:val="0"/>
      <w:marRight w:val="0"/>
      <w:marTop w:val="0"/>
      <w:marBottom w:val="0"/>
      <w:divBdr>
        <w:top w:val="none" w:sz="0" w:space="0" w:color="auto"/>
        <w:left w:val="none" w:sz="0" w:space="0" w:color="auto"/>
        <w:bottom w:val="none" w:sz="0" w:space="0" w:color="auto"/>
        <w:right w:val="none" w:sz="0" w:space="0" w:color="auto"/>
      </w:divBdr>
    </w:div>
    <w:div w:id="371423136">
      <w:bodyDiv w:val="1"/>
      <w:marLeft w:val="0"/>
      <w:marRight w:val="0"/>
      <w:marTop w:val="0"/>
      <w:marBottom w:val="0"/>
      <w:divBdr>
        <w:top w:val="none" w:sz="0" w:space="0" w:color="auto"/>
        <w:left w:val="none" w:sz="0" w:space="0" w:color="auto"/>
        <w:bottom w:val="none" w:sz="0" w:space="0" w:color="auto"/>
        <w:right w:val="none" w:sz="0" w:space="0" w:color="auto"/>
      </w:divBdr>
    </w:div>
    <w:div w:id="379018017">
      <w:bodyDiv w:val="1"/>
      <w:marLeft w:val="0"/>
      <w:marRight w:val="0"/>
      <w:marTop w:val="0"/>
      <w:marBottom w:val="0"/>
      <w:divBdr>
        <w:top w:val="none" w:sz="0" w:space="0" w:color="auto"/>
        <w:left w:val="none" w:sz="0" w:space="0" w:color="auto"/>
        <w:bottom w:val="none" w:sz="0" w:space="0" w:color="auto"/>
        <w:right w:val="none" w:sz="0" w:space="0" w:color="auto"/>
      </w:divBdr>
    </w:div>
    <w:div w:id="380785602">
      <w:bodyDiv w:val="1"/>
      <w:marLeft w:val="0"/>
      <w:marRight w:val="0"/>
      <w:marTop w:val="0"/>
      <w:marBottom w:val="0"/>
      <w:divBdr>
        <w:top w:val="none" w:sz="0" w:space="0" w:color="auto"/>
        <w:left w:val="none" w:sz="0" w:space="0" w:color="auto"/>
        <w:bottom w:val="none" w:sz="0" w:space="0" w:color="auto"/>
        <w:right w:val="none" w:sz="0" w:space="0" w:color="auto"/>
      </w:divBdr>
    </w:div>
    <w:div w:id="401955184">
      <w:bodyDiv w:val="1"/>
      <w:marLeft w:val="0"/>
      <w:marRight w:val="0"/>
      <w:marTop w:val="0"/>
      <w:marBottom w:val="0"/>
      <w:divBdr>
        <w:top w:val="none" w:sz="0" w:space="0" w:color="auto"/>
        <w:left w:val="none" w:sz="0" w:space="0" w:color="auto"/>
        <w:bottom w:val="none" w:sz="0" w:space="0" w:color="auto"/>
        <w:right w:val="none" w:sz="0" w:space="0" w:color="auto"/>
      </w:divBdr>
    </w:div>
    <w:div w:id="442921116">
      <w:bodyDiv w:val="1"/>
      <w:marLeft w:val="0"/>
      <w:marRight w:val="0"/>
      <w:marTop w:val="0"/>
      <w:marBottom w:val="0"/>
      <w:divBdr>
        <w:top w:val="none" w:sz="0" w:space="0" w:color="auto"/>
        <w:left w:val="none" w:sz="0" w:space="0" w:color="auto"/>
        <w:bottom w:val="none" w:sz="0" w:space="0" w:color="auto"/>
        <w:right w:val="none" w:sz="0" w:space="0" w:color="auto"/>
      </w:divBdr>
    </w:div>
    <w:div w:id="474758497">
      <w:bodyDiv w:val="1"/>
      <w:marLeft w:val="0"/>
      <w:marRight w:val="0"/>
      <w:marTop w:val="0"/>
      <w:marBottom w:val="0"/>
      <w:divBdr>
        <w:top w:val="none" w:sz="0" w:space="0" w:color="auto"/>
        <w:left w:val="none" w:sz="0" w:space="0" w:color="auto"/>
        <w:bottom w:val="none" w:sz="0" w:space="0" w:color="auto"/>
        <w:right w:val="none" w:sz="0" w:space="0" w:color="auto"/>
      </w:divBdr>
    </w:div>
    <w:div w:id="480511605">
      <w:bodyDiv w:val="1"/>
      <w:marLeft w:val="0"/>
      <w:marRight w:val="0"/>
      <w:marTop w:val="0"/>
      <w:marBottom w:val="0"/>
      <w:divBdr>
        <w:top w:val="none" w:sz="0" w:space="0" w:color="auto"/>
        <w:left w:val="none" w:sz="0" w:space="0" w:color="auto"/>
        <w:bottom w:val="none" w:sz="0" w:space="0" w:color="auto"/>
        <w:right w:val="none" w:sz="0" w:space="0" w:color="auto"/>
      </w:divBdr>
    </w:div>
    <w:div w:id="554854220">
      <w:bodyDiv w:val="1"/>
      <w:marLeft w:val="0"/>
      <w:marRight w:val="0"/>
      <w:marTop w:val="0"/>
      <w:marBottom w:val="0"/>
      <w:divBdr>
        <w:top w:val="none" w:sz="0" w:space="0" w:color="auto"/>
        <w:left w:val="none" w:sz="0" w:space="0" w:color="auto"/>
        <w:bottom w:val="none" w:sz="0" w:space="0" w:color="auto"/>
        <w:right w:val="none" w:sz="0" w:space="0" w:color="auto"/>
      </w:divBdr>
    </w:div>
    <w:div w:id="620305983">
      <w:bodyDiv w:val="1"/>
      <w:marLeft w:val="0"/>
      <w:marRight w:val="0"/>
      <w:marTop w:val="0"/>
      <w:marBottom w:val="0"/>
      <w:divBdr>
        <w:top w:val="none" w:sz="0" w:space="0" w:color="auto"/>
        <w:left w:val="none" w:sz="0" w:space="0" w:color="auto"/>
        <w:bottom w:val="none" w:sz="0" w:space="0" w:color="auto"/>
        <w:right w:val="none" w:sz="0" w:space="0" w:color="auto"/>
      </w:divBdr>
    </w:div>
    <w:div w:id="627664507">
      <w:bodyDiv w:val="1"/>
      <w:marLeft w:val="0"/>
      <w:marRight w:val="0"/>
      <w:marTop w:val="0"/>
      <w:marBottom w:val="0"/>
      <w:divBdr>
        <w:top w:val="none" w:sz="0" w:space="0" w:color="auto"/>
        <w:left w:val="none" w:sz="0" w:space="0" w:color="auto"/>
        <w:bottom w:val="none" w:sz="0" w:space="0" w:color="auto"/>
        <w:right w:val="none" w:sz="0" w:space="0" w:color="auto"/>
      </w:divBdr>
    </w:div>
    <w:div w:id="640380848">
      <w:bodyDiv w:val="1"/>
      <w:marLeft w:val="0"/>
      <w:marRight w:val="0"/>
      <w:marTop w:val="0"/>
      <w:marBottom w:val="0"/>
      <w:divBdr>
        <w:top w:val="none" w:sz="0" w:space="0" w:color="auto"/>
        <w:left w:val="none" w:sz="0" w:space="0" w:color="auto"/>
        <w:bottom w:val="none" w:sz="0" w:space="0" w:color="auto"/>
        <w:right w:val="none" w:sz="0" w:space="0" w:color="auto"/>
      </w:divBdr>
    </w:div>
    <w:div w:id="650869106">
      <w:bodyDiv w:val="1"/>
      <w:marLeft w:val="0"/>
      <w:marRight w:val="0"/>
      <w:marTop w:val="0"/>
      <w:marBottom w:val="0"/>
      <w:divBdr>
        <w:top w:val="none" w:sz="0" w:space="0" w:color="auto"/>
        <w:left w:val="none" w:sz="0" w:space="0" w:color="auto"/>
        <w:bottom w:val="none" w:sz="0" w:space="0" w:color="auto"/>
        <w:right w:val="none" w:sz="0" w:space="0" w:color="auto"/>
      </w:divBdr>
    </w:div>
    <w:div w:id="654652485">
      <w:bodyDiv w:val="1"/>
      <w:marLeft w:val="0"/>
      <w:marRight w:val="0"/>
      <w:marTop w:val="0"/>
      <w:marBottom w:val="0"/>
      <w:divBdr>
        <w:top w:val="none" w:sz="0" w:space="0" w:color="auto"/>
        <w:left w:val="none" w:sz="0" w:space="0" w:color="auto"/>
        <w:bottom w:val="none" w:sz="0" w:space="0" w:color="auto"/>
        <w:right w:val="none" w:sz="0" w:space="0" w:color="auto"/>
      </w:divBdr>
    </w:div>
    <w:div w:id="682518169">
      <w:bodyDiv w:val="1"/>
      <w:marLeft w:val="0"/>
      <w:marRight w:val="0"/>
      <w:marTop w:val="0"/>
      <w:marBottom w:val="0"/>
      <w:divBdr>
        <w:top w:val="none" w:sz="0" w:space="0" w:color="auto"/>
        <w:left w:val="none" w:sz="0" w:space="0" w:color="auto"/>
        <w:bottom w:val="none" w:sz="0" w:space="0" w:color="auto"/>
        <w:right w:val="none" w:sz="0" w:space="0" w:color="auto"/>
      </w:divBdr>
    </w:div>
    <w:div w:id="739207227">
      <w:bodyDiv w:val="1"/>
      <w:marLeft w:val="0"/>
      <w:marRight w:val="0"/>
      <w:marTop w:val="0"/>
      <w:marBottom w:val="0"/>
      <w:divBdr>
        <w:top w:val="none" w:sz="0" w:space="0" w:color="auto"/>
        <w:left w:val="none" w:sz="0" w:space="0" w:color="auto"/>
        <w:bottom w:val="none" w:sz="0" w:space="0" w:color="auto"/>
        <w:right w:val="none" w:sz="0" w:space="0" w:color="auto"/>
      </w:divBdr>
    </w:div>
    <w:div w:id="740064328">
      <w:bodyDiv w:val="1"/>
      <w:marLeft w:val="0"/>
      <w:marRight w:val="0"/>
      <w:marTop w:val="0"/>
      <w:marBottom w:val="0"/>
      <w:divBdr>
        <w:top w:val="none" w:sz="0" w:space="0" w:color="auto"/>
        <w:left w:val="none" w:sz="0" w:space="0" w:color="auto"/>
        <w:bottom w:val="none" w:sz="0" w:space="0" w:color="auto"/>
        <w:right w:val="none" w:sz="0" w:space="0" w:color="auto"/>
      </w:divBdr>
    </w:div>
    <w:div w:id="768818901">
      <w:bodyDiv w:val="1"/>
      <w:marLeft w:val="0"/>
      <w:marRight w:val="0"/>
      <w:marTop w:val="0"/>
      <w:marBottom w:val="0"/>
      <w:divBdr>
        <w:top w:val="none" w:sz="0" w:space="0" w:color="auto"/>
        <w:left w:val="none" w:sz="0" w:space="0" w:color="auto"/>
        <w:bottom w:val="none" w:sz="0" w:space="0" w:color="auto"/>
        <w:right w:val="none" w:sz="0" w:space="0" w:color="auto"/>
      </w:divBdr>
    </w:div>
    <w:div w:id="783306576">
      <w:bodyDiv w:val="1"/>
      <w:marLeft w:val="0"/>
      <w:marRight w:val="0"/>
      <w:marTop w:val="0"/>
      <w:marBottom w:val="0"/>
      <w:divBdr>
        <w:top w:val="none" w:sz="0" w:space="0" w:color="auto"/>
        <w:left w:val="none" w:sz="0" w:space="0" w:color="auto"/>
        <w:bottom w:val="none" w:sz="0" w:space="0" w:color="auto"/>
        <w:right w:val="none" w:sz="0" w:space="0" w:color="auto"/>
      </w:divBdr>
    </w:div>
    <w:div w:id="791243858">
      <w:bodyDiv w:val="1"/>
      <w:marLeft w:val="0"/>
      <w:marRight w:val="0"/>
      <w:marTop w:val="0"/>
      <w:marBottom w:val="0"/>
      <w:divBdr>
        <w:top w:val="none" w:sz="0" w:space="0" w:color="auto"/>
        <w:left w:val="none" w:sz="0" w:space="0" w:color="auto"/>
        <w:bottom w:val="none" w:sz="0" w:space="0" w:color="auto"/>
        <w:right w:val="none" w:sz="0" w:space="0" w:color="auto"/>
      </w:divBdr>
    </w:div>
    <w:div w:id="792748965">
      <w:bodyDiv w:val="1"/>
      <w:marLeft w:val="0"/>
      <w:marRight w:val="0"/>
      <w:marTop w:val="0"/>
      <w:marBottom w:val="0"/>
      <w:divBdr>
        <w:top w:val="none" w:sz="0" w:space="0" w:color="auto"/>
        <w:left w:val="none" w:sz="0" w:space="0" w:color="auto"/>
        <w:bottom w:val="none" w:sz="0" w:space="0" w:color="auto"/>
        <w:right w:val="none" w:sz="0" w:space="0" w:color="auto"/>
      </w:divBdr>
    </w:div>
    <w:div w:id="831606343">
      <w:bodyDiv w:val="1"/>
      <w:marLeft w:val="0"/>
      <w:marRight w:val="0"/>
      <w:marTop w:val="0"/>
      <w:marBottom w:val="0"/>
      <w:divBdr>
        <w:top w:val="none" w:sz="0" w:space="0" w:color="auto"/>
        <w:left w:val="none" w:sz="0" w:space="0" w:color="auto"/>
        <w:bottom w:val="none" w:sz="0" w:space="0" w:color="auto"/>
        <w:right w:val="none" w:sz="0" w:space="0" w:color="auto"/>
      </w:divBdr>
    </w:div>
    <w:div w:id="861625631">
      <w:bodyDiv w:val="1"/>
      <w:marLeft w:val="0"/>
      <w:marRight w:val="0"/>
      <w:marTop w:val="0"/>
      <w:marBottom w:val="0"/>
      <w:divBdr>
        <w:top w:val="none" w:sz="0" w:space="0" w:color="auto"/>
        <w:left w:val="none" w:sz="0" w:space="0" w:color="auto"/>
        <w:bottom w:val="none" w:sz="0" w:space="0" w:color="auto"/>
        <w:right w:val="none" w:sz="0" w:space="0" w:color="auto"/>
      </w:divBdr>
    </w:div>
    <w:div w:id="887105660">
      <w:bodyDiv w:val="1"/>
      <w:marLeft w:val="0"/>
      <w:marRight w:val="0"/>
      <w:marTop w:val="0"/>
      <w:marBottom w:val="0"/>
      <w:divBdr>
        <w:top w:val="none" w:sz="0" w:space="0" w:color="auto"/>
        <w:left w:val="none" w:sz="0" w:space="0" w:color="auto"/>
        <w:bottom w:val="none" w:sz="0" w:space="0" w:color="auto"/>
        <w:right w:val="none" w:sz="0" w:space="0" w:color="auto"/>
      </w:divBdr>
    </w:div>
    <w:div w:id="894661836">
      <w:bodyDiv w:val="1"/>
      <w:marLeft w:val="0"/>
      <w:marRight w:val="0"/>
      <w:marTop w:val="0"/>
      <w:marBottom w:val="0"/>
      <w:divBdr>
        <w:top w:val="none" w:sz="0" w:space="0" w:color="auto"/>
        <w:left w:val="none" w:sz="0" w:space="0" w:color="auto"/>
        <w:bottom w:val="none" w:sz="0" w:space="0" w:color="auto"/>
        <w:right w:val="none" w:sz="0" w:space="0" w:color="auto"/>
      </w:divBdr>
    </w:div>
    <w:div w:id="904686294">
      <w:bodyDiv w:val="1"/>
      <w:marLeft w:val="0"/>
      <w:marRight w:val="0"/>
      <w:marTop w:val="0"/>
      <w:marBottom w:val="0"/>
      <w:divBdr>
        <w:top w:val="none" w:sz="0" w:space="0" w:color="auto"/>
        <w:left w:val="none" w:sz="0" w:space="0" w:color="auto"/>
        <w:bottom w:val="none" w:sz="0" w:space="0" w:color="auto"/>
        <w:right w:val="none" w:sz="0" w:space="0" w:color="auto"/>
      </w:divBdr>
    </w:div>
    <w:div w:id="909727779">
      <w:bodyDiv w:val="1"/>
      <w:marLeft w:val="0"/>
      <w:marRight w:val="0"/>
      <w:marTop w:val="0"/>
      <w:marBottom w:val="0"/>
      <w:divBdr>
        <w:top w:val="none" w:sz="0" w:space="0" w:color="auto"/>
        <w:left w:val="none" w:sz="0" w:space="0" w:color="auto"/>
        <w:bottom w:val="none" w:sz="0" w:space="0" w:color="auto"/>
        <w:right w:val="none" w:sz="0" w:space="0" w:color="auto"/>
      </w:divBdr>
    </w:div>
    <w:div w:id="917399077">
      <w:bodyDiv w:val="1"/>
      <w:marLeft w:val="0"/>
      <w:marRight w:val="0"/>
      <w:marTop w:val="0"/>
      <w:marBottom w:val="0"/>
      <w:divBdr>
        <w:top w:val="none" w:sz="0" w:space="0" w:color="auto"/>
        <w:left w:val="none" w:sz="0" w:space="0" w:color="auto"/>
        <w:bottom w:val="none" w:sz="0" w:space="0" w:color="auto"/>
        <w:right w:val="none" w:sz="0" w:space="0" w:color="auto"/>
      </w:divBdr>
    </w:div>
    <w:div w:id="919557285">
      <w:bodyDiv w:val="1"/>
      <w:marLeft w:val="0"/>
      <w:marRight w:val="0"/>
      <w:marTop w:val="0"/>
      <w:marBottom w:val="0"/>
      <w:divBdr>
        <w:top w:val="none" w:sz="0" w:space="0" w:color="auto"/>
        <w:left w:val="none" w:sz="0" w:space="0" w:color="auto"/>
        <w:bottom w:val="none" w:sz="0" w:space="0" w:color="auto"/>
        <w:right w:val="none" w:sz="0" w:space="0" w:color="auto"/>
      </w:divBdr>
    </w:div>
    <w:div w:id="933241058">
      <w:bodyDiv w:val="1"/>
      <w:marLeft w:val="0"/>
      <w:marRight w:val="0"/>
      <w:marTop w:val="0"/>
      <w:marBottom w:val="0"/>
      <w:divBdr>
        <w:top w:val="none" w:sz="0" w:space="0" w:color="auto"/>
        <w:left w:val="none" w:sz="0" w:space="0" w:color="auto"/>
        <w:bottom w:val="none" w:sz="0" w:space="0" w:color="auto"/>
        <w:right w:val="none" w:sz="0" w:space="0" w:color="auto"/>
      </w:divBdr>
    </w:div>
    <w:div w:id="994795123">
      <w:bodyDiv w:val="1"/>
      <w:marLeft w:val="0"/>
      <w:marRight w:val="0"/>
      <w:marTop w:val="0"/>
      <w:marBottom w:val="0"/>
      <w:divBdr>
        <w:top w:val="none" w:sz="0" w:space="0" w:color="auto"/>
        <w:left w:val="none" w:sz="0" w:space="0" w:color="auto"/>
        <w:bottom w:val="none" w:sz="0" w:space="0" w:color="auto"/>
        <w:right w:val="none" w:sz="0" w:space="0" w:color="auto"/>
      </w:divBdr>
    </w:div>
    <w:div w:id="1039280504">
      <w:bodyDiv w:val="1"/>
      <w:marLeft w:val="0"/>
      <w:marRight w:val="0"/>
      <w:marTop w:val="0"/>
      <w:marBottom w:val="0"/>
      <w:divBdr>
        <w:top w:val="none" w:sz="0" w:space="0" w:color="auto"/>
        <w:left w:val="none" w:sz="0" w:space="0" w:color="auto"/>
        <w:bottom w:val="none" w:sz="0" w:space="0" w:color="auto"/>
        <w:right w:val="none" w:sz="0" w:space="0" w:color="auto"/>
      </w:divBdr>
    </w:div>
    <w:div w:id="1068844921">
      <w:bodyDiv w:val="1"/>
      <w:marLeft w:val="0"/>
      <w:marRight w:val="0"/>
      <w:marTop w:val="0"/>
      <w:marBottom w:val="0"/>
      <w:divBdr>
        <w:top w:val="none" w:sz="0" w:space="0" w:color="auto"/>
        <w:left w:val="none" w:sz="0" w:space="0" w:color="auto"/>
        <w:bottom w:val="none" w:sz="0" w:space="0" w:color="auto"/>
        <w:right w:val="none" w:sz="0" w:space="0" w:color="auto"/>
      </w:divBdr>
    </w:div>
    <w:div w:id="1141387542">
      <w:bodyDiv w:val="1"/>
      <w:marLeft w:val="0"/>
      <w:marRight w:val="0"/>
      <w:marTop w:val="0"/>
      <w:marBottom w:val="0"/>
      <w:divBdr>
        <w:top w:val="none" w:sz="0" w:space="0" w:color="auto"/>
        <w:left w:val="none" w:sz="0" w:space="0" w:color="auto"/>
        <w:bottom w:val="none" w:sz="0" w:space="0" w:color="auto"/>
        <w:right w:val="none" w:sz="0" w:space="0" w:color="auto"/>
      </w:divBdr>
    </w:div>
    <w:div w:id="1195920791">
      <w:bodyDiv w:val="1"/>
      <w:marLeft w:val="0"/>
      <w:marRight w:val="0"/>
      <w:marTop w:val="0"/>
      <w:marBottom w:val="0"/>
      <w:divBdr>
        <w:top w:val="none" w:sz="0" w:space="0" w:color="auto"/>
        <w:left w:val="none" w:sz="0" w:space="0" w:color="auto"/>
        <w:bottom w:val="none" w:sz="0" w:space="0" w:color="auto"/>
        <w:right w:val="none" w:sz="0" w:space="0" w:color="auto"/>
      </w:divBdr>
    </w:div>
    <w:div w:id="1212841036">
      <w:bodyDiv w:val="1"/>
      <w:marLeft w:val="0"/>
      <w:marRight w:val="0"/>
      <w:marTop w:val="0"/>
      <w:marBottom w:val="0"/>
      <w:divBdr>
        <w:top w:val="none" w:sz="0" w:space="0" w:color="auto"/>
        <w:left w:val="none" w:sz="0" w:space="0" w:color="auto"/>
        <w:bottom w:val="none" w:sz="0" w:space="0" w:color="auto"/>
        <w:right w:val="none" w:sz="0" w:space="0" w:color="auto"/>
      </w:divBdr>
    </w:div>
    <w:div w:id="1212882559">
      <w:bodyDiv w:val="1"/>
      <w:marLeft w:val="0"/>
      <w:marRight w:val="0"/>
      <w:marTop w:val="0"/>
      <w:marBottom w:val="0"/>
      <w:divBdr>
        <w:top w:val="none" w:sz="0" w:space="0" w:color="auto"/>
        <w:left w:val="none" w:sz="0" w:space="0" w:color="auto"/>
        <w:bottom w:val="none" w:sz="0" w:space="0" w:color="auto"/>
        <w:right w:val="none" w:sz="0" w:space="0" w:color="auto"/>
      </w:divBdr>
    </w:div>
    <w:div w:id="1215847098">
      <w:bodyDiv w:val="1"/>
      <w:marLeft w:val="0"/>
      <w:marRight w:val="0"/>
      <w:marTop w:val="0"/>
      <w:marBottom w:val="0"/>
      <w:divBdr>
        <w:top w:val="none" w:sz="0" w:space="0" w:color="auto"/>
        <w:left w:val="none" w:sz="0" w:space="0" w:color="auto"/>
        <w:bottom w:val="none" w:sz="0" w:space="0" w:color="auto"/>
        <w:right w:val="none" w:sz="0" w:space="0" w:color="auto"/>
      </w:divBdr>
    </w:div>
    <w:div w:id="1249389638">
      <w:bodyDiv w:val="1"/>
      <w:marLeft w:val="0"/>
      <w:marRight w:val="0"/>
      <w:marTop w:val="0"/>
      <w:marBottom w:val="0"/>
      <w:divBdr>
        <w:top w:val="none" w:sz="0" w:space="0" w:color="auto"/>
        <w:left w:val="none" w:sz="0" w:space="0" w:color="auto"/>
        <w:bottom w:val="none" w:sz="0" w:space="0" w:color="auto"/>
        <w:right w:val="none" w:sz="0" w:space="0" w:color="auto"/>
      </w:divBdr>
    </w:div>
    <w:div w:id="1262183505">
      <w:bodyDiv w:val="1"/>
      <w:marLeft w:val="0"/>
      <w:marRight w:val="0"/>
      <w:marTop w:val="0"/>
      <w:marBottom w:val="0"/>
      <w:divBdr>
        <w:top w:val="none" w:sz="0" w:space="0" w:color="auto"/>
        <w:left w:val="none" w:sz="0" w:space="0" w:color="auto"/>
        <w:bottom w:val="none" w:sz="0" w:space="0" w:color="auto"/>
        <w:right w:val="none" w:sz="0" w:space="0" w:color="auto"/>
      </w:divBdr>
    </w:div>
    <w:div w:id="1276643169">
      <w:bodyDiv w:val="1"/>
      <w:marLeft w:val="0"/>
      <w:marRight w:val="0"/>
      <w:marTop w:val="0"/>
      <w:marBottom w:val="0"/>
      <w:divBdr>
        <w:top w:val="none" w:sz="0" w:space="0" w:color="auto"/>
        <w:left w:val="none" w:sz="0" w:space="0" w:color="auto"/>
        <w:bottom w:val="none" w:sz="0" w:space="0" w:color="auto"/>
        <w:right w:val="none" w:sz="0" w:space="0" w:color="auto"/>
      </w:divBdr>
    </w:div>
    <w:div w:id="1306012132">
      <w:bodyDiv w:val="1"/>
      <w:marLeft w:val="0"/>
      <w:marRight w:val="0"/>
      <w:marTop w:val="0"/>
      <w:marBottom w:val="0"/>
      <w:divBdr>
        <w:top w:val="none" w:sz="0" w:space="0" w:color="auto"/>
        <w:left w:val="none" w:sz="0" w:space="0" w:color="auto"/>
        <w:bottom w:val="none" w:sz="0" w:space="0" w:color="auto"/>
        <w:right w:val="none" w:sz="0" w:space="0" w:color="auto"/>
      </w:divBdr>
    </w:div>
    <w:div w:id="1351101219">
      <w:bodyDiv w:val="1"/>
      <w:marLeft w:val="0"/>
      <w:marRight w:val="0"/>
      <w:marTop w:val="0"/>
      <w:marBottom w:val="0"/>
      <w:divBdr>
        <w:top w:val="none" w:sz="0" w:space="0" w:color="auto"/>
        <w:left w:val="none" w:sz="0" w:space="0" w:color="auto"/>
        <w:bottom w:val="none" w:sz="0" w:space="0" w:color="auto"/>
        <w:right w:val="none" w:sz="0" w:space="0" w:color="auto"/>
      </w:divBdr>
    </w:div>
    <w:div w:id="1393696594">
      <w:bodyDiv w:val="1"/>
      <w:marLeft w:val="0"/>
      <w:marRight w:val="0"/>
      <w:marTop w:val="0"/>
      <w:marBottom w:val="0"/>
      <w:divBdr>
        <w:top w:val="none" w:sz="0" w:space="0" w:color="auto"/>
        <w:left w:val="none" w:sz="0" w:space="0" w:color="auto"/>
        <w:bottom w:val="none" w:sz="0" w:space="0" w:color="auto"/>
        <w:right w:val="none" w:sz="0" w:space="0" w:color="auto"/>
      </w:divBdr>
    </w:div>
    <w:div w:id="1425958616">
      <w:bodyDiv w:val="1"/>
      <w:marLeft w:val="0"/>
      <w:marRight w:val="0"/>
      <w:marTop w:val="0"/>
      <w:marBottom w:val="0"/>
      <w:divBdr>
        <w:top w:val="none" w:sz="0" w:space="0" w:color="auto"/>
        <w:left w:val="none" w:sz="0" w:space="0" w:color="auto"/>
        <w:bottom w:val="none" w:sz="0" w:space="0" w:color="auto"/>
        <w:right w:val="none" w:sz="0" w:space="0" w:color="auto"/>
      </w:divBdr>
    </w:div>
    <w:div w:id="1437561486">
      <w:bodyDiv w:val="1"/>
      <w:marLeft w:val="0"/>
      <w:marRight w:val="0"/>
      <w:marTop w:val="0"/>
      <w:marBottom w:val="0"/>
      <w:divBdr>
        <w:top w:val="none" w:sz="0" w:space="0" w:color="auto"/>
        <w:left w:val="none" w:sz="0" w:space="0" w:color="auto"/>
        <w:bottom w:val="none" w:sz="0" w:space="0" w:color="auto"/>
        <w:right w:val="none" w:sz="0" w:space="0" w:color="auto"/>
      </w:divBdr>
    </w:div>
    <w:div w:id="1534077859">
      <w:bodyDiv w:val="1"/>
      <w:marLeft w:val="0"/>
      <w:marRight w:val="0"/>
      <w:marTop w:val="0"/>
      <w:marBottom w:val="0"/>
      <w:divBdr>
        <w:top w:val="none" w:sz="0" w:space="0" w:color="auto"/>
        <w:left w:val="none" w:sz="0" w:space="0" w:color="auto"/>
        <w:bottom w:val="none" w:sz="0" w:space="0" w:color="auto"/>
        <w:right w:val="none" w:sz="0" w:space="0" w:color="auto"/>
      </w:divBdr>
    </w:div>
    <w:div w:id="1548489459">
      <w:bodyDiv w:val="1"/>
      <w:marLeft w:val="0"/>
      <w:marRight w:val="0"/>
      <w:marTop w:val="0"/>
      <w:marBottom w:val="0"/>
      <w:divBdr>
        <w:top w:val="none" w:sz="0" w:space="0" w:color="auto"/>
        <w:left w:val="none" w:sz="0" w:space="0" w:color="auto"/>
        <w:bottom w:val="none" w:sz="0" w:space="0" w:color="auto"/>
        <w:right w:val="none" w:sz="0" w:space="0" w:color="auto"/>
      </w:divBdr>
    </w:div>
    <w:div w:id="1566336506">
      <w:bodyDiv w:val="1"/>
      <w:marLeft w:val="0"/>
      <w:marRight w:val="0"/>
      <w:marTop w:val="0"/>
      <w:marBottom w:val="0"/>
      <w:divBdr>
        <w:top w:val="none" w:sz="0" w:space="0" w:color="auto"/>
        <w:left w:val="none" w:sz="0" w:space="0" w:color="auto"/>
        <w:bottom w:val="none" w:sz="0" w:space="0" w:color="auto"/>
        <w:right w:val="none" w:sz="0" w:space="0" w:color="auto"/>
      </w:divBdr>
    </w:div>
    <w:div w:id="1610236505">
      <w:bodyDiv w:val="1"/>
      <w:marLeft w:val="0"/>
      <w:marRight w:val="0"/>
      <w:marTop w:val="0"/>
      <w:marBottom w:val="0"/>
      <w:divBdr>
        <w:top w:val="none" w:sz="0" w:space="0" w:color="auto"/>
        <w:left w:val="none" w:sz="0" w:space="0" w:color="auto"/>
        <w:bottom w:val="none" w:sz="0" w:space="0" w:color="auto"/>
        <w:right w:val="none" w:sz="0" w:space="0" w:color="auto"/>
      </w:divBdr>
    </w:div>
    <w:div w:id="1618027147">
      <w:bodyDiv w:val="1"/>
      <w:marLeft w:val="0"/>
      <w:marRight w:val="0"/>
      <w:marTop w:val="0"/>
      <w:marBottom w:val="0"/>
      <w:divBdr>
        <w:top w:val="none" w:sz="0" w:space="0" w:color="auto"/>
        <w:left w:val="none" w:sz="0" w:space="0" w:color="auto"/>
        <w:bottom w:val="none" w:sz="0" w:space="0" w:color="auto"/>
        <w:right w:val="none" w:sz="0" w:space="0" w:color="auto"/>
      </w:divBdr>
    </w:div>
    <w:div w:id="1676961444">
      <w:bodyDiv w:val="1"/>
      <w:marLeft w:val="0"/>
      <w:marRight w:val="0"/>
      <w:marTop w:val="0"/>
      <w:marBottom w:val="0"/>
      <w:divBdr>
        <w:top w:val="none" w:sz="0" w:space="0" w:color="auto"/>
        <w:left w:val="none" w:sz="0" w:space="0" w:color="auto"/>
        <w:bottom w:val="none" w:sz="0" w:space="0" w:color="auto"/>
        <w:right w:val="none" w:sz="0" w:space="0" w:color="auto"/>
      </w:divBdr>
    </w:div>
    <w:div w:id="1677878075">
      <w:bodyDiv w:val="1"/>
      <w:marLeft w:val="0"/>
      <w:marRight w:val="0"/>
      <w:marTop w:val="0"/>
      <w:marBottom w:val="0"/>
      <w:divBdr>
        <w:top w:val="none" w:sz="0" w:space="0" w:color="auto"/>
        <w:left w:val="none" w:sz="0" w:space="0" w:color="auto"/>
        <w:bottom w:val="none" w:sz="0" w:space="0" w:color="auto"/>
        <w:right w:val="none" w:sz="0" w:space="0" w:color="auto"/>
      </w:divBdr>
    </w:div>
    <w:div w:id="1746952390">
      <w:bodyDiv w:val="1"/>
      <w:marLeft w:val="0"/>
      <w:marRight w:val="0"/>
      <w:marTop w:val="0"/>
      <w:marBottom w:val="0"/>
      <w:divBdr>
        <w:top w:val="none" w:sz="0" w:space="0" w:color="auto"/>
        <w:left w:val="none" w:sz="0" w:space="0" w:color="auto"/>
        <w:bottom w:val="none" w:sz="0" w:space="0" w:color="auto"/>
        <w:right w:val="none" w:sz="0" w:space="0" w:color="auto"/>
      </w:divBdr>
    </w:div>
    <w:div w:id="1746997880">
      <w:bodyDiv w:val="1"/>
      <w:marLeft w:val="0"/>
      <w:marRight w:val="0"/>
      <w:marTop w:val="0"/>
      <w:marBottom w:val="0"/>
      <w:divBdr>
        <w:top w:val="none" w:sz="0" w:space="0" w:color="auto"/>
        <w:left w:val="none" w:sz="0" w:space="0" w:color="auto"/>
        <w:bottom w:val="none" w:sz="0" w:space="0" w:color="auto"/>
        <w:right w:val="none" w:sz="0" w:space="0" w:color="auto"/>
      </w:divBdr>
    </w:div>
    <w:div w:id="1823883137">
      <w:bodyDiv w:val="1"/>
      <w:marLeft w:val="0"/>
      <w:marRight w:val="0"/>
      <w:marTop w:val="0"/>
      <w:marBottom w:val="0"/>
      <w:divBdr>
        <w:top w:val="none" w:sz="0" w:space="0" w:color="auto"/>
        <w:left w:val="none" w:sz="0" w:space="0" w:color="auto"/>
        <w:bottom w:val="none" w:sz="0" w:space="0" w:color="auto"/>
        <w:right w:val="none" w:sz="0" w:space="0" w:color="auto"/>
      </w:divBdr>
    </w:div>
    <w:div w:id="1835993729">
      <w:bodyDiv w:val="1"/>
      <w:marLeft w:val="0"/>
      <w:marRight w:val="0"/>
      <w:marTop w:val="0"/>
      <w:marBottom w:val="0"/>
      <w:divBdr>
        <w:top w:val="none" w:sz="0" w:space="0" w:color="auto"/>
        <w:left w:val="none" w:sz="0" w:space="0" w:color="auto"/>
        <w:bottom w:val="none" w:sz="0" w:space="0" w:color="auto"/>
        <w:right w:val="none" w:sz="0" w:space="0" w:color="auto"/>
      </w:divBdr>
    </w:div>
    <w:div w:id="1845243800">
      <w:bodyDiv w:val="1"/>
      <w:marLeft w:val="0"/>
      <w:marRight w:val="0"/>
      <w:marTop w:val="0"/>
      <w:marBottom w:val="0"/>
      <w:divBdr>
        <w:top w:val="none" w:sz="0" w:space="0" w:color="auto"/>
        <w:left w:val="none" w:sz="0" w:space="0" w:color="auto"/>
        <w:bottom w:val="none" w:sz="0" w:space="0" w:color="auto"/>
        <w:right w:val="none" w:sz="0" w:space="0" w:color="auto"/>
      </w:divBdr>
    </w:div>
    <w:div w:id="1952087713">
      <w:bodyDiv w:val="1"/>
      <w:marLeft w:val="0"/>
      <w:marRight w:val="0"/>
      <w:marTop w:val="0"/>
      <w:marBottom w:val="0"/>
      <w:divBdr>
        <w:top w:val="none" w:sz="0" w:space="0" w:color="auto"/>
        <w:left w:val="none" w:sz="0" w:space="0" w:color="auto"/>
        <w:bottom w:val="none" w:sz="0" w:space="0" w:color="auto"/>
        <w:right w:val="none" w:sz="0" w:space="0" w:color="auto"/>
      </w:divBdr>
    </w:div>
    <w:div w:id="1961104585">
      <w:bodyDiv w:val="1"/>
      <w:marLeft w:val="0"/>
      <w:marRight w:val="0"/>
      <w:marTop w:val="0"/>
      <w:marBottom w:val="0"/>
      <w:divBdr>
        <w:top w:val="none" w:sz="0" w:space="0" w:color="auto"/>
        <w:left w:val="none" w:sz="0" w:space="0" w:color="auto"/>
        <w:bottom w:val="none" w:sz="0" w:space="0" w:color="auto"/>
        <w:right w:val="none" w:sz="0" w:space="0" w:color="auto"/>
      </w:divBdr>
    </w:div>
    <w:div w:id="1968583511">
      <w:bodyDiv w:val="1"/>
      <w:marLeft w:val="0"/>
      <w:marRight w:val="0"/>
      <w:marTop w:val="0"/>
      <w:marBottom w:val="0"/>
      <w:divBdr>
        <w:top w:val="none" w:sz="0" w:space="0" w:color="auto"/>
        <w:left w:val="none" w:sz="0" w:space="0" w:color="auto"/>
        <w:bottom w:val="none" w:sz="0" w:space="0" w:color="auto"/>
        <w:right w:val="none" w:sz="0" w:space="0" w:color="auto"/>
      </w:divBdr>
    </w:div>
    <w:div w:id="2001929063">
      <w:bodyDiv w:val="1"/>
      <w:marLeft w:val="0"/>
      <w:marRight w:val="0"/>
      <w:marTop w:val="0"/>
      <w:marBottom w:val="0"/>
      <w:divBdr>
        <w:top w:val="none" w:sz="0" w:space="0" w:color="auto"/>
        <w:left w:val="none" w:sz="0" w:space="0" w:color="auto"/>
        <w:bottom w:val="none" w:sz="0" w:space="0" w:color="auto"/>
        <w:right w:val="none" w:sz="0" w:space="0" w:color="auto"/>
      </w:divBdr>
    </w:div>
    <w:div w:id="2039164567">
      <w:bodyDiv w:val="1"/>
      <w:marLeft w:val="0"/>
      <w:marRight w:val="0"/>
      <w:marTop w:val="0"/>
      <w:marBottom w:val="0"/>
      <w:divBdr>
        <w:top w:val="none" w:sz="0" w:space="0" w:color="auto"/>
        <w:left w:val="none" w:sz="0" w:space="0" w:color="auto"/>
        <w:bottom w:val="none" w:sz="0" w:space="0" w:color="auto"/>
        <w:right w:val="none" w:sz="0" w:space="0" w:color="auto"/>
      </w:divBdr>
    </w:div>
    <w:div w:id="2063866470">
      <w:bodyDiv w:val="1"/>
      <w:marLeft w:val="0"/>
      <w:marRight w:val="0"/>
      <w:marTop w:val="0"/>
      <w:marBottom w:val="0"/>
      <w:divBdr>
        <w:top w:val="none" w:sz="0" w:space="0" w:color="auto"/>
        <w:left w:val="none" w:sz="0" w:space="0" w:color="auto"/>
        <w:bottom w:val="none" w:sz="0" w:space="0" w:color="auto"/>
        <w:right w:val="none" w:sz="0" w:space="0" w:color="auto"/>
      </w:divBdr>
    </w:div>
    <w:div w:id="2112191759">
      <w:bodyDiv w:val="1"/>
      <w:marLeft w:val="0"/>
      <w:marRight w:val="0"/>
      <w:marTop w:val="0"/>
      <w:marBottom w:val="0"/>
      <w:divBdr>
        <w:top w:val="none" w:sz="0" w:space="0" w:color="auto"/>
        <w:left w:val="none" w:sz="0" w:space="0" w:color="auto"/>
        <w:bottom w:val="none" w:sz="0" w:space="0" w:color="auto"/>
        <w:right w:val="none" w:sz="0" w:space="0" w:color="auto"/>
      </w:divBdr>
    </w:div>
    <w:div w:id="2113161396">
      <w:bodyDiv w:val="1"/>
      <w:marLeft w:val="0"/>
      <w:marRight w:val="0"/>
      <w:marTop w:val="0"/>
      <w:marBottom w:val="0"/>
      <w:divBdr>
        <w:top w:val="none" w:sz="0" w:space="0" w:color="auto"/>
        <w:left w:val="none" w:sz="0" w:space="0" w:color="auto"/>
        <w:bottom w:val="none" w:sz="0" w:space="0" w:color="auto"/>
        <w:right w:val="none" w:sz="0" w:space="0" w:color="auto"/>
      </w:divBdr>
    </w:div>
    <w:div w:id="2130005677">
      <w:bodyDiv w:val="1"/>
      <w:marLeft w:val="0"/>
      <w:marRight w:val="0"/>
      <w:marTop w:val="0"/>
      <w:marBottom w:val="0"/>
      <w:divBdr>
        <w:top w:val="none" w:sz="0" w:space="0" w:color="auto"/>
        <w:left w:val="none" w:sz="0" w:space="0" w:color="auto"/>
        <w:bottom w:val="none" w:sz="0" w:space="0" w:color="auto"/>
        <w:right w:val="none" w:sz="0" w:space="0" w:color="auto"/>
      </w:divBdr>
    </w:div>
    <w:div w:id="213097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wcc@justice.vic.gov.au" TargetMode="External"/><Relationship Id="rId18" Type="http://schemas.openxmlformats.org/officeDocument/2006/relationships/footer" Target="footer2.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https://www.vic.gov.au/fire-services-reform" TargetMode="External"/><Relationship Id="rId23" Type="http://schemas.openxmlformats.org/officeDocument/2006/relationships/chart" Target="charts/chart4.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vic.gov.au/fire-services-reform" TargetMode="External"/><Relationship Id="rId22" Type="http://schemas.openxmlformats.org/officeDocument/2006/relationships/chart" Target="charts/chart3.xml"/><Relationship Id="rId27"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eorge\Desktop\workfolder%20FRV\Copy%20of%20FRV%20RIS_data%20required%20from%20CFA%20%2023_01_2020%20for%20me%20to%20use%20for%20the%20RISV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'VCAT attendances'!$D$17</c:f>
              <c:strCache>
                <c:ptCount val="1"/>
                <c:pt idx="0">
                  <c:v>VCAT attendances</c:v>
                </c:pt>
              </c:strCache>
            </c:strRef>
          </c:tx>
          <c:spPr>
            <a:ln w="28575" cap="rnd">
              <a:solidFill>
                <a:srgbClr val="C00000"/>
              </a:solidFill>
              <a:round/>
            </a:ln>
            <a:effectLst/>
          </c:spPr>
          <c:marker>
            <c:symbol val="none"/>
          </c:marker>
          <c:cat>
            <c:numRef>
              <c:f>'VCAT attendances'!$C$18:$C$32</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'VCAT attendances'!$D$18:$D$32</c:f>
              <c:numCache>
                <c:formatCode>General</c:formatCode>
                <c:ptCount val="15"/>
                <c:pt idx="0">
                  <c:v>108</c:v>
                </c:pt>
                <c:pt idx="1">
                  <c:v>100</c:v>
                </c:pt>
                <c:pt idx="2">
                  <c:v>29</c:v>
                </c:pt>
                <c:pt idx="3">
                  <c:v>152</c:v>
                </c:pt>
                <c:pt idx="4">
                  <c:v>78</c:v>
                </c:pt>
                <c:pt idx="5">
                  <c:v>67</c:v>
                </c:pt>
                <c:pt idx="6">
                  <c:v>38</c:v>
                </c:pt>
                <c:pt idx="7">
                  <c:v>6</c:v>
                </c:pt>
                <c:pt idx="8">
                  <c:v>8</c:v>
                </c:pt>
                <c:pt idx="9">
                  <c:v>8</c:v>
                </c:pt>
                <c:pt idx="10">
                  <c:v>13</c:v>
                </c:pt>
                <c:pt idx="11">
                  <c:v>0</c:v>
                </c:pt>
                <c:pt idx="12">
                  <c:v>2</c:v>
                </c:pt>
                <c:pt idx="13">
                  <c:v>8</c:v>
                </c:pt>
                <c:pt idx="14">
                  <c:v>0</c:v>
                </c:pt>
              </c:numCache>
            </c:numRef>
          </c:val>
          <c:smooth val="0"/>
          <c:extLst>
            <c:ext xmlns:c16="http://schemas.microsoft.com/office/drawing/2014/chart" uri="{C3380CC4-5D6E-409C-BE32-E72D297353CC}">
              <c16:uniqueId val="{00000000-72B8-42AE-B234-CBE15AF207A1}"/>
            </c:ext>
          </c:extLst>
        </c:ser>
        <c:dLbls>
          <c:showLegendKey val="0"/>
          <c:showVal val="0"/>
          <c:showCatName val="0"/>
          <c:showSerName val="0"/>
          <c:showPercent val="0"/>
          <c:showBubbleSize val="0"/>
        </c:dLbls>
        <c:smooth val="0"/>
        <c:axId val="135213440"/>
        <c:axId val="135215360"/>
      </c:lineChart>
      <c:catAx>
        <c:axId val="13521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215360"/>
        <c:crosses val="autoZero"/>
        <c:auto val="1"/>
        <c:lblAlgn val="ctr"/>
        <c:lblOffset val="100"/>
        <c:noMultiLvlLbl val="0"/>
      </c:catAx>
      <c:valAx>
        <c:axId val="13521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213440"/>
        <c:crosses val="autoZero"/>
        <c:crossBetween val="between"/>
      </c:valAx>
      <c:spPr>
        <a:noFill/>
        <a:ln>
          <a:noFill/>
        </a:ln>
        <a:effectLst/>
      </c:spPr>
    </c:plotArea>
    <c:plotVisOnly val="1"/>
    <c:dispBlanksAs val="gap"/>
    <c:showDLblsOverMax val="0"/>
  </c:chart>
  <c:spPr>
    <a:solidFill>
      <a:schemeClr val="accent4">
        <a:lumMod val="20000"/>
        <a:lumOff val="80000"/>
        <a:alpha val="36000"/>
      </a:schemeClr>
    </a:solidFill>
    <a:ln w="9525" cap="flat" cmpd="sng" algn="ctr">
      <a:solidFill>
        <a:schemeClr val="accent4">
          <a:lumMod val="20000"/>
          <a:lumOff val="80000"/>
          <a:alpha val="16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'[DOCCENTRAL-#1435763-v1--MFB_RIS_(Regulations_data urgently required - Updated 08_01_2020.xlsx]Chart 4'!$E$7</c:f>
              <c:strCache>
                <c:ptCount val="1"/>
                <c:pt idx="0">
                  <c:v>2013/14</c:v>
                </c:pt>
              </c:strCache>
            </c:strRef>
          </c:tx>
          <c:spPr>
            <a:solidFill>
              <a:srgbClr val="C00000"/>
            </a:solidFill>
            <a:ln>
              <a:noFill/>
            </a:ln>
            <a:effectLst/>
          </c:spPr>
          <c:invertIfNegative val="0"/>
          <c:cat>
            <c:strRef>
              <c:f>'[2]Chart 4'!$D$8:$D$16</c:f>
              <c:strCache>
                <c:ptCount val="9"/>
                <c:pt idx="0">
                  <c:v>VIC-C</c:v>
                </c:pt>
                <c:pt idx="1">
                  <c:v>TAS</c:v>
                </c:pt>
                <c:pt idx="2">
                  <c:v>ACT</c:v>
                </c:pt>
                <c:pt idx="3">
                  <c:v>QLD</c:v>
                </c:pt>
                <c:pt idx="4">
                  <c:v>SA-M</c:v>
                </c:pt>
                <c:pt idx="5">
                  <c:v>SA-C</c:v>
                </c:pt>
                <c:pt idx="6">
                  <c:v>NT</c:v>
                </c:pt>
                <c:pt idx="7">
                  <c:v>WA</c:v>
                </c:pt>
                <c:pt idx="8">
                  <c:v>NSW</c:v>
                </c:pt>
              </c:strCache>
            </c:strRef>
          </c:cat>
          <c:val>
            <c:numRef>
              <c:f>'[2]Chart 4'!$E$8:$E$16</c:f>
              <c:numCache>
                <c:formatCode>General</c:formatCode>
                <c:ptCount val="9"/>
                <c:pt idx="0">
                  <c:v>1.44</c:v>
                </c:pt>
                <c:pt idx="1">
                  <c:v>1.75</c:v>
                </c:pt>
                <c:pt idx="2">
                  <c:v>1.77</c:v>
                </c:pt>
                <c:pt idx="3">
                  <c:v>2.48</c:v>
                </c:pt>
                <c:pt idx="4">
                  <c:v>2.5299999999999998</c:v>
                </c:pt>
                <c:pt idx="5">
                  <c:v>2.75</c:v>
                </c:pt>
                <c:pt idx="6">
                  <c:v>2.85</c:v>
                </c:pt>
                <c:pt idx="7">
                  <c:v>3.05</c:v>
                </c:pt>
                <c:pt idx="8">
                  <c:v>3.3</c:v>
                </c:pt>
              </c:numCache>
            </c:numRef>
          </c:val>
          <c:extLst>
            <c:ext xmlns:c16="http://schemas.microsoft.com/office/drawing/2014/chart" uri="{C3380CC4-5D6E-409C-BE32-E72D297353CC}">
              <c16:uniqueId val="{00000000-9E61-4F13-8F69-EA9BCC1AF01C}"/>
            </c:ext>
          </c:extLst>
        </c:ser>
        <c:ser>
          <c:idx val="1"/>
          <c:order val="1"/>
          <c:tx>
            <c:strRef>
              <c:f>'[DOCCENTRAL-#1435763-v1--MFB_RIS_(Regulations_data urgently required - Updated 08_01_2020.xlsx]Chart 4'!$F$7</c:f>
              <c:strCache>
                <c:ptCount val="1"/>
                <c:pt idx="0">
                  <c:v>2018/19</c:v>
                </c:pt>
              </c:strCache>
            </c:strRef>
          </c:tx>
          <c:spPr>
            <a:solidFill>
              <a:schemeClr val="accent2"/>
            </a:solidFill>
            <a:ln>
              <a:noFill/>
            </a:ln>
            <a:effectLst/>
          </c:spPr>
          <c:invertIfNegative val="0"/>
          <c:cat>
            <c:strRef>
              <c:f>'[2]Chart 4'!$D$8:$D$16</c:f>
              <c:strCache>
                <c:ptCount val="9"/>
                <c:pt idx="0">
                  <c:v>VIC-C</c:v>
                </c:pt>
                <c:pt idx="1">
                  <c:v>TAS</c:v>
                </c:pt>
                <c:pt idx="2">
                  <c:v>ACT</c:v>
                </c:pt>
                <c:pt idx="3">
                  <c:v>QLD</c:v>
                </c:pt>
                <c:pt idx="4">
                  <c:v>SA-M</c:v>
                </c:pt>
                <c:pt idx="5">
                  <c:v>SA-C</c:v>
                </c:pt>
                <c:pt idx="6">
                  <c:v>NT</c:v>
                </c:pt>
                <c:pt idx="7">
                  <c:v>WA</c:v>
                </c:pt>
                <c:pt idx="8">
                  <c:v>NSW</c:v>
                </c:pt>
              </c:strCache>
            </c:strRef>
          </c:cat>
          <c:val>
            <c:numRef>
              <c:f>'[2]Chart 4'!$F$8:$F$16</c:f>
              <c:numCache>
                <c:formatCode>General</c:formatCode>
                <c:ptCount val="9"/>
                <c:pt idx="0" formatCode="0.00">
                  <c:v>1.4</c:v>
                </c:pt>
                <c:pt idx="2" formatCode="0.00">
                  <c:v>1.5</c:v>
                </c:pt>
                <c:pt idx="3">
                  <c:v>2.29</c:v>
                </c:pt>
                <c:pt idx="4">
                  <c:v>2.15</c:v>
                </c:pt>
                <c:pt idx="8">
                  <c:v>2.99</c:v>
                </c:pt>
              </c:numCache>
            </c:numRef>
          </c:val>
          <c:extLst>
            <c:ext xmlns:c16="http://schemas.microsoft.com/office/drawing/2014/chart" uri="{C3380CC4-5D6E-409C-BE32-E72D297353CC}">
              <c16:uniqueId val="{00000001-9E61-4F13-8F69-EA9BCC1AF01C}"/>
            </c:ext>
          </c:extLst>
        </c:ser>
        <c:dLbls>
          <c:showLegendKey val="0"/>
          <c:showVal val="0"/>
          <c:showCatName val="0"/>
          <c:showSerName val="0"/>
          <c:showPercent val="0"/>
          <c:showBubbleSize val="0"/>
        </c:dLbls>
        <c:gapWidth val="219"/>
        <c:overlap val="-27"/>
        <c:axId val="139127808"/>
        <c:axId val="144942976"/>
      </c:barChart>
      <c:catAx>
        <c:axId val="13912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42976"/>
        <c:crosses val="autoZero"/>
        <c:auto val="1"/>
        <c:lblAlgn val="ctr"/>
        <c:lblOffset val="100"/>
        <c:noMultiLvlLbl val="0"/>
      </c:catAx>
      <c:valAx>
        <c:axId val="14494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278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4">
        <a:lumMod val="20000"/>
        <a:lumOff val="80000"/>
        <a:alpha val="54000"/>
      </a:schemeClr>
    </a:solidFill>
    <a:ln w="9525" cap="flat" cmpd="sng" algn="ctr">
      <a:solidFill>
        <a:schemeClr val="accent4">
          <a:lumMod val="20000"/>
          <a:lumOff val="80000"/>
          <a:alpha val="42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5'!$D$3</c:f>
              <c:strCache>
                <c:ptCount val="1"/>
                <c:pt idx="0">
                  <c:v>No. FA Calls</c:v>
                </c:pt>
              </c:strCache>
            </c:strRef>
          </c:tx>
          <c:spPr>
            <a:ln w="28575" cap="rnd">
              <a:solidFill>
                <a:srgbClr val="C00000"/>
              </a:solidFill>
              <a:round/>
            </a:ln>
            <a:effectLst/>
          </c:spPr>
          <c:marker>
            <c:symbol val="none"/>
          </c:marker>
          <c:cat>
            <c:strRef>
              <c:f>'Chart 5'!$C$4:$C$38</c:f>
              <c:strCache>
                <c:ptCount val="35"/>
                <c:pt idx="0">
                  <c:v>1984/85</c:v>
                </c:pt>
                <c:pt idx="1">
                  <c:v>1985/86</c:v>
                </c:pt>
                <c:pt idx="2">
                  <c:v>1986/87</c:v>
                </c:pt>
                <c:pt idx="3">
                  <c:v>1987/88</c:v>
                </c:pt>
                <c:pt idx="4">
                  <c:v>1988/89</c:v>
                </c:pt>
                <c:pt idx="5">
                  <c:v>1989/90</c:v>
                </c:pt>
                <c:pt idx="6">
                  <c:v>1990/91</c:v>
                </c:pt>
                <c:pt idx="7">
                  <c:v>1991/92</c:v>
                </c:pt>
                <c:pt idx="8">
                  <c:v>1992/93</c:v>
                </c:pt>
                <c:pt idx="9">
                  <c:v>1993/94</c:v>
                </c:pt>
                <c:pt idx="10">
                  <c:v>1994/95</c:v>
                </c:pt>
                <c:pt idx="11">
                  <c:v>1995/96</c:v>
                </c:pt>
                <c:pt idx="12">
                  <c:v>1996/97</c:v>
                </c:pt>
                <c:pt idx="13">
                  <c:v>1997/98</c:v>
                </c:pt>
                <c:pt idx="14">
                  <c:v>1998/99</c:v>
                </c:pt>
                <c:pt idx="15">
                  <c:v>1999/00</c:v>
                </c:pt>
                <c:pt idx="16">
                  <c:v>2000/01</c:v>
                </c:pt>
                <c:pt idx="17">
                  <c:v>2001/02</c:v>
                </c:pt>
                <c:pt idx="18">
                  <c:v>2002/03</c:v>
                </c:pt>
                <c:pt idx="19">
                  <c:v>2003/04</c:v>
                </c:pt>
                <c:pt idx="20">
                  <c:v>2004/05</c:v>
                </c:pt>
                <c:pt idx="21">
                  <c:v>2005/06</c:v>
                </c:pt>
                <c:pt idx="22">
                  <c:v>2006/07</c:v>
                </c:pt>
                <c:pt idx="23">
                  <c:v>2007/08</c:v>
                </c:pt>
                <c:pt idx="24">
                  <c:v>2008/09</c:v>
                </c:pt>
                <c:pt idx="25">
                  <c:v>2009/10</c:v>
                </c:pt>
                <c:pt idx="26">
                  <c:v>2010/11</c:v>
                </c:pt>
                <c:pt idx="27">
                  <c:v>2011/12</c:v>
                </c:pt>
                <c:pt idx="28">
                  <c:v>2012/13</c:v>
                </c:pt>
                <c:pt idx="29">
                  <c:v>2013/14</c:v>
                </c:pt>
                <c:pt idx="30">
                  <c:v>2014/15</c:v>
                </c:pt>
                <c:pt idx="31">
                  <c:v>2015/16</c:v>
                </c:pt>
                <c:pt idx="32">
                  <c:v>2016/17</c:v>
                </c:pt>
                <c:pt idx="33">
                  <c:v>2017/18</c:v>
                </c:pt>
                <c:pt idx="34">
                  <c:v>2018/19</c:v>
                </c:pt>
              </c:strCache>
            </c:strRef>
          </c:cat>
          <c:val>
            <c:numRef>
              <c:f>'Chart 5'!$D$4:$D$38</c:f>
              <c:numCache>
                <c:formatCode>General</c:formatCode>
                <c:ptCount val="35"/>
                <c:pt idx="0">
                  <c:v>13378</c:v>
                </c:pt>
                <c:pt idx="1">
                  <c:v>25598</c:v>
                </c:pt>
                <c:pt idx="2">
                  <c:v>24870</c:v>
                </c:pt>
                <c:pt idx="3">
                  <c:v>25504</c:v>
                </c:pt>
                <c:pt idx="4">
                  <c:v>28461</c:v>
                </c:pt>
                <c:pt idx="5">
                  <c:v>28297</c:v>
                </c:pt>
                <c:pt idx="6">
                  <c:v>23094</c:v>
                </c:pt>
                <c:pt idx="7">
                  <c:v>19495</c:v>
                </c:pt>
                <c:pt idx="8">
                  <c:v>18118</c:v>
                </c:pt>
                <c:pt idx="9">
                  <c:v>16328</c:v>
                </c:pt>
                <c:pt idx="10">
                  <c:v>16126</c:v>
                </c:pt>
                <c:pt idx="11">
                  <c:v>16358</c:v>
                </c:pt>
                <c:pt idx="12">
                  <c:v>18066</c:v>
                </c:pt>
                <c:pt idx="13">
                  <c:v>16907</c:v>
                </c:pt>
                <c:pt idx="14">
                  <c:v>16157</c:v>
                </c:pt>
                <c:pt idx="15">
                  <c:v>16736</c:v>
                </c:pt>
                <c:pt idx="16">
                  <c:v>15821</c:v>
                </c:pt>
                <c:pt idx="17">
                  <c:v>14307</c:v>
                </c:pt>
                <c:pt idx="18">
                  <c:v>14102</c:v>
                </c:pt>
                <c:pt idx="19">
                  <c:v>13801</c:v>
                </c:pt>
                <c:pt idx="20">
                  <c:v>13980</c:v>
                </c:pt>
                <c:pt idx="21">
                  <c:v>14766</c:v>
                </c:pt>
                <c:pt idx="22">
                  <c:v>15309</c:v>
                </c:pt>
                <c:pt idx="23">
                  <c:v>15378</c:v>
                </c:pt>
                <c:pt idx="24">
                  <c:v>15072</c:v>
                </c:pt>
                <c:pt idx="25">
                  <c:v>14523</c:v>
                </c:pt>
                <c:pt idx="26">
                  <c:v>15976</c:v>
                </c:pt>
                <c:pt idx="27">
                  <c:v>15506</c:v>
                </c:pt>
                <c:pt idx="28">
                  <c:v>15259</c:v>
                </c:pt>
                <c:pt idx="29">
                  <c:v>15437</c:v>
                </c:pt>
                <c:pt idx="30">
                  <c:v>15685</c:v>
                </c:pt>
                <c:pt idx="31">
                  <c:v>16836</c:v>
                </c:pt>
                <c:pt idx="32">
                  <c:v>18372</c:v>
                </c:pt>
                <c:pt idx="33">
                  <c:v>17408</c:v>
                </c:pt>
                <c:pt idx="34">
                  <c:v>16283</c:v>
                </c:pt>
              </c:numCache>
            </c:numRef>
          </c:val>
          <c:smooth val="0"/>
          <c:extLst>
            <c:ext xmlns:c16="http://schemas.microsoft.com/office/drawing/2014/chart" uri="{C3380CC4-5D6E-409C-BE32-E72D297353CC}">
              <c16:uniqueId val="{00000000-9DE0-4CEE-A802-4AD25967DCA1}"/>
            </c:ext>
          </c:extLst>
        </c:ser>
        <c:ser>
          <c:idx val="1"/>
          <c:order val="1"/>
          <c:tx>
            <c:strRef>
              <c:f>'Chart 5'!$E$3</c:f>
              <c:strCache>
                <c:ptCount val="1"/>
                <c:pt idx="0">
                  <c:v>No. Calls (All)</c:v>
                </c:pt>
              </c:strCache>
            </c:strRef>
          </c:tx>
          <c:spPr>
            <a:ln w="28575" cap="rnd">
              <a:solidFill>
                <a:schemeClr val="accent2"/>
              </a:solidFill>
              <a:round/>
            </a:ln>
            <a:effectLst/>
          </c:spPr>
          <c:marker>
            <c:symbol val="none"/>
          </c:marker>
          <c:cat>
            <c:strRef>
              <c:f>'Chart 5'!$C$4:$C$38</c:f>
              <c:strCache>
                <c:ptCount val="35"/>
                <c:pt idx="0">
                  <c:v>1984/85</c:v>
                </c:pt>
                <c:pt idx="1">
                  <c:v>1985/86</c:v>
                </c:pt>
                <c:pt idx="2">
                  <c:v>1986/87</c:v>
                </c:pt>
                <c:pt idx="3">
                  <c:v>1987/88</c:v>
                </c:pt>
                <c:pt idx="4">
                  <c:v>1988/89</c:v>
                </c:pt>
                <c:pt idx="5">
                  <c:v>1989/90</c:v>
                </c:pt>
                <c:pt idx="6">
                  <c:v>1990/91</c:v>
                </c:pt>
                <c:pt idx="7">
                  <c:v>1991/92</c:v>
                </c:pt>
                <c:pt idx="8">
                  <c:v>1992/93</c:v>
                </c:pt>
                <c:pt idx="9">
                  <c:v>1993/94</c:v>
                </c:pt>
                <c:pt idx="10">
                  <c:v>1994/95</c:v>
                </c:pt>
                <c:pt idx="11">
                  <c:v>1995/96</c:v>
                </c:pt>
                <c:pt idx="12">
                  <c:v>1996/97</c:v>
                </c:pt>
                <c:pt idx="13">
                  <c:v>1997/98</c:v>
                </c:pt>
                <c:pt idx="14">
                  <c:v>1998/99</c:v>
                </c:pt>
                <c:pt idx="15">
                  <c:v>1999/00</c:v>
                </c:pt>
                <c:pt idx="16">
                  <c:v>2000/01</c:v>
                </c:pt>
                <c:pt idx="17">
                  <c:v>2001/02</c:v>
                </c:pt>
                <c:pt idx="18">
                  <c:v>2002/03</c:v>
                </c:pt>
                <c:pt idx="19">
                  <c:v>2003/04</c:v>
                </c:pt>
                <c:pt idx="20">
                  <c:v>2004/05</c:v>
                </c:pt>
                <c:pt idx="21">
                  <c:v>2005/06</c:v>
                </c:pt>
                <c:pt idx="22">
                  <c:v>2006/07</c:v>
                </c:pt>
                <c:pt idx="23">
                  <c:v>2007/08</c:v>
                </c:pt>
                <c:pt idx="24">
                  <c:v>2008/09</c:v>
                </c:pt>
                <c:pt idx="25">
                  <c:v>2009/10</c:v>
                </c:pt>
                <c:pt idx="26">
                  <c:v>2010/11</c:v>
                </c:pt>
                <c:pt idx="27">
                  <c:v>2011/12</c:v>
                </c:pt>
                <c:pt idx="28">
                  <c:v>2012/13</c:v>
                </c:pt>
                <c:pt idx="29">
                  <c:v>2013/14</c:v>
                </c:pt>
                <c:pt idx="30">
                  <c:v>2014/15</c:v>
                </c:pt>
                <c:pt idx="31">
                  <c:v>2015/16</c:v>
                </c:pt>
                <c:pt idx="32">
                  <c:v>2016/17</c:v>
                </c:pt>
                <c:pt idx="33">
                  <c:v>2017/18</c:v>
                </c:pt>
                <c:pt idx="34">
                  <c:v>2018/19</c:v>
                </c:pt>
              </c:strCache>
            </c:strRef>
          </c:cat>
          <c:val>
            <c:numRef>
              <c:f>'Chart 5'!$E$4:$E$38</c:f>
              <c:numCache>
                <c:formatCode>General</c:formatCode>
                <c:ptCount val="35"/>
                <c:pt idx="0">
                  <c:v>20194</c:v>
                </c:pt>
                <c:pt idx="1">
                  <c:v>37452</c:v>
                </c:pt>
                <c:pt idx="2">
                  <c:v>36992</c:v>
                </c:pt>
                <c:pt idx="3">
                  <c:v>38171</c:v>
                </c:pt>
                <c:pt idx="4">
                  <c:v>40998</c:v>
                </c:pt>
                <c:pt idx="5">
                  <c:v>41910</c:v>
                </c:pt>
                <c:pt idx="6">
                  <c:v>36340</c:v>
                </c:pt>
                <c:pt idx="7">
                  <c:v>31237</c:v>
                </c:pt>
                <c:pt idx="8">
                  <c:v>29238</c:v>
                </c:pt>
                <c:pt idx="9">
                  <c:v>27003</c:v>
                </c:pt>
                <c:pt idx="10">
                  <c:v>29086</c:v>
                </c:pt>
                <c:pt idx="11">
                  <c:v>28884</c:v>
                </c:pt>
                <c:pt idx="12">
                  <c:v>33640</c:v>
                </c:pt>
                <c:pt idx="13">
                  <c:v>32116</c:v>
                </c:pt>
                <c:pt idx="14">
                  <c:v>31417</c:v>
                </c:pt>
                <c:pt idx="15">
                  <c:v>33957</c:v>
                </c:pt>
                <c:pt idx="16">
                  <c:v>35534</c:v>
                </c:pt>
                <c:pt idx="17">
                  <c:v>32239</c:v>
                </c:pt>
                <c:pt idx="18">
                  <c:v>33586</c:v>
                </c:pt>
                <c:pt idx="19">
                  <c:v>31615</c:v>
                </c:pt>
                <c:pt idx="20">
                  <c:v>31170</c:v>
                </c:pt>
                <c:pt idx="21">
                  <c:v>33224</c:v>
                </c:pt>
                <c:pt idx="22">
                  <c:v>36364</c:v>
                </c:pt>
                <c:pt idx="23">
                  <c:v>35669</c:v>
                </c:pt>
                <c:pt idx="24">
                  <c:v>35712</c:v>
                </c:pt>
                <c:pt idx="25">
                  <c:v>33443</c:v>
                </c:pt>
                <c:pt idx="26">
                  <c:v>34428</c:v>
                </c:pt>
                <c:pt idx="27">
                  <c:v>35139</c:v>
                </c:pt>
                <c:pt idx="28">
                  <c:v>36109</c:v>
                </c:pt>
                <c:pt idx="29">
                  <c:v>36747</c:v>
                </c:pt>
                <c:pt idx="30">
                  <c:v>36923</c:v>
                </c:pt>
                <c:pt idx="31">
                  <c:v>37940</c:v>
                </c:pt>
                <c:pt idx="32">
                  <c:v>38956</c:v>
                </c:pt>
                <c:pt idx="33">
                  <c:v>39436</c:v>
                </c:pt>
                <c:pt idx="34">
                  <c:v>37783</c:v>
                </c:pt>
              </c:numCache>
            </c:numRef>
          </c:val>
          <c:smooth val="0"/>
          <c:extLst>
            <c:ext xmlns:c16="http://schemas.microsoft.com/office/drawing/2014/chart" uri="{C3380CC4-5D6E-409C-BE32-E72D297353CC}">
              <c16:uniqueId val="{00000001-9DE0-4CEE-A802-4AD25967DCA1}"/>
            </c:ext>
          </c:extLst>
        </c:ser>
        <c:dLbls>
          <c:showLegendKey val="0"/>
          <c:showVal val="0"/>
          <c:showCatName val="0"/>
          <c:showSerName val="0"/>
          <c:showPercent val="0"/>
          <c:showBubbleSize val="0"/>
        </c:dLbls>
        <c:smooth val="0"/>
        <c:axId val="146100224"/>
        <c:axId val="146102144"/>
      </c:lineChart>
      <c:catAx>
        <c:axId val="14610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02144"/>
        <c:crosses val="autoZero"/>
        <c:auto val="1"/>
        <c:lblAlgn val="ctr"/>
        <c:lblOffset val="100"/>
        <c:noMultiLvlLbl val="0"/>
      </c:catAx>
      <c:valAx>
        <c:axId val="14610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0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4">
        <a:lumMod val="20000"/>
        <a:lumOff val="80000"/>
        <a:alpha val="71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5'!$J$3</c:f>
              <c:strCache>
                <c:ptCount val="1"/>
                <c:pt idx="0">
                  <c:v>No. Calls (All)</c:v>
                </c:pt>
              </c:strCache>
            </c:strRef>
          </c:tx>
          <c:spPr>
            <a:ln w="28575" cap="rnd">
              <a:solidFill>
                <a:schemeClr val="accent2"/>
              </a:solidFill>
              <a:round/>
            </a:ln>
            <a:effectLst/>
          </c:spPr>
          <c:marker>
            <c:symbol val="none"/>
          </c:marker>
          <c:cat>
            <c:strRef>
              <c:f>'Chart 5'!$I$4:$I$7</c:f>
              <c:strCache>
                <c:ptCount val="4"/>
                <c:pt idx="0">
                  <c:v>2015/16</c:v>
                </c:pt>
                <c:pt idx="1">
                  <c:v>2016/17</c:v>
                </c:pt>
                <c:pt idx="2">
                  <c:v>2017/18</c:v>
                </c:pt>
                <c:pt idx="3">
                  <c:v>2018/19</c:v>
                </c:pt>
              </c:strCache>
            </c:strRef>
          </c:cat>
          <c:val>
            <c:numRef>
              <c:f>'Chart 5'!$J$4:$J$7</c:f>
              <c:numCache>
                <c:formatCode>General</c:formatCode>
                <c:ptCount val="4"/>
                <c:pt idx="0">
                  <c:v>18569</c:v>
                </c:pt>
                <c:pt idx="1">
                  <c:v>19546</c:v>
                </c:pt>
                <c:pt idx="2">
                  <c:v>20871</c:v>
                </c:pt>
                <c:pt idx="3">
                  <c:v>22353</c:v>
                </c:pt>
              </c:numCache>
            </c:numRef>
          </c:val>
          <c:smooth val="0"/>
          <c:extLst>
            <c:ext xmlns:c16="http://schemas.microsoft.com/office/drawing/2014/chart" uri="{C3380CC4-5D6E-409C-BE32-E72D297353CC}">
              <c16:uniqueId val="{00000000-8529-4B75-8F7D-61CDB92B1619}"/>
            </c:ext>
          </c:extLst>
        </c:ser>
        <c:ser>
          <c:idx val="1"/>
          <c:order val="1"/>
          <c:tx>
            <c:strRef>
              <c:f>'Chart 5'!$K$3</c:f>
              <c:strCache>
                <c:ptCount val="1"/>
                <c:pt idx="0">
                  <c:v>No. FA Calls</c:v>
                </c:pt>
              </c:strCache>
            </c:strRef>
          </c:tx>
          <c:spPr>
            <a:ln w="28575" cap="rnd">
              <a:solidFill>
                <a:srgbClr val="C00000"/>
              </a:solidFill>
              <a:round/>
            </a:ln>
            <a:effectLst/>
          </c:spPr>
          <c:marker>
            <c:symbol val="none"/>
          </c:marker>
          <c:cat>
            <c:strRef>
              <c:f>'Chart 5'!$I$4:$I$7</c:f>
              <c:strCache>
                <c:ptCount val="4"/>
                <c:pt idx="0">
                  <c:v>2015/16</c:v>
                </c:pt>
                <c:pt idx="1">
                  <c:v>2016/17</c:v>
                </c:pt>
                <c:pt idx="2">
                  <c:v>2017/18</c:v>
                </c:pt>
                <c:pt idx="3">
                  <c:v>2018/19</c:v>
                </c:pt>
              </c:strCache>
            </c:strRef>
          </c:cat>
          <c:val>
            <c:numRef>
              <c:f>'Chart 5'!$K$4:$K$7</c:f>
              <c:numCache>
                <c:formatCode>General</c:formatCode>
                <c:ptCount val="4"/>
                <c:pt idx="0">
                  <c:v>2113</c:v>
                </c:pt>
                <c:pt idx="1">
                  <c:v>3112</c:v>
                </c:pt>
                <c:pt idx="2">
                  <c:v>3096</c:v>
                </c:pt>
                <c:pt idx="3">
                  <c:v>3019</c:v>
                </c:pt>
              </c:numCache>
            </c:numRef>
          </c:val>
          <c:smooth val="0"/>
          <c:extLst>
            <c:ext xmlns:c16="http://schemas.microsoft.com/office/drawing/2014/chart" uri="{C3380CC4-5D6E-409C-BE32-E72D297353CC}">
              <c16:uniqueId val="{00000001-8529-4B75-8F7D-61CDB92B1619}"/>
            </c:ext>
          </c:extLst>
        </c:ser>
        <c:dLbls>
          <c:showLegendKey val="0"/>
          <c:showVal val="0"/>
          <c:showCatName val="0"/>
          <c:showSerName val="0"/>
          <c:showPercent val="0"/>
          <c:showBubbleSize val="0"/>
        </c:dLbls>
        <c:smooth val="0"/>
        <c:axId val="601582960"/>
        <c:axId val="601585256"/>
      </c:lineChart>
      <c:catAx>
        <c:axId val="60158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585256"/>
        <c:crosses val="autoZero"/>
        <c:auto val="1"/>
        <c:lblAlgn val="ctr"/>
        <c:lblOffset val="100"/>
        <c:noMultiLvlLbl val="0"/>
      </c:catAx>
      <c:valAx>
        <c:axId val="601585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58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2CC">
        <a:alpha val="69804"/>
      </a:srgb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'Distribution of hrs invoiced'!$C$3</c:f>
              <c:strCache>
                <c:ptCount val="1"/>
                <c:pt idx="0">
                  <c:v>number invoiced</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xVal>
            <c:numRef>
              <c:f>'Distribution of hrs invoiced'!$B$4:$B$37</c:f>
              <c:numCache>
                <c:formatCode>0.000</c:formatCode>
                <c:ptCount val="34"/>
                <c:pt idx="0">
                  <c:v>0.24582888183736493</c:v>
                </c:pt>
                <c:pt idx="1">
                  <c:v>0.24981529613743028</c:v>
                </c:pt>
                <c:pt idx="2">
                  <c:v>0.49165776367472985</c:v>
                </c:pt>
                <c:pt idx="3">
                  <c:v>0.49963059227486056</c:v>
                </c:pt>
                <c:pt idx="4">
                  <c:v>0.73748664551209475</c:v>
                </c:pt>
                <c:pt idx="5">
                  <c:v>0.74944588841229087</c:v>
                </c:pt>
                <c:pt idx="6">
                  <c:v>0.98331552734945971</c:v>
                </c:pt>
                <c:pt idx="7">
                  <c:v>0.99926118454972113</c:v>
                </c:pt>
                <c:pt idx="8">
                  <c:v>1.2291444091868247</c:v>
                </c:pt>
                <c:pt idx="9">
                  <c:v>1.2490764806871515</c:v>
                </c:pt>
                <c:pt idx="10">
                  <c:v>1.4749732910241895</c:v>
                </c:pt>
                <c:pt idx="11">
                  <c:v>1.4988917768245817</c:v>
                </c:pt>
                <c:pt idx="12">
                  <c:v>1.7208021728615543</c:v>
                </c:pt>
                <c:pt idx="13">
                  <c:v>1.748707072962012</c:v>
                </c:pt>
                <c:pt idx="14">
                  <c:v>1.9666310546989194</c:v>
                </c:pt>
                <c:pt idx="15">
                  <c:v>1.9985223690994423</c:v>
                </c:pt>
                <c:pt idx="16">
                  <c:v>2.1234300171681575</c:v>
                </c:pt>
                <c:pt idx="17">
                  <c:v>2.212459936536284</c:v>
                </c:pt>
                <c:pt idx="18">
                  <c:v>2.2483376652368725</c:v>
                </c:pt>
                <c:pt idx="19">
                  <c:v>2.4582888183736493</c:v>
                </c:pt>
                <c:pt idx="20">
                  <c:v>2.498152961374303</c:v>
                </c:pt>
                <c:pt idx="21">
                  <c:v>2.7041177002110142</c:v>
                </c:pt>
                <c:pt idx="22">
                  <c:v>2.747968257511733</c:v>
                </c:pt>
                <c:pt idx="23">
                  <c:v>2.949946582048379</c:v>
                </c:pt>
                <c:pt idx="24">
                  <c:v>2.9977835536491635</c:v>
                </c:pt>
                <c:pt idx="25">
                  <c:v>3.1226912017178785</c:v>
                </c:pt>
                <c:pt idx="26">
                  <c:v>3.1957754638857439</c:v>
                </c:pt>
                <c:pt idx="27">
                  <c:v>3.247598849786594</c:v>
                </c:pt>
                <c:pt idx="28">
                  <c:v>3.497414145924024</c:v>
                </c:pt>
                <c:pt idx="29">
                  <c:v>3.7472294420614545</c:v>
                </c:pt>
                <c:pt idx="30">
                  <c:v>3.9332621093978388</c:v>
                </c:pt>
                <c:pt idx="31">
                  <c:v>4.246860034336315</c:v>
                </c:pt>
                <c:pt idx="32">
                  <c:v>4.4249198730725681</c:v>
                </c:pt>
                <c:pt idx="33">
                  <c:v>5.162406518584663</c:v>
                </c:pt>
              </c:numCache>
            </c:numRef>
          </c:xVal>
          <c:yVal>
            <c:numRef>
              <c:f>'Distribution of hrs invoiced'!$C$4:$C$37</c:f>
              <c:numCache>
                <c:formatCode>General</c:formatCode>
                <c:ptCount val="34"/>
                <c:pt idx="0">
                  <c:v>82</c:v>
                </c:pt>
                <c:pt idx="1">
                  <c:v>437</c:v>
                </c:pt>
                <c:pt idx="2">
                  <c:v>352</c:v>
                </c:pt>
                <c:pt idx="3">
                  <c:v>1019</c:v>
                </c:pt>
                <c:pt idx="4">
                  <c:v>326</c:v>
                </c:pt>
                <c:pt idx="5">
                  <c:v>987</c:v>
                </c:pt>
                <c:pt idx="6">
                  <c:v>163</c:v>
                </c:pt>
                <c:pt idx="7">
                  <c:v>461</c:v>
                </c:pt>
                <c:pt idx="8">
                  <c:v>86</c:v>
                </c:pt>
                <c:pt idx="9">
                  <c:v>198</c:v>
                </c:pt>
                <c:pt idx="10">
                  <c:v>50</c:v>
                </c:pt>
                <c:pt idx="11">
                  <c:v>113</c:v>
                </c:pt>
                <c:pt idx="12">
                  <c:v>21</c:v>
                </c:pt>
                <c:pt idx="13">
                  <c:v>45</c:v>
                </c:pt>
                <c:pt idx="14">
                  <c:v>9</c:v>
                </c:pt>
                <c:pt idx="15">
                  <c:v>36</c:v>
                </c:pt>
                <c:pt idx="16">
                  <c:v>1</c:v>
                </c:pt>
                <c:pt idx="17">
                  <c:v>8</c:v>
                </c:pt>
                <c:pt idx="18">
                  <c:v>16</c:v>
                </c:pt>
                <c:pt idx="19">
                  <c:v>10</c:v>
                </c:pt>
                <c:pt idx="20">
                  <c:v>11</c:v>
                </c:pt>
                <c:pt idx="21">
                  <c:v>3</c:v>
                </c:pt>
                <c:pt idx="22">
                  <c:v>4</c:v>
                </c:pt>
                <c:pt idx="23">
                  <c:v>2</c:v>
                </c:pt>
                <c:pt idx="24">
                  <c:v>5</c:v>
                </c:pt>
                <c:pt idx="25">
                  <c:v>1</c:v>
                </c:pt>
                <c:pt idx="26">
                  <c:v>3</c:v>
                </c:pt>
                <c:pt idx="27">
                  <c:v>2</c:v>
                </c:pt>
                <c:pt idx="28">
                  <c:v>1</c:v>
                </c:pt>
                <c:pt idx="29">
                  <c:v>2</c:v>
                </c:pt>
                <c:pt idx="30">
                  <c:v>2</c:v>
                </c:pt>
                <c:pt idx="31">
                  <c:v>2</c:v>
                </c:pt>
                <c:pt idx="32">
                  <c:v>1</c:v>
                </c:pt>
                <c:pt idx="33">
                  <c:v>1</c:v>
                </c:pt>
              </c:numCache>
            </c:numRef>
          </c:yVal>
          <c:smooth val="0"/>
          <c:extLst>
            <c:ext xmlns:c16="http://schemas.microsoft.com/office/drawing/2014/chart" uri="{C3380CC4-5D6E-409C-BE32-E72D297353CC}">
              <c16:uniqueId val="{00000000-A296-445D-B9E2-15E716B9D604}"/>
            </c:ext>
          </c:extLst>
        </c:ser>
        <c:dLbls>
          <c:showLegendKey val="0"/>
          <c:showVal val="0"/>
          <c:showCatName val="0"/>
          <c:showSerName val="0"/>
          <c:showPercent val="0"/>
          <c:showBubbleSize val="0"/>
        </c:dLbls>
        <c:axId val="569576280"/>
        <c:axId val="569580216"/>
      </c:scatterChart>
      <c:valAx>
        <c:axId val="569576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Appliance hours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580216"/>
        <c:crosses val="autoZero"/>
        <c:crossBetween val="midCat"/>
      </c:valAx>
      <c:valAx>
        <c:axId val="569580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Attendances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5762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p:properties xmlns:p="http://schemas.microsoft.com/office/2006/metadata/properties" xmlns:xsi="http://www.w3.org/2001/XMLSchema-instance" xmlns:pc="http://schemas.microsoft.com/office/infopath/2007/PartnerControls">
  <documentManagement>
    <E2_TRIMDocumentRef xmlns="02c6d125-7989-43ff-bfbe-9f7d126fcdb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BC Supporting Document" ma:contentTypeID="0x010100E5776AE044914616A15DFDD7B93DDB95003415D5004392894F857054A638C81837" ma:contentTypeVersion="9" ma:contentTypeDescription="EBC record supporting documentation" ma:contentTypeScope="" ma:versionID="c50485d75857d5c461c5138e0c2b4089">
  <xsd:schema xmlns:xsd="http://www.w3.org/2001/XMLSchema" xmlns:xs="http://www.w3.org/2001/XMLSchema" xmlns:p="http://schemas.microsoft.com/office/2006/metadata/properties" xmlns:ns2="02c6d125-7989-43ff-bfbe-9f7d126fcdbc" targetNamespace="http://schemas.microsoft.com/office/2006/metadata/properties" ma:root="true" ma:fieldsID="bd0847c0965e0c095872e5165bc761de" ns2:_="">
    <xsd:import namespace="02c6d125-7989-43ff-bfbe-9f7d126fcdbc"/>
    <xsd:element name="properties">
      <xsd:complexType>
        <xsd:sequence>
          <xsd:element name="documentManagement">
            <xsd:complexType>
              <xsd:all>
                <xsd:element ref="ns2:E2_TRIMDocumentRe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c6d125-7989-43ff-bfbe-9f7d126fcdbc" elementFormDefault="qualified">
    <xsd:import namespace="http://schemas.microsoft.com/office/2006/documentManagement/types"/>
    <xsd:import namespace="http://schemas.microsoft.com/office/infopath/2007/PartnerControls"/>
    <xsd:element name="E2_TRIMDocumentRef" ma:index="1" nillable="true" ma:displayName="TRIM Document Ref" ma:internalName="E2_TRIMDocumentRef">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F0265-5634-4322-B2B5-D379E4C6F2F8}">
  <ds:schemaRefs>
    <ds:schemaRef ds:uri="http://www.w3.org/2001/XMLSchema"/>
  </ds:schemaRefs>
</ds:datastoreItem>
</file>

<file path=customXml/itemProps2.xml><?xml version="1.0" encoding="utf-8"?>
<ds:datastoreItem xmlns:ds="http://schemas.openxmlformats.org/officeDocument/2006/customXml" ds:itemID="{5C14B17D-3491-4D07-8F15-A4B5081DCAF6}">
  <ds:schemaRefs>
    <ds:schemaRef ds:uri="http://purl.org/dc/elements/1.1/"/>
    <ds:schemaRef ds:uri="http://schemas.microsoft.com/office/2006/metadata/properties"/>
    <ds:schemaRef ds:uri="02c6d125-7989-43ff-bfbe-9f7d126fcdbc"/>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4B2D44E-D33C-43EA-9B4B-85266A2DF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c6d125-7989-43ff-bfbe-9f7d126fc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7DBFC2-08EA-4886-A092-953EB9C8283D}">
  <ds:schemaRefs>
    <ds:schemaRef ds:uri="http://schemas.microsoft.com/sharepoint/v3/contenttype/forms"/>
  </ds:schemaRefs>
</ds:datastoreItem>
</file>

<file path=customXml/itemProps5.xml><?xml version="1.0" encoding="utf-8"?>
<ds:datastoreItem xmlns:ds="http://schemas.openxmlformats.org/officeDocument/2006/customXml" ds:itemID="{245297FA-1D22-4162-B1F5-61C418A9E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37429</Words>
  <Characters>213346</Characters>
  <Application>Microsoft Office Word</Application>
  <DocSecurity>0</DocSecurity>
  <Lines>1777</Lines>
  <Paragraphs>500</Paragraphs>
  <ScaleCrop>false</ScaleCrop>
  <HeadingPairs>
    <vt:vector size="2" baseType="variant">
      <vt:variant>
        <vt:lpstr>Title</vt:lpstr>
      </vt:variant>
      <vt:variant>
        <vt:i4>1</vt:i4>
      </vt:variant>
    </vt:vector>
  </HeadingPairs>
  <TitlesOfParts>
    <vt:vector size="1" baseType="lpstr">
      <vt:lpstr>Attachment A - Fire Rescue Victoria (General) Regulations RIS - Full Draft 6 - 13 May.docx</vt:lpstr>
    </vt:vector>
  </TitlesOfParts>
  <Company/>
  <LinksUpToDate>false</LinksUpToDate>
  <CharactersWithSpaces>250275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A - Fire Rescue Victoria (General) Regulations RIS - Full Draft 6 - 13 May.docx</dc:title>
  <dc:subject/>
  <dc:creator>George Rivers</dc:creator>
  <cp:keywords/>
  <dc:description/>
  <cp:lastModifiedBy>Angelica Suarez (DJCS)</cp:lastModifiedBy>
  <cp:revision>2</cp:revision>
  <dcterms:created xsi:type="dcterms:W3CDTF">2020-05-21T22:48:00Z</dcterms:created>
  <dcterms:modified xsi:type="dcterms:W3CDTF">2020-05-21T22:48:00Z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58ebbd-6c5e-441f-bfc9-4eb8c11e3978_Enabled">
    <vt:lpwstr>True</vt:lpwstr>
  </property>
  <property fmtid="{D5CDD505-2E9C-101B-9397-08002B2CF9AE}" pid="3" name="MSIP_Label_7158ebbd-6c5e-441f-bfc9-4eb8c11e3978_SiteId">
    <vt:lpwstr>722ea0be-3e1c-4b11-ad6f-9401d6856e24</vt:lpwstr>
  </property>
  <property fmtid="{D5CDD505-2E9C-101B-9397-08002B2CF9AE}" pid="4" name="MSIP_Label_7158ebbd-6c5e-441f-bfc9-4eb8c11e3978_Owner">
    <vt:lpwstr>tim.smith@betterreg.vic.gov.au</vt:lpwstr>
  </property>
  <property fmtid="{D5CDD505-2E9C-101B-9397-08002B2CF9AE}" pid="5" name="MSIP_Label_7158ebbd-6c5e-441f-bfc9-4eb8c11e3978_SetDate">
    <vt:lpwstr>2020-03-10T23:14:02.2771742Z</vt:lpwstr>
  </property>
  <property fmtid="{D5CDD505-2E9C-101B-9397-08002B2CF9AE}" pid="6" name="MSIP_Label_7158ebbd-6c5e-441f-bfc9-4eb8c11e3978_Name">
    <vt:lpwstr>OFFICIAL</vt:lpwstr>
  </property>
  <property fmtid="{D5CDD505-2E9C-101B-9397-08002B2CF9AE}" pid="7" name="MSIP_Label_7158ebbd-6c5e-441f-bfc9-4eb8c11e3978_Application">
    <vt:lpwstr>Microsoft Azure Information Protection</vt:lpwstr>
  </property>
  <property fmtid="{D5CDD505-2E9C-101B-9397-08002B2CF9AE}" pid="8" name="MSIP_Label_7158ebbd-6c5e-441f-bfc9-4eb8c11e3978_Extended_MSFT_Method">
    <vt:lpwstr>Manual</vt:lpwstr>
  </property>
  <property fmtid="{D5CDD505-2E9C-101B-9397-08002B2CF9AE}" pid="9" name="Sensitivity">
    <vt:lpwstr>OFFICIAL</vt:lpwstr>
  </property>
  <property fmtid="{D5CDD505-2E9C-101B-9397-08002B2CF9AE}" pid="10" name="ContentTypeId">
    <vt:lpwstr>0x010100E5776AE044914616A15DFDD7B93DDB95003415D5004392894F857054A638C81837</vt:lpwstr>
  </property>
</Properties>
</file>