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4F5F9" w14:textId="77777777" w:rsidR="000D6689" w:rsidRPr="0003699B" w:rsidRDefault="000D6689" w:rsidP="00617F97">
      <w:pPr>
        <w:pStyle w:val="Heading1"/>
      </w:pPr>
      <w:bookmarkStart w:id="0" w:name="_GoBack"/>
      <w:bookmarkEnd w:id="0"/>
      <w:r w:rsidRPr="0003699B">
        <w:t>APPENDIX 15: ECOMAP DIAGRAM</w:t>
      </w:r>
    </w:p>
    <w:p w14:paraId="76BD4930" w14:textId="77777777" w:rsidR="000D6689" w:rsidRDefault="000D6689" w:rsidP="00C961C8">
      <w:pPr>
        <w:pStyle w:val="Heading2"/>
      </w:pPr>
      <w:r w:rsidRPr="007B4CBC">
        <w:t>Protective factors and risk management – areas for discussion</w:t>
      </w:r>
    </w:p>
    <w:p w14:paraId="56ADC0D4" w14:textId="77777777" w:rsidR="000D6689" w:rsidRPr="000F3843" w:rsidRDefault="000D6689" w:rsidP="000F3843">
      <w:r>
        <w:rPr>
          <w:noProof/>
        </w:rPr>
        <w:drawing>
          <wp:inline distT="0" distB="0" distL="0" distR="0" wp14:anchorId="6D758ECE" wp14:editId="51F46F6B">
            <wp:extent cx="5133600" cy="4770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comap Diagram.pdf"/>
                    <pic:cNvPicPr/>
                  </pic:nvPicPr>
                  <pic:blipFill rotWithShape="1">
                    <a:blip r:embed="rId7"/>
                    <a:srcRect l="16020" t="25604" r="15831" b="29648"/>
                    <a:stretch/>
                  </pic:blipFill>
                  <pic:spPr bwMode="auto">
                    <a:xfrm>
                      <a:off x="0" y="0"/>
                      <a:ext cx="5133600" cy="47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B71BC" w14:textId="77777777" w:rsidR="000D6689" w:rsidRDefault="000D6689" w:rsidP="000F3843"/>
    <w:p w14:paraId="31D728A4" w14:textId="77777777" w:rsidR="000D6689" w:rsidRDefault="000D6689" w:rsidP="000F3843">
      <w:r>
        <w:t>Consider protective factors for each area; System intervention, Practical/environment, strengths based.</w:t>
      </w:r>
    </w:p>
    <w:p w14:paraId="263EF246" w14:textId="77777777" w:rsidR="000D6689" w:rsidRPr="000F3843" w:rsidRDefault="000D6689" w:rsidP="000F3843">
      <w:r>
        <w:t>Refer to guidance in Responsibility 8. See over page for additional factors against each domain, use as required.</w:t>
      </w:r>
    </w:p>
    <w:p w14:paraId="57E120F9" w14:textId="77777777" w:rsidR="000D6689" w:rsidRPr="00BF41C2" w:rsidRDefault="000D6689" w:rsidP="00BF41C2"/>
    <w:tbl>
      <w:tblPr>
        <w:tblStyle w:val="TableGrid"/>
        <w:tblW w:w="10291" w:type="dxa"/>
        <w:tblLayout w:type="fixed"/>
        <w:tblLook w:val="0000" w:firstRow="0" w:lastRow="0" w:firstColumn="0" w:lastColumn="0" w:noHBand="0" w:noVBand="0"/>
      </w:tblPr>
      <w:tblGrid>
        <w:gridCol w:w="2353"/>
        <w:gridCol w:w="7938"/>
      </w:tblGrid>
      <w:tr w:rsidR="000D6689" w:rsidRPr="00251310" w14:paraId="02F562B6" w14:textId="77777777" w:rsidTr="00AD0BC1">
        <w:trPr>
          <w:trHeight w:val="56"/>
        </w:trPr>
        <w:tc>
          <w:tcPr>
            <w:tcW w:w="2353" w:type="dxa"/>
            <w:tcBorders>
              <w:bottom w:val="single" w:sz="4" w:space="0" w:color="ED7D31" w:themeColor="accent2"/>
            </w:tcBorders>
            <w:vAlign w:val="bottom"/>
          </w:tcPr>
          <w:p w14:paraId="72BADD7A" w14:textId="77777777" w:rsidR="000D6689" w:rsidRPr="00251310" w:rsidRDefault="000D6689" w:rsidP="004C43AC">
            <w:pPr>
              <w:pStyle w:val="Heading3"/>
              <w:outlineLvl w:val="2"/>
            </w:pPr>
            <w:r w:rsidRPr="00251310">
              <w:lastRenderedPageBreak/>
              <w:t>Protective factor domains</w:t>
            </w:r>
          </w:p>
        </w:tc>
        <w:tc>
          <w:tcPr>
            <w:tcW w:w="7938" w:type="dxa"/>
            <w:tcBorders>
              <w:bottom w:val="single" w:sz="4" w:space="0" w:color="ED7D31" w:themeColor="accent2"/>
            </w:tcBorders>
            <w:vAlign w:val="bottom"/>
          </w:tcPr>
          <w:p w14:paraId="05CF762D" w14:textId="77777777" w:rsidR="000D6689" w:rsidRPr="00251310" w:rsidRDefault="000D6689" w:rsidP="004C43AC">
            <w:pPr>
              <w:pStyle w:val="Heading3"/>
              <w:outlineLvl w:val="2"/>
            </w:pPr>
            <w:r w:rsidRPr="00251310">
              <w:t>Factors</w:t>
            </w:r>
          </w:p>
        </w:tc>
      </w:tr>
      <w:tr w:rsidR="000D6689" w:rsidRPr="00251310" w14:paraId="4817EF95" w14:textId="77777777" w:rsidTr="00AD0BC1">
        <w:trPr>
          <w:trHeight w:val="712"/>
        </w:trPr>
        <w:tc>
          <w:tcPr>
            <w:tcW w:w="2353" w:type="dxa"/>
            <w:vMerge w:val="restart"/>
            <w:tcBorders>
              <w:top w:val="single" w:sz="4" w:space="0" w:color="ED7D31" w:themeColor="accent2"/>
            </w:tcBorders>
          </w:tcPr>
          <w:p w14:paraId="1AD882BD" w14:textId="77777777" w:rsidR="000D6689" w:rsidRPr="000F3843" w:rsidRDefault="000D6689" w:rsidP="00E754F4">
            <w:pPr>
              <w:rPr>
                <w:rStyle w:val="Bold"/>
              </w:rPr>
            </w:pPr>
            <w:r w:rsidRPr="000F3843">
              <w:rPr>
                <w:rStyle w:val="Bold"/>
              </w:rPr>
              <w:t>Systems intervention</w:t>
            </w:r>
          </w:p>
        </w:tc>
        <w:tc>
          <w:tcPr>
            <w:tcW w:w="7938" w:type="dxa"/>
            <w:tcBorders>
              <w:top w:val="single" w:sz="4" w:space="0" w:color="ED7D31" w:themeColor="accent2"/>
            </w:tcBorders>
          </w:tcPr>
          <w:p w14:paraId="7F1C3CFD" w14:textId="77777777" w:rsidR="000D6689" w:rsidRPr="00251310" w:rsidRDefault="000D6689" w:rsidP="00E754F4">
            <w:r w:rsidRPr="00251310">
              <w:t>Legal or Justice responses in place:</w:t>
            </w:r>
          </w:p>
          <w:p w14:paraId="795CACD1" w14:textId="77777777" w:rsidR="000D6689" w:rsidRPr="00251310" w:rsidRDefault="000D6689" w:rsidP="00E754F4">
            <w:pPr>
              <w:pStyle w:val="ListBullet"/>
            </w:pPr>
            <w:r w:rsidRPr="00251310">
              <w:t>perpetrator is incarcerated or prevented from contact</w:t>
            </w:r>
          </w:p>
          <w:p w14:paraId="735ED851" w14:textId="77777777" w:rsidR="000D6689" w:rsidRPr="00251310" w:rsidRDefault="000D6689" w:rsidP="00E754F4">
            <w:pPr>
              <w:pStyle w:val="ListBullet"/>
            </w:pPr>
            <w:r w:rsidRPr="00251310">
              <w:t xml:space="preserve">victim survivor is on the Victims Register </w:t>
            </w:r>
          </w:p>
          <w:p w14:paraId="189D8826" w14:textId="77777777" w:rsidR="000D6689" w:rsidRPr="00251310" w:rsidRDefault="000D6689" w:rsidP="00E754F4">
            <w:pPr>
              <w:pStyle w:val="ListBullet"/>
            </w:pPr>
            <w:r w:rsidRPr="00251310">
              <w:t>court dates noted relating to family law, family violence or other matters involving perpetrator or victim survivor</w:t>
            </w:r>
          </w:p>
          <w:p w14:paraId="6E7CE2DB" w14:textId="77777777" w:rsidR="000D6689" w:rsidRPr="00251310" w:rsidRDefault="000D6689" w:rsidP="00E754F4">
            <w:pPr>
              <w:pStyle w:val="ListBullet"/>
            </w:pPr>
            <w:r w:rsidRPr="00251310">
              <w:t>Justice interventions in place (IVO)</w:t>
            </w:r>
          </w:p>
        </w:tc>
      </w:tr>
      <w:tr w:rsidR="000D6689" w:rsidRPr="00251310" w14:paraId="694EFC87" w14:textId="77777777" w:rsidTr="009D3B37">
        <w:trPr>
          <w:trHeight w:val="34"/>
        </w:trPr>
        <w:tc>
          <w:tcPr>
            <w:tcW w:w="2353" w:type="dxa"/>
            <w:vMerge/>
          </w:tcPr>
          <w:p w14:paraId="594F0311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47357825" w14:textId="77777777" w:rsidR="000D6689" w:rsidRPr="00251310" w:rsidRDefault="000D6689" w:rsidP="00E754F4">
            <w:r w:rsidRPr="00251310">
              <w:t>Perpetrator is actively linked to a support program</w:t>
            </w:r>
          </w:p>
        </w:tc>
      </w:tr>
      <w:tr w:rsidR="000D6689" w:rsidRPr="00251310" w14:paraId="786EB398" w14:textId="77777777" w:rsidTr="009D3B37">
        <w:trPr>
          <w:trHeight w:val="34"/>
        </w:trPr>
        <w:tc>
          <w:tcPr>
            <w:tcW w:w="2353" w:type="dxa"/>
            <w:vMerge w:val="restart"/>
          </w:tcPr>
          <w:p w14:paraId="163AC620" w14:textId="77777777" w:rsidR="000D6689" w:rsidRPr="000F3843" w:rsidRDefault="000D6689" w:rsidP="00E754F4">
            <w:pPr>
              <w:rPr>
                <w:rStyle w:val="Bold"/>
              </w:rPr>
            </w:pPr>
            <w:r w:rsidRPr="000F3843">
              <w:rPr>
                <w:rStyle w:val="Bold"/>
              </w:rPr>
              <w:t>Practical/</w:t>
            </w:r>
          </w:p>
          <w:p w14:paraId="67CF6F7F" w14:textId="77777777" w:rsidR="000D6689" w:rsidRPr="000F3843" w:rsidRDefault="000D6689" w:rsidP="00E754F4">
            <w:pPr>
              <w:rPr>
                <w:rStyle w:val="Bold"/>
              </w:rPr>
            </w:pPr>
            <w:r w:rsidRPr="000F3843">
              <w:rPr>
                <w:rStyle w:val="Bold"/>
              </w:rPr>
              <w:t>environmental</w:t>
            </w:r>
          </w:p>
          <w:p w14:paraId="1BF54BFB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2C70A4CA" w14:textId="77777777" w:rsidR="000D6689" w:rsidRPr="00251310" w:rsidRDefault="000D6689" w:rsidP="00E754F4">
            <w:r w:rsidRPr="00251310">
              <w:t>Safe housing</w:t>
            </w:r>
          </w:p>
        </w:tc>
      </w:tr>
      <w:tr w:rsidR="000D6689" w:rsidRPr="00251310" w14:paraId="20D6B49A" w14:textId="77777777" w:rsidTr="00E53731">
        <w:trPr>
          <w:trHeight w:val="272"/>
        </w:trPr>
        <w:tc>
          <w:tcPr>
            <w:tcW w:w="2353" w:type="dxa"/>
            <w:vMerge/>
          </w:tcPr>
          <w:p w14:paraId="49ECC2BB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1AF76B29" w14:textId="77777777" w:rsidR="000D6689" w:rsidRPr="00251310" w:rsidRDefault="000D6689" w:rsidP="00E754F4">
            <w:r w:rsidRPr="00251310">
              <w:t>Financial security (access to money or employment)</w:t>
            </w:r>
          </w:p>
        </w:tc>
      </w:tr>
      <w:tr w:rsidR="000D6689" w:rsidRPr="00251310" w14:paraId="56E670F4" w14:textId="77777777" w:rsidTr="00E53731">
        <w:trPr>
          <w:trHeight w:val="263"/>
        </w:trPr>
        <w:tc>
          <w:tcPr>
            <w:tcW w:w="2353" w:type="dxa"/>
            <w:vMerge/>
          </w:tcPr>
          <w:p w14:paraId="67DB2DF7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5E7F5B82" w14:textId="77777777" w:rsidR="000D6689" w:rsidRPr="00251310" w:rsidRDefault="000D6689" w:rsidP="00E754F4">
            <w:r w:rsidRPr="00251310">
              <w:t>Health (including mental health)</w:t>
            </w:r>
          </w:p>
        </w:tc>
      </w:tr>
      <w:tr w:rsidR="000D6689" w:rsidRPr="00251310" w14:paraId="04235AD0" w14:textId="77777777" w:rsidTr="00E53731">
        <w:trPr>
          <w:trHeight w:val="263"/>
        </w:trPr>
        <w:tc>
          <w:tcPr>
            <w:tcW w:w="2353" w:type="dxa"/>
            <w:vMerge/>
          </w:tcPr>
          <w:p w14:paraId="61881B9A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3D97D06B" w14:textId="77777777" w:rsidR="000D6689" w:rsidRPr="00251310" w:rsidRDefault="000D6689" w:rsidP="00E754F4">
            <w:r w:rsidRPr="00251310">
              <w:t>Education (access or engagement with)</w:t>
            </w:r>
          </w:p>
        </w:tc>
      </w:tr>
      <w:tr w:rsidR="000D6689" w:rsidRPr="00251310" w14:paraId="1466B87A" w14:textId="77777777" w:rsidTr="00E53731">
        <w:trPr>
          <w:trHeight w:val="325"/>
        </w:trPr>
        <w:tc>
          <w:tcPr>
            <w:tcW w:w="2353" w:type="dxa"/>
            <w:vMerge/>
          </w:tcPr>
          <w:p w14:paraId="5B5F8B0B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7B6608A6" w14:textId="77777777" w:rsidR="000D6689" w:rsidRPr="00251310" w:rsidRDefault="000D6689" w:rsidP="00E754F4">
            <w:r w:rsidRPr="00251310">
              <w:t>Immigration issues</w:t>
            </w:r>
          </w:p>
        </w:tc>
      </w:tr>
      <w:tr w:rsidR="000D6689" w:rsidRPr="00251310" w14:paraId="107614A4" w14:textId="77777777" w:rsidTr="00E53731">
        <w:trPr>
          <w:trHeight w:val="287"/>
        </w:trPr>
        <w:tc>
          <w:tcPr>
            <w:tcW w:w="2353" w:type="dxa"/>
            <w:vMerge/>
          </w:tcPr>
          <w:p w14:paraId="43BFD0A6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30B45037" w14:textId="77777777" w:rsidR="000D6689" w:rsidRPr="00251310" w:rsidRDefault="000D6689" w:rsidP="00E754F4">
            <w:r w:rsidRPr="00251310">
              <w:t>Food security</w:t>
            </w:r>
          </w:p>
        </w:tc>
      </w:tr>
      <w:tr w:rsidR="000D6689" w:rsidRPr="00251310" w14:paraId="555DDECB" w14:textId="77777777" w:rsidTr="00E53731">
        <w:trPr>
          <w:trHeight w:val="70"/>
        </w:trPr>
        <w:tc>
          <w:tcPr>
            <w:tcW w:w="2353" w:type="dxa"/>
            <w:vMerge/>
          </w:tcPr>
          <w:p w14:paraId="1D029612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0743F6C0" w14:textId="77777777" w:rsidR="000D6689" w:rsidRPr="00251310" w:rsidRDefault="000D6689" w:rsidP="00E754F4">
            <w:r w:rsidRPr="00251310">
              <w:t>Transport</w:t>
            </w:r>
          </w:p>
        </w:tc>
      </w:tr>
      <w:tr w:rsidR="000D6689" w:rsidRPr="00251310" w14:paraId="3B116437" w14:textId="77777777" w:rsidTr="00E53731">
        <w:trPr>
          <w:trHeight w:val="60"/>
        </w:trPr>
        <w:tc>
          <w:tcPr>
            <w:tcW w:w="2353" w:type="dxa"/>
            <w:vMerge/>
          </w:tcPr>
          <w:p w14:paraId="0D38F0AF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5C76225E" w14:textId="77777777" w:rsidR="000D6689" w:rsidRPr="00251310" w:rsidRDefault="000D6689" w:rsidP="00E754F4">
            <w:r w:rsidRPr="00251310">
              <w:t>Telecommunication safety</w:t>
            </w:r>
          </w:p>
        </w:tc>
      </w:tr>
      <w:tr w:rsidR="000D6689" w:rsidRPr="00251310" w14:paraId="592DFC82" w14:textId="77777777" w:rsidTr="009D3B37">
        <w:trPr>
          <w:trHeight w:val="34"/>
        </w:trPr>
        <w:tc>
          <w:tcPr>
            <w:tcW w:w="2353" w:type="dxa"/>
            <w:vMerge/>
          </w:tcPr>
          <w:p w14:paraId="253E5352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630F3340" w14:textId="77777777" w:rsidR="000D6689" w:rsidRPr="00251310" w:rsidRDefault="000D6689" w:rsidP="00E754F4">
            <w:r w:rsidRPr="00251310">
              <w:t>Connection to advocacy/ professional/ therapeutic services</w:t>
            </w:r>
          </w:p>
        </w:tc>
      </w:tr>
      <w:tr w:rsidR="000D6689" w:rsidRPr="00251310" w14:paraId="4F708803" w14:textId="77777777" w:rsidTr="009D3B37">
        <w:trPr>
          <w:trHeight w:val="34"/>
        </w:trPr>
        <w:tc>
          <w:tcPr>
            <w:tcW w:w="2353" w:type="dxa"/>
            <w:vMerge/>
          </w:tcPr>
          <w:p w14:paraId="543CF465" w14:textId="77777777" w:rsidR="000D6689" w:rsidRPr="000F3843" w:rsidRDefault="000D6689" w:rsidP="00E754F4">
            <w:pPr>
              <w:rPr>
                <w:rStyle w:val="Bold"/>
              </w:rPr>
            </w:pPr>
          </w:p>
        </w:tc>
        <w:tc>
          <w:tcPr>
            <w:tcW w:w="7938" w:type="dxa"/>
          </w:tcPr>
          <w:p w14:paraId="4178B97B" w14:textId="77777777" w:rsidR="000D6689" w:rsidRPr="00251310" w:rsidRDefault="000D6689" w:rsidP="00E754F4">
            <w:r w:rsidRPr="00251310">
              <w:t>Positive and friendly care environment (particularly for children and young people)</w:t>
            </w:r>
          </w:p>
        </w:tc>
      </w:tr>
      <w:tr w:rsidR="000D6689" w:rsidRPr="00251310" w14:paraId="509E3B9B" w14:textId="77777777" w:rsidTr="009D3B37">
        <w:trPr>
          <w:trHeight w:val="91"/>
        </w:trPr>
        <w:tc>
          <w:tcPr>
            <w:tcW w:w="2353" w:type="dxa"/>
            <w:vMerge w:val="restart"/>
          </w:tcPr>
          <w:p w14:paraId="2B1EBD3F" w14:textId="77777777" w:rsidR="000D6689" w:rsidRPr="000F3843" w:rsidRDefault="000D6689" w:rsidP="00E754F4">
            <w:pPr>
              <w:rPr>
                <w:rStyle w:val="Bold"/>
              </w:rPr>
            </w:pPr>
            <w:r w:rsidRPr="000F3843">
              <w:rPr>
                <w:rStyle w:val="Bold"/>
              </w:rPr>
              <w:t>Strengths-based</w:t>
            </w:r>
          </w:p>
        </w:tc>
        <w:tc>
          <w:tcPr>
            <w:tcW w:w="7938" w:type="dxa"/>
          </w:tcPr>
          <w:p w14:paraId="554EF1C7" w14:textId="77777777" w:rsidR="000D6689" w:rsidRPr="00251310" w:rsidRDefault="000D6689" w:rsidP="00E754F4">
            <w:r w:rsidRPr="00251310">
              <w:t xml:space="preserve">Social networks, health relationships </w:t>
            </w:r>
          </w:p>
        </w:tc>
      </w:tr>
      <w:tr w:rsidR="000D6689" w:rsidRPr="00251310" w14:paraId="21C33FF5" w14:textId="77777777" w:rsidTr="009D3B37">
        <w:trPr>
          <w:trHeight w:val="91"/>
        </w:trPr>
        <w:tc>
          <w:tcPr>
            <w:tcW w:w="2353" w:type="dxa"/>
            <w:vMerge/>
          </w:tcPr>
          <w:p w14:paraId="61617AC1" w14:textId="77777777" w:rsidR="000D6689" w:rsidRPr="00251310" w:rsidRDefault="000D6689" w:rsidP="00E754F4"/>
        </w:tc>
        <w:tc>
          <w:tcPr>
            <w:tcW w:w="7938" w:type="dxa"/>
          </w:tcPr>
          <w:p w14:paraId="73AF28F5" w14:textId="77777777" w:rsidR="000D6689" w:rsidRPr="00251310" w:rsidRDefault="000D6689" w:rsidP="00E754F4">
            <w:r w:rsidRPr="00251310">
              <w:t>Culture and identity, connection and sense of belonging to community</w:t>
            </w:r>
          </w:p>
        </w:tc>
      </w:tr>
      <w:tr w:rsidR="000D6689" w:rsidRPr="00251310" w14:paraId="2C4F6B8E" w14:textId="77777777" w:rsidTr="009D3B37">
        <w:trPr>
          <w:trHeight w:val="91"/>
        </w:trPr>
        <w:tc>
          <w:tcPr>
            <w:tcW w:w="2353" w:type="dxa"/>
            <w:vMerge/>
          </w:tcPr>
          <w:p w14:paraId="5A7964B5" w14:textId="77777777" w:rsidR="000D6689" w:rsidRPr="00251310" w:rsidRDefault="000D6689" w:rsidP="00E754F4"/>
        </w:tc>
        <w:tc>
          <w:tcPr>
            <w:tcW w:w="7938" w:type="dxa"/>
          </w:tcPr>
          <w:p w14:paraId="7E195143" w14:textId="77777777" w:rsidR="000D6689" w:rsidRPr="00251310" w:rsidRDefault="000D6689" w:rsidP="00E754F4">
            <w:r w:rsidRPr="00251310">
              <w:t>An individual’s personal skills and emotional resilience, exercise of agency</w:t>
            </w:r>
          </w:p>
        </w:tc>
      </w:tr>
    </w:tbl>
    <w:p w14:paraId="7DDDF5EE" w14:textId="77777777" w:rsidR="000D6689" w:rsidRPr="005E21F3" w:rsidRDefault="000D6689" w:rsidP="00E754F4"/>
    <w:p w14:paraId="63F94915" w14:textId="77777777" w:rsidR="00EB123F" w:rsidRDefault="00EB123F" w:rsidP="009D3B37"/>
    <w:sectPr w:rsidR="00EB123F" w:rsidSect="009D3B37">
      <w:footerReference w:type="default" r:id="rId8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AE2B7" w14:textId="77777777" w:rsidR="00BE4628" w:rsidRDefault="00BE4628" w:rsidP="009D3B37">
      <w:pPr>
        <w:spacing w:after="0"/>
      </w:pPr>
      <w:r>
        <w:separator/>
      </w:r>
    </w:p>
  </w:endnote>
  <w:endnote w:type="continuationSeparator" w:id="0">
    <w:p w14:paraId="46C260F7" w14:textId="77777777" w:rsidR="00BE4628" w:rsidRDefault="00BE4628" w:rsidP="009D3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-SemiBold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9D049" w14:textId="75698C50" w:rsidR="009D3B37" w:rsidRPr="009D3B37" w:rsidRDefault="009D3B37" w:rsidP="009D3B37">
    <w:pPr>
      <w:rPr>
        <w:szCs w:val="20"/>
      </w:rPr>
    </w:pPr>
    <w:r w:rsidRPr="006A55D7">
      <w:rPr>
        <w:rStyle w:val="FooterChar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1</w:t>
    </w:r>
    <w:r w:rsidRPr="006A55D7">
      <w:rPr>
        <w:rStyle w:val="FooterCha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6A9E" w14:textId="77777777" w:rsidR="00BE4628" w:rsidRDefault="00BE4628" w:rsidP="009D3B37">
      <w:pPr>
        <w:spacing w:after="0"/>
      </w:pPr>
      <w:r>
        <w:separator/>
      </w:r>
    </w:p>
  </w:footnote>
  <w:footnote w:type="continuationSeparator" w:id="0">
    <w:p w14:paraId="16A72D46" w14:textId="77777777" w:rsidR="00BE4628" w:rsidRDefault="00BE4628" w:rsidP="009D3B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F293B0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89"/>
    <w:rsid w:val="000D6689"/>
    <w:rsid w:val="00395AD8"/>
    <w:rsid w:val="00533764"/>
    <w:rsid w:val="009D3B37"/>
    <w:rsid w:val="00BE4628"/>
    <w:rsid w:val="00EB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CDED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B37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0D6689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0D6689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0D6689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D6689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0D6689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0D6689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table" w:styleId="TableGrid">
    <w:name w:val="Table Grid"/>
    <w:basedOn w:val="TableNormal"/>
    <w:rsid w:val="009D3B37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  <w:tcPr>
      <w:tcMar>
        <w:top w:w="57" w:type="dxa"/>
        <w:left w:w="57" w:type="dxa"/>
        <w:bottom w:w="0" w:type="dxa"/>
        <w:right w:w="57" w:type="dxa"/>
      </w:tcMar>
    </w:tcPr>
  </w:style>
  <w:style w:type="paragraph" w:styleId="ListBullet">
    <w:name w:val="List Bullet"/>
    <w:basedOn w:val="Normal"/>
    <w:uiPriority w:val="99"/>
    <w:unhideWhenUsed/>
    <w:rsid w:val="000D6689"/>
    <w:pPr>
      <w:numPr>
        <w:numId w:val="1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Bold">
    <w:name w:val="Bold"/>
    <w:uiPriority w:val="99"/>
    <w:qFormat/>
    <w:rsid w:val="000D6689"/>
    <w:rPr>
      <w:rFonts w:ascii="Calibri" w:hAnsi="Calibri" w:cs="VIC-SemiBold"/>
      <w:b/>
      <w:bCs/>
      <w:u w:color="F37720"/>
    </w:rPr>
  </w:style>
  <w:style w:type="paragraph" w:styleId="Header">
    <w:name w:val="header"/>
    <w:basedOn w:val="Normal"/>
    <w:link w:val="HeaderChar"/>
    <w:uiPriority w:val="99"/>
    <w:unhideWhenUsed/>
    <w:rsid w:val="009D3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B37"/>
  </w:style>
  <w:style w:type="paragraph" w:styleId="Footer">
    <w:name w:val="footer"/>
    <w:basedOn w:val="Normal"/>
    <w:link w:val="FooterChar"/>
    <w:uiPriority w:val="99"/>
    <w:unhideWhenUsed/>
    <w:rsid w:val="009D3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2</cp:revision>
  <dcterms:created xsi:type="dcterms:W3CDTF">2020-02-16T04:23:00Z</dcterms:created>
  <dcterms:modified xsi:type="dcterms:W3CDTF">2020-02-16T04:23:00Z</dcterms:modified>
</cp:coreProperties>
</file>